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insoku w:val="0"/>
        <w:wordWrap w:val="0"/>
        <w:spacing w:after="156"/>
        <w:jc w:val="left"/>
        <w:rPr>
          <w:rFonts w:hint="eastAsia" w:ascii="黑体" w:hAnsi="黑体" w:eastAsia="黑体" w:cs="黑体"/>
          <w:b w:val="0"/>
          <w:bCs/>
          <w:color w:val="auto"/>
          <w:sz w:val="28"/>
          <w:szCs w:val="28"/>
          <w:highlight w:val="none"/>
        </w:rPr>
      </w:pPr>
      <w:bookmarkStart w:id="8354" w:name="_GoBack"/>
      <w:bookmarkStart w:id="0" w:name="Bookmark36"/>
      <w:bookmarkStart w:id="1" w:name="_Toc517530656"/>
      <w:bookmarkStart w:id="2" w:name="_Toc517529694"/>
      <w:bookmarkStart w:id="3" w:name="_Toc405968332"/>
      <w:bookmarkStart w:id="4" w:name="_Toc517531932"/>
      <w:bookmarkStart w:id="5" w:name="_Toc517528601"/>
      <w:r>
        <w:rPr>
          <w:rFonts w:hint="eastAsia" w:ascii="黑体" w:hAnsi="黑体" w:eastAsia="黑体" w:cs="黑体"/>
          <w:b w:val="0"/>
          <w:bCs/>
          <w:color w:val="auto"/>
          <w:sz w:val="28"/>
          <w:szCs w:val="28"/>
          <w:highlight w:val="none"/>
        </w:rPr>
        <w:t>GMGCSG-2021-01</w:t>
      </w:r>
    </w:p>
    <w:p>
      <w:pPr>
        <w:wordWrap w:val="0"/>
        <w:jc w:val="right"/>
        <w:rPr>
          <w:rFonts w:hint="eastAsia" w:ascii="黑体" w:hAnsi="宋体" w:eastAsia="黑体"/>
          <w:color w:val="auto"/>
          <w:sz w:val="28"/>
          <w:szCs w:val="28"/>
          <w:highlight w:val="none"/>
        </w:rPr>
      </w:pPr>
      <w:r>
        <w:rPr>
          <w:rFonts w:hint="eastAsia" w:ascii="黑体" w:hAnsi="宋体" w:eastAsia="黑体"/>
          <w:color w:val="auto"/>
          <w:sz w:val="28"/>
          <w:szCs w:val="28"/>
          <w:highlight w:val="none"/>
        </w:rPr>
        <w:t>工程编号：</w:t>
      </w:r>
      <w:r>
        <w:rPr>
          <w:rFonts w:ascii="黑体" w:hAnsi="宋体" w:eastAsia="黑体"/>
          <w:color w:val="auto"/>
          <w:sz w:val="28"/>
          <w:szCs w:val="28"/>
          <w:highlight w:val="none"/>
          <w:u w:val="single"/>
        </w:rPr>
        <w:t xml:space="preserve">              </w:t>
      </w:r>
    </w:p>
    <w:p>
      <w:pPr>
        <w:wordWrap w:val="0"/>
        <w:jc w:val="right"/>
        <w:rPr>
          <w:rFonts w:ascii="黑体" w:hAnsi="宋体" w:eastAsia="黑体"/>
          <w:color w:val="auto"/>
          <w:sz w:val="28"/>
          <w:szCs w:val="28"/>
          <w:highlight w:val="none"/>
          <w:u w:val="single"/>
        </w:rPr>
      </w:pPr>
      <w:r>
        <w:rPr>
          <w:rFonts w:hint="eastAsia" w:ascii="黑体" w:hAnsi="宋体" w:eastAsia="黑体"/>
          <w:color w:val="auto"/>
          <w:sz w:val="28"/>
          <w:szCs w:val="28"/>
          <w:highlight w:val="none"/>
        </w:rPr>
        <w:t>合同编号：</w:t>
      </w:r>
      <w:r>
        <w:rPr>
          <w:rFonts w:ascii="黑体" w:hAnsi="宋体" w:eastAsia="黑体"/>
          <w:color w:val="auto"/>
          <w:sz w:val="28"/>
          <w:szCs w:val="28"/>
          <w:highlight w:val="none"/>
          <w:u w:val="single"/>
        </w:rPr>
        <w:t xml:space="preserve">              </w:t>
      </w:r>
    </w:p>
    <w:p>
      <w:pPr>
        <w:wordWrap/>
        <w:jc w:val="right"/>
        <w:rPr>
          <w:rFonts w:hint="eastAsia" w:ascii="黑体" w:hAnsi="宋体" w:eastAsia="黑体"/>
          <w:color w:val="auto"/>
          <w:sz w:val="28"/>
          <w:szCs w:val="28"/>
          <w:highlight w:val="none"/>
          <w:u w:val="single"/>
        </w:rPr>
      </w:pPr>
    </w:p>
    <w:p>
      <w:pPr>
        <w:wordWrap/>
        <w:jc w:val="right"/>
        <w:rPr>
          <w:rFonts w:hint="eastAsia" w:ascii="黑体" w:hAnsi="宋体" w:eastAsia="黑体"/>
          <w:color w:val="auto"/>
          <w:sz w:val="28"/>
          <w:szCs w:val="28"/>
          <w:highlight w:val="none"/>
          <w:u w:val="single"/>
        </w:rPr>
      </w:pPr>
    </w:p>
    <w:p>
      <w:pPr>
        <w:wordWrap/>
        <w:jc w:val="right"/>
        <w:rPr>
          <w:rFonts w:hint="eastAsia" w:ascii="黑体" w:hAnsi="宋体" w:eastAsia="黑体"/>
          <w:color w:val="auto"/>
          <w:sz w:val="28"/>
          <w:szCs w:val="28"/>
          <w:highlight w:val="none"/>
          <w:u w:val="single"/>
        </w:rPr>
      </w:pPr>
    </w:p>
    <w:p>
      <w:pPr>
        <w:jc w:val="center"/>
        <w:rPr>
          <w:rFonts w:hint="eastAsia" w:ascii="黑体" w:hAnsi="宋体" w:eastAsia="黑体"/>
          <w:color w:val="auto"/>
          <w:sz w:val="44"/>
          <w:szCs w:val="44"/>
          <w:highlight w:val="none"/>
        </w:rPr>
      </w:pPr>
      <w:r>
        <w:rPr>
          <w:rFonts w:hint="eastAsia" w:ascii="黑体" w:hAnsi="宋体" w:eastAsia="黑体"/>
          <w:color w:val="auto"/>
          <w:sz w:val="44"/>
          <w:szCs w:val="44"/>
          <w:highlight w:val="none"/>
        </w:rPr>
        <w:t>深圳市光明区建设工程</w:t>
      </w:r>
    </w:p>
    <w:p>
      <w:pPr>
        <w:jc w:val="center"/>
        <w:rPr>
          <w:rFonts w:hint="eastAsia" w:ascii="黑体" w:hAnsi="宋体" w:eastAsia="黑体"/>
          <w:color w:val="auto"/>
          <w:sz w:val="52"/>
          <w:szCs w:val="52"/>
          <w:highlight w:val="none"/>
        </w:rPr>
      </w:pPr>
      <w:r>
        <w:rPr>
          <w:rFonts w:hint="eastAsia" w:ascii="黑体" w:hAnsi="宋体" w:eastAsia="黑体"/>
          <w:color w:val="auto"/>
          <w:sz w:val="52"/>
          <w:szCs w:val="52"/>
          <w:highlight w:val="none"/>
        </w:rPr>
        <w:t>施工单价合同</w:t>
      </w:r>
    </w:p>
    <w:p>
      <w:pPr>
        <w:jc w:val="center"/>
        <w:rPr>
          <w:rFonts w:hint="eastAsia" w:ascii="黑体" w:hAnsi="宋体" w:eastAsia="黑体"/>
          <w:color w:val="auto"/>
          <w:sz w:val="52"/>
          <w:szCs w:val="52"/>
          <w:highlight w:val="none"/>
        </w:rPr>
      </w:pPr>
      <w:r>
        <w:rPr>
          <w:rFonts w:hint="eastAsia" w:ascii="黑体" w:hAnsi="宋体" w:eastAsia="黑体"/>
          <w:color w:val="auto"/>
          <w:sz w:val="44"/>
          <w:szCs w:val="44"/>
          <w:highlight w:val="none"/>
        </w:rPr>
        <w:t>（适用于招标工程固定单价施工合同）</w:t>
      </w:r>
    </w:p>
    <w:p>
      <w:pPr>
        <w:jc w:val="center"/>
        <w:rPr>
          <w:rFonts w:hint="eastAsia" w:ascii="黑体" w:eastAsia="黑体"/>
          <w:color w:val="auto"/>
          <w:sz w:val="32"/>
          <w:szCs w:val="32"/>
          <w:highlight w:val="none"/>
        </w:rPr>
      </w:pPr>
    </w:p>
    <w:p>
      <w:pPr>
        <w:jc w:val="center"/>
        <w:rPr>
          <w:rFonts w:hint="eastAsia" w:ascii="黑体" w:hAnsi="宋体" w:eastAsia="黑体"/>
          <w:color w:val="auto"/>
          <w:sz w:val="44"/>
          <w:szCs w:val="44"/>
          <w:highlight w:val="none"/>
        </w:rPr>
      </w:pPr>
      <w:r>
        <w:rPr>
          <w:rFonts w:hint="eastAsia" w:ascii="黑体" w:hAnsi="宋体" w:eastAsia="黑体"/>
          <w:color w:val="auto"/>
          <w:sz w:val="44"/>
          <w:szCs w:val="44"/>
          <w:highlight w:val="none"/>
        </w:rPr>
        <w:t>（示范文本）</w:t>
      </w:r>
    </w:p>
    <w:p>
      <w:pPr>
        <w:jc w:val="center"/>
        <w:rPr>
          <w:rFonts w:hint="eastAsia" w:ascii="黑体" w:hAnsi="宋体" w:eastAsia="黑体"/>
          <w:color w:val="auto"/>
          <w:sz w:val="44"/>
          <w:szCs w:val="44"/>
          <w:highlight w:val="none"/>
        </w:rPr>
      </w:pPr>
    </w:p>
    <w:p>
      <w:pPr>
        <w:jc w:val="center"/>
        <w:rPr>
          <w:rFonts w:hint="eastAsia" w:ascii="黑体" w:hAnsi="宋体" w:eastAsia="黑体"/>
          <w:color w:val="auto"/>
          <w:sz w:val="44"/>
          <w:szCs w:val="44"/>
          <w:highlight w:val="none"/>
        </w:rPr>
      </w:pPr>
    </w:p>
    <w:p>
      <w:pPr>
        <w:jc w:val="center"/>
        <w:rPr>
          <w:rFonts w:hint="eastAsia" w:ascii="黑体" w:eastAsia="黑体"/>
          <w:color w:val="auto"/>
          <w:sz w:val="32"/>
          <w:szCs w:val="32"/>
          <w:highlight w:val="none"/>
        </w:rPr>
      </w:pPr>
    </w:p>
    <w:p>
      <w:pPr>
        <w:spacing w:before="312" w:after="156" w:line="480" w:lineRule="auto"/>
        <w:ind w:firstLine="320"/>
        <w:rPr>
          <w:rFonts w:hint="eastAsia" w:ascii="黑体" w:eastAsia="黑体"/>
          <w:color w:val="auto"/>
          <w:sz w:val="32"/>
          <w:szCs w:val="32"/>
          <w:highlight w:val="none"/>
        </w:rPr>
      </w:pPr>
      <w:r>
        <w:rPr>
          <w:rFonts w:hint="eastAsia" w:ascii="黑体" w:eastAsia="黑体"/>
          <w:color w:val="auto"/>
          <w:sz w:val="32"/>
          <w:szCs w:val="32"/>
          <w:highlight w:val="none"/>
        </w:rPr>
        <w:t>工程名称：</w:t>
      </w:r>
      <w:r>
        <w:rPr>
          <w:rFonts w:hint="eastAsia" w:ascii="黑体" w:eastAsia="黑体"/>
          <w:color w:val="auto"/>
          <w:sz w:val="32"/>
          <w:szCs w:val="32"/>
          <w:highlight w:val="none"/>
          <w:u w:val="single"/>
        </w:rPr>
        <w:t xml:space="preserve">         　　　                  </w:t>
      </w:r>
    </w:p>
    <w:p>
      <w:pPr>
        <w:spacing w:before="312" w:after="156" w:line="480" w:lineRule="auto"/>
        <w:ind w:firstLine="320"/>
        <w:rPr>
          <w:rFonts w:hint="eastAsia" w:ascii="黑体" w:eastAsia="黑体"/>
          <w:color w:val="auto"/>
          <w:sz w:val="32"/>
          <w:szCs w:val="32"/>
          <w:highlight w:val="none"/>
        </w:rPr>
      </w:pPr>
      <w:r>
        <w:rPr>
          <w:rFonts w:hint="eastAsia" w:ascii="黑体" w:eastAsia="黑体"/>
          <w:color w:val="auto"/>
          <w:sz w:val="32"/>
          <w:szCs w:val="32"/>
          <w:highlight w:val="none"/>
        </w:rPr>
        <w:t>工程地点：</w:t>
      </w:r>
      <w:r>
        <w:rPr>
          <w:rFonts w:hint="eastAsia" w:ascii="黑体" w:eastAsia="黑体"/>
          <w:color w:val="auto"/>
          <w:sz w:val="32"/>
          <w:szCs w:val="32"/>
          <w:highlight w:val="none"/>
          <w:u w:val="single"/>
        </w:rPr>
        <w:t xml:space="preserve">            　　　               </w:t>
      </w:r>
    </w:p>
    <w:p>
      <w:pPr>
        <w:spacing w:before="312" w:after="156" w:line="480" w:lineRule="auto"/>
        <w:ind w:firstLine="320"/>
        <w:rPr>
          <w:rFonts w:hint="eastAsia" w:ascii="黑体" w:eastAsia="黑体"/>
          <w:color w:val="auto"/>
          <w:sz w:val="32"/>
          <w:szCs w:val="32"/>
          <w:highlight w:val="none"/>
        </w:rPr>
      </w:pPr>
      <w:r>
        <w:rPr>
          <w:rFonts w:hint="eastAsia" w:ascii="黑体" w:eastAsia="黑体"/>
          <w:color w:val="auto"/>
          <w:sz w:val="32"/>
          <w:szCs w:val="32"/>
          <w:highlight w:val="none"/>
        </w:rPr>
        <w:t>发 包 人：</w:t>
      </w:r>
      <w:r>
        <w:rPr>
          <w:rFonts w:hint="eastAsia" w:ascii="黑体" w:eastAsia="黑体"/>
          <w:color w:val="auto"/>
          <w:sz w:val="32"/>
          <w:szCs w:val="32"/>
          <w:highlight w:val="none"/>
          <w:u w:val="single"/>
        </w:rPr>
        <w:t xml:space="preserve">             　　　              </w:t>
      </w:r>
    </w:p>
    <w:p>
      <w:pPr>
        <w:spacing w:before="312" w:after="156" w:line="480" w:lineRule="auto"/>
        <w:ind w:firstLine="320"/>
        <w:rPr>
          <w:rFonts w:hint="eastAsia" w:ascii="黑体" w:eastAsia="黑体"/>
          <w:color w:val="auto"/>
          <w:sz w:val="32"/>
          <w:szCs w:val="32"/>
          <w:highlight w:val="none"/>
          <w:u w:val="single"/>
        </w:rPr>
      </w:pPr>
      <w:r>
        <w:rPr>
          <w:rFonts w:hint="eastAsia" w:ascii="黑体" w:eastAsia="黑体"/>
          <w:color w:val="auto"/>
          <w:sz w:val="32"/>
          <w:szCs w:val="32"/>
          <w:highlight w:val="none"/>
        </w:rPr>
        <w:t>承 包 人：</w:t>
      </w:r>
      <w:r>
        <w:rPr>
          <w:rFonts w:hint="eastAsia" w:ascii="黑体" w:eastAsia="黑体"/>
          <w:color w:val="auto"/>
          <w:sz w:val="32"/>
          <w:szCs w:val="32"/>
          <w:highlight w:val="none"/>
          <w:u w:val="single"/>
        </w:rPr>
        <w:t xml:space="preserve">                　　　           </w:t>
      </w:r>
    </w:p>
    <w:p>
      <w:pPr>
        <w:jc w:val="center"/>
        <w:rPr>
          <w:rFonts w:hint="eastAsia" w:ascii="黑体" w:hAnsi="宋体" w:eastAsia="黑体"/>
          <w:color w:val="auto"/>
          <w:sz w:val="28"/>
          <w:szCs w:val="28"/>
          <w:highlight w:val="none"/>
        </w:rPr>
      </w:pPr>
    </w:p>
    <w:p>
      <w:pPr>
        <w:jc w:val="center"/>
        <w:rPr>
          <w:rFonts w:ascii="黑体" w:hAnsi="宋体" w:eastAsia="黑体"/>
          <w:color w:val="auto"/>
          <w:sz w:val="28"/>
          <w:szCs w:val="28"/>
          <w:highlight w:val="none"/>
        </w:rPr>
      </w:pPr>
      <w:r>
        <w:rPr>
          <w:rFonts w:hint="eastAsia" w:ascii="黑体" w:hAnsi="宋体" w:eastAsia="黑体"/>
          <w:color w:val="auto"/>
          <w:sz w:val="28"/>
          <w:szCs w:val="28"/>
          <w:highlight w:val="none"/>
        </w:rPr>
        <w:t>20</w:t>
      </w:r>
      <w:r>
        <w:rPr>
          <w:rFonts w:ascii="黑体" w:hAnsi="宋体" w:eastAsia="黑体"/>
          <w:color w:val="auto"/>
          <w:sz w:val="28"/>
          <w:szCs w:val="28"/>
          <w:highlight w:val="none"/>
        </w:rPr>
        <w:t>21</w:t>
      </w:r>
      <w:r>
        <w:rPr>
          <w:rFonts w:hint="eastAsia" w:ascii="黑体" w:hAnsi="宋体" w:eastAsia="黑体"/>
          <w:color w:val="auto"/>
          <w:sz w:val="28"/>
          <w:szCs w:val="28"/>
          <w:highlight w:val="none"/>
        </w:rPr>
        <w:t>年版</w:t>
      </w:r>
    </w:p>
    <w:p>
      <w:pPr>
        <w:spacing w:line="360" w:lineRule="auto"/>
        <w:jc w:val="center"/>
        <w:rPr>
          <w:rFonts w:ascii="黑体" w:eastAsia="黑体"/>
          <w:b/>
          <w:color w:val="auto"/>
          <w:sz w:val="46"/>
          <w:szCs w:val="46"/>
          <w:highlight w:val="none"/>
        </w:rPr>
        <w:sectPr>
          <w:headerReference r:id="rId3" w:type="default"/>
          <w:footerReference r:id="rId4" w:type="even"/>
          <w:pgSz w:w="11906" w:h="16838"/>
          <w:pgMar w:top="2098" w:right="1474" w:bottom="1984" w:left="1587" w:header="851" w:footer="992" w:gutter="0"/>
          <w:cols w:space="0" w:num="1"/>
          <w:rtlGutter w:val="0"/>
          <w:docGrid w:linePitch="312" w:charSpace="0"/>
        </w:sectPr>
      </w:pPr>
    </w:p>
    <w:bookmarkEnd w:id="0"/>
    <w:bookmarkEnd w:id="1"/>
    <w:bookmarkEnd w:id="2"/>
    <w:bookmarkEnd w:id="3"/>
    <w:bookmarkEnd w:id="4"/>
    <w:bookmarkEnd w:id="5"/>
    <w:p>
      <w:pPr>
        <w:jc w:val="center"/>
        <w:rPr>
          <w:rFonts w:hint="eastAsia" w:ascii="Times New Roman" w:hAnsi="Times New Roman"/>
          <w:b/>
          <w:bCs/>
          <w:color w:val="auto"/>
          <w:sz w:val="32"/>
          <w:szCs w:val="32"/>
          <w:highlight w:val="none"/>
        </w:rPr>
      </w:pPr>
      <w:bookmarkStart w:id="6" w:name="_Toc3982"/>
      <w:bookmarkStart w:id="7" w:name="_Toc517528603"/>
      <w:bookmarkStart w:id="8" w:name="_Toc3737"/>
      <w:bookmarkStart w:id="9" w:name="_Toc9225"/>
      <w:bookmarkStart w:id="10" w:name="_Toc1781"/>
      <w:bookmarkStart w:id="11" w:name="_Toc30991"/>
      <w:bookmarkStart w:id="12" w:name="_Toc5430"/>
      <w:bookmarkStart w:id="13" w:name="_Toc517530658"/>
      <w:bookmarkStart w:id="14" w:name="_Toc9168"/>
      <w:bookmarkStart w:id="15" w:name="_Toc18608"/>
      <w:bookmarkStart w:id="16" w:name="_Toc517529696"/>
      <w:bookmarkStart w:id="17" w:name="_Toc517531934"/>
      <w:bookmarkStart w:id="18" w:name="_Toc16161"/>
      <w:r>
        <w:rPr>
          <w:rFonts w:hint="eastAsia" w:ascii="Times New Roman" w:hAnsi="Times New Roman"/>
          <w:b/>
          <w:bCs/>
          <w:color w:val="auto"/>
          <w:sz w:val="32"/>
          <w:szCs w:val="32"/>
          <w:highlight w:val="none"/>
        </w:rPr>
        <w:t>说 明</w:t>
      </w:r>
    </w:p>
    <w:p>
      <w:pPr>
        <w:adjustRightInd w:val="0"/>
        <w:snapToGrid w:val="0"/>
        <w:jc w:val="center"/>
        <w:rPr>
          <w:rFonts w:hint="eastAsia" w:ascii="黑体" w:hAnsi="黑体" w:eastAsia="黑体"/>
          <w:color w:val="auto"/>
          <w:sz w:val="44"/>
          <w:szCs w:val="44"/>
          <w:highlight w:val="none"/>
        </w:rPr>
      </w:pPr>
    </w:p>
    <w:p>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为了指导建设工程施工合同当事人的签约行为，维护合同当事人的合法权益，依据《中华人民共和国民法典》、《中华人民共和国建筑法》、《中华人民共和国招标投标法》等法律以及深圳市相关的法规,借鉴国际通用的工程施工合同、以及住房和城乡建设部等制定的《建设工程施工合同示范文本》（GF－201</w:t>
      </w:r>
      <w:r>
        <w:rPr>
          <w:rFonts w:ascii="宋体" w:hAnsi="宋体"/>
          <w:color w:val="auto"/>
          <w:sz w:val="24"/>
          <w:szCs w:val="24"/>
          <w:highlight w:val="none"/>
        </w:rPr>
        <w:t>7</w:t>
      </w:r>
      <w:r>
        <w:rPr>
          <w:rFonts w:hint="eastAsia" w:ascii="宋体" w:hAnsi="宋体"/>
          <w:color w:val="auto"/>
          <w:sz w:val="24"/>
          <w:szCs w:val="24"/>
          <w:highlight w:val="none"/>
        </w:rPr>
        <w:t>-0201）等成果</w:t>
      </w:r>
      <w:r>
        <w:rPr>
          <w:rFonts w:ascii="宋体" w:hAnsi="宋体"/>
          <w:color w:val="auto"/>
          <w:sz w:val="24"/>
          <w:szCs w:val="24"/>
          <w:highlight w:val="none"/>
        </w:rPr>
        <w:t>文件</w:t>
      </w:r>
      <w:r>
        <w:rPr>
          <w:rFonts w:hint="eastAsia" w:ascii="宋体" w:hAnsi="宋体"/>
          <w:color w:val="auto"/>
          <w:sz w:val="24"/>
          <w:szCs w:val="24"/>
          <w:highlight w:val="none"/>
        </w:rPr>
        <w:t>,结合深圳市现行施工合同(示范文本)近几年的实践情况,由深圳市光明区住房和建设局修编而成。为了便于合同当事人使用《示范文本》，现就有关问题说明如下：</w:t>
      </w:r>
    </w:p>
    <w:p>
      <w:pPr>
        <w:spacing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rPr>
        <w:t>一、《示范文本》的组成</w:t>
      </w:r>
    </w:p>
    <w:p>
      <w:pPr>
        <w:spacing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rPr>
        <w:t>《示范文本》由合同协议书、通用合同条款、专用合同条款、补充合同条款和附件五部分组成。</w:t>
      </w:r>
    </w:p>
    <w:p>
      <w:pPr>
        <w:spacing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rPr>
        <w:t>（一）合同协议书</w:t>
      </w:r>
    </w:p>
    <w:p>
      <w:pPr>
        <w:spacing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rPr>
        <w:t>《示范文本》协议书共计1</w:t>
      </w:r>
      <w:r>
        <w:rPr>
          <w:rFonts w:ascii="宋体" w:hAnsi="宋体"/>
          <w:color w:val="auto"/>
          <w:sz w:val="24"/>
          <w:szCs w:val="24"/>
          <w:highlight w:val="none"/>
        </w:rPr>
        <w:t>0</w:t>
      </w:r>
      <w:r>
        <w:rPr>
          <w:rFonts w:hint="eastAsia" w:ascii="宋体" w:hAnsi="宋体"/>
          <w:color w:val="auto"/>
          <w:sz w:val="24"/>
          <w:szCs w:val="24"/>
          <w:highlight w:val="none"/>
        </w:rPr>
        <w:t>条，主要包括：工程概况、工程承包范围、合同工期、工程质量标准、合同价款及支付方式、组成合同的文件、</w:t>
      </w:r>
      <w:r>
        <w:rPr>
          <w:rFonts w:ascii="宋体" w:hAnsi="宋体"/>
          <w:color w:val="auto"/>
          <w:sz w:val="24"/>
          <w:szCs w:val="24"/>
          <w:highlight w:val="none"/>
        </w:rPr>
        <w:t>词语含义</w:t>
      </w:r>
      <w:r>
        <w:rPr>
          <w:rFonts w:hint="eastAsia" w:ascii="宋体" w:hAnsi="宋体"/>
          <w:color w:val="auto"/>
          <w:sz w:val="24"/>
          <w:szCs w:val="24"/>
          <w:highlight w:val="none"/>
        </w:rPr>
        <w:t>、双方承诺、合同份数、合同生效等重要内容，集中约定了合同当事人基本的合同权利义务。合同当事人可以结合本工程实际，在协议书有横道线的地方，对承发包双方约定的具体内容进行相应描述；或在协议书有可选项的地方，作单项</w:t>
      </w:r>
      <w:r>
        <w:rPr>
          <w:rFonts w:ascii="宋体" w:hAnsi="宋体"/>
          <w:color w:val="auto"/>
          <w:sz w:val="24"/>
          <w:szCs w:val="24"/>
          <w:highlight w:val="none"/>
        </w:rPr>
        <w:t>或多项</w:t>
      </w:r>
      <w:r>
        <w:rPr>
          <w:rFonts w:hint="eastAsia" w:ascii="宋体" w:hAnsi="宋体"/>
          <w:color w:val="auto"/>
          <w:sz w:val="24"/>
          <w:szCs w:val="24"/>
          <w:highlight w:val="none"/>
        </w:rPr>
        <w:t>勾选进行相应确定。其中，对工程承包范围、</w:t>
      </w:r>
      <w:r>
        <w:rPr>
          <w:rFonts w:ascii="宋体" w:hAnsi="宋体"/>
          <w:color w:val="auto"/>
          <w:sz w:val="24"/>
          <w:szCs w:val="24"/>
          <w:highlight w:val="none"/>
        </w:rPr>
        <w:t>合同价格</w:t>
      </w:r>
      <w:r>
        <w:rPr>
          <w:rFonts w:hint="eastAsia" w:ascii="宋体" w:hAnsi="宋体"/>
          <w:color w:val="auto"/>
          <w:sz w:val="24"/>
          <w:szCs w:val="24"/>
          <w:highlight w:val="none"/>
        </w:rPr>
        <w:t>包干范围等条款，关于工程承包范围，合同当事人可在有横道线中作相应功能描述，指出本工程所需要实现的功能，或作相应分部分项工程项目与工程量描述，或勾选相应分部分项工程项目、填写对应工程量；关于包干范围及包干</w:t>
      </w:r>
      <w:r>
        <w:rPr>
          <w:rFonts w:ascii="宋体" w:hAnsi="宋体"/>
          <w:color w:val="auto"/>
          <w:sz w:val="24"/>
          <w:szCs w:val="24"/>
          <w:highlight w:val="none"/>
        </w:rPr>
        <w:t>风险范围以外的</w:t>
      </w:r>
      <w:r>
        <w:rPr>
          <w:rFonts w:hint="eastAsia" w:ascii="宋体" w:hAnsi="宋体"/>
          <w:color w:val="auto"/>
          <w:sz w:val="24"/>
          <w:szCs w:val="24"/>
          <w:highlight w:val="none"/>
        </w:rPr>
        <w:t>内容，合同当事人可在有横道线中作相应描述，或勾选相应选项进行确定。</w:t>
      </w:r>
    </w:p>
    <w:p>
      <w:pPr>
        <w:spacing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rPr>
        <w:t>（二）通用合同条款</w:t>
      </w:r>
    </w:p>
    <w:p>
      <w:pPr>
        <w:spacing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rPr>
        <w:t>通用条款共计20条，具体条款分别为：一般约定、发包人、承包人、监理人、工程质量、安全文明施工与环境保护、工期和进度、材料与设备、试验与检验、变更、价格调整、合同价格、计量与支付、竣工验收、竣工结算、缺陷责任与保修、违约、特殊风险、保险、索赔和争议解决。前述条款安排既考虑了现行法律法规对工程建设的有关要求，也考虑了建设工程施工管理的特殊需要。</w:t>
      </w:r>
    </w:p>
    <w:p>
      <w:pPr>
        <w:spacing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rPr>
        <w:t>（三）专用合同条款</w:t>
      </w:r>
    </w:p>
    <w:p>
      <w:pPr>
        <w:spacing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rPr>
        <w:t>专用条款是对通用条款原则性约定的细化、完善、补充、修改或另行约定的条款。在使用专用条款时，应注意以下事项：</w:t>
      </w:r>
    </w:p>
    <w:p>
      <w:pPr>
        <w:spacing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rPr>
        <w:t>1.专用条款的编号应与相应的通用条款的编号一致；</w:t>
      </w:r>
    </w:p>
    <w:p>
      <w:pPr>
        <w:spacing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rPr>
        <w:t>2.合同当事人可以</w:t>
      </w:r>
      <w:r>
        <w:rPr>
          <w:rFonts w:hint="eastAsia" w:ascii="宋体" w:hAnsi="宋体"/>
          <w:color w:val="auto"/>
          <w:sz w:val="24"/>
          <w:highlight w:val="none"/>
        </w:rPr>
        <w:t>对通用条款的内容进行双方</w:t>
      </w:r>
      <w:r>
        <w:rPr>
          <w:rFonts w:hint="eastAsia" w:ascii="宋体" w:hAnsi="宋体"/>
          <w:color w:val="auto"/>
          <w:sz w:val="24"/>
          <w:szCs w:val="24"/>
          <w:highlight w:val="none"/>
        </w:rPr>
        <w:t>谈判、</w:t>
      </w:r>
      <w:r>
        <w:rPr>
          <w:rFonts w:hint="eastAsia" w:ascii="宋体" w:hAnsi="宋体"/>
          <w:color w:val="auto"/>
          <w:sz w:val="24"/>
          <w:highlight w:val="none"/>
        </w:rPr>
        <w:t>协商，对不明确的条款作出具体约定，对不适用的条款作出修改，对缺少的内容作出补充，以</w:t>
      </w:r>
      <w:r>
        <w:rPr>
          <w:rFonts w:hint="eastAsia" w:ascii="宋体" w:hAnsi="宋体"/>
          <w:color w:val="auto"/>
          <w:sz w:val="24"/>
          <w:szCs w:val="24"/>
          <w:highlight w:val="none"/>
        </w:rPr>
        <w:t>满足具体建设工程的特殊要求，避免直接修改通用条款，</w:t>
      </w:r>
      <w:r>
        <w:rPr>
          <w:rFonts w:hint="eastAsia" w:ascii="宋体" w:hAnsi="宋体"/>
          <w:color w:val="auto"/>
          <w:sz w:val="24"/>
          <w:highlight w:val="none"/>
        </w:rPr>
        <w:t>使合同更具可操作性、便于理解和履行</w:t>
      </w:r>
      <w:r>
        <w:rPr>
          <w:rFonts w:hint="eastAsia" w:ascii="宋体" w:hAnsi="宋体"/>
          <w:color w:val="auto"/>
          <w:sz w:val="24"/>
          <w:szCs w:val="24"/>
          <w:highlight w:val="none"/>
        </w:rPr>
        <w:t>；通用条款和专用条款一并作为完整的合同条款，当两者之间有不符之处，以专用条款为准；通用条款中出现“专用条款”字样的条文在相应专用条款的条文中有明确约定的，应按照同一编号的条款一起阅读和理解；</w:t>
      </w:r>
    </w:p>
    <w:p>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3.在专用条款中有横道线的地方，合同当事人可针对相应的通用条款进行细化、完善、补充、修改或另行约定；如无细化、完善、补充、修改或另行约定，则填写“无”或划“/”。在专用条款中有可选项的地方，合同当事人可作单项</w:t>
      </w:r>
      <w:r>
        <w:rPr>
          <w:rFonts w:ascii="宋体" w:hAnsi="宋体"/>
          <w:color w:val="auto"/>
          <w:sz w:val="24"/>
          <w:szCs w:val="24"/>
          <w:highlight w:val="none"/>
        </w:rPr>
        <w:t>或多项</w:t>
      </w:r>
      <w:r>
        <w:rPr>
          <w:rFonts w:hint="eastAsia" w:ascii="宋体" w:hAnsi="宋体"/>
          <w:color w:val="auto"/>
          <w:sz w:val="24"/>
          <w:szCs w:val="24"/>
          <w:highlight w:val="none"/>
        </w:rPr>
        <w:t>勾选以确定相应修改</w:t>
      </w:r>
      <w:r>
        <w:rPr>
          <w:rFonts w:ascii="宋体" w:hAnsi="宋体"/>
          <w:color w:val="auto"/>
          <w:sz w:val="24"/>
          <w:szCs w:val="24"/>
          <w:highlight w:val="none"/>
        </w:rPr>
        <w:t>补充</w:t>
      </w:r>
      <w:r>
        <w:rPr>
          <w:rFonts w:hint="eastAsia" w:ascii="宋体" w:hAnsi="宋体"/>
          <w:color w:val="auto"/>
          <w:sz w:val="24"/>
          <w:szCs w:val="24"/>
          <w:highlight w:val="none"/>
        </w:rPr>
        <w:t>内容；如针对相应的通用条款无细化、完善、补充、修改或另行约定，则可不作勾选。</w:t>
      </w:r>
    </w:p>
    <w:p>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（四）补充合同条款</w:t>
      </w:r>
    </w:p>
    <w:p>
      <w:pPr>
        <w:spacing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rPr>
        <w:t>补充条款是对通用条款和专用条款未约定或约定不明确的内容进行补充约定的条款。合同当事人可以根据不同建设工程的特点及具体情况，通过双方的谈判、协商对相应的通用合同条款和专用合同条款进行修改补充，形成补充合同条款。</w:t>
      </w:r>
    </w:p>
    <w:p>
      <w:pPr>
        <w:spacing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rPr>
        <w:t>二、《示范文本》的性质和适用范围</w:t>
      </w:r>
    </w:p>
    <w:p>
      <w:pPr>
        <w:spacing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rPr>
        <w:t>《示范文本》适用于房屋建筑工程、市政</w:t>
      </w:r>
      <w:r>
        <w:rPr>
          <w:rFonts w:ascii="宋体" w:hAnsi="宋体"/>
          <w:color w:val="auto"/>
          <w:sz w:val="24"/>
          <w:szCs w:val="24"/>
          <w:highlight w:val="none"/>
        </w:rPr>
        <w:t>工程、其他各类</w:t>
      </w:r>
      <w:r>
        <w:rPr>
          <w:rFonts w:hint="eastAsia" w:ascii="宋体" w:hAnsi="宋体"/>
          <w:color w:val="auto"/>
          <w:sz w:val="24"/>
          <w:szCs w:val="24"/>
          <w:highlight w:val="none"/>
        </w:rPr>
        <w:t>土木工程、线路管道和设备安装工程、装修工程等建设工程的施工承发包合同。</w:t>
      </w:r>
    </w:p>
    <w:p>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合同当事人可结合建设工程具体情况，在充分</w:t>
      </w:r>
      <w:r>
        <w:rPr>
          <w:rFonts w:ascii="宋体" w:hAnsi="宋体"/>
          <w:color w:val="auto"/>
          <w:sz w:val="24"/>
          <w:highlight w:val="none"/>
        </w:rPr>
        <w:t>了解</w:t>
      </w:r>
      <w:r>
        <w:rPr>
          <w:rFonts w:hint="eastAsia" w:ascii="宋体" w:hAnsi="宋体"/>
          <w:color w:val="auto"/>
          <w:sz w:val="24"/>
          <w:highlight w:val="none"/>
        </w:rPr>
        <w:t>工程招投标</w:t>
      </w:r>
      <w:r>
        <w:rPr>
          <w:rFonts w:ascii="宋体" w:hAnsi="宋体"/>
          <w:color w:val="auto"/>
          <w:sz w:val="24"/>
          <w:highlight w:val="none"/>
        </w:rPr>
        <w:t>文件</w:t>
      </w:r>
      <w:r>
        <w:rPr>
          <w:rFonts w:hint="eastAsia" w:ascii="宋体" w:hAnsi="宋体"/>
          <w:color w:val="auto"/>
          <w:sz w:val="24"/>
          <w:highlight w:val="none"/>
        </w:rPr>
        <w:t>不一致（如果有）及相关履约风险的前提下，</w:t>
      </w:r>
      <w:r>
        <w:rPr>
          <w:rFonts w:hint="eastAsia" w:ascii="宋体" w:hAnsi="宋体"/>
          <w:color w:val="auto"/>
          <w:sz w:val="24"/>
          <w:szCs w:val="24"/>
          <w:highlight w:val="none"/>
        </w:rPr>
        <w:t>根据《示范文本》订立合同，并按照法律法规规定和合同约定承担相应的法律责任及合同权利义务。</w:t>
      </w:r>
    </w:p>
    <w:p>
      <w:pPr>
        <w:spacing w:line="360" w:lineRule="auto"/>
        <w:ind w:firstLine="560"/>
        <w:rPr>
          <w:rFonts w:hint="eastAsia" w:ascii="宋体" w:hAnsi="宋体"/>
          <w:color w:val="auto"/>
          <w:sz w:val="24"/>
          <w:highlight w:val="none"/>
        </w:rPr>
      </w:pPr>
      <w:r>
        <w:rPr>
          <w:rFonts w:hint="eastAsia" w:ascii="宋体" w:hAnsi="宋体"/>
          <w:color w:val="auto"/>
          <w:sz w:val="24"/>
          <w:highlight w:val="none"/>
        </w:rPr>
        <w:t>《示范文本》使用过程中，</w:t>
      </w:r>
      <w:r>
        <w:rPr>
          <w:rFonts w:ascii="宋体" w:hAnsi="宋体"/>
          <w:color w:val="auto"/>
          <w:sz w:val="24"/>
          <w:highlight w:val="none"/>
        </w:rPr>
        <w:t>如有任何疑问或不明之处,请及时向专业人士咨询。</w:t>
      </w:r>
    </w:p>
    <w:p>
      <w:pPr>
        <w:pStyle w:val="128"/>
        <w:jc w:val="center"/>
        <w:rPr>
          <w:color w:val="auto"/>
          <w:highlight w:val="none"/>
        </w:rPr>
        <w:sectPr>
          <w:footerReference r:id="rId5" w:type="default"/>
          <w:pgSz w:w="11906" w:h="16838"/>
          <w:pgMar w:top="1418" w:right="1418" w:bottom="1418" w:left="1418" w:header="851" w:footer="992" w:gutter="0"/>
          <w:pgNumType w:start="1"/>
          <w:cols w:space="720" w:num="1"/>
          <w:docGrid w:linePitch="312" w:charSpace="0"/>
        </w:sectPr>
      </w:pPr>
    </w:p>
    <w:p>
      <w:pPr>
        <w:pStyle w:val="128"/>
        <w:jc w:val="center"/>
        <w:rPr>
          <w:color w:val="auto"/>
          <w:highlight w:val="none"/>
        </w:rPr>
      </w:pPr>
      <w:r>
        <w:rPr>
          <w:color w:val="auto"/>
          <w:highlight w:val="none"/>
          <w:lang w:val="zh-CN"/>
        </w:rPr>
        <w:t>目</w:t>
      </w:r>
      <w:r>
        <w:rPr>
          <w:rFonts w:hint="eastAsia"/>
          <w:color w:val="auto"/>
          <w:highlight w:val="none"/>
          <w:lang w:val="zh-CN"/>
        </w:rPr>
        <w:t xml:space="preserve"> </w:t>
      </w:r>
      <w:r>
        <w:rPr>
          <w:color w:val="auto"/>
          <w:highlight w:val="none"/>
          <w:lang w:val="zh-CN"/>
        </w:rPr>
        <w:t xml:space="preserve"> 录</w:t>
      </w:r>
    </w:p>
    <w:p>
      <w:pPr>
        <w:pStyle w:val="28"/>
        <w:tabs>
          <w:tab w:val="right" w:leader="dot" w:pos="9060"/>
        </w:tabs>
        <w:rPr>
          <w:rFonts w:ascii="等线" w:hAnsi="等线" w:eastAsia="等线" w:cs="Times New Roman"/>
          <w:b w:val="0"/>
          <w:bCs w:val="0"/>
          <w:caps w:val="0"/>
          <w:color w:val="auto"/>
          <w:sz w:val="21"/>
          <w:szCs w:val="22"/>
          <w:highlight w:val="none"/>
        </w:rPr>
      </w:pPr>
      <w:r>
        <w:rPr>
          <w:color w:val="auto"/>
          <w:highlight w:val="none"/>
        </w:rPr>
        <w:fldChar w:fldCharType="begin"/>
      </w:r>
      <w:r>
        <w:rPr>
          <w:color w:val="auto"/>
          <w:highlight w:val="none"/>
        </w:rPr>
        <w:instrText xml:space="preserve"> TOC \o "1-3" \h \z \u </w:instrText>
      </w:r>
      <w:r>
        <w:rPr>
          <w:color w:val="auto"/>
          <w:highlight w:val="none"/>
        </w:rPr>
        <w:fldChar w:fldCharType="separate"/>
      </w: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"_Toc69113909"</w:instrText>
      </w:r>
      <w:r>
        <w:rPr>
          <w:rStyle w:val="51"/>
          <w:color w:val="auto"/>
          <w:highlight w:val="none"/>
        </w:rPr>
        <w:instrText xml:space="preserve"> </w:instrText>
      </w:r>
      <w:r>
        <w:rPr>
          <w:color w:val="auto"/>
          <w:highlight w:val="none"/>
        </w:rPr>
        <w:fldChar w:fldCharType="separate"/>
      </w:r>
      <w:r>
        <w:rPr>
          <w:rStyle w:val="51"/>
          <w:rFonts w:ascii="宋体" w:hAnsi="宋体" w:cs="宋体"/>
          <w:color w:val="auto"/>
          <w:kern w:val="44"/>
          <w:highlight w:val="none"/>
        </w:rPr>
        <w:t>第一部分 合同协议书</w:t>
      </w:r>
      <w:r>
        <w:rPr>
          <w:color w:val="auto"/>
          <w:highlight w:val="none"/>
        </w:rPr>
        <w:tab/>
      </w:r>
      <w:r>
        <w:rPr>
          <w:color w:val="auto"/>
          <w:highlight w:val="none"/>
        </w:rPr>
        <w:fldChar w:fldCharType="begin"/>
      </w:r>
      <w:r>
        <w:rPr>
          <w:color w:val="auto"/>
          <w:highlight w:val="none"/>
        </w:rPr>
        <w:instrText xml:space="preserve"> PAGEREF _Toc69113909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"_Toc69113910"</w:instrText>
      </w:r>
      <w:r>
        <w:rPr>
          <w:rStyle w:val="51"/>
          <w:color w:val="auto"/>
          <w:highlight w:val="none"/>
        </w:rPr>
        <w:instrText xml:space="preserve"> </w:instrText>
      </w:r>
      <w:r>
        <w:rPr>
          <w:color w:val="auto"/>
          <w:highlight w:val="none"/>
        </w:rPr>
        <w:fldChar w:fldCharType="separate"/>
      </w:r>
      <w:r>
        <w:rPr>
          <w:rStyle w:val="51"/>
          <w:rFonts w:ascii="宋体" w:hAnsi="宋体"/>
          <w:b/>
          <w:color w:val="auto"/>
          <w:highlight w:val="none"/>
        </w:rPr>
        <w:t>一、工程概况</w:t>
      </w:r>
      <w:r>
        <w:rPr>
          <w:color w:val="auto"/>
          <w:highlight w:val="none"/>
        </w:rPr>
        <w:tab/>
      </w:r>
      <w:r>
        <w:rPr>
          <w:color w:val="auto"/>
          <w:highlight w:val="none"/>
        </w:rPr>
        <w:fldChar w:fldCharType="begin"/>
      </w:r>
      <w:r>
        <w:rPr>
          <w:color w:val="auto"/>
          <w:highlight w:val="none"/>
        </w:rPr>
        <w:instrText xml:space="preserve"> PAGEREF _Toc69113910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"_Toc69113911"</w:instrText>
      </w:r>
      <w:r>
        <w:rPr>
          <w:rStyle w:val="51"/>
          <w:color w:val="auto"/>
          <w:highlight w:val="none"/>
        </w:rPr>
        <w:instrText xml:space="preserve"> </w:instrText>
      </w:r>
      <w:r>
        <w:rPr>
          <w:color w:val="auto"/>
          <w:highlight w:val="none"/>
        </w:rPr>
        <w:fldChar w:fldCharType="separate"/>
      </w:r>
      <w:r>
        <w:rPr>
          <w:rStyle w:val="51"/>
          <w:rFonts w:ascii="宋体" w:hAnsi="宋体"/>
          <w:b/>
          <w:color w:val="auto"/>
          <w:highlight w:val="none"/>
        </w:rPr>
        <w:t>二、工程承包范围</w:t>
      </w:r>
      <w:r>
        <w:rPr>
          <w:rStyle w:val="51"/>
          <w:rFonts w:cs="宋体"/>
          <w:b/>
          <w:bCs/>
          <w:color w:val="auto"/>
          <w:highlight w:val="none"/>
        </w:rPr>
        <w:t>（可依设计文件列明项目所需施工内容）</w:t>
      </w:r>
      <w:r>
        <w:rPr>
          <w:color w:val="auto"/>
          <w:highlight w:val="none"/>
        </w:rPr>
        <w:tab/>
      </w:r>
      <w:r>
        <w:rPr>
          <w:color w:val="auto"/>
          <w:highlight w:val="none"/>
        </w:rPr>
        <w:fldChar w:fldCharType="begin"/>
      </w:r>
      <w:r>
        <w:rPr>
          <w:color w:val="auto"/>
          <w:highlight w:val="none"/>
        </w:rPr>
        <w:instrText xml:space="preserve"> PAGEREF _Toc69113911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"_Toc69113912"</w:instrText>
      </w:r>
      <w:r>
        <w:rPr>
          <w:rStyle w:val="51"/>
          <w:color w:val="auto"/>
          <w:highlight w:val="none"/>
        </w:rPr>
        <w:instrText xml:space="preserve"> </w:instrText>
      </w:r>
      <w:r>
        <w:rPr>
          <w:color w:val="auto"/>
          <w:highlight w:val="none"/>
        </w:rPr>
        <w:fldChar w:fldCharType="separate"/>
      </w:r>
      <w:r>
        <w:rPr>
          <w:rStyle w:val="51"/>
          <w:rFonts w:ascii="宋体" w:hAnsi="宋体"/>
          <w:b/>
          <w:color w:val="auto"/>
          <w:highlight w:val="none"/>
        </w:rPr>
        <w:t>三、合同工期</w:t>
      </w:r>
      <w:r>
        <w:rPr>
          <w:color w:val="auto"/>
          <w:highlight w:val="none"/>
        </w:rPr>
        <w:tab/>
      </w:r>
      <w:r>
        <w:rPr>
          <w:color w:val="auto"/>
          <w:highlight w:val="none"/>
        </w:rPr>
        <w:fldChar w:fldCharType="begin"/>
      </w:r>
      <w:r>
        <w:rPr>
          <w:color w:val="auto"/>
          <w:highlight w:val="none"/>
        </w:rPr>
        <w:instrText xml:space="preserve"> PAGEREF _Toc69113912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"_Toc69113913"</w:instrText>
      </w:r>
      <w:r>
        <w:rPr>
          <w:rStyle w:val="51"/>
          <w:color w:val="auto"/>
          <w:highlight w:val="none"/>
        </w:rPr>
        <w:instrText xml:space="preserve"> </w:instrText>
      </w:r>
      <w:r>
        <w:rPr>
          <w:color w:val="auto"/>
          <w:highlight w:val="none"/>
        </w:rPr>
        <w:fldChar w:fldCharType="separate"/>
      </w:r>
      <w:r>
        <w:rPr>
          <w:rStyle w:val="51"/>
          <w:rFonts w:ascii="宋体" w:hAnsi="宋体"/>
          <w:b/>
          <w:color w:val="auto"/>
          <w:highlight w:val="none"/>
        </w:rPr>
        <w:t>四、工程质量标准</w:t>
      </w:r>
      <w:r>
        <w:rPr>
          <w:color w:val="auto"/>
          <w:highlight w:val="none"/>
        </w:rPr>
        <w:tab/>
      </w:r>
      <w:r>
        <w:rPr>
          <w:color w:val="auto"/>
          <w:highlight w:val="none"/>
        </w:rPr>
        <w:fldChar w:fldCharType="begin"/>
      </w:r>
      <w:r>
        <w:rPr>
          <w:color w:val="auto"/>
          <w:highlight w:val="none"/>
        </w:rPr>
        <w:instrText xml:space="preserve"> PAGEREF _Toc69113913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"_Toc69113914"</w:instrText>
      </w:r>
      <w:r>
        <w:rPr>
          <w:rStyle w:val="51"/>
          <w:color w:val="auto"/>
          <w:highlight w:val="none"/>
        </w:rPr>
        <w:instrText xml:space="preserve"> </w:instrText>
      </w:r>
      <w:r>
        <w:rPr>
          <w:color w:val="auto"/>
          <w:highlight w:val="none"/>
        </w:rPr>
        <w:fldChar w:fldCharType="separate"/>
      </w:r>
      <w:r>
        <w:rPr>
          <w:rStyle w:val="51"/>
          <w:rFonts w:ascii="宋体" w:hAnsi="宋体"/>
          <w:b/>
          <w:color w:val="auto"/>
          <w:highlight w:val="none"/>
        </w:rPr>
        <w:t>五、合同价款</w:t>
      </w:r>
      <w:r>
        <w:rPr>
          <w:color w:val="auto"/>
          <w:highlight w:val="none"/>
        </w:rPr>
        <w:tab/>
      </w:r>
      <w:r>
        <w:rPr>
          <w:color w:val="auto"/>
          <w:highlight w:val="none"/>
        </w:rPr>
        <w:fldChar w:fldCharType="begin"/>
      </w:r>
      <w:r>
        <w:rPr>
          <w:color w:val="auto"/>
          <w:highlight w:val="none"/>
        </w:rPr>
        <w:instrText xml:space="preserve"> PAGEREF _Toc69113914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"_Toc69113915"</w:instrText>
      </w:r>
      <w:r>
        <w:rPr>
          <w:rStyle w:val="51"/>
          <w:color w:val="auto"/>
          <w:highlight w:val="none"/>
        </w:rPr>
        <w:instrText xml:space="preserve"> </w:instrText>
      </w:r>
      <w:r>
        <w:rPr>
          <w:color w:val="auto"/>
          <w:highlight w:val="none"/>
        </w:rPr>
        <w:fldChar w:fldCharType="separate"/>
      </w:r>
      <w:r>
        <w:rPr>
          <w:rStyle w:val="51"/>
          <w:rFonts w:ascii="宋体" w:hAnsi="宋体"/>
          <w:b/>
          <w:color w:val="auto"/>
          <w:highlight w:val="none"/>
        </w:rPr>
        <w:t>六、组成合同的文件</w:t>
      </w:r>
      <w:r>
        <w:rPr>
          <w:color w:val="auto"/>
          <w:highlight w:val="none"/>
        </w:rPr>
        <w:tab/>
      </w:r>
      <w:r>
        <w:rPr>
          <w:color w:val="auto"/>
          <w:highlight w:val="none"/>
        </w:rPr>
        <w:fldChar w:fldCharType="begin"/>
      </w:r>
      <w:r>
        <w:rPr>
          <w:color w:val="auto"/>
          <w:highlight w:val="none"/>
        </w:rPr>
        <w:instrText xml:space="preserve"> PAGEREF _Toc69113915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"_Toc69113916"</w:instrText>
      </w:r>
      <w:r>
        <w:rPr>
          <w:rStyle w:val="51"/>
          <w:color w:val="auto"/>
          <w:highlight w:val="none"/>
        </w:rPr>
        <w:instrText xml:space="preserve"> </w:instrText>
      </w:r>
      <w:r>
        <w:rPr>
          <w:color w:val="auto"/>
          <w:highlight w:val="none"/>
        </w:rPr>
        <w:fldChar w:fldCharType="separate"/>
      </w:r>
      <w:r>
        <w:rPr>
          <w:rStyle w:val="51"/>
          <w:rFonts w:ascii="宋体" w:hAnsi="宋体"/>
          <w:b/>
          <w:color w:val="auto"/>
          <w:highlight w:val="none"/>
        </w:rPr>
        <w:t>七、词语含义</w:t>
      </w:r>
      <w:r>
        <w:rPr>
          <w:color w:val="auto"/>
          <w:highlight w:val="none"/>
        </w:rPr>
        <w:tab/>
      </w:r>
      <w:r>
        <w:rPr>
          <w:color w:val="auto"/>
          <w:highlight w:val="none"/>
        </w:rPr>
        <w:fldChar w:fldCharType="begin"/>
      </w:r>
      <w:r>
        <w:rPr>
          <w:color w:val="auto"/>
          <w:highlight w:val="none"/>
        </w:rPr>
        <w:instrText xml:space="preserve"> PAGEREF _Toc69113916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"_Toc69113917"</w:instrText>
      </w:r>
      <w:r>
        <w:rPr>
          <w:rStyle w:val="51"/>
          <w:color w:val="auto"/>
          <w:highlight w:val="none"/>
        </w:rPr>
        <w:instrText xml:space="preserve"> </w:instrText>
      </w:r>
      <w:r>
        <w:rPr>
          <w:color w:val="auto"/>
          <w:highlight w:val="none"/>
        </w:rPr>
        <w:fldChar w:fldCharType="separate"/>
      </w:r>
      <w:r>
        <w:rPr>
          <w:rStyle w:val="51"/>
          <w:rFonts w:ascii="宋体" w:hAnsi="宋体"/>
          <w:b/>
          <w:color w:val="auto"/>
          <w:highlight w:val="none"/>
        </w:rPr>
        <w:t>八、双方承诺</w:t>
      </w:r>
      <w:r>
        <w:rPr>
          <w:color w:val="auto"/>
          <w:highlight w:val="none"/>
        </w:rPr>
        <w:tab/>
      </w:r>
      <w:r>
        <w:rPr>
          <w:color w:val="auto"/>
          <w:highlight w:val="none"/>
        </w:rPr>
        <w:fldChar w:fldCharType="begin"/>
      </w:r>
      <w:r>
        <w:rPr>
          <w:color w:val="auto"/>
          <w:highlight w:val="none"/>
        </w:rPr>
        <w:instrText xml:space="preserve"> PAGEREF _Toc69113917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"_Toc69113918"</w:instrText>
      </w:r>
      <w:r>
        <w:rPr>
          <w:rStyle w:val="51"/>
          <w:color w:val="auto"/>
          <w:highlight w:val="none"/>
        </w:rPr>
        <w:instrText xml:space="preserve"> </w:instrText>
      </w:r>
      <w:r>
        <w:rPr>
          <w:color w:val="auto"/>
          <w:highlight w:val="none"/>
        </w:rPr>
        <w:fldChar w:fldCharType="separate"/>
      </w:r>
      <w:r>
        <w:rPr>
          <w:rStyle w:val="51"/>
          <w:rFonts w:ascii="宋体" w:hAnsi="宋体"/>
          <w:b/>
          <w:color w:val="auto"/>
          <w:highlight w:val="none"/>
        </w:rPr>
        <w:t>九、合同份数</w:t>
      </w:r>
      <w:r>
        <w:rPr>
          <w:color w:val="auto"/>
          <w:highlight w:val="none"/>
        </w:rPr>
        <w:tab/>
      </w:r>
      <w:r>
        <w:rPr>
          <w:color w:val="auto"/>
          <w:highlight w:val="none"/>
        </w:rPr>
        <w:fldChar w:fldCharType="begin"/>
      </w:r>
      <w:r>
        <w:rPr>
          <w:color w:val="auto"/>
          <w:highlight w:val="none"/>
        </w:rPr>
        <w:instrText xml:space="preserve"> PAGEREF _Toc69113918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"_Toc69113919"</w:instrText>
      </w:r>
      <w:r>
        <w:rPr>
          <w:rStyle w:val="51"/>
          <w:color w:val="auto"/>
          <w:highlight w:val="none"/>
        </w:rPr>
        <w:instrText xml:space="preserve"> </w:instrText>
      </w:r>
      <w:r>
        <w:rPr>
          <w:color w:val="auto"/>
          <w:highlight w:val="none"/>
        </w:rPr>
        <w:fldChar w:fldCharType="separate"/>
      </w:r>
      <w:r>
        <w:rPr>
          <w:rStyle w:val="51"/>
          <w:rFonts w:ascii="宋体" w:hAnsi="宋体"/>
          <w:b/>
          <w:color w:val="auto"/>
          <w:highlight w:val="none"/>
        </w:rPr>
        <w:t>十、合同生效</w:t>
      </w:r>
      <w:r>
        <w:rPr>
          <w:color w:val="auto"/>
          <w:highlight w:val="none"/>
        </w:rPr>
        <w:tab/>
      </w:r>
      <w:r>
        <w:rPr>
          <w:color w:val="auto"/>
          <w:highlight w:val="none"/>
        </w:rPr>
        <w:fldChar w:fldCharType="begin"/>
      </w:r>
      <w:r>
        <w:rPr>
          <w:color w:val="auto"/>
          <w:highlight w:val="none"/>
        </w:rPr>
        <w:instrText xml:space="preserve"> PAGEREF _Toc69113919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"_Toc69113920"</w:instrText>
      </w:r>
      <w:r>
        <w:rPr>
          <w:rStyle w:val="51"/>
          <w:color w:val="auto"/>
          <w:highlight w:val="none"/>
        </w:rPr>
        <w:instrText xml:space="preserve"> </w:instrText>
      </w:r>
      <w:r>
        <w:rPr>
          <w:color w:val="auto"/>
          <w:highlight w:val="none"/>
        </w:rPr>
        <w:fldChar w:fldCharType="separate"/>
      </w:r>
      <w:r>
        <w:rPr>
          <w:rStyle w:val="51"/>
          <w:rFonts w:ascii="宋体"/>
          <w:color w:val="auto"/>
          <w:highlight w:val="none"/>
        </w:rPr>
        <w:t>协议书附件</w:t>
      </w:r>
      <w:r>
        <w:rPr>
          <w:color w:val="auto"/>
          <w:highlight w:val="none"/>
        </w:rPr>
        <w:tab/>
      </w:r>
      <w:r>
        <w:rPr>
          <w:color w:val="auto"/>
          <w:highlight w:val="none"/>
        </w:rPr>
        <w:fldChar w:fldCharType="begin"/>
      </w:r>
      <w:r>
        <w:rPr>
          <w:color w:val="auto"/>
          <w:highlight w:val="none"/>
        </w:rPr>
        <w:instrText xml:space="preserve"> PAGEREF _Toc69113920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28"/>
        <w:tabs>
          <w:tab w:val="right" w:leader="dot" w:pos="9060"/>
        </w:tabs>
        <w:rPr>
          <w:rFonts w:ascii="等线" w:hAnsi="等线" w:eastAsia="等线" w:cs="Times New Roman"/>
          <w:b w:val="0"/>
          <w:bCs w:val="0"/>
          <w: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"_Toc69113921"</w:instrText>
      </w:r>
      <w:r>
        <w:rPr>
          <w:rStyle w:val="51"/>
          <w:color w:val="auto"/>
          <w:highlight w:val="none"/>
        </w:rPr>
        <w:instrText xml:space="preserve"> </w:instrText>
      </w:r>
      <w:r>
        <w:rPr>
          <w:color w:val="auto"/>
          <w:highlight w:val="none"/>
        </w:rPr>
        <w:fldChar w:fldCharType="separate"/>
      </w:r>
      <w:r>
        <w:rPr>
          <w:rStyle w:val="51"/>
          <w:rFonts w:ascii="宋体" w:hAnsi="宋体" w:cs="宋体"/>
          <w:color w:val="auto"/>
          <w:kern w:val="44"/>
          <w:highlight w:val="none"/>
        </w:rPr>
        <w:t>第二部分 通用合同条款</w:t>
      </w:r>
      <w:r>
        <w:rPr>
          <w:color w:val="auto"/>
          <w:highlight w:val="none"/>
        </w:rPr>
        <w:tab/>
      </w:r>
      <w:r>
        <w:rPr>
          <w:color w:val="auto"/>
          <w:highlight w:val="none"/>
        </w:rPr>
        <w:fldChar w:fldCharType="begin"/>
      </w:r>
      <w:r>
        <w:rPr>
          <w:color w:val="auto"/>
          <w:highlight w:val="none"/>
        </w:rPr>
        <w:instrText xml:space="preserve"> PAGEREF _Toc69113921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"_Toc69113922"</w:instrText>
      </w:r>
      <w:r>
        <w:rPr>
          <w:rStyle w:val="51"/>
          <w:color w:val="auto"/>
          <w:highlight w:val="none"/>
        </w:rPr>
        <w:instrText xml:space="preserve"> </w:instrText>
      </w:r>
      <w:r>
        <w:rPr>
          <w:color w:val="auto"/>
          <w:highlight w:val="none"/>
        </w:rPr>
        <w:fldChar w:fldCharType="separate"/>
      </w:r>
      <w:r>
        <w:rPr>
          <w:rStyle w:val="51"/>
          <w:rFonts w:ascii="宋体" w:hAnsi="宋体" w:cs="宋体"/>
          <w:b/>
          <w:color w:val="auto"/>
          <w:highlight w:val="none"/>
        </w:rPr>
        <w:t>1. 一般约定</w:t>
      </w:r>
      <w:r>
        <w:rPr>
          <w:color w:val="auto"/>
          <w:highlight w:val="none"/>
        </w:rPr>
        <w:tab/>
      </w:r>
      <w:r>
        <w:rPr>
          <w:color w:val="auto"/>
          <w:highlight w:val="none"/>
        </w:rPr>
        <w:fldChar w:fldCharType="begin"/>
      </w:r>
      <w:r>
        <w:rPr>
          <w:color w:val="auto"/>
          <w:highlight w:val="none"/>
        </w:rPr>
        <w:instrText xml:space="preserve"> PAGEREF _Toc69113922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"_Toc69113923"</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1.1定义</w:t>
      </w:r>
      <w:r>
        <w:rPr>
          <w:color w:val="auto"/>
          <w:highlight w:val="none"/>
        </w:rPr>
        <w:tab/>
      </w:r>
      <w:r>
        <w:rPr>
          <w:color w:val="auto"/>
          <w:highlight w:val="none"/>
        </w:rPr>
        <w:fldChar w:fldCharType="begin"/>
      </w:r>
      <w:r>
        <w:rPr>
          <w:color w:val="auto"/>
          <w:highlight w:val="none"/>
        </w:rPr>
        <w:instrText xml:space="preserve"> PAGEREF _Toc69113923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"_Toc69113924"</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1.2标题和边注</w:t>
      </w:r>
      <w:r>
        <w:rPr>
          <w:color w:val="auto"/>
          <w:highlight w:val="none"/>
        </w:rPr>
        <w:tab/>
      </w:r>
      <w:r>
        <w:rPr>
          <w:color w:val="auto"/>
          <w:highlight w:val="none"/>
        </w:rPr>
        <w:fldChar w:fldCharType="begin"/>
      </w:r>
      <w:r>
        <w:rPr>
          <w:color w:val="auto"/>
          <w:highlight w:val="none"/>
        </w:rPr>
        <w:instrText xml:space="preserve"> PAGEREF _Toc69113924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"_Toc69113925"</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1.3法律和法规</w:t>
      </w:r>
      <w:r>
        <w:rPr>
          <w:color w:val="auto"/>
          <w:highlight w:val="none"/>
        </w:rPr>
        <w:tab/>
      </w:r>
      <w:r>
        <w:rPr>
          <w:color w:val="auto"/>
          <w:highlight w:val="none"/>
        </w:rPr>
        <w:fldChar w:fldCharType="begin"/>
      </w:r>
      <w:r>
        <w:rPr>
          <w:color w:val="auto"/>
          <w:highlight w:val="none"/>
        </w:rPr>
        <w:instrText xml:space="preserve"> PAGEREF _Toc69113925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"_Toc69113926"</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1.4 技术标准和管理规范</w:t>
      </w:r>
      <w:r>
        <w:rPr>
          <w:color w:val="auto"/>
          <w:highlight w:val="none"/>
        </w:rPr>
        <w:tab/>
      </w:r>
      <w:r>
        <w:rPr>
          <w:color w:val="auto"/>
          <w:highlight w:val="none"/>
        </w:rPr>
        <w:fldChar w:fldCharType="begin"/>
      </w:r>
      <w:r>
        <w:rPr>
          <w:color w:val="auto"/>
          <w:highlight w:val="none"/>
        </w:rPr>
        <w:instrText xml:space="preserve"> PAGEREF _Toc69113926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"_Toc69113927"</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1.5合同文件的优先次序</w:t>
      </w:r>
      <w:r>
        <w:rPr>
          <w:color w:val="auto"/>
          <w:highlight w:val="none"/>
        </w:rPr>
        <w:tab/>
      </w:r>
      <w:r>
        <w:rPr>
          <w:color w:val="auto"/>
          <w:highlight w:val="none"/>
        </w:rPr>
        <w:fldChar w:fldCharType="begin"/>
      </w:r>
      <w:r>
        <w:rPr>
          <w:color w:val="auto"/>
          <w:highlight w:val="none"/>
        </w:rPr>
        <w:instrText xml:space="preserve"> PAGEREF _Toc69113927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"_Toc69113928"</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1.6图纸和承包人文件</w:t>
      </w:r>
      <w:r>
        <w:rPr>
          <w:color w:val="auto"/>
          <w:highlight w:val="none"/>
        </w:rPr>
        <w:tab/>
      </w:r>
      <w:r>
        <w:rPr>
          <w:color w:val="auto"/>
          <w:highlight w:val="none"/>
        </w:rPr>
        <w:fldChar w:fldCharType="begin"/>
      </w:r>
      <w:r>
        <w:rPr>
          <w:color w:val="auto"/>
          <w:highlight w:val="none"/>
        </w:rPr>
        <w:instrText xml:space="preserve"> PAGEREF _Toc69113928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"_Toc69113929"</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1.7联络</w:t>
      </w:r>
      <w:r>
        <w:rPr>
          <w:color w:val="auto"/>
          <w:highlight w:val="none"/>
        </w:rPr>
        <w:tab/>
      </w:r>
      <w:r>
        <w:rPr>
          <w:color w:val="auto"/>
          <w:highlight w:val="none"/>
        </w:rPr>
        <w:fldChar w:fldCharType="begin"/>
      </w:r>
      <w:r>
        <w:rPr>
          <w:color w:val="auto"/>
          <w:highlight w:val="none"/>
        </w:rPr>
        <w:instrText xml:space="preserve"> PAGEREF _Toc69113929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"_Toc69113930"</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1.8严禁商业贿赂、欺诈</w:t>
      </w:r>
      <w:r>
        <w:rPr>
          <w:color w:val="auto"/>
          <w:highlight w:val="none"/>
        </w:rPr>
        <w:tab/>
      </w:r>
      <w:r>
        <w:rPr>
          <w:color w:val="auto"/>
          <w:highlight w:val="none"/>
        </w:rPr>
        <w:fldChar w:fldCharType="begin"/>
      </w:r>
      <w:r>
        <w:rPr>
          <w:color w:val="auto"/>
          <w:highlight w:val="none"/>
        </w:rPr>
        <w:instrText xml:space="preserve"> PAGEREF _Toc69113930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"_Toc69113931"</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1.9文物、化石与遗迹</w:t>
      </w:r>
      <w:r>
        <w:rPr>
          <w:color w:val="auto"/>
          <w:highlight w:val="none"/>
        </w:rPr>
        <w:tab/>
      </w:r>
      <w:r>
        <w:rPr>
          <w:color w:val="auto"/>
          <w:highlight w:val="none"/>
        </w:rPr>
        <w:fldChar w:fldCharType="begin"/>
      </w:r>
      <w:r>
        <w:rPr>
          <w:color w:val="auto"/>
          <w:highlight w:val="none"/>
        </w:rPr>
        <w:instrText xml:space="preserve"> PAGEREF _Toc69113931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"_Toc69113932"</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1.10交通运输</w:t>
      </w:r>
      <w:r>
        <w:rPr>
          <w:color w:val="auto"/>
          <w:highlight w:val="none"/>
        </w:rPr>
        <w:tab/>
      </w:r>
      <w:r>
        <w:rPr>
          <w:color w:val="auto"/>
          <w:highlight w:val="none"/>
        </w:rPr>
        <w:fldChar w:fldCharType="begin"/>
      </w:r>
      <w:r>
        <w:rPr>
          <w:color w:val="auto"/>
          <w:highlight w:val="none"/>
        </w:rPr>
        <w:instrText xml:space="preserve"> PAGEREF _Toc69113932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"_Toc69113933"</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1.11知识产权</w:t>
      </w:r>
      <w:r>
        <w:rPr>
          <w:color w:val="auto"/>
          <w:highlight w:val="none"/>
        </w:rPr>
        <w:tab/>
      </w:r>
      <w:r>
        <w:rPr>
          <w:color w:val="auto"/>
          <w:highlight w:val="none"/>
        </w:rPr>
        <w:fldChar w:fldCharType="begin"/>
      </w:r>
      <w:r>
        <w:rPr>
          <w:color w:val="auto"/>
          <w:highlight w:val="none"/>
        </w:rPr>
        <w:instrText xml:space="preserve"> PAGEREF _Toc69113933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"_Toc69113934"</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1.12 BIM应用</w:t>
      </w:r>
      <w:r>
        <w:rPr>
          <w:color w:val="auto"/>
          <w:highlight w:val="none"/>
        </w:rPr>
        <w:tab/>
      </w:r>
      <w:r>
        <w:rPr>
          <w:color w:val="auto"/>
          <w:highlight w:val="none"/>
        </w:rPr>
        <w:fldChar w:fldCharType="begin"/>
      </w:r>
      <w:r>
        <w:rPr>
          <w:color w:val="auto"/>
          <w:highlight w:val="none"/>
        </w:rPr>
        <w:instrText xml:space="preserve"> PAGEREF _Toc69113934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"_Toc69113935"</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2. 发包人</w:t>
      </w:r>
      <w:r>
        <w:rPr>
          <w:color w:val="auto"/>
          <w:highlight w:val="none"/>
        </w:rPr>
        <w:tab/>
      </w:r>
      <w:r>
        <w:rPr>
          <w:color w:val="auto"/>
          <w:highlight w:val="none"/>
        </w:rPr>
        <w:fldChar w:fldCharType="begin"/>
      </w:r>
      <w:r>
        <w:rPr>
          <w:color w:val="auto"/>
          <w:highlight w:val="none"/>
        </w:rPr>
        <w:instrText xml:space="preserve"> PAGEREF _Toc69113935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"_Toc69113936"</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2.1许可或批准</w:t>
      </w:r>
      <w:r>
        <w:rPr>
          <w:color w:val="auto"/>
          <w:highlight w:val="none"/>
        </w:rPr>
        <w:tab/>
      </w:r>
      <w:r>
        <w:rPr>
          <w:color w:val="auto"/>
          <w:highlight w:val="none"/>
        </w:rPr>
        <w:fldChar w:fldCharType="begin"/>
      </w:r>
      <w:r>
        <w:rPr>
          <w:color w:val="auto"/>
          <w:highlight w:val="none"/>
        </w:rPr>
        <w:instrText xml:space="preserve"> PAGEREF _Toc69113936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"_Toc69113937"</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2.2项目主任</w:t>
      </w:r>
      <w:r>
        <w:rPr>
          <w:color w:val="auto"/>
          <w:highlight w:val="none"/>
        </w:rPr>
        <w:tab/>
      </w:r>
      <w:r>
        <w:rPr>
          <w:color w:val="auto"/>
          <w:highlight w:val="none"/>
        </w:rPr>
        <w:fldChar w:fldCharType="begin"/>
      </w:r>
      <w:r>
        <w:rPr>
          <w:color w:val="auto"/>
          <w:highlight w:val="none"/>
        </w:rPr>
        <w:instrText xml:space="preserve"> PAGEREF _Toc69113937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"_Toc69113938"</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2.3履约评价</w:t>
      </w:r>
      <w:r>
        <w:rPr>
          <w:color w:val="auto"/>
          <w:highlight w:val="none"/>
        </w:rPr>
        <w:tab/>
      </w:r>
      <w:r>
        <w:rPr>
          <w:color w:val="auto"/>
          <w:highlight w:val="none"/>
        </w:rPr>
        <w:fldChar w:fldCharType="begin"/>
      </w:r>
      <w:r>
        <w:rPr>
          <w:color w:val="auto"/>
          <w:highlight w:val="none"/>
        </w:rPr>
        <w:instrText xml:space="preserve"> PAGEREF _Toc69113938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"_Toc69113939"</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2.4支付合同价款</w:t>
      </w:r>
      <w:r>
        <w:rPr>
          <w:color w:val="auto"/>
          <w:highlight w:val="none"/>
        </w:rPr>
        <w:tab/>
      </w:r>
      <w:r>
        <w:rPr>
          <w:color w:val="auto"/>
          <w:highlight w:val="none"/>
        </w:rPr>
        <w:fldChar w:fldCharType="begin"/>
      </w:r>
      <w:r>
        <w:rPr>
          <w:color w:val="auto"/>
          <w:highlight w:val="none"/>
        </w:rPr>
        <w:instrText xml:space="preserve"> PAGEREF _Toc69113939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"_Toc69113940"</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2.5组织竣工验收</w:t>
      </w:r>
      <w:r>
        <w:rPr>
          <w:color w:val="auto"/>
          <w:highlight w:val="none"/>
        </w:rPr>
        <w:tab/>
      </w:r>
      <w:r>
        <w:rPr>
          <w:color w:val="auto"/>
          <w:highlight w:val="none"/>
        </w:rPr>
        <w:fldChar w:fldCharType="begin"/>
      </w:r>
      <w:r>
        <w:rPr>
          <w:color w:val="auto"/>
          <w:highlight w:val="none"/>
        </w:rPr>
        <w:instrText xml:space="preserve"> PAGEREF _Toc69113940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"_Toc69113941"</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2.6支付担保的提交与退还</w:t>
      </w:r>
      <w:r>
        <w:rPr>
          <w:color w:val="auto"/>
          <w:highlight w:val="none"/>
        </w:rPr>
        <w:tab/>
      </w:r>
      <w:r>
        <w:rPr>
          <w:color w:val="auto"/>
          <w:highlight w:val="none"/>
        </w:rPr>
        <w:fldChar w:fldCharType="begin"/>
      </w:r>
      <w:r>
        <w:rPr>
          <w:color w:val="auto"/>
          <w:highlight w:val="none"/>
        </w:rPr>
        <w:instrText xml:space="preserve"> PAGEREF _Toc69113941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"_Toc69113942"</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2.7深化设计</w:t>
      </w:r>
      <w:r>
        <w:rPr>
          <w:color w:val="auto"/>
          <w:highlight w:val="none"/>
        </w:rPr>
        <w:tab/>
      </w:r>
      <w:r>
        <w:rPr>
          <w:color w:val="auto"/>
          <w:highlight w:val="none"/>
        </w:rPr>
        <w:fldChar w:fldCharType="begin"/>
      </w:r>
      <w:r>
        <w:rPr>
          <w:color w:val="auto"/>
          <w:highlight w:val="none"/>
        </w:rPr>
        <w:instrText xml:space="preserve"> PAGEREF _Toc69113942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"_Toc69113943"</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3. 承包人</w:t>
      </w:r>
      <w:r>
        <w:rPr>
          <w:color w:val="auto"/>
          <w:highlight w:val="none"/>
        </w:rPr>
        <w:tab/>
      </w:r>
      <w:r>
        <w:rPr>
          <w:color w:val="auto"/>
          <w:highlight w:val="none"/>
        </w:rPr>
        <w:fldChar w:fldCharType="begin"/>
      </w:r>
      <w:r>
        <w:rPr>
          <w:color w:val="auto"/>
          <w:highlight w:val="none"/>
        </w:rPr>
        <w:instrText xml:space="preserve"> PAGEREF _Toc69113943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"_Toc69113944"</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3.1 承包人的一般义务</w:t>
      </w:r>
      <w:r>
        <w:rPr>
          <w:color w:val="auto"/>
          <w:highlight w:val="none"/>
        </w:rPr>
        <w:tab/>
      </w:r>
      <w:r>
        <w:rPr>
          <w:color w:val="auto"/>
          <w:highlight w:val="none"/>
        </w:rPr>
        <w:fldChar w:fldCharType="begin"/>
      </w:r>
      <w:r>
        <w:rPr>
          <w:color w:val="auto"/>
          <w:highlight w:val="none"/>
        </w:rPr>
        <w:instrText xml:space="preserve"> PAGEREF _Toc69113944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"_Toc69113945"</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3.2 项目经理</w:t>
      </w:r>
      <w:r>
        <w:rPr>
          <w:color w:val="auto"/>
          <w:highlight w:val="none"/>
        </w:rPr>
        <w:tab/>
      </w:r>
      <w:r>
        <w:rPr>
          <w:color w:val="auto"/>
          <w:highlight w:val="none"/>
        </w:rPr>
        <w:fldChar w:fldCharType="begin"/>
      </w:r>
      <w:r>
        <w:rPr>
          <w:color w:val="auto"/>
          <w:highlight w:val="none"/>
        </w:rPr>
        <w:instrText xml:space="preserve"> PAGEREF _Toc69113945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"_Toc69113946"</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3.3 承包人人员</w:t>
      </w:r>
      <w:r>
        <w:rPr>
          <w:color w:val="auto"/>
          <w:highlight w:val="none"/>
        </w:rPr>
        <w:tab/>
      </w:r>
      <w:r>
        <w:rPr>
          <w:color w:val="auto"/>
          <w:highlight w:val="none"/>
        </w:rPr>
        <w:fldChar w:fldCharType="begin"/>
      </w:r>
      <w:r>
        <w:rPr>
          <w:color w:val="auto"/>
          <w:highlight w:val="none"/>
        </w:rPr>
        <w:instrText xml:space="preserve"> PAGEREF _Toc69113946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"_Toc69113947"</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3.4 承包人现场查勘</w:t>
      </w:r>
      <w:r>
        <w:rPr>
          <w:color w:val="auto"/>
          <w:highlight w:val="none"/>
        </w:rPr>
        <w:tab/>
      </w:r>
      <w:r>
        <w:rPr>
          <w:color w:val="auto"/>
          <w:highlight w:val="none"/>
        </w:rPr>
        <w:fldChar w:fldCharType="begin"/>
      </w:r>
      <w:r>
        <w:rPr>
          <w:color w:val="auto"/>
          <w:highlight w:val="none"/>
        </w:rPr>
        <w:instrText xml:space="preserve"> PAGEREF _Toc69113947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"_Toc69113948"</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3.5转包、分包</w:t>
      </w:r>
      <w:r>
        <w:rPr>
          <w:color w:val="auto"/>
          <w:highlight w:val="none"/>
        </w:rPr>
        <w:tab/>
      </w:r>
      <w:r>
        <w:rPr>
          <w:color w:val="auto"/>
          <w:highlight w:val="none"/>
        </w:rPr>
        <w:fldChar w:fldCharType="begin"/>
      </w:r>
      <w:r>
        <w:rPr>
          <w:color w:val="auto"/>
          <w:highlight w:val="none"/>
        </w:rPr>
        <w:instrText xml:space="preserve"> PAGEREF _Toc69113948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"_Toc69113949"</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3.6承包人对指定专业工程承包人管理所发生的费用</w:t>
      </w:r>
      <w:r>
        <w:rPr>
          <w:color w:val="auto"/>
          <w:highlight w:val="none"/>
        </w:rPr>
        <w:tab/>
      </w:r>
      <w:r>
        <w:rPr>
          <w:color w:val="auto"/>
          <w:highlight w:val="none"/>
        </w:rPr>
        <w:fldChar w:fldCharType="begin"/>
      </w:r>
      <w:r>
        <w:rPr>
          <w:color w:val="auto"/>
          <w:highlight w:val="none"/>
        </w:rPr>
        <w:instrText xml:space="preserve"> PAGEREF _Toc69113949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"_Toc69113950"</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3.7工作界面协调</w:t>
      </w:r>
      <w:r>
        <w:rPr>
          <w:color w:val="auto"/>
          <w:highlight w:val="none"/>
        </w:rPr>
        <w:tab/>
      </w:r>
      <w:r>
        <w:rPr>
          <w:color w:val="auto"/>
          <w:highlight w:val="none"/>
        </w:rPr>
        <w:fldChar w:fldCharType="begin"/>
      </w:r>
      <w:r>
        <w:rPr>
          <w:color w:val="auto"/>
          <w:highlight w:val="none"/>
        </w:rPr>
        <w:instrText xml:space="preserve"> PAGEREF _Toc69113950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"_Toc69113951"</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3.8 履约担保</w:t>
      </w:r>
      <w:r>
        <w:rPr>
          <w:color w:val="auto"/>
          <w:highlight w:val="none"/>
        </w:rPr>
        <w:tab/>
      </w:r>
      <w:r>
        <w:rPr>
          <w:color w:val="auto"/>
          <w:highlight w:val="none"/>
        </w:rPr>
        <w:fldChar w:fldCharType="begin"/>
      </w:r>
      <w:r>
        <w:rPr>
          <w:color w:val="auto"/>
          <w:highlight w:val="none"/>
        </w:rPr>
        <w:instrText xml:space="preserve"> PAGEREF _Toc69113951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"_Toc69113952"</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3.9 联合体</w:t>
      </w:r>
      <w:r>
        <w:rPr>
          <w:color w:val="auto"/>
          <w:highlight w:val="none"/>
        </w:rPr>
        <w:tab/>
      </w:r>
      <w:r>
        <w:rPr>
          <w:color w:val="auto"/>
          <w:highlight w:val="none"/>
        </w:rPr>
        <w:fldChar w:fldCharType="begin"/>
      </w:r>
      <w:r>
        <w:rPr>
          <w:color w:val="auto"/>
          <w:highlight w:val="none"/>
        </w:rPr>
        <w:instrText xml:space="preserve"> PAGEREF _Toc69113952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"_Toc69113953"</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3.10 严格执行合同要求</w:t>
      </w:r>
      <w:r>
        <w:rPr>
          <w:color w:val="auto"/>
          <w:highlight w:val="none"/>
        </w:rPr>
        <w:tab/>
      </w:r>
      <w:r>
        <w:rPr>
          <w:color w:val="auto"/>
          <w:highlight w:val="none"/>
        </w:rPr>
        <w:fldChar w:fldCharType="begin"/>
      </w:r>
      <w:r>
        <w:rPr>
          <w:color w:val="auto"/>
          <w:highlight w:val="none"/>
        </w:rPr>
        <w:instrText xml:space="preserve"> PAGEREF _Toc69113953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"_Toc69113954"</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4. 监理人</w:t>
      </w:r>
      <w:r>
        <w:rPr>
          <w:color w:val="auto"/>
          <w:highlight w:val="none"/>
        </w:rPr>
        <w:tab/>
      </w:r>
      <w:r>
        <w:rPr>
          <w:color w:val="auto"/>
          <w:highlight w:val="none"/>
        </w:rPr>
        <w:fldChar w:fldCharType="begin"/>
      </w:r>
      <w:r>
        <w:rPr>
          <w:color w:val="auto"/>
          <w:highlight w:val="none"/>
        </w:rPr>
        <w:instrText xml:space="preserve"> PAGEREF _Toc69113954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"_Toc69113955"</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4.1监理人的一般规定</w:t>
      </w:r>
      <w:r>
        <w:rPr>
          <w:color w:val="auto"/>
          <w:highlight w:val="none"/>
        </w:rPr>
        <w:tab/>
      </w:r>
      <w:r>
        <w:rPr>
          <w:color w:val="auto"/>
          <w:highlight w:val="none"/>
        </w:rPr>
        <w:fldChar w:fldCharType="begin"/>
      </w:r>
      <w:r>
        <w:rPr>
          <w:color w:val="auto"/>
          <w:highlight w:val="none"/>
        </w:rPr>
        <w:instrText xml:space="preserve"> PAGEREF _Toc69113955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"_Toc69113956"</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4.2监理人员</w:t>
      </w:r>
      <w:r>
        <w:rPr>
          <w:color w:val="auto"/>
          <w:highlight w:val="none"/>
        </w:rPr>
        <w:tab/>
      </w:r>
      <w:r>
        <w:rPr>
          <w:color w:val="auto"/>
          <w:highlight w:val="none"/>
        </w:rPr>
        <w:fldChar w:fldCharType="begin"/>
      </w:r>
      <w:r>
        <w:rPr>
          <w:color w:val="auto"/>
          <w:highlight w:val="none"/>
        </w:rPr>
        <w:instrText xml:space="preserve"> PAGEREF _Toc69113956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"_Toc69113957"</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5.工程质量</w:t>
      </w:r>
      <w:r>
        <w:rPr>
          <w:color w:val="auto"/>
          <w:highlight w:val="none"/>
        </w:rPr>
        <w:tab/>
      </w:r>
      <w:r>
        <w:rPr>
          <w:color w:val="auto"/>
          <w:highlight w:val="none"/>
        </w:rPr>
        <w:fldChar w:fldCharType="begin"/>
      </w:r>
      <w:r>
        <w:rPr>
          <w:color w:val="auto"/>
          <w:highlight w:val="none"/>
        </w:rPr>
        <w:instrText xml:space="preserve"> PAGEREF _Toc69113957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"_Toc69113958"</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5.1质量要求</w:t>
      </w:r>
      <w:r>
        <w:rPr>
          <w:color w:val="auto"/>
          <w:highlight w:val="none"/>
        </w:rPr>
        <w:tab/>
      </w:r>
      <w:r>
        <w:rPr>
          <w:color w:val="auto"/>
          <w:highlight w:val="none"/>
        </w:rPr>
        <w:fldChar w:fldCharType="begin"/>
      </w:r>
      <w:r>
        <w:rPr>
          <w:color w:val="auto"/>
          <w:highlight w:val="none"/>
        </w:rPr>
        <w:instrText xml:space="preserve"> PAGEREF _Toc69113958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"_Toc69113959"</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5.2承包人控制质量的责任</w:t>
      </w:r>
      <w:r>
        <w:rPr>
          <w:color w:val="auto"/>
          <w:highlight w:val="none"/>
        </w:rPr>
        <w:tab/>
      </w:r>
      <w:r>
        <w:rPr>
          <w:color w:val="auto"/>
          <w:highlight w:val="none"/>
        </w:rPr>
        <w:fldChar w:fldCharType="begin"/>
      </w:r>
      <w:r>
        <w:rPr>
          <w:color w:val="auto"/>
          <w:highlight w:val="none"/>
        </w:rPr>
        <w:instrText xml:space="preserve"> PAGEREF _Toc69113959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"_Toc69113960"</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5.3 隐蔽工程检查验收</w:t>
      </w:r>
      <w:r>
        <w:rPr>
          <w:color w:val="auto"/>
          <w:highlight w:val="none"/>
        </w:rPr>
        <w:tab/>
      </w:r>
      <w:r>
        <w:rPr>
          <w:color w:val="auto"/>
          <w:highlight w:val="none"/>
        </w:rPr>
        <w:fldChar w:fldCharType="begin"/>
      </w:r>
      <w:r>
        <w:rPr>
          <w:color w:val="auto"/>
          <w:highlight w:val="none"/>
        </w:rPr>
        <w:instrText xml:space="preserve"> PAGEREF _Toc69113960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"_Toc69113961"</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5.4发包人的抽查权</w:t>
      </w:r>
      <w:r>
        <w:rPr>
          <w:color w:val="auto"/>
          <w:highlight w:val="none"/>
        </w:rPr>
        <w:tab/>
      </w:r>
      <w:r>
        <w:rPr>
          <w:color w:val="auto"/>
          <w:highlight w:val="none"/>
        </w:rPr>
        <w:fldChar w:fldCharType="begin"/>
      </w:r>
      <w:r>
        <w:rPr>
          <w:color w:val="auto"/>
          <w:highlight w:val="none"/>
        </w:rPr>
        <w:instrText xml:space="preserve"> PAGEREF _Toc69113961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"_Toc69113962"</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5.5质量、安全检查</w:t>
      </w:r>
      <w:r>
        <w:rPr>
          <w:color w:val="auto"/>
          <w:highlight w:val="none"/>
        </w:rPr>
        <w:tab/>
      </w:r>
      <w:r>
        <w:rPr>
          <w:color w:val="auto"/>
          <w:highlight w:val="none"/>
        </w:rPr>
        <w:fldChar w:fldCharType="begin"/>
      </w:r>
      <w:r>
        <w:rPr>
          <w:color w:val="auto"/>
          <w:highlight w:val="none"/>
        </w:rPr>
        <w:instrText xml:space="preserve"> PAGEREF _Toc69113962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"_Toc69113963"</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6.安全文明施工与环境保护</w:t>
      </w:r>
      <w:r>
        <w:rPr>
          <w:color w:val="auto"/>
          <w:highlight w:val="none"/>
        </w:rPr>
        <w:tab/>
      </w:r>
      <w:r>
        <w:rPr>
          <w:color w:val="auto"/>
          <w:highlight w:val="none"/>
        </w:rPr>
        <w:fldChar w:fldCharType="begin"/>
      </w:r>
      <w:r>
        <w:rPr>
          <w:color w:val="auto"/>
          <w:highlight w:val="none"/>
        </w:rPr>
        <w:instrText xml:space="preserve"> PAGEREF _Toc69113963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"_Toc69113964"</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6.1安全文明施工</w:t>
      </w:r>
      <w:r>
        <w:rPr>
          <w:color w:val="auto"/>
          <w:highlight w:val="none"/>
        </w:rPr>
        <w:tab/>
      </w:r>
      <w:r>
        <w:rPr>
          <w:color w:val="auto"/>
          <w:highlight w:val="none"/>
        </w:rPr>
        <w:fldChar w:fldCharType="begin"/>
      </w:r>
      <w:r>
        <w:rPr>
          <w:color w:val="auto"/>
          <w:highlight w:val="none"/>
        </w:rPr>
        <w:instrText xml:space="preserve"> PAGEREF _Toc69113964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"_Toc69113965"</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6.2人身和财产损害</w:t>
      </w:r>
      <w:r>
        <w:rPr>
          <w:color w:val="auto"/>
          <w:highlight w:val="none"/>
        </w:rPr>
        <w:tab/>
      </w:r>
      <w:r>
        <w:rPr>
          <w:color w:val="auto"/>
          <w:highlight w:val="none"/>
        </w:rPr>
        <w:fldChar w:fldCharType="begin"/>
      </w:r>
      <w:r>
        <w:rPr>
          <w:color w:val="auto"/>
          <w:highlight w:val="none"/>
        </w:rPr>
        <w:instrText xml:space="preserve"> PAGEREF _Toc69113965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"_Toc69113966"</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6.3环境保护</w:t>
      </w:r>
      <w:r>
        <w:rPr>
          <w:color w:val="auto"/>
          <w:highlight w:val="none"/>
        </w:rPr>
        <w:tab/>
      </w:r>
      <w:r>
        <w:rPr>
          <w:color w:val="auto"/>
          <w:highlight w:val="none"/>
        </w:rPr>
        <w:fldChar w:fldCharType="begin"/>
      </w:r>
      <w:r>
        <w:rPr>
          <w:color w:val="auto"/>
          <w:highlight w:val="none"/>
        </w:rPr>
        <w:instrText xml:space="preserve"> PAGEREF _Toc69113966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"_Toc69113967"</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7. 工期和进度</w:t>
      </w:r>
      <w:r>
        <w:rPr>
          <w:color w:val="auto"/>
          <w:highlight w:val="none"/>
        </w:rPr>
        <w:tab/>
      </w:r>
      <w:r>
        <w:rPr>
          <w:color w:val="auto"/>
          <w:highlight w:val="none"/>
        </w:rPr>
        <w:fldChar w:fldCharType="begin"/>
      </w:r>
      <w:r>
        <w:rPr>
          <w:color w:val="auto"/>
          <w:highlight w:val="none"/>
        </w:rPr>
        <w:instrText xml:space="preserve"> PAGEREF _Toc69113967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"_Toc69113968"</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7.1 施工进度计划</w:t>
      </w:r>
      <w:r>
        <w:rPr>
          <w:color w:val="auto"/>
          <w:highlight w:val="none"/>
        </w:rPr>
        <w:tab/>
      </w:r>
      <w:r>
        <w:rPr>
          <w:color w:val="auto"/>
          <w:highlight w:val="none"/>
        </w:rPr>
        <w:fldChar w:fldCharType="begin"/>
      </w:r>
      <w:r>
        <w:rPr>
          <w:color w:val="auto"/>
          <w:highlight w:val="none"/>
        </w:rPr>
        <w:instrText xml:space="preserve"> PAGEREF _Toc69113968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"_Toc69113969"</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7.2工程用地</w:t>
      </w:r>
      <w:r>
        <w:rPr>
          <w:color w:val="auto"/>
          <w:highlight w:val="none"/>
        </w:rPr>
        <w:tab/>
      </w:r>
      <w:r>
        <w:rPr>
          <w:color w:val="auto"/>
          <w:highlight w:val="none"/>
        </w:rPr>
        <w:fldChar w:fldCharType="begin"/>
      </w:r>
      <w:r>
        <w:rPr>
          <w:color w:val="auto"/>
          <w:highlight w:val="none"/>
        </w:rPr>
        <w:instrText xml:space="preserve"> PAGEREF _Toc69113969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"_Toc69113970"</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7.3工程的开工</w:t>
      </w:r>
      <w:r>
        <w:rPr>
          <w:color w:val="auto"/>
          <w:highlight w:val="none"/>
        </w:rPr>
        <w:tab/>
      </w:r>
      <w:r>
        <w:rPr>
          <w:color w:val="auto"/>
          <w:highlight w:val="none"/>
        </w:rPr>
        <w:fldChar w:fldCharType="begin"/>
      </w:r>
      <w:r>
        <w:rPr>
          <w:color w:val="auto"/>
          <w:highlight w:val="none"/>
        </w:rPr>
        <w:instrText xml:space="preserve"> PAGEREF _Toc69113970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"_Toc69113971"</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7.4测量和放线</w:t>
      </w:r>
      <w:r>
        <w:rPr>
          <w:color w:val="auto"/>
          <w:highlight w:val="none"/>
        </w:rPr>
        <w:tab/>
      </w:r>
      <w:r>
        <w:rPr>
          <w:color w:val="auto"/>
          <w:highlight w:val="none"/>
        </w:rPr>
        <w:fldChar w:fldCharType="begin"/>
      </w:r>
      <w:r>
        <w:rPr>
          <w:color w:val="auto"/>
          <w:highlight w:val="none"/>
        </w:rPr>
        <w:instrText xml:space="preserve"> PAGEREF _Toc69113971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"_Toc69113972"</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7.5钻孔和勘探性开挖</w:t>
      </w:r>
      <w:r>
        <w:rPr>
          <w:color w:val="auto"/>
          <w:highlight w:val="none"/>
        </w:rPr>
        <w:tab/>
      </w:r>
      <w:r>
        <w:rPr>
          <w:color w:val="auto"/>
          <w:highlight w:val="none"/>
        </w:rPr>
        <w:fldChar w:fldCharType="begin"/>
      </w:r>
      <w:r>
        <w:rPr>
          <w:color w:val="auto"/>
          <w:highlight w:val="none"/>
        </w:rPr>
        <w:instrText xml:space="preserve"> PAGEREF _Toc69113972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"_Toc69113973"</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7.6 工期延误</w:t>
      </w:r>
      <w:r>
        <w:rPr>
          <w:color w:val="auto"/>
          <w:highlight w:val="none"/>
        </w:rPr>
        <w:tab/>
      </w:r>
      <w:r>
        <w:rPr>
          <w:color w:val="auto"/>
          <w:highlight w:val="none"/>
        </w:rPr>
        <w:fldChar w:fldCharType="begin"/>
      </w:r>
      <w:r>
        <w:rPr>
          <w:color w:val="auto"/>
          <w:highlight w:val="none"/>
        </w:rPr>
        <w:instrText xml:space="preserve"> PAGEREF _Toc69113973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"_Toc69113974"</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7.7不利的外界障碍或条件</w:t>
      </w:r>
      <w:r>
        <w:rPr>
          <w:color w:val="auto"/>
          <w:highlight w:val="none"/>
        </w:rPr>
        <w:tab/>
      </w:r>
      <w:r>
        <w:rPr>
          <w:color w:val="auto"/>
          <w:highlight w:val="none"/>
        </w:rPr>
        <w:fldChar w:fldCharType="begin"/>
      </w:r>
      <w:r>
        <w:rPr>
          <w:color w:val="auto"/>
          <w:highlight w:val="none"/>
        </w:rPr>
        <w:instrText xml:space="preserve"> PAGEREF _Toc69113974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"_Toc69113975"</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7.8暂停施工</w:t>
      </w:r>
      <w:r>
        <w:rPr>
          <w:color w:val="auto"/>
          <w:highlight w:val="none"/>
        </w:rPr>
        <w:tab/>
      </w:r>
      <w:r>
        <w:rPr>
          <w:color w:val="auto"/>
          <w:highlight w:val="none"/>
        </w:rPr>
        <w:fldChar w:fldCharType="begin"/>
      </w:r>
      <w:r>
        <w:rPr>
          <w:color w:val="auto"/>
          <w:highlight w:val="none"/>
        </w:rPr>
        <w:instrText xml:space="preserve"> PAGEREF _Toc69113975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"_Toc69113976"</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7.9工程复工</w:t>
      </w:r>
      <w:r>
        <w:rPr>
          <w:color w:val="auto"/>
          <w:highlight w:val="none"/>
        </w:rPr>
        <w:tab/>
      </w:r>
      <w:r>
        <w:rPr>
          <w:color w:val="auto"/>
          <w:highlight w:val="none"/>
        </w:rPr>
        <w:fldChar w:fldCharType="begin"/>
      </w:r>
      <w:r>
        <w:rPr>
          <w:color w:val="auto"/>
          <w:highlight w:val="none"/>
        </w:rPr>
        <w:instrText xml:space="preserve"> PAGEREF _Toc69113976 \h </w:instrText>
      </w:r>
      <w:r>
        <w:rPr>
          <w:color w:val="auto"/>
          <w:highlight w:val="none"/>
        </w:rPr>
        <w:fldChar w:fldCharType="separate"/>
      </w:r>
      <w:r>
        <w:rPr>
          <w:color w:val="auto"/>
          <w:highlight w:val="none"/>
        </w:rPr>
        <w:t>66</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"_Toc69113977"</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8. 材料与设备</w:t>
      </w:r>
      <w:r>
        <w:rPr>
          <w:color w:val="auto"/>
          <w:highlight w:val="none"/>
        </w:rPr>
        <w:tab/>
      </w:r>
      <w:r>
        <w:rPr>
          <w:color w:val="auto"/>
          <w:highlight w:val="none"/>
        </w:rPr>
        <w:fldChar w:fldCharType="begin"/>
      </w:r>
      <w:r>
        <w:rPr>
          <w:color w:val="auto"/>
          <w:highlight w:val="none"/>
        </w:rPr>
        <w:instrText xml:space="preserve"> PAGEREF _Toc69113977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"_Toc69113978"</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8.1承包人采购或提供材料与工程设备</w:t>
      </w:r>
      <w:r>
        <w:rPr>
          <w:color w:val="auto"/>
          <w:highlight w:val="none"/>
        </w:rPr>
        <w:tab/>
      </w:r>
      <w:r>
        <w:rPr>
          <w:color w:val="auto"/>
          <w:highlight w:val="none"/>
        </w:rPr>
        <w:fldChar w:fldCharType="begin"/>
      </w:r>
      <w:r>
        <w:rPr>
          <w:color w:val="auto"/>
          <w:highlight w:val="none"/>
        </w:rPr>
        <w:instrText xml:space="preserve"> PAGEREF _Toc69113978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"_Toc69113979"</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8.2材料与工程设备的保管与使用</w:t>
      </w:r>
      <w:r>
        <w:rPr>
          <w:color w:val="auto"/>
          <w:highlight w:val="none"/>
        </w:rPr>
        <w:tab/>
      </w:r>
      <w:r>
        <w:rPr>
          <w:color w:val="auto"/>
          <w:highlight w:val="none"/>
        </w:rPr>
        <w:fldChar w:fldCharType="begin"/>
      </w:r>
      <w:r>
        <w:rPr>
          <w:color w:val="auto"/>
          <w:highlight w:val="none"/>
        </w:rPr>
        <w:instrText xml:space="preserve"> PAGEREF _Toc69113979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"_Toc69113980"</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9. 试验与检验</w:t>
      </w:r>
      <w:r>
        <w:rPr>
          <w:color w:val="auto"/>
          <w:highlight w:val="none"/>
        </w:rPr>
        <w:tab/>
      </w:r>
      <w:r>
        <w:rPr>
          <w:color w:val="auto"/>
          <w:highlight w:val="none"/>
        </w:rPr>
        <w:fldChar w:fldCharType="begin"/>
      </w:r>
      <w:r>
        <w:rPr>
          <w:color w:val="auto"/>
          <w:highlight w:val="none"/>
        </w:rPr>
        <w:instrText xml:space="preserve"> PAGEREF _Toc69113980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"_Toc69113981"</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9.1材料、设备和操作工艺的质量</w:t>
      </w:r>
      <w:r>
        <w:rPr>
          <w:color w:val="auto"/>
          <w:highlight w:val="none"/>
        </w:rPr>
        <w:tab/>
      </w:r>
      <w:r>
        <w:rPr>
          <w:color w:val="auto"/>
          <w:highlight w:val="none"/>
        </w:rPr>
        <w:fldChar w:fldCharType="begin"/>
      </w:r>
      <w:r>
        <w:rPr>
          <w:color w:val="auto"/>
          <w:highlight w:val="none"/>
        </w:rPr>
        <w:instrText xml:space="preserve"> PAGEREF _Toc69113981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"_Toc69113982"</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9.2检查与检验</w:t>
      </w:r>
      <w:r>
        <w:rPr>
          <w:color w:val="auto"/>
          <w:highlight w:val="none"/>
        </w:rPr>
        <w:tab/>
      </w:r>
      <w:r>
        <w:rPr>
          <w:color w:val="auto"/>
          <w:highlight w:val="none"/>
        </w:rPr>
        <w:fldChar w:fldCharType="begin"/>
      </w:r>
      <w:r>
        <w:rPr>
          <w:color w:val="auto"/>
          <w:highlight w:val="none"/>
        </w:rPr>
        <w:instrText xml:space="preserve"> PAGEREF _Toc69113982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"_Toc69113983"</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9.3工程覆盖前的检查</w:t>
      </w:r>
      <w:r>
        <w:rPr>
          <w:color w:val="auto"/>
          <w:highlight w:val="none"/>
        </w:rPr>
        <w:tab/>
      </w:r>
      <w:r>
        <w:rPr>
          <w:color w:val="auto"/>
          <w:highlight w:val="none"/>
        </w:rPr>
        <w:fldChar w:fldCharType="begin"/>
      </w:r>
      <w:r>
        <w:rPr>
          <w:color w:val="auto"/>
          <w:highlight w:val="none"/>
        </w:rPr>
        <w:instrText xml:space="preserve"> PAGEREF _Toc69113983 \h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"_Toc69113984"</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9.4剥开和开孔</w:t>
      </w:r>
      <w:r>
        <w:rPr>
          <w:color w:val="auto"/>
          <w:highlight w:val="none"/>
        </w:rPr>
        <w:tab/>
      </w:r>
      <w:r>
        <w:rPr>
          <w:color w:val="auto"/>
          <w:highlight w:val="none"/>
        </w:rPr>
        <w:fldChar w:fldCharType="begin"/>
      </w:r>
      <w:r>
        <w:rPr>
          <w:color w:val="auto"/>
          <w:highlight w:val="none"/>
        </w:rPr>
        <w:instrText xml:space="preserve"> PAGEREF _Toc69113984 \h </w:instrText>
      </w:r>
      <w:r>
        <w:rPr>
          <w:color w:val="auto"/>
          <w:highlight w:val="none"/>
        </w:rPr>
        <w:fldChar w:fldCharType="separate"/>
      </w:r>
      <w:r>
        <w:rPr>
          <w:color w:val="auto"/>
          <w:highlight w:val="none"/>
        </w:rPr>
        <w:t>75</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"_Toc69113985"</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9.5委托检查</w:t>
      </w:r>
      <w:r>
        <w:rPr>
          <w:color w:val="auto"/>
          <w:highlight w:val="none"/>
        </w:rPr>
        <w:tab/>
      </w:r>
      <w:r>
        <w:rPr>
          <w:color w:val="auto"/>
          <w:highlight w:val="none"/>
        </w:rPr>
        <w:fldChar w:fldCharType="begin"/>
      </w:r>
      <w:r>
        <w:rPr>
          <w:color w:val="auto"/>
          <w:highlight w:val="none"/>
        </w:rPr>
        <w:instrText xml:space="preserve"> PAGEREF _Toc69113985 \h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"_Toc69113986"</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9.6检验费用</w:t>
      </w:r>
      <w:r>
        <w:rPr>
          <w:color w:val="auto"/>
          <w:highlight w:val="none"/>
        </w:rPr>
        <w:tab/>
      </w:r>
      <w:r>
        <w:rPr>
          <w:color w:val="auto"/>
          <w:highlight w:val="none"/>
        </w:rPr>
        <w:fldChar w:fldCharType="begin"/>
      </w:r>
      <w:r>
        <w:rPr>
          <w:color w:val="auto"/>
          <w:highlight w:val="none"/>
        </w:rPr>
        <w:instrText xml:space="preserve"> PAGEREF _Toc69113986 \h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"_Toc69113987"</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9.7样品</w:t>
      </w:r>
      <w:r>
        <w:rPr>
          <w:color w:val="auto"/>
          <w:highlight w:val="none"/>
        </w:rPr>
        <w:tab/>
      </w:r>
      <w:r>
        <w:rPr>
          <w:color w:val="auto"/>
          <w:highlight w:val="none"/>
        </w:rPr>
        <w:fldChar w:fldCharType="begin"/>
      </w:r>
      <w:r>
        <w:rPr>
          <w:color w:val="auto"/>
          <w:highlight w:val="none"/>
        </w:rPr>
        <w:instrText xml:space="preserve"> PAGEREF _Toc69113987 \h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"_Toc69113988"</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10. 变更</w:t>
      </w:r>
      <w:r>
        <w:rPr>
          <w:color w:val="auto"/>
          <w:highlight w:val="none"/>
        </w:rPr>
        <w:tab/>
      </w:r>
      <w:r>
        <w:rPr>
          <w:color w:val="auto"/>
          <w:highlight w:val="none"/>
        </w:rPr>
        <w:fldChar w:fldCharType="begin"/>
      </w:r>
      <w:r>
        <w:rPr>
          <w:color w:val="auto"/>
          <w:highlight w:val="none"/>
        </w:rPr>
        <w:instrText xml:space="preserve"> PAGEREF _Toc69113988 \h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"_Toc69113989"</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10.1变更的范围和权限</w:t>
      </w:r>
      <w:r>
        <w:rPr>
          <w:color w:val="auto"/>
          <w:highlight w:val="none"/>
        </w:rPr>
        <w:tab/>
      </w:r>
      <w:r>
        <w:rPr>
          <w:color w:val="auto"/>
          <w:highlight w:val="none"/>
        </w:rPr>
        <w:fldChar w:fldCharType="begin"/>
      </w:r>
      <w:r>
        <w:rPr>
          <w:color w:val="auto"/>
          <w:highlight w:val="none"/>
        </w:rPr>
        <w:instrText xml:space="preserve"> PAGEREF _Toc69113989 \h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"_Toc69113990"</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10.2变更的指令</w:t>
      </w:r>
      <w:r>
        <w:rPr>
          <w:color w:val="auto"/>
          <w:highlight w:val="none"/>
        </w:rPr>
        <w:tab/>
      </w:r>
      <w:r>
        <w:rPr>
          <w:color w:val="auto"/>
          <w:highlight w:val="none"/>
        </w:rPr>
        <w:fldChar w:fldCharType="begin"/>
      </w:r>
      <w:r>
        <w:rPr>
          <w:color w:val="auto"/>
          <w:highlight w:val="none"/>
        </w:rPr>
        <w:instrText xml:space="preserve"> PAGEREF _Toc69113990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"_Toc69113991"</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10.3变更的估价</w:t>
      </w:r>
      <w:r>
        <w:rPr>
          <w:color w:val="auto"/>
          <w:highlight w:val="none"/>
        </w:rPr>
        <w:tab/>
      </w:r>
      <w:r>
        <w:rPr>
          <w:color w:val="auto"/>
          <w:highlight w:val="none"/>
        </w:rPr>
        <w:fldChar w:fldCharType="begin"/>
      </w:r>
      <w:r>
        <w:rPr>
          <w:color w:val="auto"/>
          <w:highlight w:val="none"/>
        </w:rPr>
        <w:instrText xml:space="preserve"> PAGEREF _Toc69113991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"_Toc69113992"</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10.4计日工</w:t>
      </w:r>
      <w:r>
        <w:rPr>
          <w:color w:val="auto"/>
          <w:highlight w:val="none"/>
        </w:rPr>
        <w:tab/>
      </w:r>
      <w:r>
        <w:rPr>
          <w:color w:val="auto"/>
          <w:highlight w:val="none"/>
        </w:rPr>
        <w:fldChar w:fldCharType="begin"/>
      </w:r>
      <w:r>
        <w:rPr>
          <w:color w:val="auto"/>
          <w:highlight w:val="none"/>
        </w:rPr>
        <w:instrText xml:space="preserve"> PAGEREF _Toc69113992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"_Toc69113993"</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11. 价格调整</w:t>
      </w:r>
      <w:r>
        <w:rPr>
          <w:color w:val="auto"/>
          <w:highlight w:val="none"/>
        </w:rPr>
        <w:tab/>
      </w:r>
      <w:r>
        <w:rPr>
          <w:color w:val="auto"/>
          <w:highlight w:val="none"/>
        </w:rPr>
        <w:fldChar w:fldCharType="begin"/>
      </w:r>
      <w:r>
        <w:rPr>
          <w:color w:val="auto"/>
          <w:highlight w:val="none"/>
        </w:rPr>
        <w:instrText xml:space="preserve"> PAGEREF _Toc69113993 \h </w:instrText>
      </w:r>
      <w:r>
        <w:rPr>
          <w:color w:val="auto"/>
          <w:highlight w:val="none"/>
        </w:rPr>
        <w:fldChar w:fldCharType="separate"/>
      </w:r>
      <w:r>
        <w:rPr>
          <w:color w:val="auto"/>
          <w:highlight w:val="none"/>
        </w:rPr>
        <w:t>80</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"_Toc69113994"</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11.1 市场变化引起的费用的增加或减少</w:t>
      </w:r>
      <w:r>
        <w:rPr>
          <w:color w:val="auto"/>
          <w:highlight w:val="none"/>
        </w:rPr>
        <w:tab/>
      </w:r>
      <w:r>
        <w:rPr>
          <w:color w:val="auto"/>
          <w:highlight w:val="none"/>
        </w:rPr>
        <w:fldChar w:fldCharType="begin"/>
      </w:r>
      <w:r>
        <w:rPr>
          <w:color w:val="auto"/>
          <w:highlight w:val="none"/>
        </w:rPr>
        <w:instrText xml:space="preserve"> PAGEREF _Toc69113994 \h </w:instrText>
      </w:r>
      <w:r>
        <w:rPr>
          <w:color w:val="auto"/>
          <w:highlight w:val="none"/>
        </w:rPr>
        <w:fldChar w:fldCharType="separate"/>
      </w:r>
      <w:r>
        <w:rPr>
          <w:color w:val="auto"/>
          <w:highlight w:val="none"/>
        </w:rPr>
        <w:t>80</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"_Toc69113995"</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11.2 法律法规的改变</w:t>
      </w:r>
      <w:r>
        <w:rPr>
          <w:color w:val="auto"/>
          <w:highlight w:val="none"/>
        </w:rPr>
        <w:tab/>
      </w:r>
      <w:r>
        <w:rPr>
          <w:color w:val="auto"/>
          <w:highlight w:val="none"/>
        </w:rPr>
        <w:fldChar w:fldCharType="begin"/>
      </w:r>
      <w:r>
        <w:rPr>
          <w:color w:val="auto"/>
          <w:highlight w:val="none"/>
        </w:rPr>
        <w:instrText xml:space="preserve"> PAGEREF _Toc69113995 \h </w:instrText>
      </w:r>
      <w:r>
        <w:rPr>
          <w:color w:val="auto"/>
          <w:highlight w:val="none"/>
        </w:rPr>
        <w:fldChar w:fldCharType="separate"/>
      </w:r>
      <w:r>
        <w:rPr>
          <w:color w:val="auto"/>
          <w:highlight w:val="none"/>
        </w:rPr>
        <w:t>80</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"_Toc69113996"</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11.3 合同价格的调整方式</w:t>
      </w:r>
      <w:r>
        <w:rPr>
          <w:color w:val="auto"/>
          <w:highlight w:val="none"/>
        </w:rPr>
        <w:tab/>
      </w:r>
      <w:r>
        <w:rPr>
          <w:color w:val="auto"/>
          <w:highlight w:val="none"/>
        </w:rPr>
        <w:fldChar w:fldCharType="begin"/>
      </w:r>
      <w:r>
        <w:rPr>
          <w:color w:val="auto"/>
          <w:highlight w:val="none"/>
        </w:rPr>
        <w:instrText xml:space="preserve"> PAGEREF _Toc69113996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"_Toc69113997"</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11.4 不平衡报价</w:t>
      </w:r>
      <w:r>
        <w:rPr>
          <w:color w:val="auto"/>
          <w:highlight w:val="none"/>
        </w:rPr>
        <w:tab/>
      </w:r>
      <w:r>
        <w:rPr>
          <w:color w:val="auto"/>
          <w:highlight w:val="none"/>
        </w:rPr>
        <w:fldChar w:fldCharType="begin"/>
      </w:r>
      <w:r>
        <w:rPr>
          <w:color w:val="auto"/>
          <w:highlight w:val="none"/>
        </w:rPr>
        <w:instrText xml:space="preserve"> PAGEREF _Toc69113997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"_Toc69113998"</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12. 合同价格、计量与支付</w:t>
      </w:r>
      <w:r>
        <w:rPr>
          <w:color w:val="auto"/>
          <w:highlight w:val="none"/>
        </w:rPr>
        <w:tab/>
      </w:r>
      <w:r>
        <w:rPr>
          <w:color w:val="auto"/>
          <w:highlight w:val="none"/>
        </w:rPr>
        <w:fldChar w:fldCharType="begin"/>
      </w:r>
      <w:r>
        <w:rPr>
          <w:color w:val="auto"/>
          <w:highlight w:val="none"/>
        </w:rPr>
        <w:instrText xml:space="preserve"> PAGEREF _Toc69113998 \h </w:instrText>
      </w:r>
      <w:r>
        <w:rPr>
          <w:color w:val="auto"/>
          <w:highlight w:val="none"/>
        </w:rPr>
        <w:fldChar w:fldCharType="separate"/>
      </w:r>
      <w:r>
        <w:rPr>
          <w:color w:val="auto"/>
          <w:highlight w:val="none"/>
        </w:rPr>
        <w:t>82</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"_Toc69113999"</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12.1 合同价格和费用</w:t>
      </w:r>
      <w:r>
        <w:rPr>
          <w:color w:val="auto"/>
          <w:highlight w:val="none"/>
        </w:rPr>
        <w:tab/>
      </w:r>
      <w:r>
        <w:rPr>
          <w:color w:val="auto"/>
          <w:highlight w:val="none"/>
        </w:rPr>
        <w:fldChar w:fldCharType="begin"/>
      </w:r>
      <w:r>
        <w:rPr>
          <w:color w:val="auto"/>
          <w:highlight w:val="none"/>
        </w:rPr>
        <w:instrText xml:space="preserve"> PAGEREF _Toc69113999 \h </w:instrText>
      </w:r>
      <w:r>
        <w:rPr>
          <w:color w:val="auto"/>
          <w:highlight w:val="none"/>
        </w:rPr>
        <w:fldChar w:fldCharType="separate"/>
      </w:r>
      <w:r>
        <w:rPr>
          <w:color w:val="auto"/>
          <w:highlight w:val="none"/>
        </w:rPr>
        <w:t>82</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"_Toc69114000"</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12.2工程量</w:t>
      </w:r>
      <w:r>
        <w:rPr>
          <w:color w:val="auto"/>
          <w:highlight w:val="none"/>
        </w:rPr>
        <w:tab/>
      </w:r>
      <w:r>
        <w:rPr>
          <w:color w:val="auto"/>
          <w:highlight w:val="none"/>
        </w:rPr>
        <w:fldChar w:fldCharType="begin"/>
      </w:r>
      <w:r>
        <w:rPr>
          <w:color w:val="auto"/>
          <w:highlight w:val="none"/>
        </w:rPr>
        <w:instrText xml:space="preserve"> PAGEREF _Toc69114000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"_Toc69114001"</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12.3工程款的支付</w:t>
      </w:r>
      <w:r>
        <w:rPr>
          <w:color w:val="auto"/>
          <w:highlight w:val="none"/>
        </w:rPr>
        <w:tab/>
      </w:r>
      <w:r>
        <w:rPr>
          <w:color w:val="auto"/>
          <w:highlight w:val="none"/>
        </w:rPr>
        <w:fldChar w:fldCharType="begin"/>
      </w:r>
      <w:r>
        <w:rPr>
          <w:color w:val="auto"/>
          <w:highlight w:val="none"/>
        </w:rPr>
        <w:instrText xml:space="preserve"> PAGEREF _Toc69114001 \h </w:instrText>
      </w:r>
      <w:r>
        <w:rPr>
          <w:color w:val="auto"/>
          <w:highlight w:val="none"/>
        </w:rPr>
        <w:fldChar w:fldCharType="separate"/>
      </w:r>
      <w:r>
        <w:rPr>
          <w:color w:val="auto"/>
          <w:highlight w:val="none"/>
        </w:rPr>
        <w:t>84</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"_Toc69114002"</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13. 竣工验收</w:t>
      </w:r>
      <w:r>
        <w:rPr>
          <w:color w:val="auto"/>
          <w:highlight w:val="none"/>
        </w:rPr>
        <w:tab/>
      </w:r>
      <w:r>
        <w:rPr>
          <w:color w:val="auto"/>
          <w:highlight w:val="none"/>
        </w:rPr>
        <w:fldChar w:fldCharType="begin"/>
      </w:r>
      <w:r>
        <w:rPr>
          <w:color w:val="auto"/>
          <w:highlight w:val="none"/>
        </w:rPr>
        <w:instrText xml:space="preserve"> PAGEREF _Toc69114002 \h </w:instrText>
      </w:r>
      <w:r>
        <w:rPr>
          <w:color w:val="auto"/>
          <w:highlight w:val="none"/>
        </w:rPr>
        <w:fldChar w:fldCharType="separate"/>
      </w:r>
      <w:r>
        <w:rPr>
          <w:color w:val="auto"/>
          <w:highlight w:val="none"/>
        </w:rPr>
        <w:t>87</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"_Toc69114003"</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13.1交接证书</w:t>
      </w:r>
      <w:r>
        <w:rPr>
          <w:color w:val="auto"/>
          <w:highlight w:val="none"/>
        </w:rPr>
        <w:tab/>
      </w:r>
      <w:r>
        <w:rPr>
          <w:color w:val="auto"/>
          <w:highlight w:val="none"/>
        </w:rPr>
        <w:fldChar w:fldCharType="begin"/>
      </w:r>
      <w:r>
        <w:rPr>
          <w:color w:val="auto"/>
          <w:highlight w:val="none"/>
        </w:rPr>
        <w:instrText xml:space="preserve"> PAGEREF _Toc69114003 \h </w:instrText>
      </w:r>
      <w:r>
        <w:rPr>
          <w:color w:val="auto"/>
          <w:highlight w:val="none"/>
        </w:rPr>
        <w:fldChar w:fldCharType="separate"/>
      </w:r>
      <w:r>
        <w:rPr>
          <w:color w:val="auto"/>
          <w:highlight w:val="none"/>
        </w:rPr>
        <w:t>87</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"_Toc69114004"</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13.2区段或单项工程的交工</w:t>
      </w:r>
      <w:r>
        <w:rPr>
          <w:color w:val="auto"/>
          <w:highlight w:val="none"/>
        </w:rPr>
        <w:tab/>
      </w:r>
      <w:r>
        <w:rPr>
          <w:color w:val="auto"/>
          <w:highlight w:val="none"/>
        </w:rPr>
        <w:fldChar w:fldCharType="begin"/>
      </w:r>
      <w:r>
        <w:rPr>
          <w:color w:val="auto"/>
          <w:highlight w:val="none"/>
        </w:rPr>
        <w:instrText xml:space="preserve"> PAGEREF _Toc69114004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"_Toc69114005"</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13.3工程移交和档案管理</w:t>
      </w:r>
      <w:r>
        <w:rPr>
          <w:color w:val="auto"/>
          <w:highlight w:val="none"/>
        </w:rPr>
        <w:tab/>
      </w:r>
      <w:r>
        <w:rPr>
          <w:color w:val="auto"/>
          <w:highlight w:val="none"/>
        </w:rPr>
        <w:fldChar w:fldCharType="begin"/>
      </w:r>
      <w:r>
        <w:rPr>
          <w:color w:val="auto"/>
          <w:highlight w:val="none"/>
        </w:rPr>
        <w:instrText xml:space="preserve"> PAGEREF _Toc69114005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"_Toc69114006"</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13.4永久性标牌</w:t>
      </w:r>
      <w:r>
        <w:rPr>
          <w:color w:val="auto"/>
          <w:highlight w:val="none"/>
        </w:rPr>
        <w:tab/>
      </w:r>
      <w:r>
        <w:rPr>
          <w:color w:val="auto"/>
          <w:highlight w:val="none"/>
        </w:rPr>
        <w:fldChar w:fldCharType="begin"/>
      </w:r>
      <w:r>
        <w:rPr>
          <w:color w:val="auto"/>
          <w:highlight w:val="none"/>
        </w:rPr>
        <w:instrText xml:space="preserve"> PAGEREF _Toc69114006 \h </w:instrText>
      </w:r>
      <w:r>
        <w:rPr>
          <w:color w:val="auto"/>
          <w:highlight w:val="none"/>
        </w:rPr>
        <w:fldChar w:fldCharType="separate"/>
      </w:r>
      <w:r>
        <w:rPr>
          <w:color w:val="auto"/>
          <w:highlight w:val="none"/>
        </w:rPr>
        <w:t>89</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"_Toc69114007"</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14. 竣工结算</w:t>
      </w:r>
      <w:r>
        <w:rPr>
          <w:color w:val="auto"/>
          <w:highlight w:val="none"/>
        </w:rPr>
        <w:tab/>
      </w:r>
      <w:r>
        <w:rPr>
          <w:color w:val="auto"/>
          <w:highlight w:val="none"/>
        </w:rPr>
        <w:fldChar w:fldCharType="begin"/>
      </w:r>
      <w:r>
        <w:rPr>
          <w:color w:val="auto"/>
          <w:highlight w:val="none"/>
        </w:rPr>
        <w:instrText xml:space="preserve"> PAGEREF _Toc69114007 \h </w:instrText>
      </w:r>
      <w:r>
        <w:rPr>
          <w:color w:val="auto"/>
          <w:highlight w:val="none"/>
        </w:rPr>
        <w:fldChar w:fldCharType="separate"/>
      </w:r>
      <w:r>
        <w:rPr>
          <w:color w:val="auto"/>
          <w:highlight w:val="none"/>
        </w:rPr>
        <w:t>89</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"_Toc69114008"</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14.1竣工结账单</w:t>
      </w:r>
      <w:r>
        <w:rPr>
          <w:color w:val="auto"/>
          <w:highlight w:val="none"/>
        </w:rPr>
        <w:tab/>
      </w:r>
      <w:r>
        <w:rPr>
          <w:color w:val="auto"/>
          <w:highlight w:val="none"/>
        </w:rPr>
        <w:fldChar w:fldCharType="begin"/>
      </w:r>
      <w:r>
        <w:rPr>
          <w:color w:val="auto"/>
          <w:highlight w:val="none"/>
        </w:rPr>
        <w:instrText xml:space="preserve"> PAGEREF _Toc69114008 \h </w:instrText>
      </w:r>
      <w:r>
        <w:rPr>
          <w:color w:val="auto"/>
          <w:highlight w:val="none"/>
        </w:rPr>
        <w:fldChar w:fldCharType="separate"/>
      </w:r>
      <w:r>
        <w:rPr>
          <w:color w:val="auto"/>
          <w:highlight w:val="none"/>
        </w:rPr>
        <w:t>89</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"_Toc69114009"</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14.2签发履约证书</w:t>
      </w:r>
      <w:r>
        <w:rPr>
          <w:color w:val="auto"/>
          <w:highlight w:val="none"/>
        </w:rPr>
        <w:tab/>
      </w:r>
      <w:r>
        <w:rPr>
          <w:color w:val="auto"/>
          <w:highlight w:val="none"/>
        </w:rPr>
        <w:fldChar w:fldCharType="begin"/>
      </w:r>
      <w:r>
        <w:rPr>
          <w:color w:val="auto"/>
          <w:highlight w:val="none"/>
        </w:rPr>
        <w:instrText xml:space="preserve"> PAGEREF _Toc69114009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"_Toc69114010"</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14.3最后结账单</w:t>
      </w:r>
      <w:r>
        <w:rPr>
          <w:color w:val="auto"/>
          <w:highlight w:val="none"/>
        </w:rPr>
        <w:tab/>
      </w:r>
      <w:r>
        <w:rPr>
          <w:color w:val="auto"/>
          <w:highlight w:val="none"/>
        </w:rPr>
        <w:fldChar w:fldCharType="begin"/>
      </w:r>
      <w:r>
        <w:rPr>
          <w:color w:val="auto"/>
          <w:highlight w:val="none"/>
        </w:rPr>
        <w:instrText xml:space="preserve"> PAGEREF _Toc69114010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"_Toc69114011"</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14.4清账单</w:t>
      </w:r>
      <w:r>
        <w:rPr>
          <w:color w:val="auto"/>
          <w:highlight w:val="none"/>
        </w:rPr>
        <w:tab/>
      </w:r>
      <w:r>
        <w:rPr>
          <w:color w:val="auto"/>
          <w:highlight w:val="none"/>
        </w:rPr>
        <w:fldChar w:fldCharType="begin"/>
      </w:r>
      <w:r>
        <w:rPr>
          <w:color w:val="auto"/>
          <w:highlight w:val="none"/>
        </w:rPr>
        <w:instrText xml:space="preserve"> PAGEREF _Toc69114011 \h </w:instrText>
      </w:r>
      <w:r>
        <w:rPr>
          <w:color w:val="auto"/>
          <w:highlight w:val="none"/>
        </w:rPr>
        <w:fldChar w:fldCharType="separate"/>
      </w:r>
      <w:r>
        <w:rPr>
          <w:color w:val="auto"/>
          <w:highlight w:val="none"/>
        </w:rPr>
        <w:t>91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"_Toc69114012"</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14.5甩项竣工协议</w:t>
      </w:r>
      <w:r>
        <w:rPr>
          <w:color w:val="auto"/>
          <w:highlight w:val="none"/>
        </w:rPr>
        <w:tab/>
      </w:r>
      <w:r>
        <w:rPr>
          <w:color w:val="auto"/>
          <w:highlight w:val="none"/>
        </w:rPr>
        <w:fldChar w:fldCharType="begin"/>
      </w:r>
      <w:r>
        <w:rPr>
          <w:color w:val="auto"/>
          <w:highlight w:val="none"/>
        </w:rPr>
        <w:instrText xml:space="preserve"> PAGEREF _Toc69114012 \h </w:instrText>
      </w:r>
      <w:r>
        <w:rPr>
          <w:color w:val="auto"/>
          <w:highlight w:val="none"/>
        </w:rPr>
        <w:fldChar w:fldCharType="separate"/>
      </w:r>
      <w:r>
        <w:rPr>
          <w:color w:val="auto"/>
          <w:highlight w:val="none"/>
        </w:rPr>
        <w:t>91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"_Toc69114013"</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14.6最后支付证书</w:t>
      </w:r>
      <w:r>
        <w:rPr>
          <w:color w:val="auto"/>
          <w:highlight w:val="none"/>
        </w:rPr>
        <w:tab/>
      </w:r>
      <w:r>
        <w:rPr>
          <w:color w:val="auto"/>
          <w:highlight w:val="none"/>
        </w:rPr>
        <w:fldChar w:fldCharType="begin"/>
      </w:r>
      <w:r>
        <w:rPr>
          <w:color w:val="auto"/>
          <w:highlight w:val="none"/>
        </w:rPr>
        <w:instrText xml:space="preserve"> PAGEREF _Toc69114013 \h </w:instrText>
      </w:r>
      <w:r>
        <w:rPr>
          <w:color w:val="auto"/>
          <w:highlight w:val="none"/>
        </w:rPr>
        <w:fldChar w:fldCharType="separate"/>
      </w:r>
      <w:r>
        <w:rPr>
          <w:color w:val="auto"/>
          <w:highlight w:val="none"/>
        </w:rPr>
        <w:t>91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"_Toc69114014"</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14.7发包人责任的终止</w:t>
      </w:r>
      <w:r>
        <w:rPr>
          <w:color w:val="auto"/>
          <w:highlight w:val="none"/>
        </w:rPr>
        <w:tab/>
      </w:r>
      <w:r>
        <w:rPr>
          <w:color w:val="auto"/>
          <w:highlight w:val="none"/>
        </w:rPr>
        <w:fldChar w:fldCharType="begin"/>
      </w:r>
      <w:r>
        <w:rPr>
          <w:color w:val="auto"/>
          <w:highlight w:val="none"/>
        </w:rPr>
        <w:instrText xml:space="preserve"> PAGEREF _Toc69114014 \h </w:instrText>
      </w:r>
      <w:r>
        <w:rPr>
          <w:color w:val="auto"/>
          <w:highlight w:val="none"/>
        </w:rPr>
        <w:fldChar w:fldCharType="separate"/>
      </w:r>
      <w:r>
        <w:rPr>
          <w:color w:val="auto"/>
          <w:highlight w:val="none"/>
        </w:rPr>
        <w:t>91</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"_Toc69114015"</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15. 缺陷责任与保修</w:t>
      </w:r>
      <w:r>
        <w:rPr>
          <w:color w:val="auto"/>
          <w:highlight w:val="none"/>
        </w:rPr>
        <w:tab/>
      </w:r>
      <w:r>
        <w:rPr>
          <w:color w:val="auto"/>
          <w:highlight w:val="none"/>
        </w:rPr>
        <w:fldChar w:fldCharType="begin"/>
      </w:r>
      <w:r>
        <w:rPr>
          <w:color w:val="auto"/>
          <w:highlight w:val="none"/>
        </w:rPr>
        <w:instrText xml:space="preserve"> PAGEREF _Toc69114015 \h </w:instrText>
      </w:r>
      <w:r>
        <w:rPr>
          <w:color w:val="auto"/>
          <w:highlight w:val="none"/>
        </w:rPr>
        <w:fldChar w:fldCharType="separate"/>
      </w:r>
      <w:r>
        <w:rPr>
          <w:color w:val="auto"/>
          <w:highlight w:val="none"/>
        </w:rPr>
        <w:t>92</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"_Toc69114016"</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15.1完成未完工作和修复缺陷</w:t>
      </w:r>
      <w:r>
        <w:rPr>
          <w:color w:val="auto"/>
          <w:highlight w:val="none"/>
        </w:rPr>
        <w:tab/>
      </w:r>
      <w:r>
        <w:rPr>
          <w:color w:val="auto"/>
          <w:highlight w:val="none"/>
        </w:rPr>
        <w:fldChar w:fldCharType="begin"/>
      </w:r>
      <w:r>
        <w:rPr>
          <w:color w:val="auto"/>
          <w:highlight w:val="none"/>
        </w:rPr>
        <w:instrText xml:space="preserve"> PAGEREF _Toc69114016 \h </w:instrText>
      </w:r>
      <w:r>
        <w:rPr>
          <w:color w:val="auto"/>
          <w:highlight w:val="none"/>
        </w:rPr>
        <w:fldChar w:fldCharType="separate"/>
      </w:r>
      <w:r>
        <w:rPr>
          <w:color w:val="auto"/>
          <w:highlight w:val="none"/>
        </w:rPr>
        <w:t>92</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"_Toc69114017"</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15.2缺陷的调查</w:t>
      </w:r>
      <w:r>
        <w:rPr>
          <w:color w:val="auto"/>
          <w:highlight w:val="none"/>
        </w:rPr>
        <w:tab/>
      </w:r>
      <w:r>
        <w:rPr>
          <w:color w:val="auto"/>
          <w:highlight w:val="none"/>
        </w:rPr>
        <w:fldChar w:fldCharType="begin"/>
      </w:r>
      <w:r>
        <w:rPr>
          <w:color w:val="auto"/>
          <w:highlight w:val="none"/>
        </w:rPr>
        <w:instrText xml:space="preserve"> PAGEREF _Toc69114017 \h </w:instrText>
      </w:r>
      <w:r>
        <w:rPr>
          <w:color w:val="auto"/>
          <w:highlight w:val="none"/>
        </w:rPr>
        <w:fldChar w:fldCharType="separate"/>
      </w:r>
      <w:r>
        <w:rPr>
          <w:color w:val="auto"/>
          <w:highlight w:val="none"/>
        </w:rPr>
        <w:t>92</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"_Toc69114018"</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15.3缺陷修复的费用</w:t>
      </w:r>
      <w:r>
        <w:rPr>
          <w:color w:val="auto"/>
          <w:highlight w:val="none"/>
        </w:rPr>
        <w:tab/>
      </w:r>
      <w:r>
        <w:rPr>
          <w:color w:val="auto"/>
          <w:highlight w:val="none"/>
        </w:rPr>
        <w:fldChar w:fldCharType="begin"/>
      </w:r>
      <w:r>
        <w:rPr>
          <w:color w:val="auto"/>
          <w:highlight w:val="none"/>
        </w:rPr>
        <w:instrText xml:space="preserve"> PAGEREF _Toc69114018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"_Toc69114019"</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15.4履约期满后的缺陷责任</w:t>
      </w:r>
      <w:r>
        <w:rPr>
          <w:color w:val="auto"/>
          <w:highlight w:val="none"/>
        </w:rPr>
        <w:tab/>
      </w:r>
      <w:r>
        <w:rPr>
          <w:color w:val="auto"/>
          <w:highlight w:val="none"/>
        </w:rPr>
        <w:fldChar w:fldCharType="begin"/>
      </w:r>
      <w:r>
        <w:rPr>
          <w:color w:val="auto"/>
          <w:highlight w:val="none"/>
        </w:rPr>
        <w:instrText xml:space="preserve"> PAGEREF _Toc69114019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"_Toc69114020"</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15.5质量保证金的扣留</w:t>
      </w:r>
      <w:r>
        <w:rPr>
          <w:color w:val="auto"/>
          <w:highlight w:val="none"/>
        </w:rPr>
        <w:tab/>
      </w:r>
      <w:r>
        <w:rPr>
          <w:color w:val="auto"/>
          <w:highlight w:val="none"/>
        </w:rPr>
        <w:fldChar w:fldCharType="begin"/>
      </w:r>
      <w:r>
        <w:rPr>
          <w:color w:val="auto"/>
          <w:highlight w:val="none"/>
        </w:rPr>
        <w:instrText xml:space="preserve"> PAGEREF _Toc69114020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"_Toc69114021"</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15.6质量保证金的退还</w:t>
      </w:r>
      <w:r>
        <w:rPr>
          <w:color w:val="auto"/>
          <w:highlight w:val="none"/>
        </w:rPr>
        <w:tab/>
      </w:r>
      <w:r>
        <w:rPr>
          <w:color w:val="auto"/>
          <w:highlight w:val="none"/>
        </w:rPr>
        <w:fldChar w:fldCharType="begin"/>
      </w:r>
      <w:r>
        <w:rPr>
          <w:color w:val="auto"/>
          <w:highlight w:val="none"/>
        </w:rPr>
        <w:instrText xml:space="preserve"> PAGEREF _Toc69114021 \h </w:instrText>
      </w:r>
      <w:r>
        <w:rPr>
          <w:color w:val="auto"/>
          <w:highlight w:val="none"/>
        </w:rPr>
        <w:fldChar w:fldCharType="separate"/>
      </w:r>
      <w:r>
        <w:rPr>
          <w:color w:val="auto"/>
          <w:highlight w:val="none"/>
        </w:rPr>
        <w:t>94</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"_Toc69114022"</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16. 违约</w:t>
      </w:r>
      <w:r>
        <w:rPr>
          <w:color w:val="auto"/>
          <w:highlight w:val="none"/>
        </w:rPr>
        <w:tab/>
      </w:r>
      <w:r>
        <w:rPr>
          <w:color w:val="auto"/>
          <w:highlight w:val="none"/>
        </w:rPr>
        <w:fldChar w:fldCharType="begin"/>
      </w:r>
      <w:r>
        <w:rPr>
          <w:color w:val="auto"/>
          <w:highlight w:val="none"/>
        </w:rPr>
        <w:instrText xml:space="preserve"> PAGEREF _Toc69114022 \h </w:instrText>
      </w:r>
      <w:r>
        <w:rPr>
          <w:color w:val="auto"/>
          <w:highlight w:val="none"/>
        </w:rPr>
        <w:fldChar w:fldCharType="separate"/>
      </w:r>
      <w:r>
        <w:rPr>
          <w:color w:val="auto"/>
          <w:highlight w:val="none"/>
        </w:rPr>
        <w:t>94</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"_Toc69114023"</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16.1 发包人违约</w:t>
      </w:r>
      <w:r>
        <w:rPr>
          <w:color w:val="auto"/>
          <w:highlight w:val="none"/>
        </w:rPr>
        <w:tab/>
      </w:r>
      <w:r>
        <w:rPr>
          <w:color w:val="auto"/>
          <w:highlight w:val="none"/>
        </w:rPr>
        <w:fldChar w:fldCharType="begin"/>
      </w:r>
      <w:r>
        <w:rPr>
          <w:color w:val="auto"/>
          <w:highlight w:val="none"/>
        </w:rPr>
        <w:instrText xml:space="preserve"> PAGEREF _Toc69114023 \h </w:instrText>
      </w:r>
      <w:r>
        <w:rPr>
          <w:color w:val="auto"/>
          <w:highlight w:val="none"/>
        </w:rPr>
        <w:fldChar w:fldCharType="separate"/>
      </w:r>
      <w:r>
        <w:rPr>
          <w:color w:val="auto"/>
          <w:highlight w:val="none"/>
        </w:rPr>
        <w:t>94</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"_Toc69114024"</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16.2 承包人违约</w:t>
      </w:r>
      <w:r>
        <w:rPr>
          <w:color w:val="auto"/>
          <w:highlight w:val="none"/>
        </w:rPr>
        <w:tab/>
      </w:r>
      <w:r>
        <w:rPr>
          <w:color w:val="auto"/>
          <w:highlight w:val="none"/>
        </w:rPr>
        <w:fldChar w:fldCharType="begin"/>
      </w:r>
      <w:r>
        <w:rPr>
          <w:color w:val="auto"/>
          <w:highlight w:val="none"/>
        </w:rPr>
        <w:instrText xml:space="preserve"> PAGEREF _Toc69114024 \h </w:instrText>
      </w:r>
      <w:r>
        <w:rPr>
          <w:color w:val="auto"/>
          <w:highlight w:val="none"/>
        </w:rPr>
        <w:fldChar w:fldCharType="separate"/>
      </w:r>
      <w:r>
        <w:rPr>
          <w:color w:val="auto"/>
          <w:highlight w:val="none"/>
        </w:rPr>
        <w:t>95</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"_Toc69114025"</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17.特殊风险</w:t>
      </w:r>
      <w:r>
        <w:rPr>
          <w:color w:val="auto"/>
          <w:highlight w:val="none"/>
        </w:rPr>
        <w:tab/>
      </w:r>
      <w:r>
        <w:rPr>
          <w:color w:val="auto"/>
          <w:highlight w:val="none"/>
        </w:rPr>
        <w:fldChar w:fldCharType="begin"/>
      </w:r>
      <w:r>
        <w:rPr>
          <w:color w:val="auto"/>
          <w:highlight w:val="none"/>
        </w:rPr>
        <w:instrText xml:space="preserve"> PAGEREF _Toc69114025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"_Toc69114026"</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17.1特殊风险</w:t>
      </w:r>
      <w:r>
        <w:rPr>
          <w:color w:val="auto"/>
          <w:highlight w:val="none"/>
        </w:rPr>
        <w:tab/>
      </w:r>
      <w:r>
        <w:rPr>
          <w:color w:val="auto"/>
          <w:highlight w:val="none"/>
        </w:rPr>
        <w:fldChar w:fldCharType="begin"/>
      </w:r>
      <w:r>
        <w:rPr>
          <w:color w:val="auto"/>
          <w:highlight w:val="none"/>
        </w:rPr>
        <w:instrText xml:space="preserve"> PAGEREF _Toc69114026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"_Toc69114027"</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17.2承包人对特殊风险不承担责任</w:t>
      </w:r>
      <w:r>
        <w:rPr>
          <w:color w:val="auto"/>
          <w:highlight w:val="none"/>
        </w:rPr>
        <w:tab/>
      </w:r>
      <w:r>
        <w:rPr>
          <w:color w:val="auto"/>
          <w:highlight w:val="none"/>
        </w:rPr>
        <w:fldChar w:fldCharType="begin"/>
      </w:r>
      <w:r>
        <w:rPr>
          <w:color w:val="auto"/>
          <w:highlight w:val="none"/>
        </w:rPr>
        <w:instrText xml:space="preserve"> PAGEREF _Toc69114027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"_Toc69114028"</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17.3特殊风险对工程的损害</w:t>
      </w:r>
      <w:r>
        <w:rPr>
          <w:color w:val="auto"/>
          <w:highlight w:val="none"/>
        </w:rPr>
        <w:tab/>
      </w:r>
      <w:r>
        <w:rPr>
          <w:color w:val="auto"/>
          <w:highlight w:val="none"/>
        </w:rPr>
        <w:fldChar w:fldCharType="begin"/>
      </w:r>
      <w:r>
        <w:rPr>
          <w:color w:val="auto"/>
          <w:highlight w:val="none"/>
        </w:rPr>
        <w:instrText xml:space="preserve"> PAGEREF _Toc69114028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"_Toc69114029"</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17.4由特殊风险引起的费用增加</w:t>
      </w:r>
      <w:r>
        <w:rPr>
          <w:color w:val="auto"/>
          <w:highlight w:val="none"/>
        </w:rPr>
        <w:tab/>
      </w:r>
      <w:r>
        <w:rPr>
          <w:color w:val="auto"/>
          <w:highlight w:val="none"/>
        </w:rPr>
        <w:fldChar w:fldCharType="begin"/>
      </w:r>
      <w:r>
        <w:rPr>
          <w:color w:val="auto"/>
          <w:highlight w:val="none"/>
        </w:rPr>
        <w:instrText xml:space="preserve"> PAGEREF _Toc69114029 \h </w:instrText>
      </w:r>
      <w:r>
        <w:rPr>
          <w:color w:val="auto"/>
          <w:highlight w:val="none"/>
        </w:rPr>
        <w:fldChar w:fldCharType="separate"/>
      </w:r>
      <w:r>
        <w:rPr>
          <w:color w:val="auto"/>
          <w:highlight w:val="none"/>
        </w:rPr>
        <w:t>99</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"_Toc69114030"</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17.5由特殊风险而终止合同</w:t>
      </w:r>
      <w:r>
        <w:rPr>
          <w:color w:val="auto"/>
          <w:highlight w:val="none"/>
        </w:rPr>
        <w:tab/>
      </w:r>
      <w:r>
        <w:rPr>
          <w:color w:val="auto"/>
          <w:highlight w:val="none"/>
        </w:rPr>
        <w:fldChar w:fldCharType="begin"/>
      </w:r>
      <w:r>
        <w:rPr>
          <w:color w:val="auto"/>
          <w:highlight w:val="none"/>
        </w:rPr>
        <w:instrText xml:space="preserve"> PAGEREF _Toc69114030 \h </w:instrText>
      </w:r>
      <w:r>
        <w:rPr>
          <w:color w:val="auto"/>
          <w:highlight w:val="none"/>
        </w:rPr>
        <w:fldChar w:fldCharType="separate"/>
      </w:r>
      <w:r>
        <w:rPr>
          <w:color w:val="auto"/>
          <w:highlight w:val="none"/>
        </w:rPr>
        <w:t>99</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"_Toc69114031"</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17.6终止合同时承包人装备的撤离</w:t>
      </w:r>
      <w:r>
        <w:rPr>
          <w:color w:val="auto"/>
          <w:highlight w:val="none"/>
        </w:rPr>
        <w:tab/>
      </w:r>
      <w:r>
        <w:rPr>
          <w:color w:val="auto"/>
          <w:highlight w:val="none"/>
        </w:rPr>
        <w:fldChar w:fldCharType="begin"/>
      </w:r>
      <w:r>
        <w:rPr>
          <w:color w:val="auto"/>
          <w:highlight w:val="none"/>
        </w:rPr>
        <w:instrText xml:space="preserve"> PAGEREF _Toc69114031 \h </w:instrText>
      </w:r>
      <w:r>
        <w:rPr>
          <w:color w:val="auto"/>
          <w:highlight w:val="none"/>
        </w:rPr>
        <w:fldChar w:fldCharType="separate"/>
      </w:r>
      <w:r>
        <w:rPr>
          <w:color w:val="auto"/>
          <w:highlight w:val="none"/>
        </w:rPr>
        <w:t>99</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"_Toc69114032"</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17.7终止合同的支付</w:t>
      </w:r>
      <w:r>
        <w:rPr>
          <w:color w:val="auto"/>
          <w:highlight w:val="none"/>
        </w:rPr>
        <w:tab/>
      </w:r>
      <w:r>
        <w:rPr>
          <w:color w:val="auto"/>
          <w:highlight w:val="none"/>
        </w:rPr>
        <w:fldChar w:fldCharType="begin"/>
      </w:r>
      <w:r>
        <w:rPr>
          <w:color w:val="auto"/>
          <w:highlight w:val="none"/>
        </w:rPr>
        <w:instrText xml:space="preserve"> PAGEREF _Toc69114032 \h </w:instrText>
      </w:r>
      <w:r>
        <w:rPr>
          <w:color w:val="auto"/>
          <w:highlight w:val="none"/>
        </w:rPr>
        <w:fldChar w:fldCharType="separate"/>
      </w:r>
      <w:r>
        <w:rPr>
          <w:color w:val="auto"/>
          <w:highlight w:val="none"/>
        </w:rPr>
        <w:t>99</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"_Toc69114033"</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18. 保险</w:t>
      </w:r>
      <w:r>
        <w:rPr>
          <w:color w:val="auto"/>
          <w:highlight w:val="none"/>
        </w:rPr>
        <w:tab/>
      </w:r>
      <w:r>
        <w:rPr>
          <w:color w:val="auto"/>
          <w:highlight w:val="none"/>
        </w:rPr>
        <w:fldChar w:fldCharType="begin"/>
      </w:r>
      <w:r>
        <w:rPr>
          <w:color w:val="auto"/>
          <w:highlight w:val="none"/>
        </w:rPr>
        <w:instrText xml:space="preserve"> PAGEREF _Toc69114033 \h </w:instrText>
      </w:r>
      <w:r>
        <w:rPr>
          <w:color w:val="auto"/>
          <w:highlight w:val="none"/>
        </w:rPr>
        <w:fldChar w:fldCharType="separate"/>
      </w:r>
      <w:r>
        <w:rPr>
          <w:color w:val="auto"/>
          <w:highlight w:val="none"/>
        </w:rPr>
        <w:t>100</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"_Toc69114034"</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18.1工程的保险</w:t>
      </w:r>
      <w:r>
        <w:rPr>
          <w:color w:val="auto"/>
          <w:highlight w:val="none"/>
        </w:rPr>
        <w:tab/>
      </w:r>
      <w:r>
        <w:rPr>
          <w:color w:val="auto"/>
          <w:highlight w:val="none"/>
        </w:rPr>
        <w:fldChar w:fldCharType="begin"/>
      </w:r>
      <w:r>
        <w:rPr>
          <w:color w:val="auto"/>
          <w:highlight w:val="none"/>
        </w:rPr>
        <w:instrText xml:space="preserve"> PAGEREF _Toc69114034 \h </w:instrText>
      </w:r>
      <w:r>
        <w:rPr>
          <w:color w:val="auto"/>
          <w:highlight w:val="none"/>
        </w:rPr>
        <w:fldChar w:fldCharType="separate"/>
      </w:r>
      <w:r>
        <w:rPr>
          <w:color w:val="auto"/>
          <w:highlight w:val="none"/>
        </w:rPr>
        <w:t>100</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"_Toc69114035"</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18.2发包人与承包人约定的工程保险事项</w:t>
      </w:r>
      <w:r>
        <w:rPr>
          <w:color w:val="auto"/>
          <w:highlight w:val="none"/>
        </w:rPr>
        <w:tab/>
      </w:r>
      <w:r>
        <w:rPr>
          <w:color w:val="auto"/>
          <w:highlight w:val="none"/>
        </w:rPr>
        <w:fldChar w:fldCharType="begin"/>
      </w:r>
      <w:r>
        <w:rPr>
          <w:color w:val="auto"/>
          <w:highlight w:val="none"/>
        </w:rPr>
        <w:instrText xml:space="preserve"> PAGEREF _Toc69114035 \h </w:instrText>
      </w:r>
      <w:r>
        <w:rPr>
          <w:color w:val="auto"/>
          <w:highlight w:val="none"/>
        </w:rPr>
        <w:fldChar w:fldCharType="separate"/>
      </w:r>
      <w:r>
        <w:rPr>
          <w:color w:val="auto"/>
          <w:highlight w:val="none"/>
        </w:rPr>
        <w:t>101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"_Toc69114036"</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18.3保险范围</w:t>
      </w:r>
      <w:r>
        <w:rPr>
          <w:color w:val="auto"/>
          <w:highlight w:val="none"/>
        </w:rPr>
        <w:tab/>
      </w:r>
      <w:r>
        <w:rPr>
          <w:color w:val="auto"/>
          <w:highlight w:val="none"/>
        </w:rPr>
        <w:fldChar w:fldCharType="begin"/>
      </w:r>
      <w:r>
        <w:rPr>
          <w:color w:val="auto"/>
          <w:highlight w:val="none"/>
        </w:rPr>
        <w:instrText xml:space="preserve"> PAGEREF _Toc69114036 \h </w:instrText>
      </w:r>
      <w:r>
        <w:rPr>
          <w:color w:val="auto"/>
          <w:highlight w:val="none"/>
        </w:rPr>
        <w:fldChar w:fldCharType="separate"/>
      </w:r>
      <w:r>
        <w:rPr>
          <w:color w:val="auto"/>
          <w:highlight w:val="none"/>
        </w:rPr>
        <w:t>102</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"_Toc69114037"</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18.4承包人装备的保险</w:t>
      </w:r>
      <w:r>
        <w:rPr>
          <w:color w:val="auto"/>
          <w:highlight w:val="none"/>
        </w:rPr>
        <w:tab/>
      </w:r>
      <w:r>
        <w:rPr>
          <w:color w:val="auto"/>
          <w:highlight w:val="none"/>
        </w:rPr>
        <w:fldChar w:fldCharType="begin"/>
      </w:r>
      <w:r>
        <w:rPr>
          <w:color w:val="auto"/>
          <w:highlight w:val="none"/>
        </w:rPr>
        <w:instrText xml:space="preserve"> PAGEREF _Toc69114037 \h </w:instrText>
      </w:r>
      <w:r>
        <w:rPr>
          <w:color w:val="auto"/>
          <w:highlight w:val="none"/>
        </w:rPr>
        <w:fldChar w:fldCharType="separate"/>
      </w:r>
      <w:r>
        <w:rPr>
          <w:color w:val="auto"/>
          <w:highlight w:val="none"/>
        </w:rPr>
        <w:t>102</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"_Toc69114038"</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18.5对未能收回偿额的责任</w:t>
      </w:r>
      <w:r>
        <w:rPr>
          <w:color w:val="auto"/>
          <w:highlight w:val="none"/>
        </w:rPr>
        <w:tab/>
      </w:r>
      <w:r>
        <w:rPr>
          <w:color w:val="auto"/>
          <w:highlight w:val="none"/>
        </w:rPr>
        <w:fldChar w:fldCharType="begin"/>
      </w:r>
      <w:r>
        <w:rPr>
          <w:color w:val="auto"/>
          <w:highlight w:val="none"/>
        </w:rPr>
        <w:instrText xml:space="preserve"> PAGEREF _Toc69114038 \h </w:instrText>
      </w:r>
      <w:r>
        <w:rPr>
          <w:color w:val="auto"/>
          <w:highlight w:val="none"/>
        </w:rPr>
        <w:fldChar w:fldCharType="separate"/>
      </w:r>
      <w:r>
        <w:rPr>
          <w:color w:val="auto"/>
          <w:highlight w:val="none"/>
        </w:rPr>
        <w:t>102</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"_Toc69114039"</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18.6第三者责任险</w:t>
      </w:r>
      <w:r>
        <w:rPr>
          <w:color w:val="auto"/>
          <w:highlight w:val="none"/>
        </w:rPr>
        <w:tab/>
      </w:r>
      <w:r>
        <w:rPr>
          <w:color w:val="auto"/>
          <w:highlight w:val="none"/>
        </w:rPr>
        <w:fldChar w:fldCharType="begin"/>
      </w:r>
      <w:r>
        <w:rPr>
          <w:color w:val="auto"/>
          <w:highlight w:val="none"/>
        </w:rPr>
        <w:instrText xml:space="preserve"> PAGEREF _Toc69114039 \h </w:instrText>
      </w:r>
      <w:r>
        <w:rPr>
          <w:color w:val="auto"/>
          <w:highlight w:val="none"/>
        </w:rPr>
        <w:fldChar w:fldCharType="separate"/>
      </w:r>
      <w:r>
        <w:rPr>
          <w:color w:val="auto"/>
          <w:highlight w:val="none"/>
        </w:rPr>
        <w:t>102</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"_Toc69114040"</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18.7职工事故的保险</w:t>
      </w:r>
      <w:r>
        <w:rPr>
          <w:color w:val="auto"/>
          <w:highlight w:val="none"/>
        </w:rPr>
        <w:tab/>
      </w:r>
      <w:r>
        <w:rPr>
          <w:color w:val="auto"/>
          <w:highlight w:val="none"/>
        </w:rPr>
        <w:fldChar w:fldCharType="begin"/>
      </w:r>
      <w:r>
        <w:rPr>
          <w:color w:val="auto"/>
          <w:highlight w:val="none"/>
        </w:rPr>
        <w:instrText xml:space="preserve"> PAGEREF _Toc69114040 \h </w:instrText>
      </w:r>
      <w:r>
        <w:rPr>
          <w:color w:val="auto"/>
          <w:highlight w:val="none"/>
        </w:rPr>
        <w:fldChar w:fldCharType="separate"/>
      </w:r>
      <w:r>
        <w:rPr>
          <w:color w:val="auto"/>
          <w:highlight w:val="none"/>
        </w:rPr>
        <w:t>102</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"_Toc69114041"</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18.8保险的凭证</w:t>
      </w:r>
      <w:r>
        <w:rPr>
          <w:color w:val="auto"/>
          <w:highlight w:val="none"/>
        </w:rPr>
        <w:tab/>
      </w:r>
      <w:r>
        <w:rPr>
          <w:color w:val="auto"/>
          <w:highlight w:val="none"/>
        </w:rPr>
        <w:fldChar w:fldCharType="begin"/>
      </w:r>
      <w:r>
        <w:rPr>
          <w:color w:val="auto"/>
          <w:highlight w:val="none"/>
        </w:rPr>
        <w:instrText xml:space="preserve"> PAGEREF _Toc69114041 \h </w:instrText>
      </w:r>
      <w:r>
        <w:rPr>
          <w:color w:val="auto"/>
          <w:highlight w:val="none"/>
        </w:rPr>
        <w:fldChar w:fldCharType="separate"/>
      </w:r>
      <w:r>
        <w:rPr>
          <w:color w:val="auto"/>
          <w:highlight w:val="none"/>
        </w:rPr>
        <w:t>103</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"_Toc69114042"</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18.9足够的保险额</w:t>
      </w:r>
      <w:r>
        <w:rPr>
          <w:color w:val="auto"/>
          <w:highlight w:val="none"/>
        </w:rPr>
        <w:tab/>
      </w:r>
      <w:r>
        <w:rPr>
          <w:color w:val="auto"/>
          <w:highlight w:val="none"/>
        </w:rPr>
        <w:fldChar w:fldCharType="begin"/>
      </w:r>
      <w:r>
        <w:rPr>
          <w:color w:val="auto"/>
          <w:highlight w:val="none"/>
        </w:rPr>
        <w:instrText xml:space="preserve"> PAGEREF _Toc69114042 \h </w:instrText>
      </w:r>
      <w:r>
        <w:rPr>
          <w:color w:val="auto"/>
          <w:highlight w:val="none"/>
        </w:rPr>
        <w:fldChar w:fldCharType="separate"/>
      </w:r>
      <w:r>
        <w:rPr>
          <w:color w:val="auto"/>
          <w:highlight w:val="none"/>
        </w:rPr>
        <w:t>103</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"_Toc69114043"</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18.10遵守保险单的条件</w:t>
      </w:r>
      <w:r>
        <w:rPr>
          <w:color w:val="auto"/>
          <w:highlight w:val="none"/>
        </w:rPr>
        <w:tab/>
      </w:r>
      <w:r>
        <w:rPr>
          <w:color w:val="auto"/>
          <w:highlight w:val="none"/>
        </w:rPr>
        <w:fldChar w:fldCharType="begin"/>
      </w:r>
      <w:r>
        <w:rPr>
          <w:color w:val="auto"/>
          <w:highlight w:val="none"/>
        </w:rPr>
        <w:instrText xml:space="preserve"> PAGEREF _Toc69114043 \h </w:instrText>
      </w:r>
      <w:r>
        <w:rPr>
          <w:color w:val="auto"/>
          <w:highlight w:val="none"/>
        </w:rPr>
        <w:fldChar w:fldCharType="separate"/>
      </w:r>
      <w:r>
        <w:rPr>
          <w:color w:val="auto"/>
          <w:highlight w:val="none"/>
        </w:rPr>
        <w:t>103</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"_Toc69114044"</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19. 索赔</w:t>
      </w:r>
      <w:r>
        <w:rPr>
          <w:color w:val="auto"/>
          <w:highlight w:val="none"/>
        </w:rPr>
        <w:tab/>
      </w:r>
      <w:r>
        <w:rPr>
          <w:color w:val="auto"/>
          <w:highlight w:val="none"/>
        </w:rPr>
        <w:fldChar w:fldCharType="begin"/>
      </w:r>
      <w:r>
        <w:rPr>
          <w:color w:val="auto"/>
          <w:highlight w:val="none"/>
        </w:rPr>
        <w:instrText xml:space="preserve"> PAGEREF _Toc69114044 \h </w:instrText>
      </w:r>
      <w:r>
        <w:rPr>
          <w:color w:val="auto"/>
          <w:highlight w:val="none"/>
        </w:rPr>
        <w:fldChar w:fldCharType="separate"/>
      </w:r>
      <w:r>
        <w:rPr>
          <w:color w:val="auto"/>
          <w:highlight w:val="none"/>
        </w:rPr>
        <w:t>103</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"_Toc69114045"</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19.1承包人的索赔</w:t>
      </w:r>
      <w:r>
        <w:rPr>
          <w:color w:val="auto"/>
          <w:highlight w:val="none"/>
        </w:rPr>
        <w:tab/>
      </w:r>
      <w:r>
        <w:rPr>
          <w:color w:val="auto"/>
          <w:highlight w:val="none"/>
        </w:rPr>
        <w:fldChar w:fldCharType="begin"/>
      </w:r>
      <w:r>
        <w:rPr>
          <w:color w:val="auto"/>
          <w:highlight w:val="none"/>
        </w:rPr>
        <w:instrText xml:space="preserve"> PAGEREF _Toc69114045 \h </w:instrText>
      </w:r>
      <w:r>
        <w:rPr>
          <w:color w:val="auto"/>
          <w:highlight w:val="none"/>
        </w:rPr>
        <w:fldChar w:fldCharType="separate"/>
      </w:r>
      <w:r>
        <w:rPr>
          <w:color w:val="auto"/>
          <w:highlight w:val="none"/>
        </w:rPr>
        <w:t>103</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"_Toc69114046"</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19.2发包人的索赔</w:t>
      </w:r>
      <w:r>
        <w:rPr>
          <w:color w:val="auto"/>
          <w:highlight w:val="none"/>
        </w:rPr>
        <w:tab/>
      </w:r>
      <w:r>
        <w:rPr>
          <w:color w:val="auto"/>
          <w:highlight w:val="none"/>
        </w:rPr>
        <w:fldChar w:fldCharType="begin"/>
      </w:r>
      <w:r>
        <w:rPr>
          <w:color w:val="auto"/>
          <w:highlight w:val="none"/>
        </w:rPr>
        <w:instrText xml:space="preserve"> PAGEREF _Toc69114046 \h </w:instrText>
      </w:r>
      <w:r>
        <w:rPr>
          <w:color w:val="auto"/>
          <w:highlight w:val="none"/>
        </w:rPr>
        <w:fldChar w:fldCharType="separate"/>
      </w:r>
      <w:r>
        <w:rPr>
          <w:color w:val="auto"/>
          <w:highlight w:val="none"/>
        </w:rPr>
        <w:t>106</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"_Toc69114047"</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20. 争议解决</w:t>
      </w:r>
      <w:r>
        <w:rPr>
          <w:color w:val="auto"/>
          <w:highlight w:val="none"/>
        </w:rPr>
        <w:tab/>
      </w:r>
      <w:r>
        <w:rPr>
          <w:color w:val="auto"/>
          <w:highlight w:val="none"/>
        </w:rPr>
        <w:fldChar w:fldCharType="begin"/>
      </w:r>
      <w:r>
        <w:rPr>
          <w:color w:val="auto"/>
          <w:highlight w:val="none"/>
        </w:rPr>
        <w:instrText xml:space="preserve"> PAGEREF _Toc69114047 \h </w:instrText>
      </w:r>
      <w:r>
        <w:rPr>
          <w:color w:val="auto"/>
          <w:highlight w:val="none"/>
        </w:rPr>
        <w:fldChar w:fldCharType="separate"/>
      </w:r>
      <w:r>
        <w:rPr>
          <w:color w:val="auto"/>
          <w:highlight w:val="none"/>
        </w:rPr>
        <w:t>106</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"_Toc69114048"</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20.1监理人的裁定</w:t>
      </w:r>
      <w:r>
        <w:rPr>
          <w:color w:val="auto"/>
          <w:highlight w:val="none"/>
        </w:rPr>
        <w:tab/>
      </w:r>
      <w:r>
        <w:rPr>
          <w:color w:val="auto"/>
          <w:highlight w:val="none"/>
        </w:rPr>
        <w:fldChar w:fldCharType="begin"/>
      </w:r>
      <w:r>
        <w:rPr>
          <w:color w:val="auto"/>
          <w:highlight w:val="none"/>
        </w:rPr>
        <w:instrText xml:space="preserve"> PAGEREF _Toc69114048 \h </w:instrText>
      </w:r>
      <w:r>
        <w:rPr>
          <w:color w:val="auto"/>
          <w:highlight w:val="none"/>
        </w:rPr>
        <w:fldChar w:fldCharType="separate"/>
      </w:r>
      <w:r>
        <w:rPr>
          <w:color w:val="auto"/>
          <w:highlight w:val="none"/>
        </w:rPr>
        <w:t>106</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"_Toc69114049"</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20.2友好协商或上级调解</w:t>
      </w:r>
      <w:r>
        <w:rPr>
          <w:color w:val="auto"/>
          <w:highlight w:val="none"/>
        </w:rPr>
        <w:tab/>
      </w:r>
      <w:r>
        <w:rPr>
          <w:color w:val="auto"/>
          <w:highlight w:val="none"/>
        </w:rPr>
        <w:fldChar w:fldCharType="begin"/>
      </w:r>
      <w:r>
        <w:rPr>
          <w:color w:val="auto"/>
          <w:highlight w:val="none"/>
        </w:rPr>
        <w:instrText xml:space="preserve"> PAGEREF _Toc69114049 \h </w:instrText>
      </w:r>
      <w:r>
        <w:rPr>
          <w:color w:val="auto"/>
          <w:highlight w:val="none"/>
        </w:rPr>
        <w:fldChar w:fldCharType="separate"/>
      </w:r>
      <w:r>
        <w:rPr>
          <w:color w:val="auto"/>
          <w:highlight w:val="none"/>
        </w:rPr>
        <w:t>107</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"_Toc69114050"</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20.3管辖及法律适用</w:t>
      </w:r>
      <w:r>
        <w:rPr>
          <w:color w:val="auto"/>
          <w:highlight w:val="none"/>
        </w:rPr>
        <w:tab/>
      </w:r>
      <w:r>
        <w:rPr>
          <w:color w:val="auto"/>
          <w:highlight w:val="none"/>
        </w:rPr>
        <w:fldChar w:fldCharType="begin"/>
      </w:r>
      <w:r>
        <w:rPr>
          <w:color w:val="auto"/>
          <w:highlight w:val="none"/>
        </w:rPr>
        <w:instrText xml:space="preserve"> PAGEREF _Toc69114050 \h </w:instrText>
      </w:r>
      <w:r>
        <w:rPr>
          <w:color w:val="auto"/>
          <w:highlight w:val="none"/>
        </w:rPr>
        <w:fldChar w:fldCharType="separate"/>
      </w:r>
      <w:r>
        <w:rPr>
          <w:color w:val="auto"/>
          <w:highlight w:val="none"/>
        </w:rPr>
        <w:t>107</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"_Toc69114051"</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20.4未能遵守裁定或协议</w:t>
      </w:r>
      <w:r>
        <w:rPr>
          <w:color w:val="auto"/>
          <w:highlight w:val="none"/>
        </w:rPr>
        <w:tab/>
      </w:r>
      <w:r>
        <w:rPr>
          <w:color w:val="auto"/>
          <w:highlight w:val="none"/>
        </w:rPr>
        <w:fldChar w:fldCharType="begin"/>
      </w:r>
      <w:r>
        <w:rPr>
          <w:color w:val="auto"/>
          <w:highlight w:val="none"/>
        </w:rPr>
        <w:instrText xml:space="preserve"> PAGEREF _Toc69114051 \h </w:instrText>
      </w:r>
      <w:r>
        <w:rPr>
          <w:color w:val="auto"/>
          <w:highlight w:val="none"/>
        </w:rPr>
        <w:fldChar w:fldCharType="separate"/>
      </w:r>
      <w:r>
        <w:rPr>
          <w:color w:val="auto"/>
          <w:highlight w:val="none"/>
        </w:rPr>
        <w:t>107</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"_Toc69114052"</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20.5诉讼费用</w:t>
      </w:r>
      <w:r>
        <w:rPr>
          <w:color w:val="auto"/>
          <w:highlight w:val="none"/>
        </w:rPr>
        <w:tab/>
      </w:r>
      <w:r>
        <w:rPr>
          <w:color w:val="auto"/>
          <w:highlight w:val="none"/>
        </w:rPr>
        <w:fldChar w:fldCharType="begin"/>
      </w:r>
      <w:r>
        <w:rPr>
          <w:color w:val="auto"/>
          <w:highlight w:val="none"/>
        </w:rPr>
        <w:instrText xml:space="preserve"> PAGEREF _Toc69114052 \h </w:instrText>
      </w:r>
      <w:r>
        <w:rPr>
          <w:color w:val="auto"/>
          <w:highlight w:val="none"/>
        </w:rPr>
        <w:fldChar w:fldCharType="separate"/>
      </w:r>
      <w:r>
        <w:rPr>
          <w:color w:val="auto"/>
          <w:highlight w:val="none"/>
        </w:rPr>
        <w:t>108</w:t>
      </w:r>
      <w:r>
        <w:rPr>
          <w:color w:val="auto"/>
          <w:highlight w:val="none"/>
        </w:rPr>
        <w:fldChar w:fldCharType="end"/>
      </w:r>
      <w:r>
        <w:rPr>
          <w:color w:val="auto"/>
          <w:highlight w:val="none"/>
        </w:rPr>
        <w:fldChar w:fldCharType="end"/>
      </w:r>
    </w:p>
    <w:p>
      <w:pPr>
        <w:pStyle w:val="28"/>
        <w:tabs>
          <w:tab w:val="right" w:leader="dot" w:pos="9060"/>
        </w:tabs>
        <w:rPr>
          <w:rFonts w:ascii="等线" w:hAnsi="等线" w:eastAsia="等线" w:cs="Times New Roman"/>
          <w:b w:val="0"/>
          <w:bCs w:val="0"/>
          <w: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"_Toc69114053"</w:instrText>
      </w:r>
      <w:r>
        <w:rPr>
          <w:rStyle w:val="51"/>
          <w:color w:val="auto"/>
          <w:highlight w:val="none"/>
        </w:rPr>
        <w:instrText xml:space="preserve"> </w:instrText>
      </w:r>
      <w:r>
        <w:rPr>
          <w:color w:val="auto"/>
          <w:highlight w:val="none"/>
        </w:rPr>
        <w:fldChar w:fldCharType="separate"/>
      </w:r>
      <w:r>
        <w:rPr>
          <w:rStyle w:val="51"/>
          <w:rFonts w:ascii="宋体" w:hAnsi="宋体" w:cs="宋体"/>
          <w:color w:val="auto"/>
          <w:kern w:val="44"/>
          <w:highlight w:val="none"/>
        </w:rPr>
        <w:t>第三部分 专用合同条款</w:t>
      </w:r>
      <w:r>
        <w:rPr>
          <w:color w:val="auto"/>
          <w:highlight w:val="none"/>
        </w:rPr>
        <w:tab/>
      </w:r>
      <w:r>
        <w:rPr>
          <w:color w:val="auto"/>
          <w:highlight w:val="none"/>
        </w:rPr>
        <w:fldChar w:fldCharType="begin"/>
      </w:r>
      <w:r>
        <w:rPr>
          <w:color w:val="auto"/>
          <w:highlight w:val="none"/>
        </w:rPr>
        <w:instrText xml:space="preserve"> PAGEREF _Toc69114053 \h </w:instrText>
      </w:r>
      <w:r>
        <w:rPr>
          <w:color w:val="auto"/>
          <w:highlight w:val="none"/>
        </w:rPr>
        <w:fldChar w:fldCharType="separate"/>
      </w:r>
      <w:r>
        <w:rPr>
          <w:color w:val="auto"/>
          <w:highlight w:val="none"/>
        </w:rPr>
        <w:t>109</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"_Toc69114054"</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 一般约定</w:t>
      </w:r>
      <w:r>
        <w:rPr>
          <w:color w:val="auto"/>
          <w:highlight w:val="none"/>
        </w:rPr>
        <w:tab/>
      </w:r>
      <w:r>
        <w:rPr>
          <w:color w:val="auto"/>
          <w:highlight w:val="none"/>
        </w:rPr>
        <w:fldChar w:fldCharType="begin"/>
      </w:r>
      <w:r>
        <w:rPr>
          <w:color w:val="auto"/>
          <w:highlight w:val="none"/>
        </w:rPr>
        <w:instrText xml:space="preserve"> PAGEREF _Toc69114054 \h </w:instrText>
      </w:r>
      <w:r>
        <w:rPr>
          <w:color w:val="auto"/>
          <w:highlight w:val="none"/>
        </w:rPr>
        <w:fldChar w:fldCharType="separate"/>
      </w:r>
      <w:r>
        <w:rPr>
          <w:color w:val="auto"/>
          <w:highlight w:val="none"/>
        </w:rPr>
        <w:t>109</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"_Toc69114055"</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1.1 定义</w:t>
      </w:r>
      <w:r>
        <w:rPr>
          <w:color w:val="auto"/>
          <w:highlight w:val="none"/>
        </w:rPr>
        <w:tab/>
      </w:r>
      <w:r>
        <w:rPr>
          <w:color w:val="auto"/>
          <w:highlight w:val="none"/>
        </w:rPr>
        <w:fldChar w:fldCharType="begin"/>
      </w:r>
      <w:r>
        <w:rPr>
          <w:color w:val="auto"/>
          <w:highlight w:val="none"/>
        </w:rPr>
        <w:instrText xml:space="preserve"> PAGEREF _Toc69114055 \h </w:instrText>
      </w:r>
      <w:r>
        <w:rPr>
          <w:color w:val="auto"/>
          <w:highlight w:val="none"/>
        </w:rPr>
        <w:fldChar w:fldCharType="separate"/>
      </w:r>
      <w:r>
        <w:rPr>
          <w:color w:val="auto"/>
          <w:highlight w:val="none"/>
        </w:rPr>
        <w:t>109</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"_Toc69114056"</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1.3法律和法规</w:t>
      </w:r>
      <w:r>
        <w:rPr>
          <w:color w:val="auto"/>
          <w:highlight w:val="none"/>
        </w:rPr>
        <w:tab/>
      </w:r>
      <w:r>
        <w:rPr>
          <w:color w:val="auto"/>
          <w:highlight w:val="none"/>
        </w:rPr>
        <w:fldChar w:fldCharType="begin"/>
      </w:r>
      <w:r>
        <w:rPr>
          <w:color w:val="auto"/>
          <w:highlight w:val="none"/>
        </w:rPr>
        <w:instrText xml:space="preserve"> PAGEREF _Toc69114056 \h </w:instrText>
      </w:r>
      <w:r>
        <w:rPr>
          <w:color w:val="auto"/>
          <w:highlight w:val="none"/>
        </w:rPr>
        <w:fldChar w:fldCharType="separate"/>
      </w:r>
      <w:r>
        <w:rPr>
          <w:color w:val="auto"/>
          <w:highlight w:val="none"/>
        </w:rPr>
        <w:t>109</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"_Toc69114057"</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1.4 标准和规范</w:t>
      </w:r>
      <w:r>
        <w:rPr>
          <w:color w:val="auto"/>
          <w:highlight w:val="none"/>
        </w:rPr>
        <w:tab/>
      </w:r>
      <w:r>
        <w:rPr>
          <w:color w:val="auto"/>
          <w:highlight w:val="none"/>
        </w:rPr>
        <w:fldChar w:fldCharType="begin"/>
      </w:r>
      <w:r>
        <w:rPr>
          <w:color w:val="auto"/>
          <w:highlight w:val="none"/>
        </w:rPr>
        <w:instrText xml:space="preserve"> PAGEREF _Toc69114057 \h </w:instrText>
      </w:r>
      <w:r>
        <w:rPr>
          <w:color w:val="auto"/>
          <w:highlight w:val="none"/>
        </w:rPr>
        <w:fldChar w:fldCharType="separate"/>
      </w:r>
      <w:r>
        <w:rPr>
          <w:color w:val="auto"/>
          <w:highlight w:val="none"/>
        </w:rPr>
        <w:t>109</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"_Toc69114058"</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1.7 联络</w:t>
      </w:r>
      <w:r>
        <w:rPr>
          <w:color w:val="auto"/>
          <w:highlight w:val="none"/>
        </w:rPr>
        <w:tab/>
      </w:r>
      <w:r>
        <w:rPr>
          <w:color w:val="auto"/>
          <w:highlight w:val="none"/>
        </w:rPr>
        <w:fldChar w:fldCharType="begin"/>
      </w:r>
      <w:r>
        <w:rPr>
          <w:color w:val="auto"/>
          <w:highlight w:val="none"/>
        </w:rPr>
        <w:instrText xml:space="preserve"> PAGEREF _Toc69114058 \h </w:instrText>
      </w:r>
      <w:r>
        <w:rPr>
          <w:color w:val="auto"/>
          <w:highlight w:val="none"/>
        </w:rPr>
        <w:fldChar w:fldCharType="separate"/>
      </w:r>
      <w:r>
        <w:rPr>
          <w:color w:val="auto"/>
          <w:highlight w:val="none"/>
        </w:rPr>
        <w:t>109</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"_Toc69114059"</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1.11知识产权</w:t>
      </w:r>
      <w:r>
        <w:rPr>
          <w:color w:val="auto"/>
          <w:highlight w:val="none"/>
        </w:rPr>
        <w:tab/>
      </w:r>
      <w:r>
        <w:rPr>
          <w:color w:val="auto"/>
          <w:highlight w:val="none"/>
        </w:rPr>
        <w:fldChar w:fldCharType="begin"/>
      </w:r>
      <w:r>
        <w:rPr>
          <w:color w:val="auto"/>
          <w:highlight w:val="none"/>
        </w:rPr>
        <w:instrText xml:space="preserve"> PAGEREF _Toc69114059 \h </w:instrText>
      </w:r>
      <w:r>
        <w:rPr>
          <w:color w:val="auto"/>
          <w:highlight w:val="none"/>
        </w:rPr>
        <w:fldChar w:fldCharType="separate"/>
      </w:r>
      <w:r>
        <w:rPr>
          <w:color w:val="auto"/>
          <w:highlight w:val="none"/>
        </w:rPr>
        <w:t>110</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"_Toc69114060"</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1.12 BIM应用</w:t>
      </w:r>
      <w:r>
        <w:rPr>
          <w:color w:val="auto"/>
          <w:highlight w:val="none"/>
        </w:rPr>
        <w:tab/>
      </w:r>
      <w:r>
        <w:rPr>
          <w:color w:val="auto"/>
          <w:highlight w:val="none"/>
        </w:rPr>
        <w:fldChar w:fldCharType="begin"/>
      </w:r>
      <w:r>
        <w:rPr>
          <w:color w:val="auto"/>
          <w:highlight w:val="none"/>
        </w:rPr>
        <w:instrText xml:space="preserve"> PAGEREF _Toc69114060 \h </w:instrText>
      </w:r>
      <w:r>
        <w:rPr>
          <w:color w:val="auto"/>
          <w:highlight w:val="none"/>
        </w:rPr>
        <w:fldChar w:fldCharType="separate"/>
      </w:r>
      <w:r>
        <w:rPr>
          <w:color w:val="auto"/>
          <w:highlight w:val="none"/>
        </w:rPr>
        <w:t>110</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"_Toc69114061"</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2. 发包人</w:t>
      </w:r>
      <w:r>
        <w:rPr>
          <w:color w:val="auto"/>
          <w:highlight w:val="none"/>
        </w:rPr>
        <w:tab/>
      </w:r>
      <w:r>
        <w:rPr>
          <w:color w:val="auto"/>
          <w:highlight w:val="none"/>
        </w:rPr>
        <w:fldChar w:fldCharType="begin"/>
      </w:r>
      <w:r>
        <w:rPr>
          <w:color w:val="auto"/>
          <w:highlight w:val="none"/>
        </w:rPr>
        <w:instrText xml:space="preserve"> PAGEREF _Toc69114061 \h </w:instrText>
      </w:r>
      <w:r>
        <w:rPr>
          <w:color w:val="auto"/>
          <w:highlight w:val="none"/>
        </w:rPr>
        <w:fldChar w:fldCharType="separate"/>
      </w:r>
      <w:r>
        <w:rPr>
          <w:color w:val="auto"/>
          <w:highlight w:val="none"/>
        </w:rPr>
        <w:t>110</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"_Toc69114062"</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2.1项目主任</w:t>
      </w:r>
      <w:r>
        <w:rPr>
          <w:color w:val="auto"/>
          <w:highlight w:val="none"/>
        </w:rPr>
        <w:tab/>
      </w:r>
      <w:r>
        <w:rPr>
          <w:color w:val="auto"/>
          <w:highlight w:val="none"/>
        </w:rPr>
        <w:fldChar w:fldCharType="begin"/>
      </w:r>
      <w:r>
        <w:rPr>
          <w:color w:val="auto"/>
          <w:highlight w:val="none"/>
        </w:rPr>
        <w:instrText xml:space="preserve"> PAGEREF _Toc69114062 \h </w:instrText>
      </w:r>
      <w:r>
        <w:rPr>
          <w:color w:val="auto"/>
          <w:highlight w:val="none"/>
        </w:rPr>
        <w:fldChar w:fldCharType="separate"/>
      </w:r>
      <w:r>
        <w:rPr>
          <w:color w:val="auto"/>
          <w:highlight w:val="none"/>
        </w:rPr>
        <w:t>110</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"_Toc69114063"</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2.6支付担保的提交与退还</w:t>
      </w:r>
      <w:r>
        <w:rPr>
          <w:color w:val="auto"/>
          <w:highlight w:val="none"/>
        </w:rPr>
        <w:tab/>
      </w:r>
      <w:r>
        <w:rPr>
          <w:color w:val="auto"/>
          <w:highlight w:val="none"/>
        </w:rPr>
        <w:fldChar w:fldCharType="begin"/>
      </w:r>
      <w:r>
        <w:rPr>
          <w:color w:val="auto"/>
          <w:highlight w:val="none"/>
        </w:rPr>
        <w:instrText xml:space="preserve"> PAGEREF _Toc69114063 \h </w:instrText>
      </w:r>
      <w:r>
        <w:rPr>
          <w:color w:val="auto"/>
          <w:highlight w:val="none"/>
        </w:rPr>
        <w:fldChar w:fldCharType="separate"/>
      </w:r>
      <w:r>
        <w:rPr>
          <w:color w:val="auto"/>
          <w:highlight w:val="none"/>
        </w:rPr>
        <w:t>111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"_Toc69114064"</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2.7深化设计</w:t>
      </w:r>
      <w:r>
        <w:rPr>
          <w:color w:val="auto"/>
          <w:highlight w:val="none"/>
        </w:rPr>
        <w:tab/>
      </w:r>
      <w:r>
        <w:rPr>
          <w:color w:val="auto"/>
          <w:highlight w:val="none"/>
        </w:rPr>
        <w:fldChar w:fldCharType="begin"/>
      </w:r>
      <w:r>
        <w:rPr>
          <w:color w:val="auto"/>
          <w:highlight w:val="none"/>
        </w:rPr>
        <w:instrText xml:space="preserve"> PAGEREF _Toc69114064 \h </w:instrText>
      </w:r>
      <w:r>
        <w:rPr>
          <w:color w:val="auto"/>
          <w:highlight w:val="none"/>
        </w:rPr>
        <w:fldChar w:fldCharType="separate"/>
      </w:r>
      <w:r>
        <w:rPr>
          <w:color w:val="auto"/>
          <w:highlight w:val="none"/>
        </w:rPr>
        <w:t>111</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"_Toc69114065"</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3. 承包人</w:t>
      </w:r>
      <w:r>
        <w:rPr>
          <w:color w:val="auto"/>
          <w:highlight w:val="none"/>
        </w:rPr>
        <w:tab/>
      </w:r>
      <w:r>
        <w:rPr>
          <w:color w:val="auto"/>
          <w:highlight w:val="none"/>
        </w:rPr>
        <w:fldChar w:fldCharType="begin"/>
      </w:r>
      <w:r>
        <w:rPr>
          <w:color w:val="auto"/>
          <w:highlight w:val="none"/>
        </w:rPr>
        <w:instrText xml:space="preserve"> PAGEREF _Toc69114065 \h </w:instrText>
      </w:r>
      <w:r>
        <w:rPr>
          <w:color w:val="auto"/>
          <w:highlight w:val="none"/>
        </w:rPr>
        <w:fldChar w:fldCharType="separate"/>
      </w:r>
      <w:r>
        <w:rPr>
          <w:color w:val="auto"/>
          <w:highlight w:val="none"/>
        </w:rPr>
        <w:t>111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"_Toc69114066"</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3.1 承包人的一般义务</w:t>
      </w:r>
      <w:r>
        <w:rPr>
          <w:color w:val="auto"/>
          <w:highlight w:val="none"/>
        </w:rPr>
        <w:tab/>
      </w:r>
      <w:r>
        <w:rPr>
          <w:color w:val="auto"/>
          <w:highlight w:val="none"/>
        </w:rPr>
        <w:fldChar w:fldCharType="begin"/>
      </w:r>
      <w:r>
        <w:rPr>
          <w:color w:val="auto"/>
          <w:highlight w:val="none"/>
        </w:rPr>
        <w:instrText xml:space="preserve"> PAGEREF _Toc69114066 \h </w:instrText>
      </w:r>
      <w:r>
        <w:rPr>
          <w:color w:val="auto"/>
          <w:highlight w:val="none"/>
        </w:rPr>
        <w:fldChar w:fldCharType="separate"/>
      </w:r>
      <w:r>
        <w:rPr>
          <w:color w:val="auto"/>
          <w:highlight w:val="none"/>
        </w:rPr>
        <w:t>111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"_Toc69114067"</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3.2 项目经理</w:t>
      </w:r>
      <w:r>
        <w:rPr>
          <w:color w:val="auto"/>
          <w:highlight w:val="none"/>
        </w:rPr>
        <w:tab/>
      </w:r>
      <w:r>
        <w:rPr>
          <w:color w:val="auto"/>
          <w:highlight w:val="none"/>
        </w:rPr>
        <w:fldChar w:fldCharType="begin"/>
      </w:r>
      <w:r>
        <w:rPr>
          <w:color w:val="auto"/>
          <w:highlight w:val="none"/>
        </w:rPr>
        <w:instrText xml:space="preserve"> PAGEREF _Toc69114067 \h </w:instrText>
      </w:r>
      <w:r>
        <w:rPr>
          <w:color w:val="auto"/>
          <w:highlight w:val="none"/>
        </w:rPr>
        <w:fldChar w:fldCharType="separate"/>
      </w:r>
      <w:r>
        <w:rPr>
          <w:color w:val="auto"/>
          <w:highlight w:val="none"/>
        </w:rPr>
        <w:t>114</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"_Toc69114068"</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3.3 承包人人员</w:t>
      </w:r>
      <w:r>
        <w:rPr>
          <w:color w:val="auto"/>
          <w:highlight w:val="none"/>
        </w:rPr>
        <w:tab/>
      </w:r>
      <w:r>
        <w:rPr>
          <w:color w:val="auto"/>
          <w:highlight w:val="none"/>
        </w:rPr>
        <w:fldChar w:fldCharType="begin"/>
      </w:r>
      <w:r>
        <w:rPr>
          <w:color w:val="auto"/>
          <w:highlight w:val="none"/>
        </w:rPr>
        <w:instrText xml:space="preserve"> PAGEREF _Toc69114068 \h </w:instrText>
      </w:r>
      <w:r>
        <w:rPr>
          <w:color w:val="auto"/>
          <w:highlight w:val="none"/>
        </w:rPr>
        <w:fldChar w:fldCharType="separate"/>
      </w:r>
      <w:r>
        <w:rPr>
          <w:color w:val="auto"/>
          <w:highlight w:val="none"/>
        </w:rPr>
        <w:t>116</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"_Toc69114069"</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3.5 分包</w:t>
      </w:r>
      <w:r>
        <w:rPr>
          <w:color w:val="auto"/>
          <w:highlight w:val="none"/>
        </w:rPr>
        <w:tab/>
      </w:r>
      <w:r>
        <w:rPr>
          <w:color w:val="auto"/>
          <w:highlight w:val="none"/>
        </w:rPr>
        <w:fldChar w:fldCharType="begin"/>
      </w:r>
      <w:r>
        <w:rPr>
          <w:color w:val="auto"/>
          <w:highlight w:val="none"/>
        </w:rPr>
        <w:instrText xml:space="preserve"> PAGEREF _Toc69114069 \h </w:instrText>
      </w:r>
      <w:r>
        <w:rPr>
          <w:color w:val="auto"/>
          <w:highlight w:val="none"/>
        </w:rPr>
        <w:fldChar w:fldCharType="separate"/>
      </w:r>
      <w:r>
        <w:rPr>
          <w:color w:val="auto"/>
          <w:highlight w:val="none"/>
        </w:rPr>
        <w:t>117</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"_Toc69114070"</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3.8 履约担保</w:t>
      </w:r>
      <w:r>
        <w:rPr>
          <w:color w:val="auto"/>
          <w:highlight w:val="none"/>
        </w:rPr>
        <w:tab/>
      </w:r>
      <w:r>
        <w:rPr>
          <w:color w:val="auto"/>
          <w:highlight w:val="none"/>
        </w:rPr>
        <w:fldChar w:fldCharType="begin"/>
      </w:r>
      <w:r>
        <w:rPr>
          <w:color w:val="auto"/>
          <w:highlight w:val="none"/>
        </w:rPr>
        <w:instrText xml:space="preserve"> PAGEREF _Toc69114070 \h </w:instrText>
      </w:r>
      <w:r>
        <w:rPr>
          <w:color w:val="auto"/>
          <w:highlight w:val="none"/>
        </w:rPr>
        <w:fldChar w:fldCharType="separate"/>
      </w:r>
      <w:r>
        <w:rPr>
          <w:color w:val="auto"/>
          <w:highlight w:val="none"/>
        </w:rPr>
        <w:t>118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"_Toc69114071"</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3.9 联合体</w:t>
      </w:r>
      <w:r>
        <w:rPr>
          <w:color w:val="auto"/>
          <w:highlight w:val="none"/>
        </w:rPr>
        <w:tab/>
      </w:r>
      <w:r>
        <w:rPr>
          <w:color w:val="auto"/>
          <w:highlight w:val="none"/>
        </w:rPr>
        <w:fldChar w:fldCharType="begin"/>
      </w:r>
      <w:r>
        <w:rPr>
          <w:color w:val="auto"/>
          <w:highlight w:val="none"/>
        </w:rPr>
        <w:instrText xml:space="preserve"> PAGEREF _Toc69114071 \h </w:instrText>
      </w:r>
      <w:r>
        <w:rPr>
          <w:color w:val="auto"/>
          <w:highlight w:val="none"/>
        </w:rPr>
        <w:fldChar w:fldCharType="separate"/>
      </w:r>
      <w:r>
        <w:rPr>
          <w:color w:val="auto"/>
          <w:highlight w:val="none"/>
        </w:rPr>
        <w:t>118</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"_Toc69114072"</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4. 监理人</w:t>
      </w:r>
      <w:r>
        <w:rPr>
          <w:color w:val="auto"/>
          <w:highlight w:val="none"/>
        </w:rPr>
        <w:tab/>
      </w:r>
      <w:r>
        <w:rPr>
          <w:color w:val="auto"/>
          <w:highlight w:val="none"/>
        </w:rPr>
        <w:fldChar w:fldCharType="begin"/>
      </w:r>
      <w:r>
        <w:rPr>
          <w:color w:val="auto"/>
          <w:highlight w:val="none"/>
        </w:rPr>
        <w:instrText xml:space="preserve"> PAGEREF _Toc69114072 \h </w:instrText>
      </w:r>
      <w:r>
        <w:rPr>
          <w:color w:val="auto"/>
          <w:highlight w:val="none"/>
        </w:rPr>
        <w:fldChar w:fldCharType="separate"/>
      </w:r>
      <w:r>
        <w:rPr>
          <w:color w:val="auto"/>
          <w:highlight w:val="none"/>
        </w:rPr>
        <w:t>118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"_Toc69114073"</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4.1 监理人的一般规定</w:t>
      </w:r>
      <w:r>
        <w:rPr>
          <w:color w:val="auto"/>
          <w:highlight w:val="none"/>
        </w:rPr>
        <w:tab/>
      </w:r>
      <w:r>
        <w:rPr>
          <w:color w:val="auto"/>
          <w:highlight w:val="none"/>
        </w:rPr>
        <w:fldChar w:fldCharType="begin"/>
      </w:r>
      <w:r>
        <w:rPr>
          <w:color w:val="auto"/>
          <w:highlight w:val="none"/>
        </w:rPr>
        <w:instrText xml:space="preserve"> PAGEREF _Toc69114073 \h </w:instrText>
      </w:r>
      <w:r>
        <w:rPr>
          <w:color w:val="auto"/>
          <w:highlight w:val="none"/>
        </w:rPr>
        <w:fldChar w:fldCharType="separate"/>
      </w:r>
      <w:r>
        <w:rPr>
          <w:color w:val="auto"/>
          <w:highlight w:val="none"/>
        </w:rPr>
        <w:t>118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"_Toc69114074"</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4.2 监理人员</w:t>
      </w:r>
      <w:r>
        <w:rPr>
          <w:color w:val="auto"/>
          <w:highlight w:val="none"/>
        </w:rPr>
        <w:tab/>
      </w:r>
      <w:r>
        <w:rPr>
          <w:color w:val="auto"/>
          <w:highlight w:val="none"/>
        </w:rPr>
        <w:fldChar w:fldCharType="begin"/>
      </w:r>
      <w:r>
        <w:rPr>
          <w:color w:val="auto"/>
          <w:highlight w:val="none"/>
        </w:rPr>
        <w:instrText xml:space="preserve"> PAGEREF _Toc69114074 \h </w:instrText>
      </w:r>
      <w:r>
        <w:rPr>
          <w:color w:val="auto"/>
          <w:highlight w:val="none"/>
        </w:rPr>
        <w:fldChar w:fldCharType="separate"/>
      </w:r>
      <w:r>
        <w:rPr>
          <w:color w:val="auto"/>
          <w:highlight w:val="none"/>
        </w:rPr>
        <w:t>119</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"_Toc69114075"</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5. 工程质量</w:t>
      </w:r>
      <w:r>
        <w:rPr>
          <w:color w:val="auto"/>
          <w:highlight w:val="none"/>
        </w:rPr>
        <w:tab/>
      </w:r>
      <w:r>
        <w:rPr>
          <w:color w:val="auto"/>
          <w:highlight w:val="none"/>
        </w:rPr>
        <w:fldChar w:fldCharType="begin"/>
      </w:r>
      <w:r>
        <w:rPr>
          <w:color w:val="auto"/>
          <w:highlight w:val="none"/>
        </w:rPr>
        <w:instrText xml:space="preserve"> PAGEREF _Toc69114075 \h </w:instrText>
      </w:r>
      <w:r>
        <w:rPr>
          <w:color w:val="auto"/>
          <w:highlight w:val="none"/>
        </w:rPr>
        <w:fldChar w:fldCharType="separate"/>
      </w:r>
      <w:r>
        <w:rPr>
          <w:color w:val="auto"/>
          <w:highlight w:val="none"/>
        </w:rPr>
        <w:t>119</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"_Toc69114076"</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5.1质量要求</w:t>
      </w:r>
      <w:r>
        <w:rPr>
          <w:color w:val="auto"/>
          <w:highlight w:val="none"/>
        </w:rPr>
        <w:tab/>
      </w:r>
      <w:r>
        <w:rPr>
          <w:color w:val="auto"/>
          <w:highlight w:val="none"/>
        </w:rPr>
        <w:fldChar w:fldCharType="begin"/>
      </w:r>
      <w:r>
        <w:rPr>
          <w:color w:val="auto"/>
          <w:highlight w:val="none"/>
        </w:rPr>
        <w:instrText xml:space="preserve"> PAGEREF _Toc69114076 \h </w:instrText>
      </w:r>
      <w:r>
        <w:rPr>
          <w:color w:val="auto"/>
          <w:highlight w:val="none"/>
        </w:rPr>
        <w:fldChar w:fldCharType="separate"/>
      </w:r>
      <w:r>
        <w:rPr>
          <w:color w:val="auto"/>
          <w:highlight w:val="none"/>
        </w:rPr>
        <w:t>119</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"_Toc69114077"</w:instrText>
      </w:r>
      <w:r>
        <w:rPr>
          <w:rStyle w:val="51"/>
          <w:color w:val="auto"/>
          <w:highlight w:val="none"/>
        </w:rPr>
        <w:instrText xml:space="preserve"> </w:instrText>
      </w:r>
      <w:r>
        <w:rPr>
          <w:color w:val="auto"/>
          <w:highlight w:val="none"/>
        </w:rPr>
        <w:fldChar w:fldCharType="separate"/>
      </w:r>
      <w:r>
        <w:rPr>
          <w:rStyle w:val="51"/>
          <w:rFonts w:ascii="宋体" w:hAnsi="宋体" w:cs="宋体"/>
          <w:b/>
          <w:color w:val="auto"/>
          <w:highlight w:val="none"/>
        </w:rPr>
        <w:t xml:space="preserve">5.3 </w:t>
      </w:r>
      <w:r>
        <w:rPr>
          <w:rStyle w:val="51"/>
          <w:rFonts w:ascii="宋体" w:hAnsi="宋体" w:cs="宋体"/>
          <w:b/>
          <w:bCs/>
          <w:color w:val="auto"/>
          <w:highlight w:val="none"/>
        </w:rPr>
        <w:t>隐蔽工程检查</w:t>
      </w:r>
      <w:r>
        <w:rPr>
          <w:color w:val="auto"/>
          <w:highlight w:val="none"/>
        </w:rPr>
        <w:tab/>
      </w:r>
      <w:r>
        <w:rPr>
          <w:color w:val="auto"/>
          <w:highlight w:val="none"/>
        </w:rPr>
        <w:fldChar w:fldCharType="begin"/>
      </w:r>
      <w:r>
        <w:rPr>
          <w:color w:val="auto"/>
          <w:highlight w:val="none"/>
        </w:rPr>
        <w:instrText xml:space="preserve"> PAGEREF _Toc69114077 \h </w:instrText>
      </w:r>
      <w:r>
        <w:rPr>
          <w:color w:val="auto"/>
          <w:highlight w:val="none"/>
        </w:rPr>
        <w:fldChar w:fldCharType="separate"/>
      </w:r>
      <w:r>
        <w:rPr>
          <w:color w:val="auto"/>
          <w:highlight w:val="none"/>
        </w:rPr>
        <w:t>120</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"_Toc69114078"</w:instrText>
      </w:r>
      <w:r>
        <w:rPr>
          <w:rStyle w:val="51"/>
          <w:color w:val="auto"/>
          <w:highlight w:val="none"/>
        </w:rPr>
        <w:instrText xml:space="preserve"> </w:instrText>
      </w:r>
      <w:r>
        <w:rPr>
          <w:color w:val="auto"/>
          <w:highlight w:val="none"/>
        </w:rPr>
        <w:fldChar w:fldCharType="separate"/>
      </w:r>
      <w:r>
        <w:rPr>
          <w:rStyle w:val="51"/>
          <w:rFonts w:ascii="Segoe UI Symbol" w:hAnsi="Segoe UI Symbol" w:cs="Segoe UI Symbol"/>
          <w:color w:val="auto"/>
          <w:sz w:val="28"/>
          <w:szCs w:val="28"/>
          <w:highlight w:val="none"/>
        </w:rPr>
        <w:sym w:font="Wingdings" w:char="F0A8"/>
      </w:r>
      <w:r>
        <w:rPr>
          <w:rStyle w:val="51"/>
          <w:rFonts w:ascii="宋体" w:hAnsi="宋体" w:cs="宋体"/>
          <w:b/>
          <w:bCs/>
          <w:color w:val="auto"/>
          <w:highlight w:val="none"/>
        </w:rPr>
        <w:t>5.5质量、安全检查</w:t>
      </w:r>
      <w:r>
        <w:rPr>
          <w:color w:val="auto"/>
          <w:highlight w:val="none"/>
        </w:rPr>
        <w:tab/>
      </w:r>
      <w:r>
        <w:rPr>
          <w:color w:val="auto"/>
          <w:highlight w:val="none"/>
        </w:rPr>
        <w:fldChar w:fldCharType="begin"/>
      </w:r>
      <w:r>
        <w:rPr>
          <w:color w:val="auto"/>
          <w:highlight w:val="none"/>
        </w:rPr>
        <w:instrText xml:space="preserve"> PAGEREF _Toc69114078 \h </w:instrText>
      </w:r>
      <w:r>
        <w:rPr>
          <w:color w:val="auto"/>
          <w:highlight w:val="none"/>
        </w:rPr>
        <w:fldChar w:fldCharType="separate"/>
      </w:r>
      <w:r>
        <w:rPr>
          <w:color w:val="auto"/>
          <w:highlight w:val="none"/>
        </w:rPr>
        <w:t>120</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"_Toc69114079"</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6.安全文明施工与环境保护</w:t>
      </w:r>
      <w:r>
        <w:rPr>
          <w:color w:val="auto"/>
          <w:highlight w:val="none"/>
        </w:rPr>
        <w:tab/>
      </w:r>
      <w:r>
        <w:rPr>
          <w:color w:val="auto"/>
          <w:highlight w:val="none"/>
        </w:rPr>
        <w:fldChar w:fldCharType="begin"/>
      </w:r>
      <w:r>
        <w:rPr>
          <w:color w:val="auto"/>
          <w:highlight w:val="none"/>
        </w:rPr>
        <w:instrText xml:space="preserve"> PAGEREF _Toc69114079 \h </w:instrText>
      </w:r>
      <w:r>
        <w:rPr>
          <w:color w:val="auto"/>
          <w:highlight w:val="none"/>
        </w:rPr>
        <w:fldChar w:fldCharType="separate"/>
      </w:r>
      <w:r>
        <w:rPr>
          <w:color w:val="auto"/>
          <w:highlight w:val="none"/>
        </w:rPr>
        <w:t>121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"_Toc69114080"</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6.1安全文明施工</w:t>
      </w:r>
      <w:r>
        <w:rPr>
          <w:color w:val="auto"/>
          <w:highlight w:val="none"/>
        </w:rPr>
        <w:tab/>
      </w:r>
      <w:r>
        <w:rPr>
          <w:color w:val="auto"/>
          <w:highlight w:val="none"/>
        </w:rPr>
        <w:fldChar w:fldCharType="begin"/>
      </w:r>
      <w:r>
        <w:rPr>
          <w:color w:val="auto"/>
          <w:highlight w:val="none"/>
        </w:rPr>
        <w:instrText xml:space="preserve"> PAGEREF _Toc69114080 \h </w:instrText>
      </w:r>
      <w:r>
        <w:rPr>
          <w:color w:val="auto"/>
          <w:highlight w:val="none"/>
        </w:rPr>
        <w:fldChar w:fldCharType="separate"/>
      </w:r>
      <w:r>
        <w:rPr>
          <w:color w:val="auto"/>
          <w:highlight w:val="none"/>
        </w:rPr>
        <w:t>121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"_Toc69114081"</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6.3环境保护</w:t>
      </w:r>
      <w:r>
        <w:rPr>
          <w:color w:val="auto"/>
          <w:highlight w:val="none"/>
        </w:rPr>
        <w:tab/>
      </w:r>
      <w:r>
        <w:rPr>
          <w:color w:val="auto"/>
          <w:highlight w:val="none"/>
        </w:rPr>
        <w:fldChar w:fldCharType="begin"/>
      </w:r>
      <w:r>
        <w:rPr>
          <w:color w:val="auto"/>
          <w:highlight w:val="none"/>
        </w:rPr>
        <w:instrText xml:space="preserve"> PAGEREF _Toc69114081 \h </w:instrText>
      </w:r>
      <w:r>
        <w:rPr>
          <w:color w:val="auto"/>
          <w:highlight w:val="none"/>
        </w:rPr>
        <w:fldChar w:fldCharType="separate"/>
      </w:r>
      <w:r>
        <w:rPr>
          <w:color w:val="auto"/>
          <w:highlight w:val="none"/>
        </w:rPr>
        <w:t>129</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"_Toc69114082"</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7. 工期和进度</w:t>
      </w:r>
      <w:r>
        <w:rPr>
          <w:color w:val="auto"/>
          <w:highlight w:val="none"/>
        </w:rPr>
        <w:tab/>
      </w:r>
      <w:r>
        <w:rPr>
          <w:color w:val="auto"/>
          <w:highlight w:val="none"/>
        </w:rPr>
        <w:fldChar w:fldCharType="begin"/>
      </w:r>
      <w:r>
        <w:rPr>
          <w:color w:val="auto"/>
          <w:highlight w:val="none"/>
        </w:rPr>
        <w:instrText xml:space="preserve"> PAGEREF _Toc69114082 \h </w:instrText>
      </w:r>
      <w:r>
        <w:rPr>
          <w:color w:val="auto"/>
          <w:highlight w:val="none"/>
        </w:rPr>
        <w:fldChar w:fldCharType="separate"/>
      </w:r>
      <w:r>
        <w:rPr>
          <w:color w:val="auto"/>
          <w:highlight w:val="none"/>
        </w:rPr>
        <w:t>132</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"_Toc69114083"</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7.1施工进度计划</w:t>
      </w:r>
      <w:r>
        <w:rPr>
          <w:color w:val="auto"/>
          <w:highlight w:val="none"/>
        </w:rPr>
        <w:tab/>
      </w:r>
      <w:r>
        <w:rPr>
          <w:color w:val="auto"/>
          <w:highlight w:val="none"/>
        </w:rPr>
        <w:fldChar w:fldCharType="begin"/>
      </w:r>
      <w:r>
        <w:rPr>
          <w:color w:val="auto"/>
          <w:highlight w:val="none"/>
        </w:rPr>
        <w:instrText xml:space="preserve"> PAGEREF _Toc69114083 \h </w:instrText>
      </w:r>
      <w:r>
        <w:rPr>
          <w:color w:val="auto"/>
          <w:highlight w:val="none"/>
        </w:rPr>
        <w:fldChar w:fldCharType="separate"/>
      </w:r>
      <w:r>
        <w:rPr>
          <w:color w:val="auto"/>
          <w:highlight w:val="none"/>
        </w:rPr>
        <w:t>132</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"_Toc69114084"</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7.6工期延误</w:t>
      </w:r>
      <w:r>
        <w:rPr>
          <w:color w:val="auto"/>
          <w:highlight w:val="none"/>
        </w:rPr>
        <w:tab/>
      </w:r>
      <w:r>
        <w:rPr>
          <w:color w:val="auto"/>
          <w:highlight w:val="none"/>
        </w:rPr>
        <w:fldChar w:fldCharType="begin"/>
      </w:r>
      <w:r>
        <w:rPr>
          <w:color w:val="auto"/>
          <w:highlight w:val="none"/>
        </w:rPr>
        <w:instrText xml:space="preserve"> PAGEREF _Toc69114084 \h </w:instrText>
      </w:r>
      <w:r>
        <w:rPr>
          <w:color w:val="auto"/>
          <w:highlight w:val="none"/>
        </w:rPr>
        <w:fldChar w:fldCharType="separate"/>
      </w:r>
      <w:r>
        <w:rPr>
          <w:color w:val="auto"/>
          <w:highlight w:val="none"/>
        </w:rPr>
        <w:t>133</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"_Toc69114085"</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8. 材料与设备</w:t>
      </w:r>
      <w:r>
        <w:rPr>
          <w:color w:val="auto"/>
          <w:highlight w:val="none"/>
        </w:rPr>
        <w:tab/>
      </w:r>
      <w:r>
        <w:rPr>
          <w:color w:val="auto"/>
          <w:highlight w:val="none"/>
        </w:rPr>
        <w:fldChar w:fldCharType="begin"/>
      </w:r>
      <w:r>
        <w:rPr>
          <w:color w:val="auto"/>
          <w:highlight w:val="none"/>
        </w:rPr>
        <w:instrText xml:space="preserve"> PAGEREF _Toc69114085 \h </w:instrText>
      </w:r>
      <w:r>
        <w:rPr>
          <w:color w:val="auto"/>
          <w:highlight w:val="none"/>
        </w:rPr>
        <w:fldChar w:fldCharType="separate"/>
      </w:r>
      <w:r>
        <w:rPr>
          <w:color w:val="auto"/>
          <w:highlight w:val="none"/>
        </w:rPr>
        <w:t>133</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"_Toc69114086"</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8.1承包人采购或提供材料与工程设备</w:t>
      </w:r>
      <w:r>
        <w:rPr>
          <w:color w:val="auto"/>
          <w:highlight w:val="none"/>
        </w:rPr>
        <w:tab/>
      </w:r>
      <w:r>
        <w:rPr>
          <w:color w:val="auto"/>
          <w:highlight w:val="none"/>
        </w:rPr>
        <w:fldChar w:fldCharType="begin"/>
      </w:r>
      <w:r>
        <w:rPr>
          <w:color w:val="auto"/>
          <w:highlight w:val="none"/>
        </w:rPr>
        <w:instrText xml:space="preserve"> PAGEREF _Toc69114086 \h </w:instrText>
      </w:r>
      <w:r>
        <w:rPr>
          <w:color w:val="auto"/>
          <w:highlight w:val="none"/>
        </w:rPr>
        <w:fldChar w:fldCharType="separate"/>
      </w:r>
      <w:r>
        <w:rPr>
          <w:color w:val="auto"/>
          <w:highlight w:val="none"/>
        </w:rPr>
        <w:t>133</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"_Toc69114087"</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8.2材料与工程设备的保管与使用</w:t>
      </w:r>
      <w:r>
        <w:rPr>
          <w:color w:val="auto"/>
          <w:highlight w:val="none"/>
        </w:rPr>
        <w:tab/>
      </w:r>
      <w:r>
        <w:rPr>
          <w:color w:val="auto"/>
          <w:highlight w:val="none"/>
        </w:rPr>
        <w:fldChar w:fldCharType="begin"/>
      </w:r>
      <w:r>
        <w:rPr>
          <w:color w:val="auto"/>
          <w:highlight w:val="none"/>
        </w:rPr>
        <w:instrText xml:space="preserve"> PAGEREF _Toc69114087 \h </w:instrText>
      </w:r>
      <w:r>
        <w:rPr>
          <w:color w:val="auto"/>
          <w:highlight w:val="none"/>
        </w:rPr>
        <w:fldChar w:fldCharType="separate"/>
      </w:r>
      <w:r>
        <w:rPr>
          <w:color w:val="auto"/>
          <w:highlight w:val="none"/>
        </w:rPr>
        <w:t>136</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"_Toc69114088"</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9. 试验与检验</w:t>
      </w:r>
      <w:r>
        <w:rPr>
          <w:color w:val="auto"/>
          <w:highlight w:val="none"/>
        </w:rPr>
        <w:tab/>
      </w:r>
      <w:r>
        <w:rPr>
          <w:color w:val="auto"/>
          <w:highlight w:val="none"/>
        </w:rPr>
        <w:fldChar w:fldCharType="begin"/>
      </w:r>
      <w:r>
        <w:rPr>
          <w:color w:val="auto"/>
          <w:highlight w:val="none"/>
        </w:rPr>
        <w:instrText xml:space="preserve"> PAGEREF _Toc69114088 \h </w:instrText>
      </w:r>
      <w:r>
        <w:rPr>
          <w:color w:val="auto"/>
          <w:highlight w:val="none"/>
        </w:rPr>
        <w:fldChar w:fldCharType="separate"/>
      </w:r>
      <w:r>
        <w:rPr>
          <w:color w:val="auto"/>
          <w:highlight w:val="none"/>
        </w:rPr>
        <w:t>136</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"_Toc69114089"</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9.6检验费用</w:t>
      </w:r>
      <w:r>
        <w:rPr>
          <w:color w:val="auto"/>
          <w:highlight w:val="none"/>
        </w:rPr>
        <w:tab/>
      </w:r>
      <w:r>
        <w:rPr>
          <w:color w:val="auto"/>
          <w:highlight w:val="none"/>
        </w:rPr>
        <w:fldChar w:fldCharType="begin"/>
      </w:r>
      <w:r>
        <w:rPr>
          <w:color w:val="auto"/>
          <w:highlight w:val="none"/>
        </w:rPr>
        <w:instrText xml:space="preserve"> PAGEREF _Toc69114089 \h </w:instrText>
      </w:r>
      <w:r>
        <w:rPr>
          <w:color w:val="auto"/>
          <w:highlight w:val="none"/>
        </w:rPr>
        <w:fldChar w:fldCharType="separate"/>
      </w:r>
      <w:r>
        <w:rPr>
          <w:color w:val="auto"/>
          <w:highlight w:val="none"/>
        </w:rPr>
        <w:t>136</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"_Toc69114090"</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9.7样品</w:t>
      </w:r>
      <w:r>
        <w:rPr>
          <w:color w:val="auto"/>
          <w:highlight w:val="none"/>
        </w:rPr>
        <w:tab/>
      </w:r>
      <w:r>
        <w:rPr>
          <w:color w:val="auto"/>
          <w:highlight w:val="none"/>
        </w:rPr>
        <w:fldChar w:fldCharType="begin"/>
      </w:r>
      <w:r>
        <w:rPr>
          <w:color w:val="auto"/>
          <w:highlight w:val="none"/>
        </w:rPr>
        <w:instrText xml:space="preserve"> PAGEREF _Toc69114090 \h </w:instrText>
      </w:r>
      <w:r>
        <w:rPr>
          <w:color w:val="auto"/>
          <w:highlight w:val="none"/>
        </w:rPr>
        <w:fldChar w:fldCharType="separate"/>
      </w:r>
      <w:r>
        <w:rPr>
          <w:color w:val="auto"/>
          <w:highlight w:val="none"/>
        </w:rPr>
        <w:t>136</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"_Toc69114091"</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10. 变更</w:t>
      </w:r>
      <w:r>
        <w:rPr>
          <w:color w:val="auto"/>
          <w:highlight w:val="none"/>
        </w:rPr>
        <w:tab/>
      </w:r>
      <w:r>
        <w:rPr>
          <w:color w:val="auto"/>
          <w:highlight w:val="none"/>
        </w:rPr>
        <w:fldChar w:fldCharType="begin"/>
      </w:r>
      <w:r>
        <w:rPr>
          <w:color w:val="auto"/>
          <w:highlight w:val="none"/>
        </w:rPr>
        <w:instrText xml:space="preserve"> PAGEREF _Toc69114091 \h </w:instrText>
      </w:r>
      <w:r>
        <w:rPr>
          <w:color w:val="auto"/>
          <w:highlight w:val="none"/>
        </w:rPr>
        <w:fldChar w:fldCharType="separate"/>
      </w:r>
      <w:r>
        <w:rPr>
          <w:color w:val="auto"/>
          <w:highlight w:val="none"/>
        </w:rPr>
        <w:t>139</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"_Toc69114092"</w:instrText>
      </w:r>
      <w:r>
        <w:rPr>
          <w:rStyle w:val="51"/>
          <w:color w:val="auto"/>
          <w:highlight w:val="none"/>
        </w:rPr>
        <w:instrText xml:space="preserve"> </w:instrText>
      </w:r>
      <w:r>
        <w:rPr>
          <w:color w:val="auto"/>
          <w:highlight w:val="none"/>
        </w:rPr>
        <w:fldChar w:fldCharType="separate"/>
      </w:r>
      <w:r>
        <w:rPr>
          <w:rStyle w:val="51"/>
          <w:rFonts w:hint="eastAsia" w:ascii="宋体" w:hAnsi="宋体" w:cs="宋体"/>
          <w:b/>
          <w:bCs/>
          <w:color w:val="auto"/>
          <w:sz w:val="28"/>
          <w:szCs w:val="28"/>
          <w:highlight w:val="none"/>
        </w:rPr>
        <w:sym w:font="Wingdings" w:char="F0A8"/>
      </w:r>
      <w:r>
        <w:rPr>
          <w:rStyle w:val="51"/>
          <w:rFonts w:ascii="宋体" w:hAnsi="宋体" w:cs="宋体"/>
          <w:b/>
          <w:bCs/>
          <w:color w:val="auto"/>
          <w:highlight w:val="none"/>
        </w:rPr>
        <w:t>10.3变更的估价</w:t>
      </w:r>
      <w:r>
        <w:rPr>
          <w:color w:val="auto"/>
          <w:highlight w:val="none"/>
        </w:rPr>
        <w:tab/>
      </w:r>
      <w:r>
        <w:rPr>
          <w:color w:val="auto"/>
          <w:highlight w:val="none"/>
        </w:rPr>
        <w:fldChar w:fldCharType="begin"/>
      </w:r>
      <w:r>
        <w:rPr>
          <w:color w:val="auto"/>
          <w:highlight w:val="none"/>
        </w:rPr>
        <w:instrText xml:space="preserve"> PAGEREF _Toc69114092 \h </w:instrText>
      </w:r>
      <w:r>
        <w:rPr>
          <w:color w:val="auto"/>
          <w:highlight w:val="none"/>
        </w:rPr>
        <w:fldChar w:fldCharType="separate"/>
      </w:r>
      <w:r>
        <w:rPr>
          <w:color w:val="auto"/>
          <w:highlight w:val="none"/>
        </w:rPr>
        <w:t>139</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"_Toc69114093"</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11. 价格调整</w:t>
      </w:r>
      <w:r>
        <w:rPr>
          <w:color w:val="auto"/>
          <w:highlight w:val="none"/>
        </w:rPr>
        <w:tab/>
      </w:r>
      <w:r>
        <w:rPr>
          <w:color w:val="auto"/>
          <w:highlight w:val="none"/>
        </w:rPr>
        <w:fldChar w:fldCharType="begin"/>
      </w:r>
      <w:r>
        <w:rPr>
          <w:color w:val="auto"/>
          <w:highlight w:val="none"/>
        </w:rPr>
        <w:instrText xml:space="preserve"> PAGEREF _Toc69114093 \h </w:instrText>
      </w:r>
      <w:r>
        <w:rPr>
          <w:color w:val="auto"/>
          <w:highlight w:val="none"/>
        </w:rPr>
        <w:fldChar w:fldCharType="separate"/>
      </w:r>
      <w:r>
        <w:rPr>
          <w:color w:val="auto"/>
          <w:highlight w:val="none"/>
        </w:rPr>
        <w:t>140</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"_Toc69114094"</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11.1市场变化引起的费用的增加或减少</w:t>
      </w:r>
      <w:r>
        <w:rPr>
          <w:color w:val="auto"/>
          <w:highlight w:val="none"/>
        </w:rPr>
        <w:tab/>
      </w:r>
      <w:r>
        <w:rPr>
          <w:color w:val="auto"/>
          <w:highlight w:val="none"/>
        </w:rPr>
        <w:fldChar w:fldCharType="begin"/>
      </w:r>
      <w:r>
        <w:rPr>
          <w:color w:val="auto"/>
          <w:highlight w:val="none"/>
        </w:rPr>
        <w:instrText xml:space="preserve"> PAGEREF _Toc69114094 \h </w:instrText>
      </w:r>
      <w:r>
        <w:rPr>
          <w:color w:val="auto"/>
          <w:highlight w:val="none"/>
        </w:rPr>
        <w:fldChar w:fldCharType="separate"/>
      </w:r>
      <w:r>
        <w:rPr>
          <w:color w:val="auto"/>
          <w:highlight w:val="none"/>
        </w:rPr>
        <w:t>140</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"_Toc69114095"</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11.3合同价格的调整方式</w:t>
      </w:r>
      <w:r>
        <w:rPr>
          <w:color w:val="auto"/>
          <w:highlight w:val="none"/>
        </w:rPr>
        <w:tab/>
      </w:r>
      <w:r>
        <w:rPr>
          <w:color w:val="auto"/>
          <w:highlight w:val="none"/>
        </w:rPr>
        <w:fldChar w:fldCharType="begin"/>
      </w:r>
      <w:r>
        <w:rPr>
          <w:color w:val="auto"/>
          <w:highlight w:val="none"/>
        </w:rPr>
        <w:instrText xml:space="preserve"> PAGEREF _Toc69114095 \h </w:instrText>
      </w:r>
      <w:r>
        <w:rPr>
          <w:color w:val="auto"/>
          <w:highlight w:val="none"/>
        </w:rPr>
        <w:fldChar w:fldCharType="separate"/>
      </w:r>
      <w:r>
        <w:rPr>
          <w:color w:val="auto"/>
          <w:highlight w:val="none"/>
        </w:rPr>
        <w:t>143</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"_Toc69114096"</w:instrText>
      </w:r>
      <w:r>
        <w:rPr>
          <w:rStyle w:val="51"/>
          <w:color w:val="auto"/>
          <w:highlight w:val="none"/>
        </w:rPr>
        <w:instrText xml:space="preserve"> </w:instrText>
      </w:r>
      <w:r>
        <w:rPr>
          <w:color w:val="auto"/>
          <w:highlight w:val="none"/>
        </w:rPr>
        <w:fldChar w:fldCharType="separate"/>
      </w:r>
      <w:r>
        <w:rPr>
          <w:rStyle w:val="51"/>
          <w:rFonts w:hint="eastAsia" w:ascii="宋体" w:hAnsi="宋体" w:cs="宋体"/>
          <w:color w:val="auto"/>
          <w:szCs w:val="21"/>
          <w:highlight w:val="none"/>
        </w:rPr>
        <w:sym w:font="Wingdings" w:char="F0A8"/>
      </w:r>
      <w:r>
        <w:rPr>
          <w:rStyle w:val="51"/>
          <w:rFonts w:ascii="宋体" w:hAnsi="宋体" w:cs="宋体"/>
          <w:b/>
          <w:bCs/>
          <w:color w:val="auto"/>
          <w:highlight w:val="none"/>
        </w:rPr>
        <w:t>11.4不平衡报价的调整</w:t>
      </w:r>
      <w:r>
        <w:rPr>
          <w:color w:val="auto"/>
          <w:highlight w:val="none"/>
        </w:rPr>
        <w:tab/>
      </w:r>
      <w:r>
        <w:rPr>
          <w:color w:val="auto"/>
          <w:highlight w:val="none"/>
        </w:rPr>
        <w:fldChar w:fldCharType="begin"/>
      </w:r>
      <w:r>
        <w:rPr>
          <w:color w:val="auto"/>
          <w:highlight w:val="none"/>
        </w:rPr>
        <w:instrText xml:space="preserve"> PAGEREF _Toc69114096 \h </w:instrText>
      </w:r>
      <w:r>
        <w:rPr>
          <w:color w:val="auto"/>
          <w:highlight w:val="none"/>
        </w:rPr>
        <w:fldChar w:fldCharType="separate"/>
      </w:r>
      <w:r>
        <w:rPr>
          <w:color w:val="auto"/>
          <w:highlight w:val="none"/>
        </w:rPr>
        <w:t>143</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"_Toc69114097"</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11.5措施费的调整</w:t>
      </w:r>
      <w:r>
        <w:rPr>
          <w:color w:val="auto"/>
          <w:highlight w:val="none"/>
        </w:rPr>
        <w:tab/>
      </w:r>
      <w:r>
        <w:rPr>
          <w:color w:val="auto"/>
          <w:highlight w:val="none"/>
        </w:rPr>
        <w:fldChar w:fldCharType="begin"/>
      </w:r>
      <w:r>
        <w:rPr>
          <w:color w:val="auto"/>
          <w:highlight w:val="none"/>
        </w:rPr>
        <w:instrText xml:space="preserve"> PAGEREF _Toc69114097 \h </w:instrText>
      </w:r>
      <w:r>
        <w:rPr>
          <w:color w:val="auto"/>
          <w:highlight w:val="none"/>
        </w:rPr>
        <w:fldChar w:fldCharType="separate"/>
      </w:r>
      <w:r>
        <w:rPr>
          <w:color w:val="auto"/>
          <w:highlight w:val="none"/>
        </w:rPr>
        <w:t>143</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"_Toc69114098"</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12. 合同价格、计量与支付</w:t>
      </w:r>
      <w:r>
        <w:rPr>
          <w:color w:val="auto"/>
          <w:highlight w:val="none"/>
        </w:rPr>
        <w:tab/>
      </w:r>
      <w:r>
        <w:rPr>
          <w:color w:val="auto"/>
          <w:highlight w:val="none"/>
        </w:rPr>
        <w:fldChar w:fldCharType="begin"/>
      </w:r>
      <w:r>
        <w:rPr>
          <w:color w:val="auto"/>
          <w:highlight w:val="none"/>
        </w:rPr>
        <w:instrText xml:space="preserve"> PAGEREF _Toc69114098 \h </w:instrText>
      </w:r>
      <w:r>
        <w:rPr>
          <w:color w:val="auto"/>
          <w:highlight w:val="none"/>
        </w:rPr>
        <w:fldChar w:fldCharType="separate"/>
      </w:r>
      <w:r>
        <w:rPr>
          <w:color w:val="auto"/>
          <w:highlight w:val="none"/>
        </w:rPr>
        <w:t>144</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"_Toc69114099"</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12.1 合同价格和费用</w:t>
      </w:r>
      <w:r>
        <w:rPr>
          <w:color w:val="auto"/>
          <w:highlight w:val="none"/>
        </w:rPr>
        <w:tab/>
      </w:r>
      <w:r>
        <w:rPr>
          <w:color w:val="auto"/>
          <w:highlight w:val="none"/>
        </w:rPr>
        <w:fldChar w:fldCharType="begin"/>
      </w:r>
      <w:r>
        <w:rPr>
          <w:color w:val="auto"/>
          <w:highlight w:val="none"/>
        </w:rPr>
        <w:instrText xml:space="preserve"> PAGEREF _Toc69114099 \h </w:instrText>
      </w:r>
      <w:r>
        <w:rPr>
          <w:color w:val="auto"/>
          <w:highlight w:val="none"/>
        </w:rPr>
        <w:fldChar w:fldCharType="separate"/>
      </w:r>
      <w:r>
        <w:rPr>
          <w:color w:val="auto"/>
          <w:highlight w:val="none"/>
        </w:rPr>
        <w:t>144</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"_Toc69114100"</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12.3工程款支付</w:t>
      </w:r>
      <w:r>
        <w:rPr>
          <w:color w:val="auto"/>
          <w:highlight w:val="none"/>
        </w:rPr>
        <w:tab/>
      </w:r>
      <w:r>
        <w:rPr>
          <w:color w:val="auto"/>
          <w:highlight w:val="none"/>
        </w:rPr>
        <w:fldChar w:fldCharType="begin"/>
      </w:r>
      <w:r>
        <w:rPr>
          <w:color w:val="auto"/>
          <w:highlight w:val="none"/>
        </w:rPr>
        <w:instrText xml:space="preserve"> PAGEREF _Toc69114100 \h </w:instrText>
      </w:r>
      <w:r>
        <w:rPr>
          <w:color w:val="auto"/>
          <w:highlight w:val="none"/>
        </w:rPr>
        <w:fldChar w:fldCharType="separate"/>
      </w:r>
      <w:r>
        <w:rPr>
          <w:color w:val="auto"/>
          <w:highlight w:val="none"/>
        </w:rPr>
        <w:t>144</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"_Toc69114101"</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13.竣工验收</w:t>
      </w:r>
      <w:r>
        <w:rPr>
          <w:color w:val="auto"/>
          <w:highlight w:val="none"/>
        </w:rPr>
        <w:tab/>
      </w:r>
      <w:r>
        <w:rPr>
          <w:color w:val="auto"/>
          <w:highlight w:val="none"/>
        </w:rPr>
        <w:fldChar w:fldCharType="begin"/>
      </w:r>
      <w:r>
        <w:rPr>
          <w:color w:val="auto"/>
          <w:highlight w:val="none"/>
        </w:rPr>
        <w:instrText xml:space="preserve"> PAGEREF _Toc69114101 \h </w:instrText>
      </w:r>
      <w:r>
        <w:rPr>
          <w:color w:val="auto"/>
          <w:highlight w:val="none"/>
        </w:rPr>
        <w:fldChar w:fldCharType="separate"/>
      </w:r>
      <w:r>
        <w:rPr>
          <w:color w:val="auto"/>
          <w:highlight w:val="none"/>
        </w:rPr>
        <w:t>147</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"_Toc69114102"</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14.竣工结算</w:t>
      </w:r>
      <w:r>
        <w:rPr>
          <w:color w:val="auto"/>
          <w:highlight w:val="none"/>
        </w:rPr>
        <w:tab/>
      </w:r>
      <w:r>
        <w:rPr>
          <w:color w:val="auto"/>
          <w:highlight w:val="none"/>
        </w:rPr>
        <w:fldChar w:fldCharType="begin"/>
      </w:r>
      <w:r>
        <w:rPr>
          <w:color w:val="auto"/>
          <w:highlight w:val="none"/>
        </w:rPr>
        <w:instrText xml:space="preserve"> PAGEREF _Toc69114102 \h </w:instrText>
      </w:r>
      <w:r>
        <w:rPr>
          <w:color w:val="auto"/>
          <w:highlight w:val="none"/>
        </w:rPr>
        <w:fldChar w:fldCharType="separate"/>
      </w:r>
      <w:r>
        <w:rPr>
          <w:color w:val="auto"/>
          <w:highlight w:val="none"/>
        </w:rPr>
        <w:t>147</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"_Toc69114103"</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15. 缺陷责任与保修</w:t>
      </w:r>
      <w:r>
        <w:rPr>
          <w:color w:val="auto"/>
          <w:highlight w:val="none"/>
        </w:rPr>
        <w:tab/>
      </w:r>
      <w:r>
        <w:rPr>
          <w:color w:val="auto"/>
          <w:highlight w:val="none"/>
        </w:rPr>
        <w:fldChar w:fldCharType="begin"/>
      </w:r>
      <w:r>
        <w:rPr>
          <w:color w:val="auto"/>
          <w:highlight w:val="none"/>
        </w:rPr>
        <w:instrText xml:space="preserve"> PAGEREF _Toc69114103 \h </w:instrText>
      </w:r>
      <w:r>
        <w:rPr>
          <w:color w:val="auto"/>
          <w:highlight w:val="none"/>
        </w:rPr>
        <w:fldChar w:fldCharType="separate"/>
      </w:r>
      <w:r>
        <w:rPr>
          <w:color w:val="auto"/>
          <w:highlight w:val="none"/>
        </w:rPr>
        <w:t>147</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"_Toc69114104"</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15.3缺陷修复的费用</w:t>
      </w:r>
      <w:r>
        <w:rPr>
          <w:color w:val="auto"/>
          <w:highlight w:val="none"/>
        </w:rPr>
        <w:tab/>
      </w:r>
      <w:r>
        <w:rPr>
          <w:color w:val="auto"/>
          <w:highlight w:val="none"/>
        </w:rPr>
        <w:fldChar w:fldCharType="begin"/>
      </w:r>
      <w:r>
        <w:rPr>
          <w:color w:val="auto"/>
          <w:highlight w:val="none"/>
        </w:rPr>
        <w:instrText xml:space="preserve"> PAGEREF _Toc69114104 \h </w:instrText>
      </w:r>
      <w:r>
        <w:rPr>
          <w:color w:val="auto"/>
          <w:highlight w:val="none"/>
        </w:rPr>
        <w:fldChar w:fldCharType="separate"/>
      </w:r>
      <w:r>
        <w:rPr>
          <w:color w:val="auto"/>
          <w:highlight w:val="none"/>
        </w:rPr>
        <w:t>147</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"_Toc69114105"</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16.违约</w:t>
      </w:r>
      <w:r>
        <w:rPr>
          <w:color w:val="auto"/>
          <w:highlight w:val="none"/>
        </w:rPr>
        <w:tab/>
      </w:r>
      <w:r>
        <w:rPr>
          <w:color w:val="auto"/>
          <w:highlight w:val="none"/>
        </w:rPr>
        <w:fldChar w:fldCharType="begin"/>
      </w:r>
      <w:r>
        <w:rPr>
          <w:color w:val="auto"/>
          <w:highlight w:val="none"/>
        </w:rPr>
        <w:instrText xml:space="preserve"> PAGEREF _Toc69114105 \h </w:instrText>
      </w:r>
      <w:r>
        <w:rPr>
          <w:color w:val="auto"/>
          <w:highlight w:val="none"/>
        </w:rPr>
        <w:fldChar w:fldCharType="separate"/>
      </w:r>
      <w:r>
        <w:rPr>
          <w:color w:val="auto"/>
          <w:highlight w:val="none"/>
        </w:rPr>
        <w:t>149</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"_Toc69114106"</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17.特殊风险</w:t>
      </w:r>
      <w:r>
        <w:rPr>
          <w:color w:val="auto"/>
          <w:highlight w:val="none"/>
        </w:rPr>
        <w:tab/>
      </w:r>
      <w:r>
        <w:rPr>
          <w:color w:val="auto"/>
          <w:highlight w:val="none"/>
        </w:rPr>
        <w:fldChar w:fldCharType="begin"/>
      </w:r>
      <w:r>
        <w:rPr>
          <w:color w:val="auto"/>
          <w:highlight w:val="none"/>
        </w:rPr>
        <w:instrText xml:space="preserve"> PAGEREF _Toc69114106 \h </w:instrText>
      </w:r>
      <w:r>
        <w:rPr>
          <w:color w:val="auto"/>
          <w:highlight w:val="none"/>
        </w:rPr>
        <w:fldChar w:fldCharType="separate"/>
      </w:r>
      <w:r>
        <w:rPr>
          <w:color w:val="auto"/>
          <w:highlight w:val="none"/>
        </w:rPr>
        <w:t>151</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"_Toc69114107"</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18. 保险</w:t>
      </w:r>
      <w:r>
        <w:rPr>
          <w:color w:val="auto"/>
          <w:highlight w:val="none"/>
        </w:rPr>
        <w:tab/>
      </w:r>
      <w:r>
        <w:rPr>
          <w:color w:val="auto"/>
          <w:highlight w:val="none"/>
        </w:rPr>
        <w:fldChar w:fldCharType="begin"/>
      </w:r>
      <w:r>
        <w:rPr>
          <w:color w:val="auto"/>
          <w:highlight w:val="none"/>
        </w:rPr>
        <w:instrText xml:space="preserve"> PAGEREF _Toc69114107 \h </w:instrText>
      </w:r>
      <w:r>
        <w:rPr>
          <w:color w:val="auto"/>
          <w:highlight w:val="none"/>
        </w:rPr>
        <w:fldChar w:fldCharType="separate"/>
      </w:r>
      <w:r>
        <w:rPr>
          <w:color w:val="auto"/>
          <w:highlight w:val="none"/>
        </w:rPr>
        <w:t>152</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"_Toc69114108"</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18.1工程的保险</w:t>
      </w:r>
      <w:r>
        <w:rPr>
          <w:color w:val="auto"/>
          <w:highlight w:val="none"/>
        </w:rPr>
        <w:tab/>
      </w:r>
      <w:r>
        <w:rPr>
          <w:color w:val="auto"/>
          <w:highlight w:val="none"/>
        </w:rPr>
        <w:fldChar w:fldCharType="begin"/>
      </w:r>
      <w:r>
        <w:rPr>
          <w:color w:val="auto"/>
          <w:highlight w:val="none"/>
        </w:rPr>
        <w:instrText xml:space="preserve"> PAGEREF _Toc69114108 \h </w:instrText>
      </w:r>
      <w:r>
        <w:rPr>
          <w:color w:val="auto"/>
          <w:highlight w:val="none"/>
        </w:rPr>
        <w:fldChar w:fldCharType="separate"/>
      </w:r>
      <w:r>
        <w:rPr>
          <w:color w:val="auto"/>
          <w:highlight w:val="none"/>
        </w:rPr>
        <w:t>152</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"_Toc69114109"</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19.索赔</w:t>
      </w:r>
      <w:r>
        <w:rPr>
          <w:color w:val="auto"/>
          <w:highlight w:val="none"/>
        </w:rPr>
        <w:tab/>
      </w:r>
      <w:r>
        <w:rPr>
          <w:color w:val="auto"/>
          <w:highlight w:val="none"/>
        </w:rPr>
        <w:fldChar w:fldCharType="begin"/>
      </w:r>
      <w:r>
        <w:rPr>
          <w:color w:val="auto"/>
          <w:highlight w:val="none"/>
        </w:rPr>
        <w:instrText xml:space="preserve"> PAGEREF _Toc69114109 \h </w:instrText>
      </w:r>
      <w:r>
        <w:rPr>
          <w:color w:val="auto"/>
          <w:highlight w:val="none"/>
        </w:rPr>
        <w:fldChar w:fldCharType="separate"/>
      </w:r>
      <w:r>
        <w:rPr>
          <w:color w:val="auto"/>
          <w:highlight w:val="none"/>
        </w:rPr>
        <w:t>152</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"_Toc69114110"</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20. 争议解决</w:t>
      </w:r>
      <w:r>
        <w:rPr>
          <w:color w:val="auto"/>
          <w:highlight w:val="none"/>
        </w:rPr>
        <w:tab/>
      </w:r>
      <w:r>
        <w:rPr>
          <w:color w:val="auto"/>
          <w:highlight w:val="none"/>
        </w:rPr>
        <w:fldChar w:fldCharType="begin"/>
      </w:r>
      <w:r>
        <w:rPr>
          <w:color w:val="auto"/>
          <w:highlight w:val="none"/>
        </w:rPr>
        <w:instrText xml:space="preserve"> PAGEREF _Toc69114110 \h </w:instrText>
      </w:r>
      <w:r>
        <w:rPr>
          <w:color w:val="auto"/>
          <w:highlight w:val="none"/>
        </w:rPr>
        <w:fldChar w:fldCharType="separate"/>
      </w:r>
      <w:r>
        <w:rPr>
          <w:color w:val="auto"/>
          <w:highlight w:val="none"/>
        </w:rPr>
        <w:t>152</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"_Toc69114111"</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21. 合同专用条款附件</w:t>
      </w:r>
      <w:r>
        <w:rPr>
          <w:color w:val="auto"/>
          <w:highlight w:val="none"/>
        </w:rPr>
        <w:tab/>
      </w:r>
      <w:r>
        <w:rPr>
          <w:color w:val="auto"/>
          <w:highlight w:val="none"/>
        </w:rPr>
        <w:fldChar w:fldCharType="begin"/>
      </w:r>
      <w:r>
        <w:rPr>
          <w:color w:val="auto"/>
          <w:highlight w:val="none"/>
        </w:rPr>
        <w:instrText xml:space="preserve"> PAGEREF _Toc69114111 \h </w:instrText>
      </w:r>
      <w:r>
        <w:rPr>
          <w:color w:val="auto"/>
          <w:highlight w:val="none"/>
        </w:rPr>
        <w:fldChar w:fldCharType="separate"/>
      </w:r>
      <w:r>
        <w:rPr>
          <w:color w:val="auto"/>
          <w:highlight w:val="none"/>
        </w:rPr>
        <w:t>152</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"_Toc69114112"</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附件1：制度清单</w:t>
      </w:r>
      <w:r>
        <w:rPr>
          <w:color w:val="auto"/>
          <w:highlight w:val="none"/>
        </w:rPr>
        <w:tab/>
      </w:r>
      <w:r>
        <w:rPr>
          <w:color w:val="auto"/>
          <w:highlight w:val="none"/>
        </w:rPr>
        <w:fldChar w:fldCharType="begin"/>
      </w:r>
      <w:r>
        <w:rPr>
          <w:color w:val="auto"/>
          <w:highlight w:val="none"/>
        </w:rPr>
        <w:instrText xml:space="preserve"> PAGEREF _Toc69114112 \h </w:instrText>
      </w:r>
      <w:r>
        <w:rPr>
          <w:color w:val="auto"/>
          <w:highlight w:val="none"/>
        </w:rPr>
        <w:fldChar w:fldCharType="separate"/>
      </w:r>
      <w:r>
        <w:rPr>
          <w:color w:val="auto"/>
          <w:highlight w:val="none"/>
        </w:rPr>
        <w:t>152</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"_Toc69114113"</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附件2：工程质量及安全生产管理违约金规定</w:t>
      </w:r>
      <w:r>
        <w:rPr>
          <w:color w:val="auto"/>
          <w:highlight w:val="none"/>
        </w:rPr>
        <w:tab/>
      </w:r>
      <w:r>
        <w:rPr>
          <w:color w:val="auto"/>
          <w:highlight w:val="none"/>
        </w:rPr>
        <w:fldChar w:fldCharType="begin"/>
      </w:r>
      <w:r>
        <w:rPr>
          <w:color w:val="auto"/>
          <w:highlight w:val="none"/>
        </w:rPr>
        <w:instrText xml:space="preserve"> PAGEREF _Toc69114113 \h </w:instrText>
      </w:r>
      <w:r>
        <w:rPr>
          <w:color w:val="auto"/>
          <w:highlight w:val="none"/>
        </w:rPr>
        <w:fldChar w:fldCharType="separate"/>
      </w:r>
      <w:r>
        <w:rPr>
          <w:color w:val="auto"/>
          <w:highlight w:val="none"/>
        </w:rPr>
        <w:t>154</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"_Toc69114114"</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附件3：《工程技术规范及要求》</w:t>
      </w:r>
      <w:r>
        <w:rPr>
          <w:color w:val="auto"/>
          <w:highlight w:val="none"/>
        </w:rPr>
        <w:tab/>
      </w:r>
      <w:r>
        <w:rPr>
          <w:color w:val="auto"/>
          <w:highlight w:val="none"/>
        </w:rPr>
        <w:fldChar w:fldCharType="begin"/>
      </w:r>
      <w:r>
        <w:rPr>
          <w:color w:val="auto"/>
          <w:highlight w:val="none"/>
        </w:rPr>
        <w:instrText xml:space="preserve"> PAGEREF _Toc69114114 \h </w:instrText>
      </w:r>
      <w:r>
        <w:rPr>
          <w:color w:val="auto"/>
          <w:highlight w:val="none"/>
        </w:rPr>
        <w:fldChar w:fldCharType="separate"/>
      </w:r>
      <w:r>
        <w:rPr>
          <w:color w:val="auto"/>
          <w:highlight w:val="none"/>
        </w:rPr>
        <w:t>185</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"_Toc69114115"</w:instrText>
      </w:r>
      <w:r>
        <w:rPr>
          <w:rStyle w:val="51"/>
          <w:color w:val="auto"/>
          <w:highlight w:val="none"/>
        </w:rPr>
        <w:instrText xml:space="preserve"> </w:instrText>
      </w:r>
      <w:r>
        <w:rPr>
          <w:color w:val="auto"/>
          <w:highlight w:val="none"/>
        </w:rPr>
        <w:fldChar w:fldCharType="separate"/>
      </w:r>
      <w:r>
        <w:rPr>
          <w:rStyle w:val="51"/>
          <w:rFonts w:ascii="宋体" w:hAnsi="宋体"/>
          <w:b/>
          <w:color w:val="auto"/>
          <w:highlight w:val="none"/>
        </w:rPr>
        <w:t>一、一般标准和技术规范</w:t>
      </w:r>
      <w:r>
        <w:rPr>
          <w:color w:val="auto"/>
          <w:highlight w:val="none"/>
        </w:rPr>
        <w:tab/>
      </w:r>
      <w:r>
        <w:rPr>
          <w:color w:val="auto"/>
          <w:highlight w:val="none"/>
        </w:rPr>
        <w:fldChar w:fldCharType="begin"/>
      </w:r>
      <w:r>
        <w:rPr>
          <w:color w:val="auto"/>
          <w:highlight w:val="none"/>
        </w:rPr>
        <w:instrText xml:space="preserve"> PAGEREF _Toc69114115 \h </w:instrText>
      </w:r>
      <w:r>
        <w:rPr>
          <w:color w:val="auto"/>
          <w:highlight w:val="none"/>
        </w:rPr>
        <w:fldChar w:fldCharType="separate"/>
      </w:r>
      <w:r>
        <w:rPr>
          <w:color w:val="auto"/>
          <w:highlight w:val="none"/>
        </w:rPr>
        <w:t>185</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"_Toc69114116"</w:instrText>
      </w:r>
      <w:r>
        <w:rPr>
          <w:rStyle w:val="51"/>
          <w:color w:val="auto"/>
          <w:highlight w:val="none"/>
        </w:rPr>
        <w:instrText xml:space="preserve"> </w:instrText>
      </w:r>
      <w:r>
        <w:rPr>
          <w:color w:val="auto"/>
          <w:highlight w:val="none"/>
        </w:rPr>
        <w:fldChar w:fldCharType="separate"/>
      </w:r>
      <w:r>
        <w:rPr>
          <w:rStyle w:val="51"/>
          <w:rFonts w:ascii="宋体" w:hAnsi="宋体"/>
          <w:b/>
          <w:color w:val="auto"/>
          <w:highlight w:val="none"/>
        </w:rPr>
        <w:t>二、特殊标准和技术规范</w:t>
      </w:r>
      <w:r>
        <w:rPr>
          <w:color w:val="auto"/>
          <w:highlight w:val="none"/>
        </w:rPr>
        <w:tab/>
      </w:r>
      <w:r>
        <w:rPr>
          <w:color w:val="auto"/>
          <w:highlight w:val="none"/>
        </w:rPr>
        <w:fldChar w:fldCharType="begin"/>
      </w:r>
      <w:r>
        <w:rPr>
          <w:color w:val="auto"/>
          <w:highlight w:val="none"/>
        </w:rPr>
        <w:instrText xml:space="preserve"> PAGEREF _Toc69114116 \h </w:instrText>
      </w:r>
      <w:r>
        <w:rPr>
          <w:color w:val="auto"/>
          <w:highlight w:val="none"/>
        </w:rPr>
        <w:fldChar w:fldCharType="separate"/>
      </w:r>
      <w:r>
        <w:rPr>
          <w:color w:val="auto"/>
          <w:highlight w:val="none"/>
        </w:rPr>
        <w:t>185</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"_Toc69114117"</w:instrText>
      </w:r>
      <w:r>
        <w:rPr>
          <w:rStyle w:val="51"/>
          <w:color w:val="auto"/>
          <w:highlight w:val="none"/>
        </w:rPr>
        <w:instrText xml:space="preserve"> </w:instrText>
      </w:r>
      <w:r>
        <w:rPr>
          <w:color w:val="auto"/>
          <w:highlight w:val="none"/>
        </w:rPr>
        <w:fldChar w:fldCharType="separate"/>
      </w:r>
      <w:r>
        <w:rPr>
          <w:rStyle w:val="51"/>
          <w:rFonts w:ascii="宋体" w:hAnsi="宋体"/>
          <w:b/>
          <w:color w:val="auto"/>
          <w:highlight w:val="none"/>
        </w:rPr>
        <w:t>三、工程技术要求</w:t>
      </w:r>
      <w:r>
        <w:rPr>
          <w:color w:val="auto"/>
          <w:highlight w:val="none"/>
        </w:rPr>
        <w:tab/>
      </w:r>
      <w:r>
        <w:rPr>
          <w:color w:val="auto"/>
          <w:highlight w:val="none"/>
        </w:rPr>
        <w:fldChar w:fldCharType="begin"/>
      </w:r>
      <w:r>
        <w:rPr>
          <w:color w:val="auto"/>
          <w:highlight w:val="none"/>
        </w:rPr>
        <w:instrText xml:space="preserve"> PAGEREF _Toc69114117 \h </w:instrText>
      </w:r>
      <w:r>
        <w:rPr>
          <w:color w:val="auto"/>
          <w:highlight w:val="none"/>
        </w:rPr>
        <w:fldChar w:fldCharType="separate"/>
      </w:r>
      <w:r>
        <w:rPr>
          <w:color w:val="auto"/>
          <w:highlight w:val="none"/>
        </w:rPr>
        <w:t>185</w:t>
      </w:r>
      <w:r>
        <w:rPr>
          <w:color w:val="auto"/>
          <w:highlight w:val="none"/>
        </w:rPr>
        <w:fldChar w:fldCharType="end"/>
      </w:r>
      <w:r>
        <w:rPr>
          <w:color w:val="auto"/>
          <w:highlight w:val="none"/>
        </w:rPr>
        <w:fldChar w:fldCharType="end"/>
      </w:r>
    </w:p>
    <w:p>
      <w:pPr>
        <w:pStyle w:val="28"/>
        <w:tabs>
          <w:tab w:val="right" w:leader="dot" w:pos="9060"/>
        </w:tabs>
        <w:rPr>
          <w:rFonts w:ascii="等线" w:hAnsi="等线" w:eastAsia="等线" w:cs="Times New Roman"/>
          <w:b w:val="0"/>
          <w:bCs w:val="0"/>
          <w: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"_Toc69114118"</w:instrText>
      </w:r>
      <w:r>
        <w:rPr>
          <w:rStyle w:val="51"/>
          <w:color w:val="auto"/>
          <w:highlight w:val="none"/>
        </w:rPr>
        <w:instrText xml:space="preserve"> </w:instrText>
      </w:r>
      <w:r>
        <w:rPr>
          <w:color w:val="auto"/>
          <w:highlight w:val="none"/>
        </w:rPr>
        <w:fldChar w:fldCharType="separate"/>
      </w:r>
      <w:r>
        <w:rPr>
          <w:rStyle w:val="51"/>
          <w:color w:val="auto"/>
          <w:highlight w:val="none"/>
        </w:rPr>
        <w:t>第一部分  总则</w:t>
      </w:r>
      <w:r>
        <w:rPr>
          <w:color w:val="auto"/>
          <w:highlight w:val="none"/>
        </w:rPr>
        <w:tab/>
      </w:r>
      <w:r>
        <w:rPr>
          <w:color w:val="auto"/>
          <w:highlight w:val="none"/>
        </w:rPr>
        <w:fldChar w:fldCharType="begin"/>
      </w:r>
      <w:r>
        <w:rPr>
          <w:color w:val="auto"/>
          <w:highlight w:val="none"/>
        </w:rPr>
        <w:instrText xml:space="preserve"> PAGEREF _Toc69114118 \h </w:instrText>
      </w:r>
      <w:r>
        <w:rPr>
          <w:color w:val="auto"/>
          <w:highlight w:val="none"/>
        </w:rPr>
        <w:fldChar w:fldCharType="separate"/>
      </w:r>
      <w:r>
        <w:rPr>
          <w:color w:val="auto"/>
          <w:highlight w:val="none"/>
        </w:rPr>
        <w:t>186</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"_Toc69114119"</w:instrText>
      </w:r>
      <w:r>
        <w:rPr>
          <w:rStyle w:val="51"/>
          <w:color w:val="auto"/>
          <w:highlight w:val="none"/>
        </w:rPr>
        <w:instrText xml:space="preserve"> </w:instrText>
      </w:r>
      <w:r>
        <w:rPr>
          <w:color w:val="auto"/>
          <w:highlight w:val="none"/>
        </w:rPr>
        <w:fldChar w:fldCharType="separate"/>
      </w:r>
      <w:r>
        <w:rPr>
          <w:rStyle w:val="51"/>
          <w:color w:val="auto"/>
          <w:highlight w:val="none"/>
        </w:rPr>
        <w:t>第1章  概述</w:t>
      </w:r>
      <w:r>
        <w:rPr>
          <w:color w:val="auto"/>
          <w:highlight w:val="none"/>
        </w:rPr>
        <w:tab/>
      </w:r>
      <w:r>
        <w:rPr>
          <w:color w:val="auto"/>
          <w:highlight w:val="none"/>
        </w:rPr>
        <w:fldChar w:fldCharType="begin"/>
      </w:r>
      <w:r>
        <w:rPr>
          <w:color w:val="auto"/>
          <w:highlight w:val="none"/>
        </w:rPr>
        <w:instrText xml:space="preserve"> PAGEREF _Toc69114119 \h </w:instrText>
      </w:r>
      <w:r>
        <w:rPr>
          <w:color w:val="auto"/>
          <w:highlight w:val="none"/>
        </w:rPr>
        <w:fldChar w:fldCharType="separate"/>
      </w:r>
      <w:r>
        <w:rPr>
          <w:color w:val="auto"/>
          <w:highlight w:val="none"/>
        </w:rPr>
        <w:t>187</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"_Toc69114120"</w:instrText>
      </w:r>
      <w:r>
        <w:rPr>
          <w:rStyle w:val="51"/>
          <w:color w:val="auto"/>
          <w:highlight w:val="none"/>
        </w:rPr>
        <w:instrText xml:space="preserve"> </w:instrText>
      </w:r>
      <w:r>
        <w:rPr>
          <w:color w:val="auto"/>
          <w:highlight w:val="none"/>
        </w:rPr>
        <w:fldChar w:fldCharType="separate"/>
      </w:r>
      <w:r>
        <w:rPr>
          <w:rStyle w:val="51"/>
          <w:color w:val="auto"/>
          <w:highlight w:val="none"/>
        </w:rPr>
        <w:t>第2章  临时工程</w:t>
      </w:r>
      <w:r>
        <w:rPr>
          <w:color w:val="auto"/>
          <w:highlight w:val="none"/>
        </w:rPr>
        <w:tab/>
      </w:r>
      <w:r>
        <w:rPr>
          <w:color w:val="auto"/>
          <w:highlight w:val="none"/>
        </w:rPr>
        <w:fldChar w:fldCharType="begin"/>
      </w:r>
      <w:r>
        <w:rPr>
          <w:color w:val="auto"/>
          <w:highlight w:val="none"/>
        </w:rPr>
        <w:instrText xml:space="preserve"> PAGEREF _Toc69114120 \h </w:instrText>
      </w:r>
      <w:r>
        <w:rPr>
          <w:color w:val="auto"/>
          <w:highlight w:val="none"/>
        </w:rPr>
        <w:fldChar w:fldCharType="separate"/>
      </w:r>
      <w:r>
        <w:rPr>
          <w:color w:val="auto"/>
          <w:highlight w:val="none"/>
        </w:rPr>
        <w:t>188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"_Toc69114121"</w:instrText>
      </w:r>
      <w:r>
        <w:rPr>
          <w:rStyle w:val="51"/>
          <w:color w:val="auto"/>
          <w:highlight w:val="none"/>
        </w:rPr>
        <w:instrText xml:space="preserve"> </w:instrText>
      </w:r>
      <w:r>
        <w:rPr>
          <w:color w:val="auto"/>
          <w:highlight w:val="none"/>
        </w:rPr>
        <w:fldChar w:fldCharType="separate"/>
      </w:r>
      <w:r>
        <w:rPr>
          <w:rStyle w:val="51"/>
          <w:color w:val="auto"/>
          <w:highlight w:val="none"/>
        </w:rPr>
        <w:t>2.1 通讯</w:t>
      </w:r>
      <w:r>
        <w:rPr>
          <w:color w:val="auto"/>
          <w:highlight w:val="none"/>
        </w:rPr>
        <w:tab/>
      </w:r>
      <w:r>
        <w:rPr>
          <w:color w:val="auto"/>
          <w:highlight w:val="none"/>
        </w:rPr>
        <w:fldChar w:fldCharType="begin"/>
      </w:r>
      <w:r>
        <w:rPr>
          <w:color w:val="auto"/>
          <w:highlight w:val="none"/>
        </w:rPr>
        <w:instrText xml:space="preserve"> PAGEREF _Toc69114121 \h </w:instrText>
      </w:r>
      <w:r>
        <w:rPr>
          <w:color w:val="auto"/>
          <w:highlight w:val="none"/>
        </w:rPr>
        <w:fldChar w:fldCharType="separate"/>
      </w:r>
      <w:r>
        <w:rPr>
          <w:color w:val="auto"/>
          <w:highlight w:val="none"/>
        </w:rPr>
        <w:t>188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"_Toc69114122"</w:instrText>
      </w:r>
      <w:r>
        <w:rPr>
          <w:rStyle w:val="51"/>
          <w:color w:val="auto"/>
          <w:highlight w:val="none"/>
        </w:rPr>
        <w:instrText xml:space="preserve"> </w:instrText>
      </w:r>
      <w:r>
        <w:rPr>
          <w:color w:val="auto"/>
          <w:highlight w:val="none"/>
        </w:rPr>
        <w:fldChar w:fldCharType="separate"/>
      </w:r>
      <w:r>
        <w:rPr>
          <w:rStyle w:val="51"/>
          <w:color w:val="auto"/>
          <w:highlight w:val="none"/>
        </w:rPr>
        <w:t>2.2 临时用电</w:t>
      </w:r>
      <w:r>
        <w:rPr>
          <w:color w:val="auto"/>
          <w:highlight w:val="none"/>
        </w:rPr>
        <w:tab/>
      </w:r>
      <w:r>
        <w:rPr>
          <w:color w:val="auto"/>
          <w:highlight w:val="none"/>
        </w:rPr>
        <w:fldChar w:fldCharType="begin"/>
      </w:r>
      <w:r>
        <w:rPr>
          <w:color w:val="auto"/>
          <w:highlight w:val="none"/>
        </w:rPr>
        <w:instrText xml:space="preserve"> PAGEREF _Toc69114122 \h </w:instrText>
      </w:r>
      <w:r>
        <w:rPr>
          <w:color w:val="auto"/>
          <w:highlight w:val="none"/>
        </w:rPr>
        <w:fldChar w:fldCharType="separate"/>
      </w:r>
      <w:r>
        <w:rPr>
          <w:color w:val="auto"/>
          <w:highlight w:val="none"/>
        </w:rPr>
        <w:t>188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"_Toc69114123"</w:instrText>
      </w:r>
      <w:r>
        <w:rPr>
          <w:rStyle w:val="51"/>
          <w:color w:val="auto"/>
          <w:highlight w:val="none"/>
        </w:rPr>
        <w:instrText xml:space="preserve"> </w:instrText>
      </w:r>
      <w:r>
        <w:rPr>
          <w:color w:val="auto"/>
          <w:highlight w:val="none"/>
        </w:rPr>
        <w:fldChar w:fldCharType="separate"/>
      </w:r>
      <w:r>
        <w:rPr>
          <w:rStyle w:val="51"/>
          <w:color w:val="auto"/>
          <w:highlight w:val="none"/>
        </w:rPr>
        <w:t>2.3 临时用水管理</w:t>
      </w:r>
      <w:r>
        <w:rPr>
          <w:color w:val="auto"/>
          <w:highlight w:val="none"/>
        </w:rPr>
        <w:tab/>
      </w:r>
      <w:r>
        <w:rPr>
          <w:color w:val="auto"/>
          <w:highlight w:val="none"/>
        </w:rPr>
        <w:fldChar w:fldCharType="begin"/>
      </w:r>
      <w:r>
        <w:rPr>
          <w:color w:val="auto"/>
          <w:highlight w:val="none"/>
        </w:rPr>
        <w:instrText xml:space="preserve"> PAGEREF _Toc69114123 \h </w:instrText>
      </w:r>
      <w:r>
        <w:rPr>
          <w:color w:val="auto"/>
          <w:highlight w:val="none"/>
        </w:rPr>
        <w:fldChar w:fldCharType="separate"/>
      </w:r>
      <w:r>
        <w:rPr>
          <w:color w:val="auto"/>
          <w:highlight w:val="none"/>
        </w:rPr>
        <w:t>191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"_Toc69114124"</w:instrText>
      </w:r>
      <w:r>
        <w:rPr>
          <w:rStyle w:val="51"/>
          <w:color w:val="auto"/>
          <w:highlight w:val="none"/>
        </w:rPr>
        <w:instrText xml:space="preserve"> </w:instrText>
      </w:r>
      <w:r>
        <w:rPr>
          <w:color w:val="auto"/>
          <w:highlight w:val="none"/>
        </w:rPr>
        <w:fldChar w:fldCharType="separate"/>
      </w:r>
      <w:r>
        <w:rPr>
          <w:rStyle w:val="51"/>
          <w:color w:val="auto"/>
          <w:highlight w:val="none"/>
        </w:rPr>
        <w:t>2.4 临时道路和交通组织</w:t>
      </w:r>
      <w:r>
        <w:rPr>
          <w:color w:val="auto"/>
          <w:highlight w:val="none"/>
        </w:rPr>
        <w:tab/>
      </w:r>
      <w:r>
        <w:rPr>
          <w:color w:val="auto"/>
          <w:highlight w:val="none"/>
        </w:rPr>
        <w:fldChar w:fldCharType="begin"/>
      </w:r>
      <w:r>
        <w:rPr>
          <w:color w:val="auto"/>
          <w:highlight w:val="none"/>
        </w:rPr>
        <w:instrText xml:space="preserve"> PAGEREF _Toc69114124 \h </w:instrText>
      </w:r>
      <w:r>
        <w:rPr>
          <w:color w:val="auto"/>
          <w:highlight w:val="none"/>
        </w:rPr>
        <w:fldChar w:fldCharType="separate"/>
      </w:r>
      <w:r>
        <w:rPr>
          <w:color w:val="auto"/>
          <w:highlight w:val="none"/>
        </w:rPr>
        <w:t>193</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"_Toc69114125"</w:instrText>
      </w:r>
      <w:r>
        <w:rPr>
          <w:rStyle w:val="51"/>
          <w:color w:val="auto"/>
          <w:highlight w:val="none"/>
        </w:rPr>
        <w:instrText xml:space="preserve"> </w:instrText>
      </w:r>
      <w:r>
        <w:rPr>
          <w:color w:val="auto"/>
          <w:highlight w:val="none"/>
        </w:rPr>
        <w:fldChar w:fldCharType="separate"/>
      </w:r>
      <w:r>
        <w:rPr>
          <w:rStyle w:val="51"/>
          <w:color w:val="auto"/>
          <w:highlight w:val="none"/>
        </w:rPr>
        <w:t>2.5 承包人的驻地建设</w:t>
      </w:r>
      <w:r>
        <w:rPr>
          <w:color w:val="auto"/>
          <w:highlight w:val="none"/>
        </w:rPr>
        <w:tab/>
      </w:r>
      <w:r>
        <w:rPr>
          <w:color w:val="auto"/>
          <w:highlight w:val="none"/>
        </w:rPr>
        <w:fldChar w:fldCharType="begin"/>
      </w:r>
      <w:r>
        <w:rPr>
          <w:color w:val="auto"/>
          <w:highlight w:val="none"/>
        </w:rPr>
        <w:instrText xml:space="preserve"> PAGEREF _Toc69114125 \h </w:instrText>
      </w:r>
      <w:r>
        <w:rPr>
          <w:color w:val="auto"/>
          <w:highlight w:val="none"/>
        </w:rPr>
        <w:fldChar w:fldCharType="separate"/>
      </w:r>
      <w:r>
        <w:rPr>
          <w:color w:val="auto"/>
          <w:highlight w:val="none"/>
        </w:rPr>
        <w:t>196</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"_Toc69114126"</w:instrText>
      </w:r>
      <w:r>
        <w:rPr>
          <w:rStyle w:val="51"/>
          <w:color w:val="auto"/>
          <w:highlight w:val="none"/>
        </w:rPr>
        <w:instrText xml:space="preserve"> </w:instrText>
      </w:r>
      <w:r>
        <w:rPr>
          <w:color w:val="auto"/>
          <w:highlight w:val="none"/>
        </w:rPr>
        <w:fldChar w:fldCharType="separate"/>
      </w:r>
      <w:r>
        <w:rPr>
          <w:rStyle w:val="51"/>
          <w:color w:val="auto"/>
          <w:highlight w:val="none"/>
        </w:rPr>
        <w:t>第3章  工程管理</w:t>
      </w:r>
      <w:r>
        <w:rPr>
          <w:color w:val="auto"/>
          <w:highlight w:val="none"/>
        </w:rPr>
        <w:tab/>
      </w:r>
      <w:r>
        <w:rPr>
          <w:color w:val="auto"/>
          <w:highlight w:val="none"/>
        </w:rPr>
        <w:fldChar w:fldCharType="begin"/>
      </w:r>
      <w:r>
        <w:rPr>
          <w:color w:val="auto"/>
          <w:highlight w:val="none"/>
        </w:rPr>
        <w:instrText xml:space="preserve"> PAGEREF _Toc69114126 \h </w:instrText>
      </w:r>
      <w:r>
        <w:rPr>
          <w:color w:val="auto"/>
          <w:highlight w:val="none"/>
        </w:rPr>
        <w:fldChar w:fldCharType="separate"/>
      </w:r>
      <w:r>
        <w:rPr>
          <w:color w:val="auto"/>
          <w:highlight w:val="none"/>
        </w:rPr>
        <w:t>196</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"_Toc69114127"</w:instrText>
      </w:r>
      <w:r>
        <w:rPr>
          <w:rStyle w:val="51"/>
          <w:color w:val="auto"/>
          <w:highlight w:val="none"/>
        </w:rPr>
        <w:instrText xml:space="preserve"> </w:instrText>
      </w:r>
      <w:r>
        <w:rPr>
          <w:color w:val="auto"/>
          <w:highlight w:val="none"/>
        </w:rPr>
        <w:fldChar w:fldCharType="separate"/>
      </w:r>
      <w:r>
        <w:rPr>
          <w:rStyle w:val="51"/>
          <w:color w:val="auto"/>
          <w:highlight w:val="none"/>
        </w:rPr>
        <w:t>3.1 实施过程、协调与配合</w:t>
      </w:r>
      <w:r>
        <w:rPr>
          <w:color w:val="auto"/>
          <w:highlight w:val="none"/>
        </w:rPr>
        <w:tab/>
      </w:r>
      <w:r>
        <w:rPr>
          <w:color w:val="auto"/>
          <w:highlight w:val="none"/>
        </w:rPr>
        <w:fldChar w:fldCharType="begin"/>
      </w:r>
      <w:r>
        <w:rPr>
          <w:color w:val="auto"/>
          <w:highlight w:val="none"/>
        </w:rPr>
        <w:instrText xml:space="preserve"> PAGEREF _Toc69114127 \h </w:instrText>
      </w:r>
      <w:r>
        <w:rPr>
          <w:color w:val="auto"/>
          <w:highlight w:val="none"/>
        </w:rPr>
        <w:fldChar w:fldCharType="separate"/>
      </w:r>
      <w:r>
        <w:rPr>
          <w:color w:val="auto"/>
          <w:highlight w:val="none"/>
        </w:rPr>
        <w:t>196</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"_Toc69114128"</w:instrText>
      </w:r>
      <w:r>
        <w:rPr>
          <w:rStyle w:val="51"/>
          <w:color w:val="auto"/>
          <w:highlight w:val="none"/>
        </w:rPr>
        <w:instrText xml:space="preserve"> </w:instrText>
      </w:r>
      <w:r>
        <w:rPr>
          <w:color w:val="auto"/>
          <w:highlight w:val="none"/>
        </w:rPr>
        <w:fldChar w:fldCharType="separate"/>
      </w:r>
      <w:r>
        <w:rPr>
          <w:rStyle w:val="51"/>
          <w:color w:val="auto"/>
          <w:highlight w:val="none"/>
        </w:rPr>
        <w:t>3.2 安全文明施工管理要求</w:t>
      </w:r>
      <w:r>
        <w:rPr>
          <w:color w:val="auto"/>
          <w:highlight w:val="none"/>
        </w:rPr>
        <w:tab/>
      </w:r>
      <w:r>
        <w:rPr>
          <w:color w:val="auto"/>
          <w:highlight w:val="none"/>
        </w:rPr>
        <w:fldChar w:fldCharType="begin"/>
      </w:r>
      <w:r>
        <w:rPr>
          <w:color w:val="auto"/>
          <w:highlight w:val="none"/>
        </w:rPr>
        <w:instrText xml:space="preserve"> PAGEREF _Toc69114128 \h </w:instrText>
      </w:r>
      <w:r>
        <w:rPr>
          <w:color w:val="auto"/>
          <w:highlight w:val="none"/>
        </w:rPr>
        <w:fldChar w:fldCharType="separate"/>
      </w:r>
      <w:r>
        <w:rPr>
          <w:color w:val="auto"/>
          <w:highlight w:val="none"/>
        </w:rPr>
        <w:t>201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"_Toc69114129"</w:instrText>
      </w:r>
      <w:r>
        <w:rPr>
          <w:rStyle w:val="51"/>
          <w:color w:val="auto"/>
          <w:highlight w:val="none"/>
        </w:rPr>
        <w:instrText xml:space="preserve"> </w:instrText>
      </w:r>
      <w:r>
        <w:rPr>
          <w:color w:val="auto"/>
          <w:highlight w:val="none"/>
        </w:rPr>
        <w:fldChar w:fldCharType="separate"/>
      </w:r>
      <w:r>
        <w:rPr>
          <w:rStyle w:val="51"/>
          <w:color w:val="auto"/>
          <w:highlight w:val="none"/>
        </w:rPr>
        <w:t>3.3 绿色施工技术要求</w:t>
      </w:r>
      <w:r>
        <w:rPr>
          <w:color w:val="auto"/>
          <w:highlight w:val="none"/>
        </w:rPr>
        <w:tab/>
      </w:r>
      <w:r>
        <w:rPr>
          <w:color w:val="auto"/>
          <w:highlight w:val="none"/>
        </w:rPr>
        <w:fldChar w:fldCharType="begin"/>
      </w:r>
      <w:r>
        <w:rPr>
          <w:color w:val="auto"/>
          <w:highlight w:val="none"/>
        </w:rPr>
        <w:instrText xml:space="preserve"> PAGEREF _Toc69114129 \h </w:instrText>
      </w:r>
      <w:r>
        <w:rPr>
          <w:color w:val="auto"/>
          <w:highlight w:val="none"/>
        </w:rPr>
        <w:fldChar w:fldCharType="separate"/>
      </w:r>
      <w:r>
        <w:rPr>
          <w:color w:val="auto"/>
          <w:highlight w:val="none"/>
        </w:rPr>
        <w:t>209</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"_Toc69114130"</w:instrText>
      </w:r>
      <w:r>
        <w:rPr>
          <w:rStyle w:val="51"/>
          <w:color w:val="auto"/>
          <w:highlight w:val="none"/>
        </w:rPr>
        <w:instrText xml:space="preserve"> </w:instrText>
      </w:r>
      <w:r>
        <w:rPr>
          <w:color w:val="auto"/>
          <w:highlight w:val="none"/>
        </w:rPr>
        <w:fldChar w:fldCharType="separate"/>
      </w:r>
      <w:r>
        <w:rPr>
          <w:rStyle w:val="51"/>
          <w:color w:val="auto"/>
          <w:highlight w:val="none"/>
        </w:rPr>
        <w:t>3.4 进度要求</w:t>
      </w:r>
      <w:r>
        <w:rPr>
          <w:color w:val="auto"/>
          <w:highlight w:val="none"/>
        </w:rPr>
        <w:tab/>
      </w:r>
      <w:r>
        <w:rPr>
          <w:color w:val="auto"/>
          <w:highlight w:val="none"/>
        </w:rPr>
        <w:fldChar w:fldCharType="begin"/>
      </w:r>
      <w:r>
        <w:rPr>
          <w:color w:val="auto"/>
          <w:highlight w:val="none"/>
        </w:rPr>
        <w:instrText xml:space="preserve"> PAGEREF _Toc69114130 \h </w:instrText>
      </w:r>
      <w:r>
        <w:rPr>
          <w:color w:val="auto"/>
          <w:highlight w:val="none"/>
        </w:rPr>
        <w:fldChar w:fldCharType="separate"/>
      </w:r>
      <w:r>
        <w:rPr>
          <w:color w:val="auto"/>
          <w:highlight w:val="none"/>
        </w:rPr>
        <w:t>256</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"_Toc69114131"</w:instrText>
      </w:r>
      <w:r>
        <w:rPr>
          <w:rStyle w:val="51"/>
          <w:color w:val="auto"/>
          <w:highlight w:val="none"/>
        </w:rPr>
        <w:instrText xml:space="preserve"> </w:instrText>
      </w:r>
      <w:r>
        <w:rPr>
          <w:color w:val="auto"/>
          <w:highlight w:val="none"/>
        </w:rPr>
        <w:fldChar w:fldCharType="separate"/>
      </w:r>
      <w:r>
        <w:rPr>
          <w:rStyle w:val="51"/>
          <w:color w:val="auto"/>
          <w:highlight w:val="none"/>
        </w:rPr>
        <w:t>3.5 项目质量管理</w:t>
      </w:r>
      <w:r>
        <w:rPr>
          <w:color w:val="auto"/>
          <w:highlight w:val="none"/>
        </w:rPr>
        <w:tab/>
      </w:r>
      <w:r>
        <w:rPr>
          <w:color w:val="auto"/>
          <w:highlight w:val="none"/>
        </w:rPr>
        <w:fldChar w:fldCharType="begin"/>
      </w:r>
      <w:r>
        <w:rPr>
          <w:color w:val="auto"/>
          <w:highlight w:val="none"/>
        </w:rPr>
        <w:instrText xml:space="preserve"> PAGEREF _Toc69114131 \h </w:instrText>
      </w:r>
      <w:r>
        <w:rPr>
          <w:color w:val="auto"/>
          <w:highlight w:val="none"/>
        </w:rPr>
        <w:fldChar w:fldCharType="separate"/>
      </w:r>
      <w:r>
        <w:rPr>
          <w:color w:val="auto"/>
          <w:highlight w:val="none"/>
        </w:rPr>
        <w:t>258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"_Toc69114132"</w:instrText>
      </w:r>
      <w:r>
        <w:rPr>
          <w:rStyle w:val="51"/>
          <w:color w:val="auto"/>
          <w:highlight w:val="none"/>
        </w:rPr>
        <w:instrText xml:space="preserve"> </w:instrText>
      </w:r>
      <w:r>
        <w:rPr>
          <w:color w:val="auto"/>
          <w:highlight w:val="none"/>
        </w:rPr>
        <w:fldChar w:fldCharType="separate"/>
      </w:r>
      <w:r>
        <w:rPr>
          <w:rStyle w:val="51"/>
          <w:color w:val="auto"/>
          <w:highlight w:val="none"/>
        </w:rPr>
        <w:t>3.6 材料、设备管理要求</w:t>
      </w:r>
      <w:r>
        <w:rPr>
          <w:color w:val="auto"/>
          <w:highlight w:val="none"/>
        </w:rPr>
        <w:tab/>
      </w:r>
      <w:r>
        <w:rPr>
          <w:color w:val="auto"/>
          <w:highlight w:val="none"/>
        </w:rPr>
        <w:fldChar w:fldCharType="begin"/>
      </w:r>
      <w:r>
        <w:rPr>
          <w:color w:val="auto"/>
          <w:highlight w:val="none"/>
        </w:rPr>
        <w:instrText xml:space="preserve"> PAGEREF _Toc69114132 \h </w:instrText>
      </w:r>
      <w:r>
        <w:rPr>
          <w:color w:val="auto"/>
          <w:highlight w:val="none"/>
        </w:rPr>
        <w:fldChar w:fldCharType="separate"/>
      </w:r>
      <w:r>
        <w:rPr>
          <w:color w:val="auto"/>
          <w:highlight w:val="none"/>
        </w:rPr>
        <w:t>260</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"_Toc69114133"</w:instrText>
      </w:r>
      <w:r>
        <w:rPr>
          <w:rStyle w:val="51"/>
          <w:color w:val="auto"/>
          <w:highlight w:val="none"/>
        </w:rPr>
        <w:instrText xml:space="preserve"> </w:instrText>
      </w:r>
      <w:r>
        <w:rPr>
          <w:color w:val="auto"/>
          <w:highlight w:val="none"/>
        </w:rPr>
        <w:fldChar w:fldCharType="separate"/>
      </w:r>
      <w:r>
        <w:rPr>
          <w:rStyle w:val="51"/>
          <w:color w:val="auto"/>
          <w:highlight w:val="none"/>
        </w:rPr>
        <w:t>3.7 深化设计</w:t>
      </w:r>
      <w:r>
        <w:rPr>
          <w:color w:val="auto"/>
          <w:highlight w:val="none"/>
        </w:rPr>
        <w:tab/>
      </w:r>
      <w:r>
        <w:rPr>
          <w:color w:val="auto"/>
          <w:highlight w:val="none"/>
        </w:rPr>
        <w:fldChar w:fldCharType="begin"/>
      </w:r>
      <w:r>
        <w:rPr>
          <w:color w:val="auto"/>
          <w:highlight w:val="none"/>
        </w:rPr>
        <w:instrText xml:space="preserve"> PAGEREF _Toc69114133 \h </w:instrText>
      </w:r>
      <w:r>
        <w:rPr>
          <w:color w:val="auto"/>
          <w:highlight w:val="none"/>
        </w:rPr>
        <w:fldChar w:fldCharType="separate"/>
      </w:r>
      <w:r>
        <w:rPr>
          <w:color w:val="auto"/>
          <w:highlight w:val="none"/>
        </w:rPr>
        <w:t>267</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"_Toc69114134"</w:instrText>
      </w:r>
      <w:r>
        <w:rPr>
          <w:rStyle w:val="51"/>
          <w:color w:val="auto"/>
          <w:highlight w:val="none"/>
        </w:rPr>
        <w:instrText xml:space="preserve"> </w:instrText>
      </w:r>
      <w:r>
        <w:rPr>
          <w:color w:val="auto"/>
          <w:highlight w:val="none"/>
        </w:rPr>
        <w:fldChar w:fldCharType="separate"/>
      </w:r>
      <w:r>
        <w:rPr>
          <w:rStyle w:val="51"/>
          <w:color w:val="auto"/>
          <w:highlight w:val="none"/>
        </w:rPr>
        <w:t>第4章  竣工验收</w:t>
      </w:r>
      <w:r>
        <w:rPr>
          <w:color w:val="auto"/>
          <w:highlight w:val="none"/>
        </w:rPr>
        <w:tab/>
      </w:r>
      <w:r>
        <w:rPr>
          <w:color w:val="auto"/>
          <w:highlight w:val="none"/>
        </w:rPr>
        <w:fldChar w:fldCharType="begin"/>
      </w:r>
      <w:r>
        <w:rPr>
          <w:color w:val="auto"/>
          <w:highlight w:val="none"/>
        </w:rPr>
        <w:instrText xml:space="preserve"> PAGEREF _Toc69114134 \h </w:instrText>
      </w:r>
      <w:r>
        <w:rPr>
          <w:color w:val="auto"/>
          <w:highlight w:val="none"/>
        </w:rPr>
        <w:fldChar w:fldCharType="separate"/>
      </w:r>
      <w:r>
        <w:rPr>
          <w:color w:val="auto"/>
          <w:highlight w:val="none"/>
        </w:rPr>
        <w:t>268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"_Toc69114135"</w:instrText>
      </w:r>
      <w:r>
        <w:rPr>
          <w:rStyle w:val="51"/>
          <w:color w:val="auto"/>
          <w:highlight w:val="none"/>
        </w:rPr>
        <w:instrText xml:space="preserve"> </w:instrText>
      </w:r>
      <w:r>
        <w:rPr>
          <w:color w:val="auto"/>
          <w:highlight w:val="none"/>
        </w:rPr>
        <w:fldChar w:fldCharType="separate"/>
      </w:r>
      <w:r>
        <w:rPr>
          <w:rStyle w:val="51"/>
          <w:color w:val="auto"/>
          <w:highlight w:val="none"/>
        </w:rPr>
        <w:t>4.1 竣工验收及接收管理要求</w:t>
      </w:r>
      <w:r>
        <w:rPr>
          <w:color w:val="auto"/>
          <w:highlight w:val="none"/>
        </w:rPr>
        <w:tab/>
      </w:r>
      <w:r>
        <w:rPr>
          <w:color w:val="auto"/>
          <w:highlight w:val="none"/>
        </w:rPr>
        <w:fldChar w:fldCharType="begin"/>
      </w:r>
      <w:r>
        <w:rPr>
          <w:color w:val="auto"/>
          <w:highlight w:val="none"/>
        </w:rPr>
        <w:instrText xml:space="preserve"> PAGEREF _Toc69114135 \h </w:instrText>
      </w:r>
      <w:r>
        <w:rPr>
          <w:color w:val="auto"/>
          <w:highlight w:val="none"/>
        </w:rPr>
        <w:fldChar w:fldCharType="separate"/>
      </w:r>
      <w:r>
        <w:rPr>
          <w:color w:val="auto"/>
          <w:highlight w:val="none"/>
        </w:rPr>
        <w:t>268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"_Toc69114136"</w:instrText>
      </w:r>
      <w:r>
        <w:rPr>
          <w:rStyle w:val="51"/>
          <w:color w:val="auto"/>
          <w:highlight w:val="none"/>
        </w:rPr>
        <w:instrText xml:space="preserve"> </w:instrText>
      </w:r>
      <w:r>
        <w:rPr>
          <w:color w:val="auto"/>
          <w:highlight w:val="none"/>
        </w:rPr>
        <w:fldChar w:fldCharType="separate"/>
      </w:r>
      <w:r>
        <w:rPr>
          <w:rStyle w:val="51"/>
          <w:color w:val="auto"/>
          <w:highlight w:val="none"/>
        </w:rPr>
        <w:t>4.2 零备件及工具</w:t>
      </w:r>
      <w:r>
        <w:rPr>
          <w:color w:val="auto"/>
          <w:highlight w:val="none"/>
        </w:rPr>
        <w:tab/>
      </w:r>
      <w:r>
        <w:rPr>
          <w:color w:val="auto"/>
          <w:highlight w:val="none"/>
        </w:rPr>
        <w:fldChar w:fldCharType="begin"/>
      </w:r>
      <w:r>
        <w:rPr>
          <w:color w:val="auto"/>
          <w:highlight w:val="none"/>
        </w:rPr>
        <w:instrText xml:space="preserve"> PAGEREF _Toc69114136 \h </w:instrText>
      </w:r>
      <w:r>
        <w:rPr>
          <w:color w:val="auto"/>
          <w:highlight w:val="none"/>
        </w:rPr>
        <w:fldChar w:fldCharType="separate"/>
      </w:r>
      <w:r>
        <w:rPr>
          <w:color w:val="auto"/>
          <w:highlight w:val="none"/>
        </w:rPr>
        <w:t>268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"_Toc69114137"</w:instrText>
      </w:r>
      <w:r>
        <w:rPr>
          <w:rStyle w:val="51"/>
          <w:color w:val="auto"/>
          <w:highlight w:val="none"/>
        </w:rPr>
        <w:instrText xml:space="preserve"> </w:instrText>
      </w:r>
      <w:r>
        <w:rPr>
          <w:color w:val="auto"/>
          <w:highlight w:val="none"/>
        </w:rPr>
        <w:fldChar w:fldCharType="separate"/>
      </w:r>
      <w:r>
        <w:rPr>
          <w:rStyle w:val="51"/>
          <w:color w:val="auto"/>
          <w:highlight w:val="none"/>
        </w:rPr>
        <w:t>4.3 维修与保养管理要求</w:t>
      </w:r>
      <w:r>
        <w:rPr>
          <w:color w:val="auto"/>
          <w:highlight w:val="none"/>
        </w:rPr>
        <w:tab/>
      </w:r>
      <w:r>
        <w:rPr>
          <w:color w:val="auto"/>
          <w:highlight w:val="none"/>
        </w:rPr>
        <w:fldChar w:fldCharType="begin"/>
      </w:r>
      <w:r>
        <w:rPr>
          <w:color w:val="auto"/>
          <w:highlight w:val="none"/>
        </w:rPr>
        <w:instrText xml:space="preserve"> PAGEREF _Toc69114137 \h </w:instrText>
      </w:r>
      <w:r>
        <w:rPr>
          <w:color w:val="auto"/>
          <w:highlight w:val="none"/>
        </w:rPr>
        <w:fldChar w:fldCharType="separate"/>
      </w:r>
      <w:r>
        <w:rPr>
          <w:color w:val="auto"/>
          <w:highlight w:val="none"/>
        </w:rPr>
        <w:t>269</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"_Toc69114138"</w:instrText>
      </w:r>
      <w:r>
        <w:rPr>
          <w:rStyle w:val="51"/>
          <w:color w:val="auto"/>
          <w:highlight w:val="none"/>
        </w:rPr>
        <w:instrText xml:space="preserve"> </w:instrText>
      </w:r>
      <w:r>
        <w:rPr>
          <w:color w:val="auto"/>
          <w:highlight w:val="none"/>
        </w:rPr>
        <w:fldChar w:fldCharType="separate"/>
      </w:r>
      <w:r>
        <w:rPr>
          <w:rStyle w:val="51"/>
          <w:color w:val="auto"/>
          <w:highlight w:val="none"/>
        </w:rPr>
        <w:t>4.4 废弃物及特殊工艺处理要求</w:t>
      </w:r>
      <w:r>
        <w:rPr>
          <w:color w:val="auto"/>
          <w:highlight w:val="none"/>
        </w:rPr>
        <w:tab/>
      </w:r>
      <w:r>
        <w:rPr>
          <w:color w:val="auto"/>
          <w:highlight w:val="none"/>
        </w:rPr>
        <w:fldChar w:fldCharType="begin"/>
      </w:r>
      <w:r>
        <w:rPr>
          <w:color w:val="auto"/>
          <w:highlight w:val="none"/>
        </w:rPr>
        <w:instrText xml:space="preserve"> PAGEREF _Toc69114138 \h </w:instrText>
      </w:r>
      <w:r>
        <w:rPr>
          <w:color w:val="auto"/>
          <w:highlight w:val="none"/>
        </w:rPr>
        <w:fldChar w:fldCharType="separate"/>
      </w:r>
      <w:r>
        <w:rPr>
          <w:color w:val="auto"/>
          <w:highlight w:val="none"/>
        </w:rPr>
        <w:t>273</w:t>
      </w:r>
      <w:r>
        <w:rPr>
          <w:color w:val="auto"/>
          <w:highlight w:val="none"/>
        </w:rPr>
        <w:fldChar w:fldCharType="end"/>
      </w:r>
      <w:r>
        <w:rPr>
          <w:color w:val="auto"/>
          <w:highlight w:val="none"/>
        </w:rPr>
        <w:fldChar w:fldCharType="end"/>
      </w:r>
    </w:p>
    <w:p>
      <w:pPr>
        <w:pStyle w:val="28"/>
        <w:tabs>
          <w:tab w:val="right" w:leader="dot" w:pos="9060"/>
        </w:tabs>
        <w:rPr>
          <w:rFonts w:ascii="等线" w:hAnsi="等线" w:eastAsia="等线" w:cs="Times New Roman"/>
          <w:b w:val="0"/>
          <w:bCs w:val="0"/>
          <w: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"_Toc69114139"</w:instrText>
      </w:r>
      <w:r>
        <w:rPr>
          <w:rStyle w:val="51"/>
          <w:color w:val="auto"/>
          <w:highlight w:val="none"/>
        </w:rPr>
        <w:instrText xml:space="preserve"> </w:instrText>
      </w:r>
      <w:r>
        <w:rPr>
          <w:color w:val="auto"/>
          <w:highlight w:val="none"/>
        </w:rPr>
        <w:fldChar w:fldCharType="separate"/>
      </w:r>
      <w:r>
        <w:rPr>
          <w:rStyle w:val="51"/>
          <w:color w:val="auto"/>
          <w:highlight w:val="none"/>
        </w:rPr>
        <w:t>第二部分  土建工程技术要求</w:t>
      </w:r>
      <w:r>
        <w:rPr>
          <w:color w:val="auto"/>
          <w:highlight w:val="none"/>
        </w:rPr>
        <w:tab/>
      </w:r>
      <w:r>
        <w:rPr>
          <w:color w:val="auto"/>
          <w:highlight w:val="none"/>
        </w:rPr>
        <w:fldChar w:fldCharType="begin"/>
      </w:r>
      <w:r>
        <w:rPr>
          <w:color w:val="auto"/>
          <w:highlight w:val="none"/>
        </w:rPr>
        <w:instrText xml:space="preserve"> PAGEREF _Toc69114139 \h </w:instrText>
      </w:r>
      <w:r>
        <w:rPr>
          <w:color w:val="auto"/>
          <w:highlight w:val="none"/>
        </w:rPr>
        <w:fldChar w:fldCharType="separate"/>
      </w:r>
      <w:r>
        <w:rPr>
          <w:color w:val="auto"/>
          <w:highlight w:val="none"/>
        </w:rPr>
        <w:t>274</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"_Toc69114140"</w:instrText>
      </w:r>
      <w:r>
        <w:rPr>
          <w:rStyle w:val="51"/>
          <w:color w:val="auto"/>
          <w:highlight w:val="none"/>
        </w:rPr>
        <w:instrText xml:space="preserve"> </w:instrText>
      </w:r>
      <w:r>
        <w:rPr>
          <w:color w:val="auto"/>
          <w:highlight w:val="none"/>
        </w:rPr>
        <w:fldChar w:fldCharType="separate"/>
      </w:r>
      <w:r>
        <w:rPr>
          <w:rStyle w:val="51"/>
          <w:color w:val="auto"/>
          <w:highlight w:val="none"/>
        </w:rPr>
        <w:t>第1章  概  况</w:t>
      </w:r>
      <w:r>
        <w:rPr>
          <w:color w:val="auto"/>
          <w:highlight w:val="none"/>
        </w:rPr>
        <w:tab/>
      </w:r>
      <w:r>
        <w:rPr>
          <w:color w:val="auto"/>
          <w:highlight w:val="none"/>
        </w:rPr>
        <w:fldChar w:fldCharType="begin"/>
      </w:r>
      <w:r>
        <w:rPr>
          <w:color w:val="auto"/>
          <w:highlight w:val="none"/>
        </w:rPr>
        <w:instrText xml:space="preserve"> PAGEREF _Toc69114140 \h </w:instrText>
      </w:r>
      <w:r>
        <w:rPr>
          <w:color w:val="auto"/>
          <w:highlight w:val="none"/>
        </w:rPr>
        <w:fldChar w:fldCharType="separate"/>
      </w:r>
      <w:r>
        <w:rPr>
          <w:color w:val="auto"/>
          <w:highlight w:val="none"/>
        </w:rPr>
        <w:t>275</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"_Toc69114141"</w:instrText>
      </w:r>
      <w:r>
        <w:rPr>
          <w:rStyle w:val="51"/>
          <w:color w:val="auto"/>
          <w:highlight w:val="none"/>
        </w:rPr>
        <w:instrText xml:space="preserve"> </w:instrText>
      </w:r>
      <w:r>
        <w:rPr>
          <w:color w:val="auto"/>
          <w:highlight w:val="none"/>
        </w:rPr>
        <w:fldChar w:fldCharType="separate"/>
      </w:r>
      <w:r>
        <w:rPr>
          <w:rStyle w:val="51"/>
          <w:color w:val="auto"/>
          <w:highlight w:val="none"/>
        </w:rPr>
        <w:t>1.1 工程简介</w:t>
      </w:r>
      <w:r>
        <w:rPr>
          <w:color w:val="auto"/>
          <w:highlight w:val="none"/>
        </w:rPr>
        <w:tab/>
      </w:r>
      <w:r>
        <w:rPr>
          <w:color w:val="auto"/>
          <w:highlight w:val="none"/>
        </w:rPr>
        <w:fldChar w:fldCharType="begin"/>
      </w:r>
      <w:r>
        <w:rPr>
          <w:color w:val="auto"/>
          <w:highlight w:val="none"/>
        </w:rPr>
        <w:instrText xml:space="preserve"> PAGEREF _Toc69114141 \h </w:instrText>
      </w:r>
      <w:r>
        <w:rPr>
          <w:color w:val="auto"/>
          <w:highlight w:val="none"/>
        </w:rPr>
        <w:fldChar w:fldCharType="separate"/>
      </w:r>
      <w:r>
        <w:rPr>
          <w:color w:val="auto"/>
          <w:highlight w:val="none"/>
        </w:rPr>
        <w:t>275</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"_Toc69114142"</w:instrText>
      </w:r>
      <w:r>
        <w:rPr>
          <w:rStyle w:val="51"/>
          <w:color w:val="auto"/>
          <w:highlight w:val="none"/>
        </w:rPr>
        <w:instrText xml:space="preserve"> </w:instrText>
      </w:r>
      <w:r>
        <w:rPr>
          <w:color w:val="auto"/>
          <w:highlight w:val="none"/>
        </w:rPr>
        <w:fldChar w:fldCharType="separate"/>
      </w:r>
      <w:r>
        <w:rPr>
          <w:rStyle w:val="51"/>
          <w:color w:val="auto"/>
          <w:highlight w:val="none"/>
        </w:rPr>
        <w:t>1.2 工作范围</w:t>
      </w:r>
      <w:r>
        <w:rPr>
          <w:color w:val="auto"/>
          <w:highlight w:val="none"/>
        </w:rPr>
        <w:tab/>
      </w:r>
      <w:r>
        <w:rPr>
          <w:color w:val="auto"/>
          <w:highlight w:val="none"/>
        </w:rPr>
        <w:fldChar w:fldCharType="begin"/>
      </w:r>
      <w:r>
        <w:rPr>
          <w:color w:val="auto"/>
          <w:highlight w:val="none"/>
        </w:rPr>
        <w:instrText xml:space="preserve"> PAGEREF _Toc69114142 \h </w:instrText>
      </w:r>
      <w:r>
        <w:rPr>
          <w:color w:val="auto"/>
          <w:highlight w:val="none"/>
        </w:rPr>
        <w:fldChar w:fldCharType="separate"/>
      </w:r>
      <w:r>
        <w:rPr>
          <w:color w:val="auto"/>
          <w:highlight w:val="none"/>
        </w:rPr>
        <w:t>275</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"_Toc69114143"</w:instrText>
      </w:r>
      <w:r>
        <w:rPr>
          <w:rStyle w:val="51"/>
          <w:color w:val="auto"/>
          <w:highlight w:val="none"/>
        </w:rPr>
        <w:instrText xml:space="preserve"> </w:instrText>
      </w:r>
      <w:r>
        <w:rPr>
          <w:color w:val="auto"/>
          <w:highlight w:val="none"/>
        </w:rPr>
        <w:fldChar w:fldCharType="separate"/>
      </w:r>
      <w:r>
        <w:rPr>
          <w:rStyle w:val="51"/>
          <w:color w:val="auto"/>
          <w:highlight w:val="none"/>
        </w:rPr>
        <w:t>1.3 法律、法规</w:t>
      </w:r>
      <w:r>
        <w:rPr>
          <w:color w:val="auto"/>
          <w:highlight w:val="none"/>
        </w:rPr>
        <w:tab/>
      </w:r>
      <w:r>
        <w:rPr>
          <w:color w:val="auto"/>
          <w:highlight w:val="none"/>
        </w:rPr>
        <w:fldChar w:fldCharType="begin"/>
      </w:r>
      <w:r>
        <w:rPr>
          <w:color w:val="auto"/>
          <w:highlight w:val="none"/>
        </w:rPr>
        <w:instrText xml:space="preserve"> PAGEREF _Toc69114143 \h </w:instrText>
      </w:r>
      <w:r>
        <w:rPr>
          <w:color w:val="auto"/>
          <w:highlight w:val="none"/>
        </w:rPr>
        <w:fldChar w:fldCharType="separate"/>
      </w:r>
      <w:r>
        <w:rPr>
          <w:color w:val="auto"/>
          <w:highlight w:val="none"/>
        </w:rPr>
        <w:t>275</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"_Toc69114144"</w:instrText>
      </w:r>
      <w:r>
        <w:rPr>
          <w:rStyle w:val="51"/>
          <w:color w:val="auto"/>
          <w:highlight w:val="none"/>
        </w:rPr>
        <w:instrText xml:space="preserve"> </w:instrText>
      </w:r>
      <w:r>
        <w:rPr>
          <w:color w:val="auto"/>
          <w:highlight w:val="none"/>
        </w:rPr>
        <w:fldChar w:fldCharType="separate"/>
      </w:r>
      <w:r>
        <w:rPr>
          <w:rStyle w:val="51"/>
          <w:color w:val="auto"/>
          <w:highlight w:val="none"/>
        </w:rPr>
        <w:t>第2章  通用要求</w:t>
      </w:r>
      <w:r>
        <w:rPr>
          <w:color w:val="auto"/>
          <w:highlight w:val="none"/>
        </w:rPr>
        <w:tab/>
      </w:r>
      <w:r>
        <w:rPr>
          <w:color w:val="auto"/>
          <w:highlight w:val="none"/>
        </w:rPr>
        <w:fldChar w:fldCharType="begin"/>
      </w:r>
      <w:r>
        <w:rPr>
          <w:color w:val="auto"/>
          <w:highlight w:val="none"/>
        </w:rPr>
        <w:instrText xml:space="preserve"> PAGEREF _Toc69114144 \h </w:instrText>
      </w:r>
      <w:r>
        <w:rPr>
          <w:color w:val="auto"/>
          <w:highlight w:val="none"/>
        </w:rPr>
        <w:fldChar w:fldCharType="separate"/>
      </w:r>
      <w:r>
        <w:rPr>
          <w:color w:val="auto"/>
          <w:highlight w:val="none"/>
        </w:rPr>
        <w:t>276</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"_Toc69114145"</w:instrText>
      </w:r>
      <w:r>
        <w:rPr>
          <w:rStyle w:val="51"/>
          <w:color w:val="auto"/>
          <w:highlight w:val="none"/>
        </w:rPr>
        <w:instrText xml:space="preserve"> </w:instrText>
      </w:r>
      <w:r>
        <w:rPr>
          <w:color w:val="auto"/>
          <w:highlight w:val="none"/>
        </w:rPr>
        <w:fldChar w:fldCharType="separate"/>
      </w:r>
      <w:r>
        <w:rPr>
          <w:rStyle w:val="51"/>
          <w:color w:val="auto"/>
          <w:highlight w:val="none"/>
        </w:rPr>
        <w:t>2.1 实施过程、协调与配合</w:t>
      </w:r>
      <w:r>
        <w:rPr>
          <w:color w:val="auto"/>
          <w:highlight w:val="none"/>
        </w:rPr>
        <w:tab/>
      </w:r>
      <w:r>
        <w:rPr>
          <w:color w:val="auto"/>
          <w:highlight w:val="none"/>
        </w:rPr>
        <w:fldChar w:fldCharType="begin"/>
      </w:r>
      <w:r>
        <w:rPr>
          <w:color w:val="auto"/>
          <w:highlight w:val="none"/>
        </w:rPr>
        <w:instrText xml:space="preserve"> PAGEREF _Toc69114145 \h </w:instrText>
      </w:r>
      <w:r>
        <w:rPr>
          <w:color w:val="auto"/>
          <w:highlight w:val="none"/>
        </w:rPr>
        <w:fldChar w:fldCharType="separate"/>
      </w:r>
      <w:r>
        <w:rPr>
          <w:color w:val="auto"/>
          <w:highlight w:val="none"/>
        </w:rPr>
        <w:t>276</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"_Toc69114146"</w:instrText>
      </w:r>
      <w:r>
        <w:rPr>
          <w:rStyle w:val="51"/>
          <w:color w:val="auto"/>
          <w:highlight w:val="none"/>
        </w:rPr>
        <w:instrText xml:space="preserve"> </w:instrText>
      </w:r>
      <w:r>
        <w:rPr>
          <w:color w:val="auto"/>
          <w:highlight w:val="none"/>
        </w:rPr>
        <w:fldChar w:fldCharType="separate"/>
      </w:r>
      <w:r>
        <w:rPr>
          <w:rStyle w:val="51"/>
          <w:color w:val="auto"/>
          <w:highlight w:val="none"/>
        </w:rPr>
        <w:t>2.2 深化设计</w:t>
      </w:r>
      <w:r>
        <w:rPr>
          <w:color w:val="auto"/>
          <w:highlight w:val="none"/>
        </w:rPr>
        <w:tab/>
      </w:r>
      <w:r>
        <w:rPr>
          <w:color w:val="auto"/>
          <w:highlight w:val="none"/>
        </w:rPr>
        <w:fldChar w:fldCharType="begin"/>
      </w:r>
      <w:r>
        <w:rPr>
          <w:color w:val="auto"/>
          <w:highlight w:val="none"/>
        </w:rPr>
        <w:instrText xml:space="preserve"> PAGEREF _Toc69114146 \h </w:instrText>
      </w:r>
      <w:r>
        <w:rPr>
          <w:color w:val="auto"/>
          <w:highlight w:val="none"/>
        </w:rPr>
        <w:fldChar w:fldCharType="separate"/>
      </w:r>
      <w:r>
        <w:rPr>
          <w:color w:val="auto"/>
          <w:highlight w:val="none"/>
        </w:rPr>
        <w:t>278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"_Toc69114147"</w:instrText>
      </w:r>
      <w:r>
        <w:rPr>
          <w:rStyle w:val="51"/>
          <w:color w:val="auto"/>
          <w:highlight w:val="none"/>
        </w:rPr>
        <w:instrText xml:space="preserve"> </w:instrText>
      </w:r>
      <w:r>
        <w:rPr>
          <w:color w:val="auto"/>
          <w:highlight w:val="none"/>
        </w:rPr>
        <w:fldChar w:fldCharType="separate"/>
      </w:r>
      <w:r>
        <w:rPr>
          <w:rStyle w:val="51"/>
          <w:color w:val="auto"/>
          <w:highlight w:val="none"/>
        </w:rPr>
        <w:t>2.3 材料及设备</w:t>
      </w:r>
      <w:r>
        <w:rPr>
          <w:color w:val="auto"/>
          <w:highlight w:val="none"/>
        </w:rPr>
        <w:tab/>
      </w:r>
      <w:r>
        <w:rPr>
          <w:color w:val="auto"/>
          <w:highlight w:val="none"/>
        </w:rPr>
        <w:fldChar w:fldCharType="begin"/>
      </w:r>
      <w:r>
        <w:rPr>
          <w:color w:val="auto"/>
          <w:highlight w:val="none"/>
        </w:rPr>
        <w:instrText xml:space="preserve"> PAGEREF _Toc69114147 \h </w:instrText>
      </w:r>
      <w:r>
        <w:rPr>
          <w:color w:val="auto"/>
          <w:highlight w:val="none"/>
        </w:rPr>
        <w:fldChar w:fldCharType="separate"/>
      </w:r>
      <w:r>
        <w:rPr>
          <w:color w:val="auto"/>
          <w:highlight w:val="none"/>
        </w:rPr>
        <w:t>278</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"_Toc69114148"</w:instrText>
      </w:r>
      <w:r>
        <w:rPr>
          <w:rStyle w:val="51"/>
          <w:color w:val="auto"/>
          <w:highlight w:val="none"/>
        </w:rPr>
        <w:instrText xml:space="preserve"> </w:instrText>
      </w:r>
      <w:r>
        <w:rPr>
          <w:color w:val="auto"/>
          <w:highlight w:val="none"/>
        </w:rPr>
        <w:fldChar w:fldCharType="separate"/>
      </w:r>
      <w:r>
        <w:rPr>
          <w:rStyle w:val="51"/>
          <w:color w:val="auto"/>
          <w:highlight w:val="none"/>
        </w:rPr>
        <w:t>第3章  专用要求</w:t>
      </w:r>
      <w:r>
        <w:rPr>
          <w:color w:val="auto"/>
          <w:highlight w:val="none"/>
        </w:rPr>
        <w:tab/>
      </w:r>
      <w:r>
        <w:rPr>
          <w:color w:val="auto"/>
          <w:highlight w:val="none"/>
        </w:rPr>
        <w:fldChar w:fldCharType="begin"/>
      </w:r>
      <w:r>
        <w:rPr>
          <w:color w:val="auto"/>
          <w:highlight w:val="none"/>
        </w:rPr>
        <w:instrText xml:space="preserve"> PAGEREF _Toc69114148 \h </w:instrText>
      </w:r>
      <w:r>
        <w:rPr>
          <w:color w:val="auto"/>
          <w:highlight w:val="none"/>
        </w:rPr>
        <w:fldChar w:fldCharType="separate"/>
      </w:r>
      <w:r>
        <w:rPr>
          <w:color w:val="auto"/>
          <w:highlight w:val="none"/>
        </w:rPr>
        <w:t>281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"_Toc69114149"</w:instrText>
      </w:r>
      <w:r>
        <w:rPr>
          <w:rStyle w:val="51"/>
          <w:color w:val="auto"/>
          <w:highlight w:val="none"/>
        </w:rPr>
        <w:instrText xml:space="preserve"> </w:instrText>
      </w:r>
      <w:r>
        <w:rPr>
          <w:color w:val="auto"/>
          <w:highlight w:val="none"/>
        </w:rPr>
        <w:fldChar w:fldCharType="separate"/>
      </w:r>
      <w:r>
        <w:rPr>
          <w:rStyle w:val="51"/>
          <w:rFonts w:ascii="黑体"/>
          <w:color w:val="auto"/>
          <w:highlight w:val="none"/>
        </w:rPr>
        <w:t>3.1 基坑支护与土方工程</w:t>
      </w:r>
      <w:r>
        <w:rPr>
          <w:color w:val="auto"/>
          <w:highlight w:val="none"/>
        </w:rPr>
        <w:tab/>
      </w:r>
      <w:r>
        <w:rPr>
          <w:color w:val="auto"/>
          <w:highlight w:val="none"/>
        </w:rPr>
        <w:fldChar w:fldCharType="begin"/>
      </w:r>
      <w:r>
        <w:rPr>
          <w:color w:val="auto"/>
          <w:highlight w:val="none"/>
        </w:rPr>
        <w:instrText xml:space="preserve"> PAGEREF _Toc69114149 \h </w:instrText>
      </w:r>
      <w:r>
        <w:rPr>
          <w:color w:val="auto"/>
          <w:highlight w:val="none"/>
        </w:rPr>
        <w:fldChar w:fldCharType="separate"/>
      </w:r>
      <w:r>
        <w:rPr>
          <w:color w:val="auto"/>
          <w:highlight w:val="none"/>
        </w:rPr>
        <w:t>281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"_Toc69114150"</w:instrText>
      </w:r>
      <w:r>
        <w:rPr>
          <w:rStyle w:val="51"/>
          <w:color w:val="auto"/>
          <w:highlight w:val="none"/>
        </w:rPr>
        <w:instrText xml:space="preserve"> </w:instrText>
      </w:r>
      <w:r>
        <w:rPr>
          <w:color w:val="auto"/>
          <w:highlight w:val="none"/>
        </w:rPr>
        <w:fldChar w:fldCharType="separate"/>
      </w:r>
      <w:r>
        <w:rPr>
          <w:rStyle w:val="51"/>
          <w:color w:val="auto"/>
          <w:highlight w:val="none"/>
        </w:rPr>
        <w:t>3.2 地基与基础工程</w:t>
      </w:r>
      <w:r>
        <w:rPr>
          <w:color w:val="auto"/>
          <w:highlight w:val="none"/>
        </w:rPr>
        <w:tab/>
      </w:r>
      <w:r>
        <w:rPr>
          <w:color w:val="auto"/>
          <w:highlight w:val="none"/>
        </w:rPr>
        <w:fldChar w:fldCharType="begin"/>
      </w:r>
      <w:r>
        <w:rPr>
          <w:color w:val="auto"/>
          <w:highlight w:val="none"/>
        </w:rPr>
        <w:instrText xml:space="preserve"> PAGEREF _Toc69114150 \h </w:instrText>
      </w:r>
      <w:r>
        <w:rPr>
          <w:color w:val="auto"/>
          <w:highlight w:val="none"/>
        </w:rPr>
        <w:fldChar w:fldCharType="separate"/>
      </w:r>
      <w:r>
        <w:rPr>
          <w:color w:val="auto"/>
          <w:highlight w:val="none"/>
        </w:rPr>
        <w:t>291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"_Toc69114151"</w:instrText>
      </w:r>
      <w:r>
        <w:rPr>
          <w:rStyle w:val="51"/>
          <w:color w:val="auto"/>
          <w:highlight w:val="none"/>
        </w:rPr>
        <w:instrText xml:space="preserve"> </w:instrText>
      </w:r>
      <w:r>
        <w:rPr>
          <w:color w:val="auto"/>
          <w:highlight w:val="none"/>
        </w:rPr>
        <w:fldChar w:fldCharType="separate"/>
      </w:r>
      <w:r>
        <w:rPr>
          <w:rStyle w:val="51"/>
          <w:color w:val="auto"/>
          <w:highlight w:val="none"/>
        </w:rPr>
        <w:t>3.3 主体结构工程</w:t>
      </w:r>
      <w:r>
        <w:rPr>
          <w:color w:val="auto"/>
          <w:highlight w:val="none"/>
        </w:rPr>
        <w:tab/>
      </w:r>
      <w:r>
        <w:rPr>
          <w:color w:val="auto"/>
          <w:highlight w:val="none"/>
        </w:rPr>
        <w:fldChar w:fldCharType="begin"/>
      </w:r>
      <w:r>
        <w:rPr>
          <w:color w:val="auto"/>
          <w:highlight w:val="none"/>
        </w:rPr>
        <w:instrText xml:space="preserve"> PAGEREF _Toc69114151 \h </w:instrText>
      </w:r>
      <w:r>
        <w:rPr>
          <w:color w:val="auto"/>
          <w:highlight w:val="none"/>
        </w:rPr>
        <w:fldChar w:fldCharType="separate"/>
      </w:r>
      <w:r>
        <w:rPr>
          <w:color w:val="auto"/>
          <w:highlight w:val="none"/>
        </w:rPr>
        <w:t>299</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"_Toc69114152"</w:instrText>
      </w:r>
      <w:r>
        <w:rPr>
          <w:rStyle w:val="51"/>
          <w:color w:val="auto"/>
          <w:highlight w:val="none"/>
        </w:rPr>
        <w:instrText xml:space="preserve"> </w:instrText>
      </w:r>
      <w:r>
        <w:rPr>
          <w:color w:val="auto"/>
          <w:highlight w:val="none"/>
        </w:rPr>
        <w:fldChar w:fldCharType="separate"/>
      </w:r>
      <w:r>
        <w:rPr>
          <w:rStyle w:val="51"/>
          <w:color w:val="auto"/>
          <w:highlight w:val="none"/>
        </w:rPr>
        <w:t>3.4 建筑装饰装修工程</w:t>
      </w:r>
      <w:r>
        <w:rPr>
          <w:color w:val="auto"/>
          <w:highlight w:val="none"/>
        </w:rPr>
        <w:tab/>
      </w:r>
      <w:r>
        <w:rPr>
          <w:color w:val="auto"/>
          <w:highlight w:val="none"/>
        </w:rPr>
        <w:fldChar w:fldCharType="begin"/>
      </w:r>
      <w:r>
        <w:rPr>
          <w:color w:val="auto"/>
          <w:highlight w:val="none"/>
        </w:rPr>
        <w:instrText xml:space="preserve"> PAGEREF _Toc69114152 \h </w:instrText>
      </w:r>
      <w:r>
        <w:rPr>
          <w:color w:val="auto"/>
          <w:highlight w:val="none"/>
        </w:rPr>
        <w:fldChar w:fldCharType="separate"/>
      </w:r>
      <w:r>
        <w:rPr>
          <w:color w:val="auto"/>
          <w:highlight w:val="none"/>
        </w:rPr>
        <w:t>334</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"_Toc69114153"</w:instrText>
      </w:r>
      <w:r>
        <w:rPr>
          <w:rStyle w:val="51"/>
          <w:color w:val="auto"/>
          <w:highlight w:val="none"/>
        </w:rPr>
        <w:instrText xml:space="preserve"> </w:instrText>
      </w:r>
      <w:r>
        <w:rPr>
          <w:color w:val="auto"/>
          <w:highlight w:val="none"/>
        </w:rPr>
        <w:fldChar w:fldCharType="separate"/>
      </w:r>
      <w:r>
        <w:rPr>
          <w:rStyle w:val="51"/>
          <w:color w:val="auto"/>
          <w:highlight w:val="none"/>
        </w:rPr>
        <w:t>3.5 屋面工程</w:t>
      </w:r>
      <w:r>
        <w:rPr>
          <w:color w:val="auto"/>
          <w:highlight w:val="none"/>
        </w:rPr>
        <w:tab/>
      </w:r>
      <w:r>
        <w:rPr>
          <w:color w:val="auto"/>
          <w:highlight w:val="none"/>
        </w:rPr>
        <w:fldChar w:fldCharType="begin"/>
      </w:r>
      <w:r>
        <w:rPr>
          <w:color w:val="auto"/>
          <w:highlight w:val="none"/>
        </w:rPr>
        <w:instrText xml:space="preserve"> PAGEREF _Toc69114153 \h </w:instrText>
      </w:r>
      <w:r>
        <w:rPr>
          <w:color w:val="auto"/>
          <w:highlight w:val="none"/>
        </w:rPr>
        <w:fldChar w:fldCharType="separate"/>
      </w:r>
      <w:r>
        <w:rPr>
          <w:color w:val="auto"/>
          <w:highlight w:val="none"/>
        </w:rPr>
        <w:t>355</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"_Toc69114154"</w:instrText>
      </w:r>
      <w:r>
        <w:rPr>
          <w:rStyle w:val="51"/>
          <w:color w:val="auto"/>
          <w:highlight w:val="none"/>
        </w:rPr>
        <w:instrText xml:space="preserve"> </w:instrText>
      </w:r>
      <w:r>
        <w:rPr>
          <w:color w:val="auto"/>
          <w:highlight w:val="none"/>
        </w:rPr>
        <w:fldChar w:fldCharType="separate"/>
      </w:r>
      <w:r>
        <w:rPr>
          <w:rStyle w:val="51"/>
          <w:color w:val="auto"/>
          <w:highlight w:val="none"/>
        </w:rPr>
        <w:t>3.6 幕墙工程</w:t>
      </w:r>
      <w:r>
        <w:rPr>
          <w:color w:val="auto"/>
          <w:highlight w:val="none"/>
        </w:rPr>
        <w:tab/>
      </w:r>
      <w:r>
        <w:rPr>
          <w:color w:val="auto"/>
          <w:highlight w:val="none"/>
        </w:rPr>
        <w:fldChar w:fldCharType="begin"/>
      </w:r>
      <w:r>
        <w:rPr>
          <w:color w:val="auto"/>
          <w:highlight w:val="none"/>
        </w:rPr>
        <w:instrText xml:space="preserve"> PAGEREF _Toc69114154 \h </w:instrText>
      </w:r>
      <w:r>
        <w:rPr>
          <w:color w:val="auto"/>
          <w:highlight w:val="none"/>
        </w:rPr>
        <w:fldChar w:fldCharType="separate"/>
      </w:r>
      <w:r>
        <w:rPr>
          <w:color w:val="auto"/>
          <w:highlight w:val="none"/>
        </w:rPr>
        <w:t>356</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"_Toc69114155"</w:instrText>
      </w:r>
      <w:r>
        <w:rPr>
          <w:rStyle w:val="51"/>
          <w:color w:val="auto"/>
          <w:highlight w:val="none"/>
        </w:rPr>
        <w:instrText xml:space="preserve"> </w:instrText>
      </w:r>
      <w:r>
        <w:rPr>
          <w:color w:val="auto"/>
          <w:highlight w:val="none"/>
        </w:rPr>
        <w:fldChar w:fldCharType="separate"/>
      </w:r>
      <w:r>
        <w:rPr>
          <w:rStyle w:val="51"/>
          <w:color w:val="auto"/>
          <w:highlight w:val="none"/>
        </w:rPr>
        <w:t>3.7 室外工程技术要求</w:t>
      </w:r>
      <w:r>
        <w:rPr>
          <w:color w:val="auto"/>
          <w:highlight w:val="none"/>
        </w:rPr>
        <w:tab/>
      </w:r>
      <w:r>
        <w:rPr>
          <w:color w:val="auto"/>
          <w:highlight w:val="none"/>
        </w:rPr>
        <w:fldChar w:fldCharType="begin"/>
      </w:r>
      <w:r>
        <w:rPr>
          <w:color w:val="auto"/>
          <w:highlight w:val="none"/>
        </w:rPr>
        <w:instrText xml:space="preserve"> PAGEREF _Toc69114155 \h </w:instrText>
      </w:r>
      <w:r>
        <w:rPr>
          <w:color w:val="auto"/>
          <w:highlight w:val="none"/>
        </w:rPr>
        <w:fldChar w:fldCharType="separate"/>
      </w:r>
      <w:r>
        <w:rPr>
          <w:color w:val="auto"/>
          <w:highlight w:val="none"/>
        </w:rPr>
        <w:t>380</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"_Toc69114156"</w:instrText>
      </w:r>
      <w:r>
        <w:rPr>
          <w:rStyle w:val="51"/>
          <w:color w:val="auto"/>
          <w:highlight w:val="none"/>
        </w:rPr>
        <w:instrText xml:space="preserve"> </w:instrText>
      </w:r>
      <w:r>
        <w:rPr>
          <w:color w:val="auto"/>
          <w:highlight w:val="none"/>
        </w:rPr>
        <w:fldChar w:fldCharType="separate"/>
      </w:r>
      <w:r>
        <w:rPr>
          <w:rStyle w:val="51"/>
          <w:color w:val="auto"/>
          <w:highlight w:val="none"/>
        </w:rPr>
        <w:t>3.8 特别要求</w:t>
      </w:r>
      <w:r>
        <w:rPr>
          <w:color w:val="auto"/>
          <w:highlight w:val="none"/>
        </w:rPr>
        <w:tab/>
      </w:r>
      <w:r>
        <w:rPr>
          <w:color w:val="auto"/>
          <w:highlight w:val="none"/>
        </w:rPr>
        <w:fldChar w:fldCharType="begin"/>
      </w:r>
      <w:r>
        <w:rPr>
          <w:color w:val="auto"/>
          <w:highlight w:val="none"/>
        </w:rPr>
        <w:instrText xml:space="preserve"> PAGEREF _Toc69114156 \h </w:instrText>
      </w:r>
      <w:r>
        <w:rPr>
          <w:color w:val="auto"/>
          <w:highlight w:val="none"/>
        </w:rPr>
        <w:fldChar w:fldCharType="separate"/>
      </w:r>
      <w:r>
        <w:rPr>
          <w:color w:val="auto"/>
          <w:highlight w:val="none"/>
        </w:rPr>
        <w:t>392</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"_Toc69114157"</w:instrText>
      </w:r>
      <w:r>
        <w:rPr>
          <w:rStyle w:val="51"/>
          <w:color w:val="auto"/>
          <w:highlight w:val="none"/>
        </w:rPr>
        <w:instrText xml:space="preserve"> </w:instrText>
      </w:r>
      <w:r>
        <w:rPr>
          <w:color w:val="auto"/>
          <w:highlight w:val="none"/>
        </w:rPr>
        <w:fldChar w:fldCharType="separate"/>
      </w:r>
      <w:r>
        <w:rPr>
          <w:rStyle w:val="51"/>
          <w:color w:val="auto"/>
          <w:highlight w:val="none"/>
        </w:rPr>
        <w:t>3.9 土建工程材料技术要求</w:t>
      </w:r>
      <w:r>
        <w:rPr>
          <w:color w:val="auto"/>
          <w:highlight w:val="none"/>
        </w:rPr>
        <w:tab/>
      </w:r>
      <w:r>
        <w:rPr>
          <w:color w:val="auto"/>
          <w:highlight w:val="none"/>
        </w:rPr>
        <w:fldChar w:fldCharType="begin"/>
      </w:r>
      <w:r>
        <w:rPr>
          <w:color w:val="auto"/>
          <w:highlight w:val="none"/>
        </w:rPr>
        <w:instrText xml:space="preserve"> PAGEREF _Toc69114157 \h </w:instrText>
      </w:r>
      <w:r>
        <w:rPr>
          <w:color w:val="auto"/>
          <w:highlight w:val="none"/>
        </w:rPr>
        <w:fldChar w:fldCharType="separate"/>
      </w:r>
      <w:r>
        <w:rPr>
          <w:color w:val="auto"/>
          <w:highlight w:val="none"/>
        </w:rPr>
        <w:t>395</w:t>
      </w:r>
      <w:r>
        <w:rPr>
          <w:color w:val="auto"/>
          <w:highlight w:val="none"/>
        </w:rPr>
        <w:fldChar w:fldCharType="end"/>
      </w:r>
      <w:r>
        <w:rPr>
          <w:color w:val="auto"/>
          <w:highlight w:val="none"/>
        </w:rPr>
        <w:fldChar w:fldCharType="end"/>
      </w:r>
    </w:p>
    <w:p>
      <w:pPr>
        <w:pStyle w:val="28"/>
        <w:tabs>
          <w:tab w:val="right" w:leader="dot" w:pos="9060"/>
        </w:tabs>
        <w:rPr>
          <w:rFonts w:ascii="等线" w:hAnsi="等线" w:eastAsia="等线" w:cs="Times New Roman"/>
          <w:b w:val="0"/>
          <w:bCs w:val="0"/>
          <w: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"_Toc69114158"</w:instrText>
      </w:r>
      <w:r>
        <w:rPr>
          <w:rStyle w:val="51"/>
          <w:color w:val="auto"/>
          <w:highlight w:val="none"/>
        </w:rPr>
        <w:instrText xml:space="preserve"> </w:instrText>
      </w:r>
      <w:r>
        <w:rPr>
          <w:color w:val="auto"/>
          <w:highlight w:val="none"/>
        </w:rPr>
        <w:fldChar w:fldCharType="separate"/>
      </w:r>
      <w:r>
        <w:rPr>
          <w:rStyle w:val="51"/>
          <w:color w:val="auto"/>
          <w:highlight w:val="none"/>
        </w:rPr>
        <w:t>第三部分  电气工程技术要求</w:t>
      </w:r>
      <w:r>
        <w:rPr>
          <w:color w:val="auto"/>
          <w:highlight w:val="none"/>
        </w:rPr>
        <w:tab/>
      </w:r>
      <w:r>
        <w:rPr>
          <w:color w:val="auto"/>
          <w:highlight w:val="none"/>
        </w:rPr>
        <w:fldChar w:fldCharType="begin"/>
      </w:r>
      <w:r>
        <w:rPr>
          <w:color w:val="auto"/>
          <w:highlight w:val="none"/>
        </w:rPr>
        <w:instrText xml:space="preserve"> PAGEREF _Toc69114158 \h </w:instrText>
      </w:r>
      <w:r>
        <w:rPr>
          <w:color w:val="auto"/>
          <w:highlight w:val="none"/>
        </w:rPr>
        <w:fldChar w:fldCharType="separate"/>
      </w:r>
      <w:r>
        <w:rPr>
          <w:color w:val="auto"/>
          <w:highlight w:val="none"/>
        </w:rPr>
        <w:t>407</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"_Toc69114159"</w:instrText>
      </w:r>
      <w:r>
        <w:rPr>
          <w:rStyle w:val="51"/>
          <w:color w:val="auto"/>
          <w:highlight w:val="none"/>
        </w:rPr>
        <w:instrText xml:space="preserve"> </w:instrText>
      </w:r>
      <w:r>
        <w:rPr>
          <w:color w:val="auto"/>
          <w:highlight w:val="none"/>
        </w:rPr>
        <w:fldChar w:fldCharType="separate"/>
      </w:r>
      <w:r>
        <w:rPr>
          <w:rStyle w:val="51"/>
          <w:color w:val="auto"/>
          <w:highlight w:val="none"/>
        </w:rPr>
        <w:t>第1章 工程范围</w:t>
      </w:r>
      <w:r>
        <w:rPr>
          <w:color w:val="auto"/>
          <w:highlight w:val="none"/>
        </w:rPr>
        <w:tab/>
      </w:r>
      <w:r>
        <w:rPr>
          <w:color w:val="auto"/>
          <w:highlight w:val="none"/>
        </w:rPr>
        <w:fldChar w:fldCharType="begin"/>
      </w:r>
      <w:r>
        <w:rPr>
          <w:color w:val="auto"/>
          <w:highlight w:val="none"/>
        </w:rPr>
        <w:instrText xml:space="preserve"> PAGEREF _Toc69114159 \h </w:instrText>
      </w:r>
      <w:r>
        <w:rPr>
          <w:color w:val="auto"/>
          <w:highlight w:val="none"/>
        </w:rPr>
        <w:fldChar w:fldCharType="separate"/>
      </w:r>
      <w:r>
        <w:rPr>
          <w:color w:val="auto"/>
          <w:highlight w:val="none"/>
        </w:rPr>
        <w:t>408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"_Toc69114160"</w:instrText>
      </w:r>
      <w:r>
        <w:rPr>
          <w:rStyle w:val="51"/>
          <w:color w:val="auto"/>
          <w:highlight w:val="none"/>
        </w:rPr>
        <w:instrText xml:space="preserve"> </w:instrText>
      </w:r>
      <w:r>
        <w:rPr>
          <w:color w:val="auto"/>
          <w:highlight w:val="none"/>
        </w:rPr>
        <w:fldChar w:fldCharType="separate"/>
      </w:r>
      <w:r>
        <w:rPr>
          <w:rStyle w:val="51"/>
          <w:color w:val="auto"/>
          <w:highlight w:val="none"/>
        </w:rPr>
        <w:t>1.1 工作范围</w:t>
      </w:r>
      <w:r>
        <w:rPr>
          <w:color w:val="auto"/>
          <w:highlight w:val="none"/>
        </w:rPr>
        <w:tab/>
      </w:r>
      <w:r>
        <w:rPr>
          <w:color w:val="auto"/>
          <w:highlight w:val="none"/>
        </w:rPr>
        <w:fldChar w:fldCharType="begin"/>
      </w:r>
      <w:r>
        <w:rPr>
          <w:color w:val="auto"/>
          <w:highlight w:val="none"/>
        </w:rPr>
        <w:instrText xml:space="preserve"> PAGEREF _Toc69114160 \h </w:instrText>
      </w:r>
      <w:r>
        <w:rPr>
          <w:color w:val="auto"/>
          <w:highlight w:val="none"/>
        </w:rPr>
        <w:fldChar w:fldCharType="separate"/>
      </w:r>
      <w:r>
        <w:rPr>
          <w:color w:val="auto"/>
          <w:highlight w:val="none"/>
        </w:rPr>
        <w:t>408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"_Toc69114161"</w:instrText>
      </w:r>
      <w:r>
        <w:rPr>
          <w:rStyle w:val="51"/>
          <w:color w:val="auto"/>
          <w:highlight w:val="none"/>
        </w:rPr>
        <w:instrText xml:space="preserve"> </w:instrText>
      </w:r>
      <w:r>
        <w:rPr>
          <w:color w:val="auto"/>
          <w:highlight w:val="none"/>
        </w:rPr>
        <w:fldChar w:fldCharType="separate"/>
      </w:r>
      <w:r>
        <w:rPr>
          <w:rStyle w:val="51"/>
          <w:color w:val="auto"/>
          <w:highlight w:val="none"/>
        </w:rPr>
        <w:t>1.2 法律、法规</w:t>
      </w:r>
      <w:r>
        <w:rPr>
          <w:color w:val="auto"/>
          <w:highlight w:val="none"/>
        </w:rPr>
        <w:tab/>
      </w:r>
      <w:r>
        <w:rPr>
          <w:color w:val="auto"/>
          <w:highlight w:val="none"/>
        </w:rPr>
        <w:fldChar w:fldCharType="begin"/>
      </w:r>
      <w:r>
        <w:rPr>
          <w:color w:val="auto"/>
          <w:highlight w:val="none"/>
        </w:rPr>
        <w:instrText xml:space="preserve"> PAGEREF _Toc69114161 \h </w:instrText>
      </w:r>
      <w:r>
        <w:rPr>
          <w:color w:val="auto"/>
          <w:highlight w:val="none"/>
        </w:rPr>
        <w:fldChar w:fldCharType="separate"/>
      </w:r>
      <w:r>
        <w:rPr>
          <w:color w:val="auto"/>
          <w:highlight w:val="none"/>
        </w:rPr>
        <w:t>409</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"_Toc69114162"</w:instrText>
      </w:r>
      <w:r>
        <w:rPr>
          <w:rStyle w:val="51"/>
          <w:color w:val="auto"/>
          <w:highlight w:val="none"/>
        </w:rPr>
        <w:instrText xml:space="preserve"> </w:instrText>
      </w:r>
      <w:r>
        <w:rPr>
          <w:color w:val="auto"/>
          <w:highlight w:val="none"/>
        </w:rPr>
        <w:fldChar w:fldCharType="separate"/>
      </w:r>
      <w:r>
        <w:rPr>
          <w:rStyle w:val="51"/>
          <w:color w:val="auto"/>
          <w:highlight w:val="none"/>
        </w:rPr>
        <w:t>第2章  通用要求</w:t>
      </w:r>
      <w:r>
        <w:rPr>
          <w:color w:val="auto"/>
          <w:highlight w:val="none"/>
        </w:rPr>
        <w:tab/>
      </w:r>
      <w:r>
        <w:rPr>
          <w:color w:val="auto"/>
          <w:highlight w:val="none"/>
        </w:rPr>
        <w:fldChar w:fldCharType="begin"/>
      </w:r>
      <w:r>
        <w:rPr>
          <w:color w:val="auto"/>
          <w:highlight w:val="none"/>
        </w:rPr>
        <w:instrText xml:space="preserve"> PAGEREF _Toc69114162 \h </w:instrText>
      </w:r>
      <w:r>
        <w:rPr>
          <w:color w:val="auto"/>
          <w:highlight w:val="none"/>
        </w:rPr>
        <w:fldChar w:fldCharType="separate"/>
      </w:r>
      <w:r>
        <w:rPr>
          <w:color w:val="auto"/>
          <w:highlight w:val="none"/>
        </w:rPr>
        <w:t>409</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"_Toc69114163"</w:instrText>
      </w:r>
      <w:r>
        <w:rPr>
          <w:rStyle w:val="51"/>
          <w:color w:val="auto"/>
          <w:highlight w:val="none"/>
        </w:rPr>
        <w:instrText xml:space="preserve"> </w:instrText>
      </w:r>
      <w:r>
        <w:rPr>
          <w:color w:val="auto"/>
          <w:highlight w:val="none"/>
        </w:rPr>
        <w:fldChar w:fldCharType="separate"/>
      </w:r>
      <w:r>
        <w:rPr>
          <w:rStyle w:val="51"/>
          <w:color w:val="auto"/>
          <w:highlight w:val="none"/>
        </w:rPr>
        <w:t>2.1 施工过程的协调与配合</w:t>
      </w:r>
      <w:r>
        <w:rPr>
          <w:color w:val="auto"/>
          <w:highlight w:val="none"/>
        </w:rPr>
        <w:tab/>
      </w:r>
      <w:r>
        <w:rPr>
          <w:color w:val="auto"/>
          <w:highlight w:val="none"/>
        </w:rPr>
        <w:fldChar w:fldCharType="begin"/>
      </w:r>
      <w:r>
        <w:rPr>
          <w:color w:val="auto"/>
          <w:highlight w:val="none"/>
        </w:rPr>
        <w:instrText xml:space="preserve"> PAGEREF _Toc69114163 \h </w:instrText>
      </w:r>
      <w:r>
        <w:rPr>
          <w:color w:val="auto"/>
          <w:highlight w:val="none"/>
        </w:rPr>
        <w:fldChar w:fldCharType="separate"/>
      </w:r>
      <w:r>
        <w:rPr>
          <w:color w:val="auto"/>
          <w:highlight w:val="none"/>
        </w:rPr>
        <w:t>409</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"_Toc69114164"</w:instrText>
      </w:r>
      <w:r>
        <w:rPr>
          <w:rStyle w:val="51"/>
          <w:color w:val="auto"/>
          <w:highlight w:val="none"/>
        </w:rPr>
        <w:instrText xml:space="preserve"> </w:instrText>
      </w:r>
      <w:r>
        <w:rPr>
          <w:color w:val="auto"/>
          <w:highlight w:val="none"/>
        </w:rPr>
        <w:fldChar w:fldCharType="separate"/>
      </w:r>
      <w:r>
        <w:rPr>
          <w:rStyle w:val="51"/>
          <w:color w:val="auto"/>
          <w:highlight w:val="none"/>
        </w:rPr>
        <w:t>2.2 设备及材料说明</w:t>
      </w:r>
      <w:r>
        <w:rPr>
          <w:color w:val="auto"/>
          <w:highlight w:val="none"/>
        </w:rPr>
        <w:tab/>
      </w:r>
      <w:r>
        <w:rPr>
          <w:color w:val="auto"/>
          <w:highlight w:val="none"/>
        </w:rPr>
        <w:fldChar w:fldCharType="begin"/>
      </w:r>
      <w:r>
        <w:rPr>
          <w:color w:val="auto"/>
          <w:highlight w:val="none"/>
        </w:rPr>
        <w:instrText xml:space="preserve"> PAGEREF _Toc69114164 \h </w:instrText>
      </w:r>
      <w:r>
        <w:rPr>
          <w:color w:val="auto"/>
          <w:highlight w:val="none"/>
        </w:rPr>
        <w:fldChar w:fldCharType="separate"/>
      </w:r>
      <w:r>
        <w:rPr>
          <w:color w:val="auto"/>
          <w:highlight w:val="none"/>
        </w:rPr>
        <w:t>410</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"_Toc69114165"</w:instrText>
      </w:r>
      <w:r>
        <w:rPr>
          <w:rStyle w:val="51"/>
          <w:color w:val="auto"/>
          <w:highlight w:val="none"/>
        </w:rPr>
        <w:instrText xml:space="preserve"> </w:instrText>
      </w:r>
      <w:r>
        <w:rPr>
          <w:color w:val="auto"/>
          <w:highlight w:val="none"/>
        </w:rPr>
        <w:fldChar w:fldCharType="separate"/>
      </w:r>
      <w:r>
        <w:rPr>
          <w:rStyle w:val="51"/>
          <w:color w:val="auto"/>
          <w:highlight w:val="none"/>
        </w:rPr>
        <w:t>2.3 培训</w:t>
      </w:r>
      <w:r>
        <w:rPr>
          <w:color w:val="auto"/>
          <w:highlight w:val="none"/>
        </w:rPr>
        <w:tab/>
      </w:r>
      <w:r>
        <w:rPr>
          <w:color w:val="auto"/>
          <w:highlight w:val="none"/>
        </w:rPr>
        <w:fldChar w:fldCharType="begin"/>
      </w:r>
      <w:r>
        <w:rPr>
          <w:color w:val="auto"/>
          <w:highlight w:val="none"/>
        </w:rPr>
        <w:instrText xml:space="preserve"> PAGEREF _Toc69114165 \h </w:instrText>
      </w:r>
      <w:r>
        <w:rPr>
          <w:color w:val="auto"/>
          <w:highlight w:val="none"/>
        </w:rPr>
        <w:fldChar w:fldCharType="separate"/>
      </w:r>
      <w:r>
        <w:rPr>
          <w:color w:val="auto"/>
          <w:highlight w:val="none"/>
        </w:rPr>
        <w:t>414</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"_Toc69114166"</w:instrText>
      </w:r>
      <w:r>
        <w:rPr>
          <w:rStyle w:val="51"/>
          <w:color w:val="auto"/>
          <w:highlight w:val="none"/>
        </w:rPr>
        <w:instrText xml:space="preserve"> </w:instrText>
      </w:r>
      <w:r>
        <w:rPr>
          <w:color w:val="auto"/>
          <w:highlight w:val="none"/>
        </w:rPr>
        <w:fldChar w:fldCharType="separate"/>
      </w:r>
      <w:r>
        <w:rPr>
          <w:rStyle w:val="51"/>
          <w:color w:val="auto"/>
          <w:highlight w:val="none"/>
        </w:rPr>
        <w:t>第3章  专用要求</w:t>
      </w:r>
      <w:r>
        <w:rPr>
          <w:color w:val="auto"/>
          <w:highlight w:val="none"/>
        </w:rPr>
        <w:tab/>
      </w:r>
      <w:r>
        <w:rPr>
          <w:color w:val="auto"/>
          <w:highlight w:val="none"/>
        </w:rPr>
        <w:fldChar w:fldCharType="begin"/>
      </w:r>
      <w:r>
        <w:rPr>
          <w:color w:val="auto"/>
          <w:highlight w:val="none"/>
        </w:rPr>
        <w:instrText xml:space="preserve"> PAGEREF _Toc69114166 \h </w:instrText>
      </w:r>
      <w:r>
        <w:rPr>
          <w:color w:val="auto"/>
          <w:highlight w:val="none"/>
        </w:rPr>
        <w:fldChar w:fldCharType="separate"/>
      </w:r>
      <w:r>
        <w:rPr>
          <w:color w:val="auto"/>
          <w:highlight w:val="none"/>
        </w:rPr>
        <w:t>415</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"_Toc69114167"</w:instrText>
      </w:r>
      <w:r>
        <w:rPr>
          <w:rStyle w:val="51"/>
          <w:color w:val="auto"/>
          <w:highlight w:val="none"/>
        </w:rPr>
        <w:instrText xml:space="preserve"> </w:instrText>
      </w:r>
      <w:r>
        <w:rPr>
          <w:color w:val="auto"/>
          <w:highlight w:val="none"/>
        </w:rPr>
        <w:fldChar w:fldCharType="separate"/>
      </w:r>
      <w:r>
        <w:rPr>
          <w:rStyle w:val="51"/>
          <w:color w:val="auto"/>
          <w:highlight w:val="none"/>
        </w:rPr>
        <w:t>3.1 高低压变配电工程</w:t>
      </w:r>
      <w:r>
        <w:rPr>
          <w:color w:val="auto"/>
          <w:highlight w:val="none"/>
        </w:rPr>
        <w:tab/>
      </w:r>
      <w:r>
        <w:rPr>
          <w:color w:val="auto"/>
          <w:highlight w:val="none"/>
        </w:rPr>
        <w:fldChar w:fldCharType="begin"/>
      </w:r>
      <w:r>
        <w:rPr>
          <w:color w:val="auto"/>
          <w:highlight w:val="none"/>
        </w:rPr>
        <w:instrText xml:space="preserve"> PAGEREF _Toc69114167 \h </w:instrText>
      </w:r>
      <w:r>
        <w:rPr>
          <w:color w:val="auto"/>
          <w:highlight w:val="none"/>
        </w:rPr>
        <w:fldChar w:fldCharType="separate"/>
      </w:r>
      <w:r>
        <w:rPr>
          <w:color w:val="auto"/>
          <w:highlight w:val="none"/>
        </w:rPr>
        <w:t>415</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"_Toc69114168"</w:instrText>
      </w:r>
      <w:r>
        <w:rPr>
          <w:rStyle w:val="51"/>
          <w:color w:val="auto"/>
          <w:highlight w:val="none"/>
        </w:rPr>
        <w:instrText xml:space="preserve"> </w:instrText>
      </w:r>
      <w:r>
        <w:rPr>
          <w:color w:val="auto"/>
          <w:highlight w:val="none"/>
        </w:rPr>
        <w:fldChar w:fldCharType="separate"/>
      </w:r>
      <w:r>
        <w:rPr>
          <w:rStyle w:val="51"/>
          <w:color w:val="auto"/>
          <w:highlight w:val="none"/>
        </w:rPr>
        <w:t>3.2 三箱配电系统</w:t>
      </w:r>
      <w:r>
        <w:rPr>
          <w:color w:val="auto"/>
          <w:highlight w:val="none"/>
        </w:rPr>
        <w:tab/>
      </w:r>
      <w:r>
        <w:rPr>
          <w:color w:val="auto"/>
          <w:highlight w:val="none"/>
        </w:rPr>
        <w:fldChar w:fldCharType="begin"/>
      </w:r>
      <w:r>
        <w:rPr>
          <w:color w:val="auto"/>
          <w:highlight w:val="none"/>
        </w:rPr>
        <w:instrText xml:space="preserve"> PAGEREF _Toc69114168 \h </w:instrText>
      </w:r>
      <w:r>
        <w:rPr>
          <w:color w:val="auto"/>
          <w:highlight w:val="none"/>
        </w:rPr>
        <w:fldChar w:fldCharType="separate"/>
      </w:r>
      <w:r>
        <w:rPr>
          <w:color w:val="auto"/>
          <w:highlight w:val="none"/>
        </w:rPr>
        <w:t>422</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"_Toc69114169"</w:instrText>
      </w:r>
      <w:r>
        <w:rPr>
          <w:rStyle w:val="51"/>
          <w:color w:val="auto"/>
          <w:highlight w:val="none"/>
        </w:rPr>
        <w:instrText xml:space="preserve"> </w:instrText>
      </w:r>
      <w:r>
        <w:rPr>
          <w:color w:val="auto"/>
          <w:highlight w:val="none"/>
        </w:rPr>
        <w:fldChar w:fldCharType="separate"/>
      </w:r>
      <w:r>
        <w:rPr>
          <w:rStyle w:val="51"/>
          <w:color w:val="auto"/>
          <w:highlight w:val="none"/>
        </w:rPr>
        <w:t>3.3 照明系统</w:t>
      </w:r>
      <w:r>
        <w:rPr>
          <w:color w:val="auto"/>
          <w:highlight w:val="none"/>
        </w:rPr>
        <w:tab/>
      </w:r>
      <w:r>
        <w:rPr>
          <w:color w:val="auto"/>
          <w:highlight w:val="none"/>
        </w:rPr>
        <w:fldChar w:fldCharType="begin"/>
      </w:r>
      <w:r>
        <w:rPr>
          <w:color w:val="auto"/>
          <w:highlight w:val="none"/>
        </w:rPr>
        <w:instrText xml:space="preserve"> PAGEREF _Toc69114169 \h </w:instrText>
      </w:r>
      <w:r>
        <w:rPr>
          <w:color w:val="auto"/>
          <w:highlight w:val="none"/>
        </w:rPr>
        <w:fldChar w:fldCharType="separate"/>
      </w:r>
      <w:r>
        <w:rPr>
          <w:color w:val="auto"/>
          <w:highlight w:val="none"/>
        </w:rPr>
        <w:t>429</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"_Toc69114170"</w:instrText>
      </w:r>
      <w:r>
        <w:rPr>
          <w:rStyle w:val="51"/>
          <w:color w:val="auto"/>
          <w:highlight w:val="none"/>
        </w:rPr>
        <w:instrText xml:space="preserve"> </w:instrText>
      </w:r>
      <w:r>
        <w:rPr>
          <w:color w:val="auto"/>
          <w:highlight w:val="none"/>
        </w:rPr>
        <w:fldChar w:fldCharType="separate"/>
      </w:r>
      <w:r>
        <w:rPr>
          <w:rStyle w:val="51"/>
          <w:color w:val="auto"/>
          <w:highlight w:val="none"/>
        </w:rPr>
        <w:t>3.4 防雷接地</w:t>
      </w:r>
      <w:r>
        <w:rPr>
          <w:color w:val="auto"/>
          <w:highlight w:val="none"/>
        </w:rPr>
        <w:tab/>
      </w:r>
      <w:r>
        <w:rPr>
          <w:color w:val="auto"/>
          <w:highlight w:val="none"/>
        </w:rPr>
        <w:fldChar w:fldCharType="begin"/>
      </w:r>
      <w:r>
        <w:rPr>
          <w:color w:val="auto"/>
          <w:highlight w:val="none"/>
        </w:rPr>
        <w:instrText xml:space="preserve"> PAGEREF _Toc69114170 \h </w:instrText>
      </w:r>
      <w:r>
        <w:rPr>
          <w:color w:val="auto"/>
          <w:highlight w:val="none"/>
        </w:rPr>
        <w:fldChar w:fldCharType="separate"/>
      </w:r>
      <w:r>
        <w:rPr>
          <w:color w:val="auto"/>
          <w:highlight w:val="none"/>
        </w:rPr>
        <w:t>433</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"_Toc69114171"</w:instrText>
      </w:r>
      <w:r>
        <w:rPr>
          <w:rStyle w:val="51"/>
          <w:color w:val="auto"/>
          <w:highlight w:val="none"/>
        </w:rPr>
        <w:instrText xml:space="preserve"> </w:instrText>
      </w:r>
      <w:r>
        <w:rPr>
          <w:color w:val="auto"/>
          <w:highlight w:val="none"/>
        </w:rPr>
        <w:fldChar w:fldCharType="separate"/>
      </w:r>
      <w:r>
        <w:rPr>
          <w:rStyle w:val="51"/>
          <w:color w:val="auto"/>
          <w:highlight w:val="none"/>
        </w:rPr>
        <w:t>第4章  等电位联结</w:t>
      </w:r>
      <w:r>
        <w:rPr>
          <w:color w:val="auto"/>
          <w:highlight w:val="none"/>
        </w:rPr>
        <w:tab/>
      </w:r>
      <w:r>
        <w:rPr>
          <w:color w:val="auto"/>
          <w:highlight w:val="none"/>
        </w:rPr>
        <w:fldChar w:fldCharType="begin"/>
      </w:r>
      <w:r>
        <w:rPr>
          <w:color w:val="auto"/>
          <w:highlight w:val="none"/>
        </w:rPr>
        <w:instrText xml:space="preserve"> PAGEREF _Toc69114171 \h </w:instrText>
      </w:r>
      <w:r>
        <w:rPr>
          <w:color w:val="auto"/>
          <w:highlight w:val="none"/>
        </w:rPr>
        <w:fldChar w:fldCharType="separate"/>
      </w:r>
      <w:r>
        <w:rPr>
          <w:color w:val="auto"/>
          <w:highlight w:val="none"/>
        </w:rPr>
        <w:t>434</w:t>
      </w:r>
      <w:r>
        <w:rPr>
          <w:color w:val="auto"/>
          <w:highlight w:val="none"/>
        </w:rPr>
        <w:fldChar w:fldCharType="end"/>
      </w:r>
      <w:r>
        <w:rPr>
          <w:color w:val="auto"/>
          <w:highlight w:val="none"/>
        </w:rPr>
        <w:fldChar w:fldCharType="end"/>
      </w:r>
    </w:p>
    <w:p>
      <w:pPr>
        <w:pStyle w:val="28"/>
        <w:tabs>
          <w:tab w:val="right" w:leader="dot" w:pos="9060"/>
        </w:tabs>
        <w:rPr>
          <w:rFonts w:ascii="等线" w:hAnsi="等线" w:eastAsia="等线" w:cs="Times New Roman"/>
          <w:b w:val="0"/>
          <w:bCs w:val="0"/>
          <w: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"_Toc69114172"</w:instrText>
      </w:r>
      <w:r>
        <w:rPr>
          <w:rStyle w:val="51"/>
          <w:color w:val="auto"/>
          <w:highlight w:val="none"/>
        </w:rPr>
        <w:instrText xml:space="preserve"> </w:instrText>
      </w:r>
      <w:r>
        <w:rPr>
          <w:color w:val="auto"/>
          <w:highlight w:val="none"/>
        </w:rPr>
        <w:fldChar w:fldCharType="separate"/>
      </w:r>
      <w:r>
        <w:rPr>
          <w:rStyle w:val="51"/>
          <w:color w:val="auto"/>
          <w:highlight w:val="none"/>
        </w:rPr>
        <w:t>第四部分  给排水专业技术要求</w:t>
      </w:r>
      <w:r>
        <w:rPr>
          <w:color w:val="auto"/>
          <w:highlight w:val="none"/>
        </w:rPr>
        <w:tab/>
      </w:r>
      <w:r>
        <w:rPr>
          <w:color w:val="auto"/>
          <w:highlight w:val="none"/>
        </w:rPr>
        <w:fldChar w:fldCharType="begin"/>
      </w:r>
      <w:r>
        <w:rPr>
          <w:color w:val="auto"/>
          <w:highlight w:val="none"/>
        </w:rPr>
        <w:instrText xml:space="preserve"> PAGEREF _Toc69114172 \h </w:instrText>
      </w:r>
      <w:r>
        <w:rPr>
          <w:color w:val="auto"/>
          <w:highlight w:val="none"/>
        </w:rPr>
        <w:fldChar w:fldCharType="separate"/>
      </w:r>
      <w:r>
        <w:rPr>
          <w:color w:val="auto"/>
          <w:highlight w:val="none"/>
        </w:rPr>
        <w:t>492</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"_Toc69114173"</w:instrText>
      </w:r>
      <w:r>
        <w:rPr>
          <w:rStyle w:val="51"/>
          <w:color w:val="auto"/>
          <w:highlight w:val="none"/>
        </w:rPr>
        <w:instrText xml:space="preserve"> </w:instrText>
      </w:r>
      <w:r>
        <w:rPr>
          <w:color w:val="auto"/>
          <w:highlight w:val="none"/>
        </w:rPr>
        <w:fldChar w:fldCharType="separate"/>
      </w:r>
      <w:r>
        <w:rPr>
          <w:rStyle w:val="51"/>
          <w:color w:val="auto"/>
          <w:highlight w:val="none"/>
        </w:rPr>
        <w:t>第1章  工程简介</w:t>
      </w:r>
      <w:r>
        <w:rPr>
          <w:color w:val="auto"/>
          <w:highlight w:val="none"/>
        </w:rPr>
        <w:tab/>
      </w:r>
      <w:r>
        <w:rPr>
          <w:color w:val="auto"/>
          <w:highlight w:val="none"/>
        </w:rPr>
        <w:fldChar w:fldCharType="begin"/>
      </w:r>
      <w:r>
        <w:rPr>
          <w:color w:val="auto"/>
          <w:highlight w:val="none"/>
        </w:rPr>
        <w:instrText xml:space="preserve"> PAGEREF _Toc69114173 \h </w:instrText>
      </w:r>
      <w:r>
        <w:rPr>
          <w:color w:val="auto"/>
          <w:highlight w:val="none"/>
        </w:rPr>
        <w:fldChar w:fldCharType="separate"/>
      </w:r>
      <w:r>
        <w:rPr>
          <w:color w:val="auto"/>
          <w:highlight w:val="none"/>
        </w:rPr>
        <w:t>493</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"_Toc69114174"</w:instrText>
      </w:r>
      <w:r>
        <w:rPr>
          <w:rStyle w:val="51"/>
          <w:color w:val="auto"/>
          <w:highlight w:val="none"/>
        </w:rPr>
        <w:instrText xml:space="preserve"> </w:instrText>
      </w:r>
      <w:r>
        <w:rPr>
          <w:color w:val="auto"/>
          <w:highlight w:val="none"/>
        </w:rPr>
        <w:fldChar w:fldCharType="separate"/>
      </w:r>
      <w:r>
        <w:rPr>
          <w:rStyle w:val="51"/>
          <w:color w:val="auto"/>
          <w:highlight w:val="none"/>
        </w:rPr>
        <w:t>第2章  总则</w:t>
      </w:r>
      <w:r>
        <w:rPr>
          <w:color w:val="auto"/>
          <w:highlight w:val="none"/>
        </w:rPr>
        <w:tab/>
      </w:r>
      <w:r>
        <w:rPr>
          <w:color w:val="auto"/>
          <w:highlight w:val="none"/>
        </w:rPr>
        <w:fldChar w:fldCharType="begin"/>
      </w:r>
      <w:r>
        <w:rPr>
          <w:color w:val="auto"/>
          <w:highlight w:val="none"/>
        </w:rPr>
        <w:instrText xml:space="preserve"> PAGEREF _Toc69114174 \h </w:instrText>
      </w:r>
      <w:r>
        <w:rPr>
          <w:color w:val="auto"/>
          <w:highlight w:val="none"/>
        </w:rPr>
        <w:fldChar w:fldCharType="separate"/>
      </w:r>
      <w:r>
        <w:rPr>
          <w:color w:val="auto"/>
          <w:highlight w:val="none"/>
        </w:rPr>
        <w:t>493</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"_Toc69114175"</w:instrText>
      </w:r>
      <w:r>
        <w:rPr>
          <w:rStyle w:val="51"/>
          <w:color w:val="auto"/>
          <w:highlight w:val="none"/>
        </w:rPr>
        <w:instrText xml:space="preserve"> </w:instrText>
      </w:r>
      <w:r>
        <w:rPr>
          <w:color w:val="auto"/>
          <w:highlight w:val="none"/>
        </w:rPr>
        <w:fldChar w:fldCharType="separate"/>
      </w:r>
      <w:r>
        <w:rPr>
          <w:rStyle w:val="51"/>
          <w:color w:val="auto"/>
          <w:highlight w:val="none"/>
        </w:rPr>
        <w:t>2.1 承包人须协助发包人与有关政府部门及公用事业机构协调和沟通</w:t>
      </w:r>
      <w:r>
        <w:rPr>
          <w:color w:val="auto"/>
          <w:highlight w:val="none"/>
        </w:rPr>
        <w:tab/>
      </w:r>
      <w:r>
        <w:rPr>
          <w:color w:val="auto"/>
          <w:highlight w:val="none"/>
        </w:rPr>
        <w:fldChar w:fldCharType="begin"/>
      </w:r>
      <w:r>
        <w:rPr>
          <w:color w:val="auto"/>
          <w:highlight w:val="none"/>
        </w:rPr>
        <w:instrText xml:space="preserve"> PAGEREF _Toc69114175 \h </w:instrText>
      </w:r>
      <w:r>
        <w:rPr>
          <w:color w:val="auto"/>
          <w:highlight w:val="none"/>
        </w:rPr>
        <w:fldChar w:fldCharType="separate"/>
      </w:r>
      <w:r>
        <w:rPr>
          <w:color w:val="auto"/>
          <w:highlight w:val="none"/>
        </w:rPr>
        <w:t>493</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"_Toc69114176"</w:instrText>
      </w:r>
      <w:r>
        <w:rPr>
          <w:rStyle w:val="51"/>
          <w:color w:val="auto"/>
          <w:highlight w:val="none"/>
        </w:rPr>
        <w:instrText xml:space="preserve"> </w:instrText>
      </w:r>
      <w:r>
        <w:rPr>
          <w:color w:val="auto"/>
          <w:highlight w:val="none"/>
        </w:rPr>
        <w:fldChar w:fldCharType="separate"/>
      </w:r>
      <w:r>
        <w:rPr>
          <w:rStyle w:val="51"/>
          <w:color w:val="auto"/>
          <w:highlight w:val="none"/>
        </w:rPr>
        <w:t>2.2 与其他承包人的协调及配合</w:t>
      </w:r>
      <w:r>
        <w:rPr>
          <w:color w:val="auto"/>
          <w:highlight w:val="none"/>
        </w:rPr>
        <w:tab/>
      </w:r>
      <w:r>
        <w:rPr>
          <w:color w:val="auto"/>
          <w:highlight w:val="none"/>
        </w:rPr>
        <w:fldChar w:fldCharType="begin"/>
      </w:r>
      <w:r>
        <w:rPr>
          <w:color w:val="auto"/>
          <w:highlight w:val="none"/>
        </w:rPr>
        <w:instrText xml:space="preserve"> PAGEREF _Toc69114176 \h </w:instrText>
      </w:r>
      <w:r>
        <w:rPr>
          <w:color w:val="auto"/>
          <w:highlight w:val="none"/>
        </w:rPr>
        <w:fldChar w:fldCharType="separate"/>
      </w:r>
      <w:r>
        <w:rPr>
          <w:color w:val="auto"/>
          <w:highlight w:val="none"/>
        </w:rPr>
        <w:t>493</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"_Toc69114177"</w:instrText>
      </w:r>
      <w:r>
        <w:rPr>
          <w:rStyle w:val="51"/>
          <w:color w:val="auto"/>
          <w:highlight w:val="none"/>
        </w:rPr>
        <w:instrText xml:space="preserve"> </w:instrText>
      </w:r>
      <w:r>
        <w:rPr>
          <w:color w:val="auto"/>
          <w:highlight w:val="none"/>
        </w:rPr>
        <w:fldChar w:fldCharType="separate"/>
      </w:r>
      <w:r>
        <w:rPr>
          <w:rStyle w:val="51"/>
          <w:color w:val="auto"/>
          <w:highlight w:val="none"/>
        </w:rPr>
        <w:t>2.3 质量保证</w:t>
      </w:r>
      <w:r>
        <w:rPr>
          <w:color w:val="auto"/>
          <w:highlight w:val="none"/>
        </w:rPr>
        <w:tab/>
      </w:r>
      <w:r>
        <w:rPr>
          <w:color w:val="auto"/>
          <w:highlight w:val="none"/>
        </w:rPr>
        <w:fldChar w:fldCharType="begin"/>
      </w:r>
      <w:r>
        <w:rPr>
          <w:color w:val="auto"/>
          <w:highlight w:val="none"/>
        </w:rPr>
        <w:instrText xml:space="preserve"> PAGEREF _Toc69114177 \h </w:instrText>
      </w:r>
      <w:r>
        <w:rPr>
          <w:color w:val="auto"/>
          <w:highlight w:val="none"/>
        </w:rPr>
        <w:fldChar w:fldCharType="separate"/>
      </w:r>
      <w:r>
        <w:rPr>
          <w:color w:val="auto"/>
          <w:highlight w:val="none"/>
        </w:rPr>
        <w:t>494</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"_Toc69114178"</w:instrText>
      </w:r>
      <w:r>
        <w:rPr>
          <w:rStyle w:val="51"/>
          <w:color w:val="auto"/>
          <w:highlight w:val="none"/>
        </w:rPr>
        <w:instrText xml:space="preserve"> </w:instrText>
      </w:r>
      <w:r>
        <w:rPr>
          <w:color w:val="auto"/>
          <w:highlight w:val="none"/>
        </w:rPr>
        <w:fldChar w:fldCharType="separate"/>
      </w:r>
      <w:r>
        <w:rPr>
          <w:rStyle w:val="51"/>
          <w:color w:val="auto"/>
          <w:highlight w:val="none"/>
        </w:rPr>
        <w:t>2.4 培训</w:t>
      </w:r>
      <w:r>
        <w:rPr>
          <w:color w:val="auto"/>
          <w:highlight w:val="none"/>
        </w:rPr>
        <w:tab/>
      </w:r>
      <w:r>
        <w:rPr>
          <w:color w:val="auto"/>
          <w:highlight w:val="none"/>
        </w:rPr>
        <w:fldChar w:fldCharType="begin"/>
      </w:r>
      <w:r>
        <w:rPr>
          <w:color w:val="auto"/>
          <w:highlight w:val="none"/>
        </w:rPr>
        <w:instrText xml:space="preserve"> PAGEREF _Toc69114178 \h </w:instrText>
      </w:r>
      <w:r>
        <w:rPr>
          <w:color w:val="auto"/>
          <w:highlight w:val="none"/>
        </w:rPr>
        <w:fldChar w:fldCharType="separate"/>
      </w:r>
      <w:r>
        <w:rPr>
          <w:color w:val="auto"/>
          <w:highlight w:val="none"/>
        </w:rPr>
        <w:t>500</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"_Toc69114179"</w:instrText>
      </w:r>
      <w:r>
        <w:rPr>
          <w:rStyle w:val="51"/>
          <w:color w:val="auto"/>
          <w:highlight w:val="none"/>
        </w:rPr>
        <w:instrText xml:space="preserve"> </w:instrText>
      </w:r>
      <w:r>
        <w:rPr>
          <w:color w:val="auto"/>
          <w:highlight w:val="none"/>
        </w:rPr>
        <w:fldChar w:fldCharType="separate"/>
      </w:r>
      <w:r>
        <w:rPr>
          <w:rStyle w:val="51"/>
          <w:color w:val="auto"/>
          <w:highlight w:val="none"/>
        </w:rPr>
        <w:t>2.5 零备件及工具</w:t>
      </w:r>
      <w:r>
        <w:rPr>
          <w:color w:val="auto"/>
          <w:highlight w:val="none"/>
        </w:rPr>
        <w:tab/>
      </w:r>
      <w:r>
        <w:rPr>
          <w:color w:val="auto"/>
          <w:highlight w:val="none"/>
        </w:rPr>
        <w:fldChar w:fldCharType="begin"/>
      </w:r>
      <w:r>
        <w:rPr>
          <w:color w:val="auto"/>
          <w:highlight w:val="none"/>
        </w:rPr>
        <w:instrText xml:space="preserve"> PAGEREF _Toc69114179 \h </w:instrText>
      </w:r>
      <w:r>
        <w:rPr>
          <w:color w:val="auto"/>
          <w:highlight w:val="none"/>
        </w:rPr>
        <w:fldChar w:fldCharType="separate"/>
      </w:r>
      <w:r>
        <w:rPr>
          <w:color w:val="auto"/>
          <w:highlight w:val="none"/>
        </w:rPr>
        <w:t>501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"_Toc69114180"</w:instrText>
      </w:r>
      <w:r>
        <w:rPr>
          <w:rStyle w:val="51"/>
          <w:color w:val="auto"/>
          <w:highlight w:val="none"/>
        </w:rPr>
        <w:instrText xml:space="preserve"> </w:instrText>
      </w:r>
      <w:r>
        <w:rPr>
          <w:color w:val="auto"/>
          <w:highlight w:val="none"/>
        </w:rPr>
        <w:fldChar w:fldCharType="separate"/>
      </w:r>
      <w:r>
        <w:rPr>
          <w:rStyle w:val="51"/>
          <w:color w:val="auto"/>
          <w:highlight w:val="none"/>
        </w:rPr>
        <w:t>2.6 维修与保养</w:t>
      </w:r>
      <w:r>
        <w:rPr>
          <w:color w:val="auto"/>
          <w:highlight w:val="none"/>
        </w:rPr>
        <w:tab/>
      </w:r>
      <w:r>
        <w:rPr>
          <w:color w:val="auto"/>
          <w:highlight w:val="none"/>
        </w:rPr>
        <w:fldChar w:fldCharType="begin"/>
      </w:r>
      <w:r>
        <w:rPr>
          <w:color w:val="auto"/>
          <w:highlight w:val="none"/>
        </w:rPr>
        <w:instrText xml:space="preserve"> PAGEREF _Toc69114180 \h </w:instrText>
      </w:r>
      <w:r>
        <w:rPr>
          <w:color w:val="auto"/>
          <w:highlight w:val="none"/>
        </w:rPr>
        <w:fldChar w:fldCharType="separate"/>
      </w:r>
      <w:r>
        <w:rPr>
          <w:color w:val="auto"/>
          <w:highlight w:val="none"/>
        </w:rPr>
        <w:t>502</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"_Toc69114181"</w:instrText>
      </w:r>
      <w:r>
        <w:rPr>
          <w:rStyle w:val="51"/>
          <w:color w:val="auto"/>
          <w:highlight w:val="none"/>
        </w:rPr>
        <w:instrText xml:space="preserve"> </w:instrText>
      </w:r>
      <w:r>
        <w:rPr>
          <w:color w:val="auto"/>
          <w:highlight w:val="none"/>
        </w:rPr>
        <w:fldChar w:fldCharType="separate"/>
      </w:r>
      <w:r>
        <w:rPr>
          <w:rStyle w:val="51"/>
          <w:color w:val="auto"/>
          <w:highlight w:val="none"/>
        </w:rPr>
        <w:t>第3章  管道</w:t>
      </w:r>
      <w:r>
        <w:rPr>
          <w:color w:val="auto"/>
          <w:highlight w:val="none"/>
        </w:rPr>
        <w:tab/>
      </w:r>
      <w:r>
        <w:rPr>
          <w:color w:val="auto"/>
          <w:highlight w:val="none"/>
        </w:rPr>
        <w:fldChar w:fldCharType="begin"/>
      </w:r>
      <w:r>
        <w:rPr>
          <w:color w:val="auto"/>
          <w:highlight w:val="none"/>
        </w:rPr>
        <w:instrText xml:space="preserve"> PAGEREF _Toc69114181 \h </w:instrText>
      </w:r>
      <w:r>
        <w:rPr>
          <w:color w:val="auto"/>
          <w:highlight w:val="none"/>
        </w:rPr>
        <w:fldChar w:fldCharType="separate"/>
      </w:r>
      <w:r>
        <w:rPr>
          <w:color w:val="auto"/>
          <w:highlight w:val="none"/>
        </w:rPr>
        <w:t>505</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"_Toc69114182"</w:instrText>
      </w:r>
      <w:r>
        <w:rPr>
          <w:rStyle w:val="51"/>
          <w:color w:val="auto"/>
          <w:highlight w:val="none"/>
        </w:rPr>
        <w:instrText xml:space="preserve"> </w:instrText>
      </w:r>
      <w:r>
        <w:rPr>
          <w:color w:val="auto"/>
          <w:highlight w:val="none"/>
        </w:rPr>
        <w:fldChar w:fldCharType="separate"/>
      </w:r>
      <w:r>
        <w:rPr>
          <w:rStyle w:val="51"/>
          <w:color w:val="auto"/>
          <w:highlight w:val="none"/>
        </w:rPr>
        <w:t>3.1 通用要求</w:t>
      </w:r>
      <w:r>
        <w:rPr>
          <w:color w:val="auto"/>
          <w:highlight w:val="none"/>
        </w:rPr>
        <w:tab/>
      </w:r>
      <w:r>
        <w:rPr>
          <w:color w:val="auto"/>
          <w:highlight w:val="none"/>
        </w:rPr>
        <w:fldChar w:fldCharType="begin"/>
      </w:r>
      <w:r>
        <w:rPr>
          <w:color w:val="auto"/>
          <w:highlight w:val="none"/>
        </w:rPr>
        <w:instrText xml:space="preserve"> PAGEREF _Toc69114182 \h </w:instrText>
      </w:r>
      <w:r>
        <w:rPr>
          <w:color w:val="auto"/>
          <w:highlight w:val="none"/>
        </w:rPr>
        <w:fldChar w:fldCharType="separate"/>
      </w:r>
      <w:r>
        <w:rPr>
          <w:color w:val="auto"/>
          <w:highlight w:val="none"/>
        </w:rPr>
        <w:t>505</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"_Toc69114183"</w:instrText>
      </w:r>
      <w:r>
        <w:rPr>
          <w:rStyle w:val="51"/>
          <w:color w:val="auto"/>
          <w:highlight w:val="none"/>
        </w:rPr>
        <w:instrText xml:space="preserve"> </w:instrText>
      </w:r>
      <w:r>
        <w:rPr>
          <w:color w:val="auto"/>
          <w:highlight w:val="none"/>
        </w:rPr>
        <w:fldChar w:fldCharType="separate"/>
      </w:r>
      <w:r>
        <w:rPr>
          <w:rStyle w:val="51"/>
          <w:color w:val="auto"/>
          <w:highlight w:val="none"/>
        </w:rPr>
        <w:t>3.2 产品</w:t>
      </w:r>
      <w:r>
        <w:rPr>
          <w:color w:val="auto"/>
          <w:highlight w:val="none"/>
        </w:rPr>
        <w:tab/>
      </w:r>
      <w:r>
        <w:rPr>
          <w:color w:val="auto"/>
          <w:highlight w:val="none"/>
        </w:rPr>
        <w:fldChar w:fldCharType="begin"/>
      </w:r>
      <w:r>
        <w:rPr>
          <w:color w:val="auto"/>
          <w:highlight w:val="none"/>
        </w:rPr>
        <w:instrText xml:space="preserve"> PAGEREF _Toc69114183 \h </w:instrText>
      </w:r>
      <w:r>
        <w:rPr>
          <w:color w:val="auto"/>
          <w:highlight w:val="none"/>
        </w:rPr>
        <w:fldChar w:fldCharType="separate"/>
      </w:r>
      <w:r>
        <w:rPr>
          <w:color w:val="auto"/>
          <w:highlight w:val="none"/>
        </w:rPr>
        <w:t>506</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"_Toc69114184"</w:instrText>
      </w:r>
      <w:r>
        <w:rPr>
          <w:rStyle w:val="51"/>
          <w:color w:val="auto"/>
          <w:highlight w:val="none"/>
        </w:rPr>
        <w:instrText xml:space="preserve"> </w:instrText>
      </w:r>
      <w:r>
        <w:rPr>
          <w:color w:val="auto"/>
          <w:highlight w:val="none"/>
        </w:rPr>
        <w:fldChar w:fldCharType="separate"/>
      </w:r>
      <w:r>
        <w:rPr>
          <w:rStyle w:val="51"/>
          <w:color w:val="auto"/>
          <w:highlight w:val="none"/>
        </w:rPr>
        <w:t>3.3 实施</w:t>
      </w:r>
      <w:r>
        <w:rPr>
          <w:color w:val="auto"/>
          <w:highlight w:val="none"/>
        </w:rPr>
        <w:tab/>
      </w:r>
      <w:r>
        <w:rPr>
          <w:color w:val="auto"/>
          <w:highlight w:val="none"/>
        </w:rPr>
        <w:fldChar w:fldCharType="begin"/>
      </w:r>
      <w:r>
        <w:rPr>
          <w:color w:val="auto"/>
          <w:highlight w:val="none"/>
        </w:rPr>
        <w:instrText xml:space="preserve"> PAGEREF _Toc69114184 \h </w:instrText>
      </w:r>
      <w:r>
        <w:rPr>
          <w:color w:val="auto"/>
          <w:highlight w:val="none"/>
        </w:rPr>
        <w:fldChar w:fldCharType="separate"/>
      </w:r>
      <w:r>
        <w:rPr>
          <w:color w:val="auto"/>
          <w:highlight w:val="none"/>
        </w:rPr>
        <w:t>510</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"_Toc69114185"</w:instrText>
      </w:r>
      <w:r>
        <w:rPr>
          <w:rStyle w:val="51"/>
          <w:color w:val="auto"/>
          <w:highlight w:val="none"/>
        </w:rPr>
        <w:instrText xml:space="preserve"> </w:instrText>
      </w:r>
      <w:r>
        <w:rPr>
          <w:color w:val="auto"/>
          <w:highlight w:val="none"/>
        </w:rPr>
        <w:fldChar w:fldCharType="separate"/>
      </w:r>
      <w:r>
        <w:rPr>
          <w:rStyle w:val="51"/>
          <w:color w:val="auto"/>
          <w:highlight w:val="none"/>
        </w:rPr>
        <w:t>第4章  阀门与配件</w:t>
      </w:r>
      <w:r>
        <w:rPr>
          <w:color w:val="auto"/>
          <w:highlight w:val="none"/>
        </w:rPr>
        <w:tab/>
      </w:r>
      <w:r>
        <w:rPr>
          <w:color w:val="auto"/>
          <w:highlight w:val="none"/>
        </w:rPr>
        <w:fldChar w:fldCharType="begin"/>
      </w:r>
      <w:r>
        <w:rPr>
          <w:color w:val="auto"/>
          <w:highlight w:val="none"/>
        </w:rPr>
        <w:instrText xml:space="preserve"> PAGEREF _Toc69114185 \h </w:instrText>
      </w:r>
      <w:r>
        <w:rPr>
          <w:color w:val="auto"/>
          <w:highlight w:val="none"/>
        </w:rPr>
        <w:fldChar w:fldCharType="separate"/>
      </w:r>
      <w:r>
        <w:rPr>
          <w:color w:val="auto"/>
          <w:highlight w:val="none"/>
        </w:rPr>
        <w:t>513</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"_Toc69114186"</w:instrText>
      </w:r>
      <w:r>
        <w:rPr>
          <w:rStyle w:val="51"/>
          <w:color w:val="auto"/>
          <w:highlight w:val="none"/>
        </w:rPr>
        <w:instrText xml:space="preserve"> </w:instrText>
      </w:r>
      <w:r>
        <w:rPr>
          <w:color w:val="auto"/>
          <w:highlight w:val="none"/>
        </w:rPr>
        <w:fldChar w:fldCharType="separate"/>
      </w:r>
      <w:r>
        <w:rPr>
          <w:rStyle w:val="51"/>
          <w:color w:val="auto"/>
          <w:highlight w:val="none"/>
        </w:rPr>
        <w:t>4.1 通用要求</w:t>
      </w:r>
      <w:r>
        <w:rPr>
          <w:color w:val="auto"/>
          <w:highlight w:val="none"/>
        </w:rPr>
        <w:tab/>
      </w:r>
      <w:r>
        <w:rPr>
          <w:color w:val="auto"/>
          <w:highlight w:val="none"/>
        </w:rPr>
        <w:fldChar w:fldCharType="begin"/>
      </w:r>
      <w:r>
        <w:rPr>
          <w:color w:val="auto"/>
          <w:highlight w:val="none"/>
        </w:rPr>
        <w:instrText xml:space="preserve"> PAGEREF _Toc69114186 \h </w:instrText>
      </w:r>
      <w:r>
        <w:rPr>
          <w:color w:val="auto"/>
          <w:highlight w:val="none"/>
        </w:rPr>
        <w:fldChar w:fldCharType="separate"/>
      </w:r>
      <w:r>
        <w:rPr>
          <w:color w:val="auto"/>
          <w:highlight w:val="none"/>
        </w:rPr>
        <w:t>513</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"_Toc69114187"</w:instrText>
      </w:r>
      <w:r>
        <w:rPr>
          <w:rStyle w:val="51"/>
          <w:color w:val="auto"/>
          <w:highlight w:val="none"/>
        </w:rPr>
        <w:instrText xml:space="preserve"> </w:instrText>
      </w:r>
      <w:r>
        <w:rPr>
          <w:color w:val="auto"/>
          <w:highlight w:val="none"/>
        </w:rPr>
        <w:fldChar w:fldCharType="separate"/>
      </w:r>
      <w:r>
        <w:rPr>
          <w:rStyle w:val="51"/>
          <w:color w:val="auto"/>
          <w:highlight w:val="none"/>
        </w:rPr>
        <w:t>4.2 产品</w:t>
      </w:r>
      <w:r>
        <w:rPr>
          <w:color w:val="auto"/>
          <w:highlight w:val="none"/>
        </w:rPr>
        <w:tab/>
      </w:r>
      <w:r>
        <w:rPr>
          <w:color w:val="auto"/>
          <w:highlight w:val="none"/>
        </w:rPr>
        <w:fldChar w:fldCharType="begin"/>
      </w:r>
      <w:r>
        <w:rPr>
          <w:color w:val="auto"/>
          <w:highlight w:val="none"/>
        </w:rPr>
        <w:instrText xml:space="preserve"> PAGEREF _Toc69114187 \h </w:instrText>
      </w:r>
      <w:r>
        <w:rPr>
          <w:color w:val="auto"/>
          <w:highlight w:val="none"/>
        </w:rPr>
        <w:fldChar w:fldCharType="separate"/>
      </w:r>
      <w:r>
        <w:rPr>
          <w:color w:val="auto"/>
          <w:highlight w:val="none"/>
        </w:rPr>
        <w:t>514</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"_Toc69114188"</w:instrText>
      </w:r>
      <w:r>
        <w:rPr>
          <w:rStyle w:val="51"/>
          <w:color w:val="auto"/>
          <w:highlight w:val="none"/>
        </w:rPr>
        <w:instrText xml:space="preserve"> </w:instrText>
      </w:r>
      <w:r>
        <w:rPr>
          <w:color w:val="auto"/>
          <w:highlight w:val="none"/>
        </w:rPr>
        <w:fldChar w:fldCharType="separate"/>
      </w:r>
      <w:r>
        <w:rPr>
          <w:rStyle w:val="51"/>
          <w:color w:val="auto"/>
          <w:highlight w:val="none"/>
        </w:rPr>
        <w:t>4.3 实施</w:t>
      </w:r>
      <w:r>
        <w:rPr>
          <w:color w:val="auto"/>
          <w:highlight w:val="none"/>
        </w:rPr>
        <w:tab/>
      </w:r>
      <w:r>
        <w:rPr>
          <w:color w:val="auto"/>
          <w:highlight w:val="none"/>
        </w:rPr>
        <w:fldChar w:fldCharType="begin"/>
      </w:r>
      <w:r>
        <w:rPr>
          <w:color w:val="auto"/>
          <w:highlight w:val="none"/>
        </w:rPr>
        <w:instrText xml:space="preserve"> PAGEREF _Toc69114188 \h </w:instrText>
      </w:r>
      <w:r>
        <w:rPr>
          <w:color w:val="auto"/>
          <w:highlight w:val="none"/>
        </w:rPr>
        <w:fldChar w:fldCharType="separate"/>
      </w:r>
      <w:r>
        <w:rPr>
          <w:color w:val="auto"/>
          <w:highlight w:val="none"/>
        </w:rPr>
        <w:t>514</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"_Toc69114189"</w:instrText>
      </w:r>
      <w:r>
        <w:rPr>
          <w:rStyle w:val="51"/>
          <w:color w:val="auto"/>
          <w:highlight w:val="none"/>
        </w:rPr>
        <w:instrText xml:space="preserve"> </w:instrText>
      </w:r>
      <w:r>
        <w:rPr>
          <w:color w:val="auto"/>
          <w:highlight w:val="none"/>
        </w:rPr>
        <w:fldChar w:fldCharType="separate"/>
      </w:r>
      <w:r>
        <w:rPr>
          <w:rStyle w:val="51"/>
          <w:color w:val="auto"/>
          <w:highlight w:val="none"/>
        </w:rPr>
        <w:t>第5章  给排水工程主要材料、设备技术要求</w:t>
      </w:r>
      <w:r>
        <w:rPr>
          <w:color w:val="auto"/>
          <w:highlight w:val="none"/>
        </w:rPr>
        <w:tab/>
      </w:r>
      <w:r>
        <w:rPr>
          <w:color w:val="auto"/>
          <w:highlight w:val="none"/>
        </w:rPr>
        <w:fldChar w:fldCharType="begin"/>
      </w:r>
      <w:r>
        <w:rPr>
          <w:color w:val="auto"/>
          <w:highlight w:val="none"/>
        </w:rPr>
        <w:instrText xml:space="preserve"> PAGEREF _Toc69114189 \h </w:instrText>
      </w:r>
      <w:r>
        <w:rPr>
          <w:color w:val="auto"/>
          <w:highlight w:val="none"/>
        </w:rPr>
        <w:fldChar w:fldCharType="separate"/>
      </w:r>
      <w:r>
        <w:rPr>
          <w:color w:val="auto"/>
          <w:highlight w:val="none"/>
        </w:rPr>
        <w:t>515</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"_Toc69114190"</w:instrText>
      </w:r>
      <w:r>
        <w:rPr>
          <w:rStyle w:val="51"/>
          <w:color w:val="auto"/>
          <w:highlight w:val="none"/>
        </w:rPr>
        <w:instrText xml:space="preserve"> </w:instrText>
      </w:r>
      <w:r>
        <w:rPr>
          <w:color w:val="auto"/>
          <w:highlight w:val="none"/>
        </w:rPr>
        <w:fldChar w:fldCharType="separate"/>
      </w:r>
      <w:r>
        <w:rPr>
          <w:rStyle w:val="51"/>
          <w:color w:val="auto"/>
          <w:highlight w:val="none"/>
        </w:rPr>
        <w:t>5.1 给排水系统材料、设备技术要求表</w:t>
      </w:r>
      <w:r>
        <w:rPr>
          <w:color w:val="auto"/>
          <w:highlight w:val="none"/>
        </w:rPr>
        <w:tab/>
      </w:r>
      <w:r>
        <w:rPr>
          <w:color w:val="auto"/>
          <w:highlight w:val="none"/>
        </w:rPr>
        <w:fldChar w:fldCharType="begin"/>
      </w:r>
      <w:r>
        <w:rPr>
          <w:color w:val="auto"/>
          <w:highlight w:val="none"/>
        </w:rPr>
        <w:instrText xml:space="preserve"> PAGEREF _Toc69114190 \h </w:instrText>
      </w:r>
      <w:r>
        <w:rPr>
          <w:color w:val="auto"/>
          <w:highlight w:val="none"/>
        </w:rPr>
        <w:fldChar w:fldCharType="separate"/>
      </w:r>
      <w:r>
        <w:rPr>
          <w:color w:val="auto"/>
          <w:highlight w:val="none"/>
        </w:rPr>
        <w:t>515</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"_Toc69114191"</w:instrText>
      </w:r>
      <w:r>
        <w:rPr>
          <w:rStyle w:val="51"/>
          <w:color w:val="auto"/>
          <w:highlight w:val="none"/>
        </w:rPr>
        <w:instrText xml:space="preserve"> </w:instrText>
      </w:r>
      <w:r>
        <w:rPr>
          <w:color w:val="auto"/>
          <w:highlight w:val="none"/>
        </w:rPr>
        <w:fldChar w:fldCharType="separate"/>
      </w:r>
      <w:r>
        <w:rPr>
          <w:rStyle w:val="51"/>
          <w:color w:val="auto"/>
          <w:highlight w:val="none"/>
        </w:rPr>
        <w:t>5.2 甲供洁具材料范围</w:t>
      </w:r>
      <w:r>
        <w:rPr>
          <w:color w:val="auto"/>
          <w:highlight w:val="none"/>
        </w:rPr>
        <w:tab/>
      </w:r>
      <w:r>
        <w:rPr>
          <w:color w:val="auto"/>
          <w:highlight w:val="none"/>
        </w:rPr>
        <w:fldChar w:fldCharType="begin"/>
      </w:r>
      <w:r>
        <w:rPr>
          <w:color w:val="auto"/>
          <w:highlight w:val="none"/>
        </w:rPr>
        <w:instrText xml:space="preserve"> PAGEREF _Toc69114191 \h </w:instrText>
      </w:r>
      <w:r>
        <w:rPr>
          <w:color w:val="auto"/>
          <w:highlight w:val="none"/>
        </w:rPr>
        <w:fldChar w:fldCharType="separate"/>
      </w:r>
      <w:r>
        <w:rPr>
          <w:color w:val="auto"/>
          <w:highlight w:val="none"/>
        </w:rPr>
        <w:t>535</w:t>
      </w:r>
      <w:r>
        <w:rPr>
          <w:color w:val="auto"/>
          <w:highlight w:val="none"/>
        </w:rPr>
        <w:fldChar w:fldCharType="end"/>
      </w:r>
      <w:r>
        <w:rPr>
          <w:color w:val="auto"/>
          <w:highlight w:val="none"/>
        </w:rPr>
        <w:fldChar w:fldCharType="end"/>
      </w:r>
    </w:p>
    <w:p>
      <w:pPr>
        <w:pStyle w:val="28"/>
        <w:tabs>
          <w:tab w:val="right" w:leader="dot" w:pos="9060"/>
        </w:tabs>
        <w:rPr>
          <w:rFonts w:ascii="等线" w:hAnsi="等线" w:eastAsia="等线" w:cs="Times New Roman"/>
          <w:b w:val="0"/>
          <w:bCs w:val="0"/>
          <w: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"_Toc69114192"</w:instrText>
      </w:r>
      <w:r>
        <w:rPr>
          <w:rStyle w:val="51"/>
          <w:color w:val="auto"/>
          <w:highlight w:val="none"/>
        </w:rPr>
        <w:instrText xml:space="preserve"> </w:instrText>
      </w:r>
      <w:r>
        <w:rPr>
          <w:color w:val="auto"/>
          <w:highlight w:val="none"/>
        </w:rPr>
        <w:fldChar w:fldCharType="separate"/>
      </w:r>
      <w:r>
        <w:rPr>
          <w:rStyle w:val="51"/>
          <w:color w:val="auto"/>
          <w:highlight w:val="none"/>
        </w:rPr>
        <w:t>第五部分  通风与空调工程技术要求</w:t>
      </w:r>
      <w:r>
        <w:rPr>
          <w:color w:val="auto"/>
          <w:highlight w:val="none"/>
        </w:rPr>
        <w:tab/>
      </w:r>
      <w:r>
        <w:rPr>
          <w:color w:val="auto"/>
          <w:highlight w:val="none"/>
        </w:rPr>
        <w:fldChar w:fldCharType="begin"/>
      </w:r>
      <w:r>
        <w:rPr>
          <w:color w:val="auto"/>
          <w:highlight w:val="none"/>
        </w:rPr>
        <w:instrText xml:space="preserve"> PAGEREF _Toc69114192 \h </w:instrText>
      </w:r>
      <w:r>
        <w:rPr>
          <w:color w:val="auto"/>
          <w:highlight w:val="none"/>
        </w:rPr>
        <w:fldChar w:fldCharType="separate"/>
      </w:r>
      <w:r>
        <w:rPr>
          <w:color w:val="auto"/>
          <w:highlight w:val="none"/>
        </w:rPr>
        <w:t>536</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"_Toc69114193"</w:instrText>
      </w:r>
      <w:r>
        <w:rPr>
          <w:rStyle w:val="51"/>
          <w:color w:val="auto"/>
          <w:highlight w:val="none"/>
        </w:rPr>
        <w:instrText xml:space="preserve"> </w:instrText>
      </w:r>
      <w:r>
        <w:rPr>
          <w:color w:val="auto"/>
          <w:highlight w:val="none"/>
        </w:rPr>
        <w:fldChar w:fldCharType="separate"/>
      </w:r>
      <w:r>
        <w:rPr>
          <w:rStyle w:val="51"/>
          <w:color w:val="auto"/>
          <w:highlight w:val="none"/>
        </w:rPr>
        <w:t>第1章  防腐与绝热</w:t>
      </w:r>
      <w:r>
        <w:rPr>
          <w:color w:val="auto"/>
          <w:highlight w:val="none"/>
        </w:rPr>
        <w:tab/>
      </w:r>
      <w:r>
        <w:rPr>
          <w:color w:val="auto"/>
          <w:highlight w:val="none"/>
        </w:rPr>
        <w:fldChar w:fldCharType="begin"/>
      </w:r>
      <w:r>
        <w:rPr>
          <w:color w:val="auto"/>
          <w:highlight w:val="none"/>
        </w:rPr>
        <w:instrText xml:space="preserve"> PAGEREF _Toc69114193 \h </w:instrText>
      </w:r>
      <w:r>
        <w:rPr>
          <w:color w:val="auto"/>
          <w:highlight w:val="none"/>
        </w:rPr>
        <w:fldChar w:fldCharType="separate"/>
      </w:r>
      <w:r>
        <w:rPr>
          <w:color w:val="auto"/>
          <w:highlight w:val="none"/>
        </w:rPr>
        <w:t>537</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"_Toc69114194"</w:instrText>
      </w:r>
      <w:r>
        <w:rPr>
          <w:rStyle w:val="51"/>
          <w:color w:val="auto"/>
          <w:highlight w:val="none"/>
        </w:rPr>
        <w:instrText xml:space="preserve"> </w:instrText>
      </w:r>
      <w:r>
        <w:rPr>
          <w:color w:val="auto"/>
          <w:highlight w:val="none"/>
        </w:rPr>
        <w:fldChar w:fldCharType="separate"/>
      </w:r>
      <w:r>
        <w:rPr>
          <w:rStyle w:val="51"/>
          <w:color w:val="auto"/>
          <w:highlight w:val="none"/>
        </w:rPr>
        <w:t>1.1 防腐</w:t>
      </w:r>
      <w:r>
        <w:rPr>
          <w:color w:val="auto"/>
          <w:highlight w:val="none"/>
        </w:rPr>
        <w:tab/>
      </w:r>
      <w:r>
        <w:rPr>
          <w:color w:val="auto"/>
          <w:highlight w:val="none"/>
        </w:rPr>
        <w:fldChar w:fldCharType="begin"/>
      </w:r>
      <w:r>
        <w:rPr>
          <w:color w:val="auto"/>
          <w:highlight w:val="none"/>
        </w:rPr>
        <w:instrText xml:space="preserve"> PAGEREF _Toc69114194 \h </w:instrText>
      </w:r>
      <w:r>
        <w:rPr>
          <w:color w:val="auto"/>
          <w:highlight w:val="none"/>
        </w:rPr>
        <w:fldChar w:fldCharType="separate"/>
      </w:r>
      <w:r>
        <w:rPr>
          <w:color w:val="auto"/>
          <w:highlight w:val="none"/>
        </w:rPr>
        <w:t>537</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"_Toc69114195"</w:instrText>
      </w:r>
      <w:r>
        <w:rPr>
          <w:rStyle w:val="51"/>
          <w:color w:val="auto"/>
          <w:highlight w:val="none"/>
        </w:rPr>
        <w:instrText xml:space="preserve"> </w:instrText>
      </w:r>
      <w:r>
        <w:rPr>
          <w:color w:val="auto"/>
          <w:highlight w:val="none"/>
        </w:rPr>
        <w:fldChar w:fldCharType="separate"/>
      </w:r>
      <w:r>
        <w:rPr>
          <w:rStyle w:val="51"/>
          <w:color w:val="auto"/>
          <w:highlight w:val="none"/>
        </w:rPr>
        <w:t>1.2 绝热</w:t>
      </w:r>
      <w:r>
        <w:rPr>
          <w:color w:val="auto"/>
          <w:highlight w:val="none"/>
        </w:rPr>
        <w:tab/>
      </w:r>
      <w:r>
        <w:rPr>
          <w:color w:val="auto"/>
          <w:highlight w:val="none"/>
        </w:rPr>
        <w:fldChar w:fldCharType="begin"/>
      </w:r>
      <w:r>
        <w:rPr>
          <w:color w:val="auto"/>
          <w:highlight w:val="none"/>
        </w:rPr>
        <w:instrText xml:space="preserve"> PAGEREF _Toc69114195 \h </w:instrText>
      </w:r>
      <w:r>
        <w:rPr>
          <w:color w:val="auto"/>
          <w:highlight w:val="none"/>
        </w:rPr>
        <w:fldChar w:fldCharType="separate"/>
      </w:r>
      <w:r>
        <w:rPr>
          <w:color w:val="auto"/>
          <w:highlight w:val="none"/>
        </w:rPr>
        <w:t>539</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"_Toc69114196"</w:instrText>
      </w:r>
      <w:r>
        <w:rPr>
          <w:rStyle w:val="51"/>
          <w:color w:val="auto"/>
          <w:highlight w:val="none"/>
        </w:rPr>
        <w:instrText xml:space="preserve"> </w:instrText>
      </w:r>
      <w:r>
        <w:rPr>
          <w:color w:val="auto"/>
          <w:highlight w:val="none"/>
        </w:rPr>
        <w:fldChar w:fldCharType="separate"/>
      </w:r>
      <w:r>
        <w:rPr>
          <w:rStyle w:val="51"/>
          <w:color w:val="auto"/>
          <w:highlight w:val="none"/>
        </w:rPr>
        <w:t>第2章  隔震设施</w:t>
      </w:r>
      <w:r>
        <w:rPr>
          <w:color w:val="auto"/>
          <w:highlight w:val="none"/>
        </w:rPr>
        <w:tab/>
      </w:r>
      <w:r>
        <w:rPr>
          <w:color w:val="auto"/>
          <w:highlight w:val="none"/>
        </w:rPr>
        <w:fldChar w:fldCharType="begin"/>
      </w:r>
      <w:r>
        <w:rPr>
          <w:color w:val="auto"/>
          <w:highlight w:val="none"/>
        </w:rPr>
        <w:instrText xml:space="preserve"> PAGEREF _Toc69114196 \h </w:instrText>
      </w:r>
      <w:r>
        <w:rPr>
          <w:color w:val="auto"/>
          <w:highlight w:val="none"/>
        </w:rPr>
        <w:fldChar w:fldCharType="separate"/>
      </w:r>
      <w:r>
        <w:rPr>
          <w:color w:val="auto"/>
          <w:highlight w:val="none"/>
        </w:rPr>
        <w:t>540</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"_Toc69114197"</w:instrText>
      </w:r>
      <w:r>
        <w:rPr>
          <w:rStyle w:val="51"/>
          <w:color w:val="auto"/>
          <w:highlight w:val="none"/>
        </w:rPr>
        <w:instrText xml:space="preserve"> </w:instrText>
      </w:r>
      <w:r>
        <w:rPr>
          <w:color w:val="auto"/>
          <w:highlight w:val="none"/>
        </w:rPr>
        <w:fldChar w:fldCharType="separate"/>
      </w:r>
      <w:r>
        <w:rPr>
          <w:rStyle w:val="51"/>
          <w:color w:val="auto"/>
          <w:highlight w:val="none"/>
        </w:rPr>
        <w:t>2.1 概述</w:t>
      </w:r>
      <w:r>
        <w:rPr>
          <w:color w:val="auto"/>
          <w:highlight w:val="none"/>
        </w:rPr>
        <w:tab/>
      </w:r>
      <w:r>
        <w:rPr>
          <w:color w:val="auto"/>
          <w:highlight w:val="none"/>
        </w:rPr>
        <w:fldChar w:fldCharType="begin"/>
      </w:r>
      <w:r>
        <w:rPr>
          <w:color w:val="auto"/>
          <w:highlight w:val="none"/>
        </w:rPr>
        <w:instrText xml:space="preserve"> PAGEREF _Toc69114197 \h </w:instrText>
      </w:r>
      <w:r>
        <w:rPr>
          <w:color w:val="auto"/>
          <w:highlight w:val="none"/>
        </w:rPr>
        <w:fldChar w:fldCharType="separate"/>
      </w:r>
      <w:r>
        <w:rPr>
          <w:color w:val="auto"/>
          <w:highlight w:val="none"/>
        </w:rPr>
        <w:t>540</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"_Toc69114198"</w:instrText>
      </w:r>
      <w:r>
        <w:rPr>
          <w:rStyle w:val="51"/>
          <w:color w:val="auto"/>
          <w:highlight w:val="none"/>
        </w:rPr>
        <w:instrText xml:space="preserve"> </w:instrText>
      </w:r>
      <w:r>
        <w:rPr>
          <w:color w:val="auto"/>
          <w:highlight w:val="none"/>
        </w:rPr>
        <w:fldChar w:fldCharType="separate"/>
      </w:r>
      <w:r>
        <w:rPr>
          <w:rStyle w:val="51"/>
          <w:color w:val="auto"/>
          <w:highlight w:val="none"/>
        </w:rPr>
        <w:t>2.2 一般要求</w:t>
      </w:r>
      <w:r>
        <w:rPr>
          <w:color w:val="auto"/>
          <w:highlight w:val="none"/>
        </w:rPr>
        <w:tab/>
      </w:r>
      <w:r>
        <w:rPr>
          <w:color w:val="auto"/>
          <w:highlight w:val="none"/>
        </w:rPr>
        <w:fldChar w:fldCharType="begin"/>
      </w:r>
      <w:r>
        <w:rPr>
          <w:color w:val="auto"/>
          <w:highlight w:val="none"/>
        </w:rPr>
        <w:instrText xml:space="preserve"> PAGEREF _Toc69114198 \h </w:instrText>
      </w:r>
      <w:r>
        <w:rPr>
          <w:color w:val="auto"/>
          <w:highlight w:val="none"/>
        </w:rPr>
        <w:fldChar w:fldCharType="separate"/>
      </w:r>
      <w:r>
        <w:rPr>
          <w:color w:val="auto"/>
          <w:highlight w:val="none"/>
        </w:rPr>
        <w:t>540</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"_Toc69114199"</w:instrText>
      </w:r>
      <w:r>
        <w:rPr>
          <w:rStyle w:val="51"/>
          <w:color w:val="auto"/>
          <w:highlight w:val="none"/>
        </w:rPr>
        <w:instrText xml:space="preserve"> </w:instrText>
      </w:r>
      <w:r>
        <w:rPr>
          <w:color w:val="auto"/>
          <w:highlight w:val="none"/>
        </w:rPr>
        <w:fldChar w:fldCharType="separate"/>
      </w:r>
      <w:r>
        <w:rPr>
          <w:rStyle w:val="51"/>
          <w:color w:val="auto"/>
          <w:highlight w:val="none"/>
        </w:rPr>
        <w:t>2.3 产品</w:t>
      </w:r>
      <w:r>
        <w:rPr>
          <w:color w:val="auto"/>
          <w:highlight w:val="none"/>
        </w:rPr>
        <w:tab/>
      </w:r>
      <w:r>
        <w:rPr>
          <w:color w:val="auto"/>
          <w:highlight w:val="none"/>
        </w:rPr>
        <w:fldChar w:fldCharType="begin"/>
      </w:r>
      <w:r>
        <w:rPr>
          <w:color w:val="auto"/>
          <w:highlight w:val="none"/>
        </w:rPr>
        <w:instrText xml:space="preserve"> PAGEREF _Toc69114199 \h </w:instrText>
      </w:r>
      <w:r>
        <w:rPr>
          <w:color w:val="auto"/>
          <w:highlight w:val="none"/>
        </w:rPr>
        <w:fldChar w:fldCharType="separate"/>
      </w:r>
      <w:r>
        <w:rPr>
          <w:color w:val="auto"/>
          <w:highlight w:val="none"/>
        </w:rPr>
        <w:t>541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"_Toc69114200"</w:instrText>
      </w:r>
      <w:r>
        <w:rPr>
          <w:rStyle w:val="51"/>
          <w:color w:val="auto"/>
          <w:highlight w:val="none"/>
        </w:rPr>
        <w:instrText xml:space="preserve"> </w:instrText>
      </w:r>
      <w:r>
        <w:rPr>
          <w:color w:val="auto"/>
          <w:highlight w:val="none"/>
        </w:rPr>
        <w:fldChar w:fldCharType="separate"/>
      </w:r>
      <w:r>
        <w:rPr>
          <w:rStyle w:val="51"/>
          <w:color w:val="auto"/>
          <w:highlight w:val="none"/>
        </w:rPr>
        <w:t>2.4 安装</w:t>
      </w:r>
      <w:r>
        <w:rPr>
          <w:color w:val="auto"/>
          <w:highlight w:val="none"/>
        </w:rPr>
        <w:tab/>
      </w:r>
      <w:r>
        <w:rPr>
          <w:color w:val="auto"/>
          <w:highlight w:val="none"/>
        </w:rPr>
        <w:fldChar w:fldCharType="begin"/>
      </w:r>
      <w:r>
        <w:rPr>
          <w:color w:val="auto"/>
          <w:highlight w:val="none"/>
        </w:rPr>
        <w:instrText xml:space="preserve"> PAGEREF _Toc69114200 \h </w:instrText>
      </w:r>
      <w:r>
        <w:rPr>
          <w:color w:val="auto"/>
          <w:highlight w:val="none"/>
        </w:rPr>
        <w:fldChar w:fldCharType="separate"/>
      </w:r>
      <w:r>
        <w:rPr>
          <w:color w:val="auto"/>
          <w:highlight w:val="none"/>
        </w:rPr>
        <w:t>543</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"_Toc69114201"</w:instrText>
      </w:r>
      <w:r>
        <w:rPr>
          <w:rStyle w:val="51"/>
          <w:color w:val="auto"/>
          <w:highlight w:val="none"/>
        </w:rPr>
        <w:instrText xml:space="preserve"> </w:instrText>
      </w:r>
      <w:r>
        <w:rPr>
          <w:color w:val="auto"/>
          <w:highlight w:val="none"/>
        </w:rPr>
        <w:fldChar w:fldCharType="separate"/>
      </w:r>
      <w:r>
        <w:rPr>
          <w:rStyle w:val="51"/>
          <w:color w:val="auto"/>
          <w:highlight w:val="none"/>
        </w:rPr>
        <w:t>第3章  通风系统试验和试运行</w:t>
      </w:r>
      <w:r>
        <w:rPr>
          <w:color w:val="auto"/>
          <w:highlight w:val="none"/>
        </w:rPr>
        <w:tab/>
      </w:r>
      <w:r>
        <w:rPr>
          <w:color w:val="auto"/>
          <w:highlight w:val="none"/>
        </w:rPr>
        <w:fldChar w:fldCharType="begin"/>
      </w:r>
      <w:r>
        <w:rPr>
          <w:color w:val="auto"/>
          <w:highlight w:val="none"/>
        </w:rPr>
        <w:instrText xml:space="preserve"> PAGEREF _Toc69114201 \h </w:instrText>
      </w:r>
      <w:r>
        <w:rPr>
          <w:color w:val="auto"/>
          <w:highlight w:val="none"/>
        </w:rPr>
        <w:fldChar w:fldCharType="separate"/>
      </w:r>
      <w:r>
        <w:rPr>
          <w:color w:val="auto"/>
          <w:highlight w:val="none"/>
        </w:rPr>
        <w:t>544</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"_Toc69114202"</w:instrText>
      </w:r>
      <w:r>
        <w:rPr>
          <w:rStyle w:val="51"/>
          <w:color w:val="auto"/>
          <w:highlight w:val="none"/>
        </w:rPr>
        <w:instrText xml:space="preserve"> </w:instrText>
      </w:r>
      <w:r>
        <w:rPr>
          <w:color w:val="auto"/>
          <w:highlight w:val="none"/>
        </w:rPr>
        <w:fldChar w:fldCharType="separate"/>
      </w:r>
      <w:r>
        <w:rPr>
          <w:rStyle w:val="51"/>
          <w:color w:val="auto"/>
          <w:highlight w:val="none"/>
        </w:rPr>
        <w:t>3.1 概述</w:t>
      </w:r>
      <w:r>
        <w:rPr>
          <w:color w:val="auto"/>
          <w:highlight w:val="none"/>
        </w:rPr>
        <w:tab/>
      </w:r>
      <w:r>
        <w:rPr>
          <w:color w:val="auto"/>
          <w:highlight w:val="none"/>
        </w:rPr>
        <w:fldChar w:fldCharType="begin"/>
      </w:r>
      <w:r>
        <w:rPr>
          <w:color w:val="auto"/>
          <w:highlight w:val="none"/>
        </w:rPr>
        <w:instrText xml:space="preserve"> PAGEREF _Toc69114202 \h </w:instrText>
      </w:r>
      <w:r>
        <w:rPr>
          <w:color w:val="auto"/>
          <w:highlight w:val="none"/>
        </w:rPr>
        <w:fldChar w:fldCharType="separate"/>
      </w:r>
      <w:r>
        <w:rPr>
          <w:color w:val="auto"/>
          <w:highlight w:val="none"/>
        </w:rPr>
        <w:t>544</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"_Toc69114203"</w:instrText>
      </w:r>
      <w:r>
        <w:rPr>
          <w:rStyle w:val="51"/>
          <w:color w:val="auto"/>
          <w:highlight w:val="none"/>
        </w:rPr>
        <w:instrText xml:space="preserve"> </w:instrText>
      </w:r>
      <w:r>
        <w:rPr>
          <w:color w:val="auto"/>
          <w:highlight w:val="none"/>
        </w:rPr>
        <w:fldChar w:fldCharType="separate"/>
      </w:r>
      <w:r>
        <w:rPr>
          <w:rStyle w:val="51"/>
          <w:color w:val="auto"/>
          <w:highlight w:val="none"/>
        </w:rPr>
        <w:t>3.2 一般要求</w:t>
      </w:r>
      <w:r>
        <w:rPr>
          <w:color w:val="auto"/>
          <w:highlight w:val="none"/>
        </w:rPr>
        <w:tab/>
      </w:r>
      <w:r>
        <w:rPr>
          <w:color w:val="auto"/>
          <w:highlight w:val="none"/>
        </w:rPr>
        <w:fldChar w:fldCharType="begin"/>
      </w:r>
      <w:r>
        <w:rPr>
          <w:color w:val="auto"/>
          <w:highlight w:val="none"/>
        </w:rPr>
        <w:instrText xml:space="preserve"> PAGEREF _Toc69114203 \h </w:instrText>
      </w:r>
      <w:r>
        <w:rPr>
          <w:color w:val="auto"/>
          <w:highlight w:val="none"/>
        </w:rPr>
        <w:fldChar w:fldCharType="separate"/>
      </w:r>
      <w:r>
        <w:rPr>
          <w:color w:val="auto"/>
          <w:highlight w:val="none"/>
        </w:rPr>
        <w:t>545</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"_Toc69114204"</w:instrText>
      </w:r>
      <w:r>
        <w:rPr>
          <w:rStyle w:val="51"/>
          <w:color w:val="auto"/>
          <w:highlight w:val="none"/>
        </w:rPr>
        <w:instrText xml:space="preserve"> </w:instrText>
      </w:r>
      <w:r>
        <w:rPr>
          <w:color w:val="auto"/>
          <w:highlight w:val="none"/>
        </w:rPr>
        <w:fldChar w:fldCharType="separate"/>
      </w:r>
      <w:r>
        <w:rPr>
          <w:rStyle w:val="51"/>
          <w:color w:val="auto"/>
          <w:highlight w:val="none"/>
        </w:rPr>
        <w:t>3.3 产品</w:t>
      </w:r>
      <w:r>
        <w:rPr>
          <w:color w:val="auto"/>
          <w:highlight w:val="none"/>
        </w:rPr>
        <w:tab/>
      </w:r>
      <w:r>
        <w:rPr>
          <w:color w:val="auto"/>
          <w:highlight w:val="none"/>
        </w:rPr>
        <w:fldChar w:fldCharType="begin"/>
      </w:r>
      <w:r>
        <w:rPr>
          <w:color w:val="auto"/>
          <w:highlight w:val="none"/>
        </w:rPr>
        <w:instrText xml:space="preserve"> PAGEREF _Toc69114204 \h </w:instrText>
      </w:r>
      <w:r>
        <w:rPr>
          <w:color w:val="auto"/>
          <w:highlight w:val="none"/>
        </w:rPr>
        <w:fldChar w:fldCharType="separate"/>
      </w:r>
      <w:r>
        <w:rPr>
          <w:color w:val="auto"/>
          <w:highlight w:val="none"/>
        </w:rPr>
        <w:t>545</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"_Toc69114205"</w:instrText>
      </w:r>
      <w:r>
        <w:rPr>
          <w:rStyle w:val="51"/>
          <w:color w:val="auto"/>
          <w:highlight w:val="none"/>
        </w:rPr>
        <w:instrText xml:space="preserve"> </w:instrText>
      </w:r>
      <w:r>
        <w:rPr>
          <w:color w:val="auto"/>
          <w:highlight w:val="none"/>
        </w:rPr>
        <w:fldChar w:fldCharType="separate"/>
      </w:r>
      <w:r>
        <w:rPr>
          <w:rStyle w:val="51"/>
          <w:color w:val="auto"/>
          <w:highlight w:val="none"/>
        </w:rPr>
        <w:t>3.4 测试前的准备</w:t>
      </w:r>
      <w:r>
        <w:rPr>
          <w:color w:val="auto"/>
          <w:highlight w:val="none"/>
        </w:rPr>
        <w:tab/>
      </w:r>
      <w:r>
        <w:rPr>
          <w:color w:val="auto"/>
          <w:highlight w:val="none"/>
        </w:rPr>
        <w:fldChar w:fldCharType="begin"/>
      </w:r>
      <w:r>
        <w:rPr>
          <w:color w:val="auto"/>
          <w:highlight w:val="none"/>
        </w:rPr>
        <w:instrText xml:space="preserve"> PAGEREF _Toc69114205 \h </w:instrText>
      </w:r>
      <w:r>
        <w:rPr>
          <w:color w:val="auto"/>
          <w:highlight w:val="none"/>
        </w:rPr>
        <w:fldChar w:fldCharType="separate"/>
      </w:r>
      <w:r>
        <w:rPr>
          <w:color w:val="auto"/>
          <w:highlight w:val="none"/>
        </w:rPr>
        <w:t>546</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"_Toc69114206"</w:instrText>
      </w:r>
      <w:r>
        <w:rPr>
          <w:rStyle w:val="51"/>
          <w:color w:val="auto"/>
          <w:highlight w:val="none"/>
        </w:rPr>
        <w:instrText xml:space="preserve"> </w:instrText>
      </w:r>
      <w:r>
        <w:rPr>
          <w:color w:val="auto"/>
          <w:highlight w:val="none"/>
        </w:rPr>
        <w:fldChar w:fldCharType="separate"/>
      </w:r>
      <w:r>
        <w:rPr>
          <w:rStyle w:val="51"/>
          <w:color w:val="auto"/>
          <w:highlight w:val="none"/>
        </w:rPr>
        <w:t>3.5 设备单机试运转</w:t>
      </w:r>
      <w:r>
        <w:rPr>
          <w:color w:val="auto"/>
          <w:highlight w:val="none"/>
        </w:rPr>
        <w:tab/>
      </w:r>
      <w:r>
        <w:rPr>
          <w:color w:val="auto"/>
          <w:highlight w:val="none"/>
        </w:rPr>
        <w:fldChar w:fldCharType="begin"/>
      </w:r>
      <w:r>
        <w:rPr>
          <w:color w:val="auto"/>
          <w:highlight w:val="none"/>
        </w:rPr>
        <w:instrText xml:space="preserve"> PAGEREF _Toc69114206 \h </w:instrText>
      </w:r>
      <w:r>
        <w:rPr>
          <w:color w:val="auto"/>
          <w:highlight w:val="none"/>
        </w:rPr>
        <w:fldChar w:fldCharType="separate"/>
      </w:r>
      <w:r>
        <w:rPr>
          <w:color w:val="auto"/>
          <w:highlight w:val="none"/>
        </w:rPr>
        <w:t>546</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"_Toc69114207"</w:instrText>
      </w:r>
      <w:r>
        <w:rPr>
          <w:rStyle w:val="51"/>
          <w:color w:val="auto"/>
          <w:highlight w:val="none"/>
        </w:rPr>
        <w:instrText xml:space="preserve"> </w:instrText>
      </w:r>
      <w:r>
        <w:rPr>
          <w:color w:val="auto"/>
          <w:highlight w:val="none"/>
        </w:rPr>
        <w:fldChar w:fldCharType="separate"/>
      </w:r>
      <w:r>
        <w:rPr>
          <w:rStyle w:val="51"/>
          <w:color w:val="auto"/>
          <w:highlight w:val="none"/>
        </w:rPr>
        <w:t>3.6 系统无生产负荷联合试运转及调试</w:t>
      </w:r>
      <w:r>
        <w:rPr>
          <w:color w:val="auto"/>
          <w:highlight w:val="none"/>
        </w:rPr>
        <w:tab/>
      </w:r>
      <w:r>
        <w:rPr>
          <w:color w:val="auto"/>
          <w:highlight w:val="none"/>
        </w:rPr>
        <w:fldChar w:fldCharType="begin"/>
      </w:r>
      <w:r>
        <w:rPr>
          <w:color w:val="auto"/>
          <w:highlight w:val="none"/>
        </w:rPr>
        <w:instrText xml:space="preserve"> PAGEREF _Toc69114207 \h </w:instrText>
      </w:r>
      <w:r>
        <w:rPr>
          <w:color w:val="auto"/>
          <w:highlight w:val="none"/>
        </w:rPr>
        <w:fldChar w:fldCharType="separate"/>
      </w:r>
      <w:r>
        <w:rPr>
          <w:color w:val="auto"/>
          <w:highlight w:val="none"/>
        </w:rPr>
        <w:t>551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"_Toc69114208"</w:instrText>
      </w:r>
      <w:r>
        <w:rPr>
          <w:rStyle w:val="51"/>
          <w:color w:val="auto"/>
          <w:highlight w:val="none"/>
        </w:rPr>
        <w:instrText xml:space="preserve"> </w:instrText>
      </w:r>
      <w:r>
        <w:rPr>
          <w:color w:val="auto"/>
          <w:highlight w:val="none"/>
        </w:rPr>
        <w:fldChar w:fldCharType="separate"/>
      </w:r>
      <w:r>
        <w:rPr>
          <w:rStyle w:val="51"/>
          <w:color w:val="auto"/>
          <w:highlight w:val="none"/>
        </w:rPr>
        <w:t>3.7 综合效能试验</w:t>
      </w:r>
      <w:r>
        <w:rPr>
          <w:color w:val="auto"/>
          <w:highlight w:val="none"/>
        </w:rPr>
        <w:tab/>
      </w:r>
      <w:r>
        <w:rPr>
          <w:color w:val="auto"/>
          <w:highlight w:val="none"/>
        </w:rPr>
        <w:fldChar w:fldCharType="begin"/>
      </w:r>
      <w:r>
        <w:rPr>
          <w:color w:val="auto"/>
          <w:highlight w:val="none"/>
        </w:rPr>
        <w:instrText xml:space="preserve"> PAGEREF _Toc69114208 \h </w:instrText>
      </w:r>
      <w:r>
        <w:rPr>
          <w:color w:val="auto"/>
          <w:highlight w:val="none"/>
        </w:rPr>
        <w:fldChar w:fldCharType="separate"/>
      </w:r>
      <w:r>
        <w:rPr>
          <w:color w:val="auto"/>
          <w:highlight w:val="none"/>
        </w:rPr>
        <w:t>552</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"_Toc69114209"</w:instrText>
      </w:r>
      <w:r>
        <w:rPr>
          <w:rStyle w:val="51"/>
          <w:color w:val="auto"/>
          <w:highlight w:val="none"/>
        </w:rPr>
        <w:instrText xml:space="preserve"> </w:instrText>
      </w:r>
      <w:r>
        <w:rPr>
          <w:color w:val="auto"/>
          <w:highlight w:val="none"/>
        </w:rPr>
        <w:fldChar w:fldCharType="separate"/>
      </w:r>
      <w:r>
        <w:rPr>
          <w:rStyle w:val="51"/>
          <w:color w:val="auto"/>
          <w:highlight w:val="none"/>
        </w:rPr>
        <w:t>第4章  防排烟系统试验和试运行</w:t>
      </w:r>
      <w:r>
        <w:rPr>
          <w:color w:val="auto"/>
          <w:highlight w:val="none"/>
        </w:rPr>
        <w:tab/>
      </w:r>
      <w:r>
        <w:rPr>
          <w:color w:val="auto"/>
          <w:highlight w:val="none"/>
        </w:rPr>
        <w:fldChar w:fldCharType="begin"/>
      </w:r>
      <w:r>
        <w:rPr>
          <w:color w:val="auto"/>
          <w:highlight w:val="none"/>
        </w:rPr>
        <w:instrText xml:space="preserve"> PAGEREF _Toc69114209 \h </w:instrText>
      </w:r>
      <w:r>
        <w:rPr>
          <w:color w:val="auto"/>
          <w:highlight w:val="none"/>
        </w:rPr>
        <w:fldChar w:fldCharType="separate"/>
      </w:r>
      <w:r>
        <w:rPr>
          <w:color w:val="auto"/>
          <w:highlight w:val="none"/>
        </w:rPr>
        <w:t>553</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"_Toc69114210"</w:instrText>
      </w:r>
      <w:r>
        <w:rPr>
          <w:rStyle w:val="51"/>
          <w:color w:val="auto"/>
          <w:highlight w:val="none"/>
        </w:rPr>
        <w:instrText xml:space="preserve"> </w:instrText>
      </w:r>
      <w:r>
        <w:rPr>
          <w:color w:val="auto"/>
          <w:highlight w:val="none"/>
        </w:rPr>
        <w:fldChar w:fldCharType="separate"/>
      </w:r>
      <w:r>
        <w:rPr>
          <w:rStyle w:val="51"/>
          <w:color w:val="auto"/>
          <w:highlight w:val="none"/>
        </w:rPr>
        <w:t>4.1 概述</w:t>
      </w:r>
      <w:r>
        <w:rPr>
          <w:color w:val="auto"/>
          <w:highlight w:val="none"/>
        </w:rPr>
        <w:tab/>
      </w:r>
      <w:r>
        <w:rPr>
          <w:color w:val="auto"/>
          <w:highlight w:val="none"/>
        </w:rPr>
        <w:fldChar w:fldCharType="begin"/>
      </w:r>
      <w:r>
        <w:rPr>
          <w:color w:val="auto"/>
          <w:highlight w:val="none"/>
        </w:rPr>
        <w:instrText xml:space="preserve"> PAGEREF _Toc69114210 \h </w:instrText>
      </w:r>
      <w:r>
        <w:rPr>
          <w:color w:val="auto"/>
          <w:highlight w:val="none"/>
        </w:rPr>
        <w:fldChar w:fldCharType="separate"/>
      </w:r>
      <w:r>
        <w:rPr>
          <w:color w:val="auto"/>
          <w:highlight w:val="none"/>
        </w:rPr>
        <w:t>553</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"_Toc69114211"</w:instrText>
      </w:r>
      <w:r>
        <w:rPr>
          <w:rStyle w:val="51"/>
          <w:color w:val="auto"/>
          <w:highlight w:val="none"/>
        </w:rPr>
        <w:instrText xml:space="preserve"> </w:instrText>
      </w:r>
      <w:r>
        <w:rPr>
          <w:color w:val="auto"/>
          <w:highlight w:val="none"/>
        </w:rPr>
        <w:fldChar w:fldCharType="separate"/>
      </w:r>
      <w:r>
        <w:rPr>
          <w:rStyle w:val="51"/>
          <w:color w:val="auto"/>
          <w:highlight w:val="none"/>
        </w:rPr>
        <w:t>4.2 一般要求</w:t>
      </w:r>
      <w:r>
        <w:rPr>
          <w:color w:val="auto"/>
          <w:highlight w:val="none"/>
        </w:rPr>
        <w:tab/>
      </w:r>
      <w:r>
        <w:rPr>
          <w:color w:val="auto"/>
          <w:highlight w:val="none"/>
        </w:rPr>
        <w:fldChar w:fldCharType="begin"/>
      </w:r>
      <w:r>
        <w:rPr>
          <w:color w:val="auto"/>
          <w:highlight w:val="none"/>
        </w:rPr>
        <w:instrText xml:space="preserve"> PAGEREF _Toc69114211 \h </w:instrText>
      </w:r>
      <w:r>
        <w:rPr>
          <w:color w:val="auto"/>
          <w:highlight w:val="none"/>
        </w:rPr>
        <w:fldChar w:fldCharType="separate"/>
      </w:r>
      <w:r>
        <w:rPr>
          <w:color w:val="auto"/>
          <w:highlight w:val="none"/>
        </w:rPr>
        <w:t>553</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"_Toc69114212"</w:instrText>
      </w:r>
      <w:r>
        <w:rPr>
          <w:rStyle w:val="51"/>
          <w:color w:val="auto"/>
          <w:highlight w:val="none"/>
        </w:rPr>
        <w:instrText xml:space="preserve"> </w:instrText>
      </w:r>
      <w:r>
        <w:rPr>
          <w:color w:val="auto"/>
          <w:highlight w:val="none"/>
        </w:rPr>
        <w:fldChar w:fldCharType="separate"/>
      </w:r>
      <w:r>
        <w:rPr>
          <w:rStyle w:val="51"/>
          <w:color w:val="auto"/>
          <w:highlight w:val="none"/>
        </w:rPr>
        <w:t>4.3 产品</w:t>
      </w:r>
      <w:r>
        <w:rPr>
          <w:color w:val="auto"/>
          <w:highlight w:val="none"/>
        </w:rPr>
        <w:tab/>
      </w:r>
      <w:r>
        <w:rPr>
          <w:color w:val="auto"/>
          <w:highlight w:val="none"/>
        </w:rPr>
        <w:fldChar w:fldCharType="begin"/>
      </w:r>
      <w:r>
        <w:rPr>
          <w:color w:val="auto"/>
          <w:highlight w:val="none"/>
        </w:rPr>
        <w:instrText xml:space="preserve"> PAGEREF _Toc69114212 \h </w:instrText>
      </w:r>
      <w:r>
        <w:rPr>
          <w:color w:val="auto"/>
          <w:highlight w:val="none"/>
        </w:rPr>
        <w:fldChar w:fldCharType="separate"/>
      </w:r>
      <w:r>
        <w:rPr>
          <w:color w:val="auto"/>
          <w:highlight w:val="none"/>
        </w:rPr>
        <w:t>554</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"_Toc69114213"</w:instrText>
      </w:r>
      <w:r>
        <w:rPr>
          <w:rStyle w:val="51"/>
          <w:color w:val="auto"/>
          <w:highlight w:val="none"/>
        </w:rPr>
        <w:instrText xml:space="preserve"> </w:instrText>
      </w:r>
      <w:r>
        <w:rPr>
          <w:color w:val="auto"/>
          <w:highlight w:val="none"/>
        </w:rPr>
        <w:fldChar w:fldCharType="separate"/>
      </w:r>
      <w:r>
        <w:rPr>
          <w:rStyle w:val="51"/>
          <w:color w:val="auto"/>
          <w:highlight w:val="none"/>
        </w:rPr>
        <w:t>4.4 测试前的准备</w:t>
      </w:r>
      <w:r>
        <w:rPr>
          <w:color w:val="auto"/>
          <w:highlight w:val="none"/>
        </w:rPr>
        <w:tab/>
      </w:r>
      <w:r>
        <w:rPr>
          <w:color w:val="auto"/>
          <w:highlight w:val="none"/>
        </w:rPr>
        <w:fldChar w:fldCharType="begin"/>
      </w:r>
      <w:r>
        <w:rPr>
          <w:color w:val="auto"/>
          <w:highlight w:val="none"/>
        </w:rPr>
        <w:instrText xml:space="preserve"> PAGEREF _Toc69114213 \h </w:instrText>
      </w:r>
      <w:r>
        <w:rPr>
          <w:color w:val="auto"/>
          <w:highlight w:val="none"/>
        </w:rPr>
        <w:fldChar w:fldCharType="separate"/>
      </w:r>
      <w:r>
        <w:rPr>
          <w:color w:val="auto"/>
          <w:highlight w:val="none"/>
        </w:rPr>
        <w:t>554</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"_Toc69114214"</w:instrText>
      </w:r>
      <w:r>
        <w:rPr>
          <w:rStyle w:val="51"/>
          <w:color w:val="auto"/>
          <w:highlight w:val="none"/>
        </w:rPr>
        <w:instrText xml:space="preserve"> </w:instrText>
      </w:r>
      <w:r>
        <w:rPr>
          <w:color w:val="auto"/>
          <w:highlight w:val="none"/>
        </w:rPr>
        <w:fldChar w:fldCharType="separate"/>
      </w:r>
      <w:r>
        <w:rPr>
          <w:rStyle w:val="51"/>
          <w:color w:val="auto"/>
          <w:highlight w:val="none"/>
        </w:rPr>
        <w:t>4.5 风机单机试运转</w:t>
      </w:r>
      <w:r>
        <w:rPr>
          <w:color w:val="auto"/>
          <w:highlight w:val="none"/>
        </w:rPr>
        <w:tab/>
      </w:r>
      <w:r>
        <w:rPr>
          <w:color w:val="auto"/>
          <w:highlight w:val="none"/>
        </w:rPr>
        <w:fldChar w:fldCharType="begin"/>
      </w:r>
      <w:r>
        <w:rPr>
          <w:color w:val="auto"/>
          <w:highlight w:val="none"/>
        </w:rPr>
        <w:instrText xml:space="preserve"> PAGEREF _Toc69114214 \h </w:instrText>
      </w:r>
      <w:r>
        <w:rPr>
          <w:color w:val="auto"/>
          <w:highlight w:val="none"/>
        </w:rPr>
        <w:fldChar w:fldCharType="separate"/>
      </w:r>
      <w:r>
        <w:rPr>
          <w:color w:val="auto"/>
          <w:highlight w:val="none"/>
        </w:rPr>
        <w:t>554</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"_Toc69114215"</w:instrText>
      </w:r>
      <w:r>
        <w:rPr>
          <w:rStyle w:val="51"/>
          <w:color w:val="auto"/>
          <w:highlight w:val="none"/>
        </w:rPr>
        <w:instrText xml:space="preserve"> </w:instrText>
      </w:r>
      <w:r>
        <w:rPr>
          <w:color w:val="auto"/>
          <w:highlight w:val="none"/>
        </w:rPr>
        <w:fldChar w:fldCharType="separate"/>
      </w:r>
      <w:r>
        <w:rPr>
          <w:rStyle w:val="51"/>
          <w:color w:val="auto"/>
          <w:highlight w:val="none"/>
        </w:rPr>
        <w:t>4.6 系统无生产负荷联合试运转及调试</w:t>
      </w:r>
      <w:r>
        <w:rPr>
          <w:color w:val="auto"/>
          <w:highlight w:val="none"/>
        </w:rPr>
        <w:tab/>
      </w:r>
      <w:r>
        <w:rPr>
          <w:color w:val="auto"/>
          <w:highlight w:val="none"/>
        </w:rPr>
        <w:fldChar w:fldCharType="begin"/>
      </w:r>
      <w:r>
        <w:rPr>
          <w:color w:val="auto"/>
          <w:highlight w:val="none"/>
        </w:rPr>
        <w:instrText xml:space="preserve"> PAGEREF _Toc69114215 \h </w:instrText>
      </w:r>
      <w:r>
        <w:rPr>
          <w:color w:val="auto"/>
          <w:highlight w:val="none"/>
        </w:rPr>
        <w:fldChar w:fldCharType="separate"/>
      </w:r>
      <w:r>
        <w:rPr>
          <w:color w:val="auto"/>
          <w:highlight w:val="none"/>
        </w:rPr>
        <w:t>555</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"_Toc69114216"</w:instrText>
      </w:r>
      <w:r>
        <w:rPr>
          <w:rStyle w:val="51"/>
          <w:color w:val="auto"/>
          <w:highlight w:val="none"/>
        </w:rPr>
        <w:instrText xml:space="preserve"> </w:instrText>
      </w:r>
      <w:r>
        <w:rPr>
          <w:color w:val="auto"/>
          <w:highlight w:val="none"/>
        </w:rPr>
        <w:fldChar w:fldCharType="separate"/>
      </w:r>
      <w:r>
        <w:rPr>
          <w:rStyle w:val="51"/>
          <w:color w:val="auto"/>
          <w:highlight w:val="none"/>
        </w:rPr>
        <w:t>第5章  暖通工程施工技术要求及施工工艺要求</w:t>
      </w:r>
      <w:r>
        <w:rPr>
          <w:color w:val="auto"/>
          <w:highlight w:val="none"/>
        </w:rPr>
        <w:tab/>
      </w:r>
      <w:r>
        <w:rPr>
          <w:color w:val="auto"/>
          <w:highlight w:val="none"/>
        </w:rPr>
        <w:fldChar w:fldCharType="begin"/>
      </w:r>
      <w:r>
        <w:rPr>
          <w:color w:val="auto"/>
          <w:highlight w:val="none"/>
        </w:rPr>
        <w:instrText xml:space="preserve"> PAGEREF _Toc69114216 \h </w:instrText>
      </w:r>
      <w:r>
        <w:rPr>
          <w:color w:val="auto"/>
          <w:highlight w:val="none"/>
        </w:rPr>
        <w:fldChar w:fldCharType="separate"/>
      </w:r>
      <w:r>
        <w:rPr>
          <w:color w:val="auto"/>
          <w:highlight w:val="none"/>
        </w:rPr>
        <w:t>555</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"_Toc69114217"</w:instrText>
      </w:r>
      <w:r>
        <w:rPr>
          <w:rStyle w:val="51"/>
          <w:color w:val="auto"/>
          <w:highlight w:val="none"/>
        </w:rPr>
        <w:instrText xml:space="preserve"> </w:instrText>
      </w:r>
      <w:r>
        <w:rPr>
          <w:color w:val="auto"/>
          <w:highlight w:val="none"/>
        </w:rPr>
        <w:fldChar w:fldCharType="separate"/>
      </w:r>
      <w:r>
        <w:rPr>
          <w:rStyle w:val="51"/>
          <w:color w:val="auto"/>
          <w:highlight w:val="none"/>
        </w:rPr>
        <w:t>5.1 空调水系统</w:t>
      </w:r>
      <w:r>
        <w:rPr>
          <w:color w:val="auto"/>
          <w:highlight w:val="none"/>
        </w:rPr>
        <w:tab/>
      </w:r>
      <w:r>
        <w:rPr>
          <w:color w:val="auto"/>
          <w:highlight w:val="none"/>
        </w:rPr>
        <w:fldChar w:fldCharType="begin"/>
      </w:r>
      <w:r>
        <w:rPr>
          <w:color w:val="auto"/>
          <w:highlight w:val="none"/>
        </w:rPr>
        <w:instrText xml:space="preserve"> PAGEREF _Toc69114217 \h </w:instrText>
      </w:r>
      <w:r>
        <w:rPr>
          <w:color w:val="auto"/>
          <w:highlight w:val="none"/>
        </w:rPr>
        <w:fldChar w:fldCharType="separate"/>
      </w:r>
      <w:r>
        <w:rPr>
          <w:color w:val="auto"/>
          <w:highlight w:val="none"/>
        </w:rPr>
        <w:t>556</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"_Toc69114218"</w:instrText>
      </w:r>
      <w:r>
        <w:rPr>
          <w:rStyle w:val="51"/>
          <w:color w:val="auto"/>
          <w:highlight w:val="none"/>
        </w:rPr>
        <w:instrText xml:space="preserve"> </w:instrText>
      </w:r>
      <w:r>
        <w:rPr>
          <w:color w:val="auto"/>
          <w:highlight w:val="none"/>
        </w:rPr>
        <w:fldChar w:fldCharType="separate"/>
      </w:r>
      <w:r>
        <w:rPr>
          <w:rStyle w:val="51"/>
          <w:color w:val="auto"/>
          <w:highlight w:val="none"/>
        </w:rPr>
        <w:t>5.2 空调管道保温与防腐</w:t>
      </w:r>
      <w:r>
        <w:rPr>
          <w:color w:val="auto"/>
          <w:highlight w:val="none"/>
        </w:rPr>
        <w:tab/>
      </w:r>
      <w:r>
        <w:rPr>
          <w:color w:val="auto"/>
          <w:highlight w:val="none"/>
        </w:rPr>
        <w:fldChar w:fldCharType="begin"/>
      </w:r>
      <w:r>
        <w:rPr>
          <w:color w:val="auto"/>
          <w:highlight w:val="none"/>
        </w:rPr>
        <w:instrText xml:space="preserve"> PAGEREF _Toc69114218 \h </w:instrText>
      </w:r>
      <w:r>
        <w:rPr>
          <w:color w:val="auto"/>
          <w:highlight w:val="none"/>
        </w:rPr>
        <w:fldChar w:fldCharType="separate"/>
      </w:r>
      <w:r>
        <w:rPr>
          <w:color w:val="auto"/>
          <w:highlight w:val="none"/>
        </w:rPr>
        <w:t>556</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"_Toc69114219"</w:instrText>
      </w:r>
      <w:r>
        <w:rPr>
          <w:rStyle w:val="51"/>
          <w:color w:val="auto"/>
          <w:highlight w:val="none"/>
        </w:rPr>
        <w:instrText xml:space="preserve"> </w:instrText>
      </w:r>
      <w:r>
        <w:rPr>
          <w:color w:val="auto"/>
          <w:highlight w:val="none"/>
        </w:rPr>
        <w:fldChar w:fldCharType="separate"/>
      </w:r>
      <w:r>
        <w:rPr>
          <w:rStyle w:val="51"/>
          <w:color w:val="auto"/>
          <w:highlight w:val="none"/>
        </w:rPr>
        <w:t>5.3 设备安装、消音减震及其它</w:t>
      </w:r>
      <w:r>
        <w:rPr>
          <w:color w:val="auto"/>
          <w:highlight w:val="none"/>
        </w:rPr>
        <w:tab/>
      </w:r>
      <w:r>
        <w:rPr>
          <w:color w:val="auto"/>
          <w:highlight w:val="none"/>
        </w:rPr>
        <w:fldChar w:fldCharType="begin"/>
      </w:r>
      <w:r>
        <w:rPr>
          <w:color w:val="auto"/>
          <w:highlight w:val="none"/>
        </w:rPr>
        <w:instrText xml:space="preserve"> PAGEREF _Toc69114219 \h </w:instrText>
      </w:r>
      <w:r>
        <w:rPr>
          <w:color w:val="auto"/>
          <w:highlight w:val="none"/>
        </w:rPr>
        <w:fldChar w:fldCharType="separate"/>
      </w:r>
      <w:r>
        <w:rPr>
          <w:color w:val="auto"/>
          <w:highlight w:val="none"/>
        </w:rPr>
        <w:t>557</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"_Toc69114220"</w:instrText>
      </w:r>
      <w:r>
        <w:rPr>
          <w:rStyle w:val="51"/>
          <w:color w:val="auto"/>
          <w:highlight w:val="none"/>
        </w:rPr>
        <w:instrText xml:space="preserve"> </w:instrText>
      </w:r>
      <w:r>
        <w:rPr>
          <w:color w:val="auto"/>
          <w:highlight w:val="none"/>
        </w:rPr>
        <w:fldChar w:fldCharType="separate"/>
      </w:r>
      <w:r>
        <w:rPr>
          <w:rStyle w:val="51"/>
          <w:color w:val="auto"/>
          <w:highlight w:val="none"/>
        </w:rPr>
        <w:t>5.4 空调通风自动控制系统</w:t>
      </w:r>
      <w:r>
        <w:rPr>
          <w:color w:val="auto"/>
          <w:highlight w:val="none"/>
        </w:rPr>
        <w:tab/>
      </w:r>
      <w:r>
        <w:rPr>
          <w:color w:val="auto"/>
          <w:highlight w:val="none"/>
        </w:rPr>
        <w:fldChar w:fldCharType="begin"/>
      </w:r>
      <w:r>
        <w:rPr>
          <w:color w:val="auto"/>
          <w:highlight w:val="none"/>
        </w:rPr>
        <w:instrText xml:space="preserve"> PAGEREF _Toc69114220 \h </w:instrText>
      </w:r>
      <w:r>
        <w:rPr>
          <w:color w:val="auto"/>
          <w:highlight w:val="none"/>
        </w:rPr>
        <w:fldChar w:fldCharType="separate"/>
      </w:r>
      <w:r>
        <w:rPr>
          <w:color w:val="auto"/>
          <w:highlight w:val="none"/>
        </w:rPr>
        <w:t>558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"_Toc69114221"</w:instrText>
      </w:r>
      <w:r>
        <w:rPr>
          <w:rStyle w:val="51"/>
          <w:color w:val="auto"/>
          <w:highlight w:val="none"/>
        </w:rPr>
        <w:instrText xml:space="preserve"> </w:instrText>
      </w:r>
      <w:r>
        <w:rPr>
          <w:color w:val="auto"/>
          <w:highlight w:val="none"/>
        </w:rPr>
        <w:fldChar w:fldCharType="separate"/>
      </w:r>
      <w:r>
        <w:rPr>
          <w:rStyle w:val="51"/>
          <w:color w:val="auto"/>
          <w:highlight w:val="none"/>
        </w:rPr>
        <w:t>5.5 通风自动控制系统设计</w:t>
      </w:r>
      <w:r>
        <w:rPr>
          <w:color w:val="auto"/>
          <w:highlight w:val="none"/>
        </w:rPr>
        <w:tab/>
      </w:r>
      <w:r>
        <w:rPr>
          <w:color w:val="auto"/>
          <w:highlight w:val="none"/>
        </w:rPr>
        <w:fldChar w:fldCharType="begin"/>
      </w:r>
      <w:r>
        <w:rPr>
          <w:color w:val="auto"/>
          <w:highlight w:val="none"/>
        </w:rPr>
        <w:instrText xml:space="preserve"> PAGEREF _Toc69114221 \h </w:instrText>
      </w:r>
      <w:r>
        <w:rPr>
          <w:color w:val="auto"/>
          <w:highlight w:val="none"/>
        </w:rPr>
        <w:fldChar w:fldCharType="separate"/>
      </w:r>
      <w:r>
        <w:rPr>
          <w:color w:val="auto"/>
          <w:highlight w:val="none"/>
        </w:rPr>
        <w:t>560</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"_Toc69114222"</w:instrText>
      </w:r>
      <w:r>
        <w:rPr>
          <w:rStyle w:val="51"/>
          <w:color w:val="auto"/>
          <w:highlight w:val="none"/>
        </w:rPr>
        <w:instrText xml:space="preserve"> </w:instrText>
      </w:r>
      <w:r>
        <w:rPr>
          <w:color w:val="auto"/>
          <w:highlight w:val="none"/>
        </w:rPr>
        <w:fldChar w:fldCharType="separate"/>
      </w:r>
      <w:r>
        <w:rPr>
          <w:rStyle w:val="51"/>
          <w:color w:val="auto"/>
          <w:highlight w:val="none"/>
        </w:rPr>
        <w:t>第6章  暖通工程主要材料、设备技术要求</w:t>
      </w:r>
      <w:r>
        <w:rPr>
          <w:color w:val="auto"/>
          <w:highlight w:val="none"/>
        </w:rPr>
        <w:tab/>
      </w:r>
      <w:r>
        <w:rPr>
          <w:color w:val="auto"/>
          <w:highlight w:val="none"/>
        </w:rPr>
        <w:fldChar w:fldCharType="begin"/>
      </w:r>
      <w:r>
        <w:rPr>
          <w:color w:val="auto"/>
          <w:highlight w:val="none"/>
        </w:rPr>
        <w:instrText xml:space="preserve"> PAGEREF _Toc69114222 \h </w:instrText>
      </w:r>
      <w:r>
        <w:rPr>
          <w:color w:val="auto"/>
          <w:highlight w:val="none"/>
        </w:rPr>
        <w:fldChar w:fldCharType="separate"/>
      </w:r>
      <w:r>
        <w:rPr>
          <w:color w:val="auto"/>
          <w:highlight w:val="none"/>
        </w:rPr>
        <w:t>561</w:t>
      </w:r>
      <w:r>
        <w:rPr>
          <w:color w:val="auto"/>
          <w:highlight w:val="none"/>
        </w:rPr>
        <w:fldChar w:fldCharType="end"/>
      </w:r>
      <w:r>
        <w:rPr>
          <w:color w:val="auto"/>
          <w:highlight w:val="none"/>
        </w:rPr>
        <w:fldChar w:fldCharType="end"/>
      </w:r>
    </w:p>
    <w:p>
      <w:pPr>
        <w:pStyle w:val="28"/>
        <w:tabs>
          <w:tab w:val="right" w:leader="dot" w:pos="9060"/>
        </w:tabs>
        <w:rPr>
          <w:rFonts w:ascii="等线" w:hAnsi="等线" w:eastAsia="等线" w:cs="Times New Roman"/>
          <w:b w:val="0"/>
          <w:bCs w:val="0"/>
          <w: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"_Toc69114223"</w:instrText>
      </w:r>
      <w:r>
        <w:rPr>
          <w:rStyle w:val="51"/>
          <w:color w:val="auto"/>
          <w:highlight w:val="none"/>
        </w:rPr>
        <w:instrText xml:space="preserve"> </w:instrText>
      </w:r>
      <w:r>
        <w:rPr>
          <w:color w:val="auto"/>
          <w:highlight w:val="none"/>
        </w:rPr>
        <w:fldChar w:fldCharType="separate"/>
      </w:r>
      <w:r>
        <w:rPr>
          <w:rStyle w:val="51"/>
          <w:color w:val="auto"/>
          <w:highlight w:val="none"/>
        </w:rPr>
        <w:t>第六部分  消防工程技术要求</w:t>
      </w:r>
      <w:r>
        <w:rPr>
          <w:color w:val="auto"/>
          <w:highlight w:val="none"/>
        </w:rPr>
        <w:tab/>
      </w:r>
      <w:r>
        <w:rPr>
          <w:color w:val="auto"/>
          <w:highlight w:val="none"/>
        </w:rPr>
        <w:fldChar w:fldCharType="begin"/>
      </w:r>
      <w:r>
        <w:rPr>
          <w:color w:val="auto"/>
          <w:highlight w:val="none"/>
        </w:rPr>
        <w:instrText xml:space="preserve"> PAGEREF _Toc69114223 \h </w:instrText>
      </w:r>
      <w:r>
        <w:rPr>
          <w:color w:val="auto"/>
          <w:highlight w:val="none"/>
        </w:rPr>
        <w:fldChar w:fldCharType="separate"/>
      </w:r>
      <w:r>
        <w:rPr>
          <w:color w:val="auto"/>
          <w:highlight w:val="none"/>
        </w:rPr>
        <w:t>584</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"_Toc69114224"</w:instrText>
      </w:r>
      <w:r>
        <w:rPr>
          <w:rStyle w:val="51"/>
          <w:color w:val="auto"/>
          <w:highlight w:val="none"/>
        </w:rPr>
        <w:instrText xml:space="preserve"> </w:instrText>
      </w:r>
      <w:r>
        <w:rPr>
          <w:color w:val="auto"/>
          <w:highlight w:val="none"/>
        </w:rPr>
        <w:fldChar w:fldCharType="separate"/>
      </w:r>
      <w:r>
        <w:rPr>
          <w:rStyle w:val="51"/>
          <w:color w:val="auto"/>
          <w:highlight w:val="none"/>
        </w:rPr>
        <w:t>第1章  消防系统</w:t>
      </w:r>
      <w:r>
        <w:rPr>
          <w:color w:val="auto"/>
          <w:highlight w:val="none"/>
        </w:rPr>
        <w:tab/>
      </w:r>
      <w:r>
        <w:rPr>
          <w:color w:val="auto"/>
          <w:highlight w:val="none"/>
        </w:rPr>
        <w:fldChar w:fldCharType="begin"/>
      </w:r>
      <w:r>
        <w:rPr>
          <w:color w:val="auto"/>
          <w:highlight w:val="none"/>
        </w:rPr>
        <w:instrText xml:space="preserve"> PAGEREF _Toc69114224 \h </w:instrText>
      </w:r>
      <w:r>
        <w:rPr>
          <w:color w:val="auto"/>
          <w:highlight w:val="none"/>
        </w:rPr>
        <w:fldChar w:fldCharType="separate"/>
      </w:r>
      <w:r>
        <w:rPr>
          <w:color w:val="auto"/>
          <w:highlight w:val="none"/>
        </w:rPr>
        <w:t>585</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"_Toc69114225"</w:instrText>
      </w:r>
      <w:r>
        <w:rPr>
          <w:rStyle w:val="51"/>
          <w:color w:val="auto"/>
          <w:highlight w:val="none"/>
        </w:rPr>
        <w:instrText xml:space="preserve"> </w:instrText>
      </w:r>
      <w:r>
        <w:rPr>
          <w:color w:val="auto"/>
          <w:highlight w:val="none"/>
        </w:rPr>
        <w:fldChar w:fldCharType="separate"/>
      </w:r>
      <w:r>
        <w:rPr>
          <w:rStyle w:val="51"/>
          <w:color w:val="auto"/>
          <w:highlight w:val="none"/>
        </w:rPr>
        <w:t>1.1 消防水系统</w:t>
      </w:r>
      <w:r>
        <w:rPr>
          <w:color w:val="auto"/>
          <w:highlight w:val="none"/>
        </w:rPr>
        <w:tab/>
      </w:r>
      <w:r>
        <w:rPr>
          <w:color w:val="auto"/>
          <w:highlight w:val="none"/>
        </w:rPr>
        <w:fldChar w:fldCharType="begin"/>
      </w:r>
      <w:r>
        <w:rPr>
          <w:color w:val="auto"/>
          <w:highlight w:val="none"/>
        </w:rPr>
        <w:instrText xml:space="preserve"> PAGEREF _Toc69114225 \h </w:instrText>
      </w:r>
      <w:r>
        <w:rPr>
          <w:color w:val="auto"/>
          <w:highlight w:val="none"/>
        </w:rPr>
        <w:fldChar w:fldCharType="separate"/>
      </w:r>
      <w:r>
        <w:rPr>
          <w:color w:val="auto"/>
          <w:highlight w:val="none"/>
        </w:rPr>
        <w:t>585</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"_Toc69114226"</w:instrText>
      </w:r>
      <w:r>
        <w:rPr>
          <w:rStyle w:val="51"/>
          <w:color w:val="auto"/>
          <w:highlight w:val="none"/>
        </w:rPr>
        <w:instrText xml:space="preserve"> </w:instrText>
      </w:r>
      <w:r>
        <w:rPr>
          <w:color w:val="auto"/>
          <w:highlight w:val="none"/>
        </w:rPr>
        <w:fldChar w:fldCharType="separate"/>
      </w:r>
      <w:r>
        <w:rPr>
          <w:rStyle w:val="51"/>
          <w:color w:val="auto"/>
          <w:highlight w:val="none"/>
        </w:rPr>
        <w:t>1.2 气体灭火系统</w:t>
      </w:r>
      <w:r>
        <w:rPr>
          <w:color w:val="auto"/>
          <w:highlight w:val="none"/>
        </w:rPr>
        <w:tab/>
      </w:r>
      <w:r>
        <w:rPr>
          <w:color w:val="auto"/>
          <w:highlight w:val="none"/>
        </w:rPr>
        <w:fldChar w:fldCharType="begin"/>
      </w:r>
      <w:r>
        <w:rPr>
          <w:color w:val="auto"/>
          <w:highlight w:val="none"/>
        </w:rPr>
        <w:instrText xml:space="preserve"> PAGEREF _Toc69114226 \h </w:instrText>
      </w:r>
      <w:r>
        <w:rPr>
          <w:color w:val="auto"/>
          <w:highlight w:val="none"/>
        </w:rPr>
        <w:fldChar w:fldCharType="separate"/>
      </w:r>
      <w:r>
        <w:rPr>
          <w:color w:val="auto"/>
          <w:highlight w:val="none"/>
        </w:rPr>
        <w:t>587</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"_Toc69114227"</w:instrText>
      </w:r>
      <w:r>
        <w:rPr>
          <w:rStyle w:val="51"/>
          <w:color w:val="auto"/>
          <w:highlight w:val="none"/>
        </w:rPr>
        <w:instrText xml:space="preserve"> </w:instrText>
      </w:r>
      <w:r>
        <w:rPr>
          <w:color w:val="auto"/>
          <w:highlight w:val="none"/>
        </w:rPr>
        <w:fldChar w:fldCharType="separate"/>
      </w:r>
      <w:r>
        <w:rPr>
          <w:rStyle w:val="51"/>
          <w:color w:val="auto"/>
          <w:highlight w:val="none"/>
        </w:rPr>
        <w:t>1.3 消防工程主要材料、设备技术要求</w:t>
      </w:r>
      <w:r>
        <w:rPr>
          <w:color w:val="auto"/>
          <w:highlight w:val="none"/>
        </w:rPr>
        <w:tab/>
      </w:r>
      <w:r>
        <w:rPr>
          <w:color w:val="auto"/>
          <w:highlight w:val="none"/>
        </w:rPr>
        <w:fldChar w:fldCharType="begin"/>
      </w:r>
      <w:r>
        <w:rPr>
          <w:color w:val="auto"/>
          <w:highlight w:val="none"/>
        </w:rPr>
        <w:instrText xml:space="preserve"> PAGEREF _Toc69114227 \h </w:instrText>
      </w:r>
      <w:r>
        <w:rPr>
          <w:color w:val="auto"/>
          <w:highlight w:val="none"/>
        </w:rPr>
        <w:fldChar w:fldCharType="separate"/>
      </w:r>
      <w:r>
        <w:rPr>
          <w:color w:val="auto"/>
          <w:highlight w:val="none"/>
        </w:rPr>
        <w:t>591</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"_Toc69114228"</w:instrText>
      </w:r>
      <w:r>
        <w:rPr>
          <w:rStyle w:val="51"/>
          <w:color w:val="auto"/>
          <w:highlight w:val="none"/>
        </w:rPr>
        <w:instrText xml:space="preserve"> </w:instrText>
      </w:r>
      <w:r>
        <w:rPr>
          <w:color w:val="auto"/>
          <w:highlight w:val="none"/>
        </w:rPr>
        <w:fldChar w:fldCharType="separate"/>
      </w:r>
      <w:r>
        <w:rPr>
          <w:rStyle w:val="51"/>
          <w:color w:val="auto"/>
          <w:highlight w:val="none"/>
        </w:rPr>
        <w:t>第2章  火灾自动报警与消防联动控制系统</w:t>
      </w:r>
      <w:r>
        <w:rPr>
          <w:color w:val="auto"/>
          <w:highlight w:val="none"/>
        </w:rPr>
        <w:tab/>
      </w:r>
      <w:r>
        <w:rPr>
          <w:color w:val="auto"/>
          <w:highlight w:val="none"/>
        </w:rPr>
        <w:fldChar w:fldCharType="begin"/>
      </w:r>
      <w:r>
        <w:rPr>
          <w:color w:val="auto"/>
          <w:highlight w:val="none"/>
        </w:rPr>
        <w:instrText xml:space="preserve"> PAGEREF _Toc69114228 \h </w:instrText>
      </w:r>
      <w:r>
        <w:rPr>
          <w:color w:val="auto"/>
          <w:highlight w:val="none"/>
        </w:rPr>
        <w:fldChar w:fldCharType="separate"/>
      </w:r>
      <w:r>
        <w:rPr>
          <w:color w:val="auto"/>
          <w:highlight w:val="none"/>
        </w:rPr>
        <w:t>598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"_Toc69114229"</w:instrText>
      </w:r>
      <w:r>
        <w:rPr>
          <w:rStyle w:val="51"/>
          <w:color w:val="auto"/>
          <w:highlight w:val="none"/>
        </w:rPr>
        <w:instrText xml:space="preserve"> </w:instrText>
      </w:r>
      <w:r>
        <w:rPr>
          <w:color w:val="auto"/>
          <w:highlight w:val="none"/>
        </w:rPr>
        <w:fldChar w:fldCharType="separate"/>
      </w:r>
      <w:r>
        <w:rPr>
          <w:rStyle w:val="51"/>
          <w:color w:val="auto"/>
          <w:highlight w:val="none"/>
        </w:rPr>
        <w:t>2.1 概述及深化设计要求</w:t>
      </w:r>
      <w:r>
        <w:rPr>
          <w:color w:val="auto"/>
          <w:highlight w:val="none"/>
        </w:rPr>
        <w:tab/>
      </w:r>
      <w:r>
        <w:rPr>
          <w:color w:val="auto"/>
          <w:highlight w:val="none"/>
        </w:rPr>
        <w:fldChar w:fldCharType="begin"/>
      </w:r>
      <w:r>
        <w:rPr>
          <w:color w:val="auto"/>
          <w:highlight w:val="none"/>
        </w:rPr>
        <w:instrText xml:space="preserve"> PAGEREF _Toc69114229 \h </w:instrText>
      </w:r>
      <w:r>
        <w:rPr>
          <w:color w:val="auto"/>
          <w:highlight w:val="none"/>
        </w:rPr>
        <w:fldChar w:fldCharType="separate"/>
      </w:r>
      <w:r>
        <w:rPr>
          <w:color w:val="auto"/>
          <w:highlight w:val="none"/>
        </w:rPr>
        <w:t>598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"_Toc69114230"</w:instrText>
      </w:r>
      <w:r>
        <w:rPr>
          <w:rStyle w:val="51"/>
          <w:color w:val="auto"/>
          <w:highlight w:val="none"/>
        </w:rPr>
        <w:instrText xml:space="preserve"> </w:instrText>
      </w:r>
      <w:r>
        <w:rPr>
          <w:color w:val="auto"/>
          <w:highlight w:val="none"/>
        </w:rPr>
        <w:fldChar w:fldCharType="separate"/>
      </w:r>
      <w:r>
        <w:rPr>
          <w:rStyle w:val="51"/>
          <w:color w:val="auto"/>
          <w:highlight w:val="none"/>
        </w:rPr>
        <w:t>2.2 电气火灾报警技术要求</w:t>
      </w:r>
      <w:r>
        <w:rPr>
          <w:color w:val="auto"/>
          <w:highlight w:val="none"/>
        </w:rPr>
        <w:tab/>
      </w:r>
      <w:r>
        <w:rPr>
          <w:color w:val="auto"/>
          <w:highlight w:val="none"/>
        </w:rPr>
        <w:fldChar w:fldCharType="begin"/>
      </w:r>
      <w:r>
        <w:rPr>
          <w:color w:val="auto"/>
          <w:highlight w:val="none"/>
        </w:rPr>
        <w:instrText xml:space="preserve"> PAGEREF _Toc69114230 \h </w:instrText>
      </w:r>
      <w:r>
        <w:rPr>
          <w:color w:val="auto"/>
          <w:highlight w:val="none"/>
        </w:rPr>
        <w:fldChar w:fldCharType="separate"/>
      </w:r>
      <w:r>
        <w:rPr>
          <w:color w:val="auto"/>
          <w:highlight w:val="none"/>
        </w:rPr>
        <w:t>609</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"_Toc69114231"</w:instrText>
      </w:r>
      <w:r>
        <w:rPr>
          <w:rStyle w:val="51"/>
          <w:color w:val="auto"/>
          <w:highlight w:val="none"/>
        </w:rPr>
        <w:instrText xml:space="preserve"> </w:instrText>
      </w:r>
      <w:r>
        <w:rPr>
          <w:color w:val="auto"/>
          <w:highlight w:val="none"/>
        </w:rPr>
        <w:fldChar w:fldCharType="separate"/>
      </w:r>
      <w:r>
        <w:rPr>
          <w:rStyle w:val="51"/>
          <w:color w:val="auto"/>
          <w:highlight w:val="none"/>
        </w:rPr>
        <w:t>2.3 消防广播系统</w:t>
      </w:r>
      <w:r>
        <w:rPr>
          <w:color w:val="auto"/>
          <w:highlight w:val="none"/>
        </w:rPr>
        <w:tab/>
      </w:r>
      <w:r>
        <w:rPr>
          <w:color w:val="auto"/>
          <w:highlight w:val="none"/>
        </w:rPr>
        <w:fldChar w:fldCharType="begin"/>
      </w:r>
      <w:r>
        <w:rPr>
          <w:color w:val="auto"/>
          <w:highlight w:val="none"/>
        </w:rPr>
        <w:instrText xml:space="preserve"> PAGEREF _Toc69114231 \h </w:instrText>
      </w:r>
      <w:r>
        <w:rPr>
          <w:color w:val="auto"/>
          <w:highlight w:val="none"/>
        </w:rPr>
        <w:fldChar w:fldCharType="separate"/>
      </w:r>
      <w:r>
        <w:rPr>
          <w:color w:val="auto"/>
          <w:highlight w:val="none"/>
        </w:rPr>
        <w:t>612</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"_Toc69114232"</w:instrText>
      </w:r>
      <w:r>
        <w:rPr>
          <w:rStyle w:val="51"/>
          <w:color w:val="auto"/>
          <w:highlight w:val="none"/>
        </w:rPr>
        <w:instrText xml:space="preserve"> </w:instrText>
      </w:r>
      <w:r>
        <w:rPr>
          <w:color w:val="auto"/>
          <w:highlight w:val="none"/>
        </w:rPr>
        <w:fldChar w:fldCharType="separate"/>
      </w:r>
      <w:r>
        <w:rPr>
          <w:rStyle w:val="51"/>
          <w:color w:val="auto"/>
          <w:highlight w:val="none"/>
        </w:rPr>
        <w:t>2.4 消防系统联动及控制要求</w:t>
      </w:r>
      <w:r>
        <w:rPr>
          <w:color w:val="auto"/>
          <w:highlight w:val="none"/>
        </w:rPr>
        <w:tab/>
      </w:r>
      <w:r>
        <w:rPr>
          <w:color w:val="auto"/>
          <w:highlight w:val="none"/>
        </w:rPr>
        <w:fldChar w:fldCharType="begin"/>
      </w:r>
      <w:r>
        <w:rPr>
          <w:color w:val="auto"/>
          <w:highlight w:val="none"/>
        </w:rPr>
        <w:instrText xml:space="preserve"> PAGEREF _Toc69114232 \h </w:instrText>
      </w:r>
      <w:r>
        <w:rPr>
          <w:color w:val="auto"/>
          <w:highlight w:val="none"/>
        </w:rPr>
        <w:fldChar w:fldCharType="separate"/>
      </w:r>
      <w:r>
        <w:rPr>
          <w:color w:val="auto"/>
          <w:highlight w:val="none"/>
        </w:rPr>
        <w:t>621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"_Toc69114233"</w:instrText>
      </w:r>
      <w:r>
        <w:rPr>
          <w:rStyle w:val="51"/>
          <w:color w:val="auto"/>
          <w:highlight w:val="none"/>
        </w:rPr>
        <w:instrText xml:space="preserve"> </w:instrText>
      </w:r>
      <w:r>
        <w:rPr>
          <w:color w:val="auto"/>
          <w:highlight w:val="none"/>
        </w:rPr>
        <w:fldChar w:fldCharType="separate"/>
      </w:r>
      <w:r>
        <w:rPr>
          <w:rStyle w:val="51"/>
          <w:color w:val="auto"/>
          <w:highlight w:val="none"/>
        </w:rPr>
        <w:t>2.5 技术服务</w:t>
      </w:r>
      <w:r>
        <w:rPr>
          <w:color w:val="auto"/>
          <w:highlight w:val="none"/>
        </w:rPr>
        <w:tab/>
      </w:r>
      <w:r>
        <w:rPr>
          <w:color w:val="auto"/>
          <w:highlight w:val="none"/>
        </w:rPr>
        <w:fldChar w:fldCharType="begin"/>
      </w:r>
      <w:r>
        <w:rPr>
          <w:color w:val="auto"/>
          <w:highlight w:val="none"/>
        </w:rPr>
        <w:instrText xml:space="preserve"> PAGEREF _Toc69114233 \h </w:instrText>
      </w:r>
      <w:r>
        <w:rPr>
          <w:color w:val="auto"/>
          <w:highlight w:val="none"/>
        </w:rPr>
        <w:fldChar w:fldCharType="separate"/>
      </w:r>
      <w:r>
        <w:rPr>
          <w:color w:val="auto"/>
          <w:highlight w:val="none"/>
        </w:rPr>
        <w:t>622</w:t>
      </w:r>
      <w:r>
        <w:rPr>
          <w:color w:val="auto"/>
          <w:highlight w:val="none"/>
        </w:rPr>
        <w:fldChar w:fldCharType="end"/>
      </w:r>
      <w:r>
        <w:rPr>
          <w:color w:val="auto"/>
          <w:highlight w:val="none"/>
        </w:rPr>
        <w:fldChar w:fldCharType="end"/>
      </w:r>
    </w:p>
    <w:p>
      <w:pPr>
        <w:pStyle w:val="28"/>
        <w:tabs>
          <w:tab w:val="right" w:leader="dot" w:pos="9060"/>
        </w:tabs>
        <w:rPr>
          <w:rFonts w:ascii="等线" w:hAnsi="等线" w:eastAsia="等线" w:cs="Times New Roman"/>
          <w:b w:val="0"/>
          <w:bCs w:val="0"/>
          <w: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"_Toc69114234"</w:instrText>
      </w:r>
      <w:r>
        <w:rPr>
          <w:rStyle w:val="51"/>
          <w:color w:val="auto"/>
          <w:highlight w:val="none"/>
        </w:rPr>
        <w:instrText xml:space="preserve"> </w:instrText>
      </w:r>
      <w:r>
        <w:rPr>
          <w:color w:val="auto"/>
          <w:highlight w:val="none"/>
        </w:rPr>
        <w:fldChar w:fldCharType="separate"/>
      </w:r>
      <w:r>
        <w:rPr>
          <w:rStyle w:val="51"/>
          <w:rFonts w:ascii="宋体" w:hAnsi="宋体"/>
          <w:color w:val="auto"/>
          <w:highlight w:val="none"/>
        </w:rPr>
        <w:t>第七部分  装配式制冷机房技术要求</w:t>
      </w:r>
      <w:r>
        <w:rPr>
          <w:color w:val="auto"/>
          <w:highlight w:val="none"/>
        </w:rPr>
        <w:tab/>
      </w:r>
      <w:r>
        <w:rPr>
          <w:color w:val="auto"/>
          <w:highlight w:val="none"/>
        </w:rPr>
        <w:fldChar w:fldCharType="begin"/>
      </w:r>
      <w:r>
        <w:rPr>
          <w:color w:val="auto"/>
          <w:highlight w:val="none"/>
        </w:rPr>
        <w:instrText xml:space="preserve"> PAGEREF _Toc69114234 \h </w:instrText>
      </w:r>
      <w:r>
        <w:rPr>
          <w:color w:val="auto"/>
          <w:highlight w:val="none"/>
        </w:rPr>
        <w:fldChar w:fldCharType="separate"/>
      </w:r>
      <w:r>
        <w:rPr>
          <w:color w:val="auto"/>
          <w:highlight w:val="none"/>
        </w:rPr>
        <w:t>624</w:t>
      </w:r>
      <w:r>
        <w:rPr>
          <w:color w:val="auto"/>
          <w:highlight w:val="none"/>
        </w:rPr>
        <w:fldChar w:fldCharType="end"/>
      </w:r>
      <w:r>
        <w:rPr>
          <w:color w:val="auto"/>
          <w:highlight w:val="none"/>
        </w:rPr>
        <w:fldChar w:fldCharType="end"/>
      </w:r>
    </w:p>
    <w:p>
      <w:pPr>
        <w:pStyle w:val="28"/>
        <w:tabs>
          <w:tab w:val="right" w:leader="dot" w:pos="9060"/>
        </w:tabs>
        <w:rPr>
          <w:rFonts w:ascii="等线" w:hAnsi="等线" w:eastAsia="等线" w:cs="Times New Roman"/>
          <w:b w:val="0"/>
          <w:bCs w:val="0"/>
          <w: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"_Toc69114235"</w:instrText>
      </w:r>
      <w:r>
        <w:rPr>
          <w:rStyle w:val="51"/>
          <w:color w:val="auto"/>
          <w:highlight w:val="none"/>
        </w:rPr>
        <w:instrText xml:space="preserve"> </w:instrText>
      </w:r>
      <w:r>
        <w:rPr>
          <w:color w:val="auto"/>
          <w:highlight w:val="none"/>
        </w:rPr>
        <w:fldChar w:fldCharType="separate"/>
      </w:r>
      <w:r>
        <w:rPr>
          <w:rStyle w:val="51"/>
          <w:rFonts w:ascii="宋体" w:hAnsi="宋体"/>
          <w:color w:val="auto"/>
          <w:highlight w:val="none"/>
        </w:rPr>
        <w:t>第八部分  白蚁防治工程技术要求</w:t>
      </w:r>
      <w:r>
        <w:rPr>
          <w:color w:val="auto"/>
          <w:highlight w:val="none"/>
        </w:rPr>
        <w:tab/>
      </w:r>
      <w:r>
        <w:rPr>
          <w:color w:val="auto"/>
          <w:highlight w:val="none"/>
        </w:rPr>
        <w:fldChar w:fldCharType="begin"/>
      </w:r>
      <w:r>
        <w:rPr>
          <w:color w:val="auto"/>
          <w:highlight w:val="none"/>
        </w:rPr>
        <w:instrText xml:space="preserve"> PAGEREF _Toc69114235 \h </w:instrText>
      </w:r>
      <w:r>
        <w:rPr>
          <w:color w:val="auto"/>
          <w:highlight w:val="none"/>
        </w:rPr>
        <w:fldChar w:fldCharType="separate"/>
      </w:r>
      <w:r>
        <w:rPr>
          <w:color w:val="auto"/>
          <w:highlight w:val="none"/>
        </w:rPr>
        <w:t>628</w:t>
      </w:r>
      <w:r>
        <w:rPr>
          <w:color w:val="auto"/>
          <w:highlight w:val="none"/>
        </w:rPr>
        <w:fldChar w:fldCharType="end"/>
      </w:r>
      <w:r>
        <w:rPr>
          <w:color w:val="auto"/>
          <w:highlight w:val="none"/>
        </w:rPr>
        <w:fldChar w:fldCharType="end"/>
      </w:r>
    </w:p>
    <w:p>
      <w:pPr>
        <w:pStyle w:val="28"/>
        <w:tabs>
          <w:tab w:val="right" w:leader="dot" w:pos="9060"/>
        </w:tabs>
        <w:rPr>
          <w:rFonts w:ascii="等线" w:hAnsi="等线" w:eastAsia="等线" w:cs="Times New Roman"/>
          <w:b w:val="0"/>
          <w:bCs w:val="0"/>
          <w: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"_Toc69114236"</w:instrText>
      </w:r>
      <w:r>
        <w:rPr>
          <w:rStyle w:val="51"/>
          <w:color w:val="auto"/>
          <w:highlight w:val="none"/>
        </w:rPr>
        <w:instrText xml:space="preserve"> </w:instrText>
      </w:r>
      <w:r>
        <w:rPr>
          <w:color w:val="auto"/>
          <w:highlight w:val="none"/>
        </w:rPr>
        <w:fldChar w:fldCharType="separate"/>
      </w:r>
      <w:r>
        <w:rPr>
          <w:rStyle w:val="51"/>
          <w:color w:val="auto"/>
          <w:highlight w:val="none"/>
        </w:rPr>
        <w:t>第九部分  室外工程技术要求</w:t>
      </w:r>
      <w:r>
        <w:rPr>
          <w:color w:val="auto"/>
          <w:highlight w:val="none"/>
        </w:rPr>
        <w:tab/>
      </w:r>
      <w:r>
        <w:rPr>
          <w:color w:val="auto"/>
          <w:highlight w:val="none"/>
        </w:rPr>
        <w:fldChar w:fldCharType="begin"/>
      </w:r>
      <w:r>
        <w:rPr>
          <w:color w:val="auto"/>
          <w:highlight w:val="none"/>
        </w:rPr>
        <w:instrText xml:space="preserve"> PAGEREF _Toc69114236 \h </w:instrText>
      </w:r>
      <w:r>
        <w:rPr>
          <w:color w:val="auto"/>
          <w:highlight w:val="none"/>
        </w:rPr>
        <w:fldChar w:fldCharType="separate"/>
      </w:r>
      <w:r>
        <w:rPr>
          <w:color w:val="auto"/>
          <w:highlight w:val="none"/>
        </w:rPr>
        <w:t>629</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"_Toc69114237"</w:instrText>
      </w:r>
      <w:r>
        <w:rPr>
          <w:rStyle w:val="51"/>
          <w:color w:val="auto"/>
          <w:highlight w:val="none"/>
        </w:rPr>
        <w:instrText xml:space="preserve"> </w:instrText>
      </w:r>
      <w:r>
        <w:rPr>
          <w:color w:val="auto"/>
          <w:highlight w:val="none"/>
        </w:rPr>
        <w:fldChar w:fldCharType="separate"/>
      </w:r>
      <w:r>
        <w:rPr>
          <w:rStyle w:val="51"/>
          <w:color w:val="auto"/>
          <w:highlight w:val="none"/>
        </w:rPr>
        <w:t>第1章  各种铺装工艺流程和施工方法</w:t>
      </w:r>
      <w:r>
        <w:rPr>
          <w:color w:val="auto"/>
          <w:highlight w:val="none"/>
        </w:rPr>
        <w:tab/>
      </w:r>
      <w:r>
        <w:rPr>
          <w:color w:val="auto"/>
          <w:highlight w:val="none"/>
        </w:rPr>
        <w:fldChar w:fldCharType="begin"/>
      </w:r>
      <w:r>
        <w:rPr>
          <w:color w:val="auto"/>
          <w:highlight w:val="none"/>
        </w:rPr>
        <w:instrText xml:space="preserve"> PAGEREF _Toc69114237 \h </w:instrText>
      </w:r>
      <w:r>
        <w:rPr>
          <w:color w:val="auto"/>
          <w:highlight w:val="none"/>
        </w:rPr>
        <w:fldChar w:fldCharType="separate"/>
      </w:r>
      <w:r>
        <w:rPr>
          <w:color w:val="auto"/>
          <w:highlight w:val="none"/>
        </w:rPr>
        <w:t>630</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"_Toc69114238"</w:instrText>
      </w:r>
      <w:r>
        <w:rPr>
          <w:rStyle w:val="51"/>
          <w:color w:val="auto"/>
          <w:highlight w:val="none"/>
        </w:rPr>
        <w:instrText xml:space="preserve"> </w:instrText>
      </w:r>
      <w:r>
        <w:rPr>
          <w:color w:val="auto"/>
          <w:highlight w:val="none"/>
        </w:rPr>
        <w:fldChar w:fldCharType="separate"/>
      </w:r>
      <w:r>
        <w:rPr>
          <w:rStyle w:val="51"/>
          <w:color w:val="auto"/>
          <w:highlight w:val="none"/>
        </w:rPr>
        <w:t>1.1 铺装基土施工工艺、方法</w:t>
      </w:r>
      <w:r>
        <w:rPr>
          <w:color w:val="auto"/>
          <w:highlight w:val="none"/>
        </w:rPr>
        <w:tab/>
      </w:r>
      <w:r>
        <w:rPr>
          <w:color w:val="auto"/>
          <w:highlight w:val="none"/>
        </w:rPr>
        <w:fldChar w:fldCharType="begin"/>
      </w:r>
      <w:r>
        <w:rPr>
          <w:color w:val="auto"/>
          <w:highlight w:val="none"/>
        </w:rPr>
        <w:instrText xml:space="preserve"> PAGEREF _Toc69114238 \h </w:instrText>
      </w:r>
      <w:r>
        <w:rPr>
          <w:color w:val="auto"/>
          <w:highlight w:val="none"/>
        </w:rPr>
        <w:fldChar w:fldCharType="separate"/>
      </w:r>
      <w:r>
        <w:rPr>
          <w:color w:val="auto"/>
          <w:highlight w:val="none"/>
        </w:rPr>
        <w:t>630</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"_Toc69114239"</w:instrText>
      </w:r>
      <w:r>
        <w:rPr>
          <w:rStyle w:val="51"/>
          <w:color w:val="auto"/>
          <w:highlight w:val="none"/>
        </w:rPr>
        <w:instrText xml:space="preserve"> </w:instrText>
      </w:r>
      <w:r>
        <w:rPr>
          <w:color w:val="auto"/>
          <w:highlight w:val="none"/>
        </w:rPr>
        <w:fldChar w:fldCharType="separate"/>
      </w:r>
      <w:r>
        <w:rPr>
          <w:rStyle w:val="51"/>
          <w:color w:val="auto"/>
          <w:highlight w:val="none"/>
        </w:rPr>
        <w:t>1.2 铺装基层施工工艺和方法</w:t>
      </w:r>
      <w:r>
        <w:rPr>
          <w:color w:val="auto"/>
          <w:highlight w:val="none"/>
        </w:rPr>
        <w:tab/>
      </w:r>
      <w:r>
        <w:rPr>
          <w:color w:val="auto"/>
          <w:highlight w:val="none"/>
        </w:rPr>
        <w:fldChar w:fldCharType="begin"/>
      </w:r>
      <w:r>
        <w:rPr>
          <w:color w:val="auto"/>
          <w:highlight w:val="none"/>
        </w:rPr>
        <w:instrText xml:space="preserve"> PAGEREF _Toc69114239 \h </w:instrText>
      </w:r>
      <w:r>
        <w:rPr>
          <w:color w:val="auto"/>
          <w:highlight w:val="none"/>
        </w:rPr>
        <w:fldChar w:fldCharType="separate"/>
      </w:r>
      <w:r>
        <w:rPr>
          <w:color w:val="auto"/>
          <w:highlight w:val="none"/>
        </w:rPr>
        <w:t>630</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"_Toc69114240"</w:instrText>
      </w:r>
      <w:r>
        <w:rPr>
          <w:rStyle w:val="51"/>
          <w:color w:val="auto"/>
          <w:highlight w:val="none"/>
        </w:rPr>
        <w:instrText xml:space="preserve"> </w:instrText>
      </w:r>
      <w:r>
        <w:rPr>
          <w:color w:val="auto"/>
          <w:highlight w:val="none"/>
        </w:rPr>
        <w:fldChar w:fldCharType="separate"/>
      </w:r>
      <w:r>
        <w:rPr>
          <w:rStyle w:val="51"/>
          <w:color w:val="auto"/>
          <w:highlight w:val="none"/>
        </w:rPr>
        <w:t>1.3 花岗岩铺装施工工艺和方法</w:t>
      </w:r>
      <w:r>
        <w:rPr>
          <w:color w:val="auto"/>
          <w:highlight w:val="none"/>
        </w:rPr>
        <w:tab/>
      </w:r>
      <w:r>
        <w:rPr>
          <w:color w:val="auto"/>
          <w:highlight w:val="none"/>
        </w:rPr>
        <w:fldChar w:fldCharType="begin"/>
      </w:r>
      <w:r>
        <w:rPr>
          <w:color w:val="auto"/>
          <w:highlight w:val="none"/>
        </w:rPr>
        <w:instrText xml:space="preserve"> PAGEREF _Toc69114240 \h </w:instrText>
      </w:r>
      <w:r>
        <w:rPr>
          <w:color w:val="auto"/>
          <w:highlight w:val="none"/>
        </w:rPr>
        <w:fldChar w:fldCharType="separate"/>
      </w:r>
      <w:r>
        <w:rPr>
          <w:color w:val="auto"/>
          <w:highlight w:val="none"/>
        </w:rPr>
        <w:t>631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"_Toc69114241"</w:instrText>
      </w:r>
      <w:r>
        <w:rPr>
          <w:rStyle w:val="51"/>
          <w:color w:val="auto"/>
          <w:highlight w:val="none"/>
        </w:rPr>
        <w:instrText xml:space="preserve"> </w:instrText>
      </w:r>
      <w:r>
        <w:rPr>
          <w:color w:val="auto"/>
          <w:highlight w:val="none"/>
        </w:rPr>
        <w:fldChar w:fldCharType="separate"/>
      </w:r>
      <w:r>
        <w:rPr>
          <w:rStyle w:val="51"/>
          <w:color w:val="auto"/>
          <w:highlight w:val="none"/>
        </w:rPr>
        <w:t>1.4 园林铺装质量要求</w:t>
      </w:r>
      <w:r>
        <w:rPr>
          <w:color w:val="auto"/>
          <w:highlight w:val="none"/>
        </w:rPr>
        <w:tab/>
      </w:r>
      <w:r>
        <w:rPr>
          <w:color w:val="auto"/>
          <w:highlight w:val="none"/>
        </w:rPr>
        <w:fldChar w:fldCharType="begin"/>
      </w:r>
      <w:r>
        <w:rPr>
          <w:color w:val="auto"/>
          <w:highlight w:val="none"/>
        </w:rPr>
        <w:instrText xml:space="preserve"> PAGEREF _Toc69114241 \h </w:instrText>
      </w:r>
      <w:r>
        <w:rPr>
          <w:color w:val="auto"/>
          <w:highlight w:val="none"/>
        </w:rPr>
        <w:fldChar w:fldCharType="separate"/>
      </w:r>
      <w:r>
        <w:rPr>
          <w:color w:val="auto"/>
          <w:highlight w:val="none"/>
        </w:rPr>
        <w:t>632</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"_Toc69114242"</w:instrText>
      </w:r>
      <w:r>
        <w:rPr>
          <w:rStyle w:val="51"/>
          <w:color w:val="auto"/>
          <w:highlight w:val="none"/>
        </w:rPr>
        <w:instrText xml:space="preserve"> </w:instrText>
      </w:r>
      <w:r>
        <w:rPr>
          <w:color w:val="auto"/>
          <w:highlight w:val="none"/>
        </w:rPr>
        <w:fldChar w:fldCharType="separate"/>
      </w:r>
      <w:r>
        <w:rPr>
          <w:rStyle w:val="51"/>
          <w:color w:val="auto"/>
          <w:highlight w:val="none"/>
        </w:rPr>
        <w:t>1.5 园路及路牙石的主要施工方法</w:t>
      </w:r>
      <w:r>
        <w:rPr>
          <w:color w:val="auto"/>
          <w:highlight w:val="none"/>
        </w:rPr>
        <w:tab/>
      </w:r>
      <w:r>
        <w:rPr>
          <w:color w:val="auto"/>
          <w:highlight w:val="none"/>
        </w:rPr>
        <w:fldChar w:fldCharType="begin"/>
      </w:r>
      <w:r>
        <w:rPr>
          <w:color w:val="auto"/>
          <w:highlight w:val="none"/>
        </w:rPr>
        <w:instrText xml:space="preserve"> PAGEREF _Toc69114242 \h </w:instrText>
      </w:r>
      <w:r>
        <w:rPr>
          <w:color w:val="auto"/>
          <w:highlight w:val="none"/>
        </w:rPr>
        <w:fldChar w:fldCharType="separate"/>
      </w:r>
      <w:r>
        <w:rPr>
          <w:color w:val="auto"/>
          <w:highlight w:val="none"/>
        </w:rPr>
        <w:t>633</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"_Toc69114243"</w:instrText>
      </w:r>
      <w:r>
        <w:rPr>
          <w:rStyle w:val="51"/>
          <w:color w:val="auto"/>
          <w:highlight w:val="none"/>
        </w:rPr>
        <w:instrText xml:space="preserve"> </w:instrText>
      </w:r>
      <w:r>
        <w:rPr>
          <w:color w:val="auto"/>
          <w:highlight w:val="none"/>
        </w:rPr>
        <w:fldChar w:fldCharType="separate"/>
      </w:r>
      <w:r>
        <w:rPr>
          <w:rStyle w:val="51"/>
          <w:color w:val="auto"/>
          <w:highlight w:val="none"/>
        </w:rPr>
        <w:t>第2章  水景工程工艺流程和施工方法</w:t>
      </w:r>
      <w:r>
        <w:rPr>
          <w:color w:val="auto"/>
          <w:highlight w:val="none"/>
        </w:rPr>
        <w:tab/>
      </w:r>
      <w:r>
        <w:rPr>
          <w:color w:val="auto"/>
          <w:highlight w:val="none"/>
        </w:rPr>
        <w:fldChar w:fldCharType="begin"/>
      </w:r>
      <w:r>
        <w:rPr>
          <w:color w:val="auto"/>
          <w:highlight w:val="none"/>
        </w:rPr>
        <w:instrText xml:space="preserve"> PAGEREF _Toc69114243 \h </w:instrText>
      </w:r>
      <w:r>
        <w:rPr>
          <w:color w:val="auto"/>
          <w:highlight w:val="none"/>
        </w:rPr>
        <w:fldChar w:fldCharType="separate"/>
      </w:r>
      <w:r>
        <w:rPr>
          <w:color w:val="auto"/>
          <w:highlight w:val="none"/>
        </w:rPr>
        <w:t>634</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"_Toc69114244"</w:instrText>
      </w:r>
      <w:r>
        <w:rPr>
          <w:rStyle w:val="51"/>
          <w:color w:val="auto"/>
          <w:highlight w:val="none"/>
        </w:rPr>
        <w:instrText xml:space="preserve"> </w:instrText>
      </w:r>
      <w:r>
        <w:rPr>
          <w:color w:val="auto"/>
          <w:highlight w:val="none"/>
        </w:rPr>
        <w:fldChar w:fldCharType="separate"/>
      </w:r>
      <w:r>
        <w:rPr>
          <w:rStyle w:val="51"/>
          <w:color w:val="auto"/>
          <w:highlight w:val="none"/>
        </w:rPr>
        <w:t>2.1 施工安排</w:t>
      </w:r>
      <w:r>
        <w:rPr>
          <w:color w:val="auto"/>
          <w:highlight w:val="none"/>
        </w:rPr>
        <w:tab/>
      </w:r>
      <w:r>
        <w:rPr>
          <w:color w:val="auto"/>
          <w:highlight w:val="none"/>
        </w:rPr>
        <w:fldChar w:fldCharType="begin"/>
      </w:r>
      <w:r>
        <w:rPr>
          <w:color w:val="auto"/>
          <w:highlight w:val="none"/>
        </w:rPr>
        <w:instrText xml:space="preserve"> PAGEREF _Toc69114244 \h </w:instrText>
      </w:r>
      <w:r>
        <w:rPr>
          <w:color w:val="auto"/>
          <w:highlight w:val="none"/>
        </w:rPr>
        <w:fldChar w:fldCharType="separate"/>
      </w:r>
      <w:r>
        <w:rPr>
          <w:color w:val="auto"/>
          <w:highlight w:val="none"/>
        </w:rPr>
        <w:t>634</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"_Toc69114245"</w:instrText>
      </w:r>
      <w:r>
        <w:rPr>
          <w:rStyle w:val="51"/>
          <w:color w:val="auto"/>
          <w:highlight w:val="none"/>
        </w:rPr>
        <w:instrText xml:space="preserve"> </w:instrText>
      </w:r>
      <w:r>
        <w:rPr>
          <w:color w:val="auto"/>
          <w:highlight w:val="none"/>
        </w:rPr>
        <w:fldChar w:fldCharType="separate"/>
      </w:r>
      <w:r>
        <w:rPr>
          <w:rStyle w:val="51"/>
          <w:color w:val="auto"/>
          <w:highlight w:val="none"/>
        </w:rPr>
        <w:t>2.2 施工流程</w:t>
      </w:r>
      <w:r>
        <w:rPr>
          <w:color w:val="auto"/>
          <w:highlight w:val="none"/>
        </w:rPr>
        <w:tab/>
      </w:r>
      <w:r>
        <w:rPr>
          <w:color w:val="auto"/>
          <w:highlight w:val="none"/>
        </w:rPr>
        <w:fldChar w:fldCharType="begin"/>
      </w:r>
      <w:r>
        <w:rPr>
          <w:color w:val="auto"/>
          <w:highlight w:val="none"/>
        </w:rPr>
        <w:instrText xml:space="preserve"> PAGEREF _Toc69114245 \h </w:instrText>
      </w:r>
      <w:r>
        <w:rPr>
          <w:color w:val="auto"/>
          <w:highlight w:val="none"/>
        </w:rPr>
        <w:fldChar w:fldCharType="separate"/>
      </w:r>
      <w:r>
        <w:rPr>
          <w:color w:val="auto"/>
          <w:highlight w:val="none"/>
        </w:rPr>
        <w:t>635</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"_Toc69114246"</w:instrText>
      </w:r>
      <w:r>
        <w:rPr>
          <w:rStyle w:val="51"/>
          <w:color w:val="auto"/>
          <w:highlight w:val="none"/>
        </w:rPr>
        <w:instrText xml:space="preserve"> </w:instrText>
      </w:r>
      <w:r>
        <w:rPr>
          <w:color w:val="auto"/>
          <w:highlight w:val="none"/>
        </w:rPr>
        <w:fldChar w:fldCharType="separate"/>
      </w:r>
      <w:r>
        <w:rPr>
          <w:rStyle w:val="51"/>
          <w:color w:val="auto"/>
          <w:highlight w:val="none"/>
        </w:rPr>
        <w:t>2.3 钢筋混凝土结构施工工艺和方法</w:t>
      </w:r>
      <w:r>
        <w:rPr>
          <w:color w:val="auto"/>
          <w:highlight w:val="none"/>
        </w:rPr>
        <w:tab/>
      </w:r>
      <w:r>
        <w:rPr>
          <w:color w:val="auto"/>
          <w:highlight w:val="none"/>
        </w:rPr>
        <w:fldChar w:fldCharType="begin"/>
      </w:r>
      <w:r>
        <w:rPr>
          <w:color w:val="auto"/>
          <w:highlight w:val="none"/>
        </w:rPr>
        <w:instrText xml:space="preserve"> PAGEREF _Toc69114246 \h </w:instrText>
      </w:r>
      <w:r>
        <w:rPr>
          <w:color w:val="auto"/>
          <w:highlight w:val="none"/>
        </w:rPr>
        <w:fldChar w:fldCharType="separate"/>
      </w:r>
      <w:r>
        <w:rPr>
          <w:color w:val="auto"/>
          <w:highlight w:val="none"/>
        </w:rPr>
        <w:t>635</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"_Toc69114247"</w:instrText>
      </w:r>
      <w:r>
        <w:rPr>
          <w:rStyle w:val="51"/>
          <w:color w:val="auto"/>
          <w:highlight w:val="none"/>
        </w:rPr>
        <w:instrText xml:space="preserve"> </w:instrText>
      </w:r>
      <w:r>
        <w:rPr>
          <w:color w:val="auto"/>
          <w:highlight w:val="none"/>
        </w:rPr>
        <w:fldChar w:fldCharType="separate"/>
      </w:r>
      <w:r>
        <w:rPr>
          <w:rStyle w:val="51"/>
          <w:color w:val="auto"/>
          <w:highlight w:val="none"/>
        </w:rPr>
        <w:t>2.4 防水施工工艺和方法</w:t>
      </w:r>
      <w:r>
        <w:rPr>
          <w:color w:val="auto"/>
          <w:highlight w:val="none"/>
        </w:rPr>
        <w:tab/>
      </w:r>
      <w:r>
        <w:rPr>
          <w:color w:val="auto"/>
          <w:highlight w:val="none"/>
        </w:rPr>
        <w:fldChar w:fldCharType="begin"/>
      </w:r>
      <w:r>
        <w:rPr>
          <w:color w:val="auto"/>
          <w:highlight w:val="none"/>
        </w:rPr>
        <w:instrText xml:space="preserve"> PAGEREF _Toc69114247 \h </w:instrText>
      </w:r>
      <w:r>
        <w:rPr>
          <w:color w:val="auto"/>
          <w:highlight w:val="none"/>
        </w:rPr>
        <w:fldChar w:fldCharType="separate"/>
      </w:r>
      <w:r>
        <w:rPr>
          <w:color w:val="auto"/>
          <w:highlight w:val="none"/>
        </w:rPr>
        <w:t>636</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"_Toc69114248"</w:instrText>
      </w:r>
      <w:r>
        <w:rPr>
          <w:rStyle w:val="51"/>
          <w:color w:val="auto"/>
          <w:highlight w:val="none"/>
        </w:rPr>
        <w:instrText xml:space="preserve"> </w:instrText>
      </w:r>
      <w:r>
        <w:rPr>
          <w:color w:val="auto"/>
          <w:highlight w:val="none"/>
        </w:rPr>
        <w:fldChar w:fldCharType="separate"/>
      </w:r>
      <w:r>
        <w:rPr>
          <w:rStyle w:val="51"/>
          <w:color w:val="auto"/>
          <w:highlight w:val="none"/>
        </w:rPr>
        <w:t>第3章  建筑小品工程工艺流程和施工方法</w:t>
      </w:r>
      <w:r>
        <w:rPr>
          <w:color w:val="auto"/>
          <w:highlight w:val="none"/>
        </w:rPr>
        <w:tab/>
      </w:r>
      <w:r>
        <w:rPr>
          <w:color w:val="auto"/>
          <w:highlight w:val="none"/>
        </w:rPr>
        <w:fldChar w:fldCharType="begin"/>
      </w:r>
      <w:r>
        <w:rPr>
          <w:color w:val="auto"/>
          <w:highlight w:val="none"/>
        </w:rPr>
        <w:instrText xml:space="preserve"> PAGEREF _Toc69114248 \h </w:instrText>
      </w:r>
      <w:r>
        <w:rPr>
          <w:color w:val="auto"/>
          <w:highlight w:val="none"/>
        </w:rPr>
        <w:fldChar w:fldCharType="separate"/>
      </w:r>
      <w:r>
        <w:rPr>
          <w:color w:val="auto"/>
          <w:highlight w:val="none"/>
        </w:rPr>
        <w:t>636</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"_Toc69114249"</w:instrText>
      </w:r>
      <w:r>
        <w:rPr>
          <w:rStyle w:val="51"/>
          <w:color w:val="auto"/>
          <w:highlight w:val="none"/>
        </w:rPr>
        <w:instrText xml:space="preserve"> </w:instrText>
      </w:r>
      <w:r>
        <w:rPr>
          <w:color w:val="auto"/>
          <w:highlight w:val="none"/>
        </w:rPr>
        <w:fldChar w:fldCharType="separate"/>
      </w:r>
      <w:r>
        <w:rPr>
          <w:rStyle w:val="51"/>
          <w:color w:val="auto"/>
          <w:highlight w:val="none"/>
        </w:rPr>
        <w:t>3.1 木结构施工方法</w:t>
      </w:r>
      <w:r>
        <w:rPr>
          <w:color w:val="auto"/>
          <w:highlight w:val="none"/>
        </w:rPr>
        <w:tab/>
      </w:r>
      <w:r>
        <w:rPr>
          <w:color w:val="auto"/>
          <w:highlight w:val="none"/>
        </w:rPr>
        <w:fldChar w:fldCharType="begin"/>
      </w:r>
      <w:r>
        <w:rPr>
          <w:color w:val="auto"/>
          <w:highlight w:val="none"/>
        </w:rPr>
        <w:instrText xml:space="preserve"> PAGEREF _Toc69114249 \h </w:instrText>
      </w:r>
      <w:r>
        <w:rPr>
          <w:color w:val="auto"/>
          <w:highlight w:val="none"/>
        </w:rPr>
        <w:fldChar w:fldCharType="separate"/>
      </w:r>
      <w:r>
        <w:rPr>
          <w:color w:val="auto"/>
          <w:highlight w:val="none"/>
        </w:rPr>
        <w:t>636</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"_Toc69114250"</w:instrText>
      </w:r>
      <w:r>
        <w:rPr>
          <w:rStyle w:val="51"/>
          <w:color w:val="auto"/>
          <w:highlight w:val="none"/>
        </w:rPr>
        <w:instrText xml:space="preserve"> </w:instrText>
      </w:r>
      <w:r>
        <w:rPr>
          <w:color w:val="auto"/>
          <w:highlight w:val="none"/>
        </w:rPr>
        <w:fldChar w:fldCharType="separate"/>
      </w:r>
      <w:r>
        <w:rPr>
          <w:rStyle w:val="51"/>
          <w:color w:val="auto"/>
          <w:highlight w:val="none"/>
        </w:rPr>
        <w:t>3.2 钢结构施工方法</w:t>
      </w:r>
      <w:r>
        <w:rPr>
          <w:color w:val="auto"/>
          <w:highlight w:val="none"/>
        </w:rPr>
        <w:tab/>
      </w:r>
      <w:r>
        <w:rPr>
          <w:color w:val="auto"/>
          <w:highlight w:val="none"/>
        </w:rPr>
        <w:fldChar w:fldCharType="begin"/>
      </w:r>
      <w:r>
        <w:rPr>
          <w:color w:val="auto"/>
          <w:highlight w:val="none"/>
        </w:rPr>
        <w:instrText xml:space="preserve"> PAGEREF _Toc69114250 \h </w:instrText>
      </w:r>
      <w:r>
        <w:rPr>
          <w:color w:val="auto"/>
          <w:highlight w:val="none"/>
        </w:rPr>
        <w:fldChar w:fldCharType="separate"/>
      </w:r>
      <w:r>
        <w:rPr>
          <w:color w:val="auto"/>
          <w:highlight w:val="none"/>
        </w:rPr>
        <w:t>637</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"_Toc69114251"</w:instrText>
      </w:r>
      <w:r>
        <w:rPr>
          <w:rStyle w:val="51"/>
          <w:color w:val="auto"/>
          <w:highlight w:val="none"/>
        </w:rPr>
        <w:instrText xml:space="preserve"> </w:instrText>
      </w:r>
      <w:r>
        <w:rPr>
          <w:color w:val="auto"/>
          <w:highlight w:val="none"/>
        </w:rPr>
        <w:fldChar w:fldCharType="separate"/>
      </w:r>
      <w:r>
        <w:rPr>
          <w:rStyle w:val="51"/>
          <w:color w:val="auto"/>
          <w:highlight w:val="none"/>
        </w:rPr>
        <w:t>第4章  给排水施工工艺流程和施工方法</w:t>
      </w:r>
      <w:r>
        <w:rPr>
          <w:color w:val="auto"/>
          <w:highlight w:val="none"/>
        </w:rPr>
        <w:tab/>
      </w:r>
      <w:r>
        <w:rPr>
          <w:color w:val="auto"/>
          <w:highlight w:val="none"/>
        </w:rPr>
        <w:fldChar w:fldCharType="begin"/>
      </w:r>
      <w:r>
        <w:rPr>
          <w:color w:val="auto"/>
          <w:highlight w:val="none"/>
        </w:rPr>
        <w:instrText xml:space="preserve"> PAGEREF _Toc69114251 \h </w:instrText>
      </w:r>
      <w:r>
        <w:rPr>
          <w:color w:val="auto"/>
          <w:highlight w:val="none"/>
        </w:rPr>
        <w:fldChar w:fldCharType="separate"/>
      </w:r>
      <w:r>
        <w:rPr>
          <w:color w:val="auto"/>
          <w:highlight w:val="none"/>
        </w:rPr>
        <w:t>638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"_Toc69114252"</w:instrText>
      </w:r>
      <w:r>
        <w:rPr>
          <w:rStyle w:val="51"/>
          <w:color w:val="auto"/>
          <w:highlight w:val="none"/>
        </w:rPr>
        <w:instrText xml:space="preserve"> </w:instrText>
      </w:r>
      <w:r>
        <w:rPr>
          <w:color w:val="auto"/>
          <w:highlight w:val="none"/>
        </w:rPr>
        <w:fldChar w:fldCharType="separate"/>
      </w:r>
      <w:r>
        <w:rPr>
          <w:rStyle w:val="51"/>
          <w:color w:val="auto"/>
          <w:highlight w:val="none"/>
        </w:rPr>
        <w:t>4.1 给排水工程施工工艺</w:t>
      </w:r>
      <w:r>
        <w:rPr>
          <w:color w:val="auto"/>
          <w:highlight w:val="none"/>
        </w:rPr>
        <w:tab/>
      </w:r>
      <w:r>
        <w:rPr>
          <w:color w:val="auto"/>
          <w:highlight w:val="none"/>
        </w:rPr>
        <w:fldChar w:fldCharType="begin"/>
      </w:r>
      <w:r>
        <w:rPr>
          <w:color w:val="auto"/>
          <w:highlight w:val="none"/>
        </w:rPr>
        <w:instrText xml:space="preserve"> PAGEREF _Toc69114252 \h </w:instrText>
      </w:r>
      <w:r>
        <w:rPr>
          <w:color w:val="auto"/>
          <w:highlight w:val="none"/>
        </w:rPr>
        <w:fldChar w:fldCharType="separate"/>
      </w:r>
      <w:r>
        <w:rPr>
          <w:color w:val="auto"/>
          <w:highlight w:val="none"/>
        </w:rPr>
        <w:t>638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"_Toc69114253"</w:instrText>
      </w:r>
      <w:r>
        <w:rPr>
          <w:rStyle w:val="51"/>
          <w:color w:val="auto"/>
          <w:highlight w:val="none"/>
        </w:rPr>
        <w:instrText xml:space="preserve"> </w:instrText>
      </w:r>
      <w:r>
        <w:rPr>
          <w:color w:val="auto"/>
          <w:highlight w:val="none"/>
        </w:rPr>
        <w:fldChar w:fldCharType="separate"/>
      </w:r>
      <w:r>
        <w:rPr>
          <w:rStyle w:val="51"/>
          <w:color w:val="auto"/>
          <w:highlight w:val="none"/>
        </w:rPr>
        <w:t>4.2 开挖沟槽</w:t>
      </w:r>
      <w:r>
        <w:rPr>
          <w:color w:val="auto"/>
          <w:highlight w:val="none"/>
        </w:rPr>
        <w:tab/>
      </w:r>
      <w:r>
        <w:rPr>
          <w:color w:val="auto"/>
          <w:highlight w:val="none"/>
        </w:rPr>
        <w:fldChar w:fldCharType="begin"/>
      </w:r>
      <w:r>
        <w:rPr>
          <w:color w:val="auto"/>
          <w:highlight w:val="none"/>
        </w:rPr>
        <w:instrText xml:space="preserve"> PAGEREF _Toc69114253 \h </w:instrText>
      </w:r>
      <w:r>
        <w:rPr>
          <w:color w:val="auto"/>
          <w:highlight w:val="none"/>
        </w:rPr>
        <w:fldChar w:fldCharType="separate"/>
      </w:r>
      <w:r>
        <w:rPr>
          <w:color w:val="auto"/>
          <w:highlight w:val="none"/>
        </w:rPr>
        <w:t>638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"_Toc69114254"</w:instrText>
      </w:r>
      <w:r>
        <w:rPr>
          <w:rStyle w:val="51"/>
          <w:color w:val="auto"/>
          <w:highlight w:val="none"/>
        </w:rPr>
        <w:instrText xml:space="preserve"> </w:instrText>
      </w:r>
      <w:r>
        <w:rPr>
          <w:color w:val="auto"/>
          <w:highlight w:val="none"/>
        </w:rPr>
        <w:fldChar w:fldCharType="separate"/>
      </w:r>
      <w:r>
        <w:rPr>
          <w:rStyle w:val="51"/>
          <w:color w:val="auto"/>
          <w:highlight w:val="none"/>
        </w:rPr>
        <w:t>4.3 铺设管道包括下管、稳管和管道接口处理</w:t>
      </w:r>
      <w:r>
        <w:rPr>
          <w:color w:val="auto"/>
          <w:highlight w:val="none"/>
        </w:rPr>
        <w:tab/>
      </w:r>
      <w:r>
        <w:rPr>
          <w:color w:val="auto"/>
          <w:highlight w:val="none"/>
        </w:rPr>
        <w:fldChar w:fldCharType="begin"/>
      </w:r>
      <w:r>
        <w:rPr>
          <w:color w:val="auto"/>
          <w:highlight w:val="none"/>
        </w:rPr>
        <w:instrText xml:space="preserve"> PAGEREF _Toc69114254 \h </w:instrText>
      </w:r>
      <w:r>
        <w:rPr>
          <w:color w:val="auto"/>
          <w:highlight w:val="none"/>
        </w:rPr>
        <w:fldChar w:fldCharType="separate"/>
      </w:r>
      <w:r>
        <w:rPr>
          <w:color w:val="auto"/>
          <w:highlight w:val="none"/>
        </w:rPr>
        <w:t>639</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"_Toc69114255"</w:instrText>
      </w:r>
      <w:r>
        <w:rPr>
          <w:rStyle w:val="51"/>
          <w:color w:val="auto"/>
          <w:highlight w:val="none"/>
        </w:rPr>
        <w:instrText xml:space="preserve"> </w:instrText>
      </w:r>
      <w:r>
        <w:rPr>
          <w:color w:val="auto"/>
          <w:highlight w:val="none"/>
        </w:rPr>
        <w:fldChar w:fldCharType="separate"/>
      </w:r>
      <w:r>
        <w:rPr>
          <w:rStyle w:val="51"/>
          <w:color w:val="auto"/>
          <w:highlight w:val="none"/>
        </w:rPr>
        <w:t>4.4 水压试验</w:t>
      </w:r>
      <w:r>
        <w:rPr>
          <w:color w:val="auto"/>
          <w:highlight w:val="none"/>
        </w:rPr>
        <w:tab/>
      </w:r>
      <w:r>
        <w:rPr>
          <w:color w:val="auto"/>
          <w:highlight w:val="none"/>
        </w:rPr>
        <w:fldChar w:fldCharType="begin"/>
      </w:r>
      <w:r>
        <w:rPr>
          <w:color w:val="auto"/>
          <w:highlight w:val="none"/>
        </w:rPr>
        <w:instrText xml:space="preserve"> PAGEREF _Toc69114255 \h </w:instrText>
      </w:r>
      <w:r>
        <w:rPr>
          <w:color w:val="auto"/>
          <w:highlight w:val="none"/>
        </w:rPr>
        <w:fldChar w:fldCharType="separate"/>
      </w:r>
      <w:r>
        <w:rPr>
          <w:color w:val="auto"/>
          <w:highlight w:val="none"/>
        </w:rPr>
        <w:t>639</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"_Toc69114256"</w:instrText>
      </w:r>
      <w:r>
        <w:rPr>
          <w:rStyle w:val="51"/>
          <w:color w:val="auto"/>
          <w:highlight w:val="none"/>
        </w:rPr>
        <w:instrText xml:space="preserve"> </w:instrText>
      </w:r>
      <w:r>
        <w:rPr>
          <w:color w:val="auto"/>
          <w:highlight w:val="none"/>
        </w:rPr>
        <w:fldChar w:fldCharType="separate"/>
      </w:r>
      <w:r>
        <w:rPr>
          <w:rStyle w:val="51"/>
          <w:color w:val="auto"/>
          <w:highlight w:val="none"/>
        </w:rPr>
        <w:t>4.5 检查井砌筑</w:t>
      </w:r>
      <w:r>
        <w:rPr>
          <w:color w:val="auto"/>
          <w:highlight w:val="none"/>
        </w:rPr>
        <w:tab/>
      </w:r>
      <w:r>
        <w:rPr>
          <w:color w:val="auto"/>
          <w:highlight w:val="none"/>
        </w:rPr>
        <w:fldChar w:fldCharType="begin"/>
      </w:r>
      <w:r>
        <w:rPr>
          <w:color w:val="auto"/>
          <w:highlight w:val="none"/>
        </w:rPr>
        <w:instrText xml:space="preserve"> PAGEREF _Toc69114256 \h </w:instrText>
      </w:r>
      <w:r>
        <w:rPr>
          <w:color w:val="auto"/>
          <w:highlight w:val="none"/>
        </w:rPr>
        <w:fldChar w:fldCharType="separate"/>
      </w:r>
      <w:r>
        <w:rPr>
          <w:color w:val="auto"/>
          <w:highlight w:val="none"/>
        </w:rPr>
        <w:t>640</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"_Toc69114257"</w:instrText>
      </w:r>
      <w:r>
        <w:rPr>
          <w:rStyle w:val="51"/>
          <w:color w:val="auto"/>
          <w:highlight w:val="none"/>
        </w:rPr>
        <w:instrText xml:space="preserve"> </w:instrText>
      </w:r>
      <w:r>
        <w:rPr>
          <w:color w:val="auto"/>
          <w:highlight w:val="none"/>
        </w:rPr>
        <w:fldChar w:fldCharType="separate"/>
      </w:r>
      <w:r>
        <w:rPr>
          <w:rStyle w:val="51"/>
          <w:color w:val="auto"/>
          <w:highlight w:val="none"/>
        </w:rPr>
        <w:t>4.6 管道冲洗</w:t>
      </w:r>
      <w:r>
        <w:rPr>
          <w:color w:val="auto"/>
          <w:highlight w:val="none"/>
        </w:rPr>
        <w:tab/>
      </w:r>
      <w:r>
        <w:rPr>
          <w:color w:val="auto"/>
          <w:highlight w:val="none"/>
        </w:rPr>
        <w:fldChar w:fldCharType="begin"/>
      </w:r>
      <w:r>
        <w:rPr>
          <w:color w:val="auto"/>
          <w:highlight w:val="none"/>
        </w:rPr>
        <w:instrText xml:space="preserve"> PAGEREF _Toc69114257 \h </w:instrText>
      </w:r>
      <w:r>
        <w:rPr>
          <w:color w:val="auto"/>
          <w:highlight w:val="none"/>
        </w:rPr>
        <w:fldChar w:fldCharType="separate"/>
      </w:r>
      <w:r>
        <w:rPr>
          <w:color w:val="auto"/>
          <w:highlight w:val="none"/>
        </w:rPr>
        <w:t>640</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"_Toc69114258"</w:instrText>
      </w:r>
      <w:r>
        <w:rPr>
          <w:rStyle w:val="51"/>
          <w:color w:val="auto"/>
          <w:highlight w:val="none"/>
        </w:rPr>
        <w:instrText xml:space="preserve"> </w:instrText>
      </w:r>
      <w:r>
        <w:rPr>
          <w:color w:val="auto"/>
          <w:highlight w:val="none"/>
        </w:rPr>
        <w:fldChar w:fldCharType="separate"/>
      </w:r>
      <w:r>
        <w:rPr>
          <w:rStyle w:val="51"/>
          <w:color w:val="auto"/>
          <w:highlight w:val="none"/>
        </w:rPr>
        <w:t>4.7 回填</w:t>
      </w:r>
      <w:r>
        <w:rPr>
          <w:color w:val="auto"/>
          <w:highlight w:val="none"/>
        </w:rPr>
        <w:tab/>
      </w:r>
      <w:r>
        <w:rPr>
          <w:color w:val="auto"/>
          <w:highlight w:val="none"/>
        </w:rPr>
        <w:fldChar w:fldCharType="begin"/>
      </w:r>
      <w:r>
        <w:rPr>
          <w:color w:val="auto"/>
          <w:highlight w:val="none"/>
        </w:rPr>
        <w:instrText xml:space="preserve"> PAGEREF _Toc69114258 \h </w:instrText>
      </w:r>
      <w:r>
        <w:rPr>
          <w:color w:val="auto"/>
          <w:highlight w:val="none"/>
        </w:rPr>
        <w:fldChar w:fldCharType="separate"/>
      </w:r>
      <w:r>
        <w:rPr>
          <w:color w:val="auto"/>
          <w:highlight w:val="none"/>
        </w:rPr>
        <w:t>640</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"_Toc69114259"</w:instrText>
      </w:r>
      <w:r>
        <w:rPr>
          <w:rStyle w:val="51"/>
          <w:color w:val="auto"/>
          <w:highlight w:val="none"/>
        </w:rPr>
        <w:instrText xml:space="preserve"> </w:instrText>
      </w:r>
      <w:r>
        <w:rPr>
          <w:color w:val="auto"/>
          <w:highlight w:val="none"/>
        </w:rPr>
        <w:fldChar w:fldCharType="separate"/>
      </w:r>
      <w:r>
        <w:rPr>
          <w:rStyle w:val="51"/>
          <w:color w:val="auto"/>
          <w:highlight w:val="none"/>
        </w:rPr>
        <w:t>4.8 系统设备安装</w:t>
      </w:r>
      <w:r>
        <w:rPr>
          <w:color w:val="auto"/>
          <w:highlight w:val="none"/>
        </w:rPr>
        <w:tab/>
      </w:r>
      <w:r>
        <w:rPr>
          <w:color w:val="auto"/>
          <w:highlight w:val="none"/>
        </w:rPr>
        <w:fldChar w:fldCharType="begin"/>
      </w:r>
      <w:r>
        <w:rPr>
          <w:color w:val="auto"/>
          <w:highlight w:val="none"/>
        </w:rPr>
        <w:instrText xml:space="preserve"> PAGEREF _Toc69114259 \h </w:instrText>
      </w:r>
      <w:r>
        <w:rPr>
          <w:color w:val="auto"/>
          <w:highlight w:val="none"/>
        </w:rPr>
        <w:fldChar w:fldCharType="separate"/>
      </w:r>
      <w:r>
        <w:rPr>
          <w:color w:val="auto"/>
          <w:highlight w:val="none"/>
        </w:rPr>
        <w:t>641</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"_Toc69114260"</w:instrText>
      </w:r>
      <w:r>
        <w:rPr>
          <w:rStyle w:val="51"/>
          <w:color w:val="auto"/>
          <w:highlight w:val="none"/>
        </w:rPr>
        <w:instrText xml:space="preserve"> </w:instrText>
      </w:r>
      <w:r>
        <w:rPr>
          <w:color w:val="auto"/>
          <w:highlight w:val="none"/>
        </w:rPr>
        <w:fldChar w:fldCharType="separate"/>
      </w:r>
      <w:r>
        <w:rPr>
          <w:rStyle w:val="51"/>
          <w:color w:val="auto"/>
          <w:highlight w:val="none"/>
        </w:rPr>
        <w:t>第5章  排水工程施工工艺流程和施工方法</w:t>
      </w:r>
      <w:r>
        <w:rPr>
          <w:color w:val="auto"/>
          <w:highlight w:val="none"/>
        </w:rPr>
        <w:tab/>
      </w:r>
      <w:r>
        <w:rPr>
          <w:color w:val="auto"/>
          <w:highlight w:val="none"/>
        </w:rPr>
        <w:fldChar w:fldCharType="begin"/>
      </w:r>
      <w:r>
        <w:rPr>
          <w:color w:val="auto"/>
          <w:highlight w:val="none"/>
        </w:rPr>
        <w:instrText xml:space="preserve"> PAGEREF _Toc69114260 \h </w:instrText>
      </w:r>
      <w:r>
        <w:rPr>
          <w:color w:val="auto"/>
          <w:highlight w:val="none"/>
        </w:rPr>
        <w:fldChar w:fldCharType="separate"/>
      </w:r>
      <w:r>
        <w:rPr>
          <w:color w:val="auto"/>
          <w:highlight w:val="none"/>
        </w:rPr>
        <w:t>641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"_Toc69114261"</w:instrText>
      </w:r>
      <w:r>
        <w:rPr>
          <w:rStyle w:val="51"/>
          <w:color w:val="auto"/>
          <w:highlight w:val="none"/>
        </w:rPr>
        <w:instrText xml:space="preserve"> </w:instrText>
      </w:r>
      <w:r>
        <w:rPr>
          <w:color w:val="auto"/>
          <w:highlight w:val="none"/>
        </w:rPr>
        <w:fldChar w:fldCharType="separate"/>
      </w:r>
      <w:r>
        <w:rPr>
          <w:rStyle w:val="51"/>
          <w:color w:val="auto"/>
          <w:highlight w:val="none"/>
        </w:rPr>
        <w:t>5.1 施工工艺流程</w:t>
      </w:r>
      <w:r>
        <w:rPr>
          <w:color w:val="auto"/>
          <w:highlight w:val="none"/>
        </w:rPr>
        <w:tab/>
      </w:r>
      <w:r>
        <w:rPr>
          <w:color w:val="auto"/>
          <w:highlight w:val="none"/>
        </w:rPr>
        <w:fldChar w:fldCharType="begin"/>
      </w:r>
      <w:r>
        <w:rPr>
          <w:color w:val="auto"/>
          <w:highlight w:val="none"/>
        </w:rPr>
        <w:instrText xml:space="preserve"> PAGEREF _Toc69114261 \h </w:instrText>
      </w:r>
      <w:r>
        <w:rPr>
          <w:color w:val="auto"/>
          <w:highlight w:val="none"/>
        </w:rPr>
        <w:fldChar w:fldCharType="separate"/>
      </w:r>
      <w:r>
        <w:rPr>
          <w:color w:val="auto"/>
          <w:highlight w:val="none"/>
        </w:rPr>
        <w:t>641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"_Toc69114262"</w:instrText>
      </w:r>
      <w:r>
        <w:rPr>
          <w:rStyle w:val="51"/>
          <w:color w:val="auto"/>
          <w:highlight w:val="none"/>
        </w:rPr>
        <w:instrText xml:space="preserve"> </w:instrText>
      </w:r>
      <w:r>
        <w:rPr>
          <w:color w:val="auto"/>
          <w:highlight w:val="none"/>
        </w:rPr>
        <w:fldChar w:fldCharType="separate"/>
      </w:r>
      <w:r>
        <w:rPr>
          <w:rStyle w:val="51"/>
          <w:rFonts w:ascii="宋体" w:hAnsi="Courier New"/>
          <w:color w:val="auto"/>
          <w:highlight w:val="none"/>
        </w:rPr>
        <w:t>5.2 开挖沟槽</w:t>
      </w:r>
      <w:r>
        <w:rPr>
          <w:color w:val="auto"/>
          <w:highlight w:val="none"/>
        </w:rPr>
        <w:tab/>
      </w:r>
      <w:r>
        <w:rPr>
          <w:color w:val="auto"/>
          <w:highlight w:val="none"/>
        </w:rPr>
        <w:fldChar w:fldCharType="begin"/>
      </w:r>
      <w:r>
        <w:rPr>
          <w:color w:val="auto"/>
          <w:highlight w:val="none"/>
        </w:rPr>
        <w:instrText xml:space="preserve"> PAGEREF _Toc69114262 \h </w:instrText>
      </w:r>
      <w:r>
        <w:rPr>
          <w:color w:val="auto"/>
          <w:highlight w:val="none"/>
        </w:rPr>
        <w:fldChar w:fldCharType="separate"/>
      </w:r>
      <w:r>
        <w:rPr>
          <w:color w:val="auto"/>
          <w:highlight w:val="none"/>
        </w:rPr>
        <w:t>641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"_Toc69114263"</w:instrText>
      </w:r>
      <w:r>
        <w:rPr>
          <w:rStyle w:val="51"/>
          <w:color w:val="auto"/>
          <w:highlight w:val="none"/>
        </w:rPr>
        <w:instrText xml:space="preserve"> </w:instrText>
      </w:r>
      <w:r>
        <w:rPr>
          <w:color w:val="auto"/>
          <w:highlight w:val="none"/>
        </w:rPr>
        <w:fldChar w:fldCharType="separate"/>
      </w:r>
      <w:r>
        <w:rPr>
          <w:rStyle w:val="51"/>
          <w:color w:val="auto"/>
          <w:highlight w:val="none"/>
        </w:rPr>
        <w:t>5.3 铺设管道</w:t>
      </w:r>
      <w:r>
        <w:rPr>
          <w:color w:val="auto"/>
          <w:highlight w:val="none"/>
        </w:rPr>
        <w:tab/>
      </w:r>
      <w:r>
        <w:rPr>
          <w:color w:val="auto"/>
          <w:highlight w:val="none"/>
        </w:rPr>
        <w:fldChar w:fldCharType="begin"/>
      </w:r>
      <w:r>
        <w:rPr>
          <w:color w:val="auto"/>
          <w:highlight w:val="none"/>
        </w:rPr>
        <w:instrText xml:space="preserve"> PAGEREF _Toc69114263 \h </w:instrText>
      </w:r>
      <w:r>
        <w:rPr>
          <w:color w:val="auto"/>
          <w:highlight w:val="none"/>
        </w:rPr>
        <w:fldChar w:fldCharType="separate"/>
      </w:r>
      <w:r>
        <w:rPr>
          <w:color w:val="auto"/>
          <w:highlight w:val="none"/>
        </w:rPr>
        <w:t>642</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"_Toc69114264"</w:instrText>
      </w:r>
      <w:r>
        <w:rPr>
          <w:rStyle w:val="51"/>
          <w:color w:val="auto"/>
          <w:highlight w:val="none"/>
        </w:rPr>
        <w:instrText xml:space="preserve"> </w:instrText>
      </w:r>
      <w:r>
        <w:rPr>
          <w:color w:val="auto"/>
          <w:highlight w:val="none"/>
        </w:rPr>
        <w:fldChar w:fldCharType="separate"/>
      </w:r>
      <w:r>
        <w:rPr>
          <w:rStyle w:val="51"/>
          <w:color w:val="auto"/>
          <w:highlight w:val="none"/>
        </w:rPr>
        <w:t>第6章  电气工程施工工艺流程和施工方法</w:t>
      </w:r>
      <w:r>
        <w:rPr>
          <w:color w:val="auto"/>
          <w:highlight w:val="none"/>
        </w:rPr>
        <w:tab/>
      </w:r>
      <w:r>
        <w:rPr>
          <w:color w:val="auto"/>
          <w:highlight w:val="none"/>
        </w:rPr>
        <w:fldChar w:fldCharType="begin"/>
      </w:r>
      <w:r>
        <w:rPr>
          <w:color w:val="auto"/>
          <w:highlight w:val="none"/>
        </w:rPr>
        <w:instrText xml:space="preserve"> PAGEREF _Toc69114264 \h </w:instrText>
      </w:r>
      <w:r>
        <w:rPr>
          <w:color w:val="auto"/>
          <w:highlight w:val="none"/>
        </w:rPr>
        <w:fldChar w:fldCharType="separate"/>
      </w:r>
      <w:r>
        <w:rPr>
          <w:color w:val="auto"/>
          <w:highlight w:val="none"/>
        </w:rPr>
        <w:t>642</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"_Toc69114265"</w:instrText>
      </w:r>
      <w:r>
        <w:rPr>
          <w:rStyle w:val="51"/>
          <w:color w:val="auto"/>
          <w:highlight w:val="none"/>
        </w:rPr>
        <w:instrText xml:space="preserve"> </w:instrText>
      </w:r>
      <w:r>
        <w:rPr>
          <w:color w:val="auto"/>
          <w:highlight w:val="none"/>
        </w:rPr>
        <w:fldChar w:fldCharType="separate"/>
      </w:r>
      <w:r>
        <w:rPr>
          <w:rStyle w:val="51"/>
          <w:rFonts w:ascii="黑体"/>
          <w:color w:val="auto"/>
          <w:highlight w:val="none"/>
        </w:rPr>
        <w:t>6.1 施工前准备</w:t>
      </w:r>
      <w:r>
        <w:rPr>
          <w:color w:val="auto"/>
          <w:highlight w:val="none"/>
        </w:rPr>
        <w:tab/>
      </w:r>
      <w:r>
        <w:rPr>
          <w:color w:val="auto"/>
          <w:highlight w:val="none"/>
        </w:rPr>
        <w:fldChar w:fldCharType="begin"/>
      </w:r>
      <w:r>
        <w:rPr>
          <w:color w:val="auto"/>
          <w:highlight w:val="none"/>
        </w:rPr>
        <w:instrText xml:space="preserve"> PAGEREF _Toc69114265 \h </w:instrText>
      </w:r>
      <w:r>
        <w:rPr>
          <w:color w:val="auto"/>
          <w:highlight w:val="none"/>
        </w:rPr>
        <w:fldChar w:fldCharType="separate"/>
      </w:r>
      <w:r>
        <w:rPr>
          <w:color w:val="auto"/>
          <w:highlight w:val="none"/>
        </w:rPr>
        <w:t>642</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"_Toc69114266"</w:instrText>
      </w:r>
      <w:r>
        <w:rPr>
          <w:rStyle w:val="51"/>
          <w:color w:val="auto"/>
          <w:highlight w:val="none"/>
        </w:rPr>
        <w:instrText xml:space="preserve"> </w:instrText>
      </w:r>
      <w:r>
        <w:rPr>
          <w:color w:val="auto"/>
          <w:highlight w:val="none"/>
        </w:rPr>
        <w:fldChar w:fldCharType="separate"/>
      </w:r>
      <w:r>
        <w:rPr>
          <w:rStyle w:val="51"/>
          <w:color w:val="auto"/>
          <w:highlight w:val="none"/>
        </w:rPr>
        <w:t>6.2 电缆敷设</w:t>
      </w:r>
      <w:r>
        <w:rPr>
          <w:color w:val="auto"/>
          <w:highlight w:val="none"/>
        </w:rPr>
        <w:tab/>
      </w:r>
      <w:r>
        <w:rPr>
          <w:color w:val="auto"/>
          <w:highlight w:val="none"/>
        </w:rPr>
        <w:fldChar w:fldCharType="begin"/>
      </w:r>
      <w:r>
        <w:rPr>
          <w:color w:val="auto"/>
          <w:highlight w:val="none"/>
        </w:rPr>
        <w:instrText xml:space="preserve"> PAGEREF _Toc69114266 \h </w:instrText>
      </w:r>
      <w:r>
        <w:rPr>
          <w:color w:val="auto"/>
          <w:highlight w:val="none"/>
        </w:rPr>
        <w:fldChar w:fldCharType="separate"/>
      </w:r>
      <w:r>
        <w:rPr>
          <w:color w:val="auto"/>
          <w:highlight w:val="none"/>
        </w:rPr>
        <w:t>642</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"_Toc69114267"</w:instrText>
      </w:r>
      <w:r>
        <w:rPr>
          <w:rStyle w:val="51"/>
          <w:color w:val="auto"/>
          <w:highlight w:val="none"/>
        </w:rPr>
        <w:instrText xml:space="preserve"> </w:instrText>
      </w:r>
      <w:r>
        <w:rPr>
          <w:color w:val="auto"/>
          <w:highlight w:val="none"/>
        </w:rPr>
        <w:fldChar w:fldCharType="separate"/>
      </w:r>
      <w:r>
        <w:rPr>
          <w:rStyle w:val="51"/>
          <w:color w:val="auto"/>
          <w:highlight w:val="none"/>
        </w:rPr>
        <w:t>6.3 配电箱安装</w:t>
      </w:r>
      <w:r>
        <w:rPr>
          <w:color w:val="auto"/>
          <w:highlight w:val="none"/>
        </w:rPr>
        <w:tab/>
      </w:r>
      <w:r>
        <w:rPr>
          <w:color w:val="auto"/>
          <w:highlight w:val="none"/>
        </w:rPr>
        <w:fldChar w:fldCharType="begin"/>
      </w:r>
      <w:r>
        <w:rPr>
          <w:color w:val="auto"/>
          <w:highlight w:val="none"/>
        </w:rPr>
        <w:instrText xml:space="preserve"> PAGEREF _Toc69114267 \h </w:instrText>
      </w:r>
      <w:r>
        <w:rPr>
          <w:color w:val="auto"/>
          <w:highlight w:val="none"/>
        </w:rPr>
        <w:fldChar w:fldCharType="separate"/>
      </w:r>
      <w:r>
        <w:rPr>
          <w:color w:val="auto"/>
          <w:highlight w:val="none"/>
        </w:rPr>
        <w:t>644</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"_Toc69114268"</w:instrText>
      </w:r>
      <w:r>
        <w:rPr>
          <w:rStyle w:val="51"/>
          <w:color w:val="auto"/>
          <w:highlight w:val="none"/>
        </w:rPr>
        <w:instrText xml:space="preserve"> </w:instrText>
      </w:r>
      <w:r>
        <w:rPr>
          <w:color w:val="auto"/>
          <w:highlight w:val="none"/>
        </w:rPr>
        <w:fldChar w:fldCharType="separate"/>
      </w:r>
      <w:r>
        <w:rPr>
          <w:rStyle w:val="51"/>
          <w:color w:val="auto"/>
          <w:highlight w:val="none"/>
        </w:rPr>
        <w:t>6.4 灯具安装</w:t>
      </w:r>
      <w:r>
        <w:rPr>
          <w:color w:val="auto"/>
          <w:highlight w:val="none"/>
        </w:rPr>
        <w:tab/>
      </w:r>
      <w:r>
        <w:rPr>
          <w:color w:val="auto"/>
          <w:highlight w:val="none"/>
        </w:rPr>
        <w:fldChar w:fldCharType="begin"/>
      </w:r>
      <w:r>
        <w:rPr>
          <w:color w:val="auto"/>
          <w:highlight w:val="none"/>
        </w:rPr>
        <w:instrText xml:space="preserve"> PAGEREF _Toc69114268 \h </w:instrText>
      </w:r>
      <w:r>
        <w:rPr>
          <w:color w:val="auto"/>
          <w:highlight w:val="none"/>
        </w:rPr>
        <w:fldChar w:fldCharType="separate"/>
      </w:r>
      <w:r>
        <w:rPr>
          <w:color w:val="auto"/>
          <w:highlight w:val="none"/>
        </w:rPr>
        <w:t>645</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"_Toc69114269"</w:instrText>
      </w:r>
      <w:r>
        <w:rPr>
          <w:rStyle w:val="51"/>
          <w:color w:val="auto"/>
          <w:highlight w:val="none"/>
        </w:rPr>
        <w:instrText xml:space="preserve"> </w:instrText>
      </w:r>
      <w:r>
        <w:rPr>
          <w:color w:val="auto"/>
          <w:highlight w:val="none"/>
        </w:rPr>
        <w:fldChar w:fldCharType="separate"/>
      </w:r>
      <w:r>
        <w:rPr>
          <w:rStyle w:val="51"/>
          <w:color w:val="auto"/>
          <w:highlight w:val="none"/>
        </w:rPr>
        <w:t>6.5 电缆井的制作安装</w:t>
      </w:r>
      <w:r>
        <w:rPr>
          <w:color w:val="auto"/>
          <w:highlight w:val="none"/>
        </w:rPr>
        <w:tab/>
      </w:r>
      <w:r>
        <w:rPr>
          <w:color w:val="auto"/>
          <w:highlight w:val="none"/>
        </w:rPr>
        <w:fldChar w:fldCharType="begin"/>
      </w:r>
      <w:r>
        <w:rPr>
          <w:color w:val="auto"/>
          <w:highlight w:val="none"/>
        </w:rPr>
        <w:instrText xml:space="preserve"> PAGEREF _Toc69114269 \h </w:instrText>
      </w:r>
      <w:r>
        <w:rPr>
          <w:color w:val="auto"/>
          <w:highlight w:val="none"/>
        </w:rPr>
        <w:fldChar w:fldCharType="separate"/>
      </w:r>
      <w:r>
        <w:rPr>
          <w:color w:val="auto"/>
          <w:highlight w:val="none"/>
        </w:rPr>
        <w:t>646</w:t>
      </w:r>
      <w:r>
        <w:rPr>
          <w:color w:val="auto"/>
          <w:highlight w:val="none"/>
        </w:rPr>
        <w:fldChar w:fldCharType="end"/>
      </w:r>
      <w:r>
        <w:rPr>
          <w:color w:val="auto"/>
          <w:highlight w:val="none"/>
        </w:rPr>
        <w:fldChar w:fldCharType="end"/>
      </w:r>
    </w:p>
    <w:p>
      <w:pPr>
        <w:pStyle w:val="28"/>
        <w:tabs>
          <w:tab w:val="right" w:leader="dot" w:pos="9060"/>
        </w:tabs>
        <w:rPr>
          <w:rFonts w:ascii="等线" w:hAnsi="等线" w:eastAsia="等线" w:cs="Times New Roman"/>
          <w:b w:val="0"/>
          <w:bCs w:val="0"/>
          <w: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"_Toc69114270"</w:instrText>
      </w:r>
      <w:r>
        <w:rPr>
          <w:rStyle w:val="51"/>
          <w:color w:val="auto"/>
          <w:highlight w:val="none"/>
        </w:rPr>
        <w:instrText xml:space="preserve"> </w:instrText>
      </w:r>
      <w:r>
        <w:rPr>
          <w:color w:val="auto"/>
          <w:highlight w:val="none"/>
        </w:rPr>
        <w:fldChar w:fldCharType="separate"/>
      </w:r>
      <w:r>
        <w:rPr>
          <w:rStyle w:val="51"/>
          <w:color w:val="auto"/>
          <w:highlight w:val="none"/>
        </w:rPr>
        <w:t>第十部分  BIM工作要求</w:t>
      </w:r>
      <w:r>
        <w:rPr>
          <w:color w:val="auto"/>
          <w:highlight w:val="none"/>
        </w:rPr>
        <w:tab/>
      </w:r>
      <w:r>
        <w:rPr>
          <w:color w:val="auto"/>
          <w:highlight w:val="none"/>
        </w:rPr>
        <w:fldChar w:fldCharType="begin"/>
      </w:r>
      <w:r>
        <w:rPr>
          <w:color w:val="auto"/>
          <w:highlight w:val="none"/>
        </w:rPr>
        <w:instrText xml:space="preserve"> PAGEREF _Toc69114270 \h </w:instrText>
      </w:r>
      <w:r>
        <w:rPr>
          <w:color w:val="auto"/>
          <w:highlight w:val="none"/>
        </w:rPr>
        <w:fldChar w:fldCharType="separate"/>
      </w:r>
      <w:r>
        <w:rPr>
          <w:color w:val="auto"/>
          <w:highlight w:val="none"/>
        </w:rPr>
        <w:t>647</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"_Toc69114271"</w:instrText>
      </w:r>
      <w:r>
        <w:rPr>
          <w:rStyle w:val="51"/>
          <w:color w:val="auto"/>
          <w:highlight w:val="none"/>
        </w:rPr>
        <w:instrText xml:space="preserve"> </w:instrText>
      </w:r>
      <w:r>
        <w:rPr>
          <w:color w:val="auto"/>
          <w:highlight w:val="none"/>
        </w:rPr>
        <w:fldChar w:fldCharType="separate"/>
      </w:r>
      <w:r>
        <w:rPr>
          <w:rStyle w:val="51"/>
          <w:color w:val="auto"/>
          <w:highlight w:val="none"/>
        </w:rPr>
        <w:t>第1章  概述</w:t>
      </w:r>
      <w:r>
        <w:rPr>
          <w:color w:val="auto"/>
          <w:highlight w:val="none"/>
        </w:rPr>
        <w:tab/>
      </w:r>
      <w:r>
        <w:rPr>
          <w:color w:val="auto"/>
          <w:highlight w:val="none"/>
        </w:rPr>
        <w:fldChar w:fldCharType="begin"/>
      </w:r>
      <w:r>
        <w:rPr>
          <w:color w:val="auto"/>
          <w:highlight w:val="none"/>
        </w:rPr>
        <w:instrText xml:space="preserve"> PAGEREF _Toc69114271 \h </w:instrText>
      </w:r>
      <w:r>
        <w:rPr>
          <w:color w:val="auto"/>
          <w:highlight w:val="none"/>
        </w:rPr>
        <w:fldChar w:fldCharType="separate"/>
      </w:r>
      <w:r>
        <w:rPr>
          <w:color w:val="auto"/>
          <w:highlight w:val="none"/>
        </w:rPr>
        <w:t>648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"_Toc69114272"</w:instrText>
      </w:r>
      <w:r>
        <w:rPr>
          <w:rStyle w:val="51"/>
          <w:color w:val="auto"/>
          <w:highlight w:val="none"/>
        </w:rPr>
        <w:instrText xml:space="preserve"> </w:instrText>
      </w:r>
      <w:r>
        <w:rPr>
          <w:color w:val="auto"/>
          <w:highlight w:val="none"/>
        </w:rPr>
        <w:fldChar w:fldCharType="separate"/>
      </w:r>
      <w:r>
        <w:rPr>
          <w:rStyle w:val="51"/>
          <w:color w:val="auto"/>
          <w:highlight w:val="none"/>
        </w:rPr>
        <w:t>1.1 施工阶段BIM应用目的</w:t>
      </w:r>
      <w:r>
        <w:rPr>
          <w:color w:val="auto"/>
          <w:highlight w:val="none"/>
        </w:rPr>
        <w:tab/>
      </w:r>
      <w:r>
        <w:rPr>
          <w:color w:val="auto"/>
          <w:highlight w:val="none"/>
        </w:rPr>
        <w:fldChar w:fldCharType="begin"/>
      </w:r>
      <w:r>
        <w:rPr>
          <w:color w:val="auto"/>
          <w:highlight w:val="none"/>
        </w:rPr>
        <w:instrText xml:space="preserve"> PAGEREF _Toc69114272 \h </w:instrText>
      </w:r>
      <w:r>
        <w:rPr>
          <w:color w:val="auto"/>
          <w:highlight w:val="none"/>
        </w:rPr>
        <w:fldChar w:fldCharType="separate"/>
      </w:r>
      <w:r>
        <w:rPr>
          <w:color w:val="auto"/>
          <w:highlight w:val="none"/>
        </w:rPr>
        <w:t>648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"_Toc69114273"</w:instrText>
      </w:r>
      <w:r>
        <w:rPr>
          <w:rStyle w:val="51"/>
          <w:color w:val="auto"/>
          <w:highlight w:val="none"/>
        </w:rPr>
        <w:instrText xml:space="preserve"> </w:instrText>
      </w:r>
      <w:r>
        <w:rPr>
          <w:color w:val="auto"/>
          <w:highlight w:val="none"/>
        </w:rPr>
        <w:fldChar w:fldCharType="separate"/>
      </w:r>
      <w:r>
        <w:rPr>
          <w:rStyle w:val="51"/>
          <w:color w:val="auto"/>
          <w:highlight w:val="none"/>
        </w:rPr>
        <w:t>1.2 施工阶段BIM应用相关工作规范</w:t>
      </w:r>
      <w:r>
        <w:rPr>
          <w:color w:val="auto"/>
          <w:highlight w:val="none"/>
        </w:rPr>
        <w:tab/>
      </w:r>
      <w:r>
        <w:rPr>
          <w:color w:val="auto"/>
          <w:highlight w:val="none"/>
        </w:rPr>
        <w:fldChar w:fldCharType="begin"/>
      </w:r>
      <w:r>
        <w:rPr>
          <w:color w:val="auto"/>
          <w:highlight w:val="none"/>
        </w:rPr>
        <w:instrText xml:space="preserve"> PAGEREF _Toc69114273 \h </w:instrText>
      </w:r>
      <w:r>
        <w:rPr>
          <w:color w:val="auto"/>
          <w:highlight w:val="none"/>
        </w:rPr>
        <w:fldChar w:fldCharType="separate"/>
      </w:r>
      <w:r>
        <w:rPr>
          <w:color w:val="auto"/>
          <w:highlight w:val="none"/>
        </w:rPr>
        <w:t>648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"_Toc69114274"</w:instrText>
      </w:r>
      <w:r>
        <w:rPr>
          <w:rStyle w:val="51"/>
          <w:color w:val="auto"/>
          <w:highlight w:val="none"/>
        </w:rPr>
        <w:instrText xml:space="preserve"> </w:instrText>
      </w:r>
      <w:r>
        <w:rPr>
          <w:color w:val="auto"/>
          <w:highlight w:val="none"/>
        </w:rPr>
        <w:fldChar w:fldCharType="separate"/>
      </w:r>
      <w:r>
        <w:rPr>
          <w:rStyle w:val="51"/>
          <w:color w:val="auto"/>
          <w:highlight w:val="none"/>
        </w:rPr>
        <w:t>1.3 知识产权</w:t>
      </w:r>
      <w:r>
        <w:rPr>
          <w:color w:val="auto"/>
          <w:highlight w:val="none"/>
        </w:rPr>
        <w:tab/>
      </w:r>
      <w:r>
        <w:rPr>
          <w:color w:val="auto"/>
          <w:highlight w:val="none"/>
        </w:rPr>
        <w:fldChar w:fldCharType="begin"/>
      </w:r>
      <w:r>
        <w:rPr>
          <w:color w:val="auto"/>
          <w:highlight w:val="none"/>
        </w:rPr>
        <w:instrText xml:space="preserve"> PAGEREF _Toc69114274 \h </w:instrText>
      </w:r>
      <w:r>
        <w:rPr>
          <w:color w:val="auto"/>
          <w:highlight w:val="none"/>
        </w:rPr>
        <w:fldChar w:fldCharType="separate"/>
      </w:r>
      <w:r>
        <w:rPr>
          <w:color w:val="auto"/>
          <w:highlight w:val="none"/>
        </w:rPr>
        <w:t>648</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"_Toc69114275"</w:instrText>
      </w:r>
      <w:r>
        <w:rPr>
          <w:rStyle w:val="51"/>
          <w:color w:val="auto"/>
          <w:highlight w:val="none"/>
        </w:rPr>
        <w:instrText xml:space="preserve"> </w:instrText>
      </w:r>
      <w:r>
        <w:rPr>
          <w:color w:val="auto"/>
          <w:highlight w:val="none"/>
        </w:rPr>
        <w:fldChar w:fldCharType="separate"/>
      </w:r>
      <w:r>
        <w:rPr>
          <w:rStyle w:val="51"/>
          <w:color w:val="auto"/>
          <w:highlight w:val="none"/>
        </w:rPr>
        <w:t>第2章  施工阶段BIM工作基础条件</w:t>
      </w:r>
      <w:r>
        <w:rPr>
          <w:color w:val="auto"/>
          <w:highlight w:val="none"/>
        </w:rPr>
        <w:tab/>
      </w:r>
      <w:r>
        <w:rPr>
          <w:color w:val="auto"/>
          <w:highlight w:val="none"/>
        </w:rPr>
        <w:fldChar w:fldCharType="begin"/>
      </w:r>
      <w:r>
        <w:rPr>
          <w:color w:val="auto"/>
          <w:highlight w:val="none"/>
        </w:rPr>
        <w:instrText xml:space="preserve"> PAGEREF _Toc69114275 \h </w:instrText>
      </w:r>
      <w:r>
        <w:rPr>
          <w:color w:val="auto"/>
          <w:highlight w:val="none"/>
        </w:rPr>
        <w:fldChar w:fldCharType="separate"/>
      </w:r>
      <w:r>
        <w:rPr>
          <w:color w:val="auto"/>
          <w:highlight w:val="none"/>
        </w:rPr>
        <w:t>648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"_Toc69114276"</w:instrText>
      </w:r>
      <w:r>
        <w:rPr>
          <w:rStyle w:val="51"/>
          <w:color w:val="auto"/>
          <w:highlight w:val="none"/>
        </w:rPr>
        <w:instrText xml:space="preserve"> </w:instrText>
      </w:r>
      <w:r>
        <w:rPr>
          <w:color w:val="auto"/>
          <w:highlight w:val="none"/>
        </w:rPr>
        <w:fldChar w:fldCharType="separate"/>
      </w:r>
      <w:r>
        <w:rPr>
          <w:rStyle w:val="51"/>
          <w:color w:val="auto"/>
          <w:highlight w:val="none"/>
        </w:rPr>
        <w:t>2.1 承包人自行需要配置的应用环境</w:t>
      </w:r>
      <w:r>
        <w:rPr>
          <w:color w:val="auto"/>
          <w:highlight w:val="none"/>
        </w:rPr>
        <w:tab/>
      </w:r>
      <w:r>
        <w:rPr>
          <w:color w:val="auto"/>
          <w:highlight w:val="none"/>
        </w:rPr>
        <w:fldChar w:fldCharType="begin"/>
      </w:r>
      <w:r>
        <w:rPr>
          <w:color w:val="auto"/>
          <w:highlight w:val="none"/>
        </w:rPr>
        <w:instrText xml:space="preserve"> PAGEREF _Toc69114276 \h </w:instrText>
      </w:r>
      <w:r>
        <w:rPr>
          <w:color w:val="auto"/>
          <w:highlight w:val="none"/>
        </w:rPr>
        <w:fldChar w:fldCharType="separate"/>
      </w:r>
      <w:r>
        <w:rPr>
          <w:color w:val="auto"/>
          <w:highlight w:val="none"/>
        </w:rPr>
        <w:t>648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"_Toc69114277"</w:instrText>
      </w:r>
      <w:r>
        <w:rPr>
          <w:rStyle w:val="51"/>
          <w:color w:val="auto"/>
          <w:highlight w:val="none"/>
        </w:rPr>
        <w:instrText xml:space="preserve"> </w:instrText>
      </w:r>
      <w:r>
        <w:rPr>
          <w:color w:val="auto"/>
          <w:highlight w:val="none"/>
        </w:rPr>
        <w:fldChar w:fldCharType="separate"/>
      </w:r>
      <w:r>
        <w:rPr>
          <w:rStyle w:val="51"/>
          <w:color w:val="auto"/>
          <w:highlight w:val="none"/>
        </w:rPr>
        <w:t>2.2 招标人提供的BIM工作基础</w:t>
      </w:r>
      <w:r>
        <w:rPr>
          <w:color w:val="auto"/>
          <w:highlight w:val="none"/>
        </w:rPr>
        <w:tab/>
      </w:r>
      <w:r>
        <w:rPr>
          <w:color w:val="auto"/>
          <w:highlight w:val="none"/>
        </w:rPr>
        <w:fldChar w:fldCharType="begin"/>
      </w:r>
      <w:r>
        <w:rPr>
          <w:color w:val="auto"/>
          <w:highlight w:val="none"/>
        </w:rPr>
        <w:instrText xml:space="preserve"> PAGEREF _Toc69114277 \h </w:instrText>
      </w:r>
      <w:r>
        <w:rPr>
          <w:color w:val="auto"/>
          <w:highlight w:val="none"/>
        </w:rPr>
        <w:fldChar w:fldCharType="separate"/>
      </w:r>
      <w:r>
        <w:rPr>
          <w:color w:val="auto"/>
          <w:highlight w:val="none"/>
        </w:rPr>
        <w:t>650</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"_Toc69114278"</w:instrText>
      </w:r>
      <w:r>
        <w:rPr>
          <w:rStyle w:val="51"/>
          <w:color w:val="auto"/>
          <w:highlight w:val="none"/>
        </w:rPr>
        <w:instrText xml:space="preserve"> </w:instrText>
      </w:r>
      <w:r>
        <w:rPr>
          <w:color w:val="auto"/>
          <w:highlight w:val="none"/>
        </w:rPr>
        <w:fldChar w:fldCharType="separate"/>
      </w:r>
      <w:r>
        <w:rPr>
          <w:rStyle w:val="51"/>
          <w:color w:val="auto"/>
          <w:highlight w:val="none"/>
        </w:rPr>
        <w:t>第3章  施工总包BIM工作内容</w:t>
      </w:r>
      <w:r>
        <w:rPr>
          <w:color w:val="auto"/>
          <w:highlight w:val="none"/>
        </w:rPr>
        <w:tab/>
      </w:r>
      <w:r>
        <w:rPr>
          <w:color w:val="auto"/>
          <w:highlight w:val="none"/>
        </w:rPr>
        <w:fldChar w:fldCharType="begin"/>
      </w:r>
      <w:r>
        <w:rPr>
          <w:color w:val="auto"/>
          <w:highlight w:val="none"/>
        </w:rPr>
        <w:instrText xml:space="preserve"> PAGEREF _Toc69114278 \h </w:instrText>
      </w:r>
      <w:r>
        <w:rPr>
          <w:color w:val="auto"/>
          <w:highlight w:val="none"/>
        </w:rPr>
        <w:fldChar w:fldCharType="separate"/>
      </w:r>
      <w:r>
        <w:rPr>
          <w:color w:val="auto"/>
          <w:highlight w:val="none"/>
        </w:rPr>
        <w:t>651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"_Toc69114279"</w:instrText>
      </w:r>
      <w:r>
        <w:rPr>
          <w:rStyle w:val="51"/>
          <w:color w:val="auto"/>
          <w:highlight w:val="none"/>
        </w:rPr>
        <w:instrText xml:space="preserve"> </w:instrText>
      </w:r>
      <w:r>
        <w:rPr>
          <w:color w:val="auto"/>
          <w:highlight w:val="none"/>
        </w:rPr>
        <w:fldChar w:fldCharType="separate"/>
      </w:r>
      <w:r>
        <w:rPr>
          <w:rStyle w:val="51"/>
          <w:color w:val="auto"/>
          <w:highlight w:val="none"/>
        </w:rPr>
        <w:t>3.1 准备阶段BIM工作内容</w:t>
      </w:r>
      <w:r>
        <w:rPr>
          <w:color w:val="auto"/>
          <w:highlight w:val="none"/>
        </w:rPr>
        <w:tab/>
      </w:r>
      <w:r>
        <w:rPr>
          <w:color w:val="auto"/>
          <w:highlight w:val="none"/>
        </w:rPr>
        <w:fldChar w:fldCharType="begin"/>
      </w:r>
      <w:r>
        <w:rPr>
          <w:color w:val="auto"/>
          <w:highlight w:val="none"/>
        </w:rPr>
        <w:instrText xml:space="preserve"> PAGEREF _Toc69114279 \h </w:instrText>
      </w:r>
      <w:r>
        <w:rPr>
          <w:color w:val="auto"/>
          <w:highlight w:val="none"/>
        </w:rPr>
        <w:fldChar w:fldCharType="separate"/>
      </w:r>
      <w:r>
        <w:rPr>
          <w:color w:val="auto"/>
          <w:highlight w:val="none"/>
        </w:rPr>
        <w:t>651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"_Toc69114280"</w:instrText>
      </w:r>
      <w:r>
        <w:rPr>
          <w:rStyle w:val="51"/>
          <w:color w:val="auto"/>
          <w:highlight w:val="none"/>
        </w:rPr>
        <w:instrText xml:space="preserve"> </w:instrText>
      </w:r>
      <w:r>
        <w:rPr>
          <w:color w:val="auto"/>
          <w:highlight w:val="none"/>
        </w:rPr>
        <w:fldChar w:fldCharType="separate"/>
      </w:r>
      <w:r>
        <w:rPr>
          <w:rStyle w:val="51"/>
          <w:color w:val="auto"/>
          <w:highlight w:val="none"/>
        </w:rPr>
        <w:t>3.2  BIM实施阶段工作内容</w:t>
      </w:r>
      <w:r>
        <w:rPr>
          <w:color w:val="auto"/>
          <w:highlight w:val="none"/>
        </w:rPr>
        <w:tab/>
      </w:r>
      <w:r>
        <w:rPr>
          <w:color w:val="auto"/>
          <w:highlight w:val="none"/>
        </w:rPr>
        <w:fldChar w:fldCharType="begin"/>
      </w:r>
      <w:r>
        <w:rPr>
          <w:color w:val="auto"/>
          <w:highlight w:val="none"/>
        </w:rPr>
        <w:instrText xml:space="preserve"> PAGEREF _Toc69114280 \h </w:instrText>
      </w:r>
      <w:r>
        <w:rPr>
          <w:color w:val="auto"/>
          <w:highlight w:val="none"/>
        </w:rPr>
        <w:fldChar w:fldCharType="separate"/>
      </w:r>
      <w:r>
        <w:rPr>
          <w:color w:val="auto"/>
          <w:highlight w:val="none"/>
        </w:rPr>
        <w:t>651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"_Toc69114281"</w:instrText>
      </w:r>
      <w:r>
        <w:rPr>
          <w:rStyle w:val="51"/>
          <w:color w:val="auto"/>
          <w:highlight w:val="none"/>
        </w:rPr>
        <w:instrText xml:space="preserve"> </w:instrText>
      </w:r>
      <w:r>
        <w:rPr>
          <w:color w:val="auto"/>
          <w:highlight w:val="none"/>
        </w:rPr>
        <w:fldChar w:fldCharType="separate"/>
      </w:r>
      <w:r>
        <w:rPr>
          <w:rStyle w:val="51"/>
          <w:color w:val="auto"/>
          <w:highlight w:val="none"/>
        </w:rPr>
        <w:t>3.3  BIM实施进度要求</w:t>
      </w:r>
      <w:r>
        <w:rPr>
          <w:color w:val="auto"/>
          <w:highlight w:val="none"/>
        </w:rPr>
        <w:tab/>
      </w:r>
      <w:r>
        <w:rPr>
          <w:color w:val="auto"/>
          <w:highlight w:val="none"/>
        </w:rPr>
        <w:fldChar w:fldCharType="begin"/>
      </w:r>
      <w:r>
        <w:rPr>
          <w:color w:val="auto"/>
          <w:highlight w:val="none"/>
        </w:rPr>
        <w:instrText xml:space="preserve"> PAGEREF _Toc69114281 \h </w:instrText>
      </w:r>
      <w:r>
        <w:rPr>
          <w:color w:val="auto"/>
          <w:highlight w:val="none"/>
        </w:rPr>
        <w:fldChar w:fldCharType="separate"/>
      </w:r>
      <w:r>
        <w:rPr>
          <w:color w:val="auto"/>
          <w:highlight w:val="none"/>
        </w:rPr>
        <w:t>653</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"_Toc69114282"</w:instrText>
      </w:r>
      <w:r>
        <w:rPr>
          <w:rStyle w:val="51"/>
          <w:color w:val="auto"/>
          <w:highlight w:val="none"/>
        </w:rPr>
        <w:instrText xml:space="preserve"> </w:instrText>
      </w:r>
      <w:r>
        <w:rPr>
          <w:color w:val="auto"/>
          <w:highlight w:val="none"/>
        </w:rPr>
        <w:fldChar w:fldCharType="separate"/>
      </w:r>
      <w:r>
        <w:rPr>
          <w:rStyle w:val="51"/>
          <w:color w:val="auto"/>
          <w:highlight w:val="none"/>
        </w:rPr>
        <w:t>第4章  BIM模型成果交付内容</w:t>
      </w:r>
      <w:r>
        <w:rPr>
          <w:color w:val="auto"/>
          <w:highlight w:val="none"/>
        </w:rPr>
        <w:tab/>
      </w:r>
      <w:r>
        <w:rPr>
          <w:color w:val="auto"/>
          <w:highlight w:val="none"/>
        </w:rPr>
        <w:fldChar w:fldCharType="begin"/>
      </w:r>
      <w:r>
        <w:rPr>
          <w:color w:val="auto"/>
          <w:highlight w:val="none"/>
        </w:rPr>
        <w:instrText xml:space="preserve"> PAGEREF _Toc69114282 \h </w:instrText>
      </w:r>
      <w:r>
        <w:rPr>
          <w:color w:val="auto"/>
          <w:highlight w:val="none"/>
        </w:rPr>
        <w:fldChar w:fldCharType="separate"/>
      </w:r>
      <w:r>
        <w:rPr>
          <w:color w:val="auto"/>
          <w:highlight w:val="none"/>
        </w:rPr>
        <w:t>654</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"_Toc69114283"</w:instrText>
      </w:r>
      <w:r>
        <w:rPr>
          <w:rStyle w:val="51"/>
          <w:color w:val="auto"/>
          <w:highlight w:val="none"/>
        </w:rPr>
        <w:instrText xml:space="preserve"> </w:instrText>
      </w:r>
      <w:r>
        <w:rPr>
          <w:color w:val="auto"/>
          <w:highlight w:val="none"/>
        </w:rPr>
        <w:fldChar w:fldCharType="separate"/>
      </w:r>
      <w:r>
        <w:rPr>
          <w:rStyle w:val="51"/>
          <w:color w:val="auto"/>
          <w:highlight w:val="none"/>
        </w:rPr>
        <w:t>4.1  BIM成果的技术要求</w:t>
      </w:r>
      <w:r>
        <w:rPr>
          <w:color w:val="auto"/>
          <w:highlight w:val="none"/>
        </w:rPr>
        <w:tab/>
      </w:r>
      <w:r>
        <w:rPr>
          <w:color w:val="auto"/>
          <w:highlight w:val="none"/>
        </w:rPr>
        <w:fldChar w:fldCharType="begin"/>
      </w:r>
      <w:r>
        <w:rPr>
          <w:color w:val="auto"/>
          <w:highlight w:val="none"/>
        </w:rPr>
        <w:instrText xml:space="preserve"> PAGEREF _Toc69114283 \h </w:instrText>
      </w:r>
      <w:r>
        <w:rPr>
          <w:color w:val="auto"/>
          <w:highlight w:val="none"/>
        </w:rPr>
        <w:fldChar w:fldCharType="separate"/>
      </w:r>
      <w:r>
        <w:rPr>
          <w:color w:val="auto"/>
          <w:highlight w:val="none"/>
        </w:rPr>
        <w:t>654</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"_Toc69114284"</w:instrText>
      </w:r>
      <w:r>
        <w:rPr>
          <w:rStyle w:val="51"/>
          <w:color w:val="auto"/>
          <w:highlight w:val="none"/>
        </w:rPr>
        <w:instrText xml:space="preserve"> </w:instrText>
      </w:r>
      <w:r>
        <w:rPr>
          <w:color w:val="auto"/>
          <w:highlight w:val="none"/>
        </w:rPr>
        <w:fldChar w:fldCharType="separate"/>
      </w:r>
      <w:r>
        <w:rPr>
          <w:rStyle w:val="51"/>
          <w:color w:val="auto"/>
          <w:highlight w:val="none"/>
        </w:rPr>
        <w:t>4.2  BIM成果格式</w:t>
      </w:r>
      <w:r>
        <w:rPr>
          <w:color w:val="auto"/>
          <w:highlight w:val="none"/>
        </w:rPr>
        <w:tab/>
      </w:r>
      <w:r>
        <w:rPr>
          <w:color w:val="auto"/>
          <w:highlight w:val="none"/>
        </w:rPr>
        <w:fldChar w:fldCharType="begin"/>
      </w:r>
      <w:r>
        <w:rPr>
          <w:color w:val="auto"/>
          <w:highlight w:val="none"/>
        </w:rPr>
        <w:instrText xml:space="preserve"> PAGEREF _Toc69114284 \h </w:instrText>
      </w:r>
      <w:r>
        <w:rPr>
          <w:color w:val="auto"/>
          <w:highlight w:val="none"/>
        </w:rPr>
        <w:fldChar w:fldCharType="separate"/>
      </w:r>
      <w:r>
        <w:rPr>
          <w:color w:val="auto"/>
          <w:highlight w:val="none"/>
        </w:rPr>
        <w:t>654</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"_Toc69114285"</w:instrText>
      </w:r>
      <w:r>
        <w:rPr>
          <w:rStyle w:val="51"/>
          <w:color w:val="auto"/>
          <w:highlight w:val="none"/>
        </w:rPr>
        <w:instrText xml:space="preserve"> </w:instrText>
      </w:r>
      <w:r>
        <w:rPr>
          <w:color w:val="auto"/>
          <w:highlight w:val="none"/>
        </w:rPr>
        <w:fldChar w:fldCharType="separate"/>
      </w:r>
      <w:r>
        <w:rPr>
          <w:rStyle w:val="51"/>
          <w:color w:val="auto"/>
          <w:highlight w:val="none"/>
        </w:rPr>
        <w:t>4.3 施工阶段BIM应用成果</w:t>
      </w:r>
      <w:r>
        <w:rPr>
          <w:color w:val="auto"/>
          <w:highlight w:val="none"/>
        </w:rPr>
        <w:tab/>
      </w:r>
      <w:r>
        <w:rPr>
          <w:color w:val="auto"/>
          <w:highlight w:val="none"/>
        </w:rPr>
        <w:fldChar w:fldCharType="begin"/>
      </w:r>
      <w:r>
        <w:rPr>
          <w:color w:val="auto"/>
          <w:highlight w:val="none"/>
        </w:rPr>
        <w:instrText xml:space="preserve"> PAGEREF _Toc69114285 \h </w:instrText>
      </w:r>
      <w:r>
        <w:rPr>
          <w:color w:val="auto"/>
          <w:highlight w:val="none"/>
        </w:rPr>
        <w:fldChar w:fldCharType="separate"/>
      </w:r>
      <w:r>
        <w:rPr>
          <w:color w:val="auto"/>
          <w:highlight w:val="none"/>
        </w:rPr>
        <w:t>654</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"_Toc69114286"</w:instrText>
      </w:r>
      <w:r>
        <w:rPr>
          <w:rStyle w:val="51"/>
          <w:color w:val="auto"/>
          <w:highlight w:val="none"/>
        </w:rPr>
        <w:instrText xml:space="preserve"> </w:instrText>
      </w:r>
      <w:r>
        <w:rPr>
          <w:color w:val="auto"/>
          <w:highlight w:val="none"/>
        </w:rPr>
        <w:fldChar w:fldCharType="separate"/>
      </w:r>
      <w:r>
        <w:rPr>
          <w:rStyle w:val="51"/>
          <w:color w:val="auto"/>
          <w:highlight w:val="none"/>
        </w:rPr>
        <w:t>第5章  BIM工作及服务团队要求</w:t>
      </w:r>
      <w:r>
        <w:rPr>
          <w:color w:val="auto"/>
          <w:highlight w:val="none"/>
        </w:rPr>
        <w:tab/>
      </w:r>
      <w:r>
        <w:rPr>
          <w:color w:val="auto"/>
          <w:highlight w:val="none"/>
        </w:rPr>
        <w:fldChar w:fldCharType="begin"/>
      </w:r>
      <w:r>
        <w:rPr>
          <w:color w:val="auto"/>
          <w:highlight w:val="none"/>
        </w:rPr>
        <w:instrText xml:space="preserve"> PAGEREF _Toc69114286 \h </w:instrText>
      </w:r>
      <w:r>
        <w:rPr>
          <w:color w:val="auto"/>
          <w:highlight w:val="none"/>
        </w:rPr>
        <w:fldChar w:fldCharType="separate"/>
      </w:r>
      <w:r>
        <w:rPr>
          <w:color w:val="auto"/>
          <w:highlight w:val="none"/>
        </w:rPr>
        <w:t>655</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"_Toc69114287"</w:instrText>
      </w:r>
      <w:r>
        <w:rPr>
          <w:rStyle w:val="51"/>
          <w:color w:val="auto"/>
          <w:highlight w:val="none"/>
        </w:rPr>
        <w:instrText xml:space="preserve"> </w:instrText>
      </w:r>
      <w:r>
        <w:rPr>
          <w:color w:val="auto"/>
          <w:highlight w:val="none"/>
        </w:rPr>
        <w:fldChar w:fldCharType="separate"/>
      </w:r>
      <w:r>
        <w:rPr>
          <w:rStyle w:val="51"/>
          <w:color w:val="auto"/>
          <w:highlight w:val="none"/>
        </w:rPr>
        <w:t>5.1 建模及管理要求</w:t>
      </w:r>
      <w:r>
        <w:rPr>
          <w:color w:val="auto"/>
          <w:highlight w:val="none"/>
        </w:rPr>
        <w:tab/>
      </w:r>
      <w:r>
        <w:rPr>
          <w:color w:val="auto"/>
          <w:highlight w:val="none"/>
        </w:rPr>
        <w:fldChar w:fldCharType="begin"/>
      </w:r>
      <w:r>
        <w:rPr>
          <w:color w:val="auto"/>
          <w:highlight w:val="none"/>
        </w:rPr>
        <w:instrText xml:space="preserve"> PAGEREF _Toc69114287 \h </w:instrText>
      </w:r>
      <w:r>
        <w:rPr>
          <w:color w:val="auto"/>
          <w:highlight w:val="none"/>
        </w:rPr>
        <w:fldChar w:fldCharType="separate"/>
      </w:r>
      <w:r>
        <w:rPr>
          <w:color w:val="auto"/>
          <w:highlight w:val="none"/>
        </w:rPr>
        <w:t>655</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"_Toc69114288"</w:instrText>
      </w:r>
      <w:r>
        <w:rPr>
          <w:rStyle w:val="51"/>
          <w:color w:val="auto"/>
          <w:highlight w:val="none"/>
        </w:rPr>
        <w:instrText xml:space="preserve"> </w:instrText>
      </w:r>
      <w:r>
        <w:rPr>
          <w:color w:val="auto"/>
          <w:highlight w:val="none"/>
        </w:rPr>
        <w:fldChar w:fldCharType="separate"/>
      </w:r>
      <w:r>
        <w:rPr>
          <w:rStyle w:val="51"/>
          <w:color w:val="auto"/>
          <w:highlight w:val="none"/>
        </w:rPr>
        <w:t>5.2  BIM技术服务要求</w:t>
      </w:r>
      <w:r>
        <w:rPr>
          <w:color w:val="auto"/>
          <w:highlight w:val="none"/>
        </w:rPr>
        <w:tab/>
      </w:r>
      <w:r>
        <w:rPr>
          <w:color w:val="auto"/>
          <w:highlight w:val="none"/>
        </w:rPr>
        <w:fldChar w:fldCharType="begin"/>
      </w:r>
      <w:r>
        <w:rPr>
          <w:color w:val="auto"/>
          <w:highlight w:val="none"/>
        </w:rPr>
        <w:instrText xml:space="preserve"> PAGEREF _Toc69114288 \h </w:instrText>
      </w:r>
      <w:r>
        <w:rPr>
          <w:color w:val="auto"/>
          <w:highlight w:val="none"/>
        </w:rPr>
        <w:fldChar w:fldCharType="separate"/>
      </w:r>
      <w:r>
        <w:rPr>
          <w:color w:val="auto"/>
          <w:highlight w:val="none"/>
        </w:rPr>
        <w:t>659</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"_Toc69114289"</w:instrText>
      </w:r>
      <w:r>
        <w:rPr>
          <w:rStyle w:val="51"/>
          <w:color w:val="auto"/>
          <w:highlight w:val="none"/>
        </w:rPr>
        <w:instrText xml:space="preserve"> </w:instrText>
      </w:r>
      <w:r>
        <w:rPr>
          <w:color w:val="auto"/>
          <w:highlight w:val="none"/>
        </w:rPr>
        <w:fldChar w:fldCharType="separate"/>
      </w:r>
      <w:r>
        <w:rPr>
          <w:rStyle w:val="51"/>
          <w:color w:val="auto"/>
          <w:highlight w:val="none"/>
        </w:rPr>
        <w:t>5.3 技术团队要求</w:t>
      </w:r>
      <w:r>
        <w:rPr>
          <w:color w:val="auto"/>
          <w:highlight w:val="none"/>
        </w:rPr>
        <w:tab/>
      </w:r>
      <w:r>
        <w:rPr>
          <w:color w:val="auto"/>
          <w:highlight w:val="none"/>
        </w:rPr>
        <w:fldChar w:fldCharType="begin"/>
      </w:r>
      <w:r>
        <w:rPr>
          <w:color w:val="auto"/>
          <w:highlight w:val="none"/>
        </w:rPr>
        <w:instrText xml:space="preserve"> PAGEREF _Toc69114289 \h </w:instrText>
      </w:r>
      <w:r>
        <w:rPr>
          <w:color w:val="auto"/>
          <w:highlight w:val="none"/>
        </w:rPr>
        <w:fldChar w:fldCharType="separate"/>
      </w:r>
      <w:r>
        <w:rPr>
          <w:color w:val="auto"/>
          <w:highlight w:val="none"/>
        </w:rPr>
        <w:t>660</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"_Toc69114290"</w:instrText>
      </w:r>
      <w:r>
        <w:rPr>
          <w:rStyle w:val="51"/>
          <w:color w:val="auto"/>
          <w:highlight w:val="none"/>
        </w:rPr>
        <w:instrText xml:space="preserve"> </w:instrText>
      </w:r>
      <w:r>
        <w:rPr>
          <w:color w:val="auto"/>
          <w:highlight w:val="none"/>
        </w:rPr>
        <w:fldChar w:fldCharType="separate"/>
      </w:r>
      <w:r>
        <w:rPr>
          <w:rStyle w:val="51"/>
          <w:color w:val="auto"/>
          <w:highlight w:val="none"/>
        </w:rPr>
        <w:t>5.4 各专业BIM模型建模要求：</w:t>
      </w:r>
      <w:r>
        <w:rPr>
          <w:color w:val="auto"/>
          <w:highlight w:val="none"/>
        </w:rPr>
        <w:tab/>
      </w:r>
      <w:r>
        <w:rPr>
          <w:color w:val="auto"/>
          <w:highlight w:val="none"/>
        </w:rPr>
        <w:fldChar w:fldCharType="begin"/>
      </w:r>
      <w:r>
        <w:rPr>
          <w:color w:val="auto"/>
          <w:highlight w:val="none"/>
        </w:rPr>
        <w:instrText xml:space="preserve"> PAGEREF _Toc69114290 \h </w:instrText>
      </w:r>
      <w:r>
        <w:rPr>
          <w:color w:val="auto"/>
          <w:highlight w:val="none"/>
        </w:rPr>
        <w:fldChar w:fldCharType="separate"/>
      </w:r>
      <w:r>
        <w:rPr>
          <w:color w:val="auto"/>
          <w:highlight w:val="none"/>
        </w:rPr>
        <w:t>661</w:t>
      </w:r>
      <w:r>
        <w:rPr>
          <w:color w:val="auto"/>
          <w:highlight w:val="none"/>
        </w:rPr>
        <w:fldChar w:fldCharType="end"/>
      </w:r>
      <w:r>
        <w:rPr>
          <w:color w:val="auto"/>
          <w:highlight w:val="none"/>
        </w:rPr>
        <w:fldChar w:fldCharType="end"/>
      </w:r>
    </w:p>
    <w:p>
      <w:pPr>
        <w:pStyle w:val="28"/>
        <w:tabs>
          <w:tab w:val="right" w:leader="dot" w:pos="9060"/>
        </w:tabs>
        <w:rPr>
          <w:rFonts w:ascii="等线" w:hAnsi="等线" w:eastAsia="等线" w:cs="Times New Roman"/>
          <w:b w:val="0"/>
          <w:bCs w:val="0"/>
          <w: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"_Toc69114291"</w:instrText>
      </w:r>
      <w:r>
        <w:rPr>
          <w:rStyle w:val="51"/>
          <w:color w:val="auto"/>
          <w:highlight w:val="none"/>
        </w:rPr>
        <w:instrText xml:space="preserve"> </w:instrText>
      </w:r>
      <w:r>
        <w:rPr>
          <w:color w:val="auto"/>
          <w:highlight w:val="none"/>
        </w:rPr>
        <w:fldChar w:fldCharType="separate"/>
      </w:r>
      <w:r>
        <w:rPr>
          <w:rStyle w:val="51"/>
          <w:rFonts w:ascii="黑体" w:eastAsia="黑体"/>
          <w:color w:val="auto"/>
          <w:highlight w:val="none"/>
        </w:rPr>
        <w:t>补充合同条款</w:t>
      </w:r>
      <w:r>
        <w:rPr>
          <w:color w:val="auto"/>
          <w:highlight w:val="none"/>
        </w:rPr>
        <w:tab/>
      </w:r>
      <w:r>
        <w:rPr>
          <w:color w:val="auto"/>
          <w:highlight w:val="none"/>
        </w:rPr>
        <w:fldChar w:fldCharType="begin"/>
      </w:r>
      <w:r>
        <w:rPr>
          <w:color w:val="auto"/>
          <w:highlight w:val="none"/>
        </w:rPr>
        <w:instrText xml:space="preserve"> PAGEREF _Toc69114291 \h </w:instrText>
      </w:r>
      <w:r>
        <w:rPr>
          <w:color w:val="auto"/>
          <w:highlight w:val="none"/>
        </w:rPr>
        <w:fldChar w:fldCharType="separate"/>
      </w:r>
      <w:r>
        <w:rPr>
          <w:color w:val="auto"/>
          <w:highlight w:val="none"/>
        </w:rPr>
        <w:t>666</w:t>
      </w:r>
      <w:r>
        <w:rPr>
          <w:color w:val="auto"/>
          <w:highlight w:val="none"/>
        </w:rPr>
        <w:fldChar w:fldCharType="end"/>
      </w:r>
      <w:r>
        <w:rPr>
          <w:color w:val="auto"/>
          <w:highlight w:val="none"/>
        </w:rPr>
        <w:fldChar w:fldCharType="end"/>
      </w:r>
    </w:p>
    <w:p>
      <w:pPr>
        <w:pStyle w:val="28"/>
        <w:tabs>
          <w:tab w:val="right" w:leader="dot" w:pos="9060"/>
        </w:tabs>
        <w:rPr>
          <w:rFonts w:ascii="等线" w:hAnsi="等线" w:eastAsia="等线" w:cs="Times New Roman"/>
          <w:b w:val="0"/>
          <w:bCs w:val="0"/>
          <w: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"_Toc69114292"</w:instrText>
      </w:r>
      <w:r>
        <w:rPr>
          <w:rStyle w:val="51"/>
          <w:color w:val="auto"/>
          <w:highlight w:val="none"/>
        </w:rPr>
        <w:instrText xml:space="preserve"> </w:instrText>
      </w:r>
      <w:r>
        <w:rPr>
          <w:color w:val="auto"/>
          <w:highlight w:val="none"/>
        </w:rPr>
        <w:fldChar w:fldCharType="separate"/>
      </w:r>
      <w:r>
        <w:rPr>
          <w:rStyle w:val="51"/>
          <w:rFonts w:ascii="宋体" w:hAnsi="Times New Roman"/>
          <w:color w:val="auto"/>
          <w:highlight w:val="none"/>
        </w:rPr>
        <w:t>本补充合同条款由发包人根据项目具体情况相应调整，仅供参考。</w:t>
      </w:r>
      <w:r>
        <w:rPr>
          <w:color w:val="auto"/>
          <w:highlight w:val="none"/>
        </w:rPr>
        <w:tab/>
      </w:r>
      <w:r>
        <w:rPr>
          <w:color w:val="auto"/>
          <w:highlight w:val="none"/>
        </w:rPr>
        <w:fldChar w:fldCharType="begin"/>
      </w:r>
      <w:r>
        <w:rPr>
          <w:color w:val="auto"/>
          <w:highlight w:val="none"/>
        </w:rPr>
        <w:instrText xml:space="preserve"> PAGEREF _Toc69114292 \h </w:instrText>
      </w:r>
      <w:r>
        <w:rPr>
          <w:color w:val="auto"/>
          <w:highlight w:val="none"/>
        </w:rPr>
        <w:fldChar w:fldCharType="separate"/>
      </w:r>
      <w:r>
        <w:rPr>
          <w:color w:val="auto"/>
          <w:highlight w:val="none"/>
        </w:rPr>
        <w:t>666</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"_Toc69114293"</w:instrText>
      </w:r>
      <w:r>
        <w:rPr>
          <w:rStyle w:val="51"/>
          <w:color w:val="auto"/>
          <w:highlight w:val="none"/>
        </w:rPr>
        <w:instrText xml:space="preserve"> </w:instrText>
      </w:r>
      <w:r>
        <w:rPr>
          <w:color w:val="auto"/>
          <w:highlight w:val="none"/>
        </w:rPr>
        <w:fldChar w:fldCharType="separate"/>
      </w:r>
      <w:r>
        <w:rPr>
          <w:rStyle w:val="51"/>
          <w:rFonts w:ascii="宋体" w:hAnsi="宋体"/>
          <w:color w:val="auto"/>
          <w:highlight w:val="none"/>
        </w:rPr>
        <w:t>一、现状地形、地貌的确认</w:t>
      </w:r>
      <w:r>
        <w:rPr>
          <w:color w:val="auto"/>
          <w:highlight w:val="none"/>
        </w:rPr>
        <w:tab/>
      </w:r>
      <w:r>
        <w:rPr>
          <w:color w:val="auto"/>
          <w:highlight w:val="none"/>
        </w:rPr>
        <w:fldChar w:fldCharType="begin"/>
      </w:r>
      <w:r>
        <w:rPr>
          <w:color w:val="auto"/>
          <w:highlight w:val="none"/>
        </w:rPr>
        <w:instrText xml:space="preserve"> PAGEREF _Toc69114293 \h </w:instrText>
      </w:r>
      <w:r>
        <w:rPr>
          <w:color w:val="auto"/>
          <w:highlight w:val="none"/>
        </w:rPr>
        <w:fldChar w:fldCharType="separate"/>
      </w:r>
      <w:r>
        <w:rPr>
          <w:color w:val="auto"/>
          <w:highlight w:val="none"/>
        </w:rPr>
        <w:t>666</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"_Toc69114294"</w:instrText>
      </w:r>
      <w:r>
        <w:rPr>
          <w:rStyle w:val="51"/>
          <w:color w:val="auto"/>
          <w:highlight w:val="none"/>
        </w:rPr>
        <w:instrText xml:space="preserve"> </w:instrText>
      </w:r>
      <w:r>
        <w:rPr>
          <w:color w:val="auto"/>
          <w:highlight w:val="none"/>
        </w:rPr>
        <w:fldChar w:fldCharType="separate"/>
      </w:r>
      <w:r>
        <w:rPr>
          <w:rStyle w:val="51"/>
          <w:rFonts w:ascii="宋体" w:hAnsi="宋体"/>
          <w:color w:val="auto"/>
          <w:highlight w:val="none"/>
        </w:rPr>
        <w:t>二、工程量清单的补充说明</w:t>
      </w:r>
      <w:r>
        <w:rPr>
          <w:color w:val="auto"/>
          <w:highlight w:val="none"/>
        </w:rPr>
        <w:tab/>
      </w:r>
      <w:r>
        <w:rPr>
          <w:color w:val="auto"/>
          <w:highlight w:val="none"/>
        </w:rPr>
        <w:fldChar w:fldCharType="begin"/>
      </w:r>
      <w:r>
        <w:rPr>
          <w:color w:val="auto"/>
          <w:highlight w:val="none"/>
        </w:rPr>
        <w:instrText xml:space="preserve"> PAGEREF _Toc69114294 \h </w:instrText>
      </w:r>
      <w:r>
        <w:rPr>
          <w:color w:val="auto"/>
          <w:highlight w:val="none"/>
        </w:rPr>
        <w:fldChar w:fldCharType="separate"/>
      </w:r>
      <w:r>
        <w:rPr>
          <w:color w:val="auto"/>
          <w:highlight w:val="none"/>
        </w:rPr>
        <w:t>666</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"_Toc69114295"</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w:t>
      </w:r>
      <w:r>
        <w:rPr>
          <w:rStyle w:val="51"/>
          <w:rFonts w:ascii="宋体" w:hAnsi="宋体" w:cs="宋体"/>
          <w:b/>
          <w:bCs/>
          <w:color w:val="auto"/>
          <w:highlight w:val="none"/>
          <w:lang w:val="en-GB"/>
        </w:rPr>
        <w:t>、现场施工条件</w:t>
      </w:r>
      <w:r>
        <w:rPr>
          <w:color w:val="auto"/>
          <w:highlight w:val="none"/>
        </w:rPr>
        <w:tab/>
      </w:r>
      <w:r>
        <w:rPr>
          <w:color w:val="auto"/>
          <w:highlight w:val="none"/>
        </w:rPr>
        <w:fldChar w:fldCharType="begin"/>
      </w:r>
      <w:r>
        <w:rPr>
          <w:color w:val="auto"/>
          <w:highlight w:val="none"/>
        </w:rPr>
        <w:instrText xml:space="preserve"> PAGEREF _Toc69114295 \h </w:instrText>
      </w:r>
      <w:r>
        <w:rPr>
          <w:color w:val="auto"/>
          <w:highlight w:val="none"/>
        </w:rPr>
        <w:fldChar w:fldCharType="separate"/>
      </w:r>
      <w:r>
        <w:rPr>
          <w:color w:val="auto"/>
          <w:highlight w:val="none"/>
        </w:rPr>
        <w:t>666</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"_Toc69114296"</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2</w:t>
      </w:r>
      <w:r>
        <w:rPr>
          <w:rStyle w:val="51"/>
          <w:rFonts w:ascii="宋体" w:hAnsi="宋体" w:cs="宋体"/>
          <w:b/>
          <w:bCs/>
          <w:color w:val="auto"/>
          <w:highlight w:val="none"/>
          <w:lang w:val="en-GB"/>
        </w:rPr>
        <w:t>、余泥渣土运距及弃置费</w:t>
      </w:r>
      <w:r>
        <w:rPr>
          <w:color w:val="auto"/>
          <w:highlight w:val="none"/>
        </w:rPr>
        <w:tab/>
      </w:r>
      <w:r>
        <w:rPr>
          <w:color w:val="auto"/>
          <w:highlight w:val="none"/>
        </w:rPr>
        <w:fldChar w:fldCharType="begin"/>
      </w:r>
      <w:r>
        <w:rPr>
          <w:color w:val="auto"/>
          <w:highlight w:val="none"/>
        </w:rPr>
        <w:instrText xml:space="preserve"> PAGEREF _Toc69114296 \h </w:instrText>
      </w:r>
      <w:r>
        <w:rPr>
          <w:color w:val="auto"/>
          <w:highlight w:val="none"/>
        </w:rPr>
        <w:fldChar w:fldCharType="separate"/>
      </w:r>
      <w:r>
        <w:rPr>
          <w:color w:val="auto"/>
          <w:highlight w:val="none"/>
        </w:rPr>
        <w:t>666</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"_Toc69114297"</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3</w:t>
      </w:r>
      <w:r>
        <w:rPr>
          <w:rStyle w:val="51"/>
          <w:rFonts w:ascii="宋体" w:hAnsi="宋体" w:cs="宋体"/>
          <w:b/>
          <w:bCs/>
          <w:color w:val="auto"/>
          <w:highlight w:val="none"/>
          <w:lang w:val="en-GB"/>
        </w:rPr>
        <w:t>、拆除工程计价规定</w:t>
      </w:r>
      <w:r>
        <w:rPr>
          <w:color w:val="auto"/>
          <w:highlight w:val="none"/>
        </w:rPr>
        <w:tab/>
      </w:r>
      <w:r>
        <w:rPr>
          <w:color w:val="auto"/>
          <w:highlight w:val="none"/>
        </w:rPr>
        <w:fldChar w:fldCharType="begin"/>
      </w:r>
      <w:r>
        <w:rPr>
          <w:color w:val="auto"/>
          <w:highlight w:val="none"/>
        </w:rPr>
        <w:instrText xml:space="preserve"> PAGEREF _Toc69114297 \h </w:instrText>
      </w:r>
      <w:r>
        <w:rPr>
          <w:color w:val="auto"/>
          <w:highlight w:val="none"/>
        </w:rPr>
        <w:fldChar w:fldCharType="separate"/>
      </w:r>
      <w:r>
        <w:rPr>
          <w:color w:val="auto"/>
          <w:highlight w:val="none"/>
        </w:rPr>
        <w:t>667</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"_Toc69114298"</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4</w:t>
      </w:r>
      <w:r>
        <w:rPr>
          <w:rStyle w:val="51"/>
          <w:rFonts w:ascii="宋体" w:hAnsi="宋体" w:cs="宋体"/>
          <w:b/>
          <w:bCs/>
          <w:color w:val="auto"/>
          <w:highlight w:val="none"/>
          <w:lang w:val="en-GB"/>
        </w:rPr>
        <w:t>、措施项目清单的补充说明</w:t>
      </w:r>
      <w:r>
        <w:rPr>
          <w:color w:val="auto"/>
          <w:highlight w:val="none"/>
        </w:rPr>
        <w:tab/>
      </w:r>
      <w:r>
        <w:rPr>
          <w:color w:val="auto"/>
          <w:highlight w:val="none"/>
        </w:rPr>
        <w:fldChar w:fldCharType="begin"/>
      </w:r>
      <w:r>
        <w:rPr>
          <w:color w:val="auto"/>
          <w:highlight w:val="none"/>
        </w:rPr>
        <w:instrText xml:space="preserve"> PAGEREF _Toc69114298 \h </w:instrText>
      </w:r>
      <w:r>
        <w:rPr>
          <w:color w:val="auto"/>
          <w:highlight w:val="none"/>
        </w:rPr>
        <w:fldChar w:fldCharType="separate"/>
      </w:r>
      <w:r>
        <w:rPr>
          <w:color w:val="auto"/>
          <w:highlight w:val="none"/>
        </w:rPr>
        <w:t>667</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"_Toc69114299"</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5</w:t>
      </w:r>
      <w:r>
        <w:rPr>
          <w:rStyle w:val="51"/>
          <w:rFonts w:ascii="宋体" w:hAnsi="宋体" w:cs="宋体"/>
          <w:b/>
          <w:bCs/>
          <w:color w:val="auto"/>
          <w:highlight w:val="none"/>
          <w:lang w:val="en-GB"/>
        </w:rPr>
        <w:t>. 视频监控系统</w:t>
      </w:r>
      <w:r>
        <w:rPr>
          <w:color w:val="auto"/>
          <w:highlight w:val="none"/>
        </w:rPr>
        <w:tab/>
      </w:r>
      <w:r>
        <w:rPr>
          <w:color w:val="auto"/>
          <w:highlight w:val="none"/>
        </w:rPr>
        <w:fldChar w:fldCharType="begin"/>
      </w:r>
      <w:r>
        <w:rPr>
          <w:color w:val="auto"/>
          <w:highlight w:val="none"/>
        </w:rPr>
        <w:instrText xml:space="preserve"> PAGEREF _Toc69114299 \h </w:instrText>
      </w:r>
      <w:r>
        <w:rPr>
          <w:color w:val="auto"/>
          <w:highlight w:val="none"/>
        </w:rPr>
        <w:fldChar w:fldCharType="separate"/>
      </w:r>
      <w:r>
        <w:rPr>
          <w:color w:val="auto"/>
          <w:highlight w:val="none"/>
        </w:rPr>
        <w:t>670</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"_Toc69114300"</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6</w:t>
      </w:r>
      <w:r>
        <w:rPr>
          <w:rStyle w:val="51"/>
          <w:rFonts w:ascii="宋体" w:hAnsi="宋体" w:cs="宋体"/>
          <w:b/>
          <w:bCs/>
          <w:color w:val="auto"/>
          <w:highlight w:val="none"/>
          <w:lang w:val="en-GB"/>
        </w:rPr>
        <w:t>、</w:t>
      </w:r>
      <w:r>
        <w:rPr>
          <w:rStyle w:val="51"/>
          <w:rFonts w:ascii="宋体" w:hAnsi="宋体" w:cs="宋体"/>
          <w:b/>
          <w:bCs/>
          <w:color w:val="auto"/>
          <w:highlight w:val="none"/>
        </w:rPr>
        <w:t>厂拌水泥石粉渣（碎石）运距、钢构件运距、成品预制构件运距</w:t>
      </w:r>
      <w:r>
        <w:rPr>
          <w:color w:val="auto"/>
          <w:highlight w:val="none"/>
        </w:rPr>
        <w:tab/>
      </w:r>
      <w:r>
        <w:rPr>
          <w:color w:val="auto"/>
          <w:highlight w:val="none"/>
        </w:rPr>
        <w:fldChar w:fldCharType="begin"/>
      </w:r>
      <w:r>
        <w:rPr>
          <w:color w:val="auto"/>
          <w:highlight w:val="none"/>
        </w:rPr>
        <w:instrText xml:space="preserve"> PAGEREF _Toc69114300 \h </w:instrText>
      </w:r>
      <w:r>
        <w:rPr>
          <w:color w:val="auto"/>
          <w:highlight w:val="none"/>
        </w:rPr>
        <w:fldChar w:fldCharType="separate"/>
      </w:r>
      <w:r>
        <w:rPr>
          <w:color w:val="auto"/>
          <w:highlight w:val="none"/>
        </w:rPr>
        <w:t>671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"_Toc69114301"</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7、树木迁移</w:t>
      </w:r>
      <w:r>
        <w:rPr>
          <w:color w:val="auto"/>
          <w:highlight w:val="none"/>
        </w:rPr>
        <w:tab/>
      </w:r>
      <w:r>
        <w:rPr>
          <w:color w:val="auto"/>
          <w:highlight w:val="none"/>
        </w:rPr>
        <w:fldChar w:fldCharType="begin"/>
      </w:r>
      <w:r>
        <w:rPr>
          <w:color w:val="auto"/>
          <w:highlight w:val="none"/>
        </w:rPr>
        <w:instrText xml:space="preserve"> PAGEREF _Toc69114301 \h </w:instrText>
      </w:r>
      <w:r>
        <w:rPr>
          <w:color w:val="auto"/>
          <w:highlight w:val="none"/>
        </w:rPr>
        <w:fldChar w:fldCharType="separate"/>
      </w:r>
      <w:r>
        <w:rPr>
          <w:color w:val="auto"/>
          <w:highlight w:val="none"/>
        </w:rPr>
        <w:t>671</w:t>
      </w:r>
      <w:r>
        <w:rPr>
          <w:color w:val="auto"/>
          <w:highlight w:val="none"/>
        </w:rPr>
        <w:fldChar w:fldCharType="end"/>
      </w:r>
      <w:r>
        <w:rPr>
          <w:color w:val="auto"/>
          <w:highlight w:val="none"/>
        </w:rPr>
        <w:fldChar w:fldCharType="end"/>
      </w:r>
    </w:p>
    <w:p>
      <w:pPr>
        <w:pStyle w:val="35"/>
        <w:tabs>
          <w:tab w:val="right" w:leader="dot" w:pos="9060"/>
        </w:tabs>
        <w:rPr>
          <w:rFonts w:ascii="等线" w:hAnsi="等线" w:eastAsia="等线" w:cs="Times New Roman"/>
          <w:smallCap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"_Toc69114302"</w:instrText>
      </w:r>
      <w:r>
        <w:rPr>
          <w:rStyle w:val="51"/>
          <w:color w:val="auto"/>
          <w:highlight w:val="none"/>
        </w:rPr>
        <w:instrText xml:space="preserve"> </w:instrText>
      </w:r>
      <w:r>
        <w:rPr>
          <w:color w:val="auto"/>
          <w:highlight w:val="none"/>
        </w:rPr>
        <w:fldChar w:fldCharType="separate"/>
      </w:r>
      <w:r>
        <w:rPr>
          <w:rStyle w:val="51"/>
          <w:b/>
          <w:bCs/>
          <w:color w:val="auto"/>
          <w:highlight w:val="none"/>
        </w:rPr>
        <w:t>三、工程管理的补充说明</w:t>
      </w:r>
      <w:r>
        <w:rPr>
          <w:color w:val="auto"/>
          <w:highlight w:val="none"/>
        </w:rPr>
        <w:tab/>
      </w:r>
      <w:r>
        <w:rPr>
          <w:color w:val="auto"/>
          <w:highlight w:val="none"/>
        </w:rPr>
        <w:fldChar w:fldCharType="begin"/>
      </w:r>
      <w:r>
        <w:rPr>
          <w:color w:val="auto"/>
          <w:highlight w:val="none"/>
        </w:rPr>
        <w:instrText xml:space="preserve"> PAGEREF _Toc69114302 \h </w:instrText>
      </w:r>
      <w:r>
        <w:rPr>
          <w:color w:val="auto"/>
          <w:highlight w:val="none"/>
        </w:rPr>
        <w:fldChar w:fldCharType="separate"/>
      </w:r>
      <w:r>
        <w:rPr>
          <w:color w:val="auto"/>
          <w:highlight w:val="none"/>
        </w:rPr>
        <w:t>671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"_Toc69114303"</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1、劳务队伍“工匠”要求</w:t>
      </w:r>
      <w:r>
        <w:rPr>
          <w:color w:val="auto"/>
          <w:highlight w:val="none"/>
        </w:rPr>
        <w:tab/>
      </w:r>
      <w:r>
        <w:rPr>
          <w:color w:val="auto"/>
          <w:highlight w:val="none"/>
        </w:rPr>
        <w:fldChar w:fldCharType="begin"/>
      </w:r>
      <w:r>
        <w:rPr>
          <w:color w:val="auto"/>
          <w:highlight w:val="none"/>
        </w:rPr>
        <w:instrText xml:space="preserve"> PAGEREF _Toc69114303 \h </w:instrText>
      </w:r>
      <w:r>
        <w:rPr>
          <w:color w:val="auto"/>
          <w:highlight w:val="none"/>
        </w:rPr>
        <w:fldChar w:fldCharType="separate"/>
      </w:r>
      <w:r>
        <w:rPr>
          <w:color w:val="auto"/>
          <w:highlight w:val="none"/>
        </w:rPr>
        <w:t>671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"_Toc69114304"</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2、承包人对设计的建议权</w:t>
      </w:r>
      <w:r>
        <w:rPr>
          <w:color w:val="auto"/>
          <w:highlight w:val="none"/>
        </w:rPr>
        <w:tab/>
      </w:r>
      <w:r>
        <w:rPr>
          <w:color w:val="auto"/>
          <w:highlight w:val="none"/>
        </w:rPr>
        <w:fldChar w:fldCharType="begin"/>
      </w:r>
      <w:r>
        <w:rPr>
          <w:color w:val="auto"/>
          <w:highlight w:val="none"/>
        </w:rPr>
        <w:instrText xml:space="preserve"> PAGEREF _Toc69114304 \h </w:instrText>
      </w:r>
      <w:r>
        <w:rPr>
          <w:color w:val="auto"/>
          <w:highlight w:val="none"/>
        </w:rPr>
        <w:fldChar w:fldCharType="separate"/>
      </w:r>
      <w:r>
        <w:rPr>
          <w:color w:val="auto"/>
          <w:highlight w:val="none"/>
        </w:rPr>
        <w:t>672</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"_Toc69114305"</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3、信访维稳</w:t>
      </w:r>
      <w:r>
        <w:rPr>
          <w:color w:val="auto"/>
          <w:highlight w:val="none"/>
        </w:rPr>
        <w:tab/>
      </w:r>
      <w:r>
        <w:rPr>
          <w:color w:val="auto"/>
          <w:highlight w:val="none"/>
        </w:rPr>
        <w:fldChar w:fldCharType="begin"/>
      </w:r>
      <w:r>
        <w:rPr>
          <w:color w:val="auto"/>
          <w:highlight w:val="none"/>
        </w:rPr>
        <w:instrText xml:space="preserve"> PAGEREF _Toc69114305 \h </w:instrText>
      </w:r>
      <w:r>
        <w:rPr>
          <w:color w:val="auto"/>
          <w:highlight w:val="none"/>
        </w:rPr>
        <w:fldChar w:fldCharType="separate"/>
      </w:r>
      <w:r>
        <w:rPr>
          <w:color w:val="auto"/>
          <w:highlight w:val="none"/>
        </w:rPr>
        <w:t>673</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"_Toc69114306"</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4、扫黑除恶</w:t>
      </w:r>
      <w:r>
        <w:rPr>
          <w:color w:val="auto"/>
          <w:highlight w:val="none"/>
        </w:rPr>
        <w:tab/>
      </w:r>
      <w:r>
        <w:rPr>
          <w:color w:val="auto"/>
          <w:highlight w:val="none"/>
        </w:rPr>
        <w:fldChar w:fldCharType="begin"/>
      </w:r>
      <w:r>
        <w:rPr>
          <w:color w:val="auto"/>
          <w:highlight w:val="none"/>
        </w:rPr>
        <w:instrText xml:space="preserve"> PAGEREF _Toc69114306 \h </w:instrText>
      </w:r>
      <w:r>
        <w:rPr>
          <w:color w:val="auto"/>
          <w:highlight w:val="none"/>
        </w:rPr>
        <w:fldChar w:fldCharType="separate"/>
      </w:r>
      <w:r>
        <w:rPr>
          <w:color w:val="auto"/>
          <w:highlight w:val="none"/>
        </w:rPr>
        <w:t>673</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"_Toc69114307"</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5、黄泥水问题</w:t>
      </w:r>
      <w:r>
        <w:rPr>
          <w:color w:val="auto"/>
          <w:highlight w:val="none"/>
        </w:rPr>
        <w:tab/>
      </w:r>
      <w:r>
        <w:rPr>
          <w:color w:val="auto"/>
          <w:highlight w:val="none"/>
        </w:rPr>
        <w:fldChar w:fldCharType="begin"/>
      </w:r>
      <w:r>
        <w:rPr>
          <w:color w:val="auto"/>
          <w:highlight w:val="none"/>
        </w:rPr>
        <w:instrText xml:space="preserve"> PAGEREF _Toc69114307 \h </w:instrText>
      </w:r>
      <w:r>
        <w:rPr>
          <w:color w:val="auto"/>
          <w:highlight w:val="none"/>
        </w:rPr>
        <w:fldChar w:fldCharType="separate"/>
      </w:r>
      <w:r>
        <w:rPr>
          <w:color w:val="auto"/>
          <w:highlight w:val="none"/>
        </w:rPr>
        <w:t>673</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"_Toc69114308"</w:instrText>
      </w:r>
      <w:r>
        <w:rPr>
          <w:rStyle w:val="51"/>
          <w:color w:val="auto"/>
          <w:highlight w:val="none"/>
        </w:rPr>
        <w:instrText xml:space="preserve"> </w:instrText>
      </w:r>
      <w:r>
        <w:rPr>
          <w:color w:val="auto"/>
          <w:highlight w:val="none"/>
        </w:rPr>
        <w:fldChar w:fldCharType="separate"/>
      </w:r>
      <w:r>
        <w:rPr>
          <w:rStyle w:val="51"/>
          <w:rFonts w:ascii="宋体" w:hAnsi="宋体" w:cs="宋体"/>
          <w:b/>
          <w:bCs/>
          <w:color w:val="auto"/>
          <w:highlight w:val="none"/>
        </w:rPr>
        <w:t>6</w:t>
      </w:r>
      <w:r>
        <w:rPr>
          <w:rStyle w:val="51"/>
          <w:rFonts w:ascii="宋体" w:hAnsi="宋体" w:cs="宋体"/>
          <w:b/>
          <w:bCs/>
          <w:color w:val="auto"/>
          <w:highlight w:val="none"/>
          <w:lang w:val="en-GB"/>
        </w:rPr>
        <w:t>、商品砼、预拌砂浆</w:t>
      </w:r>
      <w:r>
        <w:rPr>
          <w:color w:val="auto"/>
          <w:highlight w:val="none"/>
        </w:rPr>
        <w:tab/>
      </w:r>
      <w:r>
        <w:rPr>
          <w:color w:val="auto"/>
          <w:highlight w:val="none"/>
        </w:rPr>
        <w:fldChar w:fldCharType="begin"/>
      </w:r>
      <w:r>
        <w:rPr>
          <w:color w:val="auto"/>
          <w:highlight w:val="none"/>
        </w:rPr>
        <w:instrText xml:space="preserve"> PAGEREF _Toc69114308 \h </w:instrText>
      </w:r>
      <w:r>
        <w:rPr>
          <w:color w:val="auto"/>
          <w:highlight w:val="none"/>
        </w:rPr>
        <w:fldChar w:fldCharType="separate"/>
      </w:r>
      <w:r>
        <w:rPr>
          <w:color w:val="auto"/>
          <w:highlight w:val="none"/>
        </w:rPr>
        <w:t>673</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"_Toc69114309"</w:instrText>
      </w:r>
      <w:r>
        <w:rPr>
          <w:rStyle w:val="51"/>
          <w:color w:val="auto"/>
          <w:highlight w:val="none"/>
        </w:rPr>
        <w:instrText xml:space="preserve"> </w:instrText>
      </w:r>
      <w:r>
        <w:rPr>
          <w:color w:val="auto"/>
          <w:highlight w:val="none"/>
        </w:rPr>
        <w:fldChar w:fldCharType="separate"/>
      </w:r>
      <w:r>
        <w:rPr>
          <w:rStyle w:val="51"/>
          <w:rFonts w:ascii="宋体" w:hAnsi="宋体"/>
          <w:b/>
          <w:bCs/>
          <w:color w:val="auto"/>
          <w:highlight w:val="none"/>
        </w:rPr>
        <w:t>7</w:t>
      </w:r>
      <w:r>
        <w:rPr>
          <w:rStyle w:val="51"/>
          <w:rFonts w:ascii="宋体" w:hAnsi="宋体"/>
          <w:b/>
          <w:bCs/>
          <w:color w:val="auto"/>
          <w:highlight w:val="none"/>
          <w:lang w:val="en-GB"/>
        </w:rPr>
        <w:t>、劳务</w:t>
      </w:r>
      <w:r>
        <w:rPr>
          <w:color w:val="auto"/>
          <w:highlight w:val="none"/>
        </w:rPr>
        <w:tab/>
      </w:r>
      <w:r>
        <w:rPr>
          <w:color w:val="auto"/>
          <w:highlight w:val="none"/>
        </w:rPr>
        <w:fldChar w:fldCharType="begin"/>
      </w:r>
      <w:r>
        <w:rPr>
          <w:color w:val="auto"/>
          <w:highlight w:val="none"/>
        </w:rPr>
        <w:instrText xml:space="preserve"> PAGEREF _Toc69114309 \h </w:instrText>
      </w:r>
      <w:r>
        <w:rPr>
          <w:color w:val="auto"/>
          <w:highlight w:val="none"/>
        </w:rPr>
        <w:fldChar w:fldCharType="separate"/>
      </w:r>
      <w:r>
        <w:rPr>
          <w:color w:val="auto"/>
          <w:highlight w:val="none"/>
        </w:rPr>
        <w:t>674</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"_Toc69114310"</w:instrText>
      </w:r>
      <w:r>
        <w:rPr>
          <w:rStyle w:val="51"/>
          <w:color w:val="auto"/>
          <w:highlight w:val="none"/>
        </w:rPr>
        <w:instrText xml:space="preserve"> </w:instrText>
      </w:r>
      <w:r>
        <w:rPr>
          <w:color w:val="auto"/>
          <w:highlight w:val="none"/>
        </w:rPr>
        <w:fldChar w:fldCharType="separate"/>
      </w:r>
      <w:r>
        <w:rPr>
          <w:rStyle w:val="51"/>
          <w:rFonts w:ascii="宋体" w:hAnsi="宋体"/>
          <w:b/>
          <w:bCs/>
          <w:color w:val="auto"/>
          <w:highlight w:val="none"/>
        </w:rPr>
        <w:t>8、征地拆迁的配合</w:t>
      </w:r>
      <w:r>
        <w:rPr>
          <w:color w:val="auto"/>
          <w:highlight w:val="none"/>
        </w:rPr>
        <w:tab/>
      </w:r>
      <w:r>
        <w:rPr>
          <w:color w:val="auto"/>
          <w:highlight w:val="none"/>
        </w:rPr>
        <w:fldChar w:fldCharType="begin"/>
      </w:r>
      <w:r>
        <w:rPr>
          <w:color w:val="auto"/>
          <w:highlight w:val="none"/>
        </w:rPr>
        <w:instrText xml:space="preserve"> PAGEREF _Toc69114310 \h </w:instrText>
      </w:r>
      <w:r>
        <w:rPr>
          <w:color w:val="auto"/>
          <w:highlight w:val="none"/>
        </w:rPr>
        <w:fldChar w:fldCharType="separate"/>
      </w:r>
      <w:r>
        <w:rPr>
          <w:color w:val="auto"/>
          <w:highlight w:val="none"/>
        </w:rPr>
        <w:t>676</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"_Toc69114311"</w:instrText>
      </w:r>
      <w:r>
        <w:rPr>
          <w:rStyle w:val="51"/>
          <w:color w:val="auto"/>
          <w:highlight w:val="none"/>
        </w:rPr>
        <w:instrText xml:space="preserve"> </w:instrText>
      </w:r>
      <w:r>
        <w:rPr>
          <w:color w:val="auto"/>
          <w:highlight w:val="none"/>
        </w:rPr>
        <w:fldChar w:fldCharType="separate"/>
      </w:r>
      <w:r>
        <w:rPr>
          <w:rStyle w:val="51"/>
          <w:rFonts w:ascii="宋体" w:hAnsi="宋体"/>
          <w:b/>
          <w:bCs/>
          <w:color w:val="auto"/>
          <w:highlight w:val="none"/>
        </w:rPr>
        <w:t>9</w:t>
      </w:r>
      <w:r>
        <w:rPr>
          <w:rStyle w:val="51"/>
          <w:rFonts w:ascii="宋体" w:hAnsi="宋体"/>
          <w:b/>
          <w:bCs/>
          <w:color w:val="auto"/>
          <w:highlight w:val="none"/>
          <w:lang w:val="en-GB"/>
        </w:rPr>
        <w:t>、临时设施和临时承力工程的安全管理</w:t>
      </w:r>
      <w:r>
        <w:rPr>
          <w:color w:val="auto"/>
          <w:highlight w:val="none"/>
        </w:rPr>
        <w:tab/>
      </w:r>
      <w:r>
        <w:rPr>
          <w:color w:val="auto"/>
          <w:highlight w:val="none"/>
        </w:rPr>
        <w:fldChar w:fldCharType="begin"/>
      </w:r>
      <w:r>
        <w:rPr>
          <w:color w:val="auto"/>
          <w:highlight w:val="none"/>
        </w:rPr>
        <w:instrText xml:space="preserve"> PAGEREF _Toc69114311 \h </w:instrText>
      </w:r>
      <w:r>
        <w:rPr>
          <w:color w:val="auto"/>
          <w:highlight w:val="none"/>
        </w:rPr>
        <w:fldChar w:fldCharType="separate"/>
      </w:r>
      <w:r>
        <w:rPr>
          <w:color w:val="auto"/>
          <w:highlight w:val="none"/>
        </w:rPr>
        <w:t>676</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"_Toc69114312"</w:instrText>
      </w:r>
      <w:r>
        <w:rPr>
          <w:rStyle w:val="51"/>
          <w:color w:val="auto"/>
          <w:highlight w:val="none"/>
        </w:rPr>
        <w:instrText xml:space="preserve"> </w:instrText>
      </w:r>
      <w:r>
        <w:rPr>
          <w:color w:val="auto"/>
          <w:highlight w:val="none"/>
        </w:rPr>
        <w:fldChar w:fldCharType="separate"/>
      </w:r>
      <w:r>
        <w:rPr>
          <w:rStyle w:val="51"/>
          <w:rFonts w:ascii="宋体" w:hAnsi="宋体"/>
          <w:b/>
          <w:bCs/>
          <w:color w:val="auto"/>
          <w:highlight w:val="none"/>
        </w:rPr>
        <w:t>10、</w:t>
      </w:r>
      <w:r>
        <w:rPr>
          <w:rStyle w:val="51"/>
          <w:rFonts w:ascii="宋体" w:hAnsi="宋体"/>
          <w:b/>
          <w:bCs/>
          <w:color w:val="auto"/>
          <w:highlight w:val="none"/>
          <w:lang w:val="en-GB"/>
        </w:rPr>
        <w:t>土石方取用</w:t>
      </w:r>
      <w:r>
        <w:rPr>
          <w:color w:val="auto"/>
          <w:highlight w:val="none"/>
        </w:rPr>
        <w:tab/>
      </w:r>
      <w:r>
        <w:rPr>
          <w:color w:val="auto"/>
          <w:highlight w:val="none"/>
        </w:rPr>
        <w:fldChar w:fldCharType="begin"/>
      </w:r>
      <w:r>
        <w:rPr>
          <w:color w:val="auto"/>
          <w:highlight w:val="none"/>
        </w:rPr>
        <w:instrText xml:space="preserve"> PAGEREF _Toc69114312 \h </w:instrText>
      </w:r>
      <w:r>
        <w:rPr>
          <w:color w:val="auto"/>
          <w:highlight w:val="none"/>
        </w:rPr>
        <w:fldChar w:fldCharType="separate"/>
      </w:r>
      <w:r>
        <w:rPr>
          <w:color w:val="auto"/>
          <w:highlight w:val="none"/>
        </w:rPr>
        <w:t>676</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"_Toc69114313"</w:instrText>
      </w:r>
      <w:r>
        <w:rPr>
          <w:rStyle w:val="51"/>
          <w:color w:val="auto"/>
          <w:highlight w:val="none"/>
        </w:rPr>
        <w:instrText xml:space="preserve"> </w:instrText>
      </w:r>
      <w:r>
        <w:rPr>
          <w:color w:val="auto"/>
          <w:highlight w:val="none"/>
        </w:rPr>
        <w:fldChar w:fldCharType="separate"/>
      </w:r>
      <w:r>
        <w:rPr>
          <w:rStyle w:val="51"/>
          <w:rFonts w:ascii="宋体" w:hAnsi="宋体"/>
          <w:b/>
          <w:bCs/>
          <w:color w:val="auto"/>
          <w:highlight w:val="none"/>
        </w:rPr>
        <w:t>11</w:t>
      </w:r>
      <w:r>
        <w:rPr>
          <w:rStyle w:val="51"/>
          <w:rFonts w:ascii="宋体" w:hAnsi="宋体"/>
          <w:b/>
          <w:bCs/>
          <w:color w:val="auto"/>
          <w:highlight w:val="none"/>
          <w:lang w:val="en-GB"/>
        </w:rPr>
        <w:t>、沥青砼</w:t>
      </w:r>
      <w:r>
        <w:rPr>
          <w:color w:val="auto"/>
          <w:highlight w:val="none"/>
        </w:rPr>
        <w:tab/>
      </w:r>
      <w:r>
        <w:rPr>
          <w:color w:val="auto"/>
          <w:highlight w:val="none"/>
        </w:rPr>
        <w:fldChar w:fldCharType="begin"/>
      </w:r>
      <w:r>
        <w:rPr>
          <w:color w:val="auto"/>
          <w:highlight w:val="none"/>
        </w:rPr>
        <w:instrText xml:space="preserve"> PAGEREF _Toc69114313 \h </w:instrText>
      </w:r>
      <w:r>
        <w:rPr>
          <w:color w:val="auto"/>
          <w:highlight w:val="none"/>
        </w:rPr>
        <w:fldChar w:fldCharType="separate"/>
      </w:r>
      <w:r>
        <w:rPr>
          <w:color w:val="auto"/>
          <w:highlight w:val="none"/>
        </w:rPr>
        <w:t>677</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"_Toc69114314"</w:instrText>
      </w:r>
      <w:r>
        <w:rPr>
          <w:rStyle w:val="51"/>
          <w:color w:val="auto"/>
          <w:highlight w:val="none"/>
        </w:rPr>
        <w:instrText xml:space="preserve"> </w:instrText>
      </w:r>
      <w:r>
        <w:rPr>
          <w:color w:val="auto"/>
          <w:highlight w:val="none"/>
        </w:rPr>
        <w:fldChar w:fldCharType="separate"/>
      </w:r>
      <w:r>
        <w:rPr>
          <w:rStyle w:val="51"/>
          <w:rFonts w:ascii="宋体" w:hAnsi="宋体"/>
          <w:b/>
          <w:bCs/>
          <w:color w:val="auto"/>
          <w:highlight w:val="none"/>
        </w:rPr>
        <w:t>12</w:t>
      </w:r>
      <w:r>
        <w:rPr>
          <w:rStyle w:val="51"/>
          <w:rFonts w:ascii="宋体" w:hAnsi="宋体"/>
          <w:b/>
          <w:bCs/>
          <w:color w:val="auto"/>
          <w:highlight w:val="none"/>
          <w:lang w:val="en-GB"/>
        </w:rPr>
        <w:t>、承包人提供材料样板的约定</w:t>
      </w:r>
      <w:r>
        <w:rPr>
          <w:color w:val="auto"/>
          <w:highlight w:val="none"/>
        </w:rPr>
        <w:tab/>
      </w:r>
      <w:r>
        <w:rPr>
          <w:color w:val="auto"/>
          <w:highlight w:val="none"/>
        </w:rPr>
        <w:fldChar w:fldCharType="begin"/>
      </w:r>
      <w:r>
        <w:rPr>
          <w:color w:val="auto"/>
          <w:highlight w:val="none"/>
        </w:rPr>
        <w:instrText xml:space="preserve"> PAGEREF _Toc69114314 \h </w:instrText>
      </w:r>
      <w:r>
        <w:rPr>
          <w:color w:val="auto"/>
          <w:highlight w:val="none"/>
        </w:rPr>
        <w:fldChar w:fldCharType="separate"/>
      </w:r>
      <w:r>
        <w:rPr>
          <w:color w:val="auto"/>
          <w:highlight w:val="none"/>
        </w:rPr>
        <w:t>678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"_Toc69114315"</w:instrText>
      </w:r>
      <w:r>
        <w:rPr>
          <w:rStyle w:val="51"/>
          <w:color w:val="auto"/>
          <w:highlight w:val="none"/>
        </w:rPr>
        <w:instrText xml:space="preserve"> </w:instrText>
      </w:r>
      <w:r>
        <w:rPr>
          <w:color w:val="auto"/>
          <w:highlight w:val="none"/>
        </w:rPr>
        <w:fldChar w:fldCharType="separate"/>
      </w:r>
      <w:r>
        <w:rPr>
          <w:rStyle w:val="51"/>
          <w:rFonts w:ascii="宋体" w:hAnsi="宋体"/>
          <w:b/>
          <w:bCs/>
          <w:color w:val="auto"/>
          <w:highlight w:val="none"/>
          <w:lang w:val="en-GB"/>
        </w:rPr>
        <w:t>1</w:t>
      </w:r>
      <w:r>
        <w:rPr>
          <w:rStyle w:val="51"/>
          <w:rFonts w:ascii="宋体" w:hAnsi="宋体"/>
          <w:b/>
          <w:bCs/>
          <w:color w:val="auto"/>
          <w:highlight w:val="none"/>
        </w:rPr>
        <w:t>3</w:t>
      </w:r>
      <w:r>
        <w:rPr>
          <w:rStyle w:val="51"/>
          <w:rFonts w:ascii="宋体" w:hAnsi="宋体"/>
          <w:b/>
          <w:bCs/>
          <w:color w:val="auto"/>
          <w:highlight w:val="none"/>
          <w:lang w:val="en-GB"/>
        </w:rPr>
        <w:t>、工程质量及安全生产管理违约金及奖励金规定</w:t>
      </w:r>
      <w:r>
        <w:rPr>
          <w:color w:val="auto"/>
          <w:highlight w:val="none"/>
        </w:rPr>
        <w:tab/>
      </w:r>
      <w:r>
        <w:rPr>
          <w:color w:val="auto"/>
          <w:highlight w:val="none"/>
        </w:rPr>
        <w:fldChar w:fldCharType="begin"/>
      </w:r>
      <w:r>
        <w:rPr>
          <w:color w:val="auto"/>
          <w:highlight w:val="none"/>
        </w:rPr>
        <w:instrText xml:space="preserve"> PAGEREF _Toc69114315 \h </w:instrText>
      </w:r>
      <w:r>
        <w:rPr>
          <w:color w:val="auto"/>
          <w:highlight w:val="none"/>
        </w:rPr>
        <w:fldChar w:fldCharType="separate"/>
      </w:r>
      <w:r>
        <w:rPr>
          <w:color w:val="auto"/>
          <w:highlight w:val="none"/>
        </w:rPr>
        <w:t>678</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"_Toc69114316"</w:instrText>
      </w:r>
      <w:r>
        <w:rPr>
          <w:rStyle w:val="51"/>
          <w:color w:val="auto"/>
          <w:highlight w:val="none"/>
        </w:rPr>
        <w:instrText xml:space="preserve"> </w:instrText>
      </w:r>
      <w:r>
        <w:rPr>
          <w:color w:val="auto"/>
          <w:highlight w:val="none"/>
        </w:rPr>
        <w:fldChar w:fldCharType="separate"/>
      </w:r>
      <w:r>
        <w:rPr>
          <w:rStyle w:val="51"/>
          <w:rFonts w:ascii="宋体" w:hAnsi="宋体"/>
          <w:b/>
          <w:bCs/>
          <w:color w:val="auto"/>
          <w:highlight w:val="none"/>
        </w:rPr>
        <w:t>14</w:t>
      </w:r>
      <w:r>
        <w:rPr>
          <w:rStyle w:val="51"/>
          <w:rFonts w:ascii="宋体" w:hAnsi="宋体"/>
          <w:b/>
          <w:bCs/>
          <w:color w:val="auto"/>
          <w:highlight w:val="none"/>
          <w:lang w:val="en-GB"/>
        </w:rPr>
        <w:t>、施工围挡</w:t>
      </w:r>
      <w:r>
        <w:rPr>
          <w:color w:val="auto"/>
          <w:highlight w:val="none"/>
        </w:rPr>
        <w:tab/>
      </w:r>
      <w:r>
        <w:rPr>
          <w:color w:val="auto"/>
          <w:highlight w:val="none"/>
        </w:rPr>
        <w:fldChar w:fldCharType="begin"/>
      </w:r>
      <w:r>
        <w:rPr>
          <w:color w:val="auto"/>
          <w:highlight w:val="none"/>
        </w:rPr>
        <w:instrText xml:space="preserve"> PAGEREF _Toc69114316 \h </w:instrText>
      </w:r>
      <w:r>
        <w:rPr>
          <w:color w:val="auto"/>
          <w:highlight w:val="none"/>
        </w:rPr>
        <w:fldChar w:fldCharType="separate"/>
      </w:r>
      <w:r>
        <w:rPr>
          <w:color w:val="auto"/>
          <w:highlight w:val="none"/>
        </w:rPr>
        <w:t>680</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"_Toc69114317"</w:instrText>
      </w:r>
      <w:r>
        <w:rPr>
          <w:rStyle w:val="51"/>
          <w:color w:val="auto"/>
          <w:highlight w:val="none"/>
        </w:rPr>
        <w:instrText xml:space="preserve"> </w:instrText>
      </w:r>
      <w:r>
        <w:rPr>
          <w:color w:val="auto"/>
          <w:highlight w:val="none"/>
        </w:rPr>
        <w:fldChar w:fldCharType="separate"/>
      </w:r>
      <w:r>
        <w:rPr>
          <w:rStyle w:val="51"/>
          <w:rFonts w:ascii="宋体" w:hAnsi="宋体"/>
          <w:b/>
          <w:bCs/>
          <w:color w:val="auto"/>
          <w:highlight w:val="none"/>
        </w:rPr>
        <w:t>15</w:t>
      </w:r>
      <w:r>
        <w:rPr>
          <w:rStyle w:val="51"/>
          <w:rFonts w:ascii="宋体" w:hAnsi="宋体"/>
          <w:b/>
          <w:bCs/>
          <w:color w:val="auto"/>
          <w:highlight w:val="none"/>
          <w:lang w:val="en-GB"/>
        </w:rPr>
        <w:t>、土石方二次倒运</w:t>
      </w:r>
      <w:r>
        <w:rPr>
          <w:color w:val="auto"/>
          <w:highlight w:val="none"/>
        </w:rPr>
        <w:tab/>
      </w:r>
      <w:r>
        <w:rPr>
          <w:color w:val="auto"/>
          <w:highlight w:val="none"/>
        </w:rPr>
        <w:fldChar w:fldCharType="begin"/>
      </w:r>
      <w:r>
        <w:rPr>
          <w:color w:val="auto"/>
          <w:highlight w:val="none"/>
        </w:rPr>
        <w:instrText xml:space="preserve"> PAGEREF _Toc69114317 \h </w:instrText>
      </w:r>
      <w:r>
        <w:rPr>
          <w:color w:val="auto"/>
          <w:highlight w:val="none"/>
        </w:rPr>
        <w:fldChar w:fldCharType="separate"/>
      </w:r>
      <w:r>
        <w:rPr>
          <w:color w:val="auto"/>
          <w:highlight w:val="none"/>
        </w:rPr>
        <w:t>681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"_Toc69114318"</w:instrText>
      </w:r>
      <w:r>
        <w:rPr>
          <w:rStyle w:val="51"/>
          <w:color w:val="auto"/>
          <w:highlight w:val="none"/>
        </w:rPr>
        <w:instrText xml:space="preserve"> </w:instrText>
      </w:r>
      <w:r>
        <w:rPr>
          <w:color w:val="auto"/>
          <w:highlight w:val="none"/>
        </w:rPr>
        <w:fldChar w:fldCharType="separate"/>
      </w:r>
      <w:r>
        <w:rPr>
          <w:rStyle w:val="51"/>
          <w:rFonts w:ascii="宋体" w:hAnsi="宋体"/>
          <w:b/>
          <w:bCs/>
          <w:color w:val="auto"/>
          <w:highlight w:val="none"/>
        </w:rPr>
        <w:t>16、建筑材料、设备、苗木</w:t>
      </w:r>
      <w:r>
        <w:rPr>
          <w:color w:val="auto"/>
          <w:highlight w:val="none"/>
        </w:rPr>
        <w:tab/>
      </w:r>
      <w:r>
        <w:rPr>
          <w:color w:val="auto"/>
          <w:highlight w:val="none"/>
        </w:rPr>
        <w:fldChar w:fldCharType="begin"/>
      </w:r>
      <w:r>
        <w:rPr>
          <w:color w:val="auto"/>
          <w:highlight w:val="none"/>
        </w:rPr>
        <w:instrText xml:space="preserve"> PAGEREF _Toc69114318 \h </w:instrText>
      </w:r>
      <w:r>
        <w:rPr>
          <w:color w:val="auto"/>
          <w:highlight w:val="none"/>
        </w:rPr>
        <w:fldChar w:fldCharType="separate"/>
      </w:r>
      <w:r>
        <w:rPr>
          <w:color w:val="auto"/>
          <w:highlight w:val="none"/>
        </w:rPr>
        <w:t>681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"_Toc69114319"</w:instrText>
      </w:r>
      <w:r>
        <w:rPr>
          <w:rStyle w:val="51"/>
          <w:color w:val="auto"/>
          <w:highlight w:val="none"/>
        </w:rPr>
        <w:instrText xml:space="preserve"> </w:instrText>
      </w:r>
      <w:r>
        <w:rPr>
          <w:color w:val="auto"/>
          <w:highlight w:val="none"/>
        </w:rPr>
        <w:fldChar w:fldCharType="separate"/>
      </w:r>
      <w:r>
        <w:rPr>
          <w:rStyle w:val="51"/>
          <w:rFonts w:ascii="宋体" w:hAnsi="宋体"/>
          <w:b/>
          <w:bCs/>
          <w:color w:val="auto"/>
          <w:highlight w:val="none"/>
        </w:rPr>
        <w:t>17、“深圳蓝”可持续行动</w:t>
      </w:r>
      <w:r>
        <w:rPr>
          <w:color w:val="auto"/>
          <w:highlight w:val="none"/>
        </w:rPr>
        <w:tab/>
      </w:r>
      <w:r>
        <w:rPr>
          <w:color w:val="auto"/>
          <w:highlight w:val="none"/>
        </w:rPr>
        <w:fldChar w:fldCharType="begin"/>
      </w:r>
      <w:r>
        <w:rPr>
          <w:color w:val="auto"/>
          <w:highlight w:val="none"/>
        </w:rPr>
        <w:instrText xml:space="preserve"> PAGEREF _Toc69114319 \h </w:instrText>
      </w:r>
      <w:r>
        <w:rPr>
          <w:color w:val="auto"/>
          <w:highlight w:val="none"/>
        </w:rPr>
        <w:fldChar w:fldCharType="separate"/>
      </w:r>
      <w:r>
        <w:rPr>
          <w:color w:val="auto"/>
          <w:highlight w:val="none"/>
        </w:rPr>
        <w:t>681</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"_Toc69114320"</w:instrText>
      </w:r>
      <w:r>
        <w:rPr>
          <w:rStyle w:val="51"/>
          <w:color w:val="auto"/>
          <w:highlight w:val="none"/>
        </w:rPr>
        <w:instrText xml:space="preserve"> </w:instrText>
      </w:r>
      <w:r>
        <w:rPr>
          <w:color w:val="auto"/>
          <w:highlight w:val="none"/>
        </w:rPr>
        <w:fldChar w:fldCharType="separate"/>
      </w:r>
      <w:r>
        <w:rPr>
          <w:rStyle w:val="51"/>
          <w:rFonts w:ascii="宋体" w:hAnsi="宋体"/>
          <w:b/>
          <w:bCs/>
          <w:color w:val="auto"/>
          <w:highlight w:val="none"/>
        </w:rPr>
        <w:t>18、信用管理</w:t>
      </w:r>
      <w:r>
        <w:rPr>
          <w:color w:val="auto"/>
          <w:highlight w:val="none"/>
        </w:rPr>
        <w:tab/>
      </w:r>
      <w:r>
        <w:rPr>
          <w:color w:val="auto"/>
          <w:highlight w:val="none"/>
        </w:rPr>
        <w:fldChar w:fldCharType="begin"/>
      </w:r>
      <w:r>
        <w:rPr>
          <w:color w:val="auto"/>
          <w:highlight w:val="none"/>
        </w:rPr>
        <w:instrText xml:space="preserve"> PAGEREF _Toc69114320 \h </w:instrText>
      </w:r>
      <w:r>
        <w:rPr>
          <w:color w:val="auto"/>
          <w:highlight w:val="none"/>
        </w:rPr>
        <w:fldChar w:fldCharType="separate"/>
      </w:r>
      <w:r>
        <w:rPr>
          <w:color w:val="auto"/>
          <w:highlight w:val="none"/>
        </w:rPr>
        <w:t>683</w:t>
      </w:r>
      <w:r>
        <w:rPr>
          <w:color w:val="auto"/>
          <w:highlight w:val="none"/>
        </w:rPr>
        <w:fldChar w:fldCharType="end"/>
      </w:r>
      <w:r>
        <w:rPr>
          <w:color w:val="auto"/>
          <w:highlight w:val="none"/>
        </w:rPr>
        <w:fldChar w:fldCharType="end"/>
      </w:r>
    </w:p>
    <w:p>
      <w:pPr>
        <w:pStyle w:val="19"/>
        <w:tabs>
          <w:tab w:val="right" w:leader="dot" w:pos="9060"/>
        </w:tabs>
        <w:rPr>
          <w:rFonts w:ascii="等线" w:hAnsi="等线" w:eastAsia="等线" w:cs="Times New Roman"/>
          <w:iCs w:val="0"/>
          <w:color w:val="auto"/>
          <w:sz w:val="21"/>
          <w:szCs w:val="22"/>
          <w:highlight w:val="none"/>
        </w:rPr>
      </w:pPr>
      <w:r>
        <w:rPr>
          <w:color w:val="auto"/>
          <w:highlight w:val="none"/>
        </w:rPr>
        <w:fldChar w:fldCharType="begin"/>
      </w:r>
      <w:r>
        <w:rPr>
          <w:rStyle w:val="51"/>
          <w:color w:val="auto"/>
          <w:highlight w:val="none"/>
        </w:rPr>
        <w:instrText xml:space="preserve"> </w:instrText>
      </w:r>
      <w:r>
        <w:rPr>
          <w:color w:val="auto"/>
          <w:highlight w:val="none"/>
        </w:rPr>
        <w:instrText xml:space="preserve">HYPERLINK \l "_Toc69114321"</w:instrText>
      </w:r>
      <w:r>
        <w:rPr>
          <w:rStyle w:val="51"/>
          <w:color w:val="auto"/>
          <w:highlight w:val="none"/>
        </w:rPr>
        <w:instrText xml:space="preserve"> </w:instrText>
      </w:r>
      <w:r>
        <w:rPr>
          <w:color w:val="auto"/>
          <w:highlight w:val="none"/>
        </w:rPr>
        <w:fldChar w:fldCharType="separate"/>
      </w:r>
      <w:r>
        <w:rPr>
          <w:rStyle w:val="51"/>
          <w:rFonts w:ascii="宋体" w:hAnsi="宋体"/>
          <w:b/>
          <w:bCs/>
          <w:color w:val="auto"/>
          <w:highlight w:val="none"/>
        </w:rPr>
        <w:t>19、履约评价</w:t>
      </w:r>
      <w:r>
        <w:rPr>
          <w:color w:val="auto"/>
          <w:highlight w:val="none"/>
        </w:rPr>
        <w:tab/>
      </w:r>
      <w:r>
        <w:rPr>
          <w:color w:val="auto"/>
          <w:highlight w:val="none"/>
        </w:rPr>
        <w:fldChar w:fldCharType="begin"/>
      </w:r>
      <w:r>
        <w:rPr>
          <w:color w:val="auto"/>
          <w:highlight w:val="none"/>
        </w:rPr>
        <w:instrText xml:space="preserve"> PAGEREF _Toc69114321 \h </w:instrText>
      </w:r>
      <w:r>
        <w:rPr>
          <w:color w:val="auto"/>
          <w:highlight w:val="none"/>
        </w:rPr>
        <w:fldChar w:fldCharType="separate"/>
      </w:r>
      <w:r>
        <w:rPr>
          <w:color w:val="auto"/>
          <w:highlight w:val="none"/>
        </w:rPr>
        <w:t>683</w:t>
      </w:r>
      <w:r>
        <w:rPr>
          <w:color w:val="auto"/>
          <w:highlight w:val="none"/>
        </w:rPr>
        <w:fldChar w:fldCharType="end"/>
      </w:r>
      <w:r>
        <w:rPr>
          <w:color w:val="auto"/>
          <w:highlight w:val="none"/>
        </w:rPr>
        <w:fldChar w:fldCharType="end"/>
      </w:r>
    </w:p>
    <w:p>
      <w:pPr>
        <w:rPr>
          <w:color w:val="auto"/>
          <w:highlight w:val="none"/>
        </w:rPr>
      </w:pPr>
      <w:r>
        <w:rPr>
          <w:rFonts w:cs="Calibri"/>
          <w:color w:val="auto"/>
          <w:sz w:val="20"/>
          <w:szCs w:val="20"/>
          <w:highlight w:val="none"/>
        </w:rPr>
        <w:fldChar w:fldCharType="end"/>
      </w:r>
    </w:p>
    <w:p>
      <w:pPr>
        <w:spacing w:line="360" w:lineRule="auto"/>
        <w:jc w:val="center"/>
        <w:rPr>
          <w:rFonts w:ascii="黑体" w:eastAsia="黑体"/>
          <w:b/>
          <w:color w:val="auto"/>
          <w:sz w:val="46"/>
          <w:szCs w:val="46"/>
          <w:highlight w:val="none"/>
        </w:rPr>
        <w:sectPr>
          <w:pgSz w:w="11906" w:h="16838"/>
          <w:pgMar w:top="1418" w:right="1418" w:bottom="1418" w:left="1418" w:header="851" w:footer="992" w:gutter="0"/>
          <w:pgNumType w:start="1"/>
          <w:cols w:space="720" w:num="1"/>
          <w:docGrid w:linePitch="312" w:charSpace="0"/>
        </w:sectPr>
      </w:pPr>
    </w:p>
    <w:p>
      <w:pPr>
        <w:spacing w:line="360" w:lineRule="auto"/>
        <w:jc w:val="center"/>
        <w:outlineLvl w:val="0"/>
        <w:rPr>
          <w:rFonts w:hint="eastAsia" w:ascii="宋体" w:hAnsi="宋体" w:cs="宋体"/>
          <w:b/>
          <w:bCs/>
          <w:color w:val="auto"/>
          <w:kern w:val="44"/>
          <w:sz w:val="32"/>
          <w:szCs w:val="32"/>
          <w:highlight w:val="none"/>
        </w:rPr>
      </w:pPr>
      <w:bookmarkStart w:id="19" w:name="_Toc69113909"/>
      <w:r>
        <w:rPr>
          <w:rFonts w:hint="eastAsia" w:ascii="宋体" w:hAnsi="宋体" w:cs="宋体"/>
          <w:b/>
          <w:bCs/>
          <w:color w:val="auto"/>
          <w:kern w:val="44"/>
          <w:sz w:val="32"/>
          <w:szCs w:val="32"/>
          <w:highlight w:val="none"/>
        </w:rPr>
        <w:t>第一部分 合同协议书</w:t>
      </w:r>
      <w:bookmarkEnd w:id="6"/>
      <w:bookmarkEnd w:id="7"/>
      <w:bookmarkEnd w:id="8"/>
      <w:bookmarkEnd w:id="9"/>
      <w:bookmarkEnd w:id="10"/>
      <w:bookmarkEnd w:id="11"/>
      <w:bookmarkEnd w:id="12"/>
      <w:bookmarkEnd w:id="13"/>
      <w:bookmarkEnd w:id="14"/>
      <w:bookmarkEnd w:id="15"/>
      <w:bookmarkEnd w:id="16"/>
      <w:bookmarkEnd w:id="17"/>
      <w:bookmarkEnd w:id="18"/>
      <w:bookmarkEnd w:id="19"/>
    </w:p>
    <w:p>
      <w:pPr>
        <w:spacing w:line="360" w:lineRule="auto"/>
        <w:ind w:firstLine="480"/>
        <w:rPr>
          <w:rFonts w:hint="eastAsia" w:ascii="宋体" w:hAnsi="宋体"/>
          <w:color w:val="auto"/>
          <w:szCs w:val="21"/>
          <w:highlight w:val="none"/>
          <w:u w:val="single"/>
        </w:rPr>
      </w:pPr>
      <w:r>
        <w:rPr>
          <w:rFonts w:hint="eastAsia" w:ascii="宋体" w:hAnsi="宋体"/>
          <w:color w:val="auto"/>
          <w:szCs w:val="21"/>
          <w:highlight w:val="none"/>
        </w:rPr>
        <w:t>发包人（全称）：</w:t>
      </w:r>
      <w:r>
        <w:rPr>
          <w:rFonts w:hint="eastAsia" w:ascii="宋体" w:hAnsi="宋体"/>
          <w:color w:val="auto"/>
          <w:szCs w:val="21"/>
          <w:highlight w:val="none"/>
          <w:u w:val="single"/>
        </w:rPr>
        <w:t xml:space="preserve">                                           </w:t>
      </w:r>
    </w:p>
    <w:p>
      <w:pPr>
        <w:spacing w:line="360" w:lineRule="auto"/>
        <w:ind w:firstLine="480"/>
        <w:rPr>
          <w:rFonts w:hint="eastAsia" w:ascii="宋体" w:hAnsi="宋体"/>
          <w:color w:val="auto"/>
          <w:szCs w:val="21"/>
          <w:highlight w:val="none"/>
          <w:u w:val="single"/>
        </w:rPr>
      </w:pPr>
      <w:r>
        <w:rPr>
          <w:rFonts w:hint="eastAsia" w:ascii="宋体" w:hAnsi="宋体"/>
          <w:color w:val="auto"/>
          <w:szCs w:val="21"/>
          <w:highlight w:val="none"/>
        </w:rPr>
        <w:t>承包人（全称）：</w:t>
      </w:r>
      <w:r>
        <w:rPr>
          <w:rFonts w:hint="eastAsia" w:ascii="宋体" w:hAnsi="宋体"/>
          <w:color w:val="auto"/>
          <w:szCs w:val="21"/>
          <w:highlight w:val="none"/>
          <w:u w:val="single"/>
        </w:rPr>
        <w:t xml:space="preserve">                                           </w:t>
      </w:r>
    </w:p>
    <w:p>
      <w:pPr>
        <w:spacing w:line="360" w:lineRule="auto"/>
        <w:ind w:firstLine="480"/>
        <w:rPr>
          <w:rFonts w:hint="eastAsia" w:ascii="宋体" w:hAnsi="宋体"/>
          <w:color w:val="auto"/>
          <w:szCs w:val="21"/>
          <w:highlight w:val="none"/>
        </w:rPr>
      </w:pPr>
      <w:r>
        <w:rPr>
          <w:rFonts w:hint="eastAsia" w:ascii="宋体" w:hAnsi="宋体"/>
          <w:color w:val="auto"/>
          <w:szCs w:val="21"/>
          <w:highlight w:val="none"/>
        </w:rPr>
        <w:t>项目经理姓名：</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资格等级：</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证书号码：</w:t>
      </w:r>
      <w:r>
        <w:rPr>
          <w:rFonts w:hint="eastAsia" w:ascii="宋体" w:hAnsi="宋体"/>
          <w:color w:val="auto"/>
          <w:szCs w:val="21"/>
          <w:highlight w:val="none"/>
          <w:u w:val="single"/>
        </w:rPr>
        <w:t xml:space="preserve">           </w:t>
      </w:r>
    </w:p>
    <w:p>
      <w:pPr>
        <w:spacing w:line="360" w:lineRule="auto"/>
        <w:ind w:firstLine="480"/>
        <w:rPr>
          <w:rFonts w:hint="eastAsia" w:ascii="宋体" w:hAnsi="宋体"/>
          <w:color w:val="auto"/>
          <w:szCs w:val="21"/>
          <w:highlight w:val="none"/>
        </w:rPr>
      </w:pPr>
    </w:p>
    <w:p>
      <w:pPr>
        <w:spacing w:line="360" w:lineRule="auto"/>
        <w:ind w:firstLine="480"/>
        <w:rPr>
          <w:rFonts w:hint="eastAsia" w:ascii="宋体" w:hAnsi="宋体"/>
          <w:color w:val="auto"/>
          <w:szCs w:val="21"/>
          <w:highlight w:val="none"/>
        </w:rPr>
      </w:pPr>
      <w:r>
        <w:rPr>
          <w:rFonts w:hint="eastAsia" w:ascii="宋体" w:hAnsi="宋体"/>
          <w:color w:val="auto"/>
          <w:szCs w:val="21"/>
          <w:highlight w:val="none"/>
        </w:rPr>
        <w:t>本工程于</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日公开招标，确定由承包人承建。</w:t>
      </w:r>
    </w:p>
    <w:p>
      <w:pPr>
        <w:spacing w:line="360" w:lineRule="auto"/>
        <w:ind w:firstLine="480"/>
        <w:rPr>
          <w:rFonts w:hint="eastAsia" w:ascii="宋体" w:hAnsi="宋体"/>
          <w:color w:val="auto"/>
          <w:szCs w:val="21"/>
          <w:highlight w:val="none"/>
        </w:rPr>
      </w:pPr>
      <w:r>
        <w:rPr>
          <w:rFonts w:hint="eastAsia" w:ascii="宋体" w:hAnsi="宋体"/>
          <w:color w:val="auto"/>
          <w:szCs w:val="21"/>
          <w:highlight w:val="none"/>
        </w:rPr>
        <w:t>根据《中华人民共和国民法典》《中华人民共和国建筑法》及其他有关法律、法规、规章，并结合深圳市有关规定及本工程的招标文件要求，遵循平等、自愿、公平和诚实信用的原则，双方就本工程建设施工事项协调一致，订立本协议。</w:t>
      </w:r>
    </w:p>
    <w:p>
      <w:pPr>
        <w:spacing w:line="360" w:lineRule="auto"/>
        <w:ind w:firstLine="480"/>
        <w:rPr>
          <w:rFonts w:hint="eastAsia" w:ascii="宋体" w:hAnsi="宋体"/>
          <w:color w:val="auto"/>
          <w:szCs w:val="21"/>
          <w:highlight w:val="none"/>
        </w:rPr>
      </w:pPr>
    </w:p>
    <w:p>
      <w:pPr>
        <w:spacing w:before="120" w:beforeLines="50" w:after="120" w:afterLines="50" w:line="360" w:lineRule="auto"/>
        <w:ind w:left="482"/>
        <w:outlineLvl w:val="1"/>
        <w:rPr>
          <w:rFonts w:hint="eastAsia" w:ascii="宋体" w:hAnsi="宋体"/>
          <w:b/>
          <w:color w:val="auto"/>
          <w:sz w:val="30"/>
          <w:szCs w:val="30"/>
          <w:highlight w:val="none"/>
        </w:rPr>
      </w:pPr>
      <w:bookmarkStart w:id="20" w:name="_Toc28011"/>
      <w:bookmarkStart w:id="21" w:name="_Toc14329"/>
      <w:bookmarkStart w:id="22" w:name="_Toc22125"/>
      <w:bookmarkStart w:id="23" w:name="_Toc69113910"/>
      <w:bookmarkStart w:id="24" w:name="_Toc20871"/>
      <w:bookmarkStart w:id="25" w:name="_Toc517528604"/>
      <w:bookmarkStart w:id="26" w:name="_Toc19203"/>
      <w:bookmarkStart w:id="27" w:name="_Toc517529697"/>
      <w:bookmarkStart w:id="28" w:name="_Toc5287"/>
      <w:bookmarkStart w:id="29" w:name="_Toc5806"/>
      <w:bookmarkStart w:id="30" w:name="_Toc517530659"/>
      <w:bookmarkStart w:id="31" w:name="_Toc30864"/>
      <w:bookmarkStart w:id="32" w:name="_Toc517531935"/>
      <w:bookmarkStart w:id="33" w:name="_Toc29182"/>
      <w:r>
        <w:rPr>
          <w:rFonts w:hint="eastAsia" w:ascii="宋体" w:hAnsi="宋体"/>
          <w:b/>
          <w:color w:val="auto"/>
          <w:sz w:val="30"/>
          <w:szCs w:val="30"/>
          <w:highlight w:val="none"/>
        </w:rPr>
        <w:t>一、工程概况</w:t>
      </w:r>
      <w:bookmarkEnd w:id="20"/>
      <w:bookmarkEnd w:id="21"/>
      <w:bookmarkEnd w:id="22"/>
      <w:bookmarkEnd w:id="23"/>
      <w:bookmarkEnd w:id="24"/>
      <w:bookmarkEnd w:id="25"/>
      <w:bookmarkEnd w:id="26"/>
      <w:bookmarkEnd w:id="27"/>
      <w:bookmarkEnd w:id="28"/>
      <w:bookmarkEnd w:id="29"/>
      <w:bookmarkEnd w:id="30"/>
      <w:bookmarkEnd w:id="31"/>
      <w:bookmarkEnd w:id="32"/>
      <w:bookmarkEnd w:id="33"/>
    </w:p>
    <w:p>
      <w:pPr>
        <w:spacing w:line="360" w:lineRule="auto"/>
        <w:ind w:left="480"/>
        <w:rPr>
          <w:rFonts w:hint="eastAsia" w:ascii="宋体" w:hAnsi="宋体"/>
          <w:color w:val="auto"/>
          <w:szCs w:val="21"/>
          <w:highlight w:val="none"/>
          <w:u w:val="single"/>
        </w:rPr>
      </w:pPr>
      <w:r>
        <w:rPr>
          <w:rFonts w:hint="eastAsia" w:ascii="宋体" w:hAnsi="宋体"/>
          <w:color w:val="auto"/>
          <w:szCs w:val="21"/>
          <w:highlight w:val="none"/>
        </w:rPr>
        <w:t>工程名称：</w:t>
      </w:r>
      <w:r>
        <w:rPr>
          <w:rFonts w:hint="eastAsia" w:ascii="宋体" w:hAnsi="宋体"/>
          <w:color w:val="auto"/>
          <w:szCs w:val="21"/>
          <w:highlight w:val="none"/>
          <w:u w:val="single"/>
        </w:rPr>
        <w:t xml:space="preserve">                                                  </w:t>
      </w:r>
    </w:p>
    <w:p>
      <w:pPr>
        <w:spacing w:line="360" w:lineRule="auto"/>
        <w:ind w:left="480"/>
        <w:rPr>
          <w:rFonts w:hint="eastAsia" w:ascii="宋体" w:hAnsi="宋体"/>
          <w:color w:val="auto"/>
          <w:szCs w:val="21"/>
          <w:highlight w:val="none"/>
        </w:rPr>
      </w:pPr>
      <w:r>
        <w:rPr>
          <w:rFonts w:hint="eastAsia" w:ascii="宋体" w:hAnsi="宋体"/>
          <w:color w:val="auto"/>
          <w:szCs w:val="21"/>
          <w:highlight w:val="none"/>
        </w:rPr>
        <w:t>工程地点：</w:t>
      </w:r>
      <w:r>
        <w:rPr>
          <w:rFonts w:hint="eastAsia" w:ascii="宋体" w:hAnsi="宋体"/>
          <w:color w:val="auto"/>
          <w:szCs w:val="21"/>
          <w:highlight w:val="none"/>
          <w:u w:val="single"/>
        </w:rPr>
        <w:t xml:space="preserve">                                                  </w:t>
      </w:r>
    </w:p>
    <w:p>
      <w:pPr>
        <w:spacing w:line="360" w:lineRule="auto"/>
        <w:ind w:left="480"/>
        <w:rPr>
          <w:rFonts w:hint="eastAsia" w:ascii="宋体" w:hAnsi="宋体"/>
          <w:color w:val="auto"/>
          <w:szCs w:val="21"/>
          <w:highlight w:val="none"/>
        </w:rPr>
      </w:pPr>
      <w:r>
        <w:rPr>
          <w:rFonts w:hint="eastAsia" w:ascii="宋体" w:hAnsi="宋体"/>
          <w:color w:val="auto"/>
          <w:szCs w:val="21"/>
          <w:highlight w:val="none"/>
        </w:rPr>
        <w:t>工程内容：</w:t>
      </w:r>
      <w:r>
        <w:rPr>
          <w:rFonts w:hint="eastAsia" w:ascii="宋体" w:hAnsi="宋体"/>
          <w:color w:val="auto"/>
          <w:szCs w:val="21"/>
          <w:highlight w:val="none"/>
          <w:u w:val="single"/>
        </w:rPr>
        <w:t xml:space="preserve">                                                  </w:t>
      </w:r>
    </w:p>
    <w:p>
      <w:pPr>
        <w:spacing w:line="360" w:lineRule="auto"/>
        <w:ind w:left="480"/>
        <w:rPr>
          <w:rFonts w:hint="eastAsia" w:ascii="宋体" w:hAnsi="宋体"/>
          <w:color w:val="auto"/>
          <w:szCs w:val="21"/>
          <w:highlight w:val="none"/>
        </w:rPr>
      </w:pPr>
      <w:r>
        <w:rPr>
          <w:rFonts w:hint="eastAsia" w:ascii="宋体" w:hAnsi="宋体"/>
          <w:color w:val="auto"/>
          <w:szCs w:val="21"/>
          <w:highlight w:val="none"/>
        </w:rPr>
        <w:t>结构形式：</w:t>
      </w:r>
      <w:r>
        <w:rPr>
          <w:rFonts w:hint="eastAsia" w:ascii="宋体" w:hAnsi="宋体"/>
          <w:color w:val="auto"/>
          <w:szCs w:val="21"/>
          <w:highlight w:val="none"/>
          <w:u w:val="single"/>
        </w:rPr>
        <w:t xml:space="preserve">                                                  </w:t>
      </w:r>
    </w:p>
    <w:p>
      <w:pPr>
        <w:spacing w:line="360" w:lineRule="auto"/>
        <w:ind w:left="480"/>
        <w:rPr>
          <w:rFonts w:hint="eastAsia" w:ascii="宋体" w:hAnsi="宋体"/>
          <w:color w:val="auto"/>
          <w:szCs w:val="21"/>
          <w:highlight w:val="none"/>
        </w:rPr>
      </w:pPr>
      <w:r>
        <w:rPr>
          <w:rFonts w:hint="eastAsia" w:ascii="宋体" w:hAnsi="宋体"/>
          <w:color w:val="auto"/>
          <w:szCs w:val="21"/>
          <w:highlight w:val="none"/>
        </w:rPr>
        <w:t>层／幢：</w:t>
      </w:r>
      <w:r>
        <w:rPr>
          <w:rFonts w:hint="eastAsia" w:ascii="宋体" w:hAnsi="宋体"/>
          <w:color w:val="auto"/>
          <w:szCs w:val="21"/>
          <w:highlight w:val="none"/>
          <w:u w:val="single"/>
        </w:rPr>
        <w:t xml:space="preserve">                                                    </w:t>
      </w:r>
    </w:p>
    <w:p>
      <w:pPr>
        <w:spacing w:line="360" w:lineRule="auto"/>
        <w:ind w:left="480"/>
        <w:rPr>
          <w:rFonts w:hint="eastAsia" w:ascii="宋体" w:hAnsi="宋体"/>
          <w:color w:val="auto"/>
          <w:szCs w:val="21"/>
          <w:highlight w:val="none"/>
        </w:rPr>
      </w:pPr>
      <w:r>
        <w:rPr>
          <w:rFonts w:hint="eastAsia" w:ascii="宋体" w:hAnsi="宋体"/>
          <w:color w:val="auto"/>
          <w:szCs w:val="21"/>
          <w:highlight w:val="none"/>
        </w:rPr>
        <w:t>建筑面积：</w:t>
      </w:r>
      <w:r>
        <w:rPr>
          <w:rFonts w:hint="eastAsia" w:ascii="宋体" w:hAnsi="宋体"/>
          <w:color w:val="auto"/>
          <w:szCs w:val="21"/>
          <w:highlight w:val="none"/>
          <w:u w:val="single"/>
        </w:rPr>
        <w:t xml:space="preserve">              </w:t>
      </w:r>
      <w:r>
        <w:rPr>
          <w:rFonts w:hint="eastAsia" w:ascii="宋体" w:hAnsi="宋体"/>
          <w:color w:val="auto"/>
          <w:szCs w:val="21"/>
          <w:highlight w:val="none"/>
        </w:rPr>
        <w:t>平方米；</w:t>
      </w:r>
    </w:p>
    <w:p>
      <w:pPr>
        <w:spacing w:line="360" w:lineRule="auto"/>
        <w:ind w:left="480"/>
        <w:rPr>
          <w:rFonts w:hint="eastAsia" w:ascii="宋体" w:hAnsi="宋体"/>
          <w:color w:val="auto"/>
          <w:szCs w:val="21"/>
          <w:highlight w:val="none"/>
          <w:u w:val="single"/>
        </w:rPr>
      </w:pPr>
      <w:r>
        <w:rPr>
          <w:rFonts w:hint="eastAsia" w:ascii="宋体" w:hAnsi="宋体"/>
          <w:color w:val="auto"/>
          <w:szCs w:val="21"/>
          <w:highlight w:val="none"/>
        </w:rPr>
        <w:t>工程立项批准文号：</w:t>
      </w:r>
      <w:r>
        <w:rPr>
          <w:rFonts w:hint="eastAsia" w:ascii="宋体" w:hAnsi="宋体"/>
          <w:color w:val="auto"/>
          <w:szCs w:val="21"/>
          <w:highlight w:val="none"/>
          <w:u w:val="single"/>
        </w:rPr>
        <w:t xml:space="preserve">                                          </w:t>
      </w:r>
    </w:p>
    <w:p>
      <w:pPr>
        <w:spacing w:line="360" w:lineRule="auto"/>
        <w:ind w:left="480"/>
        <w:rPr>
          <w:rFonts w:hint="eastAsia" w:ascii="宋体" w:hAnsi="宋体"/>
          <w:color w:val="auto"/>
          <w:szCs w:val="21"/>
          <w:highlight w:val="none"/>
          <w:u w:val="single"/>
        </w:rPr>
      </w:pPr>
      <w:r>
        <w:rPr>
          <w:rFonts w:hint="eastAsia" w:ascii="宋体" w:hAnsi="宋体"/>
          <w:color w:val="auto"/>
          <w:szCs w:val="21"/>
          <w:highlight w:val="none"/>
        </w:rPr>
        <w:t>资金来源：</w:t>
      </w:r>
      <w:r>
        <w:rPr>
          <w:rFonts w:hint="eastAsia" w:ascii="宋体" w:hAnsi="宋体"/>
          <w:color w:val="auto"/>
          <w:szCs w:val="21"/>
          <w:highlight w:val="none"/>
          <w:u w:val="single"/>
        </w:rPr>
        <w:t xml:space="preserve">                                                  </w:t>
      </w:r>
    </w:p>
    <w:p>
      <w:pPr>
        <w:spacing w:before="120" w:beforeLines="50" w:after="120" w:afterLines="50" w:line="360" w:lineRule="auto"/>
        <w:ind w:left="482"/>
        <w:outlineLvl w:val="1"/>
        <w:rPr>
          <w:rFonts w:hint="eastAsia" w:ascii="宋体" w:hAnsi="宋体"/>
          <w:b/>
          <w:color w:val="auto"/>
          <w:sz w:val="30"/>
          <w:szCs w:val="30"/>
          <w:highlight w:val="none"/>
        </w:rPr>
      </w:pPr>
      <w:bookmarkStart w:id="34" w:name="_Toc17056"/>
      <w:bookmarkStart w:id="35" w:name="_Toc547"/>
      <w:bookmarkStart w:id="36" w:name="_Toc11255"/>
      <w:bookmarkStart w:id="37" w:name="_Toc517528605"/>
      <w:bookmarkStart w:id="38" w:name="_Toc517531936"/>
      <w:bookmarkStart w:id="39" w:name="_Toc517529698"/>
      <w:bookmarkStart w:id="40" w:name="_Toc28282"/>
      <w:bookmarkStart w:id="41" w:name="_Toc10630"/>
      <w:bookmarkStart w:id="42" w:name="_Toc517530660"/>
      <w:bookmarkStart w:id="43" w:name="_Toc26224"/>
      <w:bookmarkStart w:id="44" w:name="_Toc19564"/>
      <w:bookmarkStart w:id="45" w:name="_Toc2478"/>
      <w:bookmarkStart w:id="46" w:name="_Toc4187"/>
      <w:bookmarkStart w:id="47" w:name="_Toc69113911"/>
      <w:r>
        <w:rPr>
          <w:rFonts w:hint="eastAsia" w:ascii="宋体" w:hAnsi="宋体"/>
          <w:b/>
          <w:color w:val="auto"/>
          <w:sz w:val="30"/>
          <w:szCs w:val="30"/>
          <w:highlight w:val="none"/>
        </w:rPr>
        <w:t>二、工程承包范围</w:t>
      </w:r>
      <w:bookmarkEnd w:id="34"/>
      <w:bookmarkEnd w:id="35"/>
      <w:bookmarkEnd w:id="36"/>
      <w:bookmarkEnd w:id="37"/>
      <w:bookmarkEnd w:id="38"/>
      <w:bookmarkEnd w:id="39"/>
      <w:bookmarkEnd w:id="40"/>
      <w:bookmarkEnd w:id="41"/>
      <w:bookmarkEnd w:id="42"/>
      <w:bookmarkEnd w:id="43"/>
      <w:bookmarkEnd w:id="44"/>
      <w:bookmarkEnd w:id="45"/>
      <w:bookmarkEnd w:id="46"/>
      <w:r>
        <w:rPr>
          <w:rFonts w:hint="eastAsia" w:cs="宋体"/>
          <w:b/>
          <w:bCs/>
          <w:color w:val="auto"/>
          <w:szCs w:val="21"/>
          <w:highlight w:val="none"/>
        </w:rPr>
        <w:t>（可依设计文件列明项目所需施工内容）</w:t>
      </w:r>
      <w:bookmarkEnd w:id="47"/>
    </w:p>
    <w:p>
      <w:pPr>
        <w:spacing w:line="360" w:lineRule="auto"/>
        <w:ind w:firstLine="480"/>
        <w:rPr>
          <w:rFonts w:hint="eastAsia" w:ascii="宋体" w:hAnsi="宋体"/>
          <w:color w:val="auto"/>
          <w:szCs w:val="21"/>
          <w:highlight w:val="none"/>
          <w:u w:val="single"/>
        </w:rPr>
      </w:pPr>
      <w:r>
        <w:rPr>
          <w:rFonts w:hint="eastAsia" w:ascii="宋体" w:hAnsi="宋体"/>
          <w:color w:val="auto"/>
          <w:szCs w:val="21"/>
          <w:highlight w:val="none"/>
          <w:u w:val="single"/>
        </w:rPr>
        <w:t xml:space="preserve">                                                                   </w:t>
      </w:r>
    </w:p>
    <w:p>
      <w:pPr>
        <w:spacing w:line="360" w:lineRule="auto"/>
        <w:ind w:firstLine="480"/>
        <w:rPr>
          <w:rFonts w:hint="eastAsia" w:ascii="宋体" w:hAnsi="宋体"/>
          <w:color w:val="auto"/>
          <w:szCs w:val="21"/>
          <w:highlight w:val="none"/>
          <w:u w:val="single"/>
        </w:rPr>
      </w:pPr>
      <w:r>
        <w:rPr>
          <w:rFonts w:hint="eastAsia" w:ascii="宋体" w:hAnsi="宋体"/>
          <w:color w:val="auto"/>
          <w:szCs w:val="21"/>
          <w:highlight w:val="none"/>
          <w:u w:val="single"/>
        </w:rPr>
        <w:t xml:space="preserve">                                                                   </w:t>
      </w:r>
    </w:p>
    <w:p>
      <w:pPr>
        <w:spacing w:line="360" w:lineRule="auto"/>
        <w:ind w:firstLine="480"/>
        <w:rPr>
          <w:rFonts w:hint="eastAsia" w:ascii="宋体" w:hAnsi="宋体"/>
          <w:color w:val="auto"/>
          <w:szCs w:val="21"/>
          <w:highlight w:val="none"/>
          <w:u w:val="single"/>
        </w:rPr>
      </w:pPr>
      <w:r>
        <w:rPr>
          <w:rFonts w:hint="eastAsia" w:ascii="宋体" w:hAnsi="宋体"/>
          <w:color w:val="auto"/>
          <w:szCs w:val="21"/>
          <w:highlight w:val="none"/>
          <w:u w:val="single"/>
        </w:rPr>
        <w:t xml:space="preserve">                                                                   </w:t>
      </w:r>
    </w:p>
    <w:p>
      <w:pPr>
        <w:spacing w:line="360" w:lineRule="auto"/>
        <w:ind w:firstLine="480"/>
        <w:rPr>
          <w:rFonts w:ascii="宋体" w:hAnsi="宋体"/>
          <w:color w:val="auto"/>
          <w:szCs w:val="21"/>
          <w:highlight w:val="none"/>
          <w:u w:val="single"/>
        </w:rPr>
      </w:pPr>
      <w:r>
        <w:rPr>
          <w:rFonts w:hint="eastAsia" w:ascii="宋体" w:hAnsi="宋体"/>
          <w:color w:val="auto"/>
          <w:szCs w:val="21"/>
          <w:highlight w:val="none"/>
          <w:u w:val="single"/>
        </w:rPr>
        <w:t xml:space="preserve">                                                                   </w:t>
      </w:r>
    </w:p>
    <w:p>
      <w:pPr>
        <w:spacing w:line="360" w:lineRule="auto"/>
        <w:ind w:firstLine="471" w:firstLineChars="196"/>
        <w:rPr>
          <w:rFonts w:hint="eastAsia" w:ascii="Times New Roman" w:hAnsi="Times New Roman" w:eastAsia="仿宋_GB2312"/>
          <w:bCs/>
          <w:color w:val="auto"/>
          <w:sz w:val="30"/>
          <w:szCs w:val="30"/>
          <w:highlight w:val="none"/>
        </w:rPr>
      </w:pPr>
      <w:r>
        <w:rPr>
          <w:rFonts w:ascii="宋体" w:hAnsi="宋体"/>
          <w:b/>
          <w:color w:val="auto"/>
          <w:sz w:val="24"/>
          <w:szCs w:val="24"/>
          <w:highlight w:val="none"/>
        </w:rPr>
        <w:t>（</w:t>
      </w:r>
      <w:r>
        <w:rPr>
          <w:rFonts w:hint="eastAsia" w:ascii="宋体" w:hAnsi="宋体"/>
          <w:b/>
          <w:color w:val="auto"/>
          <w:sz w:val="24"/>
          <w:szCs w:val="24"/>
          <w:highlight w:val="none"/>
        </w:rPr>
        <w:t>1</w:t>
      </w:r>
      <w:r>
        <w:rPr>
          <w:rFonts w:ascii="宋体" w:hAnsi="宋体"/>
          <w:b/>
          <w:color w:val="auto"/>
          <w:sz w:val="24"/>
          <w:szCs w:val="24"/>
          <w:highlight w:val="none"/>
        </w:rPr>
        <w:t>）</w:t>
      </w:r>
      <w:r>
        <w:rPr>
          <w:rFonts w:hint="eastAsia" w:ascii="宋体" w:hAnsi="宋体"/>
          <w:b/>
          <w:color w:val="auto"/>
          <w:sz w:val="24"/>
          <w:szCs w:val="24"/>
          <w:highlight w:val="none"/>
        </w:rPr>
        <w:t>房屋建筑、装饰、安装工程</w:t>
      </w:r>
      <w:r>
        <w:rPr>
          <w:rFonts w:hint="eastAsia" w:ascii="Times New Roman" w:hAnsi="Times New Roman" w:eastAsia="仿宋_GB2312"/>
          <w:bCs/>
          <w:color w:val="auto"/>
          <w:sz w:val="30"/>
          <w:szCs w:val="30"/>
          <w:highlight w:val="none"/>
        </w:rPr>
        <w:t>：</w:t>
      </w:r>
      <w:r>
        <w:rPr>
          <w:rFonts w:cs="宋体"/>
          <w:color w:val="auto"/>
          <w:szCs w:val="21"/>
          <w:highlight w:val="none"/>
        </w:rPr>
        <w:t>（可</w:t>
      </w:r>
      <w:r>
        <w:rPr>
          <w:rFonts w:hint="eastAsia" w:cs="宋体"/>
          <w:color w:val="auto"/>
          <w:szCs w:val="21"/>
          <w:highlight w:val="none"/>
        </w:rPr>
        <w:t>在□内打√、选填相应工程量，表中所列参考选项为项目主要承包内容，实际可依设计</w:t>
      </w:r>
      <w:r>
        <w:rPr>
          <w:rFonts w:cs="宋体"/>
          <w:color w:val="auto"/>
          <w:szCs w:val="21"/>
          <w:highlight w:val="none"/>
        </w:rPr>
        <w:t>工程</w:t>
      </w:r>
      <w:r>
        <w:rPr>
          <w:rFonts w:hint="eastAsia" w:cs="宋体"/>
          <w:color w:val="auto"/>
          <w:szCs w:val="21"/>
          <w:highlight w:val="none"/>
        </w:rPr>
        <w:t>规模</w:t>
      </w:r>
      <w:r>
        <w:rPr>
          <w:rFonts w:cs="宋体"/>
          <w:color w:val="auto"/>
          <w:szCs w:val="21"/>
          <w:highlight w:val="none"/>
        </w:rPr>
        <w:t>、</w:t>
      </w:r>
      <w:r>
        <w:rPr>
          <w:rFonts w:hint="eastAsia" w:cs="宋体"/>
          <w:color w:val="auto"/>
          <w:szCs w:val="21"/>
          <w:highlight w:val="none"/>
        </w:rPr>
        <w:t>项目</w:t>
      </w:r>
      <w:r>
        <w:rPr>
          <w:rFonts w:cs="宋体"/>
          <w:color w:val="auto"/>
          <w:szCs w:val="21"/>
          <w:highlight w:val="none"/>
        </w:rPr>
        <w:t>特征等</w:t>
      </w:r>
      <w:r>
        <w:rPr>
          <w:rFonts w:hint="eastAsia" w:cs="宋体"/>
          <w:color w:val="auto"/>
          <w:szCs w:val="21"/>
          <w:highlight w:val="none"/>
        </w:rPr>
        <w:t>补充、扩展</w:t>
      </w:r>
      <w:r>
        <w:rPr>
          <w:rFonts w:cs="宋体"/>
          <w:color w:val="auto"/>
          <w:szCs w:val="21"/>
          <w:highlight w:val="none"/>
        </w:rPr>
        <w:t>）</w:t>
      </w:r>
    </w:p>
    <w:tbl>
      <w:tblPr>
        <w:tblStyle w:val="43"/>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9"/>
        <w:gridCol w:w="3059"/>
        <w:gridCol w:w="1894"/>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dxa"/>
            <w:noWrap w:val="0"/>
            <w:vAlign w:val="top"/>
          </w:tcPr>
          <w:p>
            <w:pPr>
              <w:spacing w:line="360" w:lineRule="auto"/>
              <w:rPr>
                <w:rFonts w:hint="eastAsia" w:ascii="Times New Roman" w:hAnsi="Times New Roman" w:eastAsia="仿宋_GB2312"/>
                <w:b/>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土石方工程</w:t>
            </w:r>
          </w:p>
        </w:tc>
        <w:tc>
          <w:tcPr>
            <w:tcW w:w="3059" w:type="dxa"/>
            <w:noWrap w:val="0"/>
            <w:vAlign w:val="top"/>
          </w:tcPr>
          <w:p>
            <w:pPr>
              <w:spacing w:line="360" w:lineRule="auto"/>
              <w:rPr>
                <w:rFonts w:hint="eastAsia" w:ascii="宋体" w:cs="宋体"/>
                <w:color w:val="auto"/>
                <w:kern w:val="0"/>
                <w:szCs w:val="21"/>
                <w:highlight w:val="none"/>
                <w:vertAlign w:val="superscript"/>
              </w:rPr>
            </w:pPr>
            <w:r>
              <w:rPr>
                <w:rFonts w:hint="eastAsia" w:cs="宋体"/>
                <w:color w:val="auto"/>
                <w:szCs w:val="21"/>
                <w:highlight w:val="none"/>
              </w:rPr>
              <w:t>□土方</w:t>
            </w:r>
            <w:r>
              <w:rPr>
                <w:rFonts w:cs="宋体"/>
                <w:color w:val="auto"/>
                <w:szCs w:val="21"/>
                <w:highlight w:val="none"/>
              </w:rPr>
              <w:t>：</w:t>
            </w:r>
            <w:r>
              <w:rPr>
                <w:rFonts w:hint="eastAsia" w:cs="宋体"/>
                <w:color w:val="auto"/>
                <w:szCs w:val="21"/>
                <w:highlight w:val="none"/>
                <w:u w:val="single"/>
              </w:rPr>
              <w:t xml:space="preserve">      </w:t>
            </w:r>
            <w:r>
              <w:rPr>
                <w:rFonts w:cs="宋体"/>
                <w:color w:val="auto"/>
                <w:szCs w:val="21"/>
                <w:highlight w:val="none"/>
                <w:u w:val="single"/>
              </w:rPr>
              <w:t xml:space="preserve">        </w:t>
            </w:r>
            <w:r>
              <w:rPr>
                <w:rFonts w:ascii="Times New Roman" w:hAnsi="Times New Roman"/>
                <w:color w:val="auto"/>
                <w:szCs w:val="21"/>
                <w:highlight w:val="none"/>
              </w:rPr>
              <w:t xml:space="preserve"> </w:t>
            </w:r>
            <w:r>
              <w:rPr>
                <w:rFonts w:hint="eastAsia" w:ascii="Times New Roman" w:hAnsi="Times New Roman"/>
                <w:color w:val="auto"/>
                <w:szCs w:val="21"/>
                <w:highlight w:val="none"/>
              </w:rPr>
              <w:t>m</w:t>
            </w:r>
            <w:r>
              <w:rPr>
                <w:rFonts w:hint="eastAsia" w:ascii="宋体" w:cs="宋体"/>
                <w:color w:val="auto"/>
                <w:kern w:val="0"/>
                <w:szCs w:val="21"/>
                <w:highlight w:val="none"/>
                <w:vertAlign w:val="superscript"/>
              </w:rPr>
              <w:t>3</w:t>
            </w:r>
          </w:p>
          <w:p>
            <w:pPr>
              <w:spacing w:line="360" w:lineRule="auto"/>
              <w:rPr>
                <w:rFonts w:ascii="宋体" w:cs="宋体"/>
                <w:color w:val="auto"/>
                <w:kern w:val="0"/>
                <w:szCs w:val="21"/>
                <w:highlight w:val="none"/>
              </w:rPr>
            </w:pPr>
          </w:p>
          <w:p>
            <w:pPr>
              <w:spacing w:line="360" w:lineRule="auto"/>
              <w:rPr>
                <w:rFonts w:hint="eastAsia" w:ascii="宋体" w:cs="宋体"/>
                <w:color w:val="auto"/>
                <w:kern w:val="0"/>
                <w:szCs w:val="21"/>
                <w:highlight w:val="none"/>
                <w:vertAlign w:val="superscript"/>
              </w:rPr>
            </w:pPr>
            <w:r>
              <w:rPr>
                <w:rFonts w:hint="eastAsia" w:cs="宋体"/>
                <w:color w:val="auto"/>
                <w:szCs w:val="21"/>
                <w:highlight w:val="none"/>
              </w:rPr>
              <w:t>□石方</w:t>
            </w:r>
            <w:r>
              <w:rPr>
                <w:rFonts w:cs="宋体"/>
                <w:color w:val="auto"/>
                <w:szCs w:val="21"/>
                <w:highlight w:val="none"/>
              </w:rPr>
              <w:t>：</w:t>
            </w:r>
            <w:r>
              <w:rPr>
                <w:rFonts w:hint="eastAsia" w:cs="宋体"/>
                <w:color w:val="auto"/>
                <w:szCs w:val="21"/>
                <w:highlight w:val="none"/>
                <w:u w:val="single"/>
              </w:rPr>
              <w:t xml:space="preserve">      </w:t>
            </w:r>
            <w:r>
              <w:rPr>
                <w:rFonts w:cs="宋体"/>
                <w:color w:val="auto"/>
                <w:szCs w:val="21"/>
                <w:highlight w:val="none"/>
                <w:u w:val="single"/>
              </w:rPr>
              <w:t xml:space="preserve">        </w:t>
            </w:r>
            <w:r>
              <w:rPr>
                <w:rFonts w:cs="宋体"/>
                <w:color w:val="auto"/>
                <w:szCs w:val="21"/>
                <w:highlight w:val="none"/>
              </w:rPr>
              <w:t xml:space="preserve"> </w:t>
            </w:r>
            <w:r>
              <w:rPr>
                <w:rFonts w:hint="eastAsia" w:ascii="Times New Roman" w:hAnsi="Times New Roman"/>
                <w:color w:val="auto"/>
                <w:szCs w:val="21"/>
                <w:highlight w:val="none"/>
              </w:rPr>
              <w:t>m</w:t>
            </w:r>
            <w:r>
              <w:rPr>
                <w:rFonts w:hint="eastAsia" w:ascii="宋体" w:cs="宋体"/>
                <w:color w:val="auto"/>
                <w:kern w:val="0"/>
                <w:szCs w:val="21"/>
                <w:highlight w:val="none"/>
                <w:vertAlign w:val="superscript"/>
              </w:rPr>
              <w:t>3</w:t>
            </w:r>
          </w:p>
          <w:p>
            <w:pPr>
              <w:spacing w:line="360" w:lineRule="auto"/>
              <w:rPr>
                <w:rFonts w:ascii="宋体" w:cs="宋体"/>
                <w:color w:val="auto"/>
                <w:kern w:val="0"/>
                <w:szCs w:val="21"/>
                <w:highlight w:val="none"/>
              </w:rPr>
            </w:pPr>
          </w:p>
          <w:p>
            <w:pPr>
              <w:spacing w:line="360" w:lineRule="auto"/>
              <w:rPr>
                <w:rFonts w:hint="eastAsia" w:ascii="Times New Roman" w:hAnsi="Times New Roman"/>
                <w:color w:val="auto"/>
                <w:szCs w:val="21"/>
                <w:highlight w:val="none"/>
              </w:rPr>
            </w:pPr>
            <w:r>
              <w:rPr>
                <w:rFonts w:hint="eastAsia" w:cs="宋体"/>
                <w:color w:val="auto"/>
                <w:szCs w:val="21"/>
                <w:highlight w:val="none"/>
              </w:rPr>
              <w:t>□</w:t>
            </w:r>
            <w:r>
              <w:rPr>
                <w:rFonts w:hint="eastAsia" w:ascii="宋体" w:cs="宋体"/>
                <w:color w:val="auto"/>
                <w:kern w:val="0"/>
                <w:szCs w:val="21"/>
                <w:highlight w:val="none"/>
              </w:rPr>
              <w:t>运距：</w:t>
            </w:r>
            <w:r>
              <w:rPr>
                <w:rFonts w:hint="eastAsia" w:cs="宋体"/>
                <w:color w:val="auto"/>
                <w:szCs w:val="21"/>
                <w:highlight w:val="none"/>
                <w:u w:val="single"/>
              </w:rPr>
              <w:t xml:space="preserve">     </w:t>
            </w:r>
            <w:r>
              <w:rPr>
                <w:rFonts w:cs="宋体"/>
                <w:color w:val="auto"/>
                <w:szCs w:val="21"/>
                <w:highlight w:val="none"/>
                <w:u w:val="single"/>
              </w:rPr>
              <w:t xml:space="preserve">  </w:t>
            </w:r>
            <w:r>
              <w:rPr>
                <w:rFonts w:hint="eastAsia" w:cs="宋体"/>
                <w:color w:val="auto"/>
                <w:szCs w:val="21"/>
                <w:highlight w:val="none"/>
                <w:u w:val="single"/>
              </w:rPr>
              <w:t xml:space="preserve">       </w:t>
            </w:r>
            <w:r>
              <w:rPr>
                <w:rFonts w:ascii="Times New Roman" w:hAnsi="Times New Roman"/>
                <w:color w:val="auto"/>
                <w:szCs w:val="21"/>
                <w:highlight w:val="none"/>
              </w:rPr>
              <w:t xml:space="preserve"> km</w:t>
            </w:r>
          </w:p>
        </w:tc>
        <w:tc>
          <w:tcPr>
            <w:tcW w:w="1894" w:type="dxa"/>
            <w:noWrap w:val="0"/>
            <w:vAlign w:val="top"/>
          </w:tcPr>
          <w:p>
            <w:pPr>
              <w:spacing w:line="360" w:lineRule="auto"/>
              <w:rPr>
                <w:rFonts w:hint="eastAsia" w:ascii="Times New Roman" w:hAnsi="Times New Roman" w:eastAsia="仿宋_GB2312"/>
                <w:b/>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门窗工程</w:t>
            </w:r>
          </w:p>
        </w:tc>
        <w:tc>
          <w:tcPr>
            <w:tcW w:w="2474" w:type="dxa"/>
            <w:noWrap w:val="0"/>
            <w:vAlign w:val="top"/>
          </w:tcPr>
          <w:p>
            <w:pPr>
              <w:spacing w:line="360" w:lineRule="auto"/>
              <w:rPr>
                <w:rFonts w:ascii="宋体" w:cs="宋体"/>
                <w:color w:val="auto"/>
                <w:kern w:val="0"/>
                <w:szCs w:val="21"/>
                <w:highlight w:val="none"/>
                <w:vertAlign w:val="superscript"/>
              </w:rPr>
            </w:pPr>
            <w:r>
              <w:rPr>
                <w:rFonts w:hint="eastAsia" w:cs="宋体"/>
                <w:color w:val="auto"/>
                <w:szCs w:val="21"/>
                <w:highlight w:val="none"/>
              </w:rPr>
              <w:t>□</w:t>
            </w:r>
            <w:r>
              <w:rPr>
                <w:rFonts w:hint="eastAsia" w:ascii="宋体" w:cs="宋体"/>
                <w:color w:val="auto"/>
                <w:kern w:val="0"/>
                <w:szCs w:val="21"/>
                <w:highlight w:val="none"/>
              </w:rPr>
              <w:t>门窗</w:t>
            </w:r>
            <w:r>
              <w:rPr>
                <w:rFonts w:cs="宋体"/>
                <w:color w:val="auto"/>
                <w:szCs w:val="21"/>
                <w:highlight w:val="none"/>
              </w:rPr>
              <w:t>面积</w:t>
            </w:r>
            <w:r>
              <w:rPr>
                <w:rFonts w:hint="eastAsia" w:cs="宋体"/>
                <w:color w:val="auto"/>
                <w:szCs w:val="21"/>
                <w:highlight w:val="none"/>
              </w:rPr>
              <w:t>：</w:t>
            </w:r>
            <w:r>
              <w:rPr>
                <w:rFonts w:hint="eastAsia" w:ascii="宋体" w:cs="宋体"/>
                <w:color w:val="auto"/>
                <w:kern w:val="0"/>
                <w:szCs w:val="21"/>
                <w:highlight w:val="none"/>
                <w:u w:val="single"/>
              </w:rPr>
              <w:t xml:space="preserve">   </w:t>
            </w:r>
            <w:r>
              <w:rPr>
                <w:rFonts w:ascii="宋体" w:cs="宋体"/>
                <w:color w:val="auto"/>
                <w:kern w:val="0"/>
                <w:szCs w:val="21"/>
                <w:highlight w:val="none"/>
                <w:u w:val="single"/>
              </w:rPr>
              <w:t xml:space="preserve">   </w:t>
            </w:r>
            <w:r>
              <w:rPr>
                <w:rFonts w:hint="eastAsia" w:ascii="宋体" w:cs="宋体"/>
                <w:color w:val="auto"/>
                <w:kern w:val="0"/>
                <w:szCs w:val="21"/>
                <w:highlight w:val="none"/>
              </w:rPr>
              <w:t>m</w:t>
            </w:r>
            <w:r>
              <w:rPr>
                <w:rFonts w:ascii="宋体" w:cs="宋体"/>
                <w:color w:val="auto"/>
                <w:kern w:val="0"/>
                <w:szCs w:val="21"/>
                <w:highlight w:val="none"/>
                <w:vertAlign w:val="superscript"/>
              </w:rPr>
              <w:t>2</w:t>
            </w:r>
          </w:p>
          <w:p>
            <w:pPr>
              <w:spacing w:line="360" w:lineRule="auto"/>
              <w:rPr>
                <w:rFonts w:hint="eastAsia" w:ascii="Times New Roman" w:hAnsi="Times New Roman" w:eastAsia="仿宋_GB2312"/>
                <w:color w:val="auto"/>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dxa"/>
            <w:noWrap w:val="0"/>
            <w:vAlign w:val="top"/>
          </w:tcPr>
          <w:p>
            <w:pPr>
              <w:spacing w:line="360" w:lineRule="auto"/>
              <w:rPr>
                <w:rFonts w:hint="eastAsia" w:ascii="Times New Roman" w:hAnsi="Times New Roman" w:eastAsia="仿宋_GB2312"/>
                <w:b/>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边坡</w:t>
            </w:r>
            <w:r>
              <w:rPr>
                <w:rFonts w:ascii="宋体" w:cs="宋体"/>
                <w:b/>
                <w:color w:val="auto"/>
                <w:kern w:val="0"/>
                <w:szCs w:val="21"/>
                <w:highlight w:val="none"/>
              </w:rPr>
              <w:t>与</w:t>
            </w:r>
            <w:r>
              <w:rPr>
                <w:rFonts w:hint="eastAsia" w:ascii="宋体" w:cs="宋体"/>
                <w:b/>
                <w:color w:val="auto"/>
                <w:kern w:val="0"/>
                <w:szCs w:val="21"/>
                <w:highlight w:val="none"/>
              </w:rPr>
              <w:t>基坑支护工程</w:t>
            </w:r>
          </w:p>
        </w:tc>
        <w:tc>
          <w:tcPr>
            <w:tcW w:w="3059" w:type="dxa"/>
            <w:noWrap w:val="0"/>
            <w:vAlign w:val="top"/>
          </w:tcPr>
          <w:p>
            <w:pPr>
              <w:spacing w:line="360" w:lineRule="auto"/>
              <w:rPr>
                <w:rFonts w:ascii="宋体" w:cs="宋体"/>
                <w:color w:val="auto"/>
                <w:kern w:val="0"/>
                <w:szCs w:val="21"/>
                <w:highlight w:val="none"/>
              </w:rPr>
            </w:pPr>
            <w:r>
              <w:rPr>
                <w:rFonts w:hint="eastAsia" w:cs="宋体"/>
                <w:color w:val="auto"/>
                <w:szCs w:val="21"/>
                <w:highlight w:val="none"/>
              </w:rPr>
              <w:t>□边坡长度</w:t>
            </w:r>
            <w:r>
              <w:rPr>
                <w:rFonts w:cs="宋体"/>
                <w:color w:val="auto"/>
                <w:szCs w:val="21"/>
                <w:highlight w:val="none"/>
              </w:rPr>
              <w:t>：</w:t>
            </w:r>
            <w:r>
              <w:rPr>
                <w:rFonts w:hint="eastAsia" w:cs="宋体"/>
                <w:color w:val="auto"/>
                <w:szCs w:val="21"/>
                <w:highlight w:val="none"/>
                <w:u w:val="single"/>
              </w:rPr>
              <w:t xml:space="preserve"> </w:t>
            </w:r>
            <w:r>
              <w:rPr>
                <w:rFonts w:ascii="宋体" w:cs="宋体"/>
                <w:color w:val="auto"/>
                <w:kern w:val="0"/>
                <w:szCs w:val="21"/>
                <w:highlight w:val="none"/>
                <w:u w:val="single"/>
              </w:rPr>
              <w:t xml:space="preserve">          </w:t>
            </w:r>
            <w:r>
              <w:rPr>
                <w:rFonts w:ascii="宋体" w:cs="宋体"/>
                <w:color w:val="auto"/>
                <w:kern w:val="0"/>
                <w:szCs w:val="21"/>
                <w:highlight w:val="none"/>
              </w:rPr>
              <w:t xml:space="preserve"> </w:t>
            </w:r>
            <w:r>
              <w:rPr>
                <w:rFonts w:hint="eastAsia" w:ascii="Times New Roman" w:hAnsi="Times New Roman"/>
                <w:color w:val="auto"/>
                <w:szCs w:val="21"/>
                <w:highlight w:val="none"/>
              </w:rPr>
              <w:t>m</w:t>
            </w:r>
          </w:p>
          <w:p>
            <w:pPr>
              <w:spacing w:line="360" w:lineRule="auto"/>
              <w:rPr>
                <w:rFonts w:ascii="Times New Roman" w:hAnsi="Times New Roman"/>
                <w:color w:val="auto"/>
                <w:szCs w:val="21"/>
                <w:highlight w:val="none"/>
              </w:rPr>
            </w:pPr>
            <w:r>
              <w:rPr>
                <w:rFonts w:hint="eastAsia" w:cs="宋体"/>
                <w:color w:val="auto"/>
                <w:szCs w:val="21"/>
                <w:highlight w:val="none"/>
              </w:rPr>
              <w:t>□边坡高度</w:t>
            </w:r>
            <w:r>
              <w:rPr>
                <w:rFonts w:cs="宋体"/>
                <w:color w:val="auto"/>
                <w:szCs w:val="21"/>
                <w:highlight w:val="none"/>
              </w:rPr>
              <w:t>：</w:t>
            </w:r>
            <w:r>
              <w:rPr>
                <w:rFonts w:hint="eastAsia" w:cs="宋体"/>
                <w:color w:val="auto"/>
                <w:szCs w:val="21"/>
                <w:highlight w:val="none"/>
                <w:u w:val="single"/>
              </w:rPr>
              <w:t xml:space="preserve"> </w:t>
            </w:r>
            <w:r>
              <w:rPr>
                <w:rFonts w:ascii="宋体" w:cs="宋体"/>
                <w:color w:val="auto"/>
                <w:kern w:val="0"/>
                <w:szCs w:val="21"/>
                <w:highlight w:val="none"/>
                <w:u w:val="single"/>
              </w:rPr>
              <w:t xml:space="preserve">          </w:t>
            </w:r>
            <w:r>
              <w:rPr>
                <w:rFonts w:ascii="宋体" w:cs="宋体"/>
                <w:color w:val="auto"/>
                <w:kern w:val="0"/>
                <w:szCs w:val="21"/>
                <w:highlight w:val="none"/>
              </w:rPr>
              <w:t xml:space="preserve"> </w:t>
            </w:r>
            <w:r>
              <w:rPr>
                <w:rFonts w:hint="eastAsia" w:ascii="Times New Roman" w:hAnsi="Times New Roman"/>
                <w:color w:val="auto"/>
                <w:szCs w:val="21"/>
                <w:highlight w:val="none"/>
              </w:rPr>
              <w:t>m</w:t>
            </w:r>
          </w:p>
          <w:p>
            <w:pPr>
              <w:spacing w:line="360" w:lineRule="auto"/>
              <w:rPr>
                <w:rFonts w:ascii="宋体" w:cs="宋体"/>
                <w:color w:val="auto"/>
                <w:kern w:val="0"/>
                <w:szCs w:val="21"/>
                <w:highlight w:val="none"/>
              </w:rPr>
            </w:pPr>
            <w:r>
              <w:rPr>
                <w:rFonts w:hint="eastAsia" w:cs="宋体"/>
                <w:color w:val="auto"/>
                <w:szCs w:val="21"/>
                <w:highlight w:val="none"/>
              </w:rPr>
              <w:t>□基坑周长</w:t>
            </w:r>
            <w:r>
              <w:rPr>
                <w:rFonts w:cs="宋体"/>
                <w:color w:val="auto"/>
                <w:szCs w:val="21"/>
                <w:highlight w:val="none"/>
              </w:rPr>
              <w:t>：</w:t>
            </w:r>
            <w:r>
              <w:rPr>
                <w:rFonts w:hint="eastAsia" w:cs="宋体"/>
                <w:color w:val="auto"/>
                <w:szCs w:val="21"/>
                <w:highlight w:val="none"/>
                <w:u w:val="single"/>
              </w:rPr>
              <w:t xml:space="preserve"> </w:t>
            </w:r>
            <w:r>
              <w:rPr>
                <w:rFonts w:ascii="宋体" w:cs="宋体"/>
                <w:color w:val="auto"/>
                <w:kern w:val="0"/>
                <w:szCs w:val="21"/>
                <w:highlight w:val="none"/>
                <w:u w:val="single"/>
              </w:rPr>
              <w:t xml:space="preserve">          </w:t>
            </w:r>
            <w:r>
              <w:rPr>
                <w:rFonts w:ascii="宋体" w:cs="宋体"/>
                <w:color w:val="auto"/>
                <w:kern w:val="0"/>
                <w:szCs w:val="21"/>
                <w:highlight w:val="none"/>
              </w:rPr>
              <w:t xml:space="preserve"> </w:t>
            </w:r>
            <w:r>
              <w:rPr>
                <w:rFonts w:hint="eastAsia" w:ascii="Times New Roman" w:hAnsi="Times New Roman"/>
                <w:color w:val="auto"/>
                <w:szCs w:val="21"/>
                <w:highlight w:val="none"/>
              </w:rPr>
              <w:t>m</w:t>
            </w:r>
          </w:p>
          <w:p>
            <w:pPr>
              <w:spacing w:line="360" w:lineRule="auto"/>
              <w:rPr>
                <w:rFonts w:hint="eastAsia" w:ascii="Times New Roman" w:hAnsi="Times New Roman" w:eastAsia="仿宋_GB2312"/>
                <w:color w:val="auto"/>
                <w:sz w:val="30"/>
                <w:szCs w:val="30"/>
                <w:highlight w:val="none"/>
              </w:rPr>
            </w:pPr>
            <w:r>
              <w:rPr>
                <w:rFonts w:hint="eastAsia" w:cs="宋体"/>
                <w:color w:val="auto"/>
                <w:szCs w:val="21"/>
                <w:highlight w:val="none"/>
              </w:rPr>
              <w:t>□基坑</w:t>
            </w:r>
            <w:r>
              <w:rPr>
                <w:rFonts w:hint="eastAsia" w:ascii="Times New Roman" w:hAnsi="Times New Roman"/>
                <w:color w:val="auto"/>
                <w:szCs w:val="21"/>
                <w:highlight w:val="none"/>
              </w:rPr>
              <w:t>深</w:t>
            </w:r>
            <w:r>
              <w:rPr>
                <w:rFonts w:hint="eastAsia" w:cs="宋体"/>
                <w:color w:val="auto"/>
                <w:szCs w:val="21"/>
                <w:highlight w:val="none"/>
              </w:rPr>
              <w:t>度</w:t>
            </w:r>
            <w:r>
              <w:rPr>
                <w:rFonts w:cs="宋体"/>
                <w:color w:val="auto"/>
                <w:szCs w:val="21"/>
                <w:highlight w:val="none"/>
              </w:rPr>
              <w:t>：</w:t>
            </w:r>
            <w:r>
              <w:rPr>
                <w:rFonts w:hint="eastAsia" w:cs="宋体"/>
                <w:color w:val="auto"/>
                <w:szCs w:val="21"/>
                <w:highlight w:val="none"/>
                <w:u w:val="single"/>
              </w:rPr>
              <w:t xml:space="preserve"> </w:t>
            </w:r>
            <w:r>
              <w:rPr>
                <w:rFonts w:ascii="宋体" w:cs="宋体"/>
                <w:color w:val="auto"/>
                <w:kern w:val="0"/>
                <w:szCs w:val="21"/>
                <w:highlight w:val="none"/>
                <w:u w:val="single"/>
              </w:rPr>
              <w:t xml:space="preserve">          </w:t>
            </w:r>
            <w:r>
              <w:rPr>
                <w:rFonts w:ascii="宋体" w:cs="宋体"/>
                <w:color w:val="auto"/>
                <w:kern w:val="0"/>
                <w:szCs w:val="21"/>
                <w:highlight w:val="none"/>
              </w:rPr>
              <w:t xml:space="preserve"> </w:t>
            </w:r>
            <w:r>
              <w:rPr>
                <w:rFonts w:hint="eastAsia" w:ascii="Times New Roman" w:hAnsi="Times New Roman"/>
                <w:color w:val="auto"/>
                <w:szCs w:val="21"/>
                <w:highlight w:val="none"/>
              </w:rPr>
              <w:t>m</w:t>
            </w:r>
          </w:p>
        </w:tc>
        <w:tc>
          <w:tcPr>
            <w:tcW w:w="1894" w:type="dxa"/>
            <w:noWrap w:val="0"/>
            <w:vAlign w:val="top"/>
          </w:tcPr>
          <w:p>
            <w:pPr>
              <w:spacing w:line="360" w:lineRule="auto"/>
              <w:rPr>
                <w:rFonts w:hint="eastAsia" w:ascii="Times New Roman" w:hAnsi="Times New Roman" w:eastAsia="仿宋_GB2312"/>
                <w:b/>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建筑智能工程</w:t>
            </w:r>
          </w:p>
        </w:tc>
        <w:tc>
          <w:tcPr>
            <w:tcW w:w="2474" w:type="dxa"/>
            <w:noWrap w:val="0"/>
            <w:vAlign w:val="top"/>
          </w:tcPr>
          <w:p>
            <w:pPr>
              <w:spacing w:line="360" w:lineRule="auto"/>
              <w:rPr>
                <w:rFonts w:ascii="宋体" w:cs="宋体"/>
                <w:color w:val="auto"/>
                <w:kern w:val="0"/>
                <w:szCs w:val="21"/>
                <w:highlight w:val="none"/>
              </w:rPr>
            </w:pPr>
            <w:r>
              <w:rPr>
                <w:rFonts w:hint="eastAsia" w:ascii="宋体" w:cs="宋体"/>
                <w:color w:val="auto"/>
                <w:kern w:val="0"/>
                <w:szCs w:val="21"/>
                <w:highlight w:val="none"/>
              </w:rPr>
              <w:t>□综合布线系统</w:t>
            </w:r>
          </w:p>
          <w:p>
            <w:pPr>
              <w:spacing w:line="360" w:lineRule="auto"/>
              <w:rPr>
                <w:rFonts w:hint="eastAsia" w:ascii="宋体" w:cs="宋体"/>
                <w:color w:val="auto"/>
                <w:kern w:val="0"/>
                <w:szCs w:val="21"/>
                <w:highlight w:val="none"/>
              </w:rPr>
            </w:pPr>
            <w:r>
              <w:rPr>
                <w:rFonts w:hint="eastAsia" w:ascii="宋体" w:cs="宋体"/>
                <w:color w:val="auto"/>
                <w:kern w:val="0"/>
                <w:szCs w:val="21"/>
                <w:highlight w:val="none"/>
              </w:rPr>
              <w:t>□信息网络系统</w:t>
            </w:r>
          </w:p>
          <w:p>
            <w:pPr>
              <w:spacing w:line="360" w:lineRule="auto"/>
              <w:rPr>
                <w:rFonts w:hint="eastAsia" w:ascii="宋体" w:cs="宋体"/>
                <w:color w:val="auto"/>
                <w:kern w:val="0"/>
                <w:szCs w:val="21"/>
                <w:highlight w:val="none"/>
              </w:rPr>
            </w:pPr>
            <w:r>
              <w:rPr>
                <w:rFonts w:hint="eastAsia" w:ascii="宋体" w:cs="宋体"/>
                <w:color w:val="auto"/>
                <w:kern w:val="0"/>
                <w:szCs w:val="21"/>
                <w:highlight w:val="none"/>
              </w:rPr>
              <w:t>□其他配套硬件、软件工程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dxa"/>
            <w:noWrap w:val="0"/>
            <w:vAlign w:val="top"/>
          </w:tcPr>
          <w:p>
            <w:pPr>
              <w:spacing w:line="360" w:lineRule="auto"/>
              <w:rPr>
                <w:rFonts w:hint="eastAsia" w:ascii="Times New Roman" w:hAnsi="Times New Roman" w:eastAsia="仿宋_GB2312"/>
                <w:b/>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地基与基础工程</w:t>
            </w:r>
          </w:p>
        </w:tc>
        <w:tc>
          <w:tcPr>
            <w:tcW w:w="3059" w:type="dxa"/>
            <w:noWrap w:val="0"/>
            <w:vAlign w:val="top"/>
          </w:tcPr>
          <w:p>
            <w:pPr>
              <w:autoSpaceDE w:val="0"/>
              <w:autoSpaceDN w:val="0"/>
              <w:adjustRightInd w:val="0"/>
              <w:rPr>
                <w:rFonts w:ascii="宋体" w:cs="宋体"/>
                <w:color w:val="auto"/>
                <w:kern w:val="0"/>
                <w:szCs w:val="21"/>
                <w:highlight w:val="none"/>
              </w:rPr>
            </w:pPr>
            <w:r>
              <w:rPr>
                <w:rFonts w:hint="eastAsia" w:cs="宋体"/>
                <w:color w:val="auto"/>
                <w:szCs w:val="21"/>
                <w:highlight w:val="none"/>
              </w:rPr>
              <w:t>□</w:t>
            </w:r>
            <w:r>
              <w:rPr>
                <w:rFonts w:hint="eastAsia" w:ascii="宋体" w:cs="宋体"/>
                <w:color w:val="auto"/>
                <w:kern w:val="0"/>
                <w:szCs w:val="21"/>
                <w:highlight w:val="none"/>
              </w:rPr>
              <w:t>桩基类型：</w:t>
            </w:r>
            <w:r>
              <w:rPr>
                <w:rFonts w:ascii="宋体" w:cs="宋体"/>
                <w:color w:val="auto"/>
                <w:kern w:val="0"/>
                <w:szCs w:val="21"/>
                <w:highlight w:val="none"/>
              </w:rPr>
              <w:t xml:space="preserve"> </w:t>
            </w:r>
          </w:p>
          <w:p>
            <w:pPr>
              <w:autoSpaceDE w:val="0"/>
              <w:autoSpaceDN w:val="0"/>
              <w:adjustRightInd w:val="0"/>
              <w:rPr>
                <w:rFonts w:ascii="宋体" w:cs="宋体"/>
                <w:color w:val="auto"/>
                <w:kern w:val="0"/>
                <w:szCs w:val="21"/>
                <w:highlight w:val="none"/>
              </w:rPr>
            </w:pPr>
            <w:r>
              <w:rPr>
                <w:rFonts w:hint="eastAsia" w:ascii="宋体" w:cs="宋体"/>
                <w:color w:val="auto"/>
                <w:kern w:val="0"/>
                <w:szCs w:val="21"/>
                <w:highlight w:val="none"/>
              </w:rPr>
              <w:t xml:space="preserve">桩径/数量： </w:t>
            </w:r>
            <w:r>
              <w:rPr>
                <w:rFonts w:hint="eastAsia" w:ascii="宋体" w:cs="宋体"/>
                <w:color w:val="auto"/>
                <w:kern w:val="0"/>
                <w:szCs w:val="21"/>
                <w:highlight w:val="none"/>
                <w:u w:val="single"/>
              </w:rPr>
              <w:t xml:space="preserve">   </w:t>
            </w:r>
            <w:r>
              <w:rPr>
                <w:rFonts w:ascii="宋体" w:cs="宋体"/>
                <w:color w:val="auto"/>
                <w:kern w:val="0"/>
                <w:szCs w:val="21"/>
                <w:highlight w:val="none"/>
                <w:u w:val="single"/>
              </w:rPr>
              <w:t xml:space="preserve">  </w:t>
            </w:r>
            <w:r>
              <w:rPr>
                <w:rFonts w:hint="eastAsia" w:ascii="Times New Roman" w:hAnsi="Times New Roman"/>
                <w:color w:val="auto"/>
                <w:szCs w:val="21"/>
                <w:highlight w:val="none"/>
              </w:rPr>
              <w:t>mm</w:t>
            </w:r>
            <w:r>
              <w:rPr>
                <w:rFonts w:hint="eastAsia" w:ascii="宋体" w:cs="宋体"/>
                <w:color w:val="auto"/>
                <w:kern w:val="0"/>
                <w:szCs w:val="21"/>
                <w:highlight w:val="none"/>
              </w:rPr>
              <w:t>/</w:t>
            </w:r>
            <w:r>
              <w:rPr>
                <w:rFonts w:hint="eastAsia" w:ascii="宋体" w:cs="宋体"/>
                <w:color w:val="auto"/>
                <w:kern w:val="0"/>
                <w:szCs w:val="21"/>
                <w:highlight w:val="none"/>
                <w:u w:val="single"/>
              </w:rPr>
              <w:t xml:space="preserve">  </w:t>
            </w:r>
            <w:r>
              <w:rPr>
                <w:rFonts w:ascii="宋体" w:cs="宋体"/>
                <w:color w:val="auto"/>
                <w:kern w:val="0"/>
                <w:szCs w:val="21"/>
                <w:highlight w:val="none"/>
                <w:u w:val="single"/>
              </w:rPr>
              <w:t xml:space="preserve">  </w:t>
            </w:r>
            <w:r>
              <w:rPr>
                <w:rFonts w:hint="eastAsia" w:ascii="宋体" w:cs="宋体"/>
                <w:color w:val="auto"/>
                <w:kern w:val="0"/>
                <w:szCs w:val="21"/>
                <w:highlight w:val="none"/>
              </w:rPr>
              <w:t>根</w:t>
            </w:r>
          </w:p>
          <w:p>
            <w:pPr>
              <w:spacing w:line="360" w:lineRule="auto"/>
              <w:rPr>
                <w:rFonts w:hint="eastAsia" w:ascii="Times New Roman" w:hAnsi="Times New Roman"/>
                <w:color w:val="auto"/>
                <w:szCs w:val="21"/>
                <w:highlight w:val="none"/>
              </w:rPr>
            </w:pPr>
            <w:r>
              <w:rPr>
                <w:rFonts w:hint="eastAsia" w:ascii="宋体" w:cs="宋体"/>
                <w:color w:val="auto"/>
                <w:kern w:val="0"/>
                <w:szCs w:val="21"/>
                <w:highlight w:val="none"/>
              </w:rPr>
              <w:t>设计</w:t>
            </w:r>
            <w:r>
              <w:rPr>
                <w:rFonts w:ascii="宋体" w:cs="宋体"/>
                <w:color w:val="auto"/>
                <w:kern w:val="0"/>
                <w:szCs w:val="21"/>
                <w:highlight w:val="none"/>
              </w:rPr>
              <w:t>桩</w:t>
            </w:r>
            <w:r>
              <w:rPr>
                <w:rFonts w:hint="eastAsia" w:ascii="宋体" w:cs="宋体"/>
                <w:color w:val="auto"/>
                <w:kern w:val="0"/>
                <w:szCs w:val="21"/>
                <w:highlight w:val="none"/>
              </w:rPr>
              <w:t>长</w:t>
            </w:r>
            <w:r>
              <w:rPr>
                <w:rFonts w:ascii="宋体" w:cs="宋体"/>
                <w:color w:val="auto"/>
                <w:kern w:val="0"/>
                <w:szCs w:val="21"/>
                <w:highlight w:val="none"/>
              </w:rPr>
              <w:t>：</w:t>
            </w:r>
            <w:r>
              <w:rPr>
                <w:rFonts w:hint="eastAsia" w:ascii="宋体" w:cs="宋体"/>
                <w:color w:val="auto"/>
                <w:kern w:val="0"/>
                <w:szCs w:val="21"/>
                <w:highlight w:val="none"/>
                <w:u w:val="single"/>
              </w:rPr>
              <w:t xml:space="preserve">   </w:t>
            </w:r>
            <w:r>
              <w:rPr>
                <w:rFonts w:ascii="宋体" w:cs="宋体"/>
                <w:color w:val="auto"/>
                <w:kern w:val="0"/>
                <w:szCs w:val="21"/>
                <w:highlight w:val="none"/>
                <w:u w:val="single"/>
              </w:rPr>
              <w:t xml:space="preserve">     </w:t>
            </w:r>
            <w:r>
              <w:rPr>
                <w:rFonts w:hint="eastAsia" w:ascii="宋体" w:cs="宋体"/>
                <w:color w:val="auto"/>
                <w:kern w:val="0"/>
                <w:szCs w:val="21"/>
                <w:highlight w:val="none"/>
                <w:u w:val="single"/>
              </w:rPr>
              <w:t xml:space="preserve">  </w:t>
            </w:r>
            <w:r>
              <w:rPr>
                <w:rFonts w:ascii="宋体" w:cs="宋体"/>
                <w:color w:val="auto"/>
                <w:kern w:val="0"/>
                <w:szCs w:val="21"/>
                <w:highlight w:val="none"/>
                <w:u w:val="single"/>
              </w:rPr>
              <w:t xml:space="preserve">  </w:t>
            </w:r>
            <w:r>
              <w:rPr>
                <w:rFonts w:ascii="宋体" w:cs="宋体"/>
                <w:color w:val="auto"/>
                <w:kern w:val="0"/>
                <w:szCs w:val="21"/>
                <w:highlight w:val="none"/>
              </w:rPr>
              <w:t xml:space="preserve">  </w:t>
            </w:r>
            <w:r>
              <w:rPr>
                <w:rFonts w:ascii="Times New Roman" w:hAnsi="Times New Roman"/>
                <w:color w:val="auto"/>
                <w:szCs w:val="21"/>
                <w:highlight w:val="none"/>
              </w:rPr>
              <w:t>m</w:t>
            </w:r>
          </w:p>
          <w:p>
            <w:pPr>
              <w:spacing w:line="360" w:lineRule="auto"/>
              <w:rPr>
                <w:rFonts w:hint="eastAsia" w:ascii="宋体" w:cs="宋体"/>
                <w:color w:val="auto"/>
                <w:kern w:val="0"/>
                <w:szCs w:val="21"/>
                <w:highlight w:val="none"/>
              </w:rPr>
            </w:pPr>
          </w:p>
          <w:p>
            <w:pPr>
              <w:spacing w:line="360" w:lineRule="auto"/>
              <w:rPr>
                <w:rFonts w:ascii="宋体" w:cs="宋体"/>
                <w:color w:val="auto"/>
                <w:kern w:val="0"/>
                <w:szCs w:val="21"/>
                <w:highlight w:val="none"/>
              </w:rPr>
            </w:pPr>
          </w:p>
          <w:p>
            <w:pPr>
              <w:spacing w:line="360" w:lineRule="auto"/>
              <w:rPr>
                <w:rFonts w:hint="eastAsia" w:ascii="宋体" w:cs="宋体"/>
                <w:color w:val="auto"/>
                <w:kern w:val="0"/>
                <w:szCs w:val="21"/>
                <w:highlight w:val="none"/>
              </w:rPr>
            </w:pPr>
            <w:r>
              <w:rPr>
                <w:rFonts w:hint="eastAsia" w:cs="宋体"/>
                <w:color w:val="auto"/>
                <w:szCs w:val="21"/>
                <w:highlight w:val="none"/>
              </w:rPr>
              <w:t>□</w:t>
            </w:r>
            <w:r>
              <w:rPr>
                <w:rFonts w:hint="eastAsia" w:ascii="宋体" w:cs="宋体"/>
                <w:color w:val="auto"/>
                <w:kern w:val="0"/>
                <w:szCs w:val="21"/>
                <w:highlight w:val="none"/>
              </w:rPr>
              <w:t>其他基础形式：</w:t>
            </w:r>
          </w:p>
          <w:p>
            <w:pPr>
              <w:spacing w:line="360" w:lineRule="auto"/>
              <w:rPr>
                <w:rFonts w:hint="eastAsia" w:ascii="宋体" w:cs="宋体"/>
                <w:color w:val="auto"/>
                <w:kern w:val="0"/>
                <w:szCs w:val="21"/>
                <w:highlight w:val="none"/>
              </w:rPr>
            </w:pPr>
          </w:p>
          <w:p>
            <w:pPr>
              <w:spacing w:line="360" w:lineRule="auto"/>
              <w:rPr>
                <w:rFonts w:hint="eastAsia" w:ascii="Times New Roman" w:hAnsi="Times New Roman" w:eastAsia="仿宋_GB2312"/>
                <w:color w:val="auto"/>
                <w:sz w:val="30"/>
                <w:szCs w:val="30"/>
                <w:highlight w:val="none"/>
              </w:rPr>
            </w:pPr>
          </w:p>
        </w:tc>
        <w:tc>
          <w:tcPr>
            <w:tcW w:w="1894" w:type="dxa"/>
            <w:noWrap w:val="0"/>
            <w:vAlign w:val="top"/>
          </w:tcPr>
          <w:p>
            <w:pPr>
              <w:spacing w:line="360" w:lineRule="auto"/>
              <w:rPr>
                <w:rFonts w:hint="eastAsia" w:ascii="Times New Roman" w:hAnsi="Times New Roman" w:eastAsia="仿宋_GB2312"/>
                <w:b/>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通风空调工程</w:t>
            </w:r>
          </w:p>
        </w:tc>
        <w:tc>
          <w:tcPr>
            <w:tcW w:w="2474" w:type="dxa"/>
            <w:noWrap w:val="0"/>
            <w:vAlign w:val="top"/>
          </w:tcPr>
          <w:p>
            <w:pPr>
              <w:autoSpaceDE w:val="0"/>
              <w:autoSpaceDN w:val="0"/>
              <w:adjustRightInd w:val="0"/>
              <w:rPr>
                <w:rFonts w:ascii="宋体" w:cs="宋体"/>
                <w:color w:val="auto"/>
                <w:kern w:val="0"/>
                <w:szCs w:val="21"/>
                <w:highlight w:val="none"/>
              </w:rPr>
            </w:pPr>
            <w:r>
              <w:rPr>
                <w:rFonts w:hint="eastAsia" w:cs="宋体"/>
                <w:color w:val="auto"/>
                <w:szCs w:val="21"/>
                <w:highlight w:val="none"/>
              </w:rPr>
              <w:t>□</w:t>
            </w:r>
            <w:r>
              <w:rPr>
                <w:rFonts w:hint="eastAsia" w:ascii="宋体" w:cs="宋体"/>
                <w:color w:val="auto"/>
                <w:kern w:val="0"/>
                <w:szCs w:val="21"/>
                <w:highlight w:val="none"/>
              </w:rPr>
              <w:t>使用面积：</w:t>
            </w:r>
            <w:r>
              <w:rPr>
                <w:rFonts w:hint="eastAsia" w:ascii="宋体" w:cs="宋体"/>
                <w:color w:val="auto"/>
                <w:kern w:val="0"/>
                <w:szCs w:val="21"/>
                <w:highlight w:val="none"/>
                <w:u w:val="single"/>
              </w:rPr>
              <w:t xml:space="preserve">    </w:t>
            </w:r>
            <w:r>
              <w:rPr>
                <w:rFonts w:ascii="宋体" w:cs="宋体"/>
                <w:color w:val="auto"/>
                <w:kern w:val="0"/>
                <w:szCs w:val="21"/>
                <w:highlight w:val="none"/>
                <w:u w:val="single"/>
              </w:rPr>
              <w:t xml:space="preserve"> </w:t>
            </w:r>
            <w:r>
              <w:rPr>
                <w:rFonts w:hint="eastAsia" w:ascii="Times New Roman" w:hAnsi="Times New Roman"/>
                <w:color w:val="auto"/>
                <w:szCs w:val="21"/>
                <w:highlight w:val="none"/>
              </w:rPr>
              <w:t>m</w:t>
            </w:r>
            <w:r>
              <w:rPr>
                <w:rFonts w:ascii="宋体" w:cs="宋体"/>
                <w:color w:val="auto"/>
                <w:kern w:val="0"/>
                <w:szCs w:val="21"/>
                <w:highlight w:val="none"/>
                <w:vertAlign w:val="superscript"/>
              </w:rPr>
              <w:t>2</w:t>
            </w:r>
          </w:p>
          <w:p>
            <w:pPr>
              <w:spacing w:line="360" w:lineRule="auto"/>
              <w:rPr>
                <w:rFonts w:hint="eastAsia" w:cs="宋体"/>
                <w:color w:val="auto"/>
                <w:szCs w:val="21"/>
                <w:highlight w:val="none"/>
              </w:rPr>
            </w:pPr>
          </w:p>
          <w:p>
            <w:pPr>
              <w:spacing w:line="360" w:lineRule="auto"/>
              <w:rPr>
                <w:rFonts w:hint="eastAsia" w:ascii="Times New Roman" w:hAnsi="Times New Roman" w:eastAsia="仿宋_GB2312"/>
                <w:color w:val="auto"/>
                <w:sz w:val="30"/>
                <w:szCs w:val="30"/>
                <w:highlight w:val="none"/>
              </w:rPr>
            </w:pPr>
            <w:r>
              <w:rPr>
                <w:rFonts w:hint="eastAsia" w:cs="宋体"/>
                <w:color w:val="auto"/>
                <w:szCs w:val="21"/>
                <w:highlight w:val="none"/>
              </w:rPr>
              <w:t>□</w:t>
            </w:r>
            <w:r>
              <w:rPr>
                <w:rFonts w:hint="eastAsia" w:ascii="宋体" w:cs="宋体"/>
                <w:color w:val="auto"/>
                <w:kern w:val="0"/>
                <w:szCs w:val="21"/>
                <w:highlight w:val="none"/>
              </w:rPr>
              <w:t>冷负荷：</w:t>
            </w:r>
            <w:r>
              <w:rPr>
                <w:rFonts w:ascii="宋体" w:cs="宋体"/>
                <w:color w:val="auto"/>
                <w:kern w:val="0"/>
                <w:szCs w:val="21"/>
                <w:highlight w:val="none"/>
                <w:u w:val="single"/>
              </w:rPr>
              <w:t xml:space="preserve"> </w:t>
            </w:r>
            <w:r>
              <w:rPr>
                <w:rFonts w:hint="eastAsia" w:ascii="宋体" w:cs="宋体"/>
                <w:color w:val="auto"/>
                <w:kern w:val="0"/>
                <w:szCs w:val="21"/>
                <w:highlight w:val="none"/>
                <w:u w:val="single"/>
              </w:rPr>
              <w:t xml:space="preserve">     </w:t>
            </w:r>
            <w:r>
              <w:rPr>
                <w:rFonts w:ascii="宋体" w:cs="宋体"/>
                <w:color w:val="auto"/>
                <w:kern w:val="0"/>
                <w:szCs w:val="21"/>
                <w:highlight w:val="none"/>
              </w:rPr>
              <w:t>RT</w:t>
            </w:r>
            <w:r>
              <w:rPr>
                <w:rFonts w:hint="eastAsia" w:ascii="宋体" w:cs="宋体"/>
                <w:color w:val="auto"/>
                <w:kern w:val="0"/>
                <w:szCs w:val="21"/>
                <w:highlight w:val="none"/>
              </w:rPr>
              <w:t>（冷吨）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dxa"/>
            <w:noWrap w:val="0"/>
            <w:vAlign w:val="top"/>
          </w:tcPr>
          <w:p>
            <w:pPr>
              <w:spacing w:line="360" w:lineRule="auto"/>
              <w:rPr>
                <w:rFonts w:hint="eastAsia" w:ascii="Times New Roman" w:hAnsi="Times New Roman" w:eastAsia="仿宋_GB2312"/>
                <w:b/>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主体结构工程</w:t>
            </w:r>
          </w:p>
        </w:tc>
        <w:tc>
          <w:tcPr>
            <w:tcW w:w="3059" w:type="dxa"/>
            <w:noWrap w:val="0"/>
            <w:vAlign w:val="top"/>
          </w:tcPr>
          <w:p>
            <w:pPr>
              <w:autoSpaceDE w:val="0"/>
              <w:autoSpaceDN w:val="0"/>
              <w:adjustRightInd w:val="0"/>
              <w:rPr>
                <w:rFonts w:ascii="宋体" w:cs="宋体"/>
                <w:color w:val="auto"/>
                <w:kern w:val="0"/>
                <w:szCs w:val="21"/>
                <w:highlight w:val="none"/>
              </w:rPr>
            </w:pPr>
            <w:r>
              <w:rPr>
                <w:rFonts w:hint="eastAsia" w:cs="宋体"/>
                <w:color w:val="auto"/>
                <w:szCs w:val="21"/>
                <w:highlight w:val="none"/>
              </w:rPr>
              <w:t>□钢筋</w:t>
            </w:r>
            <w:r>
              <w:rPr>
                <w:rFonts w:hint="eastAsia" w:ascii="宋体" w:cs="宋体"/>
                <w:color w:val="auto"/>
                <w:kern w:val="0"/>
                <w:szCs w:val="21"/>
                <w:highlight w:val="none"/>
              </w:rPr>
              <w:t>混凝土</w:t>
            </w:r>
            <w:r>
              <w:rPr>
                <w:rFonts w:ascii="宋体" w:cs="宋体"/>
                <w:color w:val="auto"/>
                <w:kern w:val="0"/>
                <w:szCs w:val="21"/>
                <w:highlight w:val="none"/>
              </w:rPr>
              <w:t xml:space="preserve">  </w:t>
            </w:r>
            <w:r>
              <w:rPr>
                <w:rFonts w:hint="eastAsia" w:cs="宋体"/>
                <w:color w:val="auto"/>
                <w:szCs w:val="21"/>
                <w:highlight w:val="none"/>
              </w:rPr>
              <w:t>□</w:t>
            </w:r>
            <w:r>
              <w:rPr>
                <w:rFonts w:hint="eastAsia" w:ascii="宋体" w:cs="宋体"/>
                <w:color w:val="auto"/>
                <w:kern w:val="0"/>
                <w:szCs w:val="21"/>
                <w:highlight w:val="none"/>
              </w:rPr>
              <w:t>砌体</w:t>
            </w:r>
          </w:p>
          <w:p>
            <w:pPr>
              <w:autoSpaceDE w:val="0"/>
              <w:autoSpaceDN w:val="0"/>
              <w:adjustRightInd w:val="0"/>
              <w:rPr>
                <w:rFonts w:ascii="宋体" w:cs="宋体"/>
                <w:color w:val="auto"/>
                <w:kern w:val="0"/>
                <w:szCs w:val="21"/>
                <w:highlight w:val="none"/>
              </w:rPr>
            </w:pPr>
            <w:r>
              <w:rPr>
                <w:rFonts w:hint="eastAsia" w:cs="宋体"/>
                <w:color w:val="auto"/>
                <w:szCs w:val="21"/>
                <w:highlight w:val="none"/>
              </w:rPr>
              <w:t>□</w:t>
            </w:r>
            <w:r>
              <w:rPr>
                <w:rFonts w:hint="eastAsia" w:ascii="宋体" w:cs="宋体"/>
                <w:color w:val="auto"/>
                <w:kern w:val="0"/>
                <w:szCs w:val="21"/>
                <w:highlight w:val="none"/>
              </w:rPr>
              <w:t xml:space="preserve">钢结构  </w:t>
            </w:r>
            <w:r>
              <w:rPr>
                <w:rFonts w:ascii="宋体" w:cs="宋体"/>
                <w:color w:val="auto"/>
                <w:kern w:val="0"/>
                <w:szCs w:val="21"/>
                <w:highlight w:val="none"/>
              </w:rPr>
              <w:t xml:space="preserve">    </w:t>
            </w:r>
            <w:r>
              <w:rPr>
                <w:rFonts w:hint="eastAsia" w:cs="宋体"/>
                <w:color w:val="auto"/>
                <w:szCs w:val="21"/>
                <w:highlight w:val="none"/>
              </w:rPr>
              <w:t>□</w:t>
            </w:r>
            <w:r>
              <w:rPr>
                <w:rFonts w:hint="eastAsia" w:ascii="宋体" w:cs="宋体"/>
                <w:color w:val="auto"/>
                <w:kern w:val="0"/>
                <w:szCs w:val="21"/>
                <w:highlight w:val="none"/>
              </w:rPr>
              <w:t>网架</w:t>
            </w:r>
          </w:p>
          <w:p>
            <w:pPr>
              <w:spacing w:line="360" w:lineRule="auto"/>
              <w:rPr>
                <w:rFonts w:hint="eastAsia" w:ascii="宋体" w:cs="宋体"/>
                <w:color w:val="auto"/>
                <w:kern w:val="0"/>
                <w:szCs w:val="21"/>
                <w:highlight w:val="none"/>
              </w:rPr>
            </w:pPr>
            <w:r>
              <w:rPr>
                <w:rFonts w:hint="eastAsia" w:cs="宋体"/>
                <w:color w:val="auto"/>
                <w:szCs w:val="21"/>
                <w:highlight w:val="none"/>
              </w:rPr>
              <w:t>□</w:t>
            </w:r>
            <w:r>
              <w:rPr>
                <w:rFonts w:hint="eastAsia" w:ascii="宋体" w:cs="宋体"/>
                <w:color w:val="auto"/>
                <w:kern w:val="0"/>
                <w:szCs w:val="21"/>
                <w:highlight w:val="none"/>
              </w:rPr>
              <w:t>索膜结构</w:t>
            </w:r>
          </w:p>
        </w:tc>
        <w:tc>
          <w:tcPr>
            <w:tcW w:w="1894" w:type="dxa"/>
            <w:noWrap w:val="0"/>
            <w:vAlign w:val="top"/>
          </w:tcPr>
          <w:p>
            <w:pPr>
              <w:spacing w:line="360" w:lineRule="auto"/>
              <w:rPr>
                <w:rFonts w:hint="eastAsia" w:ascii="Times New Roman" w:hAnsi="Times New Roman" w:eastAsia="仿宋_GB2312"/>
                <w:b/>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景观</w:t>
            </w:r>
            <w:r>
              <w:rPr>
                <w:rFonts w:ascii="宋体" w:cs="宋体"/>
                <w:b/>
                <w:color w:val="auto"/>
                <w:kern w:val="0"/>
                <w:szCs w:val="21"/>
                <w:highlight w:val="none"/>
              </w:rPr>
              <w:t>绿化</w:t>
            </w:r>
            <w:r>
              <w:rPr>
                <w:rFonts w:hint="eastAsia" w:ascii="宋体" w:cs="宋体"/>
                <w:b/>
                <w:color w:val="auto"/>
                <w:kern w:val="0"/>
                <w:szCs w:val="21"/>
                <w:highlight w:val="none"/>
              </w:rPr>
              <w:t>工程</w:t>
            </w:r>
          </w:p>
        </w:tc>
        <w:tc>
          <w:tcPr>
            <w:tcW w:w="2474" w:type="dxa"/>
            <w:noWrap w:val="0"/>
            <w:vAlign w:val="top"/>
          </w:tcPr>
          <w:p>
            <w:pPr>
              <w:spacing w:line="360" w:lineRule="auto"/>
              <w:rPr>
                <w:rFonts w:hint="eastAsia" w:ascii="Times New Roman" w:hAnsi="Times New Roman" w:eastAsia="仿宋_GB2312"/>
                <w:color w:val="auto"/>
                <w:sz w:val="30"/>
                <w:szCs w:val="30"/>
                <w:highlight w:val="none"/>
              </w:rPr>
            </w:pPr>
            <w:r>
              <w:rPr>
                <w:rFonts w:hint="eastAsia" w:cs="宋体"/>
                <w:color w:val="auto"/>
                <w:szCs w:val="21"/>
                <w:highlight w:val="none"/>
              </w:rPr>
              <w:t>□面积</w:t>
            </w:r>
            <w:r>
              <w:rPr>
                <w:rFonts w:cs="宋体"/>
                <w:color w:val="auto"/>
                <w:szCs w:val="21"/>
                <w:highlight w:val="none"/>
              </w:rPr>
              <w:t>：</w:t>
            </w:r>
            <w:r>
              <w:rPr>
                <w:rFonts w:hint="eastAsia" w:ascii="宋体" w:cs="宋体"/>
                <w:color w:val="auto"/>
                <w:kern w:val="0"/>
                <w:szCs w:val="21"/>
                <w:highlight w:val="none"/>
                <w:u w:val="single"/>
              </w:rPr>
              <w:t xml:space="preserve">   </w:t>
            </w:r>
            <w:r>
              <w:rPr>
                <w:rFonts w:ascii="宋体" w:cs="宋体"/>
                <w:color w:val="auto"/>
                <w:kern w:val="0"/>
                <w:szCs w:val="21"/>
                <w:highlight w:val="none"/>
                <w:u w:val="single"/>
              </w:rPr>
              <w:t xml:space="preserve">     </w:t>
            </w:r>
            <w:r>
              <w:rPr>
                <w:rFonts w:ascii="宋体" w:cs="宋体"/>
                <w:color w:val="auto"/>
                <w:kern w:val="0"/>
                <w:szCs w:val="21"/>
                <w:highlight w:val="none"/>
              </w:rPr>
              <w:t xml:space="preserve"> </w:t>
            </w:r>
            <w:r>
              <w:rPr>
                <w:rFonts w:hint="eastAsia" w:ascii="Times New Roman" w:hAnsi="Times New Roman"/>
                <w:color w:val="auto"/>
                <w:szCs w:val="21"/>
                <w:highlight w:val="none"/>
              </w:rPr>
              <w:t>m</w:t>
            </w:r>
            <w:r>
              <w:rPr>
                <w:rFonts w:ascii="宋体" w:cs="宋体"/>
                <w:color w:val="auto"/>
                <w:kern w:val="0"/>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dxa"/>
            <w:noWrap w:val="0"/>
            <w:vAlign w:val="top"/>
          </w:tcPr>
          <w:p>
            <w:pPr>
              <w:spacing w:line="360" w:lineRule="auto"/>
              <w:rPr>
                <w:rFonts w:hint="eastAsia" w:ascii="Times New Roman" w:hAnsi="Times New Roman" w:eastAsia="仿宋_GB2312"/>
                <w:b/>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装饰、装修及</w:t>
            </w:r>
            <w:r>
              <w:rPr>
                <w:rFonts w:ascii="宋体" w:cs="宋体"/>
                <w:b/>
                <w:color w:val="auto"/>
                <w:kern w:val="0"/>
                <w:szCs w:val="21"/>
                <w:highlight w:val="none"/>
              </w:rPr>
              <w:t>幕墙</w:t>
            </w:r>
            <w:r>
              <w:rPr>
                <w:rFonts w:hint="eastAsia" w:ascii="宋体" w:cs="宋体"/>
                <w:b/>
                <w:color w:val="auto"/>
                <w:kern w:val="0"/>
                <w:szCs w:val="21"/>
                <w:highlight w:val="none"/>
              </w:rPr>
              <w:t>工程</w:t>
            </w:r>
          </w:p>
        </w:tc>
        <w:tc>
          <w:tcPr>
            <w:tcW w:w="3059" w:type="dxa"/>
            <w:noWrap w:val="0"/>
            <w:vAlign w:val="top"/>
          </w:tcPr>
          <w:p>
            <w:pPr>
              <w:autoSpaceDE w:val="0"/>
              <w:autoSpaceDN w:val="0"/>
              <w:adjustRightInd w:val="0"/>
              <w:rPr>
                <w:rFonts w:ascii="宋体" w:cs="宋体"/>
                <w:color w:val="auto"/>
                <w:kern w:val="0"/>
                <w:szCs w:val="21"/>
                <w:highlight w:val="none"/>
              </w:rPr>
            </w:pPr>
            <w:r>
              <w:rPr>
                <w:rFonts w:hint="eastAsia" w:cs="宋体"/>
                <w:color w:val="auto"/>
                <w:szCs w:val="21"/>
                <w:highlight w:val="none"/>
              </w:rPr>
              <w:t>□</w:t>
            </w:r>
            <w:r>
              <w:rPr>
                <w:rFonts w:hint="eastAsia" w:ascii="宋体" w:cs="宋体"/>
                <w:color w:val="auto"/>
                <w:kern w:val="0"/>
                <w:szCs w:val="21"/>
                <w:highlight w:val="none"/>
              </w:rPr>
              <w:t>装修</w:t>
            </w:r>
            <w:r>
              <w:rPr>
                <w:rFonts w:ascii="宋体" w:cs="宋体"/>
                <w:color w:val="auto"/>
                <w:kern w:val="0"/>
                <w:szCs w:val="21"/>
                <w:highlight w:val="none"/>
              </w:rPr>
              <w:t>面积</w:t>
            </w:r>
            <w:r>
              <w:rPr>
                <w:rFonts w:hint="eastAsia" w:ascii="宋体" w:cs="宋体"/>
                <w:color w:val="auto"/>
                <w:kern w:val="0"/>
                <w:szCs w:val="21"/>
                <w:highlight w:val="none"/>
              </w:rPr>
              <w:t>：</w:t>
            </w:r>
            <w:r>
              <w:rPr>
                <w:rFonts w:hint="eastAsia" w:ascii="宋体" w:cs="宋体"/>
                <w:color w:val="auto"/>
                <w:kern w:val="0"/>
                <w:szCs w:val="21"/>
                <w:highlight w:val="none"/>
                <w:u w:val="single"/>
              </w:rPr>
              <w:t xml:space="preserve">   </w:t>
            </w:r>
            <w:r>
              <w:rPr>
                <w:rFonts w:ascii="宋体" w:cs="宋体"/>
                <w:color w:val="auto"/>
                <w:kern w:val="0"/>
                <w:szCs w:val="21"/>
                <w:highlight w:val="none"/>
                <w:u w:val="single"/>
              </w:rPr>
              <w:t xml:space="preserve">  </w:t>
            </w:r>
            <w:r>
              <w:rPr>
                <w:rFonts w:hint="eastAsia" w:ascii="宋体" w:cs="宋体"/>
                <w:color w:val="auto"/>
                <w:kern w:val="0"/>
                <w:szCs w:val="21"/>
                <w:highlight w:val="none"/>
                <w:u w:val="single"/>
              </w:rPr>
              <w:t xml:space="preserve">       </w:t>
            </w:r>
            <w:r>
              <w:rPr>
                <w:rFonts w:hint="eastAsia" w:ascii="宋体" w:cs="宋体"/>
                <w:color w:val="auto"/>
                <w:kern w:val="0"/>
                <w:szCs w:val="21"/>
                <w:highlight w:val="none"/>
              </w:rPr>
              <w:t xml:space="preserve"> </w:t>
            </w:r>
            <w:r>
              <w:rPr>
                <w:rFonts w:hint="eastAsia" w:ascii="Times New Roman" w:hAnsi="Times New Roman"/>
                <w:color w:val="auto"/>
                <w:szCs w:val="21"/>
                <w:highlight w:val="none"/>
              </w:rPr>
              <w:t>m</w:t>
            </w:r>
            <w:r>
              <w:rPr>
                <w:rFonts w:ascii="宋体" w:cs="宋体"/>
                <w:color w:val="auto"/>
                <w:kern w:val="0"/>
                <w:szCs w:val="21"/>
                <w:highlight w:val="none"/>
                <w:vertAlign w:val="superscript"/>
              </w:rPr>
              <w:t>2</w:t>
            </w:r>
            <w:r>
              <w:rPr>
                <w:rFonts w:ascii="宋体" w:cs="宋体"/>
                <w:color w:val="auto"/>
                <w:kern w:val="0"/>
                <w:szCs w:val="21"/>
                <w:highlight w:val="none"/>
              </w:rPr>
              <w:t xml:space="preserve"> </w:t>
            </w:r>
          </w:p>
          <w:p>
            <w:pPr>
              <w:spacing w:line="360" w:lineRule="auto"/>
              <w:rPr>
                <w:rFonts w:hint="eastAsia" w:ascii="Times New Roman" w:hAnsi="Times New Roman" w:eastAsia="仿宋_GB2312"/>
                <w:color w:val="auto"/>
                <w:sz w:val="30"/>
                <w:szCs w:val="30"/>
                <w:highlight w:val="none"/>
              </w:rPr>
            </w:pPr>
            <w:r>
              <w:rPr>
                <w:rFonts w:hint="eastAsia" w:cs="宋体"/>
                <w:color w:val="auto"/>
                <w:szCs w:val="21"/>
                <w:highlight w:val="none"/>
              </w:rPr>
              <w:t>□</w:t>
            </w:r>
            <w:r>
              <w:rPr>
                <w:rFonts w:hint="eastAsia" w:ascii="宋体" w:cs="宋体"/>
                <w:color w:val="auto"/>
                <w:kern w:val="0"/>
                <w:szCs w:val="21"/>
                <w:highlight w:val="none"/>
              </w:rPr>
              <w:t>幕墙：</w:t>
            </w:r>
            <w:r>
              <w:rPr>
                <w:rFonts w:ascii="宋体" w:cs="宋体"/>
                <w:color w:val="auto"/>
                <w:kern w:val="0"/>
                <w:szCs w:val="21"/>
                <w:highlight w:val="none"/>
                <w:u w:val="single"/>
              </w:rPr>
              <w:t xml:space="preserve">                </w:t>
            </w:r>
            <w:r>
              <w:rPr>
                <w:rFonts w:ascii="宋体" w:cs="宋体"/>
                <w:color w:val="auto"/>
                <w:kern w:val="0"/>
                <w:szCs w:val="21"/>
                <w:highlight w:val="none"/>
              </w:rPr>
              <w:t xml:space="preserve"> </w:t>
            </w:r>
            <w:r>
              <w:rPr>
                <w:rFonts w:hint="eastAsia" w:ascii="Times New Roman" w:hAnsi="Times New Roman"/>
                <w:color w:val="auto"/>
                <w:szCs w:val="21"/>
                <w:highlight w:val="none"/>
              </w:rPr>
              <w:t>m</w:t>
            </w:r>
            <w:r>
              <w:rPr>
                <w:rFonts w:ascii="宋体" w:cs="宋体"/>
                <w:color w:val="auto"/>
                <w:kern w:val="0"/>
                <w:szCs w:val="21"/>
                <w:highlight w:val="none"/>
                <w:vertAlign w:val="superscript"/>
              </w:rPr>
              <w:t>2</w:t>
            </w:r>
          </w:p>
        </w:tc>
        <w:tc>
          <w:tcPr>
            <w:tcW w:w="1894" w:type="dxa"/>
            <w:noWrap w:val="0"/>
            <w:vAlign w:val="top"/>
          </w:tcPr>
          <w:p>
            <w:pPr>
              <w:spacing w:line="360" w:lineRule="auto"/>
              <w:rPr>
                <w:rFonts w:hint="eastAsia" w:ascii="Times New Roman" w:hAnsi="Times New Roman" w:eastAsia="仿宋_GB2312"/>
                <w:b/>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电梯工程</w:t>
            </w:r>
          </w:p>
        </w:tc>
        <w:tc>
          <w:tcPr>
            <w:tcW w:w="2474" w:type="dxa"/>
            <w:noWrap w:val="0"/>
            <w:vAlign w:val="top"/>
          </w:tcPr>
          <w:p>
            <w:pPr>
              <w:autoSpaceDE w:val="0"/>
              <w:autoSpaceDN w:val="0"/>
              <w:adjustRightInd w:val="0"/>
              <w:rPr>
                <w:rFonts w:ascii="宋体" w:cs="宋体"/>
                <w:color w:val="auto"/>
                <w:kern w:val="0"/>
                <w:szCs w:val="21"/>
                <w:highlight w:val="none"/>
              </w:rPr>
            </w:pPr>
            <w:r>
              <w:rPr>
                <w:rFonts w:hint="eastAsia" w:cs="宋体"/>
                <w:color w:val="auto"/>
                <w:szCs w:val="21"/>
                <w:highlight w:val="none"/>
              </w:rPr>
              <w:t>□升降</w:t>
            </w:r>
            <w:r>
              <w:rPr>
                <w:rFonts w:hint="eastAsia" w:ascii="宋体" w:cs="宋体"/>
                <w:color w:val="auto"/>
                <w:kern w:val="0"/>
                <w:szCs w:val="21"/>
                <w:highlight w:val="none"/>
              </w:rPr>
              <w:t>电梯：</w:t>
            </w:r>
            <w:r>
              <w:rPr>
                <w:rFonts w:ascii="宋体" w:cs="宋体"/>
                <w:color w:val="auto"/>
                <w:kern w:val="0"/>
                <w:szCs w:val="21"/>
                <w:highlight w:val="none"/>
                <w:u w:val="single"/>
              </w:rPr>
              <w:t xml:space="preserve">    </w:t>
            </w:r>
            <w:r>
              <w:rPr>
                <w:rFonts w:ascii="宋体" w:cs="宋体"/>
                <w:color w:val="auto"/>
                <w:kern w:val="0"/>
                <w:szCs w:val="21"/>
                <w:highlight w:val="none"/>
              </w:rPr>
              <w:t xml:space="preserve"> </w:t>
            </w:r>
            <w:r>
              <w:rPr>
                <w:rFonts w:hint="eastAsia" w:ascii="宋体" w:cs="宋体"/>
                <w:color w:val="auto"/>
                <w:kern w:val="0"/>
                <w:szCs w:val="21"/>
                <w:highlight w:val="none"/>
              </w:rPr>
              <w:t>部</w:t>
            </w:r>
            <w:r>
              <w:rPr>
                <w:rFonts w:ascii="宋体" w:cs="宋体"/>
                <w:color w:val="auto"/>
                <w:kern w:val="0"/>
                <w:szCs w:val="21"/>
                <w:highlight w:val="none"/>
              </w:rPr>
              <w:t xml:space="preserve"> </w:t>
            </w:r>
          </w:p>
          <w:p>
            <w:pPr>
              <w:spacing w:line="360" w:lineRule="auto"/>
              <w:rPr>
                <w:rFonts w:hint="eastAsia" w:ascii="Times New Roman" w:hAnsi="Times New Roman" w:eastAsia="仿宋_GB2312"/>
                <w:color w:val="auto"/>
                <w:sz w:val="30"/>
                <w:szCs w:val="30"/>
                <w:highlight w:val="none"/>
              </w:rPr>
            </w:pPr>
            <w:r>
              <w:rPr>
                <w:rFonts w:hint="eastAsia" w:cs="宋体"/>
                <w:color w:val="auto"/>
                <w:szCs w:val="21"/>
                <w:highlight w:val="none"/>
              </w:rPr>
              <w:t>□</w:t>
            </w:r>
            <w:r>
              <w:rPr>
                <w:rFonts w:hint="eastAsia" w:ascii="宋体" w:cs="宋体"/>
                <w:color w:val="auto"/>
                <w:kern w:val="0"/>
                <w:szCs w:val="21"/>
                <w:highlight w:val="none"/>
              </w:rPr>
              <w:t>自动扶梯：</w:t>
            </w:r>
            <w:r>
              <w:rPr>
                <w:rFonts w:hint="eastAsia" w:ascii="宋体" w:cs="宋体"/>
                <w:color w:val="auto"/>
                <w:kern w:val="0"/>
                <w:szCs w:val="21"/>
                <w:highlight w:val="none"/>
                <w:u w:val="single"/>
              </w:rPr>
              <w:t xml:space="preserve"> </w:t>
            </w:r>
            <w:r>
              <w:rPr>
                <w:rFonts w:ascii="宋体" w:cs="宋体"/>
                <w:color w:val="auto"/>
                <w:kern w:val="0"/>
                <w:szCs w:val="21"/>
                <w:highlight w:val="none"/>
                <w:u w:val="single"/>
              </w:rPr>
              <w:t xml:space="preserve">    </w:t>
            </w:r>
            <w:r>
              <w:rPr>
                <w:rFonts w:hint="eastAsia" w:ascii="宋体" w:cs="宋体"/>
                <w:color w:val="auto"/>
                <w:kern w:val="0"/>
                <w:szCs w:val="21"/>
                <w:highlight w:val="none"/>
              </w:rPr>
              <w:t>部</w:t>
            </w:r>
            <w:r>
              <w:rPr>
                <w:rFonts w:ascii="宋体" w:cs="宋体"/>
                <w:color w:val="auto"/>
                <w:kern w:val="0"/>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dxa"/>
            <w:noWrap w:val="0"/>
            <w:vAlign w:val="top"/>
          </w:tcPr>
          <w:p>
            <w:pPr>
              <w:spacing w:line="360" w:lineRule="auto"/>
              <w:rPr>
                <w:rFonts w:hint="eastAsia" w:ascii="Times New Roman" w:hAnsi="Times New Roman" w:eastAsia="仿宋_GB2312"/>
                <w:b/>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屋面与防水工程</w:t>
            </w:r>
          </w:p>
        </w:tc>
        <w:tc>
          <w:tcPr>
            <w:tcW w:w="3059" w:type="dxa"/>
            <w:noWrap w:val="0"/>
            <w:vAlign w:val="top"/>
          </w:tcPr>
          <w:p>
            <w:pPr>
              <w:spacing w:line="360" w:lineRule="auto"/>
              <w:rPr>
                <w:rFonts w:cs="宋体"/>
                <w:color w:val="auto"/>
                <w:szCs w:val="21"/>
                <w:highlight w:val="none"/>
              </w:rPr>
            </w:pPr>
            <w:r>
              <w:rPr>
                <w:rFonts w:hint="eastAsia" w:cs="宋体"/>
                <w:color w:val="auto"/>
                <w:szCs w:val="21"/>
                <w:highlight w:val="none"/>
              </w:rPr>
              <w:t>□屋面构造层面积：</w:t>
            </w:r>
            <w:r>
              <w:rPr>
                <w:rFonts w:hint="eastAsia" w:ascii="宋体" w:cs="宋体"/>
                <w:color w:val="auto"/>
                <w:kern w:val="0"/>
                <w:szCs w:val="21"/>
                <w:highlight w:val="none"/>
                <w:u w:val="single"/>
              </w:rPr>
              <w:t xml:space="preserve">   </w:t>
            </w:r>
            <w:r>
              <w:rPr>
                <w:rFonts w:ascii="宋体" w:cs="宋体"/>
                <w:color w:val="auto"/>
                <w:kern w:val="0"/>
                <w:szCs w:val="21"/>
                <w:highlight w:val="none"/>
                <w:u w:val="single"/>
              </w:rPr>
              <w:t xml:space="preserve">   </w:t>
            </w:r>
            <w:r>
              <w:rPr>
                <w:rFonts w:ascii="宋体" w:cs="宋体"/>
                <w:color w:val="auto"/>
                <w:kern w:val="0"/>
                <w:szCs w:val="21"/>
                <w:highlight w:val="none"/>
              </w:rPr>
              <w:t xml:space="preserve"> </w:t>
            </w:r>
            <w:r>
              <w:rPr>
                <w:rFonts w:hint="eastAsia" w:ascii="Times New Roman" w:hAnsi="Times New Roman"/>
                <w:color w:val="auto"/>
                <w:szCs w:val="21"/>
                <w:highlight w:val="none"/>
              </w:rPr>
              <w:t>m</w:t>
            </w:r>
            <w:r>
              <w:rPr>
                <w:rFonts w:ascii="宋体" w:cs="宋体"/>
                <w:color w:val="auto"/>
                <w:kern w:val="0"/>
                <w:szCs w:val="21"/>
                <w:highlight w:val="none"/>
                <w:vertAlign w:val="superscript"/>
              </w:rPr>
              <w:t>2</w:t>
            </w:r>
          </w:p>
          <w:p>
            <w:pPr>
              <w:spacing w:line="360" w:lineRule="auto"/>
              <w:rPr>
                <w:rFonts w:hint="eastAsia" w:ascii="宋体" w:cs="宋体"/>
                <w:color w:val="auto"/>
                <w:kern w:val="0"/>
                <w:szCs w:val="21"/>
                <w:highlight w:val="none"/>
                <w:vertAlign w:val="superscript"/>
              </w:rPr>
            </w:pPr>
            <w:r>
              <w:rPr>
                <w:rFonts w:hint="eastAsia" w:cs="宋体"/>
                <w:color w:val="auto"/>
                <w:szCs w:val="21"/>
                <w:highlight w:val="none"/>
              </w:rPr>
              <w:t>□防水层</w:t>
            </w:r>
            <w:r>
              <w:rPr>
                <w:rFonts w:cs="宋体"/>
                <w:color w:val="auto"/>
                <w:szCs w:val="21"/>
                <w:highlight w:val="none"/>
              </w:rPr>
              <w:t>面积</w:t>
            </w:r>
            <w:r>
              <w:rPr>
                <w:rFonts w:hint="eastAsia" w:cs="宋体"/>
                <w:color w:val="auto"/>
                <w:szCs w:val="21"/>
                <w:highlight w:val="none"/>
              </w:rPr>
              <w:t>：</w:t>
            </w:r>
            <w:r>
              <w:rPr>
                <w:rFonts w:hint="eastAsia" w:ascii="宋体" w:cs="宋体"/>
                <w:color w:val="auto"/>
                <w:kern w:val="0"/>
                <w:szCs w:val="21"/>
                <w:highlight w:val="none"/>
                <w:u w:val="single"/>
              </w:rPr>
              <w:t xml:space="preserve">   </w:t>
            </w:r>
            <w:r>
              <w:rPr>
                <w:rFonts w:ascii="宋体" w:cs="宋体"/>
                <w:color w:val="auto"/>
                <w:kern w:val="0"/>
                <w:szCs w:val="21"/>
                <w:highlight w:val="none"/>
                <w:u w:val="single"/>
              </w:rPr>
              <w:t xml:space="preserve">        </w:t>
            </w:r>
            <w:r>
              <w:rPr>
                <w:rFonts w:hint="eastAsia" w:ascii="Times New Roman" w:hAnsi="Times New Roman"/>
                <w:color w:val="auto"/>
                <w:szCs w:val="21"/>
                <w:highlight w:val="none"/>
              </w:rPr>
              <w:t>m</w:t>
            </w:r>
            <w:r>
              <w:rPr>
                <w:rFonts w:ascii="宋体" w:cs="宋体"/>
                <w:color w:val="auto"/>
                <w:kern w:val="0"/>
                <w:szCs w:val="21"/>
                <w:highlight w:val="none"/>
                <w:vertAlign w:val="superscript"/>
              </w:rPr>
              <w:t>2</w:t>
            </w:r>
          </w:p>
          <w:p>
            <w:pPr>
              <w:spacing w:line="360" w:lineRule="auto"/>
              <w:rPr>
                <w:rFonts w:hint="eastAsia" w:ascii="Times New Roman" w:hAnsi="Times New Roman" w:eastAsia="仿宋_GB2312"/>
                <w:color w:val="auto"/>
                <w:sz w:val="30"/>
                <w:szCs w:val="30"/>
                <w:highlight w:val="none"/>
              </w:rPr>
            </w:pPr>
          </w:p>
        </w:tc>
        <w:tc>
          <w:tcPr>
            <w:tcW w:w="1894" w:type="dxa"/>
            <w:noWrap w:val="0"/>
            <w:vAlign w:val="top"/>
          </w:tcPr>
          <w:p>
            <w:pPr>
              <w:spacing w:line="360" w:lineRule="auto"/>
              <w:rPr>
                <w:rFonts w:hint="eastAsia" w:ascii="Times New Roman" w:hAnsi="Times New Roman" w:eastAsia="仿宋_GB2312"/>
                <w:b/>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消防工程</w:t>
            </w:r>
          </w:p>
        </w:tc>
        <w:tc>
          <w:tcPr>
            <w:tcW w:w="2474" w:type="dxa"/>
            <w:noWrap w:val="0"/>
            <w:vAlign w:val="top"/>
          </w:tcPr>
          <w:p>
            <w:pPr>
              <w:spacing w:line="360" w:lineRule="auto"/>
              <w:rPr>
                <w:rFonts w:cs="宋体"/>
                <w:color w:val="auto"/>
                <w:szCs w:val="21"/>
                <w:highlight w:val="none"/>
              </w:rPr>
            </w:pPr>
            <w:r>
              <w:rPr>
                <w:rFonts w:hint="eastAsia" w:cs="宋体"/>
                <w:color w:val="auto"/>
                <w:szCs w:val="21"/>
                <w:highlight w:val="none"/>
              </w:rPr>
              <w:t>□消防水系统</w:t>
            </w:r>
          </w:p>
          <w:p>
            <w:pPr>
              <w:spacing w:line="360" w:lineRule="auto"/>
              <w:rPr>
                <w:rFonts w:hint="eastAsia" w:ascii="Times New Roman" w:hAnsi="Times New Roman" w:eastAsia="仿宋_GB2312"/>
                <w:color w:val="auto"/>
                <w:sz w:val="30"/>
                <w:szCs w:val="30"/>
                <w:highlight w:val="none"/>
              </w:rPr>
            </w:pPr>
            <w:r>
              <w:rPr>
                <w:rFonts w:hint="eastAsia" w:cs="宋体"/>
                <w:color w:val="auto"/>
                <w:szCs w:val="21"/>
                <w:highlight w:val="none"/>
              </w:rPr>
              <w:t>□消防电系统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dxa"/>
            <w:noWrap w:val="0"/>
            <w:vAlign w:val="top"/>
          </w:tcPr>
          <w:p>
            <w:pPr>
              <w:spacing w:line="360" w:lineRule="auto"/>
              <w:rPr>
                <w:rFonts w:hint="eastAsia" w:ascii="Times New Roman" w:hAnsi="Times New Roman" w:eastAsia="仿宋_GB2312"/>
                <w:b/>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给排水工程</w:t>
            </w:r>
          </w:p>
        </w:tc>
        <w:tc>
          <w:tcPr>
            <w:tcW w:w="3059" w:type="dxa"/>
            <w:noWrap w:val="0"/>
            <w:vAlign w:val="top"/>
          </w:tcPr>
          <w:p>
            <w:pPr>
              <w:spacing w:line="360" w:lineRule="auto"/>
              <w:rPr>
                <w:rFonts w:cs="宋体"/>
                <w:color w:val="auto"/>
                <w:szCs w:val="21"/>
                <w:highlight w:val="none"/>
              </w:rPr>
            </w:pPr>
            <w:r>
              <w:rPr>
                <w:rFonts w:hint="eastAsia" w:cs="宋体"/>
                <w:color w:val="auto"/>
                <w:szCs w:val="21"/>
                <w:highlight w:val="none"/>
              </w:rPr>
              <w:t xml:space="preserve">□室内给、排水系统 </w:t>
            </w:r>
            <w:r>
              <w:rPr>
                <w:rFonts w:cs="宋体"/>
                <w:color w:val="auto"/>
                <w:szCs w:val="21"/>
                <w:highlight w:val="none"/>
              </w:rPr>
              <w:t xml:space="preserve">      </w:t>
            </w:r>
          </w:p>
          <w:p>
            <w:pPr>
              <w:spacing w:line="360" w:lineRule="auto"/>
              <w:rPr>
                <w:rFonts w:hint="eastAsia" w:ascii="Times New Roman" w:hAnsi="Times New Roman" w:eastAsia="仿宋_GB2312"/>
                <w:color w:val="auto"/>
                <w:sz w:val="30"/>
                <w:szCs w:val="30"/>
                <w:highlight w:val="none"/>
              </w:rPr>
            </w:pPr>
            <w:r>
              <w:rPr>
                <w:rFonts w:hint="eastAsia" w:cs="宋体"/>
                <w:color w:val="auto"/>
                <w:szCs w:val="21"/>
                <w:highlight w:val="none"/>
              </w:rPr>
              <w:t xml:space="preserve">□室外给、排水管网       </w:t>
            </w:r>
          </w:p>
        </w:tc>
        <w:tc>
          <w:tcPr>
            <w:tcW w:w="1894" w:type="dxa"/>
            <w:noWrap w:val="0"/>
            <w:vAlign w:val="top"/>
          </w:tcPr>
          <w:p>
            <w:pPr>
              <w:spacing w:line="360" w:lineRule="auto"/>
              <w:rPr>
                <w:rFonts w:hint="eastAsia" w:ascii="Times New Roman" w:hAnsi="Times New Roman" w:eastAsia="仿宋_GB2312"/>
                <w:b/>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燃气工程</w:t>
            </w:r>
          </w:p>
        </w:tc>
        <w:tc>
          <w:tcPr>
            <w:tcW w:w="2474" w:type="dxa"/>
            <w:noWrap w:val="0"/>
            <w:vAlign w:val="top"/>
          </w:tcPr>
          <w:p>
            <w:pPr>
              <w:autoSpaceDE w:val="0"/>
              <w:autoSpaceDN w:val="0"/>
              <w:adjustRightInd w:val="0"/>
              <w:rPr>
                <w:rFonts w:ascii="宋体" w:cs="宋体"/>
                <w:color w:val="auto"/>
                <w:kern w:val="0"/>
                <w:szCs w:val="21"/>
                <w:highlight w:val="none"/>
              </w:rPr>
            </w:pPr>
            <w:r>
              <w:rPr>
                <w:rFonts w:hint="eastAsia" w:cs="宋体"/>
                <w:color w:val="auto"/>
                <w:szCs w:val="21"/>
                <w:highlight w:val="none"/>
              </w:rPr>
              <w:t>□</w:t>
            </w:r>
            <w:r>
              <w:rPr>
                <w:rFonts w:hint="eastAsia" w:ascii="宋体" w:cs="宋体"/>
                <w:color w:val="auto"/>
                <w:kern w:val="0"/>
                <w:szCs w:val="21"/>
                <w:highlight w:val="none"/>
              </w:rPr>
              <w:t>户数：</w:t>
            </w:r>
            <w:r>
              <w:rPr>
                <w:rFonts w:ascii="宋体" w:cs="宋体"/>
                <w:color w:val="auto"/>
                <w:kern w:val="0"/>
                <w:szCs w:val="21"/>
                <w:highlight w:val="none"/>
                <w:u w:val="single"/>
              </w:rPr>
              <w:t xml:space="preserve">        </w:t>
            </w:r>
            <w:r>
              <w:rPr>
                <w:rFonts w:ascii="宋体" w:cs="宋体"/>
                <w:color w:val="auto"/>
                <w:kern w:val="0"/>
                <w:szCs w:val="21"/>
                <w:highlight w:val="none"/>
              </w:rPr>
              <w:t xml:space="preserve"> </w:t>
            </w:r>
            <w:r>
              <w:rPr>
                <w:rFonts w:hint="eastAsia" w:ascii="宋体" w:cs="宋体"/>
                <w:color w:val="auto"/>
                <w:kern w:val="0"/>
                <w:szCs w:val="21"/>
                <w:highlight w:val="none"/>
              </w:rPr>
              <w:t>户</w:t>
            </w:r>
            <w:r>
              <w:rPr>
                <w:rFonts w:ascii="宋体" w:cs="宋体"/>
                <w:color w:val="auto"/>
                <w:kern w:val="0"/>
                <w:szCs w:val="21"/>
                <w:highlight w:val="none"/>
              </w:rPr>
              <w:t xml:space="preserve"> </w:t>
            </w:r>
          </w:p>
          <w:p>
            <w:pPr>
              <w:spacing w:line="360" w:lineRule="auto"/>
              <w:rPr>
                <w:rFonts w:hint="eastAsia" w:ascii="Times New Roman" w:hAnsi="Times New Roman" w:eastAsia="仿宋_GB2312"/>
                <w:color w:val="auto"/>
                <w:sz w:val="30"/>
                <w:szCs w:val="30"/>
                <w:highlight w:val="none"/>
              </w:rPr>
            </w:pPr>
            <w:r>
              <w:rPr>
                <w:rFonts w:hint="eastAsia" w:cs="宋体"/>
                <w:color w:val="auto"/>
                <w:szCs w:val="21"/>
                <w:highlight w:val="none"/>
              </w:rPr>
              <w:t>□</w:t>
            </w:r>
            <w:r>
              <w:rPr>
                <w:rFonts w:hint="eastAsia" w:ascii="宋体" w:cs="宋体"/>
                <w:color w:val="auto"/>
                <w:kern w:val="0"/>
                <w:szCs w:val="21"/>
                <w:highlight w:val="none"/>
              </w:rPr>
              <w:t>管长：</w:t>
            </w:r>
            <w:r>
              <w:rPr>
                <w:rFonts w:ascii="宋体" w:cs="宋体"/>
                <w:color w:val="auto"/>
                <w:kern w:val="0"/>
                <w:szCs w:val="21"/>
                <w:highlight w:val="none"/>
                <w:u w:val="single"/>
              </w:rPr>
              <w:t xml:space="preserve">        </w:t>
            </w:r>
            <w:r>
              <w:rPr>
                <w:rFonts w:ascii="宋体" w:cs="宋体"/>
                <w:color w:val="auto"/>
                <w:kern w:val="0"/>
                <w:szCs w:val="21"/>
                <w:highlight w:val="none"/>
              </w:rPr>
              <w:t xml:space="preserve"> </w:t>
            </w:r>
            <w:r>
              <w:rPr>
                <w:rFonts w:hint="eastAsia" w:ascii="Times New Roman" w:hAnsi="Times New Roman"/>
                <w:color w:val="auto"/>
                <w:szCs w:val="21"/>
                <w:highlight w:val="non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dxa"/>
            <w:noWrap w:val="0"/>
            <w:vAlign w:val="top"/>
          </w:tcPr>
          <w:p>
            <w:pPr>
              <w:spacing w:line="360" w:lineRule="auto"/>
              <w:rPr>
                <w:rFonts w:hint="eastAsia" w:ascii="Times New Roman" w:hAnsi="Times New Roman" w:eastAsia="仿宋_GB2312"/>
                <w:b/>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电气工程</w:t>
            </w:r>
          </w:p>
        </w:tc>
        <w:tc>
          <w:tcPr>
            <w:tcW w:w="3059" w:type="dxa"/>
            <w:noWrap w:val="0"/>
            <w:vAlign w:val="top"/>
          </w:tcPr>
          <w:p>
            <w:pPr>
              <w:spacing w:line="360" w:lineRule="auto"/>
              <w:rPr>
                <w:rFonts w:cs="宋体"/>
                <w:color w:val="auto"/>
                <w:szCs w:val="21"/>
                <w:highlight w:val="none"/>
              </w:rPr>
            </w:pPr>
            <w:r>
              <w:rPr>
                <w:rFonts w:hint="eastAsia" w:cs="宋体"/>
                <w:color w:val="auto"/>
                <w:szCs w:val="21"/>
                <w:highlight w:val="none"/>
              </w:rPr>
              <w:t xml:space="preserve">□强电系统                   </w:t>
            </w:r>
          </w:p>
          <w:p>
            <w:pPr>
              <w:spacing w:line="360" w:lineRule="auto"/>
              <w:rPr>
                <w:rFonts w:hint="eastAsia" w:ascii="Times New Roman" w:hAnsi="Times New Roman" w:eastAsia="仿宋_GB2312"/>
                <w:color w:val="auto"/>
                <w:sz w:val="30"/>
                <w:szCs w:val="30"/>
                <w:highlight w:val="none"/>
              </w:rPr>
            </w:pPr>
            <w:r>
              <w:rPr>
                <w:rFonts w:hint="eastAsia" w:cs="宋体"/>
                <w:color w:val="auto"/>
                <w:szCs w:val="21"/>
                <w:highlight w:val="none"/>
              </w:rPr>
              <w:t xml:space="preserve">□弱电系统                   </w:t>
            </w:r>
          </w:p>
        </w:tc>
        <w:tc>
          <w:tcPr>
            <w:tcW w:w="1894" w:type="dxa"/>
            <w:noWrap w:val="0"/>
            <w:vAlign w:val="top"/>
          </w:tcPr>
          <w:p>
            <w:pPr>
              <w:spacing w:line="360" w:lineRule="auto"/>
              <w:rPr>
                <w:rFonts w:hint="eastAsia" w:ascii="Times New Roman" w:hAnsi="Times New Roman" w:eastAsia="仿宋_GB2312"/>
                <w:b/>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其他房建及配套工程</w:t>
            </w:r>
          </w:p>
        </w:tc>
        <w:tc>
          <w:tcPr>
            <w:tcW w:w="2474" w:type="dxa"/>
            <w:noWrap w:val="0"/>
            <w:vAlign w:val="top"/>
          </w:tcPr>
          <w:p>
            <w:pPr>
              <w:spacing w:line="360" w:lineRule="auto"/>
              <w:rPr>
                <w:rFonts w:ascii="宋体" w:cs="宋体"/>
                <w:color w:val="auto"/>
                <w:kern w:val="0"/>
                <w:szCs w:val="21"/>
                <w:highlight w:val="none"/>
              </w:rPr>
            </w:pPr>
            <w:r>
              <w:rPr>
                <w:rFonts w:hint="eastAsia" w:cs="宋体"/>
                <w:color w:val="auto"/>
                <w:szCs w:val="21"/>
                <w:highlight w:val="none"/>
              </w:rPr>
              <w:t>□</w:t>
            </w:r>
            <w:r>
              <w:rPr>
                <w:rFonts w:hint="eastAsia" w:ascii="宋体" w:cs="宋体"/>
                <w:color w:val="auto"/>
                <w:kern w:val="0"/>
                <w:szCs w:val="21"/>
                <w:highlight w:val="none"/>
              </w:rPr>
              <w:t>高低压配电、外线电缆工程</w:t>
            </w:r>
          </w:p>
          <w:p>
            <w:pPr>
              <w:spacing w:line="360" w:lineRule="auto"/>
              <w:rPr>
                <w:rFonts w:hint="eastAsia" w:ascii="宋体" w:cs="宋体"/>
                <w:color w:val="auto"/>
                <w:kern w:val="0"/>
                <w:szCs w:val="21"/>
                <w:highlight w:val="none"/>
              </w:rPr>
            </w:pPr>
            <w:r>
              <w:rPr>
                <w:rFonts w:hint="eastAsia" w:cs="宋体"/>
                <w:color w:val="auto"/>
                <w:szCs w:val="21"/>
                <w:highlight w:val="none"/>
              </w:rPr>
              <w:t>□</w:t>
            </w:r>
            <w:r>
              <w:rPr>
                <w:rFonts w:hint="eastAsia" w:ascii="宋体" w:cs="宋体"/>
                <w:color w:val="auto"/>
                <w:kern w:val="0"/>
                <w:szCs w:val="21"/>
                <w:highlight w:val="none"/>
              </w:rPr>
              <w:t xml:space="preserve">其他：            </w:t>
            </w:r>
            <w:r>
              <w:rPr>
                <w:rFonts w:hint="eastAsia" w:ascii="Times New Roman" w:hAnsi="Times New Roman" w:eastAsia="仿宋_GB2312"/>
                <w:color w:val="auto"/>
                <w:sz w:val="30"/>
                <w:szCs w:val="30"/>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dxa"/>
            <w:noWrap w:val="0"/>
            <w:vAlign w:val="top"/>
          </w:tcPr>
          <w:p>
            <w:pPr>
              <w:spacing w:line="360" w:lineRule="auto"/>
              <w:rPr>
                <w:rFonts w:hint="eastAsia" w:ascii="宋体" w:cs="宋体"/>
                <w:b/>
                <w:color w:val="auto"/>
                <w:kern w:val="0"/>
                <w:szCs w:val="21"/>
                <w:highlight w:val="none"/>
              </w:rPr>
            </w:pPr>
            <w:r>
              <w:rPr>
                <w:rFonts w:hint="eastAsia" w:cs="宋体"/>
                <w:b/>
                <w:color w:val="auto"/>
                <w:szCs w:val="21"/>
                <w:highlight w:val="none"/>
              </w:rPr>
              <w:t>□</w:t>
            </w:r>
            <w:r>
              <w:rPr>
                <w:rFonts w:hint="eastAsia" w:ascii="宋体" w:cs="宋体"/>
                <w:b/>
                <w:color w:val="auto"/>
                <w:kern w:val="0"/>
                <w:szCs w:val="21"/>
                <w:highlight w:val="none"/>
              </w:rPr>
              <w:t>建筑节能</w:t>
            </w:r>
          </w:p>
        </w:tc>
        <w:tc>
          <w:tcPr>
            <w:tcW w:w="3059" w:type="dxa"/>
            <w:noWrap w:val="0"/>
            <w:vAlign w:val="top"/>
          </w:tcPr>
          <w:p>
            <w:pPr>
              <w:spacing w:line="360" w:lineRule="auto"/>
              <w:rPr>
                <w:rFonts w:hint="eastAsia" w:cs="宋体"/>
                <w:color w:val="auto"/>
                <w:szCs w:val="21"/>
                <w:highlight w:val="none"/>
              </w:rPr>
            </w:pPr>
            <w:r>
              <w:rPr>
                <w:rFonts w:hint="eastAsia" w:cs="宋体"/>
                <w:color w:val="auto"/>
                <w:szCs w:val="21"/>
                <w:highlight w:val="none"/>
              </w:rPr>
              <w:t>□屋面节能工程</w:t>
            </w:r>
          </w:p>
          <w:p>
            <w:pPr>
              <w:spacing w:line="360" w:lineRule="auto"/>
              <w:rPr>
                <w:rFonts w:hint="eastAsia" w:cs="宋体"/>
                <w:color w:val="auto"/>
                <w:szCs w:val="21"/>
                <w:highlight w:val="none"/>
              </w:rPr>
            </w:pPr>
            <w:r>
              <w:rPr>
                <w:rFonts w:hint="eastAsia" w:cs="宋体"/>
                <w:color w:val="auto"/>
                <w:szCs w:val="21"/>
                <w:highlight w:val="none"/>
              </w:rPr>
              <w:t>□外墙节能工程</w:t>
            </w:r>
          </w:p>
          <w:p>
            <w:pPr>
              <w:spacing w:line="360" w:lineRule="auto"/>
              <w:rPr>
                <w:rFonts w:hint="eastAsia" w:cs="宋体"/>
                <w:color w:val="auto"/>
                <w:szCs w:val="21"/>
                <w:highlight w:val="none"/>
              </w:rPr>
            </w:pPr>
            <w:r>
              <w:rPr>
                <w:rFonts w:hint="eastAsia" w:cs="宋体"/>
                <w:color w:val="auto"/>
                <w:szCs w:val="21"/>
                <w:highlight w:val="none"/>
              </w:rPr>
              <w:t>□机电设备节能工程</w:t>
            </w:r>
          </w:p>
          <w:p>
            <w:pPr>
              <w:spacing w:line="360" w:lineRule="auto"/>
              <w:rPr>
                <w:rFonts w:hint="eastAsia" w:cs="宋体"/>
                <w:color w:val="auto"/>
                <w:szCs w:val="21"/>
                <w:highlight w:val="none"/>
              </w:rPr>
            </w:pPr>
            <w:r>
              <w:rPr>
                <w:rFonts w:hint="eastAsia" w:cs="宋体"/>
                <w:color w:val="auto"/>
                <w:szCs w:val="21"/>
                <w:highlight w:val="none"/>
              </w:rPr>
              <w:t>□其他节能配套设施工程</w:t>
            </w:r>
          </w:p>
        </w:tc>
        <w:tc>
          <w:tcPr>
            <w:tcW w:w="1894" w:type="dxa"/>
            <w:noWrap w:val="0"/>
            <w:vAlign w:val="top"/>
          </w:tcPr>
          <w:p>
            <w:pPr>
              <w:spacing w:line="360" w:lineRule="auto"/>
              <w:rPr>
                <w:rFonts w:hint="eastAsia" w:ascii="Times New Roman" w:hAnsi="Times New Roman" w:eastAsia="仿宋_GB2312"/>
                <w:b/>
                <w:color w:val="auto"/>
                <w:sz w:val="30"/>
                <w:szCs w:val="30"/>
                <w:highlight w:val="none"/>
              </w:rPr>
            </w:pPr>
            <w:r>
              <w:rPr>
                <w:rFonts w:hint="eastAsia" w:cs="宋体"/>
                <w:b/>
                <w:color w:val="auto"/>
                <w:szCs w:val="21"/>
                <w:highlight w:val="none"/>
              </w:rPr>
              <w:t>□</w:t>
            </w:r>
            <w:r>
              <w:rPr>
                <w:rFonts w:ascii="宋体" w:cs="宋体"/>
                <w:b/>
                <w:color w:val="auto"/>
                <w:kern w:val="0"/>
                <w:szCs w:val="21"/>
                <w:highlight w:val="none"/>
              </w:rPr>
              <w:t>其他通用安装工程</w:t>
            </w:r>
          </w:p>
        </w:tc>
        <w:tc>
          <w:tcPr>
            <w:tcW w:w="2474" w:type="dxa"/>
            <w:noWrap w:val="0"/>
            <w:vAlign w:val="top"/>
          </w:tcPr>
          <w:p>
            <w:pPr>
              <w:spacing w:line="360" w:lineRule="auto"/>
              <w:rPr>
                <w:rFonts w:hint="eastAsia" w:ascii="Times New Roman" w:hAnsi="Times New Roman" w:eastAsia="仿宋_GB2312"/>
                <w:color w:val="auto"/>
                <w:sz w:val="30"/>
                <w:szCs w:val="30"/>
                <w:highlight w:val="none"/>
              </w:rPr>
            </w:pPr>
            <w:r>
              <w:rPr>
                <w:rFonts w:hint="eastAsia" w:cs="宋体"/>
                <w:color w:val="auto"/>
                <w:szCs w:val="21"/>
                <w:highlight w:val="none"/>
              </w:rPr>
              <w:t>□</w:t>
            </w:r>
          </w:p>
        </w:tc>
      </w:tr>
    </w:tbl>
    <w:p>
      <w:pPr>
        <w:spacing w:line="360" w:lineRule="auto"/>
        <w:ind w:firstLine="600" w:firstLineChars="200"/>
        <w:rPr>
          <w:rFonts w:hint="eastAsia" w:ascii="Times New Roman" w:hAnsi="Times New Roman" w:eastAsia="仿宋_GB2312"/>
          <w:color w:val="auto"/>
          <w:sz w:val="30"/>
          <w:szCs w:val="30"/>
          <w:highlight w:val="none"/>
        </w:rPr>
      </w:pPr>
    </w:p>
    <w:p>
      <w:pPr>
        <w:spacing w:line="360" w:lineRule="auto"/>
        <w:ind w:firstLine="471" w:firstLineChars="196"/>
        <w:rPr>
          <w:rFonts w:hint="eastAsia" w:ascii="Times New Roman" w:hAnsi="Times New Roman" w:eastAsia="仿宋_GB2312"/>
          <w:bCs/>
          <w:color w:val="auto"/>
          <w:sz w:val="30"/>
          <w:szCs w:val="30"/>
          <w:highlight w:val="none"/>
        </w:rPr>
      </w:pPr>
      <w:r>
        <w:rPr>
          <w:rFonts w:ascii="宋体" w:hAnsi="宋体"/>
          <w:b/>
          <w:color w:val="auto"/>
          <w:sz w:val="24"/>
          <w:szCs w:val="24"/>
          <w:highlight w:val="none"/>
        </w:rPr>
        <w:t>（</w:t>
      </w:r>
      <w:r>
        <w:rPr>
          <w:rFonts w:hint="eastAsia" w:ascii="宋体" w:hAnsi="宋体"/>
          <w:b/>
          <w:color w:val="auto"/>
          <w:sz w:val="24"/>
          <w:szCs w:val="24"/>
          <w:highlight w:val="none"/>
        </w:rPr>
        <w:t>2</w:t>
      </w:r>
      <w:r>
        <w:rPr>
          <w:rFonts w:ascii="宋体" w:hAnsi="宋体"/>
          <w:b/>
          <w:color w:val="auto"/>
          <w:sz w:val="24"/>
          <w:szCs w:val="24"/>
          <w:highlight w:val="none"/>
        </w:rPr>
        <w:t>）</w:t>
      </w:r>
      <w:r>
        <w:rPr>
          <w:rFonts w:hint="eastAsia" w:ascii="宋体" w:hAnsi="宋体"/>
          <w:b/>
          <w:color w:val="auto"/>
          <w:sz w:val="24"/>
          <w:szCs w:val="24"/>
          <w:highlight w:val="none"/>
        </w:rPr>
        <w:t>市政公用及配套专业工程</w:t>
      </w:r>
      <w:r>
        <w:rPr>
          <w:rFonts w:hint="eastAsia" w:ascii="Times New Roman" w:hAnsi="Times New Roman" w:eastAsia="仿宋_GB2312"/>
          <w:bCs/>
          <w:color w:val="auto"/>
          <w:sz w:val="30"/>
          <w:szCs w:val="30"/>
          <w:highlight w:val="none"/>
        </w:rPr>
        <w:t>：</w:t>
      </w:r>
      <w:r>
        <w:rPr>
          <w:rFonts w:cs="宋体"/>
          <w:color w:val="auto"/>
          <w:szCs w:val="21"/>
          <w:highlight w:val="none"/>
        </w:rPr>
        <w:t>（可</w:t>
      </w:r>
      <w:r>
        <w:rPr>
          <w:rFonts w:hint="eastAsia" w:cs="宋体"/>
          <w:color w:val="auto"/>
          <w:szCs w:val="21"/>
          <w:highlight w:val="none"/>
        </w:rPr>
        <w:t>在□内打√、选填相应工程量，表中所列参考选项为项目主要承包内容，实际可依设计</w:t>
      </w:r>
      <w:r>
        <w:rPr>
          <w:rFonts w:cs="宋体"/>
          <w:color w:val="auto"/>
          <w:szCs w:val="21"/>
          <w:highlight w:val="none"/>
        </w:rPr>
        <w:t>工程</w:t>
      </w:r>
      <w:r>
        <w:rPr>
          <w:rFonts w:hint="eastAsia" w:cs="宋体"/>
          <w:color w:val="auto"/>
          <w:szCs w:val="21"/>
          <w:highlight w:val="none"/>
        </w:rPr>
        <w:t>规模</w:t>
      </w:r>
      <w:r>
        <w:rPr>
          <w:rFonts w:cs="宋体"/>
          <w:color w:val="auto"/>
          <w:szCs w:val="21"/>
          <w:highlight w:val="none"/>
        </w:rPr>
        <w:t>、</w:t>
      </w:r>
      <w:r>
        <w:rPr>
          <w:rFonts w:hint="eastAsia" w:cs="宋体"/>
          <w:color w:val="auto"/>
          <w:szCs w:val="21"/>
          <w:highlight w:val="none"/>
        </w:rPr>
        <w:t>项目</w:t>
      </w:r>
      <w:r>
        <w:rPr>
          <w:rFonts w:cs="宋体"/>
          <w:color w:val="auto"/>
          <w:szCs w:val="21"/>
          <w:highlight w:val="none"/>
        </w:rPr>
        <w:t>特征等</w:t>
      </w:r>
      <w:r>
        <w:rPr>
          <w:rFonts w:hint="eastAsia" w:cs="宋体"/>
          <w:color w:val="auto"/>
          <w:szCs w:val="21"/>
          <w:highlight w:val="none"/>
        </w:rPr>
        <w:t>补充、扩展</w:t>
      </w:r>
      <w:r>
        <w:rPr>
          <w:rFonts w:cs="宋体"/>
          <w:color w:val="auto"/>
          <w:szCs w:val="21"/>
          <w:highlight w:val="none"/>
        </w:rPr>
        <w:t>）</w:t>
      </w:r>
    </w:p>
    <w:tbl>
      <w:tblPr>
        <w:tblStyle w:val="43"/>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0"/>
        <w:gridCol w:w="2769"/>
        <w:gridCol w:w="1892"/>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0" w:type="dxa"/>
            <w:noWrap w:val="0"/>
            <w:vAlign w:val="top"/>
          </w:tcPr>
          <w:p>
            <w:pPr>
              <w:spacing w:line="360" w:lineRule="auto"/>
              <w:rPr>
                <w:rFonts w:ascii="Times New Roman" w:hAnsi="Times New Roman" w:eastAsia="仿宋_GB2312"/>
                <w:b/>
                <w:bCs/>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七通一平工程</w:t>
            </w:r>
          </w:p>
        </w:tc>
        <w:tc>
          <w:tcPr>
            <w:tcW w:w="2769" w:type="dxa"/>
            <w:noWrap w:val="0"/>
            <w:vAlign w:val="top"/>
          </w:tcPr>
          <w:p>
            <w:pPr>
              <w:numPr>
                <w:ilvl w:val="0"/>
                <w:numId w:val="4"/>
              </w:numPr>
              <w:spacing w:line="360" w:lineRule="auto"/>
              <w:ind w:left="261" w:hanging="261"/>
              <w:rPr>
                <w:rFonts w:hint="eastAsia" w:ascii="Times New Roman" w:hAnsi="Times New Roman" w:eastAsia="仿宋_GB2312"/>
                <w:bCs/>
                <w:color w:val="auto"/>
                <w:sz w:val="30"/>
                <w:szCs w:val="30"/>
                <w:highlight w:val="none"/>
              </w:rPr>
            </w:pPr>
            <w:r>
              <w:rPr>
                <w:rFonts w:cs="宋体"/>
                <w:color w:val="auto"/>
                <w:szCs w:val="21"/>
                <w:highlight w:val="none"/>
              </w:rPr>
              <w:t>面积</w:t>
            </w:r>
            <w:r>
              <w:rPr>
                <w:rFonts w:hint="eastAsia" w:cs="宋体"/>
                <w:color w:val="auto"/>
                <w:szCs w:val="21"/>
                <w:highlight w:val="none"/>
              </w:rPr>
              <w:t>：</w:t>
            </w:r>
            <w:r>
              <w:rPr>
                <w:rFonts w:cs="宋体"/>
                <w:color w:val="auto"/>
                <w:szCs w:val="21"/>
                <w:highlight w:val="none"/>
                <w:u w:val="single"/>
              </w:rPr>
              <w:t xml:space="preserve">       </w:t>
            </w:r>
            <w:r>
              <w:rPr>
                <w:rFonts w:hint="eastAsia" w:ascii="宋体" w:cs="宋体"/>
                <w:color w:val="auto"/>
                <w:kern w:val="0"/>
                <w:szCs w:val="21"/>
                <w:highlight w:val="none"/>
                <w:u w:val="single"/>
              </w:rPr>
              <w:t xml:space="preserve"> </w:t>
            </w:r>
            <w:r>
              <w:rPr>
                <w:rFonts w:ascii="宋体" w:cs="宋体"/>
                <w:color w:val="auto"/>
                <w:kern w:val="0"/>
                <w:szCs w:val="21"/>
                <w:highlight w:val="none"/>
                <w:u w:val="single"/>
              </w:rPr>
              <w:t xml:space="preserve">   </w:t>
            </w:r>
            <w:r>
              <w:rPr>
                <w:rFonts w:hint="eastAsia" w:ascii="宋体" w:cs="宋体"/>
                <w:color w:val="auto"/>
                <w:kern w:val="0"/>
                <w:szCs w:val="21"/>
                <w:highlight w:val="none"/>
              </w:rPr>
              <w:t>万</w:t>
            </w:r>
            <w:r>
              <w:rPr>
                <w:rFonts w:hint="eastAsia" w:ascii="Times New Roman" w:hAnsi="Times New Roman"/>
                <w:color w:val="auto"/>
                <w:szCs w:val="21"/>
                <w:highlight w:val="none"/>
              </w:rPr>
              <w:t>m</w:t>
            </w:r>
            <w:r>
              <w:rPr>
                <w:rFonts w:ascii="宋体" w:cs="宋体"/>
                <w:color w:val="auto"/>
                <w:kern w:val="0"/>
                <w:szCs w:val="21"/>
                <w:highlight w:val="none"/>
                <w:vertAlign w:val="superscript"/>
              </w:rPr>
              <w:t>2</w:t>
            </w:r>
          </w:p>
          <w:p>
            <w:pPr>
              <w:spacing w:line="360" w:lineRule="auto"/>
              <w:rPr>
                <w:rFonts w:ascii="Times New Roman" w:hAnsi="Times New Roman" w:eastAsia="仿宋_GB2312"/>
                <w:bCs/>
                <w:color w:val="auto"/>
                <w:sz w:val="30"/>
                <w:szCs w:val="30"/>
                <w:highlight w:val="none"/>
              </w:rPr>
            </w:pPr>
          </w:p>
        </w:tc>
        <w:tc>
          <w:tcPr>
            <w:tcW w:w="1892" w:type="dxa"/>
            <w:noWrap w:val="0"/>
            <w:vAlign w:val="top"/>
          </w:tcPr>
          <w:p>
            <w:pPr>
              <w:spacing w:line="360" w:lineRule="auto"/>
              <w:rPr>
                <w:rFonts w:ascii="Times New Roman" w:hAnsi="Times New Roman" w:eastAsia="仿宋_GB2312"/>
                <w:b/>
                <w:bCs/>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海绵</w:t>
            </w:r>
            <w:r>
              <w:rPr>
                <w:rFonts w:ascii="宋体" w:cs="宋体"/>
                <w:b/>
                <w:color w:val="auto"/>
                <w:kern w:val="0"/>
                <w:szCs w:val="21"/>
                <w:highlight w:val="none"/>
              </w:rPr>
              <w:t>城市工程</w:t>
            </w:r>
          </w:p>
        </w:tc>
        <w:tc>
          <w:tcPr>
            <w:tcW w:w="2765" w:type="dxa"/>
            <w:noWrap w:val="0"/>
            <w:vAlign w:val="top"/>
          </w:tcPr>
          <w:p>
            <w:pPr>
              <w:spacing w:line="360" w:lineRule="auto"/>
              <w:jc w:val="left"/>
              <w:rPr>
                <w:rFonts w:ascii="Times New Roman" w:hAnsi="Times New Roman" w:eastAsia="仿宋_GB2312"/>
                <w:bCs/>
                <w:color w:val="auto"/>
                <w:sz w:val="30"/>
                <w:szCs w:val="30"/>
                <w:highlight w:val="none"/>
              </w:rPr>
            </w:pPr>
            <w:r>
              <w:rPr>
                <w:rFonts w:hint="eastAsia" w:cs="宋体"/>
                <w:color w:val="auto"/>
                <w:szCs w:val="21"/>
                <w:highlight w:val="none"/>
              </w:rPr>
              <w:t>□</w:t>
            </w:r>
            <w:r>
              <w:rPr>
                <w:rFonts w:cs="宋体"/>
                <w:color w:val="auto"/>
                <w:szCs w:val="21"/>
                <w:highlight w:val="none"/>
              </w:rPr>
              <w:t>面积</w:t>
            </w:r>
            <w:r>
              <w:rPr>
                <w:rFonts w:hint="eastAsia" w:cs="宋体"/>
                <w:color w:val="auto"/>
                <w:szCs w:val="21"/>
                <w:highlight w:val="none"/>
              </w:rPr>
              <w:t>：</w:t>
            </w:r>
            <w:r>
              <w:rPr>
                <w:rFonts w:cs="宋体"/>
                <w:color w:val="auto"/>
                <w:szCs w:val="21"/>
                <w:highlight w:val="none"/>
                <w:u w:val="single"/>
              </w:rPr>
              <w:t xml:space="preserve">       </w:t>
            </w:r>
            <w:r>
              <w:rPr>
                <w:rFonts w:hint="eastAsia" w:ascii="宋体" w:cs="宋体"/>
                <w:color w:val="auto"/>
                <w:kern w:val="0"/>
                <w:szCs w:val="21"/>
                <w:highlight w:val="none"/>
                <w:u w:val="single"/>
              </w:rPr>
              <w:t xml:space="preserve"> </w:t>
            </w:r>
            <w:r>
              <w:rPr>
                <w:rFonts w:ascii="宋体" w:cs="宋体"/>
                <w:color w:val="auto"/>
                <w:kern w:val="0"/>
                <w:szCs w:val="21"/>
                <w:highlight w:val="none"/>
                <w:u w:val="single"/>
              </w:rPr>
              <w:t xml:space="preserve">  </w:t>
            </w:r>
            <w:r>
              <w:rPr>
                <w:rFonts w:ascii="宋体" w:cs="宋体"/>
                <w:color w:val="auto"/>
                <w:kern w:val="0"/>
                <w:szCs w:val="21"/>
                <w:highlight w:val="none"/>
              </w:rPr>
              <w:t xml:space="preserve"> </w:t>
            </w:r>
            <w:r>
              <w:rPr>
                <w:rFonts w:hint="eastAsia" w:ascii="宋体" w:cs="宋体"/>
                <w:color w:val="auto"/>
                <w:kern w:val="0"/>
                <w:szCs w:val="21"/>
                <w:highlight w:val="none"/>
              </w:rPr>
              <w:t>万</w:t>
            </w:r>
            <w:r>
              <w:rPr>
                <w:rFonts w:hint="eastAsia" w:ascii="Times New Roman" w:hAnsi="Times New Roman"/>
                <w:color w:val="auto"/>
                <w:szCs w:val="21"/>
                <w:highlight w:val="none"/>
              </w:rPr>
              <w:t>m</w:t>
            </w:r>
            <w:r>
              <w:rPr>
                <w:rFonts w:ascii="宋体" w:cs="宋体"/>
                <w:color w:val="auto"/>
                <w:kern w:val="0"/>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0" w:type="dxa"/>
            <w:noWrap w:val="0"/>
            <w:vAlign w:val="top"/>
          </w:tcPr>
          <w:p>
            <w:pPr>
              <w:spacing w:line="360" w:lineRule="auto"/>
              <w:rPr>
                <w:rFonts w:ascii="Times New Roman" w:hAnsi="Times New Roman" w:eastAsia="仿宋_GB2312"/>
                <w:b/>
                <w:bCs/>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挡墙护坡工程</w:t>
            </w:r>
          </w:p>
        </w:tc>
        <w:tc>
          <w:tcPr>
            <w:tcW w:w="2769" w:type="dxa"/>
            <w:noWrap w:val="0"/>
            <w:vAlign w:val="top"/>
          </w:tcPr>
          <w:p>
            <w:pPr>
              <w:spacing w:line="360" w:lineRule="auto"/>
              <w:rPr>
                <w:rFonts w:hint="eastAsia" w:ascii="宋体" w:cs="宋体"/>
                <w:color w:val="auto"/>
                <w:kern w:val="0"/>
                <w:szCs w:val="21"/>
                <w:highlight w:val="none"/>
              </w:rPr>
            </w:pPr>
            <w:r>
              <w:rPr>
                <w:rFonts w:hint="eastAsia" w:cs="宋体"/>
                <w:color w:val="auto"/>
                <w:szCs w:val="21"/>
                <w:highlight w:val="none"/>
              </w:rPr>
              <w:t>□</w:t>
            </w:r>
            <w:r>
              <w:rPr>
                <w:rFonts w:hint="eastAsia" w:ascii="宋体" w:cs="宋体"/>
                <w:color w:val="auto"/>
                <w:kern w:val="0"/>
                <w:szCs w:val="21"/>
                <w:highlight w:val="none"/>
              </w:rPr>
              <w:t>厚×高：</w:t>
            </w:r>
            <w:r>
              <w:rPr>
                <w:rFonts w:hint="eastAsia" w:ascii="宋体" w:cs="宋体"/>
                <w:color w:val="auto"/>
                <w:kern w:val="0"/>
                <w:szCs w:val="21"/>
                <w:highlight w:val="none"/>
                <w:u w:val="single"/>
              </w:rPr>
              <w:t xml:space="preserve"> </w:t>
            </w:r>
            <w:r>
              <w:rPr>
                <w:rFonts w:ascii="宋体" w:cs="宋体"/>
                <w:color w:val="auto"/>
                <w:kern w:val="0"/>
                <w:szCs w:val="21"/>
                <w:highlight w:val="none"/>
                <w:u w:val="single"/>
              </w:rPr>
              <w:t xml:space="preserve">   </w:t>
            </w:r>
            <w:r>
              <w:rPr>
                <w:rFonts w:ascii="宋体" w:cs="宋体"/>
                <w:color w:val="auto"/>
                <w:kern w:val="0"/>
                <w:szCs w:val="21"/>
                <w:highlight w:val="none"/>
              </w:rPr>
              <w:t xml:space="preserve"> </w:t>
            </w:r>
            <w:r>
              <w:rPr>
                <w:rFonts w:hint="eastAsia" w:ascii="Times New Roman" w:hAnsi="Times New Roman"/>
                <w:color w:val="auto"/>
                <w:szCs w:val="21"/>
                <w:highlight w:val="none"/>
              </w:rPr>
              <w:t>m</w:t>
            </w:r>
            <w:r>
              <w:rPr>
                <w:rFonts w:hint="eastAsia" w:ascii="宋体" w:cs="宋体"/>
                <w:color w:val="auto"/>
                <w:kern w:val="0"/>
                <w:szCs w:val="21"/>
                <w:highlight w:val="none"/>
              </w:rPr>
              <w:t>×</w:t>
            </w:r>
            <w:r>
              <w:rPr>
                <w:rFonts w:ascii="宋体" w:cs="宋体"/>
                <w:color w:val="auto"/>
                <w:kern w:val="0"/>
                <w:szCs w:val="21"/>
                <w:highlight w:val="none"/>
                <w:u w:val="single"/>
              </w:rPr>
              <w:t xml:space="preserve"> </w:t>
            </w:r>
            <w:r>
              <w:rPr>
                <w:rFonts w:hint="eastAsia" w:ascii="Times New Roman" w:hAnsi="Times New Roman"/>
                <w:color w:val="auto"/>
                <w:szCs w:val="21"/>
                <w:highlight w:val="none"/>
                <w:u w:val="single"/>
              </w:rPr>
              <w:t xml:space="preserve"> </w:t>
            </w:r>
            <w:r>
              <w:rPr>
                <w:rFonts w:ascii="Times New Roman" w:hAnsi="Times New Roman"/>
                <w:color w:val="auto"/>
                <w:szCs w:val="21"/>
                <w:highlight w:val="none"/>
                <w:u w:val="single"/>
              </w:rPr>
              <w:t xml:space="preserve">  </w:t>
            </w:r>
            <w:r>
              <w:rPr>
                <w:rFonts w:hint="eastAsia" w:ascii="Times New Roman" w:hAnsi="Times New Roman"/>
                <w:color w:val="auto"/>
                <w:szCs w:val="21"/>
                <w:highlight w:val="none"/>
              </w:rPr>
              <w:t>m</w:t>
            </w:r>
          </w:p>
          <w:p>
            <w:pPr>
              <w:spacing w:line="360" w:lineRule="auto"/>
              <w:rPr>
                <w:rFonts w:hint="eastAsia" w:ascii="Times New Roman" w:hAnsi="Times New Roman"/>
                <w:color w:val="auto"/>
                <w:szCs w:val="21"/>
                <w:highlight w:val="none"/>
              </w:rPr>
            </w:pPr>
            <w:r>
              <w:rPr>
                <w:rFonts w:hint="eastAsia" w:ascii="宋体" w:cs="宋体"/>
                <w:color w:val="auto"/>
                <w:kern w:val="0"/>
                <w:szCs w:val="21"/>
                <w:highlight w:val="none"/>
              </w:rPr>
              <w:t>总长：</w:t>
            </w:r>
            <w:r>
              <w:rPr>
                <w:rFonts w:hint="eastAsia" w:ascii="宋体" w:cs="宋体"/>
                <w:color w:val="auto"/>
                <w:kern w:val="0"/>
                <w:szCs w:val="21"/>
                <w:highlight w:val="none"/>
                <w:u w:val="single"/>
              </w:rPr>
              <w:t xml:space="preserve">           </w:t>
            </w:r>
            <w:r>
              <w:rPr>
                <w:rFonts w:ascii="宋体" w:cs="宋体"/>
                <w:color w:val="auto"/>
                <w:kern w:val="0"/>
                <w:szCs w:val="21"/>
                <w:highlight w:val="none"/>
                <w:u w:val="single"/>
              </w:rPr>
              <w:t xml:space="preserve"> </w:t>
            </w:r>
            <w:r>
              <w:rPr>
                <w:rFonts w:hint="eastAsia" w:ascii="宋体" w:cs="宋体"/>
                <w:color w:val="auto"/>
                <w:kern w:val="0"/>
                <w:szCs w:val="21"/>
                <w:highlight w:val="none"/>
                <w:u w:val="single"/>
              </w:rPr>
              <w:t xml:space="preserve"> </w:t>
            </w:r>
            <w:r>
              <w:rPr>
                <w:rFonts w:ascii="宋体" w:cs="宋体"/>
                <w:color w:val="auto"/>
                <w:kern w:val="0"/>
                <w:szCs w:val="21"/>
                <w:highlight w:val="none"/>
                <w:u w:val="single"/>
              </w:rPr>
              <w:t xml:space="preserve">  </w:t>
            </w:r>
            <w:r>
              <w:rPr>
                <w:rFonts w:hint="eastAsia" w:ascii="Times New Roman" w:hAnsi="Times New Roman"/>
                <w:color w:val="auto"/>
                <w:szCs w:val="21"/>
                <w:highlight w:val="none"/>
              </w:rPr>
              <w:t>m</w:t>
            </w:r>
          </w:p>
          <w:p>
            <w:pPr>
              <w:spacing w:line="360" w:lineRule="auto"/>
              <w:rPr>
                <w:rFonts w:hint="eastAsia" w:ascii="Times New Roman" w:hAnsi="Times New Roman"/>
                <w:color w:val="auto"/>
                <w:szCs w:val="21"/>
                <w:highlight w:val="none"/>
              </w:rPr>
            </w:pPr>
          </w:p>
          <w:p>
            <w:pPr>
              <w:spacing w:line="360" w:lineRule="auto"/>
              <w:rPr>
                <w:rFonts w:ascii="Times New Roman" w:hAnsi="Times New Roman" w:eastAsia="仿宋_GB2312"/>
                <w:bCs/>
                <w:color w:val="auto"/>
                <w:sz w:val="30"/>
                <w:szCs w:val="30"/>
                <w:highlight w:val="none"/>
              </w:rPr>
            </w:pPr>
          </w:p>
        </w:tc>
        <w:tc>
          <w:tcPr>
            <w:tcW w:w="1892" w:type="dxa"/>
            <w:noWrap w:val="0"/>
            <w:vAlign w:val="top"/>
          </w:tcPr>
          <w:p>
            <w:pPr>
              <w:spacing w:line="360" w:lineRule="auto"/>
              <w:rPr>
                <w:rFonts w:ascii="Times New Roman" w:hAnsi="Times New Roman" w:eastAsia="仿宋_GB2312"/>
                <w:b/>
                <w:bCs/>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燃气工程</w:t>
            </w:r>
          </w:p>
        </w:tc>
        <w:tc>
          <w:tcPr>
            <w:tcW w:w="2765" w:type="dxa"/>
            <w:noWrap w:val="0"/>
            <w:vAlign w:val="top"/>
          </w:tcPr>
          <w:p>
            <w:pPr>
              <w:spacing w:line="360" w:lineRule="auto"/>
              <w:jc w:val="left"/>
              <w:rPr>
                <w:rFonts w:ascii="Times New Roman" w:hAnsi="Times New Roman"/>
                <w:color w:val="auto"/>
                <w:szCs w:val="21"/>
                <w:highlight w:val="none"/>
              </w:rPr>
            </w:pPr>
            <w:r>
              <w:rPr>
                <w:rFonts w:hint="eastAsia" w:cs="宋体"/>
                <w:color w:val="auto"/>
                <w:szCs w:val="21"/>
                <w:highlight w:val="none"/>
              </w:rPr>
              <w:t>□最大管径：</w:t>
            </w:r>
            <w:r>
              <w:rPr>
                <w:rFonts w:hint="eastAsia" w:ascii="Times New Roman" w:hAnsi="Times New Roman"/>
                <w:color w:val="auto"/>
                <w:szCs w:val="21"/>
                <w:highlight w:val="none"/>
              </w:rPr>
              <w:t>DN</w:t>
            </w:r>
            <w:r>
              <w:rPr>
                <w:rFonts w:ascii="Times New Roman" w:hAnsi="Times New Roman"/>
                <w:color w:val="auto"/>
                <w:szCs w:val="21"/>
                <w:highlight w:val="none"/>
              </w:rPr>
              <w:t xml:space="preserve"> </w:t>
            </w:r>
            <w:r>
              <w:rPr>
                <w:rFonts w:cs="宋体"/>
                <w:color w:val="auto"/>
                <w:szCs w:val="21"/>
                <w:highlight w:val="none"/>
                <w:u w:val="single"/>
              </w:rPr>
              <w:t xml:space="preserve">     </w:t>
            </w:r>
            <w:r>
              <w:rPr>
                <w:rFonts w:ascii="Times New Roman" w:hAnsi="Times New Roman"/>
                <w:color w:val="auto"/>
                <w:szCs w:val="21"/>
                <w:highlight w:val="none"/>
              </w:rPr>
              <w:t>mm</w:t>
            </w:r>
          </w:p>
          <w:p>
            <w:pPr>
              <w:spacing w:line="360" w:lineRule="auto"/>
              <w:jc w:val="left"/>
              <w:rPr>
                <w:rFonts w:ascii="Times New Roman" w:hAnsi="Times New Roman" w:eastAsia="仿宋_GB2312"/>
                <w:bCs/>
                <w:color w:val="auto"/>
                <w:sz w:val="30"/>
                <w:szCs w:val="30"/>
                <w:highlight w:val="none"/>
              </w:rPr>
            </w:pPr>
            <w:r>
              <w:rPr>
                <w:rFonts w:cs="宋体"/>
                <w:color w:val="auto"/>
                <w:szCs w:val="21"/>
                <w:highlight w:val="none"/>
              </w:rPr>
              <w:t>总长</w:t>
            </w:r>
            <w:r>
              <w:rPr>
                <w:rFonts w:hint="eastAsia" w:cs="宋体"/>
                <w:color w:val="auto"/>
                <w:szCs w:val="21"/>
                <w:highlight w:val="none"/>
              </w:rPr>
              <w:t>：</w:t>
            </w:r>
            <w:r>
              <w:rPr>
                <w:rFonts w:cs="宋体"/>
                <w:color w:val="auto"/>
                <w:szCs w:val="21"/>
                <w:highlight w:val="none"/>
                <w:u w:val="single"/>
              </w:rPr>
              <w:t xml:space="preserve">   </w:t>
            </w:r>
            <w:r>
              <w:rPr>
                <w:rFonts w:hint="eastAsia" w:cs="宋体"/>
                <w:color w:val="auto"/>
                <w:szCs w:val="21"/>
                <w:highlight w:val="none"/>
                <w:u w:val="single"/>
              </w:rPr>
              <w:t xml:space="preserve">     </w:t>
            </w:r>
            <w:r>
              <w:rPr>
                <w:rFonts w:cs="宋体"/>
                <w:color w:val="auto"/>
                <w:szCs w:val="21"/>
                <w:highlight w:val="none"/>
                <w:u w:val="single"/>
              </w:rPr>
              <w:t xml:space="preserve">    </w:t>
            </w:r>
            <w:r>
              <w:rPr>
                <w:rFonts w:hint="eastAsia" w:ascii="宋体" w:cs="宋体"/>
                <w:color w:val="auto"/>
                <w:kern w:val="0"/>
                <w:szCs w:val="21"/>
                <w:highlight w:val="none"/>
                <w:u w:val="single"/>
              </w:rPr>
              <w:t xml:space="preserve"> </w:t>
            </w:r>
            <w:r>
              <w:rPr>
                <w:rFonts w:ascii="宋体" w:cs="宋体"/>
                <w:color w:val="auto"/>
                <w:kern w:val="0"/>
                <w:szCs w:val="21"/>
                <w:highlight w:val="none"/>
                <w:u w:val="single"/>
              </w:rPr>
              <w:t xml:space="preserve">  </w:t>
            </w:r>
            <w:r>
              <w:rPr>
                <w:rFonts w:cs="宋体"/>
                <w:color w:val="auto"/>
                <w:szCs w:val="21"/>
                <w:highlight w:val="none"/>
              </w:rPr>
              <w:t xml:space="preserve"> </w:t>
            </w:r>
            <w:r>
              <w:rPr>
                <w:rFonts w:hint="eastAsia" w:ascii="Times New Roman" w:hAnsi="Times New Roman"/>
                <w:color w:val="auto"/>
                <w:szCs w:val="21"/>
                <w:highlight w:val="non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0" w:type="dxa"/>
            <w:noWrap w:val="0"/>
            <w:vAlign w:val="top"/>
          </w:tcPr>
          <w:p>
            <w:pPr>
              <w:spacing w:line="360" w:lineRule="auto"/>
              <w:rPr>
                <w:rFonts w:ascii="Times New Roman" w:hAnsi="Times New Roman" w:eastAsia="仿宋_GB2312"/>
                <w:b/>
                <w:bCs/>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软基处理工程</w:t>
            </w:r>
            <w:r>
              <w:rPr>
                <w:rFonts w:ascii="宋体" w:cs="宋体"/>
                <w:b/>
                <w:color w:val="auto"/>
                <w:kern w:val="0"/>
                <w:szCs w:val="21"/>
                <w:highlight w:val="none"/>
              </w:rPr>
              <w:t xml:space="preserve"> </w:t>
            </w:r>
          </w:p>
        </w:tc>
        <w:tc>
          <w:tcPr>
            <w:tcW w:w="2769" w:type="dxa"/>
            <w:noWrap w:val="0"/>
            <w:vAlign w:val="top"/>
          </w:tcPr>
          <w:p>
            <w:pPr>
              <w:numPr>
                <w:ilvl w:val="0"/>
                <w:numId w:val="4"/>
              </w:numPr>
              <w:spacing w:line="360" w:lineRule="auto"/>
              <w:ind w:left="261" w:hanging="261"/>
              <w:rPr>
                <w:rFonts w:ascii="Times New Roman" w:hAnsi="Times New Roman" w:eastAsia="仿宋_GB2312"/>
                <w:bCs/>
                <w:color w:val="auto"/>
                <w:sz w:val="30"/>
                <w:szCs w:val="30"/>
                <w:highlight w:val="none"/>
              </w:rPr>
            </w:pPr>
            <w:r>
              <w:rPr>
                <w:rFonts w:cs="宋体"/>
                <w:color w:val="auto"/>
                <w:szCs w:val="21"/>
                <w:highlight w:val="none"/>
              </w:rPr>
              <w:t>面积</w:t>
            </w:r>
            <w:r>
              <w:rPr>
                <w:rFonts w:hint="eastAsia" w:cs="宋体"/>
                <w:color w:val="auto"/>
                <w:szCs w:val="21"/>
                <w:highlight w:val="none"/>
              </w:rPr>
              <w:t>：</w:t>
            </w:r>
            <w:r>
              <w:rPr>
                <w:rFonts w:cs="宋体"/>
                <w:color w:val="auto"/>
                <w:szCs w:val="21"/>
                <w:highlight w:val="none"/>
                <w:u w:val="single"/>
              </w:rPr>
              <w:t xml:space="preserve">          </w:t>
            </w:r>
            <w:r>
              <w:rPr>
                <w:rFonts w:hint="eastAsia" w:ascii="宋体" w:cs="宋体"/>
                <w:color w:val="auto"/>
                <w:kern w:val="0"/>
                <w:szCs w:val="21"/>
                <w:highlight w:val="none"/>
              </w:rPr>
              <w:t>万</w:t>
            </w:r>
            <w:r>
              <w:rPr>
                <w:rFonts w:hint="eastAsia" w:ascii="Times New Roman" w:hAnsi="Times New Roman"/>
                <w:color w:val="auto"/>
                <w:szCs w:val="21"/>
                <w:highlight w:val="none"/>
              </w:rPr>
              <w:t>m</w:t>
            </w:r>
            <w:r>
              <w:rPr>
                <w:rFonts w:ascii="宋体" w:cs="宋体"/>
                <w:color w:val="auto"/>
                <w:kern w:val="0"/>
                <w:szCs w:val="21"/>
                <w:highlight w:val="none"/>
                <w:vertAlign w:val="superscript"/>
              </w:rPr>
              <w:t>2</w:t>
            </w:r>
          </w:p>
        </w:tc>
        <w:tc>
          <w:tcPr>
            <w:tcW w:w="1892" w:type="dxa"/>
            <w:noWrap w:val="0"/>
            <w:vAlign w:val="top"/>
          </w:tcPr>
          <w:p>
            <w:pPr>
              <w:spacing w:line="360" w:lineRule="auto"/>
              <w:rPr>
                <w:rFonts w:ascii="Times New Roman" w:hAnsi="Times New Roman" w:eastAsia="仿宋_GB2312"/>
                <w:b/>
                <w:bCs/>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地下</w:t>
            </w:r>
            <w:r>
              <w:rPr>
                <w:rFonts w:ascii="宋体" w:cs="宋体"/>
                <w:b/>
                <w:color w:val="auto"/>
                <w:kern w:val="0"/>
                <w:szCs w:val="21"/>
                <w:highlight w:val="none"/>
              </w:rPr>
              <w:t>综合</w:t>
            </w:r>
            <w:r>
              <w:rPr>
                <w:rFonts w:hint="eastAsia" w:ascii="宋体" w:cs="宋体"/>
                <w:b/>
                <w:color w:val="auto"/>
                <w:kern w:val="0"/>
                <w:szCs w:val="21"/>
                <w:highlight w:val="none"/>
              </w:rPr>
              <w:t>管廊工程</w:t>
            </w:r>
          </w:p>
        </w:tc>
        <w:tc>
          <w:tcPr>
            <w:tcW w:w="2765" w:type="dxa"/>
            <w:noWrap w:val="0"/>
            <w:vAlign w:val="top"/>
          </w:tcPr>
          <w:p>
            <w:pPr>
              <w:spacing w:line="360" w:lineRule="auto"/>
              <w:rPr>
                <w:rFonts w:hint="eastAsia" w:ascii="宋体" w:cs="宋体"/>
                <w:color w:val="auto"/>
                <w:kern w:val="0"/>
                <w:szCs w:val="21"/>
                <w:highlight w:val="none"/>
              </w:rPr>
            </w:pPr>
            <w:r>
              <w:rPr>
                <w:rFonts w:hint="eastAsia" w:cs="宋体"/>
                <w:color w:val="auto"/>
                <w:szCs w:val="21"/>
                <w:highlight w:val="none"/>
              </w:rPr>
              <w:t>□矩形断面 总</w:t>
            </w:r>
            <w:r>
              <w:rPr>
                <w:rFonts w:hint="eastAsia" w:ascii="宋体" w:cs="宋体"/>
                <w:color w:val="auto"/>
                <w:kern w:val="0"/>
                <w:szCs w:val="21"/>
                <w:highlight w:val="none"/>
              </w:rPr>
              <w:t>宽×高：</w:t>
            </w:r>
            <w:r>
              <w:rPr>
                <w:rFonts w:hint="eastAsia" w:ascii="宋体" w:cs="宋体"/>
                <w:color w:val="auto"/>
                <w:kern w:val="0"/>
                <w:szCs w:val="21"/>
                <w:highlight w:val="none"/>
                <w:u w:val="single"/>
              </w:rPr>
              <w:t xml:space="preserve"> </w:t>
            </w:r>
            <w:r>
              <w:rPr>
                <w:rFonts w:ascii="宋体" w:cs="宋体"/>
                <w:color w:val="auto"/>
                <w:kern w:val="0"/>
                <w:szCs w:val="21"/>
                <w:highlight w:val="none"/>
                <w:u w:val="single"/>
              </w:rPr>
              <w:t xml:space="preserve">  </w:t>
            </w:r>
            <w:r>
              <w:rPr>
                <w:rFonts w:ascii="宋体" w:cs="宋体"/>
                <w:color w:val="auto"/>
                <w:kern w:val="0"/>
                <w:szCs w:val="21"/>
                <w:highlight w:val="none"/>
              </w:rPr>
              <w:t xml:space="preserve"> </w:t>
            </w:r>
            <w:r>
              <w:rPr>
                <w:rFonts w:hint="eastAsia" w:ascii="Times New Roman" w:hAnsi="Times New Roman"/>
                <w:color w:val="auto"/>
                <w:szCs w:val="21"/>
                <w:highlight w:val="none"/>
              </w:rPr>
              <w:t>m</w:t>
            </w:r>
            <w:r>
              <w:rPr>
                <w:rFonts w:hint="eastAsia" w:ascii="宋体" w:cs="宋体"/>
                <w:color w:val="auto"/>
                <w:kern w:val="0"/>
                <w:szCs w:val="21"/>
                <w:highlight w:val="none"/>
              </w:rPr>
              <w:t>×</w:t>
            </w:r>
            <w:r>
              <w:rPr>
                <w:rFonts w:ascii="宋体" w:cs="宋体"/>
                <w:color w:val="auto"/>
                <w:kern w:val="0"/>
                <w:szCs w:val="21"/>
                <w:highlight w:val="none"/>
                <w:u w:val="single"/>
              </w:rPr>
              <w:t xml:space="preserve"> </w:t>
            </w:r>
            <w:r>
              <w:rPr>
                <w:rFonts w:hint="eastAsia" w:ascii="Times New Roman" w:hAnsi="Times New Roman"/>
                <w:color w:val="auto"/>
                <w:szCs w:val="21"/>
                <w:highlight w:val="none"/>
                <w:u w:val="single"/>
              </w:rPr>
              <w:t xml:space="preserve"> </w:t>
            </w:r>
            <w:r>
              <w:rPr>
                <w:rFonts w:ascii="Times New Roman" w:hAnsi="Times New Roman"/>
                <w:color w:val="auto"/>
                <w:szCs w:val="21"/>
                <w:highlight w:val="none"/>
                <w:u w:val="single"/>
              </w:rPr>
              <w:t xml:space="preserve"> </w:t>
            </w:r>
            <w:r>
              <w:rPr>
                <w:rFonts w:hint="eastAsia" w:ascii="Times New Roman" w:hAnsi="Times New Roman"/>
                <w:color w:val="auto"/>
                <w:szCs w:val="21"/>
                <w:highlight w:val="none"/>
              </w:rPr>
              <w:t>m</w:t>
            </w:r>
          </w:p>
          <w:p>
            <w:pPr>
              <w:spacing w:line="360" w:lineRule="auto"/>
              <w:ind w:left="-4" w:leftChars="-2" w:firstLine="2"/>
              <w:jc w:val="left"/>
              <w:rPr>
                <w:rFonts w:ascii="宋体" w:cs="宋体"/>
                <w:color w:val="auto"/>
                <w:kern w:val="0"/>
                <w:szCs w:val="21"/>
                <w:highlight w:val="none"/>
              </w:rPr>
            </w:pPr>
            <w:r>
              <w:rPr>
                <w:rFonts w:hint="eastAsia" w:ascii="宋体" w:cs="宋体"/>
                <w:color w:val="auto"/>
                <w:kern w:val="0"/>
                <w:szCs w:val="21"/>
                <w:highlight w:val="none"/>
              </w:rPr>
              <w:t xml:space="preserve">舱数： </w:t>
            </w:r>
            <w:r>
              <w:rPr>
                <w:rFonts w:hint="eastAsia" w:ascii="宋体" w:cs="宋体"/>
                <w:color w:val="auto"/>
                <w:kern w:val="0"/>
                <w:szCs w:val="21"/>
                <w:highlight w:val="none"/>
                <w:u w:val="single"/>
              </w:rPr>
              <w:t xml:space="preserve">           </w:t>
            </w:r>
            <w:r>
              <w:rPr>
                <w:rFonts w:hint="eastAsia" w:ascii="宋体" w:cs="宋体"/>
                <w:color w:val="auto"/>
                <w:kern w:val="0"/>
                <w:szCs w:val="21"/>
                <w:highlight w:val="none"/>
              </w:rPr>
              <w:t>舱</w:t>
            </w:r>
          </w:p>
          <w:p>
            <w:pPr>
              <w:spacing w:line="360" w:lineRule="auto"/>
              <w:ind w:left="-4" w:leftChars="-2" w:firstLine="2"/>
              <w:jc w:val="left"/>
              <w:rPr>
                <w:rFonts w:hint="eastAsia" w:ascii="Times New Roman" w:hAnsi="Times New Roman"/>
                <w:color w:val="auto"/>
                <w:szCs w:val="21"/>
                <w:highlight w:val="none"/>
              </w:rPr>
            </w:pPr>
            <w:r>
              <w:rPr>
                <w:rFonts w:hint="eastAsia" w:ascii="宋体" w:cs="宋体"/>
                <w:color w:val="auto"/>
                <w:kern w:val="0"/>
                <w:szCs w:val="21"/>
                <w:highlight w:val="none"/>
              </w:rPr>
              <w:t>总长：</w:t>
            </w:r>
            <w:r>
              <w:rPr>
                <w:rFonts w:hint="eastAsia" w:ascii="宋体" w:cs="宋体"/>
                <w:color w:val="auto"/>
                <w:kern w:val="0"/>
                <w:szCs w:val="21"/>
                <w:highlight w:val="none"/>
                <w:u w:val="single"/>
              </w:rPr>
              <w:t xml:space="preserve">          </w:t>
            </w:r>
            <w:r>
              <w:rPr>
                <w:rFonts w:ascii="宋体" w:cs="宋体"/>
                <w:color w:val="auto"/>
                <w:kern w:val="0"/>
                <w:szCs w:val="21"/>
                <w:highlight w:val="none"/>
                <w:u w:val="single"/>
              </w:rPr>
              <w:t xml:space="preserve"> </w:t>
            </w:r>
            <w:r>
              <w:rPr>
                <w:rFonts w:hint="eastAsia" w:ascii="宋体" w:cs="宋体"/>
                <w:color w:val="auto"/>
                <w:kern w:val="0"/>
                <w:szCs w:val="21"/>
                <w:highlight w:val="none"/>
                <w:u w:val="single"/>
              </w:rPr>
              <w:t xml:space="preserve"> </w:t>
            </w:r>
            <w:r>
              <w:rPr>
                <w:rFonts w:hint="eastAsia" w:ascii="Times New Roman" w:hAnsi="Times New Roman"/>
                <w:color w:val="auto"/>
                <w:szCs w:val="21"/>
                <w:highlight w:val="none"/>
              </w:rPr>
              <w:t>m</w:t>
            </w:r>
          </w:p>
          <w:p>
            <w:pPr>
              <w:spacing w:line="360" w:lineRule="auto"/>
              <w:ind w:left="-4" w:leftChars="-2" w:firstLine="2"/>
              <w:jc w:val="left"/>
              <w:rPr>
                <w:rFonts w:hint="eastAsia" w:cs="宋体"/>
                <w:color w:val="auto"/>
                <w:szCs w:val="21"/>
                <w:highlight w:val="none"/>
              </w:rPr>
            </w:pPr>
            <w:r>
              <w:rPr>
                <w:rFonts w:hint="eastAsia" w:cs="宋体"/>
                <w:color w:val="auto"/>
                <w:szCs w:val="21"/>
                <w:highlight w:val="none"/>
              </w:rPr>
              <w:t>□其他断面形式：</w:t>
            </w:r>
          </w:p>
          <w:p>
            <w:pPr>
              <w:spacing w:line="360" w:lineRule="auto"/>
              <w:ind w:left="-4" w:leftChars="-2" w:firstLine="2"/>
              <w:jc w:val="left"/>
              <w:rPr>
                <w:rFonts w:hint="eastAsia" w:cs="宋体"/>
                <w:color w:val="auto"/>
                <w:szCs w:val="21"/>
                <w:highlight w:val="none"/>
              </w:rPr>
            </w:pPr>
          </w:p>
          <w:p>
            <w:pPr>
              <w:spacing w:line="360" w:lineRule="auto"/>
              <w:ind w:left="-4" w:leftChars="-2" w:firstLine="2"/>
              <w:jc w:val="left"/>
              <w:rPr>
                <w:rFonts w:hint="eastAsia" w:cs="宋体"/>
                <w:color w:val="auto"/>
                <w:szCs w:val="21"/>
                <w:highlight w:val="none"/>
              </w:rPr>
            </w:pPr>
          </w:p>
          <w:p>
            <w:pPr>
              <w:spacing w:line="360" w:lineRule="auto"/>
              <w:ind w:left="-4" w:leftChars="-2" w:firstLine="2"/>
              <w:jc w:val="left"/>
              <w:rPr>
                <w:rFonts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0" w:type="dxa"/>
            <w:noWrap w:val="0"/>
            <w:vAlign w:val="top"/>
          </w:tcPr>
          <w:p>
            <w:pPr>
              <w:spacing w:line="360" w:lineRule="auto"/>
              <w:rPr>
                <w:rFonts w:ascii="Times New Roman" w:hAnsi="Times New Roman" w:eastAsia="仿宋_GB2312"/>
                <w:b/>
                <w:bCs/>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道路工程</w:t>
            </w:r>
          </w:p>
        </w:tc>
        <w:tc>
          <w:tcPr>
            <w:tcW w:w="2769" w:type="dxa"/>
            <w:noWrap w:val="0"/>
            <w:vAlign w:val="top"/>
          </w:tcPr>
          <w:p>
            <w:pPr>
              <w:spacing w:line="360" w:lineRule="auto"/>
              <w:rPr>
                <w:rFonts w:hint="eastAsia" w:cs="宋体"/>
                <w:color w:val="auto"/>
                <w:szCs w:val="21"/>
                <w:highlight w:val="none"/>
              </w:rPr>
            </w:pPr>
            <w:r>
              <w:rPr>
                <w:rFonts w:hint="eastAsia" w:cs="宋体"/>
                <w:color w:val="auto"/>
                <w:szCs w:val="21"/>
                <w:highlight w:val="none"/>
              </w:rPr>
              <w:t>□沥青混凝土路面</w:t>
            </w:r>
          </w:p>
          <w:p>
            <w:pPr>
              <w:spacing w:line="360" w:lineRule="auto"/>
              <w:rPr>
                <w:rFonts w:hint="eastAsia" w:cs="宋体"/>
                <w:color w:val="auto"/>
                <w:szCs w:val="21"/>
                <w:highlight w:val="none"/>
              </w:rPr>
            </w:pPr>
            <w:r>
              <w:rPr>
                <w:rFonts w:hint="eastAsia" w:cs="宋体"/>
                <w:color w:val="auto"/>
                <w:szCs w:val="21"/>
                <w:highlight w:val="none"/>
              </w:rPr>
              <w:t>□水泥混凝土路面</w:t>
            </w:r>
          </w:p>
          <w:p>
            <w:pPr>
              <w:spacing w:line="360" w:lineRule="auto"/>
              <w:rPr>
                <w:rFonts w:hint="eastAsia" w:ascii="Times New Roman" w:hAnsi="Times New Roman"/>
                <w:color w:val="auto"/>
                <w:szCs w:val="21"/>
                <w:highlight w:val="none"/>
              </w:rPr>
            </w:pPr>
            <w:r>
              <w:rPr>
                <w:rFonts w:hint="eastAsia" w:cs="宋体"/>
                <w:color w:val="auto"/>
                <w:szCs w:val="21"/>
                <w:highlight w:val="none"/>
              </w:rPr>
              <w:t>□</w:t>
            </w:r>
            <w:r>
              <w:rPr>
                <w:rFonts w:hint="eastAsia" w:ascii="宋体" w:cs="宋体"/>
                <w:color w:val="auto"/>
                <w:kern w:val="0"/>
                <w:szCs w:val="21"/>
                <w:highlight w:val="none"/>
              </w:rPr>
              <w:t>宽：</w:t>
            </w:r>
            <w:r>
              <w:rPr>
                <w:rFonts w:hint="eastAsia" w:ascii="宋体" w:cs="宋体"/>
                <w:color w:val="auto"/>
                <w:kern w:val="0"/>
                <w:szCs w:val="21"/>
                <w:highlight w:val="none"/>
                <w:u w:val="single"/>
              </w:rPr>
              <w:t xml:space="preserve">  </w:t>
            </w:r>
            <w:r>
              <w:rPr>
                <w:rFonts w:ascii="宋体" w:cs="宋体"/>
                <w:color w:val="auto"/>
                <w:kern w:val="0"/>
                <w:szCs w:val="21"/>
                <w:highlight w:val="none"/>
                <w:u w:val="single"/>
              </w:rPr>
              <w:t xml:space="preserve">   </w:t>
            </w:r>
            <w:r>
              <w:rPr>
                <w:rFonts w:hint="eastAsia" w:ascii="Times New Roman" w:hAnsi="Times New Roman"/>
                <w:color w:val="auto"/>
                <w:szCs w:val="21"/>
                <w:highlight w:val="none"/>
              </w:rPr>
              <w:t>m</w:t>
            </w:r>
            <w:r>
              <w:rPr>
                <w:rFonts w:hint="eastAsia" w:ascii="宋体" w:cs="宋体"/>
                <w:color w:val="auto"/>
                <w:kern w:val="0"/>
                <w:szCs w:val="21"/>
                <w:highlight w:val="none"/>
              </w:rPr>
              <w:t>总长：</w:t>
            </w:r>
            <w:r>
              <w:rPr>
                <w:rFonts w:hint="eastAsia" w:ascii="宋体" w:cs="宋体"/>
                <w:color w:val="auto"/>
                <w:kern w:val="0"/>
                <w:szCs w:val="21"/>
                <w:highlight w:val="none"/>
                <w:u w:val="single"/>
              </w:rPr>
              <w:t xml:space="preserve">  </w:t>
            </w:r>
            <w:r>
              <w:rPr>
                <w:rFonts w:ascii="宋体" w:cs="宋体"/>
                <w:color w:val="auto"/>
                <w:kern w:val="0"/>
                <w:szCs w:val="21"/>
                <w:highlight w:val="none"/>
                <w:u w:val="single"/>
              </w:rPr>
              <w:t xml:space="preserve"> </w:t>
            </w:r>
            <w:r>
              <w:rPr>
                <w:rFonts w:hint="eastAsia" w:ascii="宋体" w:cs="宋体"/>
                <w:color w:val="auto"/>
                <w:kern w:val="0"/>
                <w:szCs w:val="21"/>
                <w:highlight w:val="none"/>
                <w:u w:val="single"/>
              </w:rPr>
              <w:t xml:space="preserve"> </w:t>
            </w:r>
            <w:r>
              <w:rPr>
                <w:rFonts w:ascii="宋体" w:cs="宋体"/>
                <w:color w:val="auto"/>
                <w:kern w:val="0"/>
                <w:szCs w:val="21"/>
                <w:highlight w:val="none"/>
                <w:u w:val="single"/>
              </w:rPr>
              <w:t xml:space="preserve"> </w:t>
            </w:r>
            <w:r>
              <w:rPr>
                <w:rFonts w:hint="eastAsia" w:ascii="Times New Roman" w:hAnsi="Times New Roman"/>
                <w:color w:val="auto"/>
                <w:szCs w:val="21"/>
                <w:highlight w:val="none"/>
              </w:rPr>
              <w:t>m</w:t>
            </w:r>
          </w:p>
          <w:p>
            <w:pPr>
              <w:spacing w:line="360" w:lineRule="auto"/>
              <w:rPr>
                <w:rFonts w:ascii="Times New Roman" w:hAnsi="Times New Roman" w:eastAsia="仿宋_GB2312"/>
                <w:bCs/>
                <w:color w:val="auto"/>
                <w:sz w:val="30"/>
                <w:szCs w:val="30"/>
                <w:highlight w:val="none"/>
              </w:rPr>
            </w:pPr>
          </w:p>
        </w:tc>
        <w:tc>
          <w:tcPr>
            <w:tcW w:w="1892" w:type="dxa"/>
            <w:noWrap w:val="0"/>
            <w:vAlign w:val="top"/>
          </w:tcPr>
          <w:p>
            <w:pPr>
              <w:spacing w:line="360" w:lineRule="auto"/>
              <w:rPr>
                <w:rFonts w:ascii="Times New Roman" w:hAnsi="Times New Roman" w:eastAsia="仿宋_GB2312"/>
                <w:b/>
                <w:bCs/>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路灯工程</w:t>
            </w:r>
          </w:p>
        </w:tc>
        <w:tc>
          <w:tcPr>
            <w:tcW w:w="2765" w:type="dxa"/>
            <w:noWrap w:val="0"/>
            <w:vAlign w:val="top"/>
          </w:tcPr>
          <w:p>
            <w:pPr>
              <w:spacing w:line="360" w:lineRule="auto"/>
              <w:ind w:left="-5" w:leftChars="-8" w:hanging="12" w:hangingChars="6"/>
              <w:jc w:val="left"/>
              <w:rPr>
                <w:rFonts w:ascii="Times New Roman" w:hAnsi="Times New Roman" w:eastAsia="仿宋_GB2312"/>
                <w:bCs/>
                <w:color w:val="auto"/>
                <w:sz w:val="30"/>
                <w:szCs w:val="30"/>
                <w:highlight w:val="none"/>
              </w:rPr>
            </w:pPr>
            <w:r>
              <w:rPr>
                <w:rFonts w:hint="eastAsia" w:cs="宋体"/>
                <w:color w:val="auto"/>
                <w:szCs w:val="21"/>
                <w:highlight w:val="none"/>
              </w:rPr>
              <w:t>□</w:t>
            </w:r>
            <w:r>
              <w:rPr>
                <w:rFonts w:cs="宋体"/>
                <w:color w:val="auto"/>
                <w:szCs w:val="21"/>
                <w:highlight w:val="none"/>
              </w:rPr>
              <w:t xml:space="preserve"> </w:t>
            </w:r>
            <w:r>
              <w:rPr>
                <w:rFonts w:cs="宋体"/>
                <w:color w:val="auto"/>
                <w:szCs w:val="21"/>
                <w:highlight w:val="none"/>
                <w:u w:val="single"/>
              </w:rPr>
              <w:t xml:space="preserve">             </w:t>
            </w:r>
            <w:r>
              <w:rPr>
                <w:rFonts w:hint="eastAsia" w:ascii="宋体" w:cs="宋体"/>
                <w:color w:val="auto"/>
                <w:kern w:val="0"/>
                <w:szCs w:val="21"/>
                <w:highlight w:val="none"/>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0" w:type="dxa"/>
            <w:noWrap w:val="0"/>
            <w:vAlign w:val="top"/>
          </w:tcPr>
          <w:p>
            <w:pPr>
              <w:spacing w:line="360" w:lineRule="auto"/>
              <w:rPr>
                <w:rFonts w:ascii="Times New Roman" w:hAnsi="Times New Roman" w:eastAsia="仿宋_GB2312"/>
                <w:b/>
                <w:bCs/>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桥梁工程</w:t>
            </w:r>
          </w:p>
        </w:tc>
        <w:tc>
          <w:tcPr>
            <w:tcW w:w="2769" w:type="dxa"/>
            <w:noWrap w:val="0"/>
            <w:vAlign w:val="top"/>
          </w:tcPr>
          <w:p>
            <w:pPr>
              <w:spacing w:line="360" w:lineRule="auto"/>
              <w:ind w:left="1680" w:hanging="1680" w:hangingChars="800"/>
              <w:rPr>
                <w:rFonts w:hint="eastAsia" w:cs="宋体"/>
                <w:color w:val="auto"/>
                <w:szCs w:val="21"/>
                <w:highlight w:val="none"/>
              </w:rPr>
            </w:pPr>
            <w:r>
              <w:rPr>
                <w:rFonts w:hint="eastAsia" w:cs="宋体"/>
                <w:color w:val="auto"/>
                <w:szCs w:val="21"/>
                <w:highlight w:val="none"/>
              </w:rPr>
              <w:t>□最大单跨跨度</w:t>
            </w:r>
            <w:r>
              <w:rPr>
                <w:rFonts w:hint="eastAsia" w:ascii="宋体" w:cs="宋体"/>
                <w:color w:val="auto"/>
                <w:kern w:val="0"/>
                <w:szCs w:val="21"/>
                <w:highlight w:val="none"/>
              </w:rPr>
              <w:t>：</w:t>
            </w:r>
            <w:r>
              <w:rPr>
                <w:rFonts w:cs="宋体"/>
                <w:color w:val="auto"/>
                <w:szCs w:val="21"/>
                <w:highlight w:val="none"/>
                <w:u w:val="single"/>
              </w:rPr>
              <w:t xml:space="preserve">       </w:t>
            </w:r>
            <w:r>
              <w:rPr>
                <w:rFonts w:hint="eastAsia" w:ascii="Times New Roman" w:hAnsi="Times New Roman"/>
                <w:color w:val="auto"/>
                <w:szCs w:val="21"/>
                <w:highlight w:val="none"/>
              </w:rPr>
              <w:t>m</w:t>
            </w:r>
          </w:p>
          <w:p>
            <w:pPr>
              <w:spacing w:line="360" w:lineRule="auto"/>
              <w:ind w:left="1680" w:hanging="1680" w:hangingChars="800"/>
              <w:rPr>
                <w:color w:val="auto"/>
                <w:highlight w:val="none"/>
              </w:rPr>
            </w:pPr>
            <w:r>
              <w:rPr>
                <w:rFonts w:hint="eastAsia"/>
                <w:color w:val="auto"/>
                <w:highlight w:val="none"/>
              </w:rPr>
              <w:t>桥宽</w:t>
            </w:r>
            <w:r>
              <w:rPr>
                <w:color w:val="auto"/>
                <w:highlight w:val="none"/>
              </w:rPr>
              <w:t>：</w:t>
            </w:r>
            <w:r>
              <w:rPr>
                <w:rFonts w:hint="eastAsia" w:cs="宋体"/>
                <w:color w:val="auto"/>
                <w:szCs w:val="21"/>
                <w:highlight w:val="none"/>
                <w:u w:val="single"/>
              </w:rPr>
              <w:t xml:space="preserve">            </w:t>
            </w:r>
            <w:r>
              <w:rPr>
                <w:rFonts w:cs="宋体"/>
                <w:color w:val="auto"/>
                <w:szCs w:val="21"/>
                <w:highlight w:val="none"/>
                <w:u w:val="single"/>
              </w:rPr>
              <w:t xml:space="preserve">    </w:t>
            </w:r>
            <w:r>
              <w:rPr>
                <w:rFonts w:hint="eastAsia" w:ascii="Times New Roman" w:hAnsi="Times New Roman"/>
                <w:color w:val="auto"/>
                <w:szCs w:val="21"/>
                <w:highlight w:val="none"/>
              </w:rPr>
              <w:t>m</w:t>
            </w:r>
          </w:p>
          <w:p>
            <w:pPr>
              <w:spacing w:line="360" w:lineRule="auto"/>
              <w:ind w:left="1680" w:hanging="1680" w:hangingChars="800"/>
              <w:rPr>
                <w:rFonts w:hint="eastAsia" w:ascii="Times New Roman" w:hAnsi="Times New Roman"/>
                <w:color w:val="auto"/>
                <w:szCs w:val="21"/>
                <w:highlight w:val="none"/>
              </w:rPr>
            </w:pPr>
            <w:r>
              <w:rPr>
                <w:rFonts w:hint="eastAsia" w:ascii="宋体" w:cs="宋体"/>
                <w:color w:val="auto"/>
                <w:kern w:val="0"/>
                <w:szCs w:val="21"/>
                <w:highlight w:val="none"/>
              </w:rPr>
              <w:t>总长</w:t>
            </w:r>
            <w:r>
              <w:rPr>
                <w:color w:val="auto"/>
                <w:highlight w:val="none"/>
              </w:rPr>
              <w:t>：</w:t>
            </w:r>
            <w:r>
              <w:rPr>
                <w:rFonts w:hint="eastAsia" w:cs="宋体"/>
                <w:color w:val="auto"/>
                <w:szCs w:val="21"/>
                <w:highlight w:val="none"/>
                <w:u w:val="single"/>
              </w:rPr>
              <w:t xml:space="preserve">  </w:t>
            </w:r>
            <w:r>
              <w:rPr>
                <w:rFonts w:cs="宋体"/>
                <w:color w:val="auto"/>
                <w:szCs w:val="21"/>
                <w:highlight w:val="none"/>
                <w:u w:val="single"/>
              </w:rPr>
              <w:t xml:space="preserve">              </w:t>
            </w:r>
            <w:r>
              <w:rPr>
                <w:rFonts w:hint="eastAsia" w:ascii="Times New Roman" w:hAnsi="Times New Roman"/>
                <w:color w:val="auto"/>
                <w:szCs w:val="21"/>
                <w:highlight w:val="none"/>
              </w:rPr>
              <w:t>m</w:t>
            </w:r>
          </w:p>
          <w:p>
            <w:pPr>
              <w:spacing w:line="360" w:lineRule="auto"/>
              <w:ind w:left="1680" w:hanging="1680" w:hangingChars="800"/>
              <w:rPr>
                <w:rFonts w:hint="eastAsia" w:cs="宋体"/>
                <w:color w:val="auto"/>
                <w:szCs w:val="21"/>
                <w:highlight w:val="none"/>
              </w:rPr>
            </w:pPr>
          </w:p>
        </w:tc>
        <w:tc>
          <w:tcPr>
            <w:tcW w:w="1892" w:type="dxa"/>
            <w:noWrap w:val="0"/>
            <w:vAlign w:val="top"/>
          </w:tcPr>
          <w:p>
            <w:pPr>
              <w:spacing w:line="360" w:lineRule="auto"/>
              <w:rPr>
                <w:rFonts w:ascii="Times New Roman" w:hAnsi="Times New Roman" w:eastAsia="仿宋_GB2312"/>
                <w:b/>
                <w:bCs/>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交通设施工程</w:t>
            </w:r>
          </w:p>
        </w:tc>
        <w:tc>
          <w:tcPr>
            <w:tcW w:w="2765" w:type="dxa"/>
            <w:noWrap w:val="0"/>
            <w:vAlign w:val="top"/>
          </w:tcPr>
          <w:p>
            <w:pPr>
              <w:spacing w:line="360" w:lineRule="auto"/>
              <w:ind w:left="-5" w:leftChars="-8" w:hanging="12" w:hangingChars="6"/>
              <w:jc w:val="left"/>
              <w:rPr>
                <w:rFonts w:cs="宋体"/>
                <w:color w:val="auto"/>
                <w:szCs w:val="21"/>
                <w:highlight w:val="none"/>
              </w:rPr>
            </w:pPr>
            <w:r>
              <w:rPr>
                <w:rFonts w:hint="eastAsia" w:cs="宋体"/>
                <w:color w:val="auto"/>
                <w:szCs w:val="21"/>
                <w:highlight w:val="none"/>
              </w:rPr>
              <w:t>□交通监控、收费综合系统工程</w:t>
            </w:r>
          </w:p>
          <w:p>
            <w:pPr>
              <w:spacing w:line="360" w:lineRule="auto"/>
              <w:jc w:val="left"/>
              <w:rPr>
                <w:rFonts w:ascii="Times New Roman" w:hAnsi="Times New Roman" w:eastAsia="仿宋_GB2312"/>
                <w:bCs/>
                <w:color w:val="auto"/>
                <w:sz w:val="30"/>
                <w:szCs w:val="30"/>
                <w:highlight w:val="none"/>
              </w:rPr>
            </w:pPr>
            <w:r>
              <w:rPr>
                <w:rFonts w:hint="eastAsia" w:cs="宋体"/>
                <w:color w:val="auto"/>
                <w:szCs w:val="21"/>
                <w:highlight w:val="none"/>
              </w:rPr>
              <w:t>□交通安全设施工程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0" w:type="dxa"/>
            <w:noWrap w:val="0"/>
            <w:vAlign w:val="top"/>
          </w:tcPr>
          <w:p>
            <w:pPr>
              <w:spacing w:line="360" w:lineRule="auto"/>
              <w:rPr>
                <w:rFonts w:ascii="Times New Roman" w:hAnsi="Times New Roman" w:eastAsia="仿宋_GB2312"/>
                <w:b/>
                <w:bCs/>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隧道工程</w:t>
            </w:r>
          </w:p>
        </w:tc>
        <w:tc>
          <w:tcPr>
            <w:tcW w:w="2769" w:type="dxa"/>
            <w:noWrap w:val="0"/>
            <w:vAlign w:val="top"/>
          </w:tcPr>
          <w:p>
            <w:pPr>
              <w:spacing w:line="360" w:lineRule="auto"/>
              <w:rPr>
                <w:rFonts w:ascii="Times New Roman" w:hAnsi="Times New Roman"/>
                <w:color w:val="auto"/>
                <w:szCs w:val="21"/>
                <w:highlight w:val="none"/>
              </w:rPr>
            </w:pPr>
            <w:r>
              <w:rPr>
                <w:rFonts w:hint="eastAsia" w:cs="宋体"/>
                <w:color w:val="auto"/>
                <w:szCs w:val="21"/>
                <w:highlight w:val="none"/>
              </w:rPr>
              <w:t>□洞</w:t>
            </w:r>
            <w:r>
              <w:rPr>
                <w:rFonts w:hint="eastAsia" w:ascii="宋体" w:cs="宋体"/>
                <w:color w:val="auto"/>
                <w:kern w:val="0"/>
                <w:szCs w:val="21"/>
                <w:highlight w:val="none"/>
              </w:rPr>
              <w:t>宽×高：</w:t>
            </w:r>
            <w:r>
              <w:rPr>
                <w:rFonts w:hint="eastAsia" w:ascii="宋体" w:cs="宋体"/>
                <w:color w:val="auto"/>
                <w:kern w:val="0"/>
                <w:szCs w:val="21"/>
                <w:highlight w:val="none"/>
                <w:u w:val="single"/>
              </w:rPr>
              <w:t xml:space="preserve"> </w:t>
            </w:r>
            <w:r>
              <w:rPr>
                <w:rFonts w:ascii="宋体" w:cs="宋体"/>
                <w:color w:val="auto"/>
                <w:kern w:val="0"/>
                <w:szCs w:val="21"/>
                <w:highlight w:val="none"/>
                <w:u w:val="single"/>
              </w:rPr>
              <w:t xml:space="preserve">  </w:t>
            </w:r>
            <w:r>
              <w:rPr>
                <w:rFonts w:ascii="宋体" w:cs="宋体"/>
                <w:color w:val="auto"/>
                <w:kern w:val="0"/>
                <w:szCs w:val="21"/>
                <w:highlight w:val="none"/>
              </w:rPr>
              <w:t xml:space="preserve"> </w:t>
            </w:r>
            <w:r>
              <w:rPr>
                <w:rFonts w:hint="eastAsia" w:ascii="Times New Roman" w:hAnsi="Times New Roman"/>
                <w:color w:val="auto"/>
                <w:szCs w:val="21"/>
                <w:highlight w:val="none"/>
              </w:rPr>
              <w:t>m</w:t>
            </w:r>
            <w:r>
              <w:rPr>
                <w:rFonts w:hint="eastAsia" w:ascii="宋体" w:cs="宋体"/>
                <w:color w:val="auto"/>
                <w:kern w:val="0"/>
                <w:szCs w:val="21"/>
                <w:highlight w:val="none"/>
              </w:rPr>
              <w:t>×</w:t>
            </w:r>
            <w:r>
              <w:rPr>
                <w:rFonts w:ascii="宋体" w:cs="宋体"/>
                <w:color w:val="auto"/>
                <w:kern w:val="0"/>
                <w:szCs w:val="21"/>
                <w:highlight w:val="none"/>
                <w:u w:val="single"/>
              </w:rPr>
              <w:t xml:space="preserve"> </w:t>
            </w:r>
            <w:r>
              <w:rPr>
                <w:rFonts w:hint="eastAsia" w:ascii="Times New Roman" w:hAnsi="Times New Roman"/>
                <w:color w:val="auto"/>
                <w:szCs w:val="21"/>
                <w:highlight w:val="none"/>
                <w:u w:val="single"/>
              </w:rPr>
              <w:t xml:space="preserve"> </w:t>
            </w:r>
            <w:r>
              <w:rPr>
                <w:rFonts w:ascii="Times New Roman" w:hAnsi="Times New Roman"/>
                <w:color w:val="auto"/>
                <w:szCs w:val="21"/>
                <w:highlight w:val="none"/>
                <w:u w:val="single"/>
              </w:rPr>
              <w:t xml:space="preserve"> </w:t>
            </w:r>
            <w:r>
              <w:rPr>
                <w:rFonts w:hint="eastAsia" w:ascii="Times New Roman" w:hAnsi="Times New Roman"/>
                <w:color w:val="auto"/>
                <w:szCs w:val="21"/>
                <w:highlight w:val="none"/>
              </w:rPr>
              <w:t>m</w:t>
            </w:r>
          </w:p>
          <w:p>
            <w:pPr>
              <w:spacing w:line="360" w:lineRule="auto"/>
              <w:rPr>
                <w:rFonts w:ascii="Times New Roman" w:hAnsi="Times New Roman" w:eastAsia="仿宋_GB2312"/>
                <w:bCs/>
                <w:color w:val="auto"/>
                <w:sz w:val="30"/>
                <w:szCs w:val="30"/>
                <w:highlight w:val="none"/>
              </w:rPr>
            </w:pPr>
            <w:r>
              <w:rPr>
                <w:rFonts w:hint="eastAsia" w:ascii="宋体" w:cs="宋体"/>
                <w:color w:val="auto"/>
                <w:kern w:val="0"/>
                <w:szCs w:val="21"/>
                <w:highlight w:val="none"/>
              </w:rPr>
              <w:t>总长</w:t>
            </w:r>
            <w:r>
              <w:rPr>
                <w:color w:val="auto"/>
                <w:highlight w:val="none"/>
              </w:rPr>
              <w:t>：</w:t>
            </w:r>
            <w:r>
              <w:rPr>
                <w:rFonts w:hint="eastAsia" w:cs="宋体"/>
                <w:color w:val="auto"/>
                <w:szCs w:val="21"/>
                <w:highlight w:val="none"/>
                <w:u w:val="single"/>
              </w:rPr>
              <w:t xml:space="preserve">  </w:t>
            </w:r>
            <w:r>
              <w:rPr>
                <w:rFonts w:cs="宋体"/>
                <w:color w:val="auto"/>
                <w:szCs w:val="21"/>
                <w:highlight w:val="none"/>
                <w:u w:val="single"/>
              </w:rPr>
              <w:t xml:space="preserve">              </w:t>
            </w:r>
            <w:r>
              <w:rPr>
                <w:rFonts w:hint="eastAsia" w:ascii="Times New Roman" w:hAnsi="Times New Roman"/>
                <w:color w:val="auto"/>
                <w:szCs w:val="21"/>
                <w:highlight w:val="none"/>
              </w:rPr>
              <w:t>m</w:t>
            </w:r>
          </w:p>
        </w:tc>
        <w:tc>
          <w:tcPr>
            <w:tcW w:w="1892" w:type="dxa"/>
            <w:noWrap w:val="0"/>
            <w:vAlign w:val="top"/>
          </w:tcPr>
          <w:p>
            <w:pPr>
              <w:spacing w:line="360" w:lineRule="auto"/>
              <w:rPr>
                <w:rFonts w:ascii="Times New Roman" w:hAnsi="Times New Roman" w:eastAsia="仿宋_GB2312"/>
                <w:b/>
                <w:bCs/>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通信管道工程</w:t>
            </w:r>
          </w:p>
        </w:tc>
        <w:tc>
          <w:tcPr>
            <w:tcW w:w="2765" w:type="dxa"/>
            <w:noWrap w:val="0"/>
            <w:vAlign w:val="top"/>
          </w:tcPr>
          <w:p>
            <w:pPr>
              <w:spacing w:line="360" w:lineRule="auto"/>
              <w:jc w:val="left"/>
              <w:rPr>
                <w:rFonts w:ascii="Times New Roman" w:hAnsi="Times New Roman" w:eastAsia="仿宋_GB2312"/>
                <w:bCs/>
                <w:color w:val="auto"/>
                <w:sz w:val="30"/>
                <w:szCs w:val="30"/>
                <w:highlight w:val="none"/>
              </w:rPr>
            </w:pPr>
            <w:r>
              <w:rPr>
                <w:rFonts w:hint="eastAsia" w:ascii="宋体" w:cs="宋体"/>
                <w:color w:val="auto"/>
                <w:kern w:val="0"/>
                <w:szCs w:val="21"/>
                <w:highlight w:val="none"/>
              </w:rPr>
              <w:t>总长</w:t>
            </w:r>
            <w:r>
              <w:rPr>
                <w:color w:val="auto"/>
                <w:highlight w:val="none"/>
              </w:rPr>
              <w:t>：</w:t>
            </w:r>
            <w:r>
              <w:rPr>
                <w:rFonts w:hint="eastAsia" w:cs="宋体"/>
                <w:color w:val="auto"/>
                <w:szCs w:val="21"/>
                <w:highlight w:val="none"/>
                <w:u w:val="single"/>
              </w:rPr>
              <w:t xml:space="preserve">  </w:t>
            </w:r>
            <w:r>
              <w:rPr>
                <w:rFonts w:cs="宋体"/>
                <w:color w:val="auto"/>
                <w:szCs w:val="21"/>
                <w:highlight w:val="none"/>
                <w:u w:val="single"/>
              </w:rPr>
              <w:t xml:space="preserve">              </w:t>
            </w:r>
            <w:r>
              <w:rPr>
                <w:rFonts w:hint="eastAsia" w:ascii="Times New Roman" w:hAnsi="Times New Roman"/>
                <w:color w:val="auto"/>
                <w:szCs w:val="21"/>
                <w:highlight w:val="non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0" w:type="dxa"/>
            <w:noWrap w:val="0"/>
            <w:vAlign w:val="top"/>
          </w:tcPr>
          <w:p>
            <w:pPr>
              <w:spacing w:line="360" w:lineRule="auto"/>
              <w:rPr>
                <w:rFonts w:ascii="Times New Roman" w:hAnsi="Times New Roman" w:eastAsia="仿宋_GB2312"/>
                <w:b/>
                <w:bCs/>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给水管道工程</w:t>
            </w:r>
          </w:p>
        </w:tc>
        <w:tc>
          <w:tcPr>
            <w:tcW w:w="2769" w:type="dxa"/>
            <w:noWrap w:val="0"/>
            <w:vAlign w:val="top"/>
          </w:tcPr>
          <w:p>
            <w:pPr>
              <w:spacing w:line="360" w:lineRule="auto"/>
              <w:rPr>
                <w:rFonts w:ascii="Times New Roman" w:hAnsi="Times New Roman"/>
                <w:color w:val="auto"/>
                <w:szCs w:val="21"/>
                <w:highlight w:val="none"/>
              </w:rPr>
            </w:pPr>
            <w:r>
              <w:rPr>
                <w:rFonts w:hint="eastAsia" w:cs="宋体"/>
                <w:color w:val="auto"/>
                <w:szCs w:val="21"/>
                <w:highlight w:val="none"/>
              </w:rPr>
              <w:t>□最大管径：</w:t>
            </w:r>
            <w:r>
              <w:rPr>
                <w:rFonts w:hint="eastAsia" w:ascii="Times New Roman" w:hAnsi="Times New Roman"/>
                <w:color w:val="auto"/>
                <w:szCs w:val="21"/>
                <w:highlight w:val="none"/>
              </w:rPr>
              <w:t>DN</w:t>
            </w:r>
            <w:r>
              <w:rPr>
                <w:rFonts w:hint="eastAsia" w:ascii="Times New Roman" w:hAnsi="Times New Roman"/>
                <w:color w:val="auto"/>
                <w:szCs w:val="21"/>
                <w:highlight w:val="none"/>
                <w:u w:val="single"/>
              </w:rPr>
              <w:t xml:space="preserve"> </w:t>
            </w:r>
            <w:r>
              <w:rPr>
                <w:rFonts w:ascii="Times New Roman" w:hAnsi="Times New Roman"/>
                <w:color w:val="auto"/>
                <w:szCs w:val="21"/>
                <w:highlight w:val="none"/>
                <w:u w:val="single"/>
              </w:rPr>
              <w:t xml:space="preserve">     </w:t>
            </w:r>
            <w:r>
              <w:rPr>
                <w:rFonts w:ascii="Times New Roman" w:hAnsi="Times New Roman"/>
                <w:color w:val="auto"/>
                <w:szCs w:val="21"/>
                <w:highlight w:val="none"/>
              </w:rPr>
              <w:t>mm</w:t>
            </w:r>
          </w:p>
          <w:p>
            <w:pPr>
              <w:spacing w:line="360" w:lineRule="auto"/>
              <w:rPr>
                <w:rFonts w:ascii="Times New Roman" w:hAnsi="Times New Roman" w:eastAsia="仿宋_GB2312"/>
                <w:bCs/>
                <w:color w:val="auto"/>
                <w:sz w:val="30"/>
                <w:szCs w:val="30"/>
                <w:highlight w:val="none"/>
              </w:rPr>
            </w:pPr>
            <w:r>
              <w:rPr>
                <w:rFonts w:hint="eastAsia" w:ascii="宋体" w:cs="宋体"/>
                <w:color w:val="auto"/>
                <w:kern w:val="0"/>
                <w:szCs w:val="21"/>
                <w:highlight w:val="none"/>
              </w:rPr>
              <w:t>总长</w:t>
            </w:r>
            <w:r>
              <w:rPr>
                <w:color w:val="auto"/>
                <w:highlight w:val="none"/>
              </w:rPr>
              <w:t>：</w:t>
            </w:r>
            <w:r>
              <w:rPr>
                <w:rFonts w:hint="eastAsia" w:cs="宋体"/>
                <w:color w:val="auto"/>
                <w:szCs w:val="21"/>
                <w:highlight w:val="none"/>
                <w:u w:val="single"/>
              </w:rPr>
              <w:t xml:space="preserve">  </w:t>
            </w:r>
            <w:r>
              <w:rPr>
                <w:rFonts w:cs="宋体"/>
                <w:color w:val="auto"/>
                <w:szCs w:val="21"/>
                <w:highlight w:val="none"/>
                <w:u w:val="single"/>
              </w:rPr>
              <w:t xml:space="preserve">              </w:t>
            </w:r>
            <w:r>
              <w:rPr>
                <w:rFonts w:hint="eastAsia" w:ascii="Times New Roman" w:hAnsi="Times New Roman"/>
                <w:color w:val="auto"/>
                <w:szCs w:val="21"/>
                <w:highlight w:val="none"/>
              </w:rPr>
              <w:t>m</w:t>
            </w:r>
          </w:p>
        </w:tc>
        <w:tc>
          <w:tcPr>
            <w:tcW w:w="1892" w:type="dxa"/>
            <w:noWrap w:val="0"/>
            <w:vAlign w:val="top"/>
          </w:tcPr>
          <w:p>
            <w:pPr>
              <w:spacing w:line="360" w:lineRule="auto"/>
              <w:rPr>
                <w:rFonts w:ascii="Times New Roman" w:hAnsi="Times New Roman" w:eastAsia="仿宋_GB2312"/>
                <w:b/>
                <w:bCs/>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电力管道工程</w:t>
            </w:r>
          </w:p>
        </w:tc>
        <w:tc>
          <w:tcPr>
            <w:tcW w:w="2765" w:type="dxa"/>
            <w:noWrap w:val="0"/>
            <w:vAlign w:val="top"/>
          </w:tcPr>
          <w:p>
            <w:pPr>
              <w:spacing w:line="360" w:lineRule="auto"/>
              <w:rPr>
                <w:rFonts w:ascii="Times New Roman" w:hAnsi="Times New Roman" w:eastAsia="仿宋_GB2312"/>
                <w:bCs/>
                <w:color w:val="auto"/>
                <w:sz w:val="30"/>
                <w:szCs w:val="30"/>
                <w:highlight w:val="none"/>
              </w:rPr>
            </w:pPr>
            <w:r>
              <w:rPr>
                <w:rFonts w:hint="eastAsia" w:ascii="宋体" w:cs="宋体"/>
                <w:color w:val="auto"/>
                <w:kern w:val="0"/>
                <w:szCs w:val="21"/>
                <w:highlight w:val="none"/>
              </w:rPr>
              <w:t>总长</w:t>
            </w:r>
            <w:r>
              <w:rPr>
                <w:color w:val="auto"/>
                <w:highlight w:val="none"/>
              </w:rPr>
              <w:t>：</w:t>
            </w:r>
            <w:r>
              <w:rPr>
                <w:rFonts w:hint="eastAsia" w:cs="宋体"/>
                <w:color w:val="auto"/>
                <w:szCs w:val="21"/>
                <w:highlight w:val="none"/>
                <w:u w:val="single"/>
              </w:rPr>
              <w:t xml:space="preserve">  </w:t>
            </w:r>
            <w:r>
              <w:rPr>
                <w:rFonts w:cs="宋体"/>
                <w:color w:val="auto"/>
                <w:szCs w:val="21"/>
                <w:highlight w:val="none"/>
                <w:u w:val="single"/>
              </w:rPr>
              <w:t xml:space="preserve">              </w:t>
            </w:r>
            <w:r>
              <w:rPr>
                <w:rFonts w:hint="eastAsia" w:ascii="Times New Roman" w:hAnsi="Times New Roman"/>
                <w:color w:val="auto"/>
                <w:szCs w:val="21"/>
                <w:highlight w:val="non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0" w:type="dxa"/>
            <w:noWrap w:val="0"/>
            <w:vAlign w:val="top"/>
          </w:tcPr>
          <w:p>
            <w:pPr>
              <w:spacing w:line="360" w:lineRule="auto"/>
              <w:rPr>
                <w:rFonts w:ascii="Times New Roman" w:hAnsi="Times New Roman" w:eastAsia="仿宋_GB2312"/>
                <w:b/>
                <w:bCs/>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排水管道工程</w:t>
            </w:r>
          </w:p>
        </w:tc>
        <w:tc>
          <w:tcPr>
            <w:tcW w:w="2769" w:type="dxa"/>
            <w:noWrap w:val="0"/>
            <w:vAlign w:val="top"/>
          </w:tcPr>
          <w:p>
            <w:pPr>
              <w:autoSpaceDE w:val="0"/>
              <w:autoSpaceDN w:val="0"/>
              <w:adjustRightInd w:val="0"/>
              <w:rPr>
                <w:rFonts w:hint="eastAsia" w:ascii="宋体" w:cs="宋体"/>
                <w:color w:val="auto"/>
                <w:kern w:val="0"/>
                <w:szCs w:val="21"/>
                <w:highlight w:val="none"/>
              </w:rPr>
            </w:pPr>
            <w:r>
              <w:rPr>
                <w:rFonts w:hint="eastAsia" w:cs="宋体"/>
                <w:color w:val="auto"/>
                <w:szCs w:val="21"/>
                <w:highlight w:val="none"/>
              </w:rPr>
              <w:t>□</w:t>
            </w:r>
            <w:r>
              <w:rPr>
                <w:rFonts w:hint="eastAsia" w:ascii="宋体" w:cs="宋体"/>
                <w:color w:val="auto"/>
                <w:kern w:val="0"/>
                <w:szCs w:val="21"/>
                <w:highlight w:val="none"/>
              </w:rPr>
              <w:t>雨水管：</w:t>
            </w:r>
          </w:p>
          <w:p>
            <w:pPr>
              <w:autoSpaceDE w:val="0"/>
              <w:autoSpaceDN w:val="0"/>
              <w:adjustRightInd w:val="0"/>
              <w:rPr>
                <w:rFonts w:hint="eastAsia" w:ascii="宋体" w:cs="宋体"/>
                <w:color w:val="auto"/>
                <w:kern w:val="0"/>
                <w:szCs w:val="21"/>
                <w:highlight w:val="none"/>
              </w:rPr>
            </w:pPr>
            <w:r>
              <w:rPr>
                <w:rFonts w:hint="eastAsia" w:cs="宋体"/>
                <w:color w:val="auto"/>
                <w:szCs w:val="21"/>
                <w:highlight w:val="none"/>
              </w:rPr>
              <w:t>最大管径：</w:t>
            </w:r>
            <w:r>
              <w:rPr>
                <w:rFonts w:hint="eastAsia" w:ascii="Times New Roman" w:hAnsi="Times New Roman"/>
                <w:color w:val="auto"/>
                <w:szCs w:val="21"/>
                <w:highlight w:val="none"/>
              </w:rPr>
              <w:t>d</w:t>
            </w:r>
            <w:r>
              <w:rPr>
                <w:rFonts w:ascii="宋体" w:cs="宋体"/>
                <w:color w:val="auto"/>
                <w:kern w:val="0"/>
                <w:szCs w:val="21"/>
                <w:highlight w:val="none"/>
                <w:u w:val="single"/>
              </w:rPr>
              <w:t xml:space="preserve"> </w:t>
            </w:r>
            <w:r>
              <w:rPr>
                <w:rFonts w:hint="eastAsia" w:ascii="宋体" w:cs="宋体"/>
                <w:color w:val="auto"/>
                <w:kern w:val="0"/>
                <w:szCs w:val="21"/>
                <w:highlight w:val="none"/>
                <w:u w:val="single"/>
              </w:rPr>
              <w:t xml:space="preserve">   </w:t>
            </w:r>
            <w:r>
              <w:rPr>
                <w:rFonts w:ascii="宋体" w:cs="宋体"/>
                <w:color w:val="auto"/>
                <w:kern w:val="0"/>
                <w:szCs w:val="21"/>
                <w:highlight w:val="none"/>
                <w:u w:val="single"/>
              </w:rPr>
              <w:t xml:space="preserve">      </w:t>
            </w:r>
            <w:r>
              <w:rPr>
                <w:rFonts w:ascii="Times New Roman" w:hAnsi="Times New Roman"/>
                <w:color w:val="auto"/>
                <w:szCs w:val="21"/>
                <w:highlight w:val="none"/>
              </w:rPr>
              <w:t>mm</w:t>
            </w:r>
          </w:p>
          <w:p>
            <w:pPr>
              <w:spacing w:line="360" w:lineRule="auto"/>
              <w:rPr>
                <w:rFonts w:hint="eastAsia" w:ascii="宋体" w:cs="宋体"/>
                <w:color w:val="auto"/>
                <w:kern w:val="0"/>
                <w:szCs w:val="21"/>
                <w:highlight w:val="none"/>
              </w:rPr>
            </w:pPr>
            <w:r>
              <w:rPr>
                <w:rFonts w:hint="eastAsia" w:ascii="宋体" w:cs="宋体"/>
                <w:color w:val="auto"/>
                <w:kern w:val="0"/>
                <w:szCs w:val="21"/>
                <w:highlight w:val="none"/>
              </w:rPr>
              <w:t>总长</w:t>
            </w:r>
            <w:r>
              <w:rPr>
                <w:color w:val="auto"/>
                <w:highlight w:val="none"/>
              </w:rPr>
              <w:t>：</w:t>
            </w:r>
            <w:r>
              <w:rPr>
                <w:rFonts w:hint="eastAsia" w:cs="宋体"/>
                <w:color w:val="auto"/>
                <w:szCs w:val="21"/>
                <w:highlight w:val="none"/>
                <w:u w:val="single"/>
              </w:rPr>
              <w:t xml:space="preserve">  </w:t>
            </w:r>
            <w:r>
              <w:rPr>
                <w:rFonts w:cs="宋体"/>
                <w:color w:val="auto"/>
                <w:szCs w:val="21"/>
                <w:highlight w:val="none"/>
                <w:u w:val="single"/>
              </w:rPr>
              <w:t xml:space="preserve">              </w:t>
            </w:r>
            <w:r>
              <w:rPr>
                <w:rFonts w:hint="eastAsia" w:ascii="Times New Roman" w:hAnsi="Times New Roman"/>
                <w:color w:val="auto"/>
                <w:szCs w:val="21"/>
                <w:highlight w:val="none"/>
              </w:rPr>
              <w:t>m</w:t>
            </w:r>
            <w:r>
              <w:rPr>
                <w:rFonts w:hint="eastAsia" w:cs="宋体"/>
                <w:color w:val="auto"/>
                <w:szCs w:val="21"/>
                <w:highlight w:val="none"/>
              </w:rPr>
              <w:t>□</w:t>
            </w:r>
            <w:r>
              <w:rPr>
                <w:rFonts w:hint="eastAsia" w:ascii="宋体" w:cs="宋体"/>
                <w:color w:val="auto"/>
                <w:kern w:val="0"/>
                <w:szCs w:val="21"/>
                <w:highlight w:val="none"/>
              </w:rPr>
              <w:t>污水管：</w:t>
            </w:r>
          </w:p>
          <w:p>
            <w:pPr>
              <w:spacing w:line="360" w:lineRule="auto"/>
              <w:rPr>
                <w:rFonts w:hint="eastAsia" w:ascii="宋体" w:cs="宋体"/>
                <w:color w:val="auto"/>
                <w:kern w:val="0"/>
                <w:szCs w:val="21"/>
                <w:highlight w:val="none"/>
              </w:rPr>
            </w:pPr>
            <w:r>
              <w:rPr>
                <w:rFonts w:hint="eastAsia" w:cs="宋体"/>
                <w:color w:val="auto"/>
                <w:szCs w:val="21"/>
                <w:highlight w:val="none"/>
              </w:rPr>
              <w:t>最大管径：</w:t>
            </w:r>
            <w:r>
              <w:rPr>
                <w:rFonts w:hint="eastAsia" w:ascii="Times New Roman" w:hAnsi="Times New Roman"/>
                <w:color w:val="auto"/>
                <w:szCs w:val="21"/>
                <w:highlight w:val="none"/>
              </w:rPr>
              <w:t>d</w:t>
            </w:r>
            <w:r>
              <w:rPr>
                <w:rFonts w:ascii="Times New Roman" w:hAnsi="Times New Roman"/>
                <w:color w:val="auto"/>
                <w:szCs w:val="21"/>
                <w:highlight w:val="none"/>
                <w:u w:val="single"/>
              </w:rPr>
              <w:t xml:space="preserve">   </w:t>
            </w:r>
            <w:r>
              <w:rPr>
                <w:rFonts w:hint="eastAsia" w:ascii="Times New Roman" w:hAnsi="Times New Roman"/>
                <w:color w:val="auto"/>
                <w:szCs w:val="21"/>
                <w:highlight w:val="none"/>
                <w:u w:val="single"/>
              </w:rPr>
              <w:t xml:space="preserve">  </w:t>
            </w:r>
            <w:r>
              <w:rPr>
                <w:rFonts w:ascii="Times New Roman" w:hAnsi="Times New Roman"/>
                <w:color w:val="auto"/>
                <w:szCs w:val="21"/>
                <w:highlight w:val="none"/>
                <w:u w:val="single"/>
              </w:rPr>
              <w:t xml:space="preserve">     </w:t>
            </w:r>
            <w:r>
              <w:rPr>
                <w:rFonts w:ascii="Times New Roman" w:hAnsi="Times New Roman"/>
                <w:color w:val="auto"/>
                <w:szCs w:val="21"/>
                <w:highlight w:val="none"/>
              </w:rPr>
              <w:t>mm</w:t>
            </w:r>
          </w:p>
          <w:p>
            <w:pPr>
              <w:spacing w:line="360" w:lineRule="auto"/>
              <w:rPr>
                <w:rFonts w:hint="eastAsia" w:ascii="Times New Roman" w:hAnsi="Times New Roman"/>
                <w:color w:val="auto"/>
                <w:szCs w:val="21"/>
                <w:highlight w:val="none"/>
              </w:rPr>
            </w:pPr>
            <w:r>
              <w:rPr>
                <w:rFonts w:hint="eastAsia" w:ascii="宋体" w:cs="宋体"/>
                <w:color w:val="auto"/>
                <w:kern w:val="0"/>
                <w:szCs w:val="21"/>
                <w:highlight w:val="none"/>
              </w:rPr>
              <w:t>总长</w:t>
            </w:r>
            <w:r>
              <w:rPr>
                <w:color w:val="auto"/>
                <w:highlight w:val="none"/>
              </w:rPr>
              <w:t>：</w:t>
            </w:r>
            <w:r>
              <w:rPr>
                <w:rFonts w:hint="eastAsia" w:cs="宋体"/>
                <w:color w:val="auto"/>
                <w:szCs w:val="21"/>
                <w:highlight w:val="none"/>
                <w:u w:val="single"/>
              </w:rPr>
              <w:t xml:space="preserve">  </w:t>
            </w:r>
            <w:r>
              <w:rPr>
                <w:rFonts w:cs="宋体"/>
                <w:color w:val="auto"/>
                <w:szCs w:val="21"/>
                <w:highlight w:val="none"/>
                <w:u w:val="single"/>
              </w:rPr>
              <w:t xml:space="preserve">              </w:t>
            </w:r>
            <w:r>
              <w:rPr>
                <w:rFonts w:hint="eastAsia" w:ascii="Times New Roman" w:hAnsi="Times New Roman"/>
                <w:color w:val="auto"/>
                <w:szCs w:val="21"/>
                <w:highlight w:val="none"/>
              </w:rPr>
              <w:t>m</w:t>
            </w:r>
          </w:p>
          <w:p>
            <w:pPr>
              <w:spacing w:line="360" w:lineRule="auto"/>
              <w:rPr>
                <w:rFonts w:ascii="Times New Roman" w:hAnsi="Times New Roman" w:eastAsia="仿宋_GB2312"/>
                <w:bCs/>
                <w:color w:val="auto"/>
                <w:sz w:val="30"/>
                <w:szCs w:val="30"/>
                <w:highlight w:val="none"/>
              </w:rPr>
            </w:pPr>
          </w:p>
        </w:tc>
        <w:tc>
          <w:tcPr>
            <w:tcW w:w="1892" w:type="dxa"/>
            <w:noWrap w:val="0"/>
            <w:vAlign w:val="top"/>
          </w:tcPr>
          <w:p>
            <w:pPr>
              <w:spacing w:line="360" w:lineRule="auto"/>
              <w:rPr>
                <w:rFonts w:ascii="Times New Roman" w:hAnsi="Times New Roman" w:eastAsia="仿宋_GB2312"/>
                <w:b/>
                <w:bCs/>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生活垃圾处理工程</w:t>
            </w:r>
          </w:p>
        </w:tc>
        <w:tc>
          <w:tcPr>
            <w:tcW w:w="2765" w:type="dxa"/>
            <w:noWrap w:val="0"/>
            <w:vAlign w:val="top"/>
          </w:tcPr>
          <w:p>
            <w:pPr>
              <w:spacing w:line="360" w:lineRule="auto"/>
              <w:jc w:val="left"/>
              <w:rPr>
                <w:rFonts w:hint="eastAsia" w:cs="宋体"/>
                <w:color w:val="auto"/>
                <w:szCs w:val="21"/>
                <w:highlight w:val="none"/>
              </w:rPr>
            </w:pPr>
            <w:r>
              <w:rPr>
                <w:rFonts w:hint="eastAsia" w:cs="宋体"/>
                <w:color w:val="auto"/>
                <w:szCs w:val="21"/>
                <w:highlight w:val="none"/>
              </w:rPr>
              <w:t>□填埋处理规模：</w:t>
            </w:r>
            <w:r>
              <w:rPr>
                <w:rFonts w:hint="eastAsia" w:cs="宋体"/>
                <w:color w:val="auto"/>
                <w:szCs w:val="21"/>
                <w:highlight w:val="none"/>
                <w:u w:val="single"/>
              </w:rPr>
              <w:t xml:space="preserve">      </w:t>
            </w:r>
            <w:r>
              <w:rPr>
                <w:rFonts w:hint="eastAsia" w:ascii="Times New Roman" w:hAnsi="Times New Roman"/>
                <w:color w:val="auto"/>
                <w:szCs w:val="21"/>
                <w:highlight w:val="none"/>
              </w:rPr>
              <w:t>t/d</w:t>
            </w:r>
          </w:p>
          <w:p>
            <w:pPr>
              <w:spacing w:line="360" w:lineRule="auto"/>
              <w:rPr>
                <w:rFonts w:ascii="Times New Roman" w:hAnsi="Times New Roman" w:eastAsia="仿宋_GB2312"/>
                <w:bCs/>
                <w:color w:val="auto"/>
                <w:sz w:val="30"/>
                <w:szCs w:val="30"/>
                <w:highlight w:val="none"/>
              </w:rPr>
            </w:pPr>
            <w:r>
              <w:rPr>
                <w:rFonts w:hint="eastAsia" w:cs="宋体"/>
                <w:color w:val="auto"/>
                <w:szCs w:val="21"/>
                <w:highlight w:val="none"/>
              </w:rPr>
              <w:t>□焚烧处理规模：</w:t>
            </w:r>
            <w:r>
              <w:rPr>
                <w:rFonts w:cs="宋体"/>
                <w:color w:val="auto"/>
                <w:szCs w:val="21"/>
                <w:highlight w:val="none"/>
                <w:u w:val="single"/>
              </w:rPr>
              <w:t xml:space="preserve">      </w:t>
            </w:r>
            <w:r>
              <w:rPr>
                <w:rFonts w:hint="eastAsia" w:ascii="Times New Roman" w:hAnsi="Times New Roman"/>
                <w:color w:val="auto"/>
                <w:szCs w:val="21"/>
                <w:highlight w:val="none"/>
              </w:rPr>
              <w:t>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0" w:type="dxa"/>
            <w:noWrap w:val="0"/>
            <w:vAlign w:val="top"/>
          </w:tcPr>
          <w:p>
            <w:pPr>
              <w:spacing w:line="360" w:lineRule="auto"/>
              <w:rPr>
                <w:rFonts w:ascii="Times New Roman" w:hAnsi="Times New Roman" w:eastAsia="仿宋_GB2312"/>
                <w:b/>
                <w:bCs/>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渠涵工程</w:t>
            </w:r>
          </w:p>
        </w:tc>
        <w:tc>
          <w:tcPr>
            <w:tcW w:w="2769" w:type="dxa"/>
            <w:noWrap w:val="0"/>
            <w:vAlign w:val="top"/>
          </w:tcPr>
          <w:p>
            <w:pPr>
              <w:spacing w:line="360" w:lineRule="auto"/>
              <w:rPr>
                <w:rFonts w:cs="宋体"/>
                <w:color w:val="auto"/>
                <w:szCs w:val="21"/>
                <w:highlight w:val="none"/>
              </w:rPr>
            </w:pPr>
            <w:r>
              <w:rPr>
                <w:rFonts w:hint="eastAsia" w:cs="宋体"/>
                <w:color w:val="auto"/>
                <w:szCs w:val="21"/>
                <w:highlight w:val="none"/>
              </w:rPr>
              <w:t>结构</w:t>
            </w:r>
            <w:r>
              <w:rPr>
                <w:rFonts w:cs="宋体"/>
                <w:color w:val="auto"/>
                <w:szCs w:val="21"/>
                <w:highlight w:val="none"/>
              </w:rPr>
              <w:t>形式：</w:t>
            </w:r>
          </w:p>
          <w:p>
            <w:pPr>
              <w:spacing w:line="360" w:lineRule="auto"/>
              <w:rPr>
                <w:rFonts w:hint="eastAsia" w:cs="宋体"/>
                <w:color w:val="auto"/>
                <w:szCs w:val="21"/>
                <w:highlight w:val="none"/>
              </w:rPr>
            </w:pPr>
            <w:r>
              <w:rPr>
                <w:rFonts w:hint="eastAsia" w:cs="宋体"/>
                <w:color w:val="auto"/>
                <w:szCs w:val="21"/>
                <w:highlight w:val="none"/>
              </w:rPr>
              <w:t>□钢筋</w:t>
            </w:r>
            <w:r>
              <w:rPr>
                <w:rFonts w:hint="eastAsia" w:ascii="宋体" w:cs="宋体"/>
                <w:color w:val="auto"/>
                <w:kern w:val="0"/>
                <w:szCs w:val="21"/>
                <w:highlight w:val="none"/>
              </w:rPr>
              <w:t xml:space="preserve">混凝土   </w:t>
            </w:r>
            <w:r>
              <w:rPr>
                <w:rFonts w:ascii="宋体" w:cs="宋体"/>
                <w:color w:val="auto"/>
                <w:kern w:val="0"/>
                <w:szCs w:val="21"/>
                <w:highlight w:val="none"/>
              </w:rPr>
              <w:t xml:space="preserve">  </w:t>
            </w:r>
            <w:r>
              <w:rPr>
                <w:rFonts w:hint="eastAsia" w:cs="宋体"/>
                <w:color w:val="auto"/>
                <w:szCs w:val="21"/>
                <w:highlight w:val="none"/>
              </w:rPr>
              <w:t>□</w:t>
            </w:r>
            <w:r>
              <w:rPr>
                <w:rFonts w:hint="eastAsia" w:ascii="宋体" w:cs="宋体"/>
                <w:color w:val="auto"/>
                <w:kern w:val="0"/>
                <w:szCs w:val="21"/>
                <w:highlight w:val="none"/>
              </w:rPr>
              <w:t xml:space="preserve">砌体         </w:t>
            </w:r>
          </w:p>
          <w:p>
            <w:pPr>
              <w:spacing w:line="360" w:lineRule="auto"/>
              <w:rPr>
                <w:rFonts w:hint="eastAsia" w:ascii="宋体" w:cs="宋体"/>
                <w:color w:val="auto"/>
                <w:kern w:val="0"/>
                <w:szCs w:val="21"/>
                <w:highlight w:val="none"/>
              </w:rPr>
            </w:pPr>
            <w:r>
              <w:rPr>
                <w:rFonts w:hint="eastAsia" w:cs="宋体"/>
                <w:color w:val="auto"/>
                <w:szCs w:val="21"/>
                <w:highlight w:val="none"/>
              </w:rPr>
              <w:t>□</w:t>
            </w:r>
            <w:r>
              <w:rPr>
                <w:rFonts w:hint="eastAsia" w:ascii="宋体" w:cs="宋体"/>
                <w:color w:val="auto"/>
                <w:kern w:val="0"/>
                <w:szCs w:val="21"/>
                <w:highlight w:val="none"/>
              </w:rPr>
              <w:t>宽×高：</w:t>
            </w:r>
            <w:r>
              <w:rPr>
                <w:rFonts w:hint="eastAsia" w:ascii="宋体" w:cs="宋体"/>
                <w:color w:val="auto"/>
                <w:kern w:val="0"/>
                <w:szCs w:val="21"/>
                <w:highlight w:val="none"/>
                <w:u w:val="single"/>
              </w:rPr>
              <w:t xml:space="preserve"> </w:t>
            </w:r>
            <w:r>
              <w:rPr>
                <w:rFonts w:ascii="宋体" w:cs="宋体"/>
                <w:color w:val="auto"/>
                <w:kern w:val="0"/>
                <w:szCs w:val="21"/>
                <w:highlight w:val="none"/>
                <w:u w:val="single"/>
              </w:rPr>
              <w:t xml:space="preserve"> </w:t>
            </w:r>
            <w:r>
              <w:rPr>
                <w:rFonts w:hint="eastAsia" w:ascii="宋体" w:cs="宋体"/>
                <w:color w:val="auto"/>
                <w:kern w:val="0"/>
                <w:szCs w:val="21"/>
                <w:highlight w:val="none"/>
                <w:u w:val="single"/>
              </w:rPr>
              <w:t xml:space="preserve"> </w:t>
            </w:r>
            <w:r>
              <w:rPr>
                <w:rFonts w:ascii="宋体" w:cs="宋体"/>
                <w:color w:val="auto"/>
                <w:kern w:val="0"/>
                <w:szCs w:val="21"/>
                <w:highlight w:val="none"/>
                <w:u w:val="single"/>
              </w:rPr>
              <w:t xml:space="preserve"> </w:t>
            </w:r>
            <w:r>
              <w:rPr>
                <w:rFonts w:ascii="宋体" w:cs="宋体"/>
                <w:color w:val="auto"/>
                <w:kern w:val="0"/>
                <w:szCs w:val="21"/>
                <w:highlight w:val="none"/>
              </w:rPr>
              <w:t xml:space="preserve"> </w:t>
            </w:r>
            <w:r>
              <w:rPr>
                <w:rFonts w:hint="eastAsia" w:ascii="Times New Roman" w:hAnsi="Times New Roman"/>
                <w:color w:val="auto"/>
                <w:szCs w:val="21"/>
                <w:highlight w:val="none"/>
              </w:rPr>
              <w:t>m</w:t>
            </w:r>
            <w:r>
              <w:rPr>
                <w:rFonts w:hint="eastAsia" w:ascii="宋体" w:cs="宋体"/>
                <w:color w:val="auto"/>
                <w:kern w:val="0"/>
                <w:szCs w:val="21"/>
                <w:highlight w:val="none"/>
              </w:rPr>
              <w:t>×</w:t>
            </w:r>
            <w:r>
              <w:rPr>
                <w:rFonts w:ascii="宋体" w:cs="宋体"/>
                <w:color w:val="auto"/>
                <w:kern w:val="0"/>
                <w:szCs w:val="21"/>
                <w:highlight w:val="none"/>
                <w:u w:val="single"/>
              </w:rPr>
              <w:t xml:space="preserve"> </w:t>
            </w:r>
            <w:r>
              <w:rPr>
                <w:rFonts w:hint="eastAsia" w:ascii="宋体" w:cs="宋体"/>
                <w:color w:val="auto"/>
                <w:kern w:val="0"/>
                <w:szCs w:val="21"/>
                <w:highlight w:val="none"/>
                <w:u w:val="single"/>
              </w:rPr>
              <w:t xml:space="preserve"> </w:t>
            </w:r>
            <w:r>
              <w:rPr>
                <w:rFonts w:hint="eastAsia" w:ascii="Times New Roman" w:hAnsi="Times New Roman"/>
                <w:color w:val="auto"/>
                <w:szCs w:val="21"/>
                <w:highlight w:val="none"/>
                <w:u w:val="single"/>
              </w:rPr>
              <w:t xml:space="preserve"> </w:t>
            </w:r>
            <w:r>
              <w:rPr>
                <w:rFonts w:ascii="Times New Roman" w:hAnsi="Times New Roman"/>
                <w:color w:val="auto"/>
                <w:szCs w:val="21"/>
                <w:highlight w:val="none"/>
                <w:u w:val="single"/>
              </w:rPr>
              <w:t xml:space="preserve"> </w:t>
            </w:r>
            <w:r>
              <w:rPr>
                <w:rFonts w:hint="eastAsia" w:ascii="Times New Roman" w:hAnsi="Times New Roman"/>
                <w:color w:val="auto"/>
                <w:szCs w:val="21"/>
                <w:highlight w:val="none"/>
              </w:rPr>
              <w:t>m</w:t>
            </w:r>
          </w:p>
          <w:p>
            <w:pPr>
              <w:spacing w:line="360" w:lineRule="auto"/>
              <w:rPr>
                <w:rFonts w:hint="eastAsia" w:ascii="Times New Roman" w:hAnsi="Times New Roman"/>
                <w:color w:val="auto"/>
                <w:szCs w:val="21"/>
                <w:highlight w:val="none"/>
              </w:rPr>
            </w:pPr>
            <w:r>
              <w:rPr>
                <w:rFonts w:hint="eastAsia" w:ascii="宋体" w:cs="宋体"/>
                <w:color w:val="auto"/>
                <w:kern w:val="0"/>
                <w:szCs w:val="21"/>
                <w:highlight w:val="none"/>
              </w:rPr>
              <w:t>总长</w:t>
            </w:r>
            <w:r>
              <w:rPr>
                <w:color w:val="auto"/>
                <w:highlight w:val="none"/>
              </w:rPr>
              <w:t>：</w:t>
            </w:r>
            <w:r>
              <w:rPr>
                <w:rFonts w:hint="eastAsia" w:cs="宋体"/>
                <w:color w:val="auto"/>
                <w:szCs w:val="21"/>
                <w:highlight w:val="none"/>
                <w:u w:val="single"/>
              </w:rPr>
              <w:t xml:space="preserve">  </w:t>
            </w:r>
            <w:r>
              <w:rPr>
                <w:rFonts w:cs="宋体"/>
                <w:color w:val="auto"/>
                <w:szCs w:val="21"/>
                <w:highlight w:val="none"/>
                <w:u w:val="single"/>
              </w:rPr>
              <w:t xml:space="preserve">              </w:t>
            </w:r>
            <w:r>
              <w:rPr>
                <w:rFonts w:hint="eastAsia" w:ascii="Times New Roman" w:hAnsi="Times New Roman"/>
                <w:color w:val="auto"/>
                <w:szCs w:val="21"/>
                <w:highlight w:val="none"/>
              </w:rPr>
              <w:t>m</w:t>
            </w:r>
          </w:p>
          <w:p>
            <w:pPr>
              <w:spacing w:line="360" w:lineRule="auto"/>
              <w:rPr>
                <w:rFonts w:ascii="Times New Roman" w:hAnsi="Times New Roman" w:eastAsia="仿宋_GB2312"/>
                <w:bCs/>
                <w:color w:val="auto"/>
                <w:sz w:val="30"/>
                <w:szCs w:val="30"/>
                <w:highlight w:val="none"/>
              </w:rPr>
            </w:pPr>
          </w:p>
        </w:tc>
        <w:tc>
          <w:tcPr>
            <w:tcW w:w="1892" w:type="dxa"/>
            <w:noWrap w:val="0"/>
            <w:vAlign w:val="top"/>
          </w:tcPr>
          <w:p>
            <w:pPr>
              <w:spacing w:line="360" w:lineRule="auto"/>
              <w:rPr>
                <w:rFonts w:ascii="Times New Roman" w:hAnsi="Times New Roman" w:eastAsia="仿宋_GB2312"/>
                <w:b/>
                <w:bCs/>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园林绿化工程</w:t>
            </w:r>
          </w:p>
        </w:tc>
        <w:tc>
          <w:tcPr>
            <w:tcW w:w="2765" w:type="dxa"/>
            <w:noWrap w:val="0"/>
            <w:vAlign w:val="top"/>
          </w:tcPr>
          <w:p>
            <w:pPr>
              <w:spacing w:line="360" w:lineRule="auto"/>
              <w:jc w:val="left"/>
              <w:rPr>
                <w:rFonts w:ascii="Times New Roman" w:hAnsi="Times New Roman" w:eastAsia="仿宋_GB2312"/>
                <w:bCs/>
                <w:color w:val="auto"/>
                <w:sz w:val="30"/>
                <w:szCs w:val="30"/>
                <w:highlight w:val="none"/>
              </w:rPr>
            </w:pPr>
            <w:r>
              <w:rPr>
                <w:rFonts w:hint="eastAsia" w:cs="宋体"/>
                <w:color w:val="auto"/>
                <w:szCs w:val="21"/>
                <w:highlight w:val="none"/>
              </w:rPr>
              <w:t>□</w:t>
            </w:r>
            <w:r>
              <w:rPr>
                <w:rFonts w:cs="宋体"/>
                <w:color w:val="auto"/>
                <w:szCs w:val="21"/>
                <w:highlight w:val="none"/>
              </w:rPr>
              <w:t>面积</w:t>
            </w:r>
            <w:r>
              <w:rPr>
                <w:rFonts w:hint="eastAsia" w:cs="宋体"/>
                <w:color w:val="auto"/>
                <w:szCs w:val="21"/>
                <w:highlight w:val="none"/>
              </w:rPr>
              <w:t>：</w:t>
            </w:r>
            <w:r>
              <w:rPr>
                <w:rFonts w:hint="eastAsia" w:cs="宋体"/>
                <w:color w:val="auto"/>
                <w:szCs w:val="21"/>
                <w:highlight w:val="none"/>
                <w:u w:val="single"/>
              </w:rPr>
              <w:t xml:space="preserve">        </w:t>
            </w:r>
            <w:r>
              <w:rPr>
                <w:rFonts w:cs="宋体"/>
                <w:color w:val="auto"/>
                <w:szCs w:val="21"/>
                <w:highlight w:val="none"/>
                <w:u w:val="single"/>
              </w:rPr>
              <w:t xml:space="preserve">     </w:t>
            </w:r>
            <w:r>
              <w:rPr>
                <w:rFonts w:hint="eastAsia" w:ascii="Times New Roman" w:hAnsi="Times New Roman"/>
                <w:color w:val="auto"/>
                <w:szCs w:val="21"/>
                <w:highlight w:val="none"/>
              </w:rPr>
              <w:t>m</w:t>
            </w:r>
            <w:r>
              <w:rPr>
                <w:rFonts w:ascii="宋体" w:cs="宋体"/>
                <w:color w:val="auto"/>
                <w:kern w:val="0"/>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0" w:type="dxa"/>
            <w:noWrap w:val="0"/>
            <w:vAlign w:val="top"/>
          </w:tcPr>
          <w:p>
            <w:pPr>
              <w:spacing w:line="360" w:lineRule="auto"/>
              <w:rPr>
                <w:rFonts w:ascii="Times New Roman" w:hAnsi="Times New Roman" w:eastAsia="仿宋_GB2312"/>
                <w:b/>
                <w:bCs/>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水处理工程</w:t>
            </w:r>
          </w:p>
        </w:tc>
        <w:tc>
          <w:tcPr>
            <w:tcW w:w="2769" w:type="dxa"/>
            <w:noWrap w:val="0"/>
            <w:vAlign w:val="top"/>
          </w:tcPr>
          <w:p>
            <w:pPr>
              <w:spacing w:line="360" w:lineRule="auto"/>
              <w:rPr>
                <w:rFonts w:hint="eastAsia" w:cs="宋体"/>
                <w:color w:val="auto"/>
                <w:szCs w:val="21"/>
                <w:highlight w:val="none"/>
              </w:rPr>
            </w:pPr>
            <w:r>
              <w:rPr>
                <w:rFonts w:hint="eastAsia" w:cs="宋体"/>
                <w:color w:val="auto"/>
                <w:szCs w:val="21"/>
                <w:highlight w:val="none"/>
              </w:rPr>
              <w:t>□水厂及</w:t>
            </w:r>
            <w:r>
              <w:rPr>
                <w:rFonts w:cs="宋体"/>
                <w:color w:val="auto"/>
                <w:szCs w:val="21"/>
                <w:highlight w:val="none"/>
              </w:rPr>
              <w:t>配套工程</w:t>
            </w:r>
          </w:p>
          <w:p>
            <w:pPr>
              <w:spacing w:line="360" w:lineRule="auto"/>
              <w:rPr>
                <w:rFonts w:ascii="Times New Roman" w:hAnsi="Times New Roman"/>
                <w:color w:val="auto"/>
                <w:szCs w:val="21"/>
                <w:highlight w:val="none"/>
              </w:rPr>
            </w:pPr>
            <w:r>
              <w:rPr>
                <w:rFonts w:hint="eastAsia" w:cs="宋体"/>
                <w:color w:val="auto"/>
                <w:szCs w:val="21"/>
                <w:highlight w:val="none"/>
              </w:rPr>
              <w:t>处理规模：</w:t>
            </w:r>
            <w:r>
              <w:rPr>
                <w:rFonts w:hint="eastAsia" w:cs="宋体"/>
                <w:color w:val="auto"/>
                <w:szCs w:val="21"/>
                <w:highlight w:val="none"/>
                <w:u w:val="single"/>
              </w:rPr>
              <w:t xml:space="preserve">  </w:t>
            </w:r>
            <w:r>
              <w:rPr>
                <w:rFonts w:cs="宋体"/>
                <w:color w:val="auto"/>
                <w:szCs w:val="21"/>
                <w:highlight w:val="none"/>
                <w:u w:val="single"/>
              </w:rPr>
              <w:t xml:space="preserve">      </w:t>
            </w:r>
            <w:r>
              <w:rPr>
                <w:rFonts w:hint="eastAsia" w:cs="宋体"/>
                <w:color w:val="auto"/>
                <w:szCs w:val="21"/>
                <w:highlight w:val="none"/>
              </w:rPr>
              <w:t>万</w:t>
            </w:r>
            <w:r>
              <w:rPr>
                <w:rFonts w:hint="eastAsia" w:ascii="Times New Roman" w:hAnsi="Times New Roman"/>
                <w:color w:val="auto"/>
                <w:szCs w:val="21"/>
                <w:highlight w:val="none"/>
              </w:rPr>
              <w:t>m</w:t>
            </w:r>
            <w:r>
              <w:rPr>
                <w:rFonts w:hint="eastAsia" w:ascii="宋体" w:cs="宋体"/>
                <w:color w:val="auto"/>
                <w:kern w:val="0"/>
                <w:szCs w:val="21"/>
                <w:highlight w:val="none"/>
                <w:vertAlign w:val="superscript"/>
              </w:rPr>
              <w:t>3</w:t>
            </w:r>
            <w:r>
              <w:rPr>
                <w:rFonts w:hint="eastAsia" w:ascii="宋体" w:cs="宋体"/>
                <w:color w:val="auto"/>
                <w:kern w:val="0"/>
                <w:szCs w:val="21"/>
                <w:highlight w:val="none"/>
              </w:rPr>
              <w:t>/</w:t>
            </w:r>
            <w:r>
              <w:rPr>
                <w:rFonts w:hint="eastAsia" w:ascii="Times New Roman" w:hAnsi="Times New Roman"/>
                <w:color w:val="auto"/>
                <w:szCs w:val="21"/>
                <w:highlight w:val="none"/>
              </w:rPr>
              <w:t>d</w:t>
            </w:r>
          </w:p>
          <w:p>
            <w:pPr>
              <w:spacing w:line="360" w:lineRule="auto"/>
              <w:rPr>
                <w:rFonts w:cs="宋体"/>
                <w:color w:val="auto"/>
                <w:szCs w:val="21"/>
                <w:highlight w:val="none"/>
              </w:rPr>
            </w:pPr>
            <w:r>
              <w:rPr>
                <w:rFonts w:hint="eastAsia" w:cs="宋体"/>
                <w:color w:val="auto"/>
                <w:szCs w:val="21"/>
                <w:highlight w:val="none"/>
              </w:rPr>
              <w:t>□污水处理厂及</w:t>
            </w:r>
            <w:r>
              <w:rPr>
                <w:rFonts w:cs="宋体"/>
                <w:color w:val="auto"/>
                <w:szCs w:val="21"/>
                <w:highlight w:val="none"/>
              </w:rPr>
              <w:t>配套工程</w:t>
            </w:r>
          </w:p>
          <w:p>
            <w:pPr>
              <w:spacing w:line="360" w:lineRule="auto"/>
              <w:rPr>
                <w:rFonts w:ascii="Times New Roman" w:hAnsi="Times New Roman"/>
                <w:color w:val="auto"/>
                <w:szCs w:val="21"/>
                <w:highlight w:val="none"/>
              </w:rPr>
            </w:pPr>
            <w:r>
              <w:rPr>
                <w:rFonts w:hint="eastAsia" w:cs="宋体"/>
                <w:color w:val="auto"/>
                <w:szCs w:val="21"/>
                <w:highlight w:val="none"/>
              </w:rPr>
              <w:t>处理规模：</w:t>
            </w:r>
            <w:r>
              <w:rPr>
                <w:rFonts w:hint="eastAsia" w:cs="宋体"/>
                <w:color w:val="auto"/>
                <w:szCs w:val="21"/>
                <w:highlight w:val="none"/>
                <w:u w:val="single"/>
              </w:rPr>
              <w:t xml:space="preserve">  </w:t>
            </w:r>
            <w:r>
              <w:rPr>
                <w:rFonts w:cs="宋体"/>
                <w:color w:val="auto"/>
                <w:szCs w:val="21"/>
                <w:highlight w:val="none"/>
                <w:u w:val="single"/>
              </w:rPr>
              <w:t xml:space="preserve">      </w:t>
            </w:r>
            <w:r>
              <w:rPr>
                <w:rFonts w:hint="eastAsia" w:cs="宋体"/>
                <w:color w:val="auto"/>
                <w:szCs w:val="21"/>
                <w:highlight w:val="none"/>
              </w:rPr>
              <w:t>万</w:t>
            </w:r>
            <w:r>
              <w:rPr>
                <w:rFonts w:hint="eastAsia" w:ascii="Times New Roman" w:hAnsi="Times New Roman"/>
                <w:color w:val="auto"/>
                <w:szCs w:val="21"/>
                <w:highlight w:val="none"/>
              </w:rPr>
              <w:t>m</w:t>
            </w:r>
            <w:r>
              <w:rPr>
                <w:rFonts w:hint="eastAsia" w:ascii="宋体" w:cs="宋体"/>
                <w:color w:val="auto"/>
                <w:kern w:val="0"/>
                <w:szCs w:val="21"/>
                <w:highlight w:val="none"/>
                <w:vertAlign w:val="superscript"/>
              </w:rPr>
              <w:t>3</w:t>
            </w:r>
            <w:r>
              <w:rPr>
                <w:rFonts w:hint="eastAsia" w:ascii="宋体" w:cs="宋体"/>
                <w:color w:val="auto"/>
                <w:kern w:val="0"/>
                <w:szCs w:val="21"/>
                <w:highlight w:val="none"/>
              </w:rPr>
              <w:t>/</w:t>
            </w:r>
            <w:r>
              <w:rPr>
                <w:rFonts w:hint="eastAsia" w:ascii="Times New Roman" w:hAnsi="Times New Roman"/>
                <w:color w:val="auto"/>
                <w:szCs w:val="21"/>
                <w:highlight w:val="none"/>
              </w:rPr>
              <w:t>d</w:t>
            </w:r>
          </w:p>
          <w:p>
            <w:pPr>
              <w:spacing w:line="360" w:lineRule="auto"/>
              <w:rPr>
                <w:rFonts w:cs="宋体"/>
                <w:color w:val="auto"/>
                <w:szCs w:val="21"/>
                <w:highlight w:val="none"/>
              </w:rPr>
            </w:pPr>
            <w:r>
              <w:rPr>
                <w:rFonts w:hint="eastAsia" w:cs="宋体"/>
                <w:color w:val="auto"/>
                <w:szCs w:val="21"/>
                <w:highlight w:val="none"/>
              </w:rPr>
              <w:t>□污泥处理厂及</w:t>
            </w:r>
            <w:r>
              <w:rPr>
                <w:rFonts w:cs="宋体"/>
                <w:color w:val="auto"/>
                <w:szCs w:val="21"/>
                <w:highlight w:val="none"/>
              </w:rPr>
              <w:t>配套工程</w:t>
            </w:r>
          </w:p>
          <w:p>
            <w:pPr>
              <w:spacing w:line="360" w:lineRule="auto"/>
              <w:rPr>
                <w:rFonts w:ascii="Times New Roman" w:hAnsi="Times New Roman"/>
                <w:color w:val="auto"/>
                <w:szCs w:val="21"/>
                <w:highlight w:val="none"/>
              </w:rPr>
            </w:pPr>
            <w:r>
              <w:rPr>
                <w:rFonts w:hint="eastAsia" w:cs="宋体"/>
                <w:color w:val="auto"/>
                <w:szCs w:val="21"/>
                <w:highlight w:val="none"/>
              </w:rPr>
              <w:t>处理规模：</w:t>
            </w:r>
            <w:r>
              <w:rPr>
                <w:rFonts w:hint="eastAsia" w:cs="宋体"/>
                <w:color w:val="auto"/>
                <w:szCs w:val="21"/>
                <w:highlight w:val="none"/>
                <w:u w:val="single"/>
              </w:rPr>
              <w:t xml:space="preserve">  </w:t>
            </w:r>
            <w:r>
              <w:rPr>
                <w:rFonts w:cs="宋体"/>
                <w:color w:val="auto"/>
                <w:szCs w:val="21"/>
                <w:highlight w:val="none"/>
                <w:u w:val="single"/>
              </w:rPr>
              <w:t xml:space="preserve">      </w:t>
            </w:r>
            <w:r>
              <w:rPr>
                <w:rFonts w:hint="eastAsia" w:cs="宋体"/>
                <w:color w:val="auto"/>
                <w:szCs w:val="21"/>
                <w:highlight w:val="none"/>
                <w:u w:val="single"/>
              </w:rPr>
              <w:t xml:space="preserve"> </w:t>
            </w:r>
            <w:r>
              <w:rPr>
                <w:rFonts w:cs="宋体"/>
                <w:color w:val="auto"/>
                <w:szCs w:val="21"/>
                <w:highlight w:val="none"/>
                <w:u w:val="single"/>
              </w:rPr>
              <w:t xml:space="preserve"> </w:t>
            </w:r>
            <w:r>
              <w:rPr>
                <w:rFonts w:cs="宋体"/>
                <w:color w:val="auto"/>
                <w:szCs w:val="21"/>
                <w:highlight w:val="none"/>
              </w:rPr>
              <w:t xml:space="preserve"> </w:t>
            </w:r>
            <w:r>
              <w:rPr>
                <w:rFonts w:ascii="Times New Roman" w:hAnsi="Times New Roman"/>
                <w:color w:val="auto"/>
                <w:szCs w:val="21"/>
                <w:highlight w:val="none"/>
              </w:rPr>
              <w:t>t</w:t>
            </w:r>
            <w:r>
              <w:rPr>
                <w:rFonts w:hint="eastAsia" w:ascii="宋体" w:cs="宋体"/>
                <w:color w:val="auto"/>
                <w:kern w:val="0"/>
                <w:szCs w:val="21"/>
                <w:highlight w:val="none"/>
              </w:rPr>
              <w:t>/</w:t>
            </w:r>
            <w:r>
              <w:rPr>
                <w:rFonts w:hint="eastAsia" w:ascii="Times New Roman" w:hAnsi="Times New Roman"/>
                <w:color w:val="auto"/>
                <w:szCs w:val="21"/>
                <w:highlight w:val="none"/>
              </w:rPr>
              <w:t xml:space="preserve"> d</w:t>
            </w:r>
          </w:p>
          <w:p>
            <w:pPr>
              <w:spacing w:line="360" w:lineRule="auto"/>
              <w:rPr>
                <w:rFonts w:cs="宋体"/>
                <w:color w:val="auto"/>
                <w:szCs w:val="21"/>
                <w:highlight w:val="none"/>
              </w:rPr>
            </w:pPr>
            <w:r>
              <w:rPr>
                <w:rFonts w:hint="eastAsia" w:cs="宋体"/>
                <w:color w:val="auto"/>
                <w:szCs w:val="21"/>
                <w:highlight w:val="none"/>
              </w:rPr>
              <w:t>□除臭</w:t>
            </w:r>
            <w:r>
              <w:rPr>
                <w:rFonts w:cs="宋体"/>
                <w:color w:val="auto"/>
                <w:szCs w:val="21"/>
                <w:highlight w:val="none"/>
              </w:rPr>
              <w:t>工程</w:t>
            </w:r>
          </w:p>
          <w:p>
            <w:pPr>
              <w:spacing w:line="360" w:lineRule="auto"/>
              <w:rPr>
                <w:rFonts w:ascii="Times New Roman" w:hAnsi="Times New Roman"/>
                <w:color w:val="auto"/>
                <w:szCs w:val="21"/>
                <w:highlight w:val="none"/>
              </w:rPr>
            </w:pPr>
            <w:r>
              <w:rPr>
                <w:rFonts w:hint="eastAsia" w:cs="宋体"/>
                <w:color w:val="auto"/>
                <w:szCs w:val="21"/>
                <w:highlight w:val="none"/>
              </w:rPr>
              <w:t>处理规模：</w:t>
            </w:r>
            <w:r>
              <w:rPr>
                <w:rFonts w:hint="eastAsia" w:cs="宋体"/>
                <w:color w:val="auto"/>
                <w:szCs w:val="21"/>
                <w:highlight w:val="none"/>
                <w:u w:val="single"/>
              </w:rPr>
              <w:t xml:space="preserve">  </w:t>
            </w:r>
            <w:r>
              <w:rPr>
                <w:rFonts w:cs="宋体"/>
                <w:color w:val="auto"/>
                <w:szCs w:val="21"/>
                <w:highlight w:val="none"/>
                <w:u w:val="single"/>
              </w:rPr>
              <w:t xml:space="preserve">     </w:t>
            </w:r>
            <w:r>
              <w:rPr>
                <w:rFonts w:hint="eastAsia" w:cs="宋体"/>
                <w:color w:val="auto"/>
                <w:szCs w:val="21"/>
                <w:highlight w:val="none"/>
                <w:u w:val="single"/>
              </w:rPr>
              <w:t xml:space="preserve"> </w:t>
            </w:r>
            <w:r>
              <w:rPr>
                <w:rFonts w:hint="eastAsia" w:cs="宋体"/>
                <w:color w:val="auto"/>
                <w:szCs w:val="21"/>
                <w:highlight w:val="none"/>
              </w:rPr>
              <w:t>万</w:t>
            </w:r>
            <w:r>
              <w:rPr>
                <w:rFonts w:hint="eastAsia" w:ascii="Times New Roman" w:hAnsi="Times New Roman"/>
                <w:color w:val="auto"/>
                <w:szCs w:val="21"/>
                <w:highlight w:val="none"/>
              </w:rPr>
              <w:t>m</w:t>
            </w:r>
            <w:r>
              <w:rPr>
                <w:rFonts w:hint="eastAsia" w:ascii="宋体" w:cs="宋体"/>
                <w:color w:val="auto"/>
                <w:kern w:val="0"/>
                <w:szCs w:val="21"/>
                <w:highlight w:val="none"/>
                <w:vertAlign w:val="superscript"/>
              </w:rPr>
              <w:t>3</w:t>
            </w:r>
            <w:r>
              <w:rPr>
                <w:rFonts w:hint="eastAsia" w:ascii="宋体" w:cs="宋体"/>
                <w:color w:val="auto"/>
                <w:kern w:val="0"/>
                <w:szCs w:val="21"/>
                <w:highlight w:val="none"/>
              </w:rPr>
              <w:t>/</w:t>
            </w:r>
            <w:r>
              <w:rPr>
                <w:rFonts w:ascii="Times New Roman" w:hAnsi="Times New Roman"/>
                <w:color w:val="auto"/>
                <w:szCs w:val="21"/>
                <w:highlight w:val="none"/>
              </w:rPr>
              <w:t>h</w:t>
            </w:r>
          </w:p>
        </w:tc>
        <w:tc>
          <w:tcPr>
            <w:tcW w:w="1892" w:type="dxa"/>
            <w:noWrap w:val="0"/>
            <w:vAlign w:val="top"/>
          </w:tcPr>
          <w:p>
            <w:pPr>
              <w:spacing w:line="360" w:lineRule="auto"/>
              <w:rPr>
                <w:rFonts w:ascii="Times New Roman" w:hAnsi="Times New Roman" w:eastAsia="仿宋_GB2312"/>
                <w:b/>
                <w:bCs/>
                <w:color w:val="auto"/>
                <w:sz w:val="30"/>
                <w:szCs w:val="30"/>
                <w:highlight w:val="none"/>
              </w:rPr>
            </w:pPr>
            <w:r>
              <w:rPr>
                <w:rFonts w:hint="eastAsia" w:cs="宋体"/>
                <w:b/>
                <w:color w:val="auto"/>
                <w:szCs w:val="21"/>
                <w:highlight w:val="none"/>
              </w:rPr>
              <w:t>□</w:t>
            </w:r>
            <w:r>
              <w:rPr>
                <w:rFonts w:hint="eastAsia" w:ascii="宋体" w:cs="宋体"/>
                <w:b/>
                <w:color w:val="auto"/>
                <w:kern w:val="0"/>
                <w:szCs w:val="21"/>
                <w:highlight w:val="none"/>
              </w:rPr>
              <w:t>轨道交通</w:t>
            </w:r>
            <w:r>
              <w:rPr>
                <w:rFonts w:ascii="宋体" w:cs="宋体"/>
                <w:b/>
                <w:color w:val="auto"/>
                <w:kern w:val="0"/>
                <w:szCs w:val="21"/>
                <w:highlight w:val="none"/>
              </w:rPr>
              <w:t>工程</w:t>
            </w:r>
          </w:p>
        </w:tc>
        <w:tc>
          <w:tcPr>
            <w:tcW w:w="2765" w:type="dxa"/>
            <w:noWrap w:val="0"/>
            <w:vAlign w:val="top"/>
          </w:tcPr>
          <w:p>
            <w:pPr>
              <w:spacing w:line="360" w:lineRule="auto"/>
              <w:rPr>
                <w:rFonts w:hint="eastAsia" w:cs="宋体"/>
                <w:color w:val="auto"/>
                <w:szCs w:val="21"/>
                <w:highlight w:val="none"/>
              </w:rPr>
            </w:pPr>
            <w:r>
              <w:rPr>
                <w:rFonts w:hint="eastAsia" w:ascii="宋体" w:cs="宋体"/>
                <w:color w:val="auto"/>
                <w:kern w:val="0"/>
                <w:szCs w:val="21"/>
                <w:highlight w:val="none"/>
              </w:rPr>
              <w:t>总长</w:t>
            </w:r>
            <w:r>
              <w:rPr>
                <w:color w:val="auto"/>
                <w:highlight w:val="none"/>
              </w:rPr>
              <w:t>：</w:t>
            </w:r>
            <w:r>
              <w:rPr>
                <w:rFonts w:hint="eastAsia" w:cs="宋体"/>
                <w:color w:val="auto"/>
                <w:szCs w:val="21"/>
                <w:highlight w:val="none"/>
                <w:u w:val="single"/>
              </w:rPr>
              <w:t xml:space="preserve">  </w:t>
            </w:r>
            <w:r>
              <w:rPr>
                <w:rFonts w:cs="宋体"/>
                <w:color w:val="auto"/>
                <w:szCs w:val="21"/>
                <w:highlight w:val="none"/>
                <w:u w:val="single"/>
              </w:rPr>
              <w:t xml:space="preserve">             </w:t>
            </w:r>
            <w:r>
              <w:rPr>
                <w:rFonts w:hint="eastAsia" w:cs="宋体"/>
                <w:color w:val="auto"/>
                <w:szCs w:val="21"/>
                <w:highlight w:val="none"/>
              </w:rPr>
              <w:t>k</w:t>
            </w:r>
            <w:r>
              <w:rPr>
                <w:rFonts w:hint="eastAsia" w:ascii="Times New Roman" w:hAnsi="Times New Roman"/>
                <w:color w:val="auto"/>
                <w:szCs w:val="21"/>
                <w:highlight w:val="none"/>
              </w:rPr>
              <w:t>m</w:t>
            </w:r>
            <w:r>
              <w:rPr>
                <w:rFonts w:hint="eastAsia" w:cs="宋体"/>
                <w:color w:val="auto"/>
                <w:szCs w:val="21"/>
                <w:highlight w:val="none"/>
              </w:rPr>
              <w:t>□车站</w:t>
            </w:r>
            <w:r>
              <w:rPr>
                <w:rFonts w:hint="eastAsia" w:ascii="宋体" w:cs="宋体"/>
                <w:color w:val="auto"/>
                <w:kern w:val="0"/>
                <w:szCs w:val="21"/>
                <w:highlight w:val="none"/>
              </w:rPr>
              <w:t>：</w:t>
            </w:r>
            <w:r>
              <w:rPr>
                <w:rFonts w:hint="eastAsia" w:cs="宋体"/>
                <w:color w:val="auto"/>
                <w:szCs w:val="21"/>
                <w:highlight w:val="none"/>
                <w:u w:val="single"/>
              </w:rPr>
              <w:t xml:space="preserve">        </w:t>
            </w:r>
            <w:r>
              <w:rPr>
                <w:rFonts w:cs="宋体"/>
                <w:color w:val="auto"/>
                <w:szCs w:val="21"/>
                <w:highlight w:val="none"/>
                <w:u w:val="single"/>
              </w:rPr>
              <w:t xml:space="preserve">   </w:t>
            </w:r>
            <w:r>
              <w:rPr>
                <w:rFonts w:cs="宋体"/>
                <w:color w:val="auto"/>
                <w:szCs w:val="21"/>
                <w:highlight w:val="none"/>
              </w:rPr>
              <w:t xml:space="preserve"> </w:t>
            </w:r>
            <w:r>
              <w:rPr>
                <w:rFonts w:hint="eastAsia" w:cs="宋体"/>
                <w:color w:val="auto"/>
                <w:szCs w:val="21"/>
                <w:highlight w:val="none"/>
              </w:rPr>
              <w:t>座</w:t>
            </w:r>
          </w:p>
          <w:p>
            <w:pPr>
              <w:spacing w:line="360" w:lineRule="auto"/>
              <w:rPr>
                <w:rFonts w:hint="eastAsia" w:cs="宋体"/>
                <w:color w:val="auto"/>
                <w:szCs w:val="21"/>
                <w:highlight w:val="none"/>
              </w:rPr>
            </w:pPr>
            <w:r>
              <w:rPr>
                <w:rFonts w:hint="eastAsia" w:cs="宋体"/>
                <w:color w:val="auto"/>
                <w:szCs w:val="21"/>
                <w:highlight w:val="none"/>
              </w:rPr>
              <w:t>□车辆段：</w:t>
            </w:r>
          </w:p>
          <w:p>
            <w:pPr>
              <w:spacing w:line="360" w:lineRule="auto"/>
              <w:rPr>
                <w:rFonts w:ascii="Times New Roman" w:hAnsi="Times New Roman" w:eastAsia="仿宋_GB2312"/>
                <w:bCs/>
                <w:color w:val="auto"/>
                <w:sz w:val="30"/>
                <w:szCs w:val="30"/>
                <w:highlight w:val="none"/>
              </w:rPr>
            </w:pPr>
            <w:r>
              <w:rPr>
                <w:rFonts w:hint="eastAsia" w:cs="宋体"/>
                <w:color w:val="auto"/>
                <w:szCs w:val="21"/>
                <w:highlight w:val="none"/>
              </w:rPr>
              <w:t>□其他辅助设施工程：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0" w:type="dxa"/>
            <w:noWrap w:val="0"/>
            <w:vAlign w:val="top"/>
          </w:tcPr>
          <w:p>
            <w:pPr>
              <w:spacing w:line="360" w:lineRule="auto"/>
              <w:rPr>
                <w:rFonts w:hint="eastAsia" w:ascii="宋体" w:cs="宋体"/>
                <w:b/>
                <w:color w:val="auto"/>
                <w:kern w:val="0"/>
                <w:szCs w:val="21"/>
                <w:highlight w:val="none"/>
              </w:rPr>
            </w:pPr>
            <w:r>
              <w:rPr>
                <w:rFonts w:hint="eastAsia" w:cs="宋体"/>
                <w:b/>
                <w:color w:val="auto"/>
                <w:szCs w:val="21"/>
                <w:highlight w:val="none"/>
              </w:rPr>
              <w:t>□</w:t>
            </w:r>
            <w:r>
              <w:rPr>
                <w:rFonts w:hint="eastAsia" w:ascii="宋体" w:cs="宋体"/>
                <w:b/>
                <w:color w:val="auto"/>
                <w:kern w:val="0"/>
                <w:szCs w:val="21"/>
                <w:highlight w:val="none"/>
              </w:rPr>
              <w:t>泵站及其他加压构筑物工程</w:t>
            </w:r>
          </w:p>
        </w:tc>
        <w:tc>
          <w:tcPr>
            <w:tcW w:w="2769" w:type="dxa"/>
            <w:noWrap w:val="0"/>
            <w:vAlign w:val="top"/>
          </w:tcPr>
          <w:p>
            <w:pPr>
              <w:spacing w:line="360" w:lineRule="auto"/>
              <w:rPr>
                <w:rFonts w:cs="宋体"/>
                <w:color w:val="auto"/>
                <w:szCs w:val="21"/>
                <w:highlight w:val="none"/>
              </w:rPr>
            </w:pPr>
            <w:r>
              <w:rPr>
                <w:rFonts w:hint="eastAsia" w:cs="宋体"/>
                <w:color w:val="auto"/>
                <w:szCs w:val="21"/>
                <w:highlight w:val="none"/>
              </w:rPr>
              <w:t>□给水泵站</w:t>
            </w:r>
          </w:p>
          <w:p>
            <w:pPr>
              <w:spacing w:line="360" w:lineRule="auto"/>
              <w:rPr>
                <w:rFonts w:hint="eastAsia" w:cs="宋体"/>
                <w:color w:val="auto"/>
                <w:szCs w:val="21"/>
                <w:highlight w:val="none"/>
              </w:rPr>
            </w:pPr>
            <w:r>
              <w:rPr>
                <w:rFonts w:hint="eastAsia" w:cs="宋体"/>
                <w:color w:val="auto"/>
                <w:szCs w:val="21"/>
                <w:highlight w:val="none"/>
              </w:rPr>
              <w:t>处理规模：</w:t>
            </w:r>
            <w:r>
              <w:rPr>
                <w:rFonts w:hint="eastAsia" w:cs="宋体"/>
                <w:color w:val="auto"/>
                <w:szCs w:val="21"/>
                <w:highlight w:val="none"/>
                <w:u w:val="single"/>
              </w:rPr>
              <w:t xml:space="preserve">    </w:t>
            </w:r>
            <w:r>
              <w:rPr>
                <w:rFonts w:cs="宋体"/>
                <w:color w:val="auto"/>
                <w:szCs w:val="21"/>
                <w:highlight w:val="none"/>
                <w:u w:val="single"/>
              </w:rPr>
              <w:t xml:space="preserve">    </w:t>
            </w:r>
            <w:r>
              <w:rPr>
                <w:rFonts w:hint="eastAsia" w:cs="宋体"/>
                <w:color w:val="auto"/>
                <w:szCs w:val="21"/>
                <w:highlight w:val="none"/>
              </w:rPr>
              <w:t>万</w:t>
            </w:r>
            <w:r>
              <w:rPr>
                <w:rFonts w:hint="eastAsia" w:ascii="Times New Roman" w:hAnsi="Times New Roman"/>
                <w:color w:val="auto"/>
                <w:szCs w:val="21"/>
                <w:highlight w:val="none"/>
              </w:rPr>
              <w:t>m</w:t>
            </w:r>
            <w:r>
              <w:rPr>
                <w:rFonts w:hint="eastAsia" w:ascii="宋体" w:cs="宋体"/>
                <w:color w:val="auto"/>
                <w:kern w:val="0"/>
                <w:szCs w:val="21"/>
                <w:highlight w:val="none"/>
                <w:vertAlign w:val="superscript"/>
              </w:rPr>
              <w:t>3</w:t>
            </w:r>
            <w:r>
              <w:rPr>
                <w:rFonts w:hint="eastAsia" w:ascii="宋体" w:cs="宋体"/>
                <w:color w:val="auto"/>
                <w:kern w:val="0"/>
                <w:szCs w:val="21"/>
                <w:highlight w:val="none"/>
              </w:rPr>
              <w:t>/</w:t>
            </w:r>
            <w:r>
              <w:rPr>
                <w:rFonts w:hint="eastAsia" w:ascii="Times New Roman" w:hAnsi="Times New Roman"/>
                <w:color w:val="auto"/>
                <w:szCs w:val="21"/>
                <w:highlight w:val="none"/>
              </w:rPr>
              <w:t>d</w:t>
            </w:r>
          </w:p>
          <w:p>
            <w:pPr>
              <w:spacing w:line="360" w:lineRule="auto"/>
              <w:rPr>
                <w:rFonts w:cs="宋体"/>
                <w:color w:val="auto"/>
                <w:szCs w:val="21"/>
                <w:highlight w:val="none"/>
              </w:rPr>
            </w:pPr>
            <w:r>
              <w:rPr>
                <w:rFonts w:hint="eastAsia" w:cs="宋体"/>
                <w:color w:val="auto"/>
                <w:szCs w:val="21"/>
                <w:highlight w:val="none"/>
              </w:rPr>
              <w:t>□雨水泵站</w:t>
            </w:r>
          </w:p>
          <w:p>
            <w:pPr>
              <w:spacing w:line="360" w:lineRule="auto"/>
              <w:rPr>
                <w:rFonts w:hint="eastAsia" w:cs="宋体"/>
                <w:color w:val="auto"/>
                <w:szCs w:val="21"/>
                <w:highlight w:val="none"/>
              </w:rPr>
            </w:pPr>
            <w:r>
              <w:rPr>
                <w:rFonts w:hint="eastAsia" w:cs="宋体"/>
                <w:color w:val="auto"/>
                <w:szCs w:val="21"/>
                <w:highlight w:val="none"/>
              </w:rPr>
              <w:t xml:space="preserve">处理规模： </w:t>
            </w:r>
            <w:r>
              <w:rPr>
                <w:rFonts w:hint="eastAsia" w:cs="宋体"/>
                <w:color w:val="auto"/>
                <w:szCs w:val="21"/>
                <w:highlight w:val="none"/>
                <w:u w:val="single"/>
              </w:rPr>
              <w:t xml:space="preserve">   </w:t>
            </w:r>
            <w:r>
              <w:rPr>
                <w:rFonts w:cs="宋体"/>
                <w:color w:val="auto"/>
                <w:szCs w:val="21"/>
                <w:highlight w:val="none"/>
                <w:u w:val="single"/>
              </w:rPr>
              <w:t xml:space="preserve">    </w:t>
            </w:r>
            <w:r>
              <w:rPr>
                <w:rFonts w:hint="eastAsia" w:cs="宋体"/>
                <w:color w:val="auto"/>
                <w:szCs w:val="21"/>
                <w:highlight w:val="none"/>
              </w:rPr>
              <w:t>万</w:t>
            </w:r>
            <w:r>
              <w:rPr>
                <w:rFonts w:hint="eastAsia" w:ascii="Times New Roman" w:hAnsi="Times New Roman"/>
                <w:color w:val="auto"/>
                <w:szCs w:val="21"/>
                <w:highlight w:val="none"/>
              </w:rPr>
              <w:t>m</w:t>
            </w:r>
            <w:r>
              <w:rPr>
                <w:rFonts w:hint="eastAsia" w:ascii="宋体" w:cs="宋体"/>
                <w:color w:val="auto"/>
                <w:kern w:val="0"/>
                <w:szCs w:val="21"/>
                <w:highlight w:val="none"/>
                <w:vertAlign w:val="superscript"/>
              </w:rPr>
              <w:t>3</w:t>
            </w:r>
            <w:r>
              <w:rPr>
                <w:rFonts w:hint="eastAsia" w:ascii="宋体" w:cs="宋体"/>
                <w:color w:val="auto"/>
                <w:kern w:val="0"/>
                <w:szCs w:val="21"/>
                <w:highlight w:val="none"/>
              </w:rPr>
              <w:t>/</w:t>
            </w:r>
            <w:r>
              <w:rPr>
                <w:rFonts w:hint="eastAsia" w:ascii="Times New Roman" w:hAnsi="Times New Roman"/>
                <w:color w:val="auto"/>
                <w:szCs w:val="21"/>
                <w:highlight w:val="none"/>
              </w:rPr>
              <w:t>d</w:t>
            </w:r>
          </w:p>
          <w:p>
            <w:pPr>
              <w:spacing w:line="360" w:lineRule="auto"/>
              <w:rPr>
                <w:rFonts w:cs="宋体"/>
                <w:color w:val="auto"/>
                <w:szCs w:val="21"/>
                <w:highlight w:val="none"/>
              </w:rPr>
            </w:pPr>
            <w:r>
              <w:rPr>
                <w:rFonts w:hint="eastAsia" w:cs="宋体"/>
                <w:color w:val="auto"/>
                <w:szCs w:val="21"/>
                <w:highlight w:val="none"/>
              </w:rPr>
              <w:t>□污水泵站</w:t>
            </w:r>
          </w:p>
          <w:p>
            <w:pPr>
              <w:spacing w:line="360" w:lineRule="auto"/>
              <w:rPr>
                <w:rFonts w:hint="eastAsia" w:cs="宋体"/>
                <w:color w:val="auto"/>
                <w:szCs w:val="21"/>
                <w:highlight w:val="none"/>
              </w:rPr>
            </w:pPr>
            <w:r>
              <w:rPr>
                <w:rFonts w:hint="eastAsia" w:cs="宋体"/>
                <w:color w:val="auto"/>
                <w:szCs w:val="21"/>
                <w:highlight w:val="none"/>
              </w:rPr>
              <w:t xml:space="preserve">处理规模： </w:t>
            </w:r>
            <w:r>
              <w:rPr>
                <w:rFonts w:hint="eastAsia" w:cs="宋体"/>
                <w:color w:val="auto"/>
                <w:szCs w:val="21"/>
                <w:highlight w:val="none"/>
                <w:u w:val="single"/>
              </w:rPr>
              <w:t xml:space="preserve">  </w:t>
            </w:r>
            <w:r>
              <w:rPr>
                <w:rFonts w:cs="宋体"/>
                <w:color w:val="auto"/>
                <w:szCs w:val="21"/>
                <w:highlight w:val="none"/>
                <w:u w:val="single"/>
              </w:rPr>
              <w:t xml:space="preserve">     </w:t>
            </w:r>
            <w:r>
              <w:rPr>
                <w:rFonts w:hint="eastAsia" w:cs="宋体"/>
                <w:color w:val="auto"/>
                <w:szCs w:val="21"/>
                <w:highlight w:val="none"/>
              </w:rPr>
              <w:t>万</w:t>
            </w:r>
            <w:r>
              <w:rPr>
                <w:rFonts w:hint="eastAsia" w:ascii="Times New Roman" w:hAnsi="Times New Roman"/>
                <w:color w:val="auto"/>
                <w:szCs w:val="21"/>
                <w:highlight w:val="none"/>
              </w:rPr>
              <w:t>m</w:t>
            </w:r>
            <w:r>
              <w:rPr>
                <w:rFonts w:hint="eastAsia" w:ascii="宋体" w:cs="宋体"/>
                <w:color w:val="auto"/>
                <w:kern w:val="0"/>
                <w:szCs w:val="21"/>
                <w:highlight w:val="none"/>
                <w:vertAlign w:val="superscript"/>
              </w:rPr>
              <w:t>3</w:t>
            </w:r>
            <w:r>
              <w:rPr>
                <w:rFonts w:hint="eastAsia" w:ascii="宋体" w:cs="宋体"/>
                <w:color w:val="auto"/>
                <w:kern w:val="0"/>
                <w:szCs w:val="21"/>
                <w:highlight w:val="none"/>
              </w:rPr>
              <w:t>/</w:t>
            </w:r>
            <w:r>
              <w:rPr>
                <w:rFonts w:hint="eastAsia" w:ascii="Times New Roman" w:hAnsi="Times New Roman"/>
                <w:color w:val="auto"/>
                <w:szCs w:val="21"/>
                <w:highlight w:val="none"/>
              </w:rPr>
              <w:t>d</w:t>
            </w:r>
          </w:p>
          <w:p>
            <w:pPr>
              <w:spacing w:line="360" w:lineRule="auto"/>
              <w:rPr>
                <w:rFonts w:hint="eastAsia" w:cs="宋体"/>
                <w:color w:val="auto"/>
                <w:szCs w:val="21"/>
                <w:highlight w:val="none"/>
              </w:rPr>
            </w:pPr>
            <w:r>
              <w:rPr>
                <w:rFonts w:hint="eastAsia" w:cs="宋体"/>
                <w:color w:val="auto"/>
                <w:szCs w:val="21"/>
                <w:highlight w:val="none"/>
              </w:rPr>
              <w:sym w:font="Wingdings 2" w:char="00A3"/>
            </w:r>
            <w:r>
              <w:rPr>
                <w:rFonts w:hint="eastAsia" w:cs="宋体"/>
                <w:color w:val="auto"/>
                <w:szCs w:val="21"/>
                <w:highlight w:val="none"/>
              </w:rPr>
              <w:t>其他</w:t>
            </w:r>
            <w:r>
              <w:rPr>
                <w:rFonts w:hint="eastAsia" w:ascii="宋体" w:cs="宋体"/>
                <w:color w:val="auto"/>
                <w:kern w:val="0"/>
                <w:szCs w:val="21"/>
                <w:highlight w:val="none"/>
              </w:rPr>
              <w:t>加压构筑物（高位水池等）公称容积：</w:t>
            </w:r>
            <w:r>
              <w:rPr>
                <w:rFonts w:hint="eastAsia" w:cs="宋体"/>
                <w:color w:val="auto"/>
                <w:szCs w:val="21"/>
                <w:highlight w:val="none"/>
                <w:u w:val="single"/>
              </w:rPr>
              <w:t xml:space="preserve">    </w:t>
            </w:r>
            <w:r>
              <w:rPr>
                <w:rFonts w:cs="宋体"/>
                <w:color w:val="auto"/>
                <w:szCs w:val="21"/>
                <w:highlight w:val="none"/>
                <w:u w:val="single"/>
              </w:rPr>
              <w:t xml:space="preserve">  </w:t>
            </w:r>
            <w:r>
              <w:rPr>
                <w:rFonts w:hint="eastAsia" w:cs="宋体"/>
                <w:color w:val="auto"/>
                <w:szCs w:val="21"/>
                <w:highlight w:val="none"/>
              </w:rPr>
              <w:t>万</w:t>
            </w:r>
            <w:r>
              <w:rPr>
                <w:rFonts w:hint="eastAsia" w:ascii="Times New Roman" w:hAnsi="Times New Roman"/>
                <w:color w:val="auto"/>
                <w:szCs w:val="21"/>
                <w:highlight w:val="none"/>
              </w:rPr>
              <w:t>m</w:t>
            </w:r>
            <w:r>
              <w:rPr>
                <w:rFonts w:hint="eastAsia" w:ascii="宋体" w:cs="宋体"/>
                <w:color w:val="auto"/>
                <w:kern w:val="0"/>
                <w:szCs w:val="21"/>
                <w:highlight w:val="none"/>
                <w:vertAlign w:val="superscript"/>
              </w:rPr>
              <w:t>3</w:t>
            </w:r>
          </w:p>
        </w:tc>
        <w:tc>
          <w:tcPr>
            <w:tcW w:w="1892" w:type="dxa"/>
            <w:noWrap w:val="0"/>
            <w:vAlign w:val="top"/>
          </w:tcPr>
          <w:p>
            <w:pPr>
              <w:spacing w:line="360" w:lineRule="auto"/>
              <w:rPr>
                <w:rFonts w:hint="eastAsia" w:ascii="宋体" w:cs="宋体"/>
                <w:b/>
                <w:color w:val="auto"/>
                <w:kern w:val="0"/>
                <w:szCs w:val="21"/>
                <w:highlight w:val="none"/>
              </w:rPr>
            </w:pPr>
            <w:r>
              <w:rPr>
                <w:rFonts w:hint="eastAsia" w:cs="宋体"/>
                <w:b/>
                <w:color w:val="auto"/>
                <w:szCs w:val="21"/>
                <w:highlight w:val="none"/>
              </w:rPr>
              <w:t>□</w:t>
            </w:r>
            <w:r>
              <w:rPr>
                <w:rFonts w:hint="eastAsia" w:ascii="宋体" w:cs="宋体"/>
                <w:b/>
                <w:color w:val="auto"/>
                <w:kern w:val="0"/>
                <w:szCs w:val="21"/>
                <w:highlight w:val="none"/>
              </w:rPr>
              <w:t>其他市政及</w:t>
            </w:r>
            <w:r>
              <w:rPr>
                <w:rFonts w:ascii="宋体" w:cs="宋体"/>
                <w:b/>
                <w:color w:val="auto"/>
                <w:kern w:val="0"/>
                <w:szCs w:val="21"/>
                <w:highlight w:val="none"/>
              </w:rPr>
              <w:t>配套工程</w:t>
            </w:r>
          </w:p>
        </w:tc>
        <w:tc>
          <w:tcPr>
            <w:tcW w:w="2765" w:type="dxa"/>
            <w:noWrap w:val="0"/>
            <w:vAlign w:val="top"/>
          </w:tcPr>
          <w:p>
            <w:pPr>
              <w:spacing w:line="360" w:lineRule="auto"/>
              <w:rPr>
                <w:rFonts w:hint="eastAsia" w:cs="宋体"/>
                <w:color w:val="auto"/>
                <w:szCs w:val="21"/>
                <w:highlight w:val="none"/>
              </w:rPr>
            </w:pPr>
          </w:p>
        </w:tc>
      </w:tr>
    </w:tbl>
    <w:p>
      <w:pPr>
        <w:spacing w:line="360" w:lineRule="auto"/>
        <w:ind w:firstLine="471" w:firstLineChars="196"/>
        <w:rPr>
          <w:rFonts w:ascii="宋体" w:hAnsi="宋体"/>
          <w:b/>
          <w:color w:val="auto"/>
          <w:sz w:val="24"/>
          <w:szCs w:val="24"/>
          <w:highlight w:val="none"/>
        </w:rPr>
      </w:pPr>
      <w:r>
        <w:rPr>
          <w:rFonts w:ascii="宋体" w:hAnsi="宋体"/>
          <w:b/>
          <w:color w:val="auto"/>
          <w:sz w:val="24"/>
          <w:szCs w:val="24"/>
          <w:highlight w:val="none"/>
        </w:rPr>
        <w:t>（</w:t>
      </w:r>
      <w:r>
        <w:rPr>
          <w:rFonts w:hint="eastAsia" w:ascii="宋体" w:hAnsi="宋体"/>
          <w:b/>
          <w:color w:val="auto"/>
          <w:sz w:val="24"/>
          <w:szCs w:val="24"/>
          <w:highlight w:val="none"/>
        </w:rPr>
        <w:t>3</w:t>
      </w:r>
      <w:r>
        <w:rPr>
          <w:rFonts w:ascii="宋体" w:hAnsi="宋体"/>
          <w:b/>
          <w:color w:val="auto"/>
          <w:sz w:val="24"/>
          <w:szCs w:val="24"/>
          <w:highlight w:val="none"/>
        </w:rPr>
        <w:t>）</w:t>
      </w:r>
      <w:r>
        <w:rPr>
          <w:rFonts w:hint="eastAsia" w:ascii="宋体" w:hAnsi="宋体"/>
          <w:b/>
          <w:color w:val="auto"/>
          <w:sz w:val="24"/>
          <w:szCs w:val="24"/>
          <w:highlight w:val="none"/>
        </w:rPr>
        <w:t>其他工程</w:t>
      </w:r>
    </w:p>
    <w:p>
      <w:pPr>
        <w:spacing w:line="360" w:lineRule="auto"/>
        <w:ind w:firstLine="480"/>
        <w:rPr>
          <w:rFonts w:hint="eastAsia" w:ascii="宋体" w:hAnsi="宋体"/>
          <w:color w:val="auto"/>
          <w:sz w:val="24"/>
          <w:highlight w:val="none"/>
          <w:u w:val="single"/>
        </w:rPr>
      </w:pPr>
      <w:r>
        <w:rPr>
          <w:rFonts w:hint="eastAsia" w:ascii="宋体" w:hAnsi="宋体"/>
          <w:color w:val="auto"/>
          <w:sz w:val="24"/>
          <w:highlight w:val="none"/>
          <w:u w:val="single"/>
        </w:rPr>
        <w:t xml:space="preserve">                                                                   </w:t>
      </w:r>
    </w:p>
    <w:p>
      <w:pPr>
        <w:spacing w:line="360" w:lineRule="auto"/>
        <w:ind w:firstLine="480"/>
        <w:rPr>
          <w:rFonts w:hint="eastAsia" w:ascii="宋体" w:hAnsi="宋体"/>
          <w:color w:val="auto"/>
          <w:sz w:val="24"/>
          <w:highlight w:val="none"/>
          <w:u w:val="single"/>
        </w:rPr>
      </w:pPr>
      <w:r>
        <w:rPr>
          <w:rFonts w:hint="eastAsia" w:ascii="宋体" w:hAnsi="宋体"/>
          <w:color w:val="auto"/>
          <w:sz w:val="24"/>
          <w:highlight w:val="none"/>
          <w:u w:val="single"/>
        </w:rPr>
        <w:t xml:space="preserve">                                                                   </w:t>
      </w:r>
    </w:p>
    <w:p>
      <w:pPr>
        <w:spacing w:before="120" w:beforeLines="50" w:after="120" w:afterLines="50" w:line="360" w:lineRule="auto"/>
        <w:ind w:left="482"/>
        <w:outlineLvl w:val="1"/>
        <w:rPr>
          <w:rFonts w:hint="eastAsia" w:ascii="宋体" w:hAnsi="宋体"/>
          <w:b/>
          <w:color w:val="auto"/>
          <w:sz w:val="30"/>
          <w:szCs w:val="30"/>
          <w:highlight w:val="none"/>
        </w:rPr>
      </w:pPr>
      <w:bookmarkStart w:id="48" w:name="_Toc10411"/>
      <w:bookmarkStart w:id="49" w:name="_Toc517530661"/>
      <w:bookmarkStart w:id="50" w:name="_Toc69113912"/>
      <w:bookmarkStart w:id="51" w:name="_Toc517529699"/>
      <w:bookmarkStart w:id="52" w:name="_Toc31250"/>
      <w:bookmarkStart w:id="53" w:name="_Toc24839"/>
      <w:bookmarkStart w:id="54" w:name="_Toc16455"/>
      <w:bookmarkStart w:id="55" w:name="_Toc19724"/>
      <w:bookmarkStart w:id="56" w:name="_Toc517528606"/>
      <w:bookmarkStart w:id="57" w:name="_Toc13087"/>
      <w:bookmarkStart w:id="58" w:name="_Toc517531937"/>
      <w:bookmarkStart w:id="59" w:name="_Toc9436"/>
      <w:bookmarkStart w:id="60" w:name="_Toc6192"/>
      <w:bookmarkStart w:id="61" w:name="_Toc16034"/>
      <w:r>
        <w:rPr>
          <w:rFonts w:hint="eastAsia" w:ascii="宋体" w:hAnsi="宋体"/>
          <w:b/>
          <w:color w:val="auto"/>
          <w:sz w:val="30"/>
          <w:szCs w:val="30"/>
          <w:highlight w:val="none"/>
        </w:rPr>
        <w:t>三、合同工期</w:t>
      </w:r>
      <w:bookmarkEnd w:id="48"/>
      <w:bookmarkEnd w:id="49"/>
      <w:bookmarkEnd w:id="50"/>
      <w:bookmarkEnd w:id="51"/>
      <w:bookmarkEnd w:id="52"/>
      <w:bookmarkEnd w:id="53"/>
      <w:bookmarkEnd w:id="54"/>
      <w:bookmarkEnd w:id="55"/>
      <w:bookmarkEnd w:id="56"/>
      <w:bookmarkEnd w:id="57"/>
      <w:bookmarkEnd w:id="58"/>
      <w:bookmarkEnd w:id="59"/>
      <w:bookmarkEnd w:id="60"/>
      <w:bookmarkEnd w:id="61"/>
    </w:p>
    <w:p>
      <w:pPr>
        <w:spacing w:line="360" w:lineRule="auto"/>
        <w:ind w:firstLine="480"/>
        <w:rPr>
          <w:rFonts w:hint="eastAsia" w:ascii="宋体" w:hAnsi="宋体"/>
          <w:color w:val="auto"/>
          <w:szCs w:val="21"/>
          <w:highlight w:val="none"/>
        </w:rPr>
      </w:pPr>
      <w:r>
        <w:rPr>
          <w:rFonts w:hint="eastAsia" w:ascii="宋体" w:hAnsi="宋体"/>
          <w:color w:val="auto"/>
          <w:szCs w:val="21"/>
          <w:highlight w:val="none"/>
        </w:rPr>
        <w:t>开工日期：</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日（以监理人签发的开工令日期为准）</w:t>
      </w:r>
    </w:p>
    <w:p>
      <w:pPr>
        <w:spacing w:line="360" w:lineRule="auto"/>
        <w:ind w:firstLine="480"/>
        <w:rPr>
          <w:rFonts w:hint="eastAsia" w:ascii="宋体" w:hAnsi="宋体"/>
          <w:color w:val="auto"/>
          <w:szCs w:val="21"/>
          <w:highlight w:val="none"/>
        </w:rPr>
      </w:pPr>
      <w:r>
        <w:rPr>
          <w:rFonts w:hint="eastAsia" w:ascii="宋体" w:hAnsi="宋体"/>
          <w:color w:val="auto"/>
          <w:szCs w:val="21"/>
          <w:highlight w:val="none"/>
        </w:rPr>
        <w:t>竣工日期：</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spacing w:line="360" w:lineRule="auto"/>
        <w:ind w:firstLine="480"/>
        <w:rPr>
          <w:rFonts w:hint="eastAsia" w:ascii="宋体" w:hAnsi="宋体"/>
          <w:color w:val="auto"/>
          <w:szCs w:val="21"/>
          <w:highlight w:val="none"/>
          <w:u w:val="single"/>
        </w:rPr>
      </w:pPr>
      <w:r>
        <w:rPr>
          <w:rFonts w:hint="eastAsia" w:ascii="宋体" w:hAnsi="宋体"/>
          <w:color w:val="auto"/>
          <w:szCs w:val="21"/>
          <w:highlight w:val="none"/>
        </w:rPr>
        <w:t>合同工期总日历天数：</w:t>
      </w:r>
      <w:r>
        <w:rPr>
          <w:rFonts w:hint="eastAsia" w:ascii="宋体" w:hAnsi="宋体"/>
          <w:color w:val="auto"/>
          <w:szCs w:val="21"/>
          <w:highlight w:val="none"/>
          <w:u w:val="single"/>
        </w:rPr>
        <w:t xml:space="preserve">             </w:t>
      </w:r>
    </w:p>
    <w:p>
      <w:pPr>
        <w:spacing w:before="120" w:beforeLines="50" w:after="120" w:afterLines="50" w:line="360" w:lineRule="auto"/>
        <w:ind w:left="482"/>
        <w:outlineLvl w:val="1"/>
        <w:rPr>
          <w:rFonts w:hint="eastAsia" w:ascii="宋体" w:hAnsi="宋体"/>
          <w:b/>
          <w:color w:val="auto"/>
          <w:sz w:val="30"/>
          <w:szCs w:val="30"/>
          <w:highlight w:val="none"/>
        </w:rPr>
      </w:pPr>
      <w:bookmarkStart w:id="62" w:name="_Toc11937"/>
      <w:bookmarkStart w:id="63" w:name="_Toc32014"/>
      <w:bookmarkStart w:id="64" w:name="_Toc32763"/>
      <w:bookmarkStart w:id="65" w:name="_Toc32402"/>
      <w:bookmarkStart w:id="66" w:name="_Toc31976"/>
      <w:bookmarkStart w:id="67" w:name="_Toc517531938"/>
      <w:bookmarkStart w:id="68" w:name="_Toc517530662"/>
      <w:bookmarkStart w:id="69" w:name="_Toc517528607"/>
      <w:bookmarkStart w:id="70" w:name="_Toc69113913"/>
      <w:bookmarkStart w:id="71" w:name="_Toc23937"/>
      <w:bookmarkStart w:id="72" w:name="_Toc9445"/>
      <w:bookmarkStart w:id="73" w:name="_Toc19167"/>
      <w:bookmarkStart w:id="74" w:name="_Toc517529700"/>
      <w:bookmarkStart w:id="75" w:name="_Toc2072"/>
      <w:r>
        <w:rPr>
          <w:rFonts w:hint="eastAsia" w:ascii="宋体" w:hAnsi="宋体"/>
          <w:b/>
          <w:color w:val="auto"/>
          <w:sz w:val="30"/>
          <w:szCs w:val="30"/>
          <w:highlight w:val="none"/>
        </w:rPr>
        <w:t>四、工程质量标准</w:t>
      </w:r>
      <w:bookmarkEnd w:id="62"/>
      <w:bookmarkEnd w:id="63"/>
      <w:bookmarkEnd w:id="64"/>
      <w:bookmarkEnd w:id="65"/>
      <w:bookmarkEnd w:id="66"/>
      <w:bookmarkEnd w:id="67"/>
      <w:bookmarkEnd w:id="68"/>
      <w:bookmarkEnd w:id="69"/>
      <w:bookmarkEnd w:id="70"/>
      <w:bookmarkEnd w:id="71"/>
      <w:bookmarkEnd w:id="72"/>
      <w:bookmarkEnd w:id="73"/>
      <w:bookmarkEnd w:id="74"/>
      <w:bookmarkEnd w:id="75"/>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工程质量标准目标：</w:t>
      </w:r>
      <w:r>
        <w:rPr>
          <w:rFonts w:hint="eastAsia" w:ascii="宋体" w:hAnsi="宋体"/>
          <w:bCs/>
          <w:color w:val="auto"/>
          <w:sz w:val="28"/>
          <w:szCs w:val="28"/>
          <w:highlight w:val="none"/>
          <w:u w:val="single"/>
        </w:rPr>
        <w:t xml:space="preserve">                                                  </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工程创优目标：</w:t>
      </w:r>
      <w:r>
        <w:rPr>
          <w:rFonts w:hint="eastAsia" w:ascii="宋体" w:hAnsi="宋体"/>
          <w:bCs/>
          <w:color w:val="auto"/>
          <w:sz w:val="28"/>
          <w:szCs w:val="28"/>
          <w:highlight w:val="none"/>
          <w:u w:val="single"/>
        </w:rPr>
        <w:t xml:space="preserve">             </w:t>
      </w:r>
      <w:r>
        <w:rPr>
          <w:rFonts w:ascii="宋体" w:hAnsi="宋体"/>
          <w:bCs/>
          <w:color w:val="auto"/>
          <w:sz w:val="28"/>
          <w:szCs w:val="28"/>
          <w:highlight w:val="none"/>
          <w:u w:val="single"/>
        </w:rPr>
        <w:t xml:space="preserve">   </w:t>
      </w:r>
      <w:r>
        <w:rPr>
          <w:rFonts w:hint="eastAsia" w:ascii="宋体" w:hAnsi="宋体"/>
          <w:bCs/>
          <w:color w:val="auto"/>
          <w:sz w:val="28"/>
          <w:szCs w:val="28"/>
          <w:highlight w:val="none"/>
          <w:u w:val="single"/>
        </w:rPr>
        <w:t xml:space="preserve">                                     </w:t>
      </w:r>
    </w:p>
    <w:p>
      <w:pPr>
        <w:spacing w:before="120" w:beforeLines="50" w:after="120" w:afterLines="50" w:line="360" w:lineRule="auto"/>
        <w:ind w:left="482"/>
        <w:outlineLvl w:val="1"/>
        <w:rPr>
          <w:rFonts w:hint="eastAsia" w:ascii="宋体" w:hAnsi="宋体"/>
          <w:b/>
          <w:color w:val="auto"/>
          <w:sz w:val="30"/>
          <w:szCs w:val="30"/>
          <w:highlight w:val="none"/>
        </w:rPr>
      </w:pPr>
      <w:bookmarkStart w:id="76" w:name="_Toc27173"/>
      <w:bookmarkStart w:id="77" w:name="_Toc22923"/>
      <w:bookmarkStart w:id="78" w:name="_Toc31475"/>
      <w:bookmarkStart w:id="79" w:name="_Toc517528608"/>
      <w:bookmarkStart w:id="80" w:name="_Toc1580"/>
      <w:bookmarkStart w:id="81" w:name="_Toc517529701"/>
      <w:bookmarkStart w:id="82" w:name="_Toc7633"/>
      <w:bookmarkStart w:id="83" w:name="_Toc69113914"/>
      <w:bookmarkStart w:id="84" w:name="_Toc517531939"/>
      <w:bookmarkStart w:id="85" w:name="_Toc517530663"/>
      <w:bookmarkStart w:id="86" w:name="_Toc1614"/>
      <w:bookmarkStart w:id="87" w:name="_Toc893"/>
      <w:bookmarkStart w:id="88" w:name="_Toc24349"/>
      <w:bookmarkStart w:id="89" w:name="_Toc20614"/>
      <w:r>
        <w:rPr>
          <w:rFonts w:hint="eastAsia" w:ascii="宋体" w:hAnsi="宋体"/>
          <w:b/>
          <w:color w:val="auto"/>
          <w:sz w:val="30"/>
          <w:szCs w:val="30"/>
          <w:highlight w:val="none"/>
        </w:rPr>
        <w:t>五、合同价款</w:t>
      </w:r>
      <w:bookmarkEnd w:id="76"/>
      <w:bookmarkEnd w:id="77"/>
      <w:bookmarkEnd w:id="78"/>
      <w:bookmarkEnd w:id="79"/>
      <w:bookmarkEnd w:id="80"/>
      <w:bookmarkEnd w:id="81"/>
      <w:bookmarkEnd w:id="82"/>
      <w:bookmarkEnd w:id="83"/>
      <w:bookmarkEnd w:id="84"/>
      <w:bookmarkEnd w:id="85"/>
      <w:bookmarkEnd w:id="86"/>
      <w:bookmarkEnd w:id="87"/>
      <w:bookmarkEnd w:id="88"/>
      <w:bookmarkEnd w:id="89"/>
    </w:p>
    <w:p>
      <w:pPr>
        <w:spacing w:line="360" w:lineRule="auto"/>
        <w:ind w:firstLine="480"/>
        <w:rPr>
          <w:rFonts w:hint="eastAsia" w:ascii="宋体" w:hAnsi="宋体"/>
          <w:color w:val="auto"/>
          <w:szCs w:val="21"/>
          <w:highlight w:val="none"/>
        </w:rPr>
      </w:pPr>
      <w:r>
        <w:rPr>
          <w:rFonts w:hint="eastAsia" w:ascii="宋体" w:hAnsi="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pPr>
        <w:spacing w:line="360" w:lineRule="auto"/>
        <w:ind w:firstLine="480"/>
        <w:rPr>
          <w:rFonts w:hint="eastAsia" w:ascii="宋体" w:hAnsi="宋体"/>
          <w:color w:val="auto"/>
          <w:szCs w:val="21"/>
          <w:highlight w:val="none"/>
        </w:rPr>
      </w:pPr>
      <w:r>
        <w:rPr>
          <w:rFonts w:hint="eastAsia" w:ascii="宋体" w:hAnsi="宋体"/>
          <w:color w:val="auto"/>
          <w:szCs w:val="21"/>
          <w:highlight w:val="none"/>
        </w:rPr>
        <w:t>其中：</w:t>
      </w:r>
    </w:p>
    <w:p>
      <w:pPr>
        <w:spacing w:line="360" w:lineRule="auto"/>
        <w:ind w:firstLine="480"/>
        <w:rPr>
          <w:rFonts w:hint="eastAsia" w:ascii="宋体" w:hAnsi="宋体"/>
          <w:color w:val="auto"/>
          <w:szCs w:val="21"/>
          <w:highlight w:val="none"/>
        </w:rPr>
      </w:pPr>
      <w:r>
        <w:rPr>
          <w:rFonts w:hint="eastAsia" w:ascii="宋体" w:hAnsi="宋体"/>
          <w:color w:val="auto"/>
          <w:szCs w:val="21"/>
          <w:highlight w:val="none"/>
        </w:rPr>
        <w:t>（1）安全文明施工费：</w:t>
      </w:r>
    </w:p>
    <w:p>
      <w:pPr>
        <w:spacing w:line="360" w:lineRule="auto"/>
        <w:ind w:firstLine="480"/>
        <w:rPr>
          <w:rFonts w:hint="eastAsia" w:ascii="宋体" w:hAnsi="宋体"/>
          <w:color w:val="auto"/>
          <w:szCs w:val="21"/>
          <w:highlight w:val="none"/>
        </w:rPr>
      </w:pPr>
      <w:r>
        <w:rPr>
          <w:rFonts w:hint="eastAsia" w:ascii="宋体" w:hAnsi="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pPr>
        <w:numPr>
          <w:ilvl w:val="0"/>
          <w:numId w:val="5"/>
        </w:numPr>
        <w:spacing w:line="360" w:lineRule="auto"/>
        <w:ind w:firstLine="480"/>
        <w:rPr>
          <w:rFonts w:hint="eastAsia" w:ascii="宋体" w:hAnsi="宋体"/>
          <w:color w:val="auto"/>
          <w:szCs w:val="21"/>
          <w:highlight w:val="none"/>
        </w:rPr>
      </w:pPr>
      <w:r>
        <w:rPr>
          <w:rFonts w:hint="eastAsia" w:cs="宋体"/>
          <w:color w:val="auto"/>
          <w:szCs w:val="21"/>
          <w:highlight w:val="none"/>
        </w:rPr>
        <w:sym w:font="Wingdings 2" w:char="00A3"/>
      </w:r>
      <w:r>
        <w:rPr>
          <w:rFonts w:hint="eastAsia" w:ascii="宋体" w:hAnsi="宋体"/>
          <w:color w:val="auto"/>
          <w:szCs w:val="21"/>
          <w:highlight w:val="none"/>
        </w:rPr>
        <w:t>工程保险费：（由发包人投保不勾选）</w:t>
      </w:r>
    </w:p>
    <w:p>
      <w:pPr>
        <w:spacing w:line="360" w:lineRule="auto"/>
        <w:ind w:firstLine="480"/>
        <w:rPr>
          <w:rFonts w:ascii="宋体" w:hAnsi="宋体"/>
          <w:color w:val="auto"/>
          <w:szCs w:val="21"/>
          <w:highlight w:val="none"/>
        </w:rPr>
      </w:pPr>
      <w:r>
        <w:rPr>
          <w:rFonts w:hint="eastAsia" w:ascii="宋体" w:hAnsi="宋体"/>
          <w:color w:val="auto"/>
          <w:szCs w:val="21"/>
          <w:highlight w:val="none"/>
        </w:rPr>
        <w:t xml:space="preserve"> 人民币（大写）</w:t>
      </w:r>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pPr>
        <w:spacing w:line="360" w:lineRule="auto"/>
        <w:ind w:firstLine="480"/>
        <w:rPr>
          <w:rFonts w:hint="eastAsia" w:ascii="宋体" w:hAnsi="宋体"/>
          <w:color w:val="auto"/>
          <w:szCs w:val="21"/>
          <w:highlight w:val="none"/>
        </w:rPr>
      </w:pPr>
      <w:r>
        <w:rPr>
          <w:rFonts w:hint="eastAsia" w:ascii="宋体" w:hAnsi="宋体"/>
          <w:color w:val="auto"/>
          <w:szCs w:val="21"/>
          <w:highlight w:val="none"/>
        </w:rPr>
        <w:t>（3）材料和工程设备暂估价金额：</w:t>
      </w:r>
    </w:p>
    <w:p>
      <w:pPr>
        <w:spacing w:line="360" w:lineRule="auto"/>
        <w:ind w:firstLine="480"/>
        <w:rPr>
          <w:rFonts w:hint="eastAsia" w:ascii="宋体" w:hAnsi="宋体"/>
          <w:color w:val="auto"/>
          <w:szCs w:val="21"/>
          <w:highlight w:val="none"/>
        </w:rPr>
      </w:pPr>
      <w:r>
        <w:rPr>
          <w:rFonts w:hint="eastAsia" w:ascii="宋体" w:hAnsi="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     元)；</w:t>
      </w:r>
    </w:p>
    <w:p>
      <w:pPr>
        <w:spacing w:line="360" w:lineRule="auto"/>
        <w:ind w:firstLine="480"/>
        <w:rPr>
          <w:rFonts w:hint="eastAsia" w:ascii="宋体" w:hAnsi="宋体"/>
          <w:color w:val="auto"/>
          <w:szCs w:val="21"/>
          <w:highlight w:val="none"/>
        </w:rPr>
      </w:pPr>
      <w:r>
        <w:rPr>
          <w:rFonts w:hint="eastAsia" w:ascii="宋体" w:hAnsi="宋体"/>
          <w:color w:val="auto"/>
          <w:szCs w:val="21"/>
          <w:highlight w:val="none"/>
        </w:rPr>
        <w:t>（4）专业工程暂估价金额：</w:t>
      </w:r>
    </w:p>
    <w:p>
      <w:pPr>
        <w:spacing w:line="360" w:lineRule="auto"/>
        <w:ind w:firstLine="480"/>
        <w:rPr>
          <w:rFonts w:hint="eastAsia" w:ascii="宋体" w:hAnsi="宋体"/>
          <w:color w:val="auto"/>
          <w:szCs w:val="21"/>
          <w:highlight w:val="none"/>
        </w:rPr>
      </w:pPr>
      <w:r>
        <w:rPr>
          <w:rFonts w:hint="eastAsia" w:ascii="宋体" w:hAnsi="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pPr>
        <w:spacing w:line="360" w:lineRule="auto"/>
        <w:ind w:firstLine="480"/>
        <w:rPr>
          <w:rFonts w:hint="eastAsia" w:ascii="宋体" w:hAnsi="宋体"/>
          <w:color w:val="auto"/>
          <w:szCs w:val="21"/>
          <w:highlight w:val="none"/>
        </w:rPr>
      </w:pPr>
      <w:r>
        <w:rPr>
          <w:rFonts w:hint="eastAsia" w:ascii="宋体" w:hAnsi="宋体"/>
          <w:color w:val="auto"/>
          <w:szCs w:val="21"/>
          <w:highlight w:val="none"/>
        </w:rPr>
        <w:t>（5）暂列金额：</w:t>
      </w:r>
    </w:p>
    <w:p>
      <w:pPr>
        <w:spacing w:line="360" w:lineRule="auto"/>
        <w:ind w:firstLine="480"/>
        <w:rPr>
          <w:rFonts w:hint="eastAsia" w:ascii="宋体" w:hAnsi="宋体"/>
          <w:color w:val="auto"/>
          <w:szCs w:val="21"/>
          <w:highlight w:val="none"/>
        </w:rPr>
      </w:pPr>
      <w:r>
        <w:rPr>
          <w:rFonts w:hint="eastAsia" w:ascii="宋体" w:hAnsi="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pPr>
        <w:spacing w:line="360" w:lineRule="auto"/>
        <w:ind w:firstLine="480"/>
        <w:rPr>
          <w:rFonts w:hint="eastAsia" w:ascii="宋体" w:hAnsi="宋体"/>
          <w:color w:val="auto"/>
          <w:szCs w:val="21"/>
          <w:highlight w:val="none"/>
        </w:rPr>
      </w:pPr>
      <w:r>
        <w:rPr>
          <w:rFonts w:hint="eastAsia" w:ascii="宋体" w:hAnsi="宋体"/>
          <w:color w:val="auto"/>
          <w:szCs w:val="21"/>
          <w:highlight w:val="none"/>
        </w:rPr>
        <w:t>（6）奖励金：</w:t>
      </w:r>
    </w:p>
    <w:p>
      <w:pPr>
        <w:spacing w:line="360" w:lineRule="auto"/>
        <w:ind w:firstLine="480"/>
        <w:rPr>
          <w:rFonts w:ascii="宋体" w:hAnsi="宋体"/>
          <w:color w:val="auto"/>
          <w:szCs w:val="21"/>
          <w:highlight w:val="none"/>
        </w:rPr>
      </w:pPr>
      <w:r>
        <w:rPr>
          <w:rFonts w:hint="eastAsia" w:ascii="宋体" w:hAnsi="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pPr>
        <w:spacing w:line="360" w:lineRule="auto"/>
        <w:ind w:firstLine="480"/>
        <w:rPr>
          <w:rFonts w:hint="eastAsia" w:ascii="宋体" w:hAnsi="宋体"/>
          <w:color w:val="auto"/>
          <w:szCs w:val="21"/>
          <w:highlight w:val="none"/>
        </w:rPr>
      </w:pPr>
      <w:r>
        <w:rPr>
          <w:rFonts w:hint="eastAsia" w:ascii="宋体" w:hAnsi="宋体"/>
          <w:color w:val="auto"/>
          <w:szCs w:val="21"/>
          <w:highlight w:val="none"/>
        </w:rPr>
        <w:t>（7）其他：</w:t>
      </w:r>
    </w:p>
    <w:p>
      <w:pPr>
        <w:spacing w:line="360" w:lineRule="auto"/>
        <w:ind w:firstLine="480"/>
        <w:rPr>
          <w:rFonts w:hint="eastAsia" w:ascii="宋体" w:hAnsi="宋体"/>
          <w:color w:val="auto"/>
          <w:szCs w:val="21"/>
          <w:highlight w:val="none"/>
        </w:rPr>
      </w:pPr>
      <w:r>
        <w:rPr>
          <w:rFonts w:hint="eastAsia" w:ascii="宋体" w:hAnsi="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pPr>
        <w:spacing w:line="360" w:lineRule="auto"/>
        <w:ind w:firstLine="480"/>
        <w:rPr>
          <w:rFonts w:ascii="宋体" w:hAnsi="宋体"/>
          <w:color w:val="auto"/>
          <w:szCs w:val="21"/>
          <w:highlight w:val="none"/>
          <w:u w:val="single"/>
        </w:rPr>
      </w:pPr>
      <w:r>
        <w:rPr>
          <w:rFonts w:hint="eastAsia" w:ascii="宋体" w:hAnsi="宋体" w:cs="宋体"/>
          <w:color w:val="auto"/>
          <w:szCs w:val="21"/>
          <w:highlight w:val="none"/>
        </w:rPr>
        <w:t>下浮比例为投标总价的净下浮率，即净下浮率=[1-(投标总价-不可竞争费)/(公示的招标控制价-不可竞争费)]*100%，不可竞争费不下浮。本工程净下浮率为：</w:t>
      </w:r>
      <w:r>
        <w:rPr>
          <w:rFonts w:hint="eastAsia" w:ascii="宋体" w:hAnsi="宋体" w:cs="宋体"/>
          <w:color w:val="auto"/>
          <w:szCs w:val="21"/>
          <w:highlight w:val="none"/>
          <w:u w:val="single"/>
        </w:rPr>
        <w:t xml:space="preserve">        。</w:t>
      </w:r>
    </w:p>
    <w:p>
      <w:pPr>
        <w:spacing w:line="360" w:lineRule="auto"/>
        <w:ind w:firstLine="420"/>
        <w:rPr>
          <w:rFonts w:hint="eastAsia" w:ascii="宋体" w:hAnsi="宋体"/>
          <w:color w:val="auto"/>
          <w:szCs w:val="21"/>
          <w:highlight w:val="none"/>
        </w:rPr>
      </w:pPr>
      <w:r>
        <w:rPr>
          <w:rFonts w:hint="eastAsia" w:ascii="宋体" w:hAnsi="宋体"/>
          <w:color w:val="auto"/>
          <w:szCs w:val="21"/>
          <w:highlight w:val="none"/>
        </w:rPr>
        <w:t>最终结算价格以相关机构审定（审核）结论为准。</w:t>
      </w:r>
    </w:p>
    <w:p>
      <w:pPr>
        <w:spacing w:before="120" w:beforeLines="50" w:after="120" w:afterLines="50" w:line="360" w:lineRule="auto"/>
        <w:ind w:left="482"/>
        <w:outlineLvl w:val="1"/>
        <w:rPr>
          <w:rFonts w:hint="eastAsia" w:ascii="宋体" w:hAnsi="宋体"/>
          <w:b/>
          <w:color w:val="auto"/>
          <w:sz w:val="30"/>
          <w:szCs w:val="30"/>
          <w:highlight w:val="none"/>
        </w:rPr>
      </w:pPr>
      <w:bookmarkStart w:id="90" w:name="_Toc69113915"/>
      <w:bookmarkStart w:id="91" w:name="_Toc3202"/>
      <w:bookmarkStart w:id="92" w:name="_Toc15257"/>
      <w:bookmarkStart w:id="93" w:name="_Toc517529702"/>
      <w:bookmarkStart w:id="94" w:name="_Toc27439"/>
      <w:bookmarkStart w:id="95" w:name="_Toc27271"/>
      <w:bookmarkStart w:id="96" w:name="_Toc29329"/>
      <w:bookmarkStart w:id="97" w:name="_Toc517528609"/>
      <w:bookmarkStart w:id="98" w:name="_Toc517530664"/>
      <w:bookmarkStart w:id="99" w:name="_Toc11342"/>
      <w:bookmarkStart w:id="100" w:name="_Toc26529"/>
      <w:bookmarkStart w:id="101" w:name="_Toc9066"/>
      <w:bookmarkStart w:id="102" w:name="_Toc16675"/>
      <w:bookmarkStart w:id="103" w:name="_Toc517531940"/>
      <w:r>
        <w:rPr>
          <w:rFonts w:hint="eastAsia" w:ascii="宋体" w:hAnsi="宋体"/>
          <w:b/>
          <w:color w:val="auto"/>
          <w:sz w:val="30"/>
          <w:szCs w:val="30"/>
          <w:highlight w:val="none"/>
        </w:rPr>
        <w:t>六、组成合同的文件</w:t>
      </w:r>
      <w:bookmarkEnd w:id="90"/>
      <w:bookmarkEnd w:id="91"/>
      <w:bookmarkEnd w:id="92"/>
      <w:bookmarkEnd w:id="93"/>
      <w:bookmarkEnd w:id="94"/>
      <w:bookmarkEnd w:id="95"/>
      <w:bookmarkEnd w:id="96"/>
      <w:bookmarkEnd w:id="97"/>
      <w:bookmarkEnd w:id="98"/>
      <w:bookmarkEnd w:id="99"/>
      <w:bookmarkEnd w:id="100"/>
      <w:bookmarkEnd w:id="101"/>
      <w:bookmarkEnd w:id="102"/>
      <w:bookmarkEnd w:id="103"/>
    </w:p>
    <w:p>
      <w:pPr>
        <w:spacing w:line="360" w:lineRule="auto"/>
        <w:ind w:firstLine="638" w:firstLineChars="304"/>
        <w:rPr>
          <w:rFonts w:hint="eastAsia" w:ascii="宋体" w:hAnsi="宋体"/>
          <w:color w:val="auto"/>
          <w:szCs w:val="21"/>
          <w:highlight w:val="none"/>
        </w:rPr>
      </w:pPr>
      <w:r>
        <w:rPr>
          <w:rFonts w:hint="eastAsia" w:ascii="宋体" w:hAnsi="宋体"/>
          <w:color w:val="auto"/>
          <w:szCs w:val="21"/>
          <w:highlight w:val="none"/>
        </w:rPr>
        <w:t>组成本合同的文件包括：</w:t>
      </w:r>
    </w:p>
    <w:p>
      <w:pPr>
        <w:spacing w:line="360" w:lineRule="auto"/>
        <w:ind w:left="420" w:leftChars="200"/>
        <w:jc w:val="left"/>
        <w:rPr>
          <w:rFonts w:hint="eastAsia" w:ascii="宋体" w:hAnsi="宋体" w:cs="宋体"/>
          <w:color w:val="auto"/>
          <w:szCs w:val="21"/>
          <w:highlight w:val="none"/>
        </w:rPr>
      </w:pPr>
      <w:r>
        <w:rPr>
          <w:rFonts w:hint="eastAsia" w:ascii="宋体" w:hAnsi="宋体" w:cs="宋体"/>
          <w:color w:val="auto"/>
          <w:szCs w:val="21"/>
          <w:highlight w:val="none"/>
        </w:rPr>
        <w:t>1.合同协议书及双方签认的补充协议；</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2.中标通知书（详见附件1）；</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3.投标函及其附件（含承包人在评标期间和合同谈判过程中递交和确认并经发包人</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同意的对有关问题的补充资料和澄清文件等，如果有）；</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4.招标文件中的投标报价规定；</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w:t>
      </w:r>
      <w:r>
        <w:rPr>
          <w:rFonts w:hint="eastAsia" w:ascii="宋体" w:hAnsi="宋体" w:cs="宋体"/>
          <w:color w:val="auto"/>
          <w:szCs w:val="21"/>
          <w:highlight w:val="none"/>
        </w:rPr>
        <w:t>补充合同条款；</w:t>
      </w:r>
    </w:p>
    <w:p>
      <w:pPr>
        <w:spacing w:line="360" w:lineRule="auto"/>
        <w:ind w:firstLine="420" w:firstLineChars="200"/>
        <w:jc w:val="left"/>
        <w:rPr>
          <w:rFonts w:hint="eastAsia" w:ascii="宋体" w:hAnsi="宋体" w:cs="宋体"/>
          <w:color w:val="auto"/>
          <w:szCs w:val="21"/>
          <w:highlight w:val="none"/>
        </w:rPr>
      </w:pPr>
      <w:r>
        <w:rPr>
          <w:rFonts w:ascii="宋体" w:hAnsi="宋体" w:cs="宋体"/>
          <w:color w:val="auto"/>
          <w:szCs w:val="21"/>
          <w:highlight w:val="none"/>
        </w:rPr>
        <w:t>6</w:t>
      </w:r>
      <w:r>
        <w:rPr>
          <w:rFonts w:hint="eastAsia" w:ascii="宋体" w:hAnsi="宋体" w:cs="宋体"/>
          <w:color w:val="auto"/>
          <w:szCs w:val="21"/>
          <w:highlight w:val="none"/>
        </w:rPr>
        <w:t>.专用合同条款及其附件（含招标文件补遗书中与此有关的部分，如果有）；</w:t>
      </w:r>
    </w:p>
    <w:p>
      <w:pPr>
        <w:spacing w:line="360" w:lineRule="auto"/>
        <w:ind w:firstLine="420" w:firstLineChars="200"/>
        <w:jc w:val="left"/>
        <w:rPr>
          <w:rFonts w:hint="eastAsia"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.通用合同条款；</w:t>
      </w:r>
    </w:p>
    <w:p>
      <w:pPr>
        <w:spacing w:line="360" w:lineRule="auto"/>
        <w:ind w:firstLine="420" w:firstLineChars="200"/>
        <w:jc w:val="left"/>
        <w:rPr>
          <w:rFonts w:hint="eastAsia" w:ascii="宋体" w:hAnsi="宋体" w:cs="宋体"/>
          <w:color w:val="auto"/>
          <w:szCs w:val="21"/>
          <w:highlight w:val="none"/>
        </w:rPr>
      </w:pPr>
      <w:r>
        <w:rPr>
          <w:rFonts w:ascii="宋体" w:hAnsi="宋体" w:cs="宋体"/>
          <w:color w:val="auto"/>
          <w:szCs w:val="21"/>
          <w:highlight w:val="none"/>
        </w:rPr>
        <w:t>8</w:t>
      </w:r>
      <w:r>
        <w:rPr>
          <w:rFonts w:hint="eastAsia" w:ascii="宋体" w:hAnsi="宋体" w:cs="宋体"/>
          <w:color w:val="auto"/>
          <w:szCs w:val="21"/>
          <w:highlight w:val="none"/>
        </w:rPr>
        <w:t>.技术标准和规范（含招标文件补遗书中与此有关的部分，如果有）；</w:t>
      </w:r>
    </w:p>
    <w:p>
      <w:pPr>
        <w:spacing w:line="360" w:lineRule="auto"/>
        <w:ind w:firstLine="420" w:firstLineChars="200"/>
        <w:jc w:val="left"/>
        <w:rPr>
          <w:rFonts w:hint="eastAsia" w:ascii="宋体" w:hAnsi="宋体" w:cs="宋体"/>
          <w:color w:val="auto"/>
          <w:szCs w:val="21"/>
          <w:highlight w:val="none"/>
        </w:rPr>
      </w:pPr>
      <w:r>
        <w:rPr>
          <w:rFonts w:ascii="宋体" w:hAnsi="宋体" w:cs="宋体"/>
          <w:color w:val="auto"/>
          <w:szCs w:val="21"/>
          <w:highlight w:val="none"/>
        </w:rPr>
        <w:t>9</w:t>
      </w:r>
      <w:r>
        <w:rPr>
          <w:rFonts w:hint="eastAsia" w:ascii="宋体" w:hAnsi="宋体" w:cs="宋体"/>
          <w:color w:val="auto"/>
          <w:szCs w:val="21"/>
          <w:highlight w:val="none"/>
        </w:rPr>
        <w:t>.图纸（含招标文件补遗书中与此有关的部分，如果有）；</w:t>
      </w:r>
    </w:p>
    <w:p>
      <w:pPr>
        <w:spacing w:line="360" w:lineRule="auto"/>
        <w:ind w:firstLine="420" w:firstLineChars="200"/>
        <w:jc w:val="left"/>
        <w:rPr>
          <w:rFonts w:hint="eastAsia" w:ascii="宋体" w:hAnsi="宋体" w:cs="宋体"/>
          <w:color w:val="auto"/>
          <w:szCs w:val="21"/>
          <w:highlight w:val="none"/>
        </w:rPr>
      </w:pPr>
      <w:r>
        <w:rPr>
          <w:rFonts w:ascii="宋体" w:hAnsi="宋体" w:cs="宋体"/>
          <w:color w:val="auto"/>
          <w:szCs w:val="21"/>
          <w:highlight w:val="none"/>
        </w:rPr>
        <w:t>10</w:t>
      </w:r>
      <w:r>
        <w:rPr>
          <w:rFonts w:hint="eastAsia" w:ascii="宋体" w:hAnsi="宋体" w:cs="宋体"/>
          <w:color w:val="auto"/>
          <w:szCs w:val="21"/>
          <w:highlight w:val="none"/>
        </w:rPr>
        <w:t>.标价的工程量清单；</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1</w:t>
      </w:r>
      <w:r>
        <w:rPr>
          <w:rFonts w:hint="eastAsia" w:ascii="宋体" w:hAnsi="宋体" w:cs="宋体"/>
          <w:color w:val="auto"/>
          <w:szCs w:val="21"/>
          <w:highlight w:val="none"/>
        </w:rPr>
        <w:t>.工程质量保修书；</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2</w:t>
      </w:r>
      <w:r>
        <w:rPr>
          <w:rFonts w:hint="eastAsia" w:ascii="宋体" w:hAnsi="宋体" w:cs="宋体"/>
          <w:color w:val="auto"/>
          <w:szCs w:val="21"/>
          <w:highlight w:val="none"/>
        </w:rPr>
        <w:t>.</w:t>
      </w:r>
      <w:r>
        <w:rPr>
          <w:rFonts w:hint="eastAsia"/>
          <w:color w:val="auto"/>
          <w:highlight w:val="none"/>
        </w:rPr>
        <w:t xml:space="preserve"> 发包人和承包人双方签认的有关本工程的变更、签证、洽商、索赔、询价采购凭证等书面文件及组成合同的其他文件。</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上述各项合同文件包括合同当事人就该项合同文件所作出的补充和修改，属于同一类内容的文件，应以双方协商一致且最新签署的为准。专用条款及其附件、补充条款及其附件（如果有）须经合同当事人签字或盖章。</w:t>
      </w:r>
    </w:p>
    <w:p>
      <w:pPr>
        <w:spacing w:before="120" w:beforeLines="50" w:after="120" w:afterLines="50" w:line="360" w:lineRule="auto"/>
        <w:ind w:left="482"/>
        <w:outlineLvl w:val="1"/>
        <w:rPr>
          <w:rFonts w:hint="eastAsia" w:ascii="宋体" w:hAnsi="宋体"/>
          <w:b/>
          <w:color w:val="auto"/>
          <w:sz w:val="30"/>
          <w:szCs w:val="30"/>
          <w:highlight w:val="none"/>
        </w:rPr>
      </w:pPr>
      <w:bookmarkStart w:id="104" w:name="_Toc6612"/>
      <w:bookmarkStart w:id="105" w:name="_Toc22445"/>
      <w:bookmarkStart w:id="106" w:name="_Toc2121"/>
      <w:bookmarkStart w:id="107" w:name="_Toc20138"/>
      <w:bookmarkStart w:id="108" w:name="_Toc21276"/>
      <w:bookmarkStart w:id="109" w:name="_Toc517528610"/>
      <w:bookmarkStart w:id="110" w:name="_Toc517529703"/>
      <w:bookmarkStart w:id="111" w:name="_Toc517531941"/>
      <w:bookmarkStart w:id="112" w:name="_Toc8203"/>
      <w:bookmarkStart w:id="113" w:name="_Toc21958"/>
      <w:bookmarkStart w:id="114" w:name="_Toc16920"/>
      <w:bookmarkStart w:id="115" w:name="_Toc517530665"/>
      <w:bookmarkStart w:id="116" w:name="_Toc5435"/>
      <w:bookmarkStart w:id="117" w:name="_Toc69113916"/>
      <w:r>
        <w:rPr>
          <w:rFonts w:hint="eastAsia" w:ascii="宋体" w:hAnsi="宋体"/>
          <w:b/>
          <w:color w:val="auto"/>
          <w:sz w:val="30"/>
          <w:szCs w:val="30"/>
          <w:highlight w:val="none"/>
        </w:rPr>
        <w:t>七、词语含义</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pPr>
        <w:spacing w:line="360" w:lineRule="auto"/>
        <w:ind w:firstLine="638" w:firstLineChars="304"/>
        <w:rPr>
          <w:rFonts w:hint="eastAsia" w:ascii="宋体" w:hAnsi="宋体"/>
          <w:bCs/>
          <w:color w:val="auto"/>
          <w:szCs w:val="21"/>
          <w:highlight w:val="none"/>
        </w:rPr>
      </w:pPr>
      <w:r>
        <w:rPr>
          <w:rFonts w:hint="eastAsia" w:ascii="宋体" w:hAnsi="宋体"/>
          <w:bCs/>
          <w:color w:val="auto"/>
          <w:szCs w:val="21"/>
          <w:highlight w:val="none"/>
        </w:rPr>
        <w:t>本协议中有关词语含义与《通用合同条款》《专用合同条款》定义相同。</w:t>
      </w:r>
    </w:p>
    <w:p>
      <w:pPr>
        <w:spacing w:before="120" w:beforeLines="50" w:after="120" w:afterLines="50" w:line="360" w:lineRule="auto"/>
        <w:ind w:left="482"/>
        <w:outlineLvl w:val="1"/>
        <w:rPr>
          <w:rFonts w:hint="eastAsia" w:ascii="宋体" w:hAnsi="宋体"/>
          <w:b/>
          <w:color w:val="auto"/>
          <w:sz w:val="30"/>
          <w:szCs w:val="30"/>
          <w:highlight w:val="none"/>
        </w:rPr>
      </w:pPr>
      <w:bookmarkStart w:id="118" w:name="_Toc14828"/>
      <w:bookmarkStart w:id="119" w:name="_Toc19946"/>
      <w:bookmarkStart w:id="120" w:name="_Toc26736"/>
      <w:bookmarkStart w:id="121" w:name="_Toc517530666"/>
      <w:bookmarkStart w:id="122" w:name="_Toc16804"/>
      <w:bookmarkStart w:id="123" w:name="_Toc1683"/>
      <w:bookmarkStart w:id="124" w:name="_Toc20146"/>
      <w:bookmarkStart w:id="125" w:name="_Toc31334"/>
      <w:bookmarkStart w:id="126" w:name="_Toc26761"/>
      <w:bookmarkStart w:id="127" w:name="_Toc517529704"/>
      <w:bookmarkStart w:id="128" w:name="_Toc517528611"/>
      <w:bookmarkStart w:id="129" w:name="_Toc26635"/>
      <w:bookmarkStart w:id="130" w:name="_Toc517531942"/>
      <w:bookmarkStart w:id="131" w:name="_Toc69113917"/>
      <w:r>
        <w:rPr>
          <w:rFonts w:hint="eastAsia" w:ascii="宋体" w:hAnsi="宋体"/>
          <w:b/>
          <w:color w:val="auto"/>
          <w:sz w:val="30"/>
          <w:szCs w:val="30"/>
          <w:highlight w:val="none"/>
        </w:rPr>
        <w:t>八、双方承诺</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pPr>
        <w:spacing w:line="360" w:lineRule="auto"/>
        <w:ind w:firstLine="480"/>
        <w:rPr>
          <w:rFonts w:hint="eastAsia" w:ascii="宋体" w:hAnsi="宋体"/>
          <w:color w:val="auto"/>
          <w:szCs w:val="21"/>
          <w:highlight w:val="none"/>
        </w:rPr>
      </w:pPr>
      <w:r>
        <w:rPr>
          <w:rFonts w:hint="eastAsia" w:ascii="宋体" w:hAnsi="宋体"/>
          <w:color w:val="auto"/>
          <w:szCs w:val="21"/>
          <w:highlight w:val="none"/>
        </w:rPr>
        <w:t>1、承包人向发包人承诺，按照合同约定进行施工、竣工，并在质量保修期内承担工程质量保修责任，并履行本合同所约定的全部义务。</w:t>
      </w:r>
    </w:p>
    <w:p>
      <w:pPr>
        <w:spacing w:line="360" w:lineRule="auto"/>
        <w:ind w:firstLine="480"/>
        <w:rPr>
          <w:rFonts w:hint="eastAsia" w:ascii="宋体" w:hAnsi="宋体"/>
          <w:color w:val="auto"/>
          <w:szCs w:val="21"/>
          <w:highlight w:val="none"/>
        </w:rPr>
      </w:pPr>
      <w:r>
        <w:rPr>
          <w:rFonts w:hint="eastAsia" w:ascii="宋体" w:hAnsi="宋体"/>
          <w:color w:val="auto"/>
          <w:szCs w:val="21"/>
          <w:highlight w:val="none"/>
        </w:rPr>
        <w:t>2、发包人向承包人承诺，按照合同约定的期限和方式支付合同价款及其他应当支付的款项，并履行本合同所约定的全部义务。</w:t>
      </w:r>
    </w:p>
    <w:p>
      <w:pPr>
        <w:spacing w:before="120" w:beforeLines="50" w:after="120" w:afterLines="50" w:line="360" w:lineRule="auto"/>
        <w:ind w:left="482"/>
        <w:outlineLvl w:val="1"/>
        <w:rPr>
          <w:rFonts w:hint="eastAsia" w:ascii="宋体" w:hAnsi="宋体"/>
          <w:b/>
          <w:color w:val="auto"/>
          <w:sz w:val="30"/>
          <w:szCs w:val="30"/>
          <w:highlight w:val="none"/>
        </w:rPr>
      </w:pPr>
      <w:bookmarkStart w:id="132" w:name="_Toc517530667"/>
      <w:bookmarkStart w:id="133" w:name="_Toc31832"/>
      <w:bookmarkStart w:id="134" w:name="_Toc4480"/>
      <w:bookmarkStart w:id="135" w:name="_Toc6181"/>
      <w:bookmarkStart w:id="136" w:name="_Toc15014"/>
      <w:bookmarkStart w:id="137" w:name="_Toc517528612"/>
      <w:bookmarkStart w:id="138" w:name="_Toc517529705"/>
      <w:bookmarkStart w:id="139" w:name="_Toc69113918"/>
      <w:bookmarkStart w:id="140" w:name="_Toc23902"/>
      <w:bookmarkStart w:id="141" w:name="_Toc18116"/>
      <w:bookmarkStart w:id="142" w:name="_Toc13312"/>
      <w:bookmarkStart w:id="143" w:name="_Toc12745"/>
      <w:bookmarkStart w:id="144" w:name="_Toc31258"/>
      <w:bookmarkStart w:id="145" w:name="_Toc517531943"/>
      <w:r>
        <w:rPr>
          <w:rFonts w:hint="eastAsia" w:ascii="宋体" w:hAnsi="宋体"/>
          <w:b/>
          <w:color w:val="auto"/>
          <w:sz w:val="30"/>
          <w:szCs w:val="30"/>
          <w:highlight w:val="none"/>
        </w:rPr>
        <w:t>九、合同份数</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pPr>
        <w:spacing w:line="360" w:lineRule="auto"/>
        <w:ind w:firstLine="480"/>
        <w:rPr>
          <w:rFonts w:hint="eastAsia"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 xml:space="preserve">    </w:t>
      </w:r>
      <w:r>
        <w:rPr>
          <w:rFonts w:hint="eastAsia" w:ascii="宋体" w:hAnsi="宋体"/>
          <w:color w:val="auto"/>
          <w:szCs w:val="21"/>
          <w:highlight w:val="none"/>
        </w:rPr>
        <w:t>份，正本</w:t>
      </w:r>
      <w:r>
        <w:rPr>
          <w:rFonts w:hint="eastAsia" w:ascii="宋体" w:hAnsi="宋体"/>
          <w:color w:val="auto"/>
          <w:szCs w:val="21"/>
          <w:highlight w:val="none"/>
          <w:u w:val="single"/>
        </w:rPr>
        <w:t xml:space="preserve">    </w:t>
      </w:r>
      <w:r>
        <w:rPr>
          <w:rFonts w:hint="eastAsia" w:ascii="宋体" w:hAnsi="宋体"/>
          <w:color w:val="auto"/>
          <w:szCs w:val="21"/>
          <w:highlight w:val="none"/>
        </w:rPr>
        <w:t>份，发包人</w:t>
      </w:r>
      <w:r>
        <w:rPr>
          <w:rFonts w:hint="eastAsia" w:ascii="宋体" w:hAnsi="宋体"/>
          <w:color w:val="auto"/>
          <w:szCs w:val="21"/>
          <w:highlight w:val="none"/>
          <w:u w:val="single"/>
        </w:rPr>
        <w:t xml:space="preserve">    </w:t>
      </w:r>
      <w:r>
        <w:rPr>
          <w:rFonts w:hint="eastAsia" w:ascii="宋体" w:hAnsi="宋体"/>
          <w:color w:val="auto"/>
          <w:szCs w:val="21"/>
          <w:highlight w:val="none"/>
        </w:rPr>
        <w:t>份，承包人</w:t>
      </w:r>
      <w:r>
        <w:rPr>
          <w:rFonts w:hint="eastAsia" w:ascii="宋体" w:hAnsi="宋体"/>
          <w:color w:val="auto"/>
          <w:szCs w:val="21"/>
          <w:highlight w:val="none"/>
          <w:u w:val="single"/>
        </w:rPr>
        <w:t xml:space="preserve">    </w:t>
      </w:r>
      <w:r>
        <w:rPr>
          <w:rFonts w:hint="eastAsia" w:ascii="宋体" w:hAnsi="宋体"/>
          <w:color w:val="auto"/>
          <w:szCs w:val="21"/>
          <w:highlight w:val="none"/>
        </w:rPr>
        <w:t>份，副本</w:t>
      </w:r>
      <w:r>
        <w:rPr>
          <w:rFonts w:hint="eastAsia" w:ascii="宋体" w:hAnsi="宋体"/>
          <w:color w:val="auto"/>
          <w:szCs w:val="21"/>
          <w:highlight w:val="none"/>
          <w:u w:val="single"/>
        </w:rPr>
        <w:t xml:space="preserve">                </w:t>
      </w:r>
      <w:r>
        <w:rPr>
          <w:rFonts w:hint="eastAsia" w:ascii="宋体" w:hAnsi="宋体"/>
          <w:color w:val="auto"/>
          <w:szCs w:val="21"/>
          <w:highlight w:val="none"/>
        </w:rPr>
        <w:t>份，发包人</w:t>
      </w:r>
      <w:r>
        <w:rPr>
          <w:rFonts w:hint="eastAsia" w:ascii="宋体" w:hAnsi="宋体"/>
          <w:color w:val="auto"/>
          <w:szCs w:val="21"/>
          <w:highlight w:val="none"/>
          <w:u w:val="single"/>
        </w:rPr>
        <w:t xml:space="preserve">    </w:t>
      </w:r>
      <w:r>
        <w:rPr>
          <w:rFonts w:hint="eastAsia" w:ascii="宋体" w:hAnsi="宋体"/>
          <w:color w:val="auto"/>
          <w:szCs w:val="21"/>
          <w:highlight w:val="none"/>
        </w:rPr>
        <w:t>份，承包人</w:t>
      </w:r>
      <w:r>
        <w:rPr>
          <w:rFonts w:hint="eastAsia" w:ascii="宋体" w:hAnsi="宋体"/>
          <w:color w:val="auto"/>
          <w:szCs w:val="21"/>
          <w:highlight w:val="none"/>
          <w:u w:val="single"/>
        </w:rPr>
        <w:t xml:space="preserve">    </w:t>
      </w:r>
      <w:r>
        <w:rPr>
          <w:rFonts w:hint="eastAsia" w:ascii="宋体" w:hAnsi="宋体"/>
          <w:color w:val="auto"/>
          <w:szCs w:val="21"/>
          <w:highlight w:val="none"/>
        </w:rPr>
        <w:t>份。</w:t>
      </w:r>
    </w:p>
    <w:p>
      <w:pPr>
        <w:spacing w:before="120" w:beforeLines="50" w:after="120" w:afterLines="50" w:line="360" w:lineRule="auto"/>
        <w:ind w:left="482"/>
        <w:outlineLvl w:val="1"/>
        <w:rPr>
          <w:rFonts w:hint="eastAsia" w:ascii="宋体" w:hAnsi="宋体"/>
          <w:b/>
          <w:color w:val="auto"/>
          <w:sz w:val="30"/>
          <w:szCs w:val="30"/>
          <w:highlight w:val="none"/>
        </w:rPr>
      </w:pPr>
      <w:bookmarkStart w:id="146" w:name="_Toc29683"/>
      <w:bookmarkStart w:id="147" w:name="_Toc517530668"/>
      <w:bookmarkStart w:id="148" w:name="_Toc517531944"/>
      <w:bookmarkStart w:id="149" w:name="_Toc7987"/>
      <w:bookmarkStart w:id="150" w:name="_Toc517528613"/>
      <w:bookmarkStart w:id="151" w:name="_Toc3560"/>
      <w:bookmarkStart w:id="152" w:name="_Toc20562"/>
      <w:bookmarkStart w:id="153" w:name="_Toc9479"/>
      <w:bookmarkStart w:id="154" w:name="_Toc9526"/>
      <w:bookmarkStart w:id="155" w:name="_Toc22029"/>
      <w:bookmarkStart w:id="156" w:name="_Toc23161"/>
      <w:bookmarkStart w:id="157" w:name="_Toc69113919"/>
      <w:bookmarkStart w:id="158" w:name="_Toc517529706"/>
      <w:bookmarkStart w:id="159" w:name="_Toc4678"/>
      <w:r>
        <w:rPr>
          <w:rFonts w:hint="eastAsia" w:ascii="宋体" w:hAnsi="宋体"/>
          <w:b/>
          <w:color w:val="auto"/>
          <w:sz w:val="30"/>
          <w:szCs w:val="30"/>
          <w:highlight w:val="none"/>
        </w:rPr>
        <w:t>十、合同生效</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本合同经双方法定代表人或其委托代理人签署并加盖公章后生效。</w:t>
      </w:r>
    </w:p>
    <w:p>
      <w:pPr>
        <w:spacing w:line="360" w:lineRule="auto"/>
        <w:ind w:firstLine="420" w:firstLineChars="200"/>
        <w:rPr>
          <w:rFonts w:hint="eastAsia" w:ascii="宋体" w:hAnsi="宋体"/>
          <w:color w:val="auto"/>
          <w:szCs w:val="21"/>
          <w:highlight w:val="none"/>
        </w:rPr>
      </w:pP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发  包  人：（公章）                    承  包  人：（公章）</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住      所：                           住      所：</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法定代表人：                           法定代表人：</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委托代理人：                           委托代理人：</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电      话：                           电      话：</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传      真：                           传      真：</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开 户 银 行：                          开 户 银 行：</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账      号：                           账      号：</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邮 政 编 码：                          邮 政 编 码：</w:t>
      </w:r>
    </w:p>
    <w:p>
      <w:pPr>
        <w:spacing w:line="360" w:lineRule="auto"/>
        <w:ind w:firstLine="420" w:firstLineChars="200"/>
        <w:rPr>
          <w:rFonts w:hint="eastAsia" w:ascii="宋体" w:hAnsi="宋体"/>
          <w:color w:val="auto"/>
          <w:szCs w:val="21"/>
          <w:highlight w:val="none"/>
          <w:u w:val="single"/>
        </w:rPr>
      </w:pPr>
      <w:r>
        <w:rPr>
          <w:rFonts w:hint="eastAsia" w:ascii="宋体" w:hAnsi="宋体"/>
          <w:color w:val="auto"/>
          <w:szCs w:val="21"/>
          <w:highlight w:val="none"/>
          <w:u w:val="single"/>
        </w:rPr>
        <w:t xml:space="preserve">                                                                   </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备案意见：</w:t>
      </w:r>
    </w:p>
    <w:p>
      <w:pPr>
        <w:spacing w:line="360" w:lineRule="auto"/>
        <w:ind w:firstLine="420" w:firstLineChars="200"/>
        <w:jc w:val="center"/>
        <w:rPr>
          <w:rFonts w:hint="eastAsia" w:ascii="宋体" w:hAnsi="宋体"/>
          <w:color w:val="auto"/>
          <w:szCs w:val="21"/>
          <w:highlight w:val="none"/>
        </w:rPr>
      </w:pPr>
      <w:r>
        <w:rPr>
          <w:rFonts w:hint="eastAsia" w:ascii="宋体" w:hAnsi="宋体"/>
          <w:color w:val="auto"/>
          <w:szCs w:val="21"/>
          <w:highlight w:val="none"/>
        </w:rPr>
        <w:t xml:space="preserve">                                           经 办 人：</w:t>
      </w:r>
    </w:p>
    <w:p>
      <w:pPr>
        <w:spacing w:line="360" w:lineRule="auto"/>
        <w:ind w:firstLine="420" w:firstLineChars="200"/>
        <w:jc w:val="right"/>
        <w:rPr>
          <w:rFonts w:hint="eastAsia" w:ascii="宋体" w:hAnsi="宋体"/>
          <w:color w:val="auto"/>
          <w:szCs w:val="21"/>
          <w:highlight w:val="none"/>
        </w:rPr>
      </w:pPr>
      <w:r>
        <w:rPr>
          <w:rFonts w:hint="eastAsia" w:ascii="宋体" w:hAnsi="宋体"/>
          <w:color w:val="auto"/>
          <w:szCs w:val="21"/>
          <w:highlight w:val="none"/>
        </w:rPr>
        <w:t>备案机构（公章）</w:t>
      </w:r>
    </w:p>
    <w:p>
      <w:pPr>
        <w:pStyle w:val="12"/>
        <w:spacing w:before="120" w:beforeLines="50" w:line="360" w:lineRule="auto"/>
        <w:jc w:val="left"/>
        <w:rPr>
          <w:rFonts w:hint="eastAsia" w:ascii="宋体" w:hAnsi="宋体"/>
          <w:color w:val="auto"/>
          <w:szCs w:val="21"/>
          <w:highlight w:val="none"/>
        </w:rPr>
      </w:pPr>
      <w:r>
        <w:rPr>
          <w:rFonts w:hint="eastAsia" w:ascii="宋体" w:hAnsi="宋体"/>
          <w:color w:val="auto"/>
          <w:szCs w:val="21"/>
          <w:highlight w:val="none"/>
        </w:rPr>
        <w:t xml:space="preserve">年    月    日 </w:t>
      </w:r>
      <w:bookmarkStart w:id="160" w:name="_Toc303538975"/>
      <w:bookmarkEnd w:id="160"/>
      <w:bookmarkStart w:id="161" w:name="_Toc303538973"/>
      <w:bookmarkEnd w:id="161"/>
      <w:bookmarkStart w:id="162" w:name="_Toc303538976"/>
      <w:bookmarkEnd w:id="162"/>
      <w:bookmarkStart w:id="163" w:name="_Toc303538974"/>
      <w:bookmarkEnd w:id="163"/>
      <w:bookmarkStart w:id="164" w:name="_Toc303538972"/>
      <w:bookmarkEnd w:id="164"/>
    </w:p>
    <w:p>
      <w:pPr>
        <w:pStyle w:val="12"/>
        <w:spacing w:before="120" w:beforeLines="50" w:line="360" w:lineRule="auto"/>
        <w:jc w:val="left"/>
        <w:rPr>
          <w:rFonts w:hint="eastAsia" w:ascii="宋体" w:hAnsi="宋体"/>
          <w:color w:val="auto"/>
          <w:szCs w:val="21"/>
          <w:highlight w:val="none"/>
        </w:rPr>
      </w:pPr>
    </w:p>
    <w:p>
      <w:pPr>
        <w:pStyle w:val="12"/>
        <w:spacing w:before="120" w:beforeLines="50" w:line="360" w:lineRule="auto"/>
        <w:jc w:val="left"/>
        <w:rPr>
          <w:rFonts w:hint="eastAsia" w:ascii="宋体" w:hAnsi="宋体"/>
          <w:color w:val="auto"/>
          <w:szCs w:val="21"/>
          <w:highlight w:val="none"/>
        </w:rPr>
      </w:pPr>
    </w:p>
    <w:p>
      <w:pPr>
        <w:pStyle w:val="12"/>
        <w:spacing w:before="120" w:beforeLines="50" w:line="360" w:lineRule="auto"/>
        <w:jc w:val="left"/>
        <w:rPr>
          <w:rFonts w:hint="eastAsia" w:ascii="宋体" w:hAnsi="宋体"/>
          <w:color w:val="auto"/>
          <w:szCs w:val="21"/>
          <w:highlight w:val="none"/>
        </w:rPr>
      </w:pPr>
    </w:p>
    <w:p>
      <w:pPr>
        <w:pStyle w:val="12"/>
        <w:spacing w:before="120" w:beforeLines="50" w:line="360" w:lineRule="auto"/>
        <w:ind w:firstLine="0"/>
        <w:jc w:val="left"/>
        <w:rPr>
          <w:rFonts w:hint="eastAsia" w:ascii="宋体" w:hAnsi="宋体"/>
          <w:color w:val="auto"/>
          <w:szCs w:val="21"/>
          <w:highlight w:val="none"/>
        </w:rPr>
      </w:pPr>
    </w:p>
    <w:p>
      <w:pPr>
        <w:pStyle w:val="3"/>
        <w:rPr>
          <w:rFonts w:hint="eastAsia" w:ascii="宋体"/>
          <w:b w:val="0"/>
          <w:bCs w:val="0"/>
          <w:color w:val="auto"/>
          <w:sz w:val="30"/>
          <w:szCs w:val="30"/>
          <w:highlight w:val="none"/>
        </w:rPr>
      </w:pPr>
      <w:bookmarkStart w:id="165" w:name="_Toc517528614"/>
      <w:bookmarkStart w:id="166" w:name="_Toc517529707"/>
      <w:bookmarkStart w:id="167" w:name="_Toc517531945"/>
      <w:bookmarkStart w:id="168" w:name="_Toc517530669"/>
      <w:r>
        <w:rPr>
          <w:rFonts w:ascii="宋体"/>
          <w:b w:val="0"/>
          <w:color w:val="auto"/>
          <w:sz w:val="30"/>
          <w:szCs w:val="30"/>
          <w:highlight w:val="none"/>
        </w:rPr>
        <w:br w:type="page"/>
      </w:r>
      <w:bookmarkStart w:id="169" w:name="_Toc69113920"/>
      <w:r>
        <w:rPr>
          <w:rFonts w:hint="eastAsia" w:ascii="宋体"/>
          <w:b w:val="0"/>
          <w:color w:val="auto"/>
          <w:sz w:val="30"/>
          <w:szCs w:val="30"/>
          <w:highlight w:val="none"/>
        </w:rPr>
        <w:t>协议书附件</w:t>
      </w:r>
      <w:bookmarkEnd w:id="165"/>
      <w:bookmarkEnd w:id="166"/>
      <w:bookmarkEnd w:id="167"/>
      <w:bookmarkEnd w:id="168"/>
      <w:bookmarkEnd w:id="169"/>
    </w:p>
    <w:p>
      <w:pPr>
        <w:jc w:val="left"/>
        <w:rPr>
          <w:rFonts w:ascii="宋体"/>
          <w:bCs/>
          <w:color w:val="auto"/>
          <w:sz w:val="28"/>
          <w:szCs w:val="28"/>
          <w:highlight w:val="none"/>
        </w:rPr>
      </w:pPr>
      <w:r>
        <w:rPr>
          <w:rFonts w:hint="eastAsia" w:ascii="宋体"/>
          <w:bCs/>
          <w:color w:val="auto"/>
          <w:sz w:val="28"/>
          <w:szCs w:val="28"/>
          <w:highlight w:val="none"/>
        </w:rPr>
        <w:t>附件1：中标通知书</w:t>
      </w:r>
    </w:p>
    <w:p>
      <w:pPr>
        <w:jc w:val="left"/>
        <w:rPr>
          <w:rFonts w:ascii="宋体"/>
          <w:bCs/>
          <w:color w:val="auto"/>
          <w:sz w:val="28"/>
          <w:szCs w:val="28"/>
          <w:highlight w:val="none"/>
        </w:rPr>
      </w:pPr>
      <w:r>
        <w:rPr>
          <w:rFonts w:ascii="黑体" w:eastAsia="黑体"/>
          <w:b/>
          <w:color w:val="auto"/>
          <w:sz w:val="44"/>
          <w:highlight w:val="none"/>
        </w:rPr>
        <w:br w:type="page"/>
      </w:r>
      <w:r>
        <w:rPr>
          <w:rFonts w:hint="eastAsia" w:ascii="宋体"/>
          <w:bCs/>
          <w:color w:val="auto"/>
          <w:sz w:val="28"/>
          <w:szCs w:val="28"/>
          <w:highlight w:val="none"/>
        </w:rPr>
        <w:t>附件2：（以下格式仅为示例）</w:t>
      </w:r>
    </w:p>
    <w:p>
      <w:pPr>
        <w:spacing w:line="360" w:lineRule="auto"/>
        <w:jc w:val="center"/>
        <w:rPr>
          <w:rFonts w:ascii="黑体" w:eastAsia="黑体"/>
          <w:b/>
          <w:color w:val="auto"/>
          <w:sz w:val="44"/>
          <w:highlight w:val="none"/>
        </w:rPr>
      </w:pPr>
      <w:r>
        <w:rPr>
          <w:rFonts w:hint="eastAsia" w:ascii="黑体" w:eastAsia="黑体"/>
          <w:b/>
          <w:color w:val="auto"/>
          <w:sz w:val="44"/>
          <w:highlight w:val="none"/>
        </w:rPr>
        <w:t>不可撤销履约保函</w:t>
      </w:r>
    </w:p>
    <w:p>
      <w:pPr>
        <w:pStyle w:val="16"/>
        <w:jc w:val="left"/>
        <w:rPr>
          <w:color w:val="auto"/>
          <w:highlight w:val="none"/>
        </w:rPr>
      </w:pPr>
    </w:p>
    <w:p>
      <w:pPr>
        <w:pStyle w:val="16"/>
        <w:ind w:firstLine="5500" w:firstLineChars="2750"/>
        <w:jc w:val="left"/>
        <w:rPr>
          <w:color w:val="auto"/>
          <w:highlight w:val="none"/>
        </w:rPr>
      </w:pPr>
      <w:r>
        <w:rPr>
          <w:rFonts w:hint="eastAsia"/>
          <w:color w:val="auto"/>
          <w:highlight w:val="none"/>
        </w:rPr>
        <w:t>编号：</w:t>
      </w:r>
    </w:p>
    <w:p>
      <w:pPr>
        <w:pStyle w:val="16"/>
        <w:jc w:val="left"/>
        <w:rPr>
          <w:color w:val="auto"/>
          <w:highlight w:val="none"/>
        </w:rPr>
      </w:pPr>
      <w:r>
        <w:rPr>
          <w:rFonts w:hint="eastAsia"/>
          <w:color w:val="auto"/>
          <w:highlight w:val="none"/>
        </w:rPr>
        <w:t>致：</w:t>
      </w:r>
      <w:r>
        <w:rPr>
          <w:rFonts w:hint="eastAsia"/>
          <w:color w:val="auto"/>
          <w:highlight w:val="none"/>
          <w:u w:val="single"/>
        </w:rPr>
        <w:t xml:space="preserve">            </w:t>
      </w:r>
      <w:r>
        <w:rPr>
          <w:rFonts w:hint="eastAsia"/>
          <w:color w:val="auto"/>
          <w:highlight w:val="none"/>
        </w:rPr>
        <w:t>（下称受益人）</w:t>
      </w:r>
    </w:p>
    <w:p>
      <w:pPr>
        <w:pStyle w:val="16"/>
        <w:ind w:firstLine="400" w:firstLineChars="200"/>
        <w:jc w:val="left"/>
        <w:rPr>
          <w:color w:val="auto"/>
          <w:highlight w:val="none"/>
        </w:rPr>
      </w:pPr>
      <w:r>
        <w:rPr>
          <w:rFonts w:hint="eastAsia"/>
          <w:color w:val="auto"/>
          <w:highlight w:val="none"/>
        </w:rPr>
        <w:t>鉴于受益人</w:t>
      </w:r>
      <w:r>
        <w:rPr>
          <w:rFonts w:hint="eastAsia"/>
          <w:color w:val="auto"/>
          <w:highlight w:val="none"/>
          <w:u w:val="single"/>
        </w:rPr>
        <w:t xml:space="preserve">          </w:t>
      </w:r>
      <w:r>
        <w:rPr>
          <w:rFonts w:hint="eastAsia"/>
          <w:color w:val="auto"/>
          <w:highlight w:val="none"/>
        </w:rPr>
        <w:t>（地址：联系电话：）拟（已）与</w:t>
      </w:r>
      <w:r>
        <w:rPr>
          <w:rFonts w:hint="eastAsia"/>
          <w:color w:val="auto"/>
          <w:highlight w:val="none"/>
          <w:u w:val="single"/>
        </w:rPr>
        <w:t xml:space="preserve">      </w:t>
      </w:r>
      <w:r>
        <w:rPr>
          <w:rFonts w:hint="eastAsia"/>
          <w:color w:val="auto"/>
          <w:highlight w:val="none"/>
        </w:rPr>
        <w:t>（下称被保证人）签订一份编号为</w:t>
      </w:r>
      <w:r>
        <w:rPr>
          <w:rFonts w:hint="eastAsia"/>
          <w:color w:val="auto"/>
          <w:highlight w:val="none"/>
          <w:u w:val="single"/>
        </w:rPr>
        <w:t xml:space="preserve">          </w:t>
      </w:r>
      <w:r>
        <w:rPr>
          <w:rFonts w:hint="eastAsia"/>
          <w:color w:val="auto"/>
          <w:highlight w:val="none"/>
        </w:rPr>
        <w:t>的</w:t>
      </w:r>
      <w:r>
        <w:rPr>
          <w:rFonts w:hint="eastAsia"/>
          <w:color w:val="auto"/>
          <w:highlight w:val="none"/>
          <w:u w:val="single"/>
        </w:rPr>
        <w:t xml:space="preserve">          </w:t>
      </w:r>
      <w:r>
        <w:rPr>
          <w:rFonts w:hint="eastAsia"/>
          <w:color w:val="auto"/>
          <w:highlight w:val="none"/>
        </w:rPr>
        <w:t>（以下简称合同），工期自</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日至</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年</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月</w:t>
      </w:r>
      <w:r>
        <w:rPr>
          <w:rFonts w:hint="eastAsia"/>
          <w:color w:val="auto"/>
          <w:highlight w:val="none"/>
          <w:u w:val="single"/>
        </w:rPr>
        <w:t xml:space="preserve">    </w:t>
      </w:r>
      <w:r>
        <w:rPr>
          <w:rFonts w:hint="eastAsia"/>
          <w:color w:val="auto"/>
          <w:highlight w:val="none"/>
        </w:rPr>
        <w:t>日。</w:t>
      </w:r>
    </w:p>
    <w:p>
      <w:pPr>
        <w:pStyle w:val="16"/>
        <w:ind w:firstLine="400" w:firstLineChars="200"/>
        <w:jc w:val="left"/>
        <w:rPr>
          <w:color w:val="auto"/>
          <w:highlight w:val="none"/>
        </w:rPr>
      </w:pPr>
      <w:r>
        <w:rPr>
          <w:rFonts w:hint="eastAsia"/>
          <w:color w:val="auto"/>
          <w:highlight w:val="none"/>
        </w:rPr>
        <w:t>我行接受被保证人的委托，在此向受益人提供不可撤销履约保证，最高担保金额为：人民币（大写）</w:t>
      </w:r>
      <w:r>
        <w:rPr>
          <w:rFonts w:hint="eastAsia"/>
          <w:color w:val="auto"/>
          <w:highlight w:val="none"/>
          <w:u w:val="single"/>
        </w:rPr>
        <w:t xml:space="preserve">          万元</w:t>
      </w:r>
      <w:r>
        <w:rPr>
          <w:rFonts w:hint="eastAsia"/>
          <w:color w:val="auto"/>
          <w:highlight w:val="none"/>
        </w:rPr>
        <w:t>（小写）</w:t>
      </w:r>
      <w:r>
        <w:rPr>
          <w:rFonts w:hint="eastAsia"/>
          <w:color w:val="auto"/>
          <w:highlight w:val="none"/>
          <w:u w:val="single"/>
        </w:rPr>
        <w:t xml:space="preserve">          万元</w:t>
      </w:r>
      <w:r>
        <w:rPr>
          <w:rFonts w:hint="eastAsia"/>
          <w:color w:val="auto"/>
          <w:highlight w:val="none"/>
        </w:rPr>
        <w:t>。</w:t>
      </w:r>
    </w:p>
    <w:p>
      <w:pPr>
        <w:pStyle w:val="16"/>
        <w:ind w:firstLine="400" w:firstLineChars="200"/>
        <w:jc w:val="left"/>
        <w:rPr>
          <w:color w:val="auto"/>
          <w:highlight w:val="none"/>
        </w:rPr>
      </w:pPr>
      <w:r>
        <w:rPr>
          <w:rFonts w:hint="eastAsia"/>
          <w:color w:val="auto"/>
          <w:highlight w:val="none"/>
        </w:rPr>
        <w:t>我行保证：如被保证人未能履约与受益人签订的上述合同时，我行在收到加盖受益人公章的索赔通知书（索</w:t>
      </w:r>
      <w:r>
        <w:rPr>
          <w:rFonts w:hint="eastAsia" w:hAnsi="宋体"/>
          <w:color w:val="auto"/>
          <w:highlight w:val="none"/>
        </w:rPr>
        <w:t>赔通知书必须说明：</w:t>
      </w:r>
      <w:r>
        <w:rPr>
          <w:rFonts w:hAnsi="宋体"/>
          <w:color w:val="auto"/>
          <w:highlight w:val="none"/>
        </w:rPr>
        <w:t>1</w:t>
      </w:r>
      <w:r>
        <w:rPr>
          <w:rFonts w:hint="eastAsia" w:hAnsi="宋体"/>
          <w:color w:val="auto"/>
          <w:highlight w:val="none"/>
        </w:rPr>
        <w:t>、因被保证人出现何种违约情形而使受益人有权向保证人索赔；</w:t>
      </w:r>
      <w:r>
        <w:rPr>
          <w:rFonts w:hAnsi="宋体"/>
          <w:color w:val="auto"/>
          <w:highlight w:val="none"/>
        </w:rPr>
        <w:t>2</w:t>
      </w:r>
      <w:r>
        <w:rPr>
          <w:rFonts w:hint="eastAsia" w:hAnsi="宋体"/>
          <w:color w:val="auto"/>
          <w:highlight w:val="none"/>
        </w:rPr>
        <w:t>、索赔款额的计算方</w:t>
      </w:r>
      <w:r>
        <w:rPr>
          <w:rFonts w:hint="eastAsia"/>
          <w:color w:val="auto"/>
          <w:highlight w:val="none"/>
        </w:rPr>
        <w:t>法）后</w:t>
      </w:r>
      <w:r>
        <w:rPr>
          <w:rFonts w:hint="eastAsia"/>
          <w:color w:val="auto"/>
          <w:highlight w:val="none"/>
          <w:u w:val="single"/>
        </w:rPr>
        <w:t xml:space="preserve">      </w:t>
      </w:r>
      <w:r>
        <w:rPr>
          <w:rFonts w:hint="eastAsia"/>
          <w:color w:val="auto"/>
          <w:highlight w:val="none"/>
        </w:rPr>
        <w:t>个银行工作日内，不可撤销地支付受益人的索赔款，直至上述最高担保金额。</w:t>
      </w:r>
    </w:p>
    <w:p>
      <w:pPr>
        <w:pStyle w:val="16"/>
        <w:ind w:firstLine="400" w:firstLineChars="200"/>
        <w:jc w:val="left"/>
        <w:rPr>
          <w:color w:val="auto"/>
          <w:highlight w:val="none"/>
        </w:rPr>
      </w:pPr>
      <w:r>
        <w:rPr>
          <w:rFonts w:hint="eastAsia"/>
          <w:color w:val="auto"/>
          <w:highlight w:val="none"/>
        </w:rPr>
        <w:t>本保函自我行签字盖章之日起生效，到</w:t>
      </w:r>
      <w:r>
        <w:rPr>
          <w:color w:val="auto"/>
          <w:highlight w:val="none"/>
          <w:u w:val="single"/>
        </w:rPr>
        <w:t xml:space="preserve">     </w:t>
      </w:r>
      <w:r>
        <w:rPr>
          <w:rFonts w:hint="eastAsia"/>
          <w:color w:val="auto"/>
          <w:highlight w:val="none"/>
        </w:rPr>
        <w:t>年</w:t>
      </w:r>
      <w:r>
        <w:rPr>
          <w:color w:val="auto"/>
          <w:highlight w:val="none"/>
          <w:u w:val="single"/>
        </w:rPr>
        <w:t xml:space="preserve">     </w:t>
      </w:r>
      <w:r>
        <w:rPr>
          <w:rFonts w:hint="eastAsia"/>
          <w:color w:val="auto"/>
          <w:highlight w:val="none"/>
        </w:rPr>
        <w:t>月</w:t>
      </w:r>
      <w:r>
        <w:rPr>
          <w:color w:val="auto"/>
          <w:highlight w:val="none"/>
          <w:u w:val="single"/>
        </w:rPr>
        <w:t xml:space="preserve">     </w:t>
      </w:r>
      <w:r>
        <w:rPr>
          <w:rFonts w:hint="eastAsia"/>
          <w:color w:val="auto"/>
          <w:highlight w:val="none"/>
        </w:rPr>
        <w:t>日失效。</w:t>
      </w:r>
    </w:p>
    <w:p>
      <w:pPr>
        <w:pStyle w:val="16"/>
        <w:ind w:firstLine="400" w:firstLineChars="200"/>
        <w:jc w:val="left"/>
        <w:rPr>
          <w:color w:val="auto"/>
          <w:highlight w:val="none"/>
        </w:rPr>
      </w:pPr>
      <w:r>
        <w:rPr>
          <w:rFonts w:hint="eastAsia"/>
          <w:color w:val="auto"/>
          <w:highlight w:val="none"/>
        </w:rPr>
        <w:t>本保函项下的权力不得转让。</w:t>
      </w:r>
    </w:p>
    <w:p>
      <w:pPr>
        <w:pStyle w:val="16"/>
        <w:ind w:firstLine="400" w:firstLineChars="200"/>
        <w:jc w:val="left"/>
        <w:rPr>
          <w:color w:val="auto"/>
          <w:highlight w:val="none"/>
        </w:rPr>
      </w:pPr>
      <w:r>
        <w:rPr>
          <w:rFonts w:hint="eastAsia"/>
          <w:color w:val="auto"/>
          <w:highlight w:val="none"/>
        </w:rPr>
        <w:t>本保函适用于中华人民共和国法律。</w:t>
      </w:r>
    </w:p>
    <w:p>
      <w:pPr>
        <w:pStyle w:val="16"/>
        <w:ind w:firstLine="400" w:firstLineChars="200"/>
        <w:jc w:val="left"/>
        <w:rPr>
          <w:color w:val="auto"/>
          <w:highlight w:val="none"/>
        </w:rPr>
      </w:pPr>
      <w:r>
        <w:rPr>
          <w:rFonts w:hint="eastAsia"/>
          <w:color w:val="auto"/>
          <w:highlight w:val="none"/>
        </w:rPr>
        <w:t>本保函以中文文本为准，涂改无效。</w:t>
      </w:r>
    </w:p>
    <w:p>
      <w:pPr>
        <w:pStyle w:val="16"/>
        <w:ind w:firstLine="400" w:firstLineChars="200"/>
        <w:jc w:val="left"/>
        <w:rPr>
          <w:color w:val="auto"/>
          <w:highlight w:val="none"/>
        </w:rPr>
      </w:pPr>
    </w:p>
    <w:p>
      <w:pPr>
        <w:pStyle w:val="16"/>
        <w:ind w:firstLine="400" w:firstLineChars="200"/>
        <w:jc w:val="right"/>
        <w:rPr>
          <w:color w:val="auto"/>
          <w:highlight w:val="none"/>
        </w:rPr>
      </w:pPr>
    </w:p>
    <w:p>
      <w:pPr>
        <w:pStyle w:val="16"/>
        <w:ind w:firstLine="400" w:firstLineChars="200"/>
        <w:jc w:val="right"/>
        <w:rPr>
          <w:color w:val="auto"/>
          <w:highlight w:val="none"/>
        </w:rPr>
      </w:pPr>
    </w:p>
    <w:p>
      <w:pPr>
        <w:pStyle w:val="16"/>
        <w:ind w:firstLine="2400" w:firstLineChars="1200"/>
        <w:jc w:val="left"/>
        <w:rPr>
          <w:color w:val="auto"/>
          <w:highlight w:val="none"/>
        </w:rPr>
      </w:pPr>
      <w:r>
        <w:rPr>
          <w:rFonts w:hint="eastAsia"/>
          <w:color w:val="auto"/>
          <w:highlight w:val="none"/>
        </w:rPr>
        <w:t>保证人：</w:t>
      </w:r>
      <w:r>
        <w:rPr>
          <w:color w:val="auto"/>
          <w:highlight w:val="none"/>
          <w:u w:val="single"/>
        </w:rPr>
        <w:t xml:space="preserve">                   </w:t>
      </w:r>
      <w:r>
        <w:rPr>
          <w:rFonts w:hint="eastAsia"/>
          <w:color w:val="auto"/>
          <w:highlight w:val="none"/>
        </w:rPr>
        <w:t>银行深圳市分行（盖章）</w:t>
      </w:r>
    </w:p>
    <w:p>
      <w:pPr>
        <w:pStyle w:val="16"/>
        <w:ind w:firstLine="400" w:firstLineChars="200"/>
        <w:jc w:val="center"/>
        <w:rPr>
          <w:color w:val="auto"/>
          <w:highlight w:val="none"/>
        </w:rPr>
      </w:pPr>
    </w:p>
    <w:p>
      <w:pPr>
        <w:pStyle w:val="16"/>
        <w:ind w:firstLine="2400" w:firstLineChars="1200"/>
        <w:jc w:val="left"/>
        <w:rPr>
          <w:color w:val="auto"/>
          <w:highlight w:val="none"/>
        </w:rPr>
      </w:pPr>
      <w:r>
        <w:rPr>
          <w:rFonts w:hint="eastAsia"/>
          <w:color w:val="auto"/>
          <w:highlight w:val="none"/>
        </w:rPr>
        <w:t>负责人或委托代理人（签字）：</w:t>
      </w:r>
      <w:r>
        <w:rPr>
          <w:color w:val="auto"/>
          <w:highlight w:val="none"/>
          <w:u w:val="single"/>
        </w:rPr>
        <w:t xml:space="preserve">                    </w:t>
      </w:r>
    </w:p>
    <w:p>
      <w:pPr>
        <w:pStyle w:val="16"/>
        <w:ind w:firstLine="400" w:firstLineChars="200"/>
        <w:jc w:val="center"/>
        <w:rPr>
          <w:color w:val="auto"/>
          <w:highlight w:val="none"/>
        </w:rPr>
      </w:pPr>
    </w:p>
    <w:p>
      <w:pPr>
        <w:pStyle w:val="16"/>
        <w:ind w:firstLine="400" w:firstLineChars="200"/>
        <w:jc w:val="center"/>
        <w:rPr>
          <w:color w:val="auto"/>
          <w:highlight w:val="none"/>
        </w:rPr>
      </w:pPr>
      <w:r>
        <w:rPr>
          <w:rFonts w:hint="eastAsia"/>
          <w:color w:val="auto"/>
          <w:highlight w:val="none"/>
        </w:rPr>
        <w:t xml:space="preserve"> </w:t>
      </w:r>
      <w:r>
        <w:rPr>
          <w:color w:val="auto"/>
          <w:highlight w:val="none"/>
          <w:u w:val="single"/>
        </w:rPr>
        <w:t xml:space="preserve">            </w:t>
      </w:r>
      <w:r>
        <w:rPr>
          <w:rFonts w:hint="eastAsia"/>
          <w:color w:val="auto"/>
          <w:highlight w:val="none"/>
        </w:rPr>
        <w:t>年</w:t>
      </w:r>
      <w:r>
        <w:rPr>
          <w:color w:val="auto"/>
          <w:highlight w:val="none"/>
          <w:u w:val="single"/>
        </w:rPr>
        <w:t xml:space="preserve">    </w:t>
      </w:r>
      <w:r>
        <w:rPr>
          <w:rFonts w:hint="eastAsia"/>
          <w:color w:val="auto"/>
          <w:highlight w:val="none"/>
        </w:rPr>
        <w:t>月</w:t>
      </w:r>
      <w:r>
        <w:rPr>
          <w:color w:val="auto"/>
          <w:highlight w:val="none"/>
          <w:u w:val="single"/>
        </w:rPr>
        <w:t xml:space="preserve">    </w:t>
      </w:r>
      <w:r>
        <w:rPr>
          <w:rFonts w:hint="eastAsia"/>
          <w:color w:val="auto"/>
          <w:highlight w:val="none"/>
        </w:rPr>
        <w:t>日于深圳</w:t>
      </w:r>
    </w:p>
    <w:p>
      <w:pPr>
        <w:pStyle w:val="16"/>
        <w:ind w:firstLine="400" w:firstLineChars="200"/>
        <w:jc w:val="left"/>
        <w:rPr>
          <w:color w:val="auto"/>
          <w:highlight w:val="none"/>
        </w:rPr>
      </w:pPr>
    </w:p>
    <w:p>
      <w:pPr>
        <w:pStyle w:val="16"/>
        <w:jc w:val="left"/>
        <w:rPr>
          <w:color w:val="auto"/>
          <w:highlight w:val="none"/>
        </w:rPr>
      </w:pPr>
      <w:r>
        <w:rPr>
          <w:rFonts w:hint="eastAsia"/>
          <w:color w:val="auto"/>
          <w:highlight w:val="none"/>
        </w:rPr>
        <w:t>（本保函失效后，请将原件退回我行注销）</w:t>
      </w:r>
    </w:p>
    <w:p>
      <w:pPr>
        <w:jc w:val="left"/>
        <w:rPr>
          <w:rFonts w:ascii="宋体"/>
          <w:bCs/>
          <w:color w:val="auto"/>
          <w:sz w:val="28"/>
          <w:szCs w:val="28"/>
          <w:highlight w:val="none"/>
        </w:rPr>
      </w:pPr>
      <w:r>
        <w:rPr>
          <w:color w:val="auto"/>
          <w:highlight w:val="none"/>
        </w:rPr>
        <w:br w:type="page"/>
      </w:r>
      <w:r>
        <w:rPr>
          <w:rFonts w:hint="eastAsia" w:ascii="宋体"/>
          <w:bCs/>
          <w:color w:val="auto"/>
          <w:sz w:val="28"/>
          <w:szCs w:val="28"/>
          <w:highlight w:val="none"/>
        </w:rPr>
        <w:t>附件3：（以下格式仅为示例）</w:t>
      </w:r>
    </w:p>
    <w:p>
      <w:pPr>
        <w:spacing w:line="360" w:lineRule="auto"/>
        <w:jc w:val="center"/>
        <w:rPr>
          <w:rFonts w:ascii="黑体" w:hAnsi="宋体" w:eastAsia="黑体"/>
          <w:b/>
          <w:color w:val="auto"/>
          <w:sz w:val="44"/>
          <w:highlight w:val="none"/>
        </w:rPr>
      </w:pPr>
      <w:bookmarkStart w:id="170" w:name="_Toc517530670"/>
      <w:bookmarkStart w:id="171" w:name="_Toc517528615"/>
      <w:bookmarkStart w:id="172" w:name="_Toc517529708"/>
      <w:bookmarkStart w:id="173" w:name="_Toc405968565"/>
      <w:bookmarkStart w:id="174" w:name="_Toc517531946"/>
      <w:r>
        <w:rPr>
          <w:rFonts w:hint="eastAsia" w:ascii="黑体" w:hAnsi="宋体" w:eastAsia="黑体"/>
          <w:b/>
          <w:color w:val="auto"/>
          <w:sz w:val="44"/>
          <w:highlight w:val="none"/>
        </w:rPr>
        <w:t>不可撤销预付款保函</w:t>
      </w:r>
      <w:bookmarkEnd w:id="170"/>
      <w:bookmarkEnd w:id="171"/>
      <w:bookmarkEnd w:id="172"/>
      <w:bookmarkEnd w:id="173"/>
      <w:bookmarkEnd w:id="174"/>
    </w:p>
    <w:p>
      <w:pPr>
        <w:spacing w:line="360" w:lineRule="auto"/>
        <w:ind w:left="567" w:leftChars="270" w:right="-4" w:firstLine="5040" w:firstLineChars="2400"/>
        <w:jc w:val="left"/>
        <w:rPr>
          <w:rFonts w:ascii="宋体" w:hAnsi="宋体"/>
          <w:b/>
          <w:color w:val="auto"/>
          <w:highlight w:val="none"/>
        </w:rPr>
      </w:pPr>
      <w:r>
        <w:rPr>
          <w:rFonts w:hint="eastAsia" w:ascii="宋体" w:hAnsi="宋体"/>
          <w:color w:val="auto"/>
          <w:highlight w:val="none"/>
        </w:rPr>
        <w:t>编号：</w:t>
      </w:r>
      <w:r>
        <w:rPr>
          <w:color w:val="auto"/>
          <w:highlight w:val="none"/>
          <w:u w:val="single"/>
        </w:rPr>
        <w:t xml:space="preserve">                   </w:t>
      </w:r>
    </w:p>
    <w:p>
      <w:pPr>
        <w:spacing w:line="360" w:lineRule="auto"/>
        <w:jc w:val="left"/>
        <w:rPr>
          <w:rFonts w:ascii="宋体" w:hAnsi="宋体"/>
          <w:color w:val="auto"/>
          <w:highlight w:val="none"/>
        </w:rPr>
      </w:pPr>
      <w:r>
        <w:rPr>
          <w:rFonts w:hint="eastAsia" w:ascii="宋体" w:hAnsi="宋体"/>
          <w:bCs/>
          <w:color w:val="auto"/>
          <w:highlight w:val="none"/>
        </w:rPr>
        <w:t>致</w:t>
      </w:r>
      <w:r>
        <w:rPr>
          <w:color w:val="auto"/>
          <w:highlight w:val="none"/>
          <w:u w:val="single"/>
        </w:rPr>
        <w:t xml:space="preserve">                    </w:t>
      </w:r>
      <w:r>
        <w:rPr>
          <w:rFonts w:hint="eastAsia" w:ascii="宋体" w:hAnsi="宋体"/>
          <w:bCs/>
          <w:color w:val="auto"/>
          <w:highlight w:val="none"/>
        </w:rPr>
        <w:t>（下称受益人）：</w:t>
      </w:r>
    </w:p>
    <w:p>
      <w:pPr>
        <w:spacing w:line="360" w:lineRule="auto"/>
        <w:ind w:firstLine="420" w:firstLineChars="200"/>
        <w:jc w:val="left"/>
        <w:rPr>
          <w:rFonts w:ascii="宋体" w:hAnsi="宋体"/>
          <w:color w:val="auto"/>
          <w:spacing w:val="-8"/>
          <w:highlight w:val="none"/>
        </w:rPr>
      </w:pPr>
      <w:r>
        <w:rPr>
          <w:rFonts w:hint="eastAsia" w:ascii="宋体" w:hAnsi="宋体"/>
          <w:color w:val="auto"/>
          <w:highlight w:val="none"/>
        </w:rPr>
        <w:t>鉴于</w:t>
      </w:r>
      <w:r>
        <w:rPr>
          <w:color w:val="auto"/>
          <w:highlight w:val="none"/>
          <w:u w:val="single"/>
        </w:rPr>
        <w:t xml:space="preserve">                                        </w:t>
      </w:r>
      <w:r>
        <w:rPr>
          <w:rFonts w:hint="eastAsia" w:ascii="宋体" w:hAnsi="宋体"/>
          <w:color w:val="auto"/>
          <w:highlight w:val="none"/>
        </w:rPr>
        <w:t>（下称“被保证人”）同意与受益人签订</w:t>
      </w:r>
      <w:r>
        <w:rPr>
          <w:color w:val="auto"/>
          <w:highlight w:val="none"/>
          <w:u w:val="single"/>
        </w:rPr>
        <w:t xml:space="preserve">                        </w:t>
      </w:r>
      <w:r>
        <w:rPr>
          <w:rFonts w:hint="eastAsia" w:ascii="宋体" w:hAnsi="宋体"/>
          <w:color w:val="auto"/>
          <w:highlight w:val="none"/>
        </w:rPr>
        <w:t>的合同协议书。我行愿意出</w:t>
      </w:r>
      <w:r>
        <w:rPr>
          <w:rFonts w:hint="eastAsia" w:ascii="宋体"/>
          <w:color w:val="auto"/>
          <w:highlight w:val="none"/>
        </w:rPr>
        <w:t>具保函为被保证人担保，担保金额为（与预付款等额）人民币</w:t>
      </w:r>
      <w:r>
        <w:rPr>
          <w:rFonts w:hint="eastAsia" w:ascii="宋体" w:hAnsi="宋体"/>
          <w:color w:val="auto"/>
          <w:highlight w:val="none"/>
        </w:rPr>
        <w:t>（大写）</w:t>
      </w:r>
      <w:r>
        <w:rPr>
          <w:rFonts w:ascii="仿宋_GB2312" w:eastAsia="仿宋_GB2312"/>
          <w:color w:val="auto"/>
          <w:spacing w:val="-8"/>
          <w:sz w:val="24"/>
          <w:highlight w:val="none"/>
          <w:u w:val="single"/>
        </w:rPr>
        <w:t xml:space="preserve">                           </w:t>
      </w:r>
      <w:r>
        <w:rPr>
          <w:rFonts w:hint="eastAsia" w:ascii="宋体" w:hAnsi="宋体"/>
          <w:color w:val="auto"/>
          <w:spacing w:val="-8"/>
          <w:highlight w:val="none"/>
        </w:rPr>
        <w:t>元（小写）￥</w:t>
      </w:r>
      <w:r>
        <w:rPr>
          <w:rFonts w:ascii="宋体" w:hAnsi="宋体"/>
          <w:color w:val="auto"/>
          <w:spacing w:val="-8"/>
          <w:highlight w:val="none"/>
          <w:u w:val="single"/>
        </w:rPr>
        <w:t xml:space="preserve">            </w:t>
      </w:r>
      <w:r>
        <w:rPr>
          <w:rFonts w:hint="eastAsia" w:ascii="宋体" w:hAnsi="宋体"/>
          <w:color w:val="auto"/>
          <w:spacing w:val="-8"/>
          <w:highlight w:val="none"/>
        </w:rPr>
        <w:t>元。</w:t>
      </w:r>
    </w:p>
    <w:p>
      <w:pPr>
        <w:spacing w:line="360" w:lineRule="auto"/>
        <w:ind w:firstLine="420" w:firstLineChars="200"/>
        <w:jc w:val="left"/>
        <w:rPr>
          <w:rFonts w:ascii="宋体" w:hAnsi="宋体"/>
          <w:color w:val="auto"/>
          <w:highlight w:val="none"/>
        </w:rPr>
      </w:pPr>
      <w:r>
        <w:rPr>
          <w:rFonts w:hint="eastAsia" w:ascii="宋体" w:hAnsi="宋体"/>
          <w:color w:val="auto"/>
          <w:highlight w:val="none"/>
        </w:rPr>
        <w:t>本保函的义务是：本行在收到受益人提出的因被保证人在履行合同过程中未能履约或违背合同规定的责任和义务而要求索赔的书面通知和付款凭证后的</w:t>
      </w:r>
      <w:r>
        <w:rPr>
          <w:rFonts w:ascii="宋体" w:hAnsi="宋体"/>
          <w:color w:val="auto"/>
          <w:highlight w:val="none"/>
        </w:rPr>
        <w:t>28天内，在上述担保金的限额内向受益人支付任何数量的金额，无须受益人出具证明或陈述理由，也无须受益人事先办理法律或行政手续。本行立即支付所要求的金额，决不拖迟。</w:t>
      </w:r>
    </w:p>
    <w:p>
      <w:pPr>
        <w:spacing w:line="360" w:lineRule="auto"/>
        <w:ind w:firstLine="420" w:firstLineChars="200"/>
        <w:jc w:val="left"/>
        <w:rPr>
          <w:rFonts w:ascii="宋体" w:hAnsi="宋体"/>
          <w:color w:val="auto"/>
          <w:highlight w:val="none"/>
        </w:rPr>
      </w:pPr>
      <w:r>
        <w:rPr>
          <w:rFonts w:hint="eastAsia" w:ascii="宋体" w:hAnsi="宋体"/>
          <w:color w:val="auto"/>
          <w:highlight w:val="none"/>
        </w:rPr>
        <w:t>本行并不坚持受益人向本行提出付款要求之前，首先应向被保证人索要上述欠款。</w:t>
      </w:r>
    </w:p>
    <w:p>
      <w:pPr>
        <w:spacing w:line="360" w:lineRule="auto"/>
        <w:ind w:firstLine="420" w:firstLineChars="200"/>
        <w:jc w:val="left"/>
        <w:rPr>
          <w:rFonts w:ascii="宋体" w:hAnsi="宋体"/>
          <w:color w:val="auto"/>
          <w:highlight w:val="none"/>
        </w:rPr>
      </w:pPr>
      <w:r>
        <w:rPr>
          <w:rFonts w:hint="eastAsia" w:ascii="宋体" w:hAnsi="宋体"/>
          <w:color w:val="auto"/>
          <w:highlight w:val="none"/>
        </w:rPr>
        <w:t>本行确认：合同条款的任何更改和修正，都不能免除本行根据本保函所应承担的责任。因此，我们并不坚持一定要得到有关上述更改、修正的通知。</w:t>
      </w:r>
    </w:p>
    <w:p>
      <w:pPr>
        <w:spacing w:line="360" w:lineRule="auto"/>
        <w:jc w:val="left"/>
        <w:rPr>
          <w:rFonts w:ascii="宋体" w:hAnsi="宋体"/>
          <w:color w:val="auto"/>
          <w:highlight w:val="none"/>
        </w:rPr>
      </w:pPr>
      <w:r>
        <w:rPr>
          <w:rFonts w:hint="eastAsia" w:ascii="宋体" w:hAnsi="宋体"/>
          <w:color w:val="auto"/>
          <w:highlight w:val="none"/>
        </w:rPr>
        <w:t>本保函在担保金额支付完毕，或预付款按合同条款抵扣完毕之前，一直有效，</w:t>
      </w:r>
    </w:p>
    <w:p>
      <w:pPr>
        <w:spacing w:line="360" w:lineRule="auto"/>
        <w:jc w:val="left"/>
        <w:rPr>
          <w:rFonts w:ascii="宋体" w:hAnsi="宋体"/>
          <w:color w:val="auto"/>
          <w:highlight w:val="none"/>
        </w:rPr>
      </w:pPr>
      <w:r>
        <w:rPr>
          <w:rFonts w:hint="eastAsia" w:ascii="宋体" w:hAnsi="宋体"/>
          <w:color w:val="auto"/>
          <w:highlight w:val="none"/>
        </w:rPr>
        <w:t>但最迟不超过</w:t>
      </w:r>
      <w:r>
        <w:rPr>
          <w:rFonts w:ascii="宋体" w:hAnsi="宋体"/>
          <w:color w:val="auto"/>
          <w:highlight w:val="none"/>
          <w:u w:val="single"/>
        </w:rPr>
        <w:t xml:space="preserve">    </w:t>
      </w:r>
      <w:r>
        <w:rPr>
          <w:rFonts w:hint="eastAsia" w:ascii="宋体" w:hAnsi="宋体"/>
          <w:color w:val="auto"/>
          <w:highlight w:val="none"/>
        </w:rPr>
        <w:t>年</w:t>
      </w:r>
      <w:r>
        <w:rPr>
          <w:rFonts w:ascii="宋体" w:hAnsi="宋体"/>
          <w:color w:val="auto"/>
          <w:highlight w:val="none"/>
          <w:u w:val="single"/>
        </w:rPr>
        <w:t xml:space="preserve">    </w:t>
      </w:r>
      <w:r>
        <w:rPr>
          <w:rFonts w:hint="eastAsia" w:ascii="宋体" w:hAnsi="宋体"/>
          <w:color w:val="auto"/>
          <w:highlight w:val="none"/>
        </w:rPr>
        <w:t>月</w:t>
      </w:r>
      <w:r>
        <w:rPr>
          <w:rFonts w:ascii="宋体" w:hAnsi="宋体"/>
          <w:color w:val="auto"/>
          <w:highlight w:val="none"/>
          <w:u w:val="single"/>
        </w:rPr>
        <w:t xml:space="preserve">    </w:t>
      </w:r>
      <w:r>
        <w:rPr>
          <w:rFonts w:hint="eastAsia" w:ascii="宋体" w:hAnsi="宋体"/>
          <w:color w:val="auto"/>
          <w:highlight w:val="none"/>
        </w:rPr>
        <w:t>日。</w:t>
      </w:r>
    </w:p>
    <w:p>
      <w:pPr>
        <w:spacing w:line="360" w:lineRule="auto"/>
        <w:jc w:val="left"/>
        <w:rPr>
          <w:rFonts w:ascii="宋体" w:hAnsi="宋体"/>
          <w:color w:val="auto"/>
          <w:highlight w:val="none"/>
        </w:rPr>
      </w:pPr>
      <w:r>
        <w:rPr>
          <w:rFonts w:hint="eastAsia" w:ascii="宋体" w:hAnsi="宋体"/>
          <w:color w:val="auto"/>
          <w:highlight w:val="none"/>
        </w:rPr>
        <w:t>为此，本行签字盖章，以资证明。</w:t>
      </w:r>
    </w:p>
    <w:p>
      <w:pPr>
        <w:spacing w:line="360" w:lineRule="auto"/>
        <w:jc w:val="left"/>
        <w:rPr>
          <w:rFonts w:ascii="宋体" w:hAnsi="宋体"/>
          <w:color w:val="auto"/>
          <w:highlight w:val="none"/>
        </w:rPr>
      </w:pPr>
    </w:p>
    <w:p>
      <w:pPr>
        <w:spacing w:line="360" w:lineRule="auto"/>
        <w:jc w:val="left"/>
        <w:rPr>
          <w:rFonts w:ascii="宋体" w:hAnsi="宋体"/>
          <w:color w:val="auto"/>
          <w:highlight w:val="none"/>
        </w:rPr>
      </w:pPr>
    </w:p>
    <w:p>
      <w:pPr>
        <w:spacing w:line="360" w:lineRule="auto"/>
        <w:ind w:firstLine="2940" w:firstLineChars="1400"/>
        <w:jc w:val="left"/>
        <w:rPr>
          <w:rFonts w:ascii="宋体" w:hAnsi="宋体"/>
          <w:color w:val="auto"/>
          <w:highlight w:val="none"/>
        </w:rPr>
      </w:pPr>
      <w:r>
        <w:rPr>
          <w:rFonts w:hint="eastAsia" w:ascii="宋体" w:hAnsi="宋体"/>
          <w:color w:val="auto"/>
          <w:highlight w:val="none"/>
        </w:rPr>
        <w:t>保证人：</w:t>
      </w:r>
      <w:r>
        <w:rPr>
          <w:rFonts w:ascii="宋体" w:hAnsi="宋体"/>
          <w:color w:val="auto"/>
          <w:spacing w:val="-8"/>
          <w:highlight w:val="none"/>
          <w:u w:val="single"/>
        </w:rPr>
        <w:t xml:space="preserve">                        </w:t>
      </w:r>
      <w:r>
        <w:rPr>
          <w:rFonts w:hint="eastAsia" w:ascii="宋体" w:hAnsi="宋体"/>
          <w:color w:val="auto"/>
          <w:highlight w:val="none"/>
        </w:rPr>
        <w:t>银行深圳市分行（盖章）</w:t>
      </w:r>
    </w:p>
    <w:p>
      <w:pPr>
        <w:spacing w:line="360" w:lineRule="auto"/>
        <w:ind w:firstLine="2940" w:firstLineChars="1400"/>
        <w:jc w:val="left"/>
        <w:rPr>
          <w:rFonts w:ascii="宋体" w:hAnsi="宋体"/>
          <w:color w:val="auto"/>
          <w:highlight w:val="none"/>
        </w:rPr>
      </w:pPr>
      <w:r>
        <w:rPr>
          <w:rFonts w:hint="eastAsia" w:ascii="宋体" w:hAnsi="宋体"/>
          <w:color w:val="auto"/>
          <w:highlight w:val="none"/>
        </w:rPr>
        <w:t>负责人或委托代理人：</w:t>
      </w:r>
      <w:r>
        <w:rPr>
          <w:rFonts w:ascii="宋体" w:hAnsi="宋体"/>
          <w:color w:val="auto"/>
          <w:spacing w:val="-8"/>
          <w:highlight w:val="none"/>
          <w:u w:val="single"/>
        </w:rPr>
        <w:t xml:space="preserve">                 </w:t>
      </w:r>
      <w:r>
        <w:rPr>
          <w:rFonts w:hint="eastAsia" w:ascii="宋体" w:hAnsi="宋体"/>
          <w:color w:val="auto"/>
          <w:highlight w:val="none"/>
        </w:rPr>
        <w:t>（签字或盖章）</w:t>
      </w:r>
    </w:p>
    <w:p>
      <w:pPr>
        <w:spacing w:line="360" w:lineRule="auto"/>
        <w:ind w:firstLine="2940" w:firstLineChars="1400"/>
        <w:jc w:val="left"/>
        <w:rPr>
          <w:rFonts w:ascii="宋体" w:hAnsi="宋体"/>
          <w:bCs/>
          <w:color w:val="auto"/>
          <w:highlight w:val="none"/>
        </w:rPr>
      </w:pPr>
      <w:r>
        <w:rPr>
          <w:rFonts w:hint="eastAsia" w:ascii="宋体" w:hAnsi="宋体"/>
          <w:bCs/>
          <w:color w:val="auto"/>
          <w:highlight w:val="none"/>
        </w:rPr>
        <w:t>银行地址：</w:t>
      </w:r>
      <w:r>
        <w:rPr>
          <w:rFonts w:ascii="宋体" w:hAnsi="宋体"/>
          <w:color w:val="auto"/>
          <w:spacing w:val="-8"/>
          <w:highlight w:val="none"/>
          <w:u w:val="single"/>
        </w:rPr>
        <w:t xml:space="preserve">                              </w:t>
      </w:r>
    </w:p>
    <w:p>
      <w:pPr>
        <w:spacing w:line="360" w:lineRule="auto"/>
        <w:ind w:firstLine="2940" w:firstLineChars="1400"/>
        <w:jc w:val="left"/>
        <w:rPr>
          <w:rFonts w:ascii="宋体" w:hAnsi="宋体"/>
          <w:bCs/>
          <w:color w:val="auto"/>
          <w:highlight w:val="none"/>
        </w:rPr>
      </w:pPr>
      <w:r>
        <w:rPr>
          <w:rFonts w:hint="eastAsia" w:ascii="宋体" w:hAnsi="宋体"/>
          <w:bCs/>
          <w:color w:val="auto"/>
          <w:highlight w:val="none"/>
        </w:rPr>
        <w:t>邮</w:t>
      </w:r>
      <w:r>
        <w:rPr>
          <w:rFonts w:ascii="宋体" w:hAnsi="宋体"/>
          <w:bCs/>
          <w:color w:val="auto"/>
          <w:highlight w:val="none"/>
        </w:rPr>
        <w:t xml:space="preserve">    </w:t>
      </w:r>
      <w:r>
        <w:rPr>
          <w:rFonts w:hint="eastAsia" w:ascii="宋体" w:hAnsi="宋体"/>
          <w:bCs/>
          <w:color w:val="auto"/>
          <w:highlight w:val="none"/>
        </w:rPr>
        <w:t>编：</w:t>
      </w:r>
      <w:r>
        <w:rPr>
          <w:rFonts w:ascii="宋体" w:hAnsi="宋体"/>
          <w:color w:val="auto"/>
          <w:spacing w:val="-8"/>
          <w:highlight w:val="none"/>
          <w:u w:val="single"/>
        </w:rPr>
        <w:t xml:space="preserve">                              </w:t>
      </w:r>
    </w:p>
    <w:p>
      <w:pPr>
        <w:spacing w:line="360" w:lineRule="auto"/>
        <w:ind w:firstLine="2940" w:firstLineChars="1400"/>
        <w:jc w:val="left"/>
        <w:rPr>
          <w:rFonts w:ascii="宋体" w:hAnsi="宋体"/>
          <w:bCs/>
          <w:color w:val="auto"/>
          <w:highlight w:val="none"/>
        </w:rPr>
      </w:pPr>
      <w:r>
        <w:rPr>
          <w:rFonts w:hint="eastAsia" w:ascii="宋体" w:hAnsi="宋体"/>
          <w:bCs/>
          <w:color w:val="auto"/>
          <w:highlight w:val="none"/>
        </w:rPr>
        <w:t>联系电话：</w:t>
      </w:r>
      <w:r>
        <w:rPr>
          <w:rFonts w:ascii="宋体" w:hAnsi="宋体"/>
          <w:color w:val="auto"/>
          <w:spacing w:val="-8"/>
          <w:highlight w:val="none"/>
          <w:u w:val="single"/>
        </w:rPr>
        <w:t xml:space="preserve">                               </w:t>
      </w:r>
    </w:p>
    <w:p>
      <w:pPr>
        <w:spacing w:line="360" w:lineRule="auto"/>
        <w:ind w:firstLine="2940" w:firstLineChars="1400"/>
        <w:jc w:val="left"/>
        <w:rPr>
          <w:rFonts w:ascii="宋体" w:hAnsi="宋体"/>
          <w:bCs/>
          <w:color w:val="auto"/>
          <w:highlight w:val="none"/>
        </w:rPr>
      </w:pPr>
      <w:r>
        <w:rPr>
          <w:rFonts w:hint="eastAsia" w:ascii="宋体" w:hAnsi="宋体"/>
          <w:bCs/>
          <w:color w:val="auto"/>
          <w:highlight w:val="none"/>
        </w:rPr>
        <w:t>传</w:t>
      </w:r>
      <w:r>
        <w:rPr>
          <w:rFonts w:ascii="宋体" w:hAnsi="宋体"/>
          <w:bCs/>
          <w:color w:val="auto"/>
          <w:highlight w:val="none"/>
        </w:rPr>
        <w:t xml:space="preserve">    </w:t>
      </w:r>
      <w:r>
        <w:rPr>
          <w:rFonts w:hint="eastAsia" w:ascii="宋体" w:hAnsi="宋体"/>
          <w:bCs/>
          <w:color w:val="auto"/>
          <w:highlight w:val="none"/>
        </w:rPr>
        <w:t>真：</w:t>
      </w:r>
      <w:r>
        <w:rPr>
          <w:rFonts w:ascii="宋体" w:hAnsi="宋体"/>
          <w:color w:val="auto"/>
          <w:spacing w:val="-8"/>
          <w:highlight w:val="none"/>
          <w:u w:val="single"/>
        </w:rPr>
        <w:t xml:space="preserve">                               </w:t>
      </w:r>
    </w:p>
    <w:p>
      <w:pPr>
        <w:spacing w:line="360" w:lineRule="auto"/>
        <w:ind w:firstLine="2940" w:firstLineChars="1400"/>
        <w:jc w:val="left"/>
        <w:rPr>
          <w:rFonts w:ascii="宋体" w:hAnsi="宋体"/>
          <w:bCs/>
          <w:color w:val="auto"/>
          <w:highlight w:val="none"/>
        </w:rPr>
      </w:pPr>
      <w:r>
        <w:rPr>
          <w:rFonts w:hint="eastAsia" w:ascii="宋体" w:hAnsi="宋体"/>
          <w:bCs/>
          <w:color w:val="auto"/>
          <w:highlight w:val="none"/>
        </w:rPr>
        <w:t>日</w:t>
      </w:r>
      <w:r>
        <w:rPr>
          <w:rFonts w:ascii="宋体" w:hAnsi="宋体"/>
          <w:bCs/>
          <w:color w:val="auto"/>
          <w:highlight w:val="none"/>
        </w:rPr>
        <w:t xml:space="preserve">    </w:t>
      </w:r>
      <w:r>
        <w:rPr>
          <w:rFonts w:hint="eastAsia" w:ascii="宋体" w:hAnsi="宋体"/>
          <w:bCs/>
          <w:color w:val="auto"/>
          <w:highlight w:val="none"/>
        </w:rPr>
        <w:t>期：</w:t>
      </w:r>
      <w:r>
        <w:rPr>
          <w:rFonts w:ascii="宋体" w:hAnsi="宋体"/>
          <w:color w:val="auto"/>
          <w:spacing w:val="-8"/>
          <w:highlight w:val="none"/>
          <w:u w:val="single"/>
        </w:rPr>
        <w:t xml:space="preserve">          </w:t>
      </w:r>
      <w:r>
        <w:rPr>
          <w:rFonts w:hint="eastAsia" w:ascii="宋体" w:hAnsi="宋体"/>
          <w:bCs/>
          <w:color w:val="auto"/>
          <w:highlight w:val="none"/>
        </w:rPr>
        <w:t>年</w:t>
      </w:r>
      <w:r>
        <w:rPr>
          <w:rFonts w:ascii="宋体" w:hAnsi="宋体"/>
          <w:color w:val="auto"/>
          <w:spacing w:val="-8"/>
          <w:highlight w:val="none"/>
          <w:u w:val="single"/>
        </w:rPr>
        <w:t xml:space="preserve">      </w:t>
      </w:r>
      <w:r>
        <w:rPr>
          <w:rFonts w:hint="eastAsia" w:ascii="宋体" w:hAnsi="宋体"/>
          <w:bCs/>
          <w:color w:val="auto"/>
          <w:highlight w:val="none"/>
        </w:rPr>
        <w:t>月</w:t>
      </w:r>
      <w:r>
        <w:rPr>
          <w:rFonts w:ascii="宋体" w:hAnsi="宋体"/>
          <w:color w:val="auto"/>
          <w:spacing w:val="-8"/>
          <w:highlight w:val="none"/>
          <w:u w:val="single"/>
        </w:rPr>
        <w:t xml:space="preserve">      </w:t>
      </w:r>
      <w:r>
        <w:rPr>
          <w:rFonts w:hint="eastAsia" w:ascii="宋体" w:hAnsi="宋体"/>
          <w:bCs/>
          <w:color w:val="auto"/>
          <w:highlight w:val="none"/>
        </w:rPr>
        <w:t>日</w:t>
      </w:r>
    </w:p>
    <w:p>
      <w:pPr>
        <w:jc w:val="left"/>
        <w:rPr>
          <w:rFonts w:ascii="仿宋_GB2312" w:eastAsia="仿宋_GB2312"/>
          <w:bCs/>
          <w:color w:val="auto"/>
          <w:sz w:val="24"/>
          <w:highlight w:val="none"/>
        </w:rPr>
      </w:pPr>
    </w:p>
    <w:p>
      <w:pPr>
        <w:jc w:val="left"/>
        <w:rPr>
          <w:rFonts w:ascii="仿宋_GB2312" w:eastAsia="仿宋_GB2312"/>
          <w:bCs/>
          <w:color w:val="auto"/>
          <w:sz w:val="24"/>
          <w:highlight w:val="none"/>
        </w:rPr>
      </w:pPr>
    </w:p>
    <w:p>
      <w:pPr>
        <w:jc w:val="left"/>
        <w:rPr>
          <w:rFonts w:ascii="仿宋_GB2312" w:eastAsia="仿宋_GB2312"/>
          <w:bCs/>
          <w:color w:val="auto"/>
          <w:sz w:val="24"/>
          <w:highlight w:val="none"/>
        </w:rPr>
      </w:pPr>
      <w:r>
        <w:rPr>
          <w:rFonts w:hint="eastAsia" w:ascii="仿宋_GB2312" w:eastAsia="仿宋_GB2312"/>
          <w:bCs/>
          <w:color w:val="auto"/>
          <w:sz w:val="24"/>
          <w:highlight w:val="none"/>
        </w:rPr>
        <w:t>（本保函失效后，请将原件退回我行注销）</w:t>
      </w:r>
    </w:p>
    <w:p>
      <w:pPr>
        <w:jc w:val="left"/>
        <w:rPr>
          <w:rFonts w:hint="eastAsia" w:ascii="宋体"/>
          <w:bCs/>
          <w:color w:val="auto"/>
          <w:sz w:val="28"/>
          <w:szCs w:val="28"/>
          <w:highlight w:val="none"/>
        </w:rPr>
      </w:pPr>
      <w:r>
        <w:rPr>
          <w:rFonts w:ascii="黑体" w:eastAsia="黑体"/>
          <w:b/>
          <w:bCs/>
          <w:color w:val="auto"/>
          <w:sz w:val="44"/>
          <w:highlight w:val="none"/>
        </w:rPr>
        <w:br w:type="page"/>
      </w:r>
      <w:r>
        <w:rPr>
          <w:rFonts w:hint="eastAsia" w:ascii="宋体"/>
          <w:bCs/>
          <w:color w:val="auto"/>
          <w:sz w:val="28"/>
          <w:szCs w:val="28"/>
          <w:highlight w:val="none"/>
        </w:rPr>
        <w:t>附件4：</w:t>
      </w:r>
    </w:p>
    <w:p>
      <w:pPr>
        <w:spacing w:line="360" w:lineRule="auto"/>
        <w:jc w:val="center"/>
        <w:rPr>
          <w:rFonts w:ascii="黑体" w:eastAsia="黑体"/>
          <w:b/>
          <w:bCs/>
          <w:color w:val="auto"/>
          <w:sz w:val="44"/>
          <w:highlight w:val="none"/>
        </w:rPr>
      </w:pPr>
      <w:r>
        <w:rPr>
          <w:rFonts w:hint="eastAsia" w:ascii="黑体" w:eastAsia="黑体"/>
          <w:b/>
          <w:bCs/>
          <w:color w:val="auto"/>
          <w:sz w:val="44"/>
          <w:highlight w:val="none"/>
        </w:rPr>
        <w:t>工程质量保修书</w:t>
      </w:r>
    </w:p>
    <w:p>
      <w:pPr>
        <w:pStyle w:val="20"/>
        <w:snapToGrid w:val="0"/>
        <w:spacing w:line="345" w:lineRule="auto"/>
        <w:jc w:val="center"/>
        <w:rPr>
          <w:rFonts w:ascii="黑体" w:eastAsia="黑体"/>
          <w:b/>
          <w:bCs/>
          <w:color w:val="auto"/>
          <w:sz w:val="44"/>
          <w:highlight w:val="none"/>
        </w:rPr>
      </w:pPr>
      <w:r>
        <w:rPr>
          <w:rFonts w:hint="eastAsia" w:ascii="黑体" w:eastAsia="黑体"/>
          <w:b/>
          <w:bCs/>
          <w:color w:val="auto"/>
          <w:sz w:val="44"/>
          <w:highlight w:val="none"/>
        </w:rPr>
        <w:t>（格式）</w:t>
      </w:r>
    </w:p>
    <w:p>
      <w:pPr>
        <w:pStyle w:val="20"/>
        <w:spacing w:line="360" w:lineRule="auto"/>
        <w:ind w:firstLine="400" w:firstLineChars="200"/>
        <w:jc w:val="left"/>
        <w:rPr>
          <w:color w:val="auto"/>
          <w:highlight w:val="none"/>
        </w:rPr>
      </w:pPr>
      <w:r>
        <w:rPr>
          <w:rFonts w:hint="eastAsia"/>
          <w:color w:val="auto"/>
          <w:highlight w:val="none"/>
        </w:rPr>
        <w:t>发包人（全称）：</w:t>
      </w:r>
      <w:r>
        <w:rPr>
          <w:color w:val="auto"/>
          <w:highlight w:val="none"/>
          <w:u w:val="single"/>
        </w:rPr>
        <w:t xml:space="preserve">                                      </w:t>
      </w:r>
    </w:p>
    <w:p>
      <w:pPr>
        <w:pStyle w:val="20"/>
        <w:spacing w:line="360" w:lineRule="auto"/>
        <w:ind w:firstLine="400" w:firstLineChars="200"/>
        <w:jc w:val="left"/>
        <w:rPr>
          <w:color w:val="auto"/>
          <w:highlight w:val="none"/>
        </w:rPr>
      </w:pPr>
      <w:r>
        <w:rPr>
          <w:rFonts w:hint="eastAsia"/>
          <w:color w:val="auto"/>
          <w:highlight w:val="none"/>
        </w:rPr>
        <w:t>承包人（全称）：</w:t>
      </w:r>
      <w:r>
        <w:rPr>
          <w:color w:val="auto"/>
          <w:highlight w:val="none"/>
          <w:u w:val="single"/>
        </w:rPr>
        <w:t xml:space="preserve">                                      </w:t>
      </w:r>
    </w:p>
    <w:p>
      <w:pPr>
        <w:pStyle w:val="20"/>
        <w:spacing w:before="240" w:line="360" w:lineRule="auto"/>
        <w:ind w:firstLine="400" w:firstLineChars="200"/>
        <w:jc w:val="left"/>
        <w:rPr>
          <w:rFonts w:hint="eastAsia"/>
          <w:color w:val="auto"/>
          <w:highlight w:val="none"/>
        </w:rPr>
      </w:pPr>
      <w:r>
        <w:rPr>
          <w:rFonts w:hint="eastAsia"/>
          <w:color w:val="auto"/>
          <w:highlight w:val="none"/>
        </w:rPr>
        <w:t>为保证</w:t>
      </w:r>
      <w:r>
        <w:rPr>
          <w:color w:val="auto"/>
          <w:highlight w:val="none"/>
          <w:u w:val="single"/>
        </w:rPr>
        <w:t xml:space="preserve">                                      </w:t>
      </w:r>
      <w:r>
        <w:rPr>
          <w:rFonts w:hint="eastAsia"/>
          <w:color w:val="auto"/>
          <w:highlight w:val="none"/>
        </w:rPr>
        <w:t>（工程名称）在合理使用期限内正常使用，发包人、承包人根据《中华人民共和国建筑法》、《建设工程质量管理条例》和《深圳市建设工程质量管理条例》经协商一致，对</w:t>
      </w:r>
      <w:r>
        <w:rPr>
          <w:color w:val="auto"/>
          <w:highlight w:val="none"/>
          <w:u w:val="single"/>
        </w:rPr>
        <w:t xml:space="preserve">                                      </w:t>
      </w:r>
      <w:r>
        <w:rPr>
          <w:rFonts w:hAnsi="宋体"/>
          <w:color w:val="auto"/>
          <w:highlight w:val="none"/>
        </w:rPr>
        <w:t>（工程名称）</w:t>
      </w:r>
      <w:r>
        <w:rPr>
          <w:rFonts w:hint="eastAsia"/>
          <w:color w:val="auto"/>
          <w:highlight w:val="none"/>
        </w:rPr>
        <w:t>签订工程质量保修责任书。</w:t>
      </w:r>
    </w:p>
    <w:p>
      <w:pPr>
        <w:pStyle w:val="20"/>
        <w:spacing w:before="240" w:line="360" w:lineRule="auto"/>
        <w:ind w:firstLine="400" w:firstLineChars="200"/>
        <w:jc w:val="left"/>
        <w:rPr>
          <w:rFonts w:hint="eastAsia"/>
          <w:color w:val="auto"/>
          <w:highlight w:val="none"/>
        </w:rPr>
      </w:pPr>
    </w:p>
    <w:p>
      <w:pPr>
        <w:pStyle w:val="20"/>
        <w:spacing w:line="360" w:lineRule="auto"/>
        <w:ind w:firstLine="400" w:firstLineChars="200"/>
        <w:jc w:val="left"/>
        <w:rPr>
          <w:b/>
          <w:bCs/>
          <w:color w:val="auto"/>
          <w:highlight w:val="none"/>
        </w:rPr>
      </w:pPr>
      <w:r>
        <w:rPr>
          <w:rFonts w:hint="eastAsia"/>
          <w:b/>
          <w:bCs/>
          <w:color w:val="auto"/>
          <w:highlight w:val="none"/>
        </w:rPr>
        <w:t>一、工程质量保修范围和内容</w:t>
      </w:r>
    </w:p>
    <w:p>
      <w:pPr>
        <w:pStyle w:val="20"/>
        <w:spacing w:line="360" w:lineRule="auto"/>
        <w:ind w:firstLine="400" w:firstLineChars="200"/>
        <w:jc w:val="left"/>
        <w:rPr>
          <w:color w:val="auto"/>
          <w:highlight w:val="none"/>
        </w:rPr>
      </w:pPr>
      <w:r>
        <w:rPr>
          <w:rFonts w:hint="eastAsia"/>
          <w:color w:val="auto"/>
          <w:highlight w:val="none"/>
        </w:rPr>
        <w:t>承包人在质量保修期内，按照有关法律、法规、规章的管理规定和双方约定，承担本工程质量保修责任。</w:t>
      </w:r>
    </w:p>
    <w:p>
      <w:pPr>
        <w:pStyle w:val="20"/>
        <w:spacing w:line="360" w:lineRule="auto"/>
        <w:ind w:firstLine="400" w:firstLineChars="200"/>
        <w:jc w:val="left"/>
        <w:rPr>
          <w:color w:val="auto"/>
          <w:highlight w:val="none"/>
        </w:rPr>
      </w:pPr>
      <w:r>
        <w:rPr>
          <w:rFonts w:hint="eastAsia"/>
          <w:color w:val="auto"/>
          <w:highlight w:val="none"/>
        </w:rPr>
        <w:t>质量保修范围包括地基基础工程、主体结构工程，屋面防水工程、有防水要求的卫生间、房间和外墙面的防渗漏，电气管线、给排水管道、设备安装、空调及制冷系统工程、桥梁、市政道路路基、路面以及双方约定的其他项目。具体保修的内容，双方约定如下：</w:t>
      </w:r>
    </w:p>
    <w:p>
      <w:pPr>
        <w:pStyle w:val="20"/>
        <w:spacing w:line="360" w:lineRule="auto"/>
        <w:ind w:firstLine="480"/>
        <w:jc w:val="left"/>
        <w:rPr>
          <w:rFonts w:hint="eastAsia" w:hAnsi="宋体"/>
          <w:color w:val="auto"/>
          <w:highlight w:val="none"/>
          <w:u w:val="single"/>
        </w:rPr>
      </w:pPr>
      <w:r>
        <w:rPr>
          <w:rFonts w:hint="eastAsia" w:hAnsi="宋体"/>
          <w:color w:val="auto"/>
          <w:highlight w:val="none"/>
          <w:u w:val="single"/>
        </w:rPr>
        <w:t>承包范围内的工作内容。</w:t>
      </w:r>
    </w:p>
    <w:p>
      <w:pPr>
        <w:pStyle w:val="20"/>
        <w:spacing w:line="360" w:lineRule="auto"/>
        <w:ind w:firstLine="480"/>
        <w:jc w:val="left"/>
        <w:rPr>
          <w:rFonts w:hint="eastAsia" w:hAnsi="宋体"/>
          <w:color w:val="auto"/>
          <w:highlight w:val="none"/>
        </w:rPr>
      </w:pPr>
    </w:p>
    <w:p>
      <w:pPr>
        <w:pStyle w:val="20"/>
        <w:spacing w:line="360" w:lineRule="auto"/>
        <w:ind w:firstLine="400" w:firstLineChars="200"/>
        <w:jc w:val="left"/>
        <w:rPr>
          <w:b/>
          <w:bCs/>
          <w:color w:val="auto"/>
          <w:highlight w:val="none"/>
        </w:rPr>
      </w:pPr>
      <w:r>
        <w:rPr>
          <w:rFonts w:hint="eastAsia"/>
          <w:b/>
          <w:bCs/>
          <w:color w:val="auto"/>
          <w:highlight w:val="none"/>
        </w:rPr>
        <w:t>二、质量保修期</w:t>
      </w:r>
    </w:p>
    <w:p>
      <w:pPr>
        <w:pStyle w:val="20"/>
        <w:spacing w:line="360" w:lineRule="auto"/>
        <w:ind w:firstLine="400" w:firstLineChars="200"/>
        <w:jc w:val="left"/>
        <w:rPr>
          <w:color w:val="auto"/>
          <w:highlight w:val="none"/>
        </w:rPr>
      </w:pPr>
      <w:r>
        <w:rPr>
          <w:rFonts w:hint="eastAsia"/>
          <w:color w:val="auto"/>
          <w:highlight w:val="none"/>
        </w:rPr>
        <w:t>质量保修期从工程竣工验收合格之日算起。分单项竣工验收的工程，按单项工程分别计算质量保修期。</w:t>
      </w:r>
    </w:p>
    <w:p>
      <w:pPr>
        <w:pStyle w:val="20"/>
        <w:spacing w:line="360" w:lineRule="auto"/>
        <w:ind w:firstLine="400" w:firstLineChars="200"/>
        <w:jc w:val="left"/>
        <w:rPr>
          <w:color w:val="auto"/>
          <w:highlight w:val="none"/>
        </w:rPr>
      </w:pPr>
      <w:r>
        <w:rPr>
          <w:rFonts w:hint="eastAsia"/>
          <w:color w:val="auto"/>
          <w:highlight w:val="none"/>
        </w:rPr>
        <w:t>双方根据《建设工程质量管理条例》规定，结合该工程约定质量保修期如下：</w:t>
      </w:r>
    </w:p>
    <w:p>
      <w:pPr>
        <w:pStyle w:val="20"/>
        <w:spacing w:line="360" w:lineRule="auto"/>
        <w:ind w:firstLine="400" w:firstLineChars="200"/>
        <w:jc w:val="left"/>
        <w:rPr>
          <w:color w:val="auto"/>
          <w:highlight w:val="none"/>
        </w:rPr>
      </w:pPr>
      <w:r>
        <w:rPr>
          <w:rFonts w:hint="eastAsia"/>
          <w:color w:val="auto"/>
          <w:highlight w:val="none"/>
        </w:rPr>
        <w:t>1、基础设施工程、房屋建筑的地基基础工程和主体结构工程为设计文件规定的（50年、70年、100年）合理使用年限，屋面防水工程、有防水要求的卫生间、房间和外墙面的防渗漏为5年；</w:t>
      </w:r>
    </w:p>
    <w:p>
      <w:pPr>
        <w:pStyle w:val="20"/>
        <w:spacing w:line="360" w:lineRule="auto"/>
        <w:ind w:firstLine="400" w:firstLineChars="200"/>
        <w:jc w:val="left"/>
        <w:rPr>
          <w:color w:val="auto"/>
          <w:highlight w:val="none"/>
        </w:rPr>
      </w:pPr>
      <w:r>
        <w:rPr>
          <w:rFonts w:hint="eastAsia"/>
          <w:color w:val="auto"/>
          <w:highlight w:val="none"/>
        </w:rPr>
        <w:t>2、电气管线、给排水管道、设备安装工程为2年；</w:t>
      </w:r>
    </w:p>
    <w:p>
      <w:pPr>
        <w:pStyle w:val="20"/>
        <w:spacing w:line="360" w:lineRule="auto"/>
        <w:ind w:firstLine="400" w:firstLineChars="200"/>
        <w:jc w:val="left"/>
        <w:rPr>
          <w:color w:val="auto"/>
          <w:highlight w:val="none"/>
        </w:rPr>
      </w:pPr>
      <w:r>
        <w:rPr>
          <w:rFonts w:hint="eastAsia"/>
          <w:color w:val="auto"/>
          <w:highlight w:val="none"/>
        </w:rPr>
        <w:t>3、空调及制冷为2个供冷期；</w:t>
      </w:r>
    </w:p>
    <w:p>
      <w:pPr>
        <w:pStyle w:val="20"/>
        <w:spacing w:line="360" w:lineRule="auto"/>
        <w:ind w:firstLine="400" w:firstLineChars="200"/>
        <w:jc w:val="left"/>
        <w:rPr>
          <w:color w:val="auto"/>
          <w:highlight w:val="none"/>
        </w:rPr>
      </w:pPr>
      <w:r>
        <w:rPr>
          <w:rFonts w:hint="eastAsia"/>
          <w:color w:val="auto"/>
          <w:highlight w:val="none"/>
        </w:rPr>
        <w:t>4、室外的给排水和小区道路等配套工程为2年；</w:t>
      </w:r>
    </w:p>
    <w:p>
      <w:pPr>
        <w:pStyle w:val="20"/>
        <w:spacing w:line="360" w:lineRule="auto"/>
        <w:ind w:firstLine="400" w:firstLineChars="200"/>
        <w:jc w:val="left"/>
        <w:rPr>
          <w:color w:val="auto"/>
          <w:highlight w:val="none"/>
        </w:rPr>
      </w:pPr>
      <w:r>
        <w:rPr>
          <w:rFonts w:hint="eastAsia"/>
          <w:color w:val="auto"/>
          <w:highlight w:val="none"/>
        </w:rPr>
        <w:t>5、市政桥梁工程为</w:t>
      </w:r>
      <w:r>
        <w:rPr>
          <w:color w:val="auto"/>
          <w:highlight w:val="none"/>
          <w:u w:val="single"/>
        </w:rPr>
        <w:t xml:space="preserve">     </w:t>
      </w:r>
      <w:r>
        <w:rPr>
          <w:rFonts w:hint="eastAsia"/>
          <w:color w:val="auto"/>
          <w:highlight w:val="none"/>
        </w:rPr>
        <w:t>年；</w:t>
      </w:r>
    </w:p>
    <w:p>
      <w:pPr>
        <w:pStyle w:val="20"/>
        <w:spacing w:line="360" w:lineRule="auto"/>
        <w:ind w:firstLine="400" w:firstLineChars="200"/>
        <w:jc w:val="left"/>
        <w:rPr>
          <w:color w:val="auto"/>
          <w:highlight w:val="none"/>
        </w:rPr>
      </w:pPr>
      <w:r>
        <w:rPr>
          <w:rFonts w:hint="eastAsia"/>
          <w:color w:val="auto"/>
          <w:highlight w:val="none"/>
        </w:rPr>
        <w:t>6、市政道路路基为</w:t>
      </w:r>
      <w:r>
        <w:rPr>
          <w:color w:val="auto"/>
          <w:highlight w:val="none"/>
          <w:u w:val="single"/>
        </w:rPr>
        <w:t xml:space="preserve">     </w:t>
      </w:r>
      <w:r>
        <w:rPr>
          <w:rFonts w:hint="eastAsia"/>
          <w:color w:val="auto"/>
          <w:highlight w:val="none"/>
        </w:rPr>
        <w:t>年；</w:t>
      </w:r>
    </w:p>
    <w:p>
      <w:pPr>
        <w:pStyle w:val="20"/>
        <w:spacing w:line="360" w:lineRule="auto"/>
        <w:ind w:firstLine="400" w:firstLineChars="200"/>
        <w:jc w:val="left"/>
        <w:rPr>
          <w:color w:val="auto"/>
          <w:highlight w:val="none"/>
        </w:rPr>
      </w:pPr>
      <w:r>
        <w:rPr>
          <w:rFonts w:hint="eastAsia"/>
          <w:color w:val="auto"/>
          <w:highlight w:val="none"/>
        </w:rPr>
        <w:t>7、市政道路路面为</w:t>
      </w:r>
      <w:r>
        <w:rPr>
          <w:color w:val="auto"/>
          <w:highlight w:val="none"/>
          <w:u w:val="single"/>
        </w:rPr>
        <w:t xml:space="preserve">     </w:t>
      </w:r>
      <w:r>
        <w:rPr>
          <w:rFonts w:hint="eastAsia"/>
          <w:color w:val="auto"/>
          <w:highlight w:val="none"/>
        </w:rPr>
        <w:t>年；</w:t>
      </w:r>
    </w:p>
    <w:p>
      <w:pPr>
        <w:pStyle w:val="20"/>
        <w:spacing w:line="360" w:lineRule="auto"/>
        <w:ind w:firstLine="400" w:firstLineChars="200"/>
        <w:jc w:val="left"/>
        <w:rPr>
          <w:color w:val="auto"/>
          <w:highlight w:val="none"/>
        </w:rPr>
      </w:pPr>
      <w:r>
        <w:rPr>
          <w:color w:val="auto"/>
          <w:highlight w:val="none"/>
        </w:rPr>
        <w:t>8</w:t>
      </w:r>
      <w:r>
        <w:rPr>
          <w:rFonts w:hint="eastAsia"/>
          <w:color w:val="auto"/>
          <w:highlight w:val="none"/>
        </w:rPr>
        <w:t>、地下管廊工程为</w:t>
      </w:r>
      <w:r>
        <w:rPr>
          <w:color w:val="auto"/>
          <w:highlight w:val="none"/>
          <w:u w:val="single"/>
        </w:rPr>
        <w:t xml:space="preserve">     </w:t>
      </w:r>
      <w:r>
        <w:rPr>
          <w:rFonts w:hint="eastAsia"/>
          <w:color w:val="auto"/>
          <w:highlight w:val="none"/>
        </w:rPr>
        <w:t>年；</w:t>
      </w:r>
    </w:p>
    <w:p>
      <w:pPr>
        <w:pStyle w:val="20"/>
        <w:spacing w:line="360" w:lineRule="auto"/>
        <w:ind w:firstLine="400" w:firstLineChars="200"/>
        <w:jc w:val="left"/>
        <w:rPr>
          <w:rFonts w:hint="eastAsia"/>
          <w:color w:val="auto"/>
          <w:highlight w:val="none"/>
        </w:rPr>
      </w:pPr>
      <w:r>
        <w:rPr>
          <w:rFonts w:hint="eastAsia"/>
          <w:color w:val="auto"/>
          <w:highlight w:val="none"/>
        </w:rPr>
        <w:t>9、涵渠工程为</w:t>
      </w:r>
      <w:r>
        <w:rPr>
          <w:color w:val="auto"/>
          <w:highlight w:val="none"/>
          <w:u w:val="single"/>
        </w:rPr>
        <w:t xml:space="preserve">     </w:t>
      </w:r>
      <w:r>
        <w:rPr>
          <w:rFonts w:hint="eastAsia"/>
          <w:color w:val="auto"/>
          <w:highlight w:val="none"/>
        </w:rPr>
        <w:t>年；</w:t>
      </w:r>
    </w:p>
    <w:p>
      <w:pPr>
        <w:pStyle w:val="20"/>
        <w:spacing w:line="360" w:lineRule="auto"/>
        <w:ind w:firstLine="400" w:firstLineChars="200"/>
        <w:jc w:val="left"/>
        <w:rPr>
          <w:color w:val="auto"/>
          <w:highlight w:val="none"/>
        </w:rPr>
      </w:pPr>
      <w:r>
        <w:rPr>
          <w:color w:val="auto"/>
          <w:highlight w:val="none"/>
        </w:rPr>
        <w:t>10</w:t>
      </w:r>
      <w:r>
        <w:rPr>
          <w:rFonts w:hint="eastAsia"/>
          <w:color w:val="auto"/>
          <w:highlight w:val="none"/>
        </w:rPr>
        <w:t>、其他项目保修期限约定如下：</w:t>
      </w:r>
      <w:r>
        <w:rPr>
          <w:rFonts w:hint="eastAsia"/>
          <w:color w:val="auto"/>
          <w:highlight w:val="none"/>
          <w:u w:val="single"/>
        </w:rPr>
        <w:t>2年。</w:t>
      </w:r>
    </w:p>
    <w:p>
      <w:pPr>
        <w:pStyle w:val="20"/>
        <w:spacing w:line="360" w:lineRule="auto"/>
        <w:jc w:val="left"/>
        <w:rPr>
          <w:rFonts w:hint="eastAsia" w:hAnsi="宋体"/>
          <w:color w:val="auto"/>
          <w:highlight w:val="none"/>
        </w:rPr>
      </w:pPr>
    </w:p>
    <w:p>
      <w:pPr>
        <w:pStyle w:val="20"/>
        <w:pBdr>
          <w:bottom w:val="single" w:color="auto" w:sz="12" w:space="9"/>
        </w:pBdr>
        <w:spacing w:line="360" w:lineRule="auto"/>
        <w:ind w:firstLine="480"/>
        <w:jc w:val="left"/>
        <w:rPr>
          <w:b/>
          <w:bCs/>
          <w:color w:val="auto"/>
          <w:highlight w:val="none"/>
        </w:rPr>
      </w:pPr>
      <w:r>
        <w:rPr>
          <w:rFonts w:hint="eastAsia"/>
          <w:b/>
          <w:bCs/>
          <w:color w:val="auto"/>
          <w:highlight w:val="none"/>
        </w:rPr>
        <w:t>三、质量保修责任</w:t>
      </w:r>
    </w:p>
    <w:p>
      <w:pPr>
        <w:pStyle w:val="20"/>
        <w:pBdr>
          <w:bottom w:val="single" w:color="auto" w:sz="12" w:space="9"/>
        </w:pBdr>
        <w:spacing w:line="360" w:lineRule="auto"/>
        <w:ind w:firstLine="480"/>
        <w:jc w:val="left"/>
        <w:rPr>
          <w:color w:val="auto"/>
          <w:spacing w:val="-4"/>
          <w:highlight w:val="none"/>
        </w:rPr>
      </w:pPr>
      <w:r>
        <w:rPr>
          <w:rFonts w:hint="eastAsia"/>
          <w:color w:val="auto"/>
          <w:highlight w:val="none"/>
        </w:rPr>
        <w:t>1、属于</w:t>
      </w:r>
      <w:r>
        <w:rPr>
          <w:rFonts w:hint="eastAsia"/>
          <w:color w:val="auto"/>
          <w:spacing w:val="-4"/>
          <w:highlight w:val="none"/>
        </w:rPr>
        <w:t>保修范围、内容的项目，承包人应当在接到保修通知之日起2天内派人保修。承包人不在约定期限内派人保修的，发包人可以委托他人修理,保修费用从质量保证金内扣除。</w:t>
      </w:r>
    </w:p>
    <w:p>
      <w:pPr>
        <w:pStyle w:val="20"/>
        <w:pBdr>
          <w:bottom w:val="single" w:color="auto" w:sz="12" w:space="9"/>
        </w:pBdr>
        <w:spacing w:line="360" w:lineRule="auto"/>
        <w:ind w:firstLine="480"/>
        <w:jc w:val="left"/>
        <w:rPr>
          <w:color w:val="auto"/>
          <w:highlight w:val="none"/>
        </w:rPr>
      </w:pPr>
      <w:r>
        <w:rPr>
          <w:rFonts w:hint="eastAsia"/>
          <w:color w:val="auto"/>
          <w:highlight w:val="none"/>
        </w:rPr>
        <w:t>2、发生紧急抢修事故的（如给排水跑水、燃气漏气等），承包人接到事故通知后，应立即到达事故现场抢修。非承包人施工质量引起的事故，抢修费用由发包人承担。</w:t>
      </w:r>
    </w:p>
    <w:p>
      <w:pPr>
        <w:pStyle w:val="20"/>
        <w:pBdr>
          <w:bottom w:val="single" w:color="auto" w:sz="12" w:space="9"/>
        </w:pBdr>
        <w:spacing w:line="360" w:lineRule="auto"/>
        <w:ind w:firstLine="480"/>
        <w:jc w:val="left"/>
        <w:rPr>
          <w:color w:val="auto"/>
          <w:highlight w:val="none"/>
        </w:rPr>
      </w:pPr>
      <w:r>
        <w:rPr>
          <w:rFonts w:hint="eastAsia"/>
          <w:color w:val="auto"/>
          <w:highlight w:val="none"/>
        </w:rPr>
        <w:t>3、对于涉及结构安全的质量问题，应当按照《房屋建筑工程质量保修办法》的规定，立即向所属建设行政主管部门报告，采取安全防范措施；由原设计单位或者具有相应资质等级的设计单位提出保修方案，承包人实施保修。</w:t>
      </w:r>
    </w:p>
    <w:p>
      <w:pPr>
        <w:pStyle w:val="20"/>
        <w:pBdr>
          <w:bottom w:val="single" w:color="auto" w:sz="12" w:space="9"/>
        </w:pBdr>
        <w:spacing w:line="360" w:lineRule="auto"/>
        <w:ind w:firstLine="480"/>
        <w:jc w:val="left"/>
        <w:rPr>
          <w:color w:val="auto"/>
          <w:highlight w:val="none"/>
        </w:rPr>
      </w:pPr>
      <w:r>
        <w:rPr>
          <w:rFonts w:hint="eastAsia"/>
          <w:color w:val="auto"/>
          <w:highlight w:val="none"/>
        </w:rPr>
        <w:t>4、质量保修完成后，由发包人组织验收。</w:t>
      </w:r>
    </w:p>
    <w:p>
      <w:pPr>
        <w:pStyle w:val="20"/>
        <w:pBdr>
          <w:bottom w:val="single" w:color="auto" w:sz="12" w:space="9"/>
        </w:pBdr>
        <w:spacing w:line="360" w:lineRule="auto"/>
        <w:ind w:firstLine="480"/>
        <w:jc w:val="left"/>
        <w:rPr>
          <w:color w:val="auto"/>
          <w:highlight w:val="none"/>
        </w:rPr>
      </w:pPr>
    </w:p>
    <w:p>
      <w:pPr>
        <w:pStyle w:val="20"/>
        <w:pBdr>
          <w:bottom w:val="single" w:color="auto" w:sz="12" w:space="9"/>
        </w:pBdr>
        <w:spacing w:line="360" w:lineRule="auto"/>
        <w:ind w:firstLine="480"/>
        <w:jc w:val="left"/>
        <w:rPr>
          <w:b/>
          <w:bCs/>
          <w:color w:val="auto"/>
          <w:highlight w:val="none"/>
        </w:rPr>
      </w:pPr>
      <w:r>
        <w:rPr>
          <w:rFonts w:hint="eastAsia"/>
          <w:b/>
          <w:bCs/>
          <w:color w:val="auto"/>
          <w:highlight w:val="none"/>
        </w:rPr>
        <w:t>四、质量保证金的支付</w:t>
      </w:r>
    </w:p>
    <w:p>
      <w:pPr>
        <w:pStyle w:val="20"/>
        <w:pBdr>
          <w:bottom w:val="single" w:color="auto" w:sz="12" w:space="9"/>
        </w:pBdr>
        <w:spacing w:line="360" w:lineRule="auto"/>
        <w:ind w:firstLine="480"/>
        <w:jc w:val="left"/>
        <w:rPr>
          <w:color w:val="auto"/>
          <w:highlight w:val="none"/>
        </w:rPr>
      </w:pPr>
      <w:r>
        <w:rPr>
          <w:rFonts w:hint="eastAsia"/>
          <w:color w:val="auto"/>
          <w:highlight w:val="none"/>
        </w:rPr>
        <w:t>工程质量保证金按工程价款结算总额</w:t>
      </w:r>
      <w:r>
        <w:rPr>
          <w:color w:val="auto"/>
          <w:highlight w:val="none"/>
          <w:u w:val="single"/>
        </w:rPr>
        <w:t xml:space="preserve"> 3 </w:t>
      </w:r>
      <w:r>
        <w:rPr>
          <w:color w:val="auto"/>
          <w:highlight w:val="none"/>
        </w:rPr>
        <w:t>%</w:t>
      </w:r>
      <w:r>
        <w:rPr>
          <w:rFonts w:hint="eastAsia"/>
          <w:color w:val="auto"/>
          <w:highlight w:val="none"/>
        </w:rPr>
        <w:t>左右预留，本工程约定的工程质量保证金为工程价款结算总额的</w:t>
      </w:r>
      <w:r>
        <w:rPr>
          <w:color w:val="auto"/>
          <w:highlight w:val="none"/>
          <w:u w:val="single"/>
        </w:rPr>
        <w:t xml:space="preserve"> 3 </w:t>
      </w:r>
      <w:r>
        <w:rPr>
          <w:rFonts w:hint="eastAsia"/>
          <w:color w:val="auto"/>
          <w:highlight w:val="none"/>
        </w:rPr>
        <w:t>%。</w:t>
      </w:r>
    </w:p>
    <w:p>
      <w:pPr>
        <w:pStyle w:val="20"/>
        <w:pBdr>
          <w:bottom w:val="single" w:color="auto" w:sz="12" w:space="9"/>
        </w:pBdr>
        <w:spacing w:line="360" w:lineRule="auto"/>
        <w:ind w:firstLine="480"/>
        <w:jc w:val="left"/>
        <w:rPr>
          <w:color w:val="auto"/>
          <w:highlight w:val="none"/>
        </w:rPr>
      </w:pPr>
      <w:r>
        <w:rPr>
          <w:rFonts w:hint="eastAsia"/>
          <w:color w:val="auto"/>
          <w:highlight w:val="none"/>
        </w:rPr>
        <w:t>本工程双方约定承包人向发包人支付工程质量保证金金额为（大写）</w:t>
      </w:r>
      <w:r>
        <w:rPr>
          <w:color w:val="auto"/>
          <w:highlight w:val="none"/>
          <w:u w:val="single"/>
        </w:rPr>
        <w:t xml:space="preserve">               </w:t>
      </w:r>
      <w:r>
        <w:rPr>
          <w:rFonts w:hint="eastAsia"/>
          <w:color w:val="auto"/>
          <w:highlight w:val="none"/>
        </w:rPr>
        <w:t>，发包人从结算价中扣留。</w:t>
      </w:r>
    </w:p>
    <w:p>
      <w:pPr>
        <w:pStyle w:val="20"/>
        <w:pBdr>
          <w:bottom w:val="single" w:color="auto" w:sz="12" w:space="9"/>
        </w:pBdr>
        <w:spacing w:line="360" w:lineRule="auto"/>
        <w:ind w:firstLine="480"/>
        <w:jc w:val="left"/>
        <w:rPr>
          <w:color w:val="auto"/>
          <w:highlight w:val="none"/>
        </w:rPr>
      </w:pPr>
      <w:r>
        <w:rPr>
          <w:rFonts w:hint="eastAsia"/>
          <w:color w:val="auto"/>
          <w:highlight w:val="none"/>
        </w:rPr>
        <w:t>质量保证金银行利率为：</w:t>
      </w:r>
      <w:r>
        <w:rPr>
          <w:rFonts w:hint="eastAsia"/>
          <w:color w:val="auto"/>
          <w:highlight w:val="none"/>
          <w:u w:val="single"/>
        </w:rPr>
        <w:t xml:space="preserve">  零  </w:t>
      </w:r>
    </w:p>
    <w:p>
      <w:pPr>
        <w:pStyle w:val="20"/>
        <w:pBdr>
          <w:bottom w:val="single" w:color="auto" w:sz="12" w:space="9"/>
        </w:pBdr>
        <w:spacing w:line="360" w:lineRule="auto"/>
        <w:ind w:firstLine="480"/>
        <w:jc w:val="left"/>
        <w:rPr>
          <w:color w:val="auto"/>
          <w:highlight w:val="none"/>
        </w:rPr>
      </w:pPr>
    </w:p>
    <w:p>
      <w:pPr>
        <w:pStyle w:val="20"/>
        <w:pBdr>
          <w:bottom w:val="single" w:color="auto" w:sz="12" w:space="9"/>
        </w:pBdr>
        <w:spacing w:line="360" w:lineRule="auto"/>
        <w:ind w:firstLine="480"/>
        <w:jc w:val="left"/>
        <w:rPr>
          <w:b/>
          <w:bCs/>
          <w:color w:val="auto"/>
          <w:highlight w:val="none"/>
        </w:rPr>
      </w:pPr>
      <w:r>
        <w:rPr>
          <w:rFonts w:hint="eastAsia"/>
          <w:b/>
          <w:bCs/>
          <w:color w:val="auto"/>
          <w:highlight w:val="none"/>
        </w:rPr>
        <w:t>五、质量保证金的返还</w:t>
      </w:r>
    </w:p>
    <w:p>
      <w:pPr>
        <w:pStyle w:val="20"/>
        <w:pBdr>
          <w:bottom w:val="single" w:color="auto" w:sz="12" w:space="9"/>
        </w:pBdr>
        <w:spacing w:line="360" w:lineRule="auto"/>
        <w:ind w:firstLine="480"/>
        <w:jc w:val="left"/>
        <w:rPr>
          <w:color w:val="auto"/>
          <w:highlight w:val="none"/>
        </w:rPr>
      </w:pPr>
      <w:r>
        <w:rPr>
          <w:rFonts w:hint="eastAsia"/>
          <w:color w:val="auto"/>
          <w:highlight w:val="none"/>
        </w:rPr>
        <w:t>发包人在工程质量验收满二年后第14天内，将剩余保证金返还给承包人，但并不免除承包人在保修期内的保修责任。</w:t>
      </w:r>
    </w:p>
    <w:p>
      <w:pPr>
        <w:pStyle w:val="20"/>
        <w:pBdr>
          <w:bottom w:val="single" w:color="auto" w:sz="12" w:space="9"/>
        </w:pBdr>
        <w:spacing w:line="360" w:lineRule="auto"/>
        <w:ind w:firstLine="480"/>
        <w:jc w:val="left"/>
        <w:rPr>
          <w:color w:val="auto"/>
          <w:highlight w:val="none"/>
        </w:rPr>
      </w:pPr>
    </w:p>
    <w:p>
      <w:pPr>
        <w:pStyle w:val="20"/>
        <w:pBdr>
          <w:bottom w:val="single" w:color="auto" w:sz="12" w:space="9"/>
        </w:pBdr>
        <w:spacing w:before="120" w:beforeLines="50" w:line="360" w:lineRule="auto"/>
        <w:ind w:firstLine="482"/>
        <w:jc w:val="left"/>
        <w:rPr>
          <w:color w:val="auto"/>
          <w:highlight w:val="none"/>
        </w:rPr>
      </w:pPr>
      <w:r>
        <w:rPr>
          <w:rFonts w:hint="eastAsia"/>
          <w:b/>
          <w:bCs/>
          <w:color w:val="auto"/>
          <w:highlight w:val="none"/>
        </w:rPr>
        <w:t>六、其他</w:t>
      </w:r>
    </w:p>
    <w:p>
      <w:pPr>
        <w:pStyle w:val="20"/>
        <w:pBdr>
          <w:bottom w:val="single" w:color="auto" w:sz="12" w:space="9"/>
        </w:pBdr>
        <w:spacing w:line="360" w:lineRule="auto"/>
        <w:ind w:firstLine="480"/>
        <w:jc w:val="left"/>
        <w:rPr>
          <w:color w:val="auto"/>
          <w:highlight w:val="none"/>
        </w:rPr>
      </w:pPr>
      <w:r>
        <w:rPr>
          <w:rFonts w:hint="eastAsia"/>
          <w:color w:val="auto"/>
          <w:highlight w:val="none"/>
        </w:rPr>
        <w:t>双方约定的其他工程质量保修事项：</w:t>
      </w:r>
    </w:p>
    <w:p>
      <w:pPr>
        <w:pStyle w:val="20"/>
        <w:pBdr>
          <w:bottom w:val="single" w:color="auto" w:sz="12" w:space="9"/>
        </w:pBdr>
        <w:spacing w:line="360" w:lineRule="auto"/>
        <w:ind w:firstLine="480"/>
        <w:jc w:val="left"/>
        <w:rPr>
          <w:color w:val="auto"/>
          <w:highlight w:val="none"/>
        </w:rPr>
      </w:pPr>
      <w:r>
        <w:rPr>
          <w:color w:val="auto"/>
          <w:highlight w:val="none"/>
          <w:u w:val="single"/>
        </w:rPr>
        <w:t xml:space="preserve">                                             </w:t>
      </w:r>
    </w:p>
    <w:p>
      <w:pPr>
        <w:pStyle w:val="20"/>
        <w:pBdr>
          <w:bottom w:val="single" w:color="auto" w:sz="12" w:space="9"/>
        </w:pBdr>
        <w:spacing w:line="360" w:lineRule="auto"/>
        <w:ind w:firstLine="480"/>
        <w:jc w:val="left"/>
        <w:rPr>
          <w:color w:val="auto"/>
          <w:highlight w:val="none"/>
        </w:rPr>
      </w:pPr>
    </w:p>
    <w:p>
      <w:pPr>
        <w:pStyle w:val="20"/>
        <w:pBdr>
          <w:bottom w:val="single" w:color="auto" w:sz="12" w:space="9"/>
        </w:pBdr>
        <w:spacing w:line="360" w:lineRule="auto"/>
        <w:ind w:firstLine="480"/>
        <w:jc w:val="left"/>
        <w:rPr>
          <w:color w:val="auto"/>
          <w:highlight w:val="none"/>
        </w:rPr>
      </w:pPr>
    </w:p>
    <w:p>
      <w:pPr>
        <w:pStyle w:val="20"/>
        <w:spacing w:line="360" w:lineRule="auto"/>
        <w:ind w:firstLine="480"/>
        <w:jc w:val="left"/>
        <w:rPr>
          <w:color w:val="auto"/>
          <w:highlight w:val="none"/>
        </w:rPr>
      </w:pPr>
    </w:p>
    <w:p>
      <w:pPr>
        <w:pStyle w:val="20"/>
        <w:pBdr>
          <w:bottom w:val="single" w:color="auto" w:sz="12" w:space="31"/>
        </w:pBdr>
        <w:spacing w:line="360" w:lineRule="auto"/>
        <w:ind w:firstLine="480"/>
        <w:jc w:val="left"/>
        <w:rPr>
          <w:color w:val="auto"/>
          <w:highlight w:val="none"/>
        </w:rPr>
      </w:pPr>
    </w:p>
    <w:p>
      <w:pPr>
        <w:pStyle w:val="20"/>
        <w:pBdr>
          <w:bottom w:val="single" w:color="auto" w:sz="12" w:space="31"/>
        </w:pBdr>
        <w:spacing w:line="360" w:lineRule="auto"/>
        <w:ind w:firstLine="480"/>
        <w:jc w:val="left"/>
        <w:rPr>
          <w:color w:val="auto"/>
          <w:highlight w:val="none"/>
        </w:rPr>
      </w:pP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9051290</wp:posOffset>
                </wp:positionV>
                <wp:extent cx="5600700" cy="396240"/>
                <wp:effectExtent l="4445" t="4445" r="14605" b="18415"/>
                <wp:wrapNone/>
                <wp:docPr id="152" name="矩形 152"/>
                <wp:cNvGraphicFramePr/>
                <a:graphic xmlns:a="http://schemas.openxmlformats.org/drawingml/2006/main">
                  <a:graphicData uri="http://schemas.microsoft.com/office/word/2010/wordprocessingShape">
                    <wps:wsp>
                      <wps:cNvSpPr>
                        <a:spLocks noChangeArrowheads="1"/>
                      </wps:cNvSpPr>
                      <wps:spPr bwMode="auto">
                        <a:xfrm>
                          <a:off x="0" y="0"/>
                          <a:ext cx="5600700" cy="396240"/>
                        </a:xfrm>
                        <a:prstGeom prst="rect">
                          <a:avLst/>
                        </a:prstGeom>
                        <a:solidFill>
                          <a:srgbClr val="FFFFFF"/>
                        </a:solidFill>
                        <a:ln w="9525">
                          <a:solidFill>
                            <a:srgbClr val="FFFFFF"/>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0pt;margin-top:712.7pt;height:31.2pt;width:441pt;z-index:251661312;mso-width-relative:page;mso-height-relative:page;" fillcolor="#FFFFFF" filled="t" stroked="t" coordsize="21600,21600" o:gfxdata="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H3EUdYAAAAKAQAADwAAAAAAAAABACAAAAAiAAAAZHJzL2Rvd25y&#10;ZXYueG1sUEsBAhQAFAAAAAgAh07iQB10ufg5AgAAgQQAAA4AAAAAAAAAAQAgAAAAJQEAAGRycy9l&#10;Mm9Eb2MueG1sUEsFBgAAAAAGAAYAWQEAANAFAAAAAA==&#10;">
                <v:fill on="t" focussize="0,0"/>
                <v:stroke color="#FFFFFF" miterlimit="8" joinstyle="miter"/>
                <v:imagedata o:title=""/>
                <o:lock v:ext="edit" aspectratio="f"/>
              </v:rect>
            </w:pict>
          </mc:Fallback>
        </mc:AlternateContent>
      </w:r>
    </w:p>
    <w:p>
      <w:pPr>
        <w:pStyle w:val="20"/>
        <w:pBdr>
          <w:bottom w:val="single" w:color="auto" w:sz="12" w:space="31"/>
        </w:pBdr>
        <w:spacing w:line="360" w:lineRule="auto"/>
        <w:ind w:firstLine="480"/>
        <w:jc w:val="left"/>
        <w:rPr>
          <w:color w:val="auto"/>
          <w:highlight w:val="none"/>
        </w:rPr>
      </w:pPr>
      <w:r>
        <w:rPr>
          <w:rFonts w:hint="eastAsia"/>
          <w:color w:val="auto"/>
          <w:highlight w:val="none"/>
        </w:rPr>
        <w:t>本工程质量保修书作为施工合同附件（由施工合同发包人承包人双方共同签署），其有效期限至保修期满。</w:t>
      </w:r>
    </w:p>
    <w:p>
      <w:pPr>
        <w:pStyle w:val="20"/>
        <w:pBdr>
          <w:bottom w:val="single" w:color="auto" w:sz="12" w:space="31"/>
        </w:pBdr>
        <w:spacing w:line="360" w:lineRule="auto"/>
        <w:ind w:firstLine="480"/>
        <w:jc w:val="left"/>
        <w:rPr>
          <w:color w:val="auto"/>
          <w:highlight w:val="none"/>
        </w:rPr>
      </w:pPr>
    </w:p>
    <w:p>
      <w:pPr>
        <w:pStyle w:val="20"/>
        <w:pBdr>
          <w:bottom w:val="single" w:color="auto" w:sz="12" w:space="31"/>
        </w:pBdr>
        <w:spacing w:line="360" w:lineRule="auto"/>
        <w:ind w:firstLine="480"/>
        <w:jc w:val="left"/>
        <w:rPr>
          <w:color w:val="auto"/>
          <w:highlight w:val="none"/>
        </w:rPr>
      </w:pPr>
    </w:p>
    <w:p>
      <w:pPr>
        <w:pStyle w:val="20"/>
        <w:pBdr>
          <w:bottom w:val="single" w:color="auto" w:sz="12" w:space="31"/>
        </w:pBdr>
        <w:spacing w:line="360" w:lineRule="auto"/>
        <w:ind w:firstLine="480"/>
        <w:jc w:val="left"/>
        <w:rPr>
          <w:color w:val="auto"/>
          <w:highlight w:val="none"/>
        </w:rPr>
      </w:pPr>
      <w:r>
        <w:rPr>
          <w:rFonts w:hint="eastAsia"/>
          <w:color w:val="auto"/>
          <w:highlight w:val="none"/>
        </w:rPr>
        <w:t>发</w:t>
      </w:r>
      <w:r>
        <w:rPr>
          <w:color w:val="auto"/>
          <w:highlight w:val="none"/>
        </w:rPr>
        <w:t xml:space="preserve">  </w:t>
      </w:r>
      <w:r>
        <w:rPr>
          <w:rFonts w:hint="eastAsia"/>
          <w:color w:val="auto"/>
          <w:highlight w:val="none"/>
        </w:rPr>
        <w:t>包</w:t>
      </w:r>
      <w:r>
        <w:rPr>
          <w:color w:val="auto"/>
          <w:highlight w:val="none"/>
        </w:rPr>
        <w:t xml:space="preserve">  </w:t>
      </w:r>
      <w:r>
        <w:rPr>
          <w:rFonts w:hint="eastAsia"/>
          <w:color w:val="auto"/>
          <w:highlight w:val="none"/>
        </w:rPr>
        <w:t>人（公章）：</w:t>
      </w:r>
    </w:p>
    <w:p>
      <w:pPr>
        <w:pStyle w:val="20"/>
        <w:pBdr>
          <w:bottom w:val="single" w:color="auto" w:sz="12" w:space="31"/>
        </w:pBdr>
        <w:spacing w:line="360" w:lineRule="auto"/>
        <w:ind w:firstLine="480"/>
        <w:jc w:val="left"/>
        <w:rPr>
          <w:color w:val="auto"/>
          <w:highlight w:val="none"/>
        </w:rPr>
      </w:pPr>
      <w:r>
        <w:rPr>
          <w:rFonts w:hint="eastAsia"/>
          <w:color w:val="auto"/>
          <w:highlight w:val="none"/>
        </w:rPr>
        <w:t>法定代表人（签字）：</w:t>
      </w:r>
    </w:p>
    <w:p>
      <w:pPr>
        <w:pStyle w:val="20"/>
        <w:pBdr>
          <w:bottom w:val="single" w:color="auto" w:sz="12" w:space="31"/>
        </w:pBdr>
        <w:spacing w:line="360" w:lineRule="auto"/>
        <w:ind w:firstLine="480"/>
        <w:jc w:val="left"/>
        <w:rPr>
          <w:color w:val="auto"/>
          <w:highlight w:val="none"/>
        </w:rPr>
      </w:pPr>
      <w:r>
        <w:rPr>
          <w:rFonts w:hint="eastAsia"/>
          <w:color w:val="auto"/>
          <w:highlight w:val="none"/>
        </w:rPr>
        <w:t>或委托代理人（签字）：</w:t>
      </w:r>
    </w:p>
    <w:p>
      <w:pPr>
        <w:pStyle w:val="20"/>
        <w:pBdr>
          <w:bottom w:val="single" w:color="auto" w:sz="12" w:space="31"/>
        </w:pBdr>
        <w:spacing w:line="360" w:lineRule="auto"/>
        <w:ind w:firstLine="3856" w:firstLineChars="1928"/>
        <w:jc w:val="left"/>
        <w:rPr>
          <w:color w:val="auto"/>
          <w:highlight w:val="none"/>
        </w:rPr>
      </w:pPr>
      <w:r>
        <w:rPr>
          <w:rFonts w:hint="eastAsia"/>
          <w:color w:val="auto"/>
          <w:highlight w:val="none"/>
        </w:rPr>
        <w:t>年 月 日</w:t>
      </w:r>
    </w:p>
    <w:p>
      <w:pPr>
        <w:pStyle w:val="20"/>
        <w:pBdr>
          <w:bottom w:val="single" w:color="auto" w:sz="12" w:space="31"/>
        </w:pBdr>
        <w:spacing w:line="360" w:lineRule="auto"/>
        <w:ind w:firstLine="400" w:firstLineChars="200"/>
        <w:jc w:val="left"/>
        <w:rPr>
          <w:color w:val="auto"/>
          <w:highlight w:val="none"/>
        </w:rPr>
      </w:pPr>
    </w:p>
    <w:p>
      <w:pPr>
        <w:pStyle w:val="20"/>
        <w:pBdr>
          <w:bottom w:val="single" w:color="auto" w:sz="12" w:space="31"/>
        </w:pBdr>
        <w:spacing w:line="360" w:lineRule="auto"/>
        <w:ind w:firstLine="400" w:firstLineChars="200"/>
        <w:jc w:val="left"/>
        <w:rPr>
          <w:color w:val="auto"/>
          <w:highlight w:val="none"/>
        </w:rPr>
      </w:pPr>
    </w:p>
    <w:p>
      <w:pPr>
        <w:pStyle w:val="20"/>
        <w:pBdr>
          <w:bottom w:val="single" w:color="auto" w:sz="12" w:space="31"/>
        </w:pBdr>
        <w:spacing w:line="360" w:lineRule="auto"/>
        <w:ind w:firstLine="400" w:firstLineChars="200"/>
        <w:jc w:val="left"/>
        <w:rPr>
          <w:color w:val="auto"/>
          <w:highlight w:val="none"/>
        </w:rPr>
      </w:pPr>
      <w:r>
        <w:rPr>
          <w:rFonts w:hint="eastAsia"/>
          <w:color w:val="auto"/>
          <w:highlight w:val="none"/>
        </w:rPr>
        <w:t>承</w:t>
      </w:r>
      <w:r>
        <w:rPr>
          <w:color w:val="auto"/>
          <w:highlight w:val="none"/>
        </w:rPr>
        <w:t xml:space="preserve">  </w:t>
      </w:r>
      <w:r>
        <w:rPr>
          <w:rFonts w:hint="eastAsia"/>
          <w:color w:val="auto"/>
          <w:highlight w:val="none"/>
        </w:rPr>
        <w:t>包</w:t>
      </w:r>
      <w:r>
        <w:rPr>
          <w:color w:val="auto"/>
          <w:highlight w:val="none"/>
        </w:rPr>
        <w:t xml:space="preserve">  </w:t>
      </w:r>
      <w:r>
        <w:rPr>
          <w:rFonts w:hint="eastAsia"/>
          <w:color w:val="auto"/>
          <w:highlight w:val="none"/>
        </w:rPr>
        <w:t>人（公章）：</w:t>
      </w:r>
    </w:p>
    <w:p>
      <w:pPr>
        <w:pStyle w:val="20"/>
        <w:pBdr>
          <w:bottom w:val="single" w:color="auto" w:sz="12" w:space="31"/>
        </w:pBdr>
        <w:spacing w:line="360" w:lineRule="auto"/>
        <w:ind w:firstLine="400" w:firstLineChars="200"/>
        <w:jc w:val="left"/>
        <w:rPr>
          <w:color w:val="auto"/>
          <w:highlight w:val="none"/>
        </w:rPr>
      </w:pPr>
      <w:r>
        <w:rPr>
          <w:rFonts w:hint="eastAsia"/>
          <w:color w:val="auto"/>
          <w:highlight w:val="none"/>
        </w:rPr>
        <w:t>法定代表人（签字）：</w:t>
      </w:r>
    </w:p>
    <w:p>
      <w:pPr>
        <w:pStyle w:val="20"/>
        <w:pBdr>
          <w:bottom w:val="single" w:color="auto" w:sz="12" w:space="31"/>
        </w:pBdr>
        <w:spacing w:line="360" w:lineRule="auto"/>
        <w:ind w:firstLine="400" w:firstLineChars="200"/>
        <w:jc w:val="left"/>
        <w:rPr>
          <w:color w:val="auto"/>
          <w:highlight w:val="none"/>
        </w:rPr>
      </w:pPr>
      <w:r>
        <w:rPr>
          <w:rFonts w:hint="eastAsia"/>
          <w:color w:val="auto"/>
          <w:highlight w:val="none"/>
        </w:rPr>
        <w:t>或委托代理人（签字）</w:t>
      </w:r>
    </w:p>
    <w:p>
      <w:pPr>
        <w:pStyle w:val="20"/>
        <w:pBdr>
          <w:bottom w:val="single" w:color="auto" w:sz="12" w:space="31"/>
        </w:pBdr>
        <w:spacing w:line="360" w:lineRule="auto"/>
        <w:ind w:firstLine="3800" w:firstLineChars="1900"/>
        <w:jc w:val="left"/>
        <w:rPr>
          <w:color w:val="auto"/>
          <w:highlight w:val="none"/>
        </w:rPr>
      </w:pPr>
      <w:r>
        <w:rPr>
          <w:rFonts w:hint="eastAsia"/>
          <w:color w:val="auto"/>
          <w:highlight w:val="none"/>
        </w:rPr>
        <w:t>年 月 日</w:t>
      </w:r>
    </w:p>
    <w:p>
      <w:pPr>
        <w:pStyle w:val="20"/>
        <w:pBdr>
          <w:bottom w:val="single" w:color="auto" w:sz="12" w:space="31"/>
        </w:pBdr>
        <w:ind w:firstLine="3800" w:firstLineChars="1900"/>
        <w:jc w:val="left"/>
        <w:rPr>
          <w:color w:val="auto"/>
          <w:highlight w:val="none"/>
        </w:rPr>
      </w:pPr>
    </w:p>
    <w:p>
      <w:pPr>
        <w:jc w:val="left"/>
        <w:rPr>
          <w:rFonts w:ascii="宋体"/>
          <w:bCs/>
          <w:color w:val="auto"/>
          <w:sz w:val="28"/>
          <w:szCs w:val="28"/>
          <w:highlight w:val="none"/>
        </w:rPr>
      </w:pPr>
      <w:r>
        <w:rPr>
          <w:color w:val="auto"/>
          <w:highlight w:val="none"/>
        </w:rPr>
        <w:br w:type="page"/>
      </w:r>
      <w:r>
        <w:rPr>
          <w:rFonts w:hint="eastAsia" w:ascii="宋体"/>
          <w:bCs/>
          <w:color w:val="auto"/>
          <w:sz w:val="28"/>
          <w:szCs w:val="28"/>
          <w:highlight w:val="none"/>
        </w:rPr>
        <w:t>附件5：</w:t>
      </w:r>
    </w:p>
    <w:p>
      <w:pPr>
        <w:rPr>
          <w:color w:val="auto"/>
          <w:highlight w:val="none"/>
        </w:rPr>
      </w:pPr>
    </w:p>
    <w:p>
      <w:pPr>
        <w:spacing w:line="560" w:lineRule="exact"/>
        <w:jc w:val="center"/>
        <w:rPr>
          <w:rFonts w:ascii="黑体" w:eastAsia="黑体"/>
          <w:b/>
          <w:color w:val="auto"/>
          <w:sz w:val="44"/>
          <w:highlight w:val="none"/>
        </w:rPr>
      </w:pPr>
    </w:p>
    <w:p>
      <w:pPr>
        <w:spacing w:line="560" w:lineRule="exact"/>
        <w:jc w:val="center"/>
        <w:rPr>
          <w:rFonts w:ascii="黑体" w:eastAsia="黑体"/>
          <w:b/>
          <w:color w:val="auto"/>
          <w:sz w:val="44"/>
          <w:highlight w:val="none"/>
        </w:rPr>
      </w:pPr>
      <w:r>
        <w:rPr>
          <w:rFonts w:hint="eastAsia" w:ascii="黑体" w:eastAsia="黑体"/>
          <w:b/>
          <w:color w:val="auto"/>
          <w:sz w:val="44"/>
          <w:highlight w:val="none"/>
        </w:rPr>
        <w:t>项目经理委托书</w:t>
      </w:r>
    </w:p>
    <w:p>
      <w:pPr>
        <w:spacing w:line="400" w:lineRule="exact"/>
        <w:jc w:val="left"/>
        <w:rPr>
          <w:rFonts w:ascii="宋体"/>
          <w:color w:val="auto"/>
          <w:sz w:val="52"/>
          <w:highlight w:val="none"/>
        </w:rPr>
      </w:pPr>
    </w:p>
    <w:p>
      <w:pPr>
        <w:spacing w:line="400" w:lineRule="exact"/>
        <w:jc w:val="left"/>
        <w:rPr>
          <w:rFonts w:ascii="宋体"/>
          <w:bCs/>
          <w:color w:val="auto"/>
          <w:highlight w:val="none"/>
        </w:rPr>
      </w:pPr>
      <w:r>
        <w:rPr>
          <w:rFonts w:hint="eastAsia" w:ascii="宋体"/>
          <w:bCs/>
          <w:color w:val="auto"/>
          <w:highlight w:val="none"/>
        </w:rPr>
        <w:t>致：</w:t>
      </w:r>
      <w:r>
        <w:rPr>
          <w:color w:val="auto"/>
          <w:highlight w:val="none"/>
          <w:u w:val="single"/>
        </w:rPr>
        <w:t xml:space="preserve">                    </w:t>
      </w:r>
    </w:p>
    <w:p>
      <w:pPr>
        <w:spacing w:line="400" w:lineRule="exact"/>
        <w:jc w:val="left"/>
        <w:rPr>
          <w:rFonts w:ascii="宋体"/>
          <w:color w:val="auto"/>
          <w:sz w:val="32"/>
          <w:highlight w:val="none"/>
        </w:rPr>
      </w:pPr>
    </w:p>
    <w:p>
      <w:pPr>
        <w:spacing w:line="360" w:lineRule="auto"/>
        <w:ind w:firstLine="420"/>
        <w:jc w:val="left"/>
        <w:rPr>
          <w:rFonts w:ascii="宋体"/>
          <w:color w:val="auto"/>
          <w:highlight w:val="none"/>
        </w:rPr>
      </w:pPr>
      <w:r>
        <w:rPr>
          <w:rFonts w:hint="eastAsia" w:ascii="宋体"/>
          <w:color w:val="auto"/>
          <w:highlight w:val="none"/>
        </w:rPr>
        <w:t>兹委托我公司</w:t>
      </w:r>
      <w:r>
        <w:rPr>
          <w:color w:val="auto"/>
          <w:highlight w:val="none"/>
          <w:u w:val="single"/>
        </w:rPr>
        <w:t xml:space="preserve">               </w:t>
      </w:r>
      <w:r>
        <w:rPr>
          <w:rFonts w:hint="eastAsia"/>
          <w:color w:val="auto"/>
          <w:highlight w:val="none"/>
          <w:u w:val="single"/>
        </w:rPr>
        <w:t>（</w:t>
      </w:r>
      <w:r>
        <w:rPr>
          <w:rFonts w:hint="eastAsia"/>
          <w:color w:val="auto"/>
          <w:highlight w:val="none"/>
        </w:rPr>
        <w:t>身份证号：</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w:t>
      </w:r>
      <w:r>
        <w:rPr>
          <w:rFonts w:hint="eastAsia" w:ascii="宋体"/>
          <w:color w:val="auto"/>
          <w:highlight w:val="none"/>
        </w:rPr>
        <w:t>为</w:t>
      </w:r>
      <w:r>
        <w:rPr>
          <w:color w:val="auto"/>
          <w:highlight w:val="none"/>
          <w:u w:val="single"/>
        </w:rPr>
        <w:t xml:space="preserve">               </w:t>
      </w:r>
      <w:r>
        <w:rPr>
          <w:rFonts w:hint="eastAsia" w:ascii="宋体"/>
          <w:color w:val="auto"/>
          <w:highlight w:val="none"/>
        </w:rPr>
        <w:t>工程项目的项目经理，承担工程项目经理的法定责任，代表本公司全权负责该工程承包合同履行过程中涉及到本公司权利和义务的一切工作。</w:t>
      </w:r>
    </w:p>
    <w:p>
      <w:pPr>
        <w:spacing w:line="360" w:lineRule="auto"/>
        <w:jc w:val="left"/>
        <w:rPr>
          <w:rFonts w:ascii="宋体"/>
          <w:color w:val="auto"/>
          <w:highlight w:val="none"/>
        </w:rPr>
      </w:pPr>
    </w:p>
    <w:p>
      <w:pPr>
        <w:spacing w:line="400" w:lineRule="exact"/>
        <w:jc w:val="left"/>
        <w:rPr>
          <w:rFonts w:ascii="宋体"/>
          <w:color w:val="auto"/>
          <w:highlight w:val="none"/>
        </w:rPr>
      </w:pPr>
    </w:p>
    <w:p>
      <w:pPr>
        <w:spacing w:line="400" w:lineRule="exact"/>
        <w:jc w:val="left"/>
        <w:rPr>
          <w:rFonts w:ascii="宋体"/>
          <w:color w:val="auto"/>
          <w:highlight w:val="none"/>
        </w:rPr>
      </w:pPr>
    </w:p>
    <w:p>
      <w:pPr>
        <w:spacing w:line="400" w:lineRule="exact"/>
        <w:jc w:val="left"/>
        <w:rPr>
          <w:rFonts w:ascii="宋体"/>
          <w:color w:val="auto"/>
          <w:highlight w:val="none"/>
        </w:rPr>
      </w:pPr>
    </w:p>
    <w:p>
      <w:pPr>
        <w:spacing w:line="400" w:lineRule="exact"/>
        <w:ind w:firstLine="5250" w:firstLineChars="2500"/>
        <w:jc w:val="left"/>
        <w:rPr>
          <w:rFonts w:ascii="宋体"/>
          <w:color w:val="auto"/>
          <w:highlight w:val="none"/>
        </w:rPr>
      </w:pPr>
      <w:r>
        <w:rPr>
          <w:rFonts w:hint="eastAsia" w:ascii="宋体"/>
          <w:color w:val="auto"/>
          <w:highlight w:val="none"/>
        </w:rPr>
        <w:t>承包人：</w:t>
      </w:r>
    </w:p>
    <w:p>
      <w:pPr>
        <w:spacing w:line="400" w:lineRule="exact"/>
        <w:jc w:val="left"/>
        <w:rPr>
          <w:rFonts w:ascii="宋体"/>
          <w:color w:val="auto"/>
          <w:highlight w:val="none"/>
        </w:rPr>
      </w:pPr>
    </w:p>
    <w:p>
      <w:pPr>
        <w:spacing w:line="400" w:lineRule="exact"/>
        <w:jc w:val="left"/>
        <w:rPr>
          <w:rFonts w:ascii="宋体"/>
          <w:color w:val="auto"/>
          <w:highlight w:val="none"/>
        </w:rPr>
      </w:pPr>
    </w:p>
    <w:p>
      <w:pPr>
        <w:spacing w:line="400" w:lineRule="exact"/>
        <w:ind w:firstLine="5250" w:firstLineChars="2500"/>
        <w:jc w:val="left"/>
        <w:rPr>
          <w:rFonts w:ascii="宋体"/>
          <w:color w:val="auto"/>
          <w:highlight w:val="none"/>
        </w:rPr>
      </w:pPr>
      <w:r>
        <w:rPr>
          <w:rFonts w:hint="eastAsia" w:ascii="宋体"/>
          <w:color w:val="auto"/>
          <w:highlight w:val="none"/>
        </w:rPr>
        <w:t>法定代表人：</w:t>
      </w:r>
    </w:p>
    <w:p>
      <w:pPr>
        <w:spacing w:line="400" w:lineRule="exact"/>
        <w:jc w:val="left"/>
        <w:rPr>
          <w:rFonts w:ascii="宋体"/>
          <w:color w:val="auto"/>
          <w:highlight w:val="none"/>
        </w:rPr>
      </w:pPr>
    </w:p>
    <w:p>
      <w:pPr>
        <w:spacing w:line="400" w:lineRule="exact"/>
        <w:jc w:val="left"/>
        <w:rPr>
          <w:rFonts w:ascii="宋体"/>
          <w:color w:val="auto"/>
          <w:highlight w:val="none"/>
        </w:rPr>
      </w:pPr>
    </w:p>
    <w:p>
      <w:pPr>
        <w:spacing w:line="400" w:lineRule="exact"/>
        <w:ind w:firstLine="5250" w:firstLineChars="2500"/>
        <w:jc w:val="left"/>
        <w:rPr>
          <w:rFonts w:ascii="宋体"/>
          <w:color w:val="auto"/>
          <w:highlight w:val="none"/>
        </w:rPr>
      </w:pPr>
      <w:r>
        <w:rPr>
          <w:rFonts w:hint="eastAsia" w:ascii="宋体"/>
          <w:color w:val="auto"/>
          <w:highlight w:val="none"/>
        </w:rPr>
        <w:t xml:space="preserve">日期：  </w:t>
      </w:r>
      <w:r>
        <w:rPr>
          <w:rFonts w:ascii="宋体"/>
          <w:color w:val="auto"/>
          <w:highlight w:val="none"/>
        </w:rPr>
        <w:t xml:space="preserve"> </w:t>
      </w:r>
      <w:r>
        <w:rPr>
          <w:rFonts w:hint="eastAsia" w:ascii="宋体"/>
          <w:color w:val="auto"/>
          <w:highlight w:val="none"/>
        </w:rPr>
        <w:t xml:space="preserve"> 年   月   日</w:t>
      </w:r>
    </w:p>
    <w:p>
      <w:pPr>
        <w:spacing w:line="400" w:lineRule="exact"/>
        <w:jc w:val="left"/>
        <w:rPr>
          <w:color w:val="auto"/>
          <w:highlight w:val="none"/>
        </w:rPr>
      </w:pPr>
    </w:p>
    <w:p>
      <w:pPr>
        <w:jc w:val="left"/>
        <w:rPr>
          <w:rFonts w:hint="eastAsia"/>
          <w:color w:val="auto"/>
          <w:highlight w:val="none"/>
        </w:rPr>
      </w:pPr>
    </w:p>
    <w:p>
      <w:pPr>
        <w:jc w:val="left"/>
        <w:rPr>
          <w:rFonts w:hint="eastAsia"/>
          <w:color w:val="auto"/>
          <w:highlight w:val="none"/>
        </w:rPr>
      </w:pPr>
    </w:p>
    <w:p>
      <w:pPr>
        <w:jc w:val="left"/>
        <w:rPr>
          <w:rFonts w:hint="eastAsia"/>
          <w:color w:val="auto"/>
          <w:highlight w:val="none"/>
        </w:rPr>
      </w:pPr>
    </w:p>
    <w:p>
      <w:pPr>
        <w:jc w:val="left"/>
        <w:rPr>
          <w:rFonts w:hint="eastAsia"/>
          <w:color w:val="auto"/>
          <w:highlight w:val="none"/>
        </w:rPr>
      </w:pPr>
    </w:p>
    <w:p>
      <w:pPr>
        <w:jc w:val="left"/>
        <w:rPr>
          <w:rFonts w:hint="eastAsia"/>
          <w:color w:val="auto"/>
          <w:highlight w:val="none"/>
        </w:rPr>
      </w:pPr>
    </w:p>
    <w:p>
      <w:pPr>
        <w:jc w:val="left"/>
        <w:rPr>
          <w:rFonts w:hint="eastAsia"/>
          <w:color w:val="auto"/>
          <w:highlight w:val="none"/>
        </w:rPr>
      </w:pPr>
    </w:p>
    <w:p>
      <w:pPr>
        <w:jc w:val="left"/>
        <w:rPr>
          <w:rFonts w:hint="eastAsia"/>
          <w:color w:val="auto"/>
          <w:highlight w:val="none"/>
        </w:rPr>
      </w:pPr>
    </w:p>
    <w:p>
      <w:pPr>
        <w:jc w:val="left"/>
        <w:rPr>
          <w:rFonts w:hint="eastAsia"/>
          <w:color w:val="auto"/>
          <w:highlight w:val="none"/>
        </w:rPr>
      </w:pPr>
    </w:p>
    <w:p>
      <w:pPr>
        <w:jc w:val="left"/>
        <w:rPr>
          <w:rFonts w:hint="eastAsia"/>
          <w:color w:val="auto"/>
          <w:highlight w:val="none"/>
        </w:rPr>
      </w:pPr>
    </w:p>
    <w:p>
      <w:pPr>
        <w:jc w:val="left"/>
        <w:rPr>
          <w:rFonts w:hint="eastAsia"/>
          <w:color w:val="auto"/>
          <w:highlight w:val="none"/>
        </w:rPr>
      </w:pPr>
    </w:p>
    <w:p>
      <w:pPr>
        <w:jc w:val="left"/>
        <w:rPr>
          <w:rFonts w:hint="eastAsia"/>
          <w:color w:val="auto"/>
          <w:highlight w:val="none"/>
        </w:rPr>
      </w:pPr>
    </w:p>
    <w:p>
      <w:pPr>
        <w:jc w:val="left"/>
        <w:rPr>
          <w:rFonts w:hint="eastAsia"/>
          <w:color w:val="auto"/>
          <w:highlight w:val="none"/>
        </w:rPr>
        <w:sectPr>
          <w:footerReference r:id="rId6" w:type="default"/>
          <w:pgSz w:w="11906" w:h="16838"/>
          <w:pgMar w:top="1418" w:right="1418" w:bottom="1418" w:left="1418" w:header="851" w:footer="992" w:gutter="0"/>
          <w:pgNumType w:start="1"/>
          <w:cols w:space="720" w:num="1"/>
          <w:docGrid w:linePitch="312" w:charSpace="0"/>
        </w:sectPr>
      </w:pPr>
    </w:p>
    <w:p>
      <w:pPr>
        <w:jc w:val="left"/>
        <w:rPr>
          <w:rFonts w:hint="eastAsia" w:ascii="宋体"/>
          <w:bCs/>
          <w:color w:val="auto"/>
          <w:sz w:val="28"/>
          <w:szCs w:val="28"/>
          <w:highlight w:val="none"/>
        </w:rPr>
      </w:pPr>
      <w:r>
        <w:rPr>
          <w:rFonts w:hint="eastAsia" w:ascii="宋体"/>
          <w:bCs/>
          <w:color w:val="auto"/>
          <w:sz w:val="28"/>
          <w:szCs w:val="28"/>
          <w:highlight w:val="none"/>
        </w:rPr>
        <w:t>附件6：</w:t>
      </w:r>
    </w:p>
    <w:p>
      <w:pPr>
        <w:spacing w:line="360" w:lineRule="auto"/>
        <w:contextualSpacing/>
        <w:jc w:val="center"/>
        <w:rPr>
          <w:rFonts w:ascii="宋体" w:cs="宋体"/>
          <w:b/>
          <w:bCs/>
          <w:color w:val="auto"/>
          <w:sz w:val="32"/>
          <w:szCs w:val="32"/>
          <w:highlight w:val="none"/>
        </w:rPr>
      </w:pPr>
      <w:r>
        <w:rPr>
          <w:rFonts w:hint="eastAsia" w:ascii="宋体" w:cs="宋体"/>
          <w:b/>
          <w:bCs/>
          <w:color w:val="auto"/>
          <w:sz w:val="32"/>
          <w:szCs w:val="32"/>
          <w:highlight w:val="none"/>
        </w:rPr>
        <w:t>廉政合同</w:t>
      </w:r>
    </w:p>
    <w:p>
      <w:pPr>
        <w:spacing w:line="360" w:lineRule="auto"/>
        <w:ind w:firstLine="480" w:firstLineChars="200"/>
        <w:contextualSpacing/>
        <w:jc w:val="center"/>
        <w:rPr>
          <w:rFonts w:ascii="宋体"/>
          <w:b/>
          <w:bCs/>
          <w:color w:val="auto"/>
          <w:sz w:val="24"/>
          <w:szCs w:val="24"/>
          <w:highlight w:val="none"/>
        </w:rPr>
      </w:pPr>
    </w:p>
    <w:p>
      <w:pPr>
        <w:spacing w:line="360" w:lineRule="auto"/>
        <w:ind w:firstLine="480" w:firstLineChars="200"/>
        <w:contextualSpacing/>
        <w:rPr>
          <w:rFonts w:ascii="宋体"/>
          <w:b/>
          <w:bCs/>
          <w:color w:val="auto"/>
          <w:sz w:val="24"/>
          <w:szCs w:val="24"/>
          <w:highlight w:val="none"/>
        </w:rPr>
      </w:pPr>
      <w:r>
        <w:rPr>
          <w:rFonts w:hint="eastAsia" w:ascii="宋体"/>
          <w:b/>
          <w:bCs/>
          <w:color w:val="auto"/>
          <w:sz w:val="24"/>
          <w:szCs w:val="24"/>
          <w:highlight w:val="none"/>
        </w:rPr>
        <w:t>委托人：</w:t>
      </w:r>
      <w:r>
        <w:rPr>
          <w:rFonts w:ascii="宋体"/>
          <w:b/>
          <w:bCs/>
          <w:color w:val="auto"/>
          <w:sz w:val="24"/>
          <w:szCs w:val="24"/>
          <w:highlight w:val="none"/>
        </w:rPr>
        <w:tab/>
      </w:r>
      <w:r>
        <w:rPr>
          <w:rFonts w:ascii="宋体"/>
          <w:b/>
          <w:bCs/>
          <w:color w:val="auto"/>
          <w:sz w:val="24"/>
          <w:szCs w:val="24"/>
          <w:highlight w:val="none"/>
        </w:rPr>
        <w:tab/>
      </w:r>
      <w:r>
        <w:rPr>
          <w:rFonts w:ascii="宋体"/>
          <w:b/>
          <w:bCs/>
          <w:color w:val="auto"/>
          <w:sz w:val="24"/>
          <w:szCs w:val="24"/>
          <w:highlight w:val="none"/>
        </w:rPr>
        <w:tab/>
      </w:r>
      <w:r>
        <w:rPr>
          <w:rFonts w:ascii="宋体"/>
          <w:b/>
          <w:bCs/>
          <w:color w:val="auto"/>
          <w:sz w:val="24"/>
          <w:szCs w:val="24"/>
          <w:highlight w:val="none"/>
        </w:rPr>
        <w:tab/>
      </w:r>
      <w:r>
        <w:rPr>
          <w:rFonts w:ascii="宋体"/>
          <w:b/>
          <w:bCs/>
          <w:color w:val="auto"/>
          <w:sz w:val="24"/>
          <w:szCs w:val="24"/>
          <w:highlight w:val="none"/>
        </w:rPr>
        <w:tab/>
      </w:r>
      <w:r>
        <w:rPr>
          <w:rFonts w:ascii="宋体"/>
          <w:b/>
          <w:bCs/>
          <w:color w:val="auto"/>
          <w:sz w:val="24"/>
          <w:szCs w:val="24"/>
          <w:highlight w:val="none"/>
        </w:rPr>
        <w:tab/>
      </w:r>
      <w:r>
        <w:rPr>
          <w:rFonts w:hint="eastAsia" w:ascii="宋体"/>
          <w:b/>
          <w:bCs/>
          <w:color w:val="auto"/>
          <w:sz w:val="24"/>
          <w:szCs w:val="24"/>
          <w:highlight w:val="none"/>
        </w:rPr>
        <w:t>（甲方）</w:t>
      </w:r>
    </w:p>
    <w:p>
      <w:pPr>
        <w:spacing w:line="360" w:lineRule="auto"/>
        <w:ind w:firstLine="480" w:firstLineChars="200"/>
        <w:contextualSpacing/>
        <w:rPr>
          <w:rFonts w:ascii="宋体"/>
          <w:b/>
          <w:bCs/>
          <w:color w:val="auto"/>
          <w:sz w:val="24"/>
          <w:szCs w:val="24"/>
          <w:highlight w:val="none"/>
        </w:rPr>
      </w:pPr>
      <w:r>
        <w:rPr>
          <w:rFonts w:hint="eastAsia" w:ascii="宋体"/>
          <w:b/>
          <w:bCs/>
          <w:color w:val="auto"/>
          <w:sz w:val="24"/>
          <w:szCs w:val="24"/>
          <w:highlight w:val="none"/>
        </w:rPr>
        <w:t>受托人：</w:t>
      </w:r>
      <w:r>
        <w:rPr>
          <w:rFonts w:ascii="宋体"/>
          <w:b/>
          <w:bCs/>
          <w:color w:val="auto"/>
          <w:sz w:val="24"/>
          <w:szCs w:val="24"/>
          <w:highlight w:val="none"/>
        </w:rPr>
        <w:tab/>
      </w:r>
      <w:r>
        <w:rPr>
          <w:rFonts w:ascii="宋体"/>
          <w:b/>
          <w:bCs/>
          <w:color w:val="auto"/>
          <w:sz w:val="24"/>
          <w:szCs w:val="24"/>
          <w:highlight w:val="none"/>
        </w:rPr>
        <w:tab/>
      </w:r>
      <w:r>
        <w:rPr>
          <w:rFonts w:ascii="宋体"/>
          <w:b/>
          <w:bCs/>
          <w:color w:val="auto"/>
          <w:sz w:val="24"/>
          <w:szCs w:val="24"/>
          <w:highlight w:val="none"/>
        </w:rPr>
        <w:tab/>
      </w:r>
      <w:r>
        <w:rPr>
          <w:rFonts w:ascii="宋体"/>
          <w:b/>
          <w:bCs/>
          <w:color w:val="auto"/>
          <w:sz w:val="24"/>
          <w:szCs w:val="24"/>
          <w:highlight w:val="none"/>
        </w:rPr>
        <w:tab/>
      </w:r>
      <w:r>
        <w:rPr>
          <w:rFonts w:ascii="宋体"/>
          <w:b/>
          <w:bCs/>
          <w:color w:val="auto"/>
          <w:sz w:val="24"/>
          <w:szCs w:val="24"/>
          <w:highlight w:val="none"/>
        </w:rPr>
        <w:tab/>
      </w:r>
      <w:r>
        <w:rPr>
          <w:rFonts w:ascii="宋体"/>
          <w:b/>
          <w:bCs/>
          <w:color w:val="auto"/>
          <w:sz w:val="24"/>
          <w:szCs w:val="24"/>
          <w:highlight w:val="none"/>
        </w:rPr>
        <w:tab/>
      </w:r>
      <w:r>
        <w:rPr>
          <w:rFonts w:ascii="宋体"/>
          <w:b/>
          <w:bCs/>
          <w:color w:val="auto"/>
          <w:sz w:val="24"/>
          <w:szCs w:val="24"/>
          <w:highlight w:val="none"/>
        </w:rPr>
        <w:t>（</w:t>
      </w:r>
      <w:r>
        <w:rPr>
          <w:rFonts w:hint="eastAsia" w:ascii="宋体"/>
          <w:b/>
          <w:bCs/>
          <w:color w:val="auto"/>
          <w:sz w:val="24"/>
          <w:szCs w:val="24"/>
          <w:highlight w:val="none"/>
        </w:rPr>
        <w:t>乙方）</w:t>
      </w:r>
    </w:p>
    <w:p>
      <w:pPr>
        <w:spacing w:line="360" w:lineRule="auto"/>
        <w:ind w:firstLine="480" w:firstLineChars="200"/>
        <w:contextualSpacing/>
        <w:rPr>
          <w:rFonts w:ascii="宋体"/>
          <w:b/>
          <w:bCs/>
          <w:color w:val="auto"/>
          <w:sz w:val="24"/>
          <w:szCs w:val="24"/>
          <w:highlight w:val="none"/>
        </w:rPr>
      </w:pPr>
    </w:p>
    <w:p>
      <w:pPr>
        <w:widowControl/>
        <w:spacing w:line="360" w:lineRule="auto"/>
        <w:ind w:firstLine="480" w:firstLineChars="200"/>
        <w:contextualSpacing/>
        <w:jc w:val="left"/>
        <w:rPr>
          <w:rFonts w:ascii="宋体"/>
          <w:color w:val="auto"/>
          <w:sz w:val="24"/>
          <w:szCs w:val="24"/>
          <w:highlight w:val="none"/>
        </w:rPr>
      </w:pPr>
      <w:r>
        <w:rPr>
          <w:rFonts w:hint="eastAsia" w:ascii="宋体" w:cs="宋体"/>
          <w:color w:val="auto"/>
          <w:sz w:val="24"/>
          <w:szCs w:val="24"/>
          <w:highlight w:val="none"/>
        </w:rPr>
        <w:t>为加强工程建设中的党风廉政建设，规范工程建设委托与被委托双方的各项活动，防止发生各种谋取不正当利益的违法违纪行为，保护国家、集体和当事人的合法权益，保证工程建设高效优质，保证建设资金的安全和有效使用以及投资效益。根据国家有关工程建设法律法规和廉政建设的规定，甲、乙双方特订立如下合同。</w:t>
      </w:r>
    </w:p>
    <w:p>
      <w:pPr>
        <w:pStyle w:val="55"/>
        <w:tabs>
          <w:tab w:val="left" w:pos="5670"/>
        </w:tabs>
        <w:spacing w:line="360" w:lineRule="auto"/>
        <w:ind w:firstLine="480"/>
        <w:contextualSpacing/>
        <w:rPr>
          <w:color w:val="auto"/>
          <w:sz w:val="24"/>
          <w:szCs w:val="24"/>
          <w:highlight w:val="none"/>
        </w:rPr>
      </w:pPr>
      <w:r>
        <w:rPr>
          <w:rFonts w:hint="eastAsia" w:cs="宋体"/>
          <w:color w:val="auto"/>
          <w:sz w:val="24"/>
          <w:szCs w:val="24"/>
          <w:highlight w:val="none"/>
        </w:rPr>
        <w:t>第一条 甲、乙双方的权利和义务</w:t>
      </w:r>
      <w:r>
        <w:rPr>
          <w:rFonts w:cs="宋体"/>
          <w:color w:val="auto"/>
          <w:sz w:val="24"/>
          <w:szCs w:val="24"/>
          <w:highlight w:val="none"/>
        </w:rPr>
        <w:tab/>
      </w:r>
    </w:p>
    <w:p>
      <w:pPr>
        <w:widowControl/>
        <w:spacing w:line="360" w:lineRule="auto"/>
        <w:ind w:firstLine="480" w:firstLineChars="200"/>
        <w:contextualSpacing/>
        <w:rPr>
          <w:rFonts w:ascii="宋体" w:cs="宋体"/>
          <w:color w:val="auto"/>
          <w:sz w:val="24"/>
          <w:szCs w:val="24"/>
          <w:highlight w:val="none"/>
        </w:rPr>
      </w:pPr>
      <w:r>
        <w:rPr>
          <w:rFonts w:hint="eastAsia" w:ascii="宋体" w:cs="宋体"/>
          <w:color w:val="auto"/>
          <w:sz w:val="24"/>
          <w:szCs w:val="24"/>
          <w:highlight w:val="none"/>
        </w:rPr>
        <w:t>（一）严格遵守国家关于工程建设的有关法律法规及廉政建设的各项规定。</w:t>
      </w:r>
    </w:p>
    <w:p>
      <w:pPr>
        <w:widowControl/>
        <w:spacing w:line="360" w:lineRule="auto"/>
        <w:ind w:firstLine="480" w:firstLineChars="200"/>
        <w:contextualSpacing/>
        <w:rPr>
          <w:rFonts w:ascii="宋体" w:cs="宋体"/>
          <w:color w:val="auto"/>
          <w:sz w:val="24"/>
          <w:szCs w:val="24"/>
          <w:highlight w:val="none"/>
        </w:rPr>
      </w:pPr>
      <w:r>
        <w:rPr>
          <w:rFonts w:hint="eastAsia" w:ascii="宋体" w:cs="宋体"/>
          <w:color w:val="auto"/>
          <w:sz w:val="24"/>
          <w:szCs w:val="24"/>
          <w:highlight w:val="none"/>
        </w:rPr>
        <w:t>（二）严格执行</w:t>
      </w:r>
      <w:r>
        <w:rPr>
          <w:rFonts w:hint="eastAsia"/>
          <w:b/>
          <w:color w:val="auto"/>
          <w:sz w:val="24"/>
          <w:szCs w:val="24"/>
          <w:highlight w:val="none"/>
          <w:u w:val="single"/>
        </w:rPr>
        <w:t>XXX工程XX</w:t>
      </w:r>
      <w:r>
        <w:rPr>
          <w:rFonts w:hint="eastAsia" w:ascii="宋体" w:cs="宋体"/>
          <w:color w:val="auto"/>
          <w:sz w:val="24"/>
          <w:szCs w:val="24"/>
          <w:highlight w:val="none"/>
        </w:rPr>
        <w:t>合同文件，自觉按合同办事。</w:t>
      </w:r>
    </w:p>
    <w:p>
      <w:pPr>
        <w:widowControl/>
        <w:spacing w:line="360" w:lineRule="auto"/>
        <w:ind w:firstLine="480" w:firstLineChars="200"/>
        <w:contextualSpacing/>
        <w:rPr>
          <w:rFonts w:ascii="宋体"/>
          <w:color w:val="auto"/>
          <w:sz w:val="24"/>
          <w:szCs w:val="24"/>
          <w:highlight w:val="none"/>
        </w:rPr>
      </w:pPr>
      <w:r>
        <w:rPr>
          <w:rFonts w:hint="eastAsia" w:ascii="宋体" w:cs="宋体"/>
          <w:color w:val="auto"/>
          <w:sz w:val="24"/>
          <w:szCs w:val="24"/>
          <w:highlight w:val="none"/>
        </w:rPr>
        <w:t>（三）甲、乙双方的业务活动坚持公开、公正、诚信、透明的原则（法律和合同文件确认属于商业秘密或保密信息的除外），不得损害国家和集体利益，不得违反工程建设管理规章制度。</w:t>
      </w:r>
    </w:p>
    <w:p>
      <w:pPr>
        <w:widowControl/>
        <w:spacing w:line="360" w:lineRule="auto"/>
        <w:ind w:firstLine="480" w:firstLineChars="200"/>
        <w:contextualSpacing/>
        <w:rPr>
          <w:rFonts w:ascii="宋体"/>
          <w:color w:val="auto"/>
          <w:sz w:val="24"/>
          <w:szCs w:val="24"/>
          <w:highlight w:val="none"/>
        </w:rPr>
      </w:pPr>
      <w:r>
        <w:rPr>
          <w:rFonts w:hint="eastAsia" w:ascii="宋体" w:cs="宋体"/>
          <w:color w:val="auto"/>
          <w:sz w:val="24"/>
          <w:szCs w:val="24"/>
          <w:highlight w:val="none"/>
        </w:rPr>
        <w:t>（四）建立健全廉政制度，开展廉政教育，设立廉政告示牌，公布举报电话，监督并认真查处违法违纪行为。</w:t>
      </w:r>
    </w:p>
    <w:p>
      <w:pPr>
        <w:widowControl/>
        <w:spacing w:line="360" w:lineRule="auto"/>
        <w:ind w:firstLine="480" w:firstLineChars="200"/>
        <w:contextualSpacing/>
        <w:rPr>
          <w:rFonts w:ascii="宋体"/>
          <w:color w:val="auto"/>
          <w:sz w:val="24"/>
          <w:szCs w:val="24"/>
          <w:highlight w:val="none"/>
        </w:rPr>
      </w:pPr>
      <w:r>
        <w:rPr>
          <w:rFonts w:hint="eastAsia" w:ascii="宋体" w:cs="宋体"/>
          <w:color w:val="auto"/>
          <w:sz w:val="24"/>
          <w:szCs w:val="24"/>
          <w:highlight w:val="none"/>
        </w:rPr>
        <w:t>（五）发现对方在业务活动中有违反廉政规定的行为，有及时提醒对方纠正的权利和义务。</w:t>
      </w:r>
    </w:p>
    <w:p>
      <w:pPr>
        <w:widowControl/>
        <w:spacing w:line="360" w:lineRule="auto"/>
        <w:ind w:firstLine="480" w:firstLineChars="200"/>
        <w:contextualSpacing/>
        <w:rPr>
          <w:rFonts w:ascii="宋体"/>
          <w:color w:val="auto"/>
          <w:sz w:val="24"/>
          <w:szCs w:val="24"/>
          <w:highlight w:val="none"/>
        </w:rPr>
      </w:pPr>
      <w:r>
        <w:rPr>
          <w:rFonts w:hint="eastAsia" w:ascii="宋体" w:cs="宋体"/>
          <w:color w:val="auto"/>
          <w:sz w:val="24"/>
          <w:szCs w:val="24"/>
          <w:highlight w:val="none"/>
        </w:rPr>
        <w:t>（六）发现对方严重违反本合同义务条款的行为，有向其上级部门举报、建议给予处理并要求告知处理结果的权利。</w:t>
      </w:r>
    </w:p>
    <w:p>
      <w:pPr>
        <w:pStyle w:val="55"/>
        <w:spacing w:line="360" w:lineRule="auto"/>
        <w:ind w:firstLine="480"/>
        <w:contextualSpacing/>
        <w:rPr>
          <w:rFonts w:ascii="宋体"/>
          <w:color w:val="auto"/>
          <w:sz w:val="24"/>
          <w:szCs w:val="24"/>
          <w:highlight w:val="none"/>
        </w:rPr>
      </w:pPr>
      <w:r>
        <w:rPr>
          <w:rFonts w:hint="eastAsia" w:ascii="宋体" w:cs="宋体"/>
          <w:color w:val="auto"/>
          <w:sz w:val="24"/>
          <w:szCs w:val="24"/>
          <w:highlight w:val="none"/>
        </w:rPr>
        <w:t>第二条 甲方的义务</w:t>
      </w:r>
    </w:p>
    <w:p>
      <w:pPr>
        <w:widowControl/>
        <w:spacing w:line="360" w:lineRule="auto"/>
        <w:ind w:firstLine="480" w:firstLineChars="200"/>
        <w:contextualSpacing/>
        <w:rPr>
          <w:rFonts w:ascii="宋体" w:cs="宋体"/>
          <w:color w:val="auto"/>
          <w:sz w:val="24"/>
          <w:szCs w:val="24"/>
          <w:highlight w:val="none"/>
        </w:rPr>
      </w:pPr>
      <w:r>
        <w:rPr>
          <w:rFonts w:hint="eastAsia" w:ascii="宋体" w:cs="宋体"/>
          <w:color w:val="auto"/>
          <w:sz w:val="24"/>
          <w:szCs w:val="24"/>
          <w:highlight w:val="none"/>
        </w:rPr>
        <w:t>(一)不准向乙方索要或接受回扣、礼金、有价证券和贵重物品等。</w:t>
      </w:r>
    </w:p>
    <w:p>
      <w:pPr>
        <w:widowControl/>
        <w:spacing w:line="360" w:lineRule="auto"/>
        <w:ind w:firstLine="480" w:firstLineChars="200"/>
        <w:contextualSpacing/>
        <w:rPr>
          <w:rFonts w:ascii="宋体" w:cs="宋体"/>
          <w:color w:val="auto"/>
          <w:sz w:val="24"/>
          <w:szCs w:val="24"/>
          <w:highlight w:val="none"/>
        </w:rPr>
      </w:pPr>
      <w:r>
        <w:rPr>
          <w:rFonts w:hint="eastAsia" w:ascii="宋体" w:cs="宋体"/>
          <w:color w:val="auto"/>
          <w:sz w:val="24"/>
          <w:szCs w:val="24"/>
          <w:highlight w:val="none"/>
        </w:rPr>
        <w:t>(二)不准要求乙方报销或承担任何应由甲方或其工作人员支付的费用。</w:t>
      </w:r>
    </w:p>
    <w:p>
      <w:pPr>
        <w:widowControl/>
        <w:spacing w:line="360" w:lineRule="auto"/>
        <w:ind w:firstLine="480" w:firstLineChars="200"/>
        <w:contextualSpacing/>
        <w:rPr>
          <w:rFonts w:ascii="宋体" w:cs="宋体"/>
          <w:color w:val="auto"/>
          <w:sz w:val="24"/>
          <w:szCs w:val="24"/>
          <w:highlight w:val="none"/>
        </w:rPr>
      </w:pPr>
      <w:r>
        <w:rPr>
          <w:rFonts w:hint="eastAsia" w:ascii="宋体" w:cs="宋体"/>
          <w:color w:val="auto"/>
          <w:sz w:val="24"/>
          <w:szCs w:val="24"/>
          <w:highlight w:val="none"/>
        </w:rPr>
        <w:t>(三)不准要求、暗示或接受乙方为个人装修住房、婚丧嫁娶、配偶子女的工作安排以及出国(境)、旅游等提供方便。</w:t>
      </w:r>
    </w:p>
    <w:p>
      <w:pPr>
        <w:widowControl/>
        <w:spacing w:line="360" w:lineRule="auto"/>
        <w:ind w:firstLine="480" w:firstLineChars="200"/>
        <w:contextualSpacing/>
        <w:rPr>
          <w:rFonts w:ascii="宋体" w:cs="宋体"/>
          <w:color w:val="auto"/>
          <w:sz w:val="24"/>
          <w:szCs w:val="24"/>
          <w:highlight w:val="none"/>
        </w:rPr>
      </w:pPr>
      <w:r>
        <w:rPr>
          <w:rFonts w:hint="eastAsia" w:ascii="宋体" w:cs="宋体"/>
          <w:color w:val="auto"/>
          <w:sz w:val="24"/>
          <w:szCs w:val="24"/>
          <w:highlight w:val="none"/>
        </w:rPr>
        <w:t>(四)不准参加有可能影响公正执行公务的乙方的宴请、健身、娱乐等活动。</w:t>
      </w:r>
    </w:p>
    <w:p>
      <w:pPr>
        <w:widowControl/>
        <w:spacing w:line="360" w:lineRule="auto"/>
        <w:ind w:firstLine="480" w:firstLineChars="200"/>
        <w:contextualSpacing/>
        <w:rPr>
          <w:rFonts w:ascii="宋体" w:cs="宋体"/>
          <w:color w:val="auto"/>
          <w:sz w:val="24"/>
          <w:szCs w:val="24"/>
          <w:highlight w:val="none"/>
        </w:rPr>
      </w:pPr>
      <w:r>
        <w:rPr>
          <w:rFonts w:hint="eastAsia" w:ascii="宋体" w:cs="宋体"/>
          <w:color w:val="auto"/>
          <w:sz w:val="24"/>
          <w:szCs w:val="24"/>
          <w:highlight w:val="none"/>
        </w:rPr>
        <w:t>(五)不准向乙方介绍或要求安排甲方工作人员的配偶、子女、亲属参与同甲方项目有关的业务活动。不得以任何理由要求乙方在工程建设中使用某种产品、材料和设备（合同约定的除外）。</w:t>
      </w:r>
    </w:p>
    <w:p>
      <w:pPr>
        <w:pStyle w:val="55"/>
        <w:spacing w:line="360" w:lineRule="auto"/>
        <w:ind w:firstLine="480"/>
        <w:contextualSpacing/>
        <w:rPr>
          <w:rFonts w:ascii="宋体"/>
          <w:color w:val="auto"/>
          <w:sz w:val="24"/>
          <w:szCs w:val="24"/>
          <w:highlight w:val="none"/>
        </w:rPr>
      </w:pPr>
      <w:r>
        <w:rPr>
          <w:rFonts w:hint="eastAsia" w:ascii="宋体" w:cs="宋体"/>
          <w:color w:val="auto"/>
          <w:sz w:val="24"/>
          <w:szCs w:val="24"/>
          <w:highlight w:val="none"/>
        </w:rPr>
        <w:t>第三条 乙方的义务</w:t>
      </w:r>
    </w:p>
    <w:p>
      <w:pPr>
        <w:widowControl/>
        <w:spacing w:line="360" w:lineRule="auto"/>
        <w:ind w:firstLine="480" w:firstLineChars="200"/>
        <w:contextualSpacing/>
        <w:rPr>
          <w:rFonts w:ascii="宋体" w:cs="宋体"/>
          <w:color w:val="auto"/>
          <w:sz w:val="24"/>
          <w:szCs w:val="24"/>
          <w:highlight w:val="none"/>
        </w:rPr>
      </w:pPr>
      <w:r>
        <w:rPr>
          <w:rFonts w:hint="eastAsia" w:ascii="宋体" w:cs="宋体"/>
          <w:color w:val="auto"/>
          <w:sz w:val="24"/>
          <w:szCs w:val="24"/>
          <w:highlight w:val="none"/>
        </w:rPr>
        <w:t>应与甲方保持正常的业务交往，按照有关法律法规和程序开展业务工作，严格执行工程建设的有关方针、政策，并遵守以下规定：</w:t>
      </w:r>
    </w:p>
    <w:p>
      <w:pPr>
        <w:widowControl/>
        <w:spacing w:line="360" w:lineRule="auto"/>
        <w:ind w:firstLine="480" w:firstLineChars="200"/>
        <w:contextualSpacing/>
        <w:rPr>
          <w:rFonts w:ascii="宋体" w:cs="宋体"/>
          <w:color w:val="auto"/>
          <w:sz w:val="24"/>
          <w:szCs w:val="24"/>
          <w:highlight w:val="none"/>
        </w:rPr>
      </w:pPr>
      <w:r>
        <w:rPr>
          <w:rFonts w:hint="eastAsia" w:ascii="宋体" w:cs="宋体"/>
          <w:color w:val="auto"/>
          <w:sz w:val="24"/>
          <w:szCs w:val="24"/>
          <w:highlight w:val="none"/>
        </w:rPr>
        <w:t>(一)不准以任何理由向甲方、甲方工作人员及其亲属行贿或馈赠礼金、有价证券、贵重礼品等。</w:t>
      </w:r>
    </w:p>
    <w:p>
      <w:pPr>
        <w:widowControl/>
        <w:spacing w:line="360" w:lineRule="auto"/>
        <w:ind w:firstLine="480" w:firstLineChars="200"/>
        <w:contextualSpacing/>
        <w:rPr>
          <w:rFonts w:ascii="宋体" w:cs="宋体"/>
          <w:color w:val="auto"/>
          <w:sz w:val="24"/>
          <w:szCs w:val="24"/>
          <w:highlight w:val="none"/>
        </w:rPr>
      </w:pPr>
      <w:r>
        <w:rPr>
          <w:rFonts w:hint="eastAsia" w:ascii="宋体" w:cs="宋体"/>
          <w:color w:val="auto"/>
          <w:sz w:val="24"/>
          <w:szCs w:val="24"/>
          <w:highlight w:val="none"/>
        </w:rPr>
        <w:t>(二)不准以任何理由为甲方或其工作人员报销应由甲方或其工作人员支付的任何费用。</w:t>
      </w:r>
    </w:p>
    <w:p>
      <w:pPr>
        <w:widowControl/>
        <w:spacing w:line="360" w:lineRule="auto"/>
        <w:ind w:firstLine="480" w:firstLineChars="200"/>
        <w:contextualSpacing/>
        <w:rPr>
          <w:rFonts w:ascii="宋体" w:cs="宋体"/>
          <w:color w:val="auto"/>
          <w:sz w:val="24"/>
          <w:szCs w:val="24"/>
          <w:highlight w:val="none"/>
        </w:rPr>
      </w:pPr>
      <w:r>
        <w:rPr>
          <w:rFonts w:hint="eastAsia" w:ascii="宋体" w:cs="宋体"/>
          <w:color w:val="auto"/>
          <w:sz w:val="24"/>
          <w:szCs w:val="24"/>
          <w:highlight w:val="none"/>
        </w:rPr>
        <w:t>(三)不准接受或暗示为甲方或甲方工作人员及其亲属的装修住房、婚丧嫁娶、配偶子女的工作安排以及出国(境)旅游等提供方便。</w:t>
      </w:r>
    </w:p>
    <w:p>
      <w:pPr>
        <w:widowControl/>
        <w:spacing w:line="360" w:lineRule="auto"/>
        <w:ind w:firstLine="480" w:firstLineChars="200"/>
        <w:contextualSpacing/>
        <w:rPr>
          <w:rFonts w:ascii="宋体" w:cs="宋体"/>
          <w:color w:val="auto"/>
          <w:sz w:val="24"/>
          <w:szCs w:val="24"/>
          <w:highlight w:val="none"/>
        </w:rPr>
      </w:pPr>
      <w:r>
        <w:rPr>
          <w:rFonts w:hint="eastAsia" w:ascii="宋体" w:cs="宋体"/>
          <w:color w:val="auto"/>
          <w:sz w:val="24"/>
          <w:szCs w:val="24"/>
          <w:highlight w:val="none"/>
        </w:rPr>
        <w:t>(四)不准以任何理由为甲方或甲方工作人员组织有可能影响其公正执行公务的宴请、健身、娱乐等活动。</w:t>
      </w:r>
    </w:p>
    <w:p>
      <w:pPr>
        <w:widowControl/>
        <w:spacing w:line="360" w:lineRule="auto"/>
        <w:ind w:firstLine="480" w:firstLineChars="200"/>
        <w:contextualSpacing/>
        <w:rPr>
          <w:rFonts w:ascii="宋体" w:cs="宋体"/>
          <w:color w:val="auto"/>
          <w:sz w:val="24"/>
          <w:szCs w:val="24"/>
          <w:highlight w:val="none"/>
        </w:rPr>
      </w:pPr>
      <w:r>
        <w:rPr>
          <w:rFonts w:hint="eastAsia" w:ascii="宋体" w:cs="宋体"/>
          <w:color w:val="auto"/>
          <w:sz w:val="24"/>
          <w:szCs w:val="24"/>
          <w:highlight w:val="none"/>
        </w:rPr>
        <w:t>(五)不得为甲方或甲方工作人员及其亲属购置或提供通讯工具和高档办公用品等。</w:t>
      </w:r>
    </w:p>
    <w:p>
      <w:pPr>
        <w:pStyle w:val="55"/>
        <w:spacing w:line="360" w:lineRule="auto"/>
        <w:ind w:firstLine="480"/>
        <w:contextualSpacing/>
        <w:rPr>
          <w:rFonts w:ascii="宋体"/>
          <w:color w:val="auto"/>
          <w:sz w:val="24"/>
          <w:szCs w:val="24"/>
          <w:highlight w:val="none"/>
        </w:rPr>
      </w:pPr>
      <w:r>
        <w:rPr>
          <w:rFonts w:hint="eastAsia" w:ascii="宋体" w:cs="宋体"/>
          <w:color w:val="auto"/>
          <w:sz w:val="24"/>
          <w:szCs w:val="24"/>
          <w:highlight w:val="none"/>
        </w:rPr>
        <w:t>第四条 违约责任</w:t>
      </w:r>
    </w:p>
    <w:p>
      <w:pPr>
        <w:widowControl/>
        <w:spacing w:line="360" w:lineRule="auto"/>
        <w:ind w:firstLine="480" w:firstLineChars="200"/>
        <w:contextualSpacing/>
        <w:rPr>
          <w:rFonts w:ascii="宋体"/>
          <w:color w:val="auto"/>
          <w:sz w:val="24"/>
          <w:szCs w:val="24"/>
          <w:highlight w:val="none"/>
        </w:rPr>
      </w:pPr>
      <w:r>
        <w:rPr>
          <w:rFonts w:hint="eastAsia" w:ascii="宋体" w:cs="宋体"/>
          <w:color w:val="auto"/>
          <w:sz w:val="24"/>
          <w:szCs w:val="24"/>
          <w:highlight w:val="none"/>
        </w:rPr>
        <w:t>（一）甲方及其工作人员违反本合同第一、二条的，按管理权限，依据有关法律法规和规定给予党纪、政纪处分或组织处理；涉嫌犯罪的，移交司法机关追究刑事责任；给乙方单位造成经济损失的，应予以赔偿。</w:t>
      </w:r>
    </w:p>
    <w:p>
      <w:pPr>
        <w:widowControl/>
        <w:spacing w:line="360" w:lineRule="auto"/>
        <w:ind w:firstLine="480" w:firstLineChars="200"/>
        <w:contextualSpacing/>
        <w:rPr>
          <w:rFonts w:ascii="宋体"/>
          <w:color w:val="auto"/>
          <w:sz w:val="24"/>
          <w:szCs w:val="24"/>
          <w:highlight w:val="none"/>
        </w:rPr>
      </w:pPr>
      <w:r>
        <w:rPr>
          <w:rFonts w:hint="eastAsia" w:ascii="宋体" w:cs="宋体"/>
          <w:color w:val="auto"/>
          <w:sz w:val="24"/>
          <w:szCs w:val="24"/>
          <w:highlight w:val="none"/>
        </w:rPr>
        <w:t>（二）乙方及其工作人员违反本合同第一、三条的，按管理权限，依据有关法律法规和规定给予党纪、政纪处分或组织处理；给甲方单位造成经济损失的，应予以赔偿；情节严重的，甲方可建议主管部门给予乙方一至三年内不得进行其主管的工程市场的处罚。</w:t>
      </w:r>
    </w:p>
    <w:p>
      <w:pPr>
        <w:spacing w:line="360" w:lineRule="auto"/>
        <w:ind w:firstLine="480" w:firstLineChars="200"/>
        <w:contextualSpacing/>
        <w:rPr>
          <w:color w:val="auto"/>
          <w:sz w:val="24"/>
          <w:szCs w:val="24"/>
          <w:highlight w:val="none"/>
        </w:rPr>
      </w:pPr>
      <w:r>
        <w:rPr>
          <w:rFonts w:hint="eastAsia" w:ascii="宋体" w:cs="宋体"/>
          <w:color w:val="auto"/>
          <w:sz w:val="24"/>
          <w:szCs w:val="24"/>
          <w:highlight w:val="none"/>
        </w:rPr>
        <w:t>第五条 本合同有效期与XXX工程XX合同一致。</w:t>
      </w:r>
    </w:p>
    <w:p>
      <w:pPr>
        <w:pStyle w:val="55"/>
        <w:spacing w:line="360" w:lineRule="auto"/>
        <w:ind w:firstLine="480"/>
        <w:contextualSpacing/>
        <w:rPr>
          <w:rFonts w:ascii="宋体"/>
          <w:color w:val="auto"/>
          <w:sz w:val="24"/>
          <w:szCs w:val="24"/>
          <w:highlight w:val="none"/>
        </w:rPr>
      </w:pPr>
      <w:r>
        <w:rPr>
          <w:rFonts w:hint="eastAsia" w:ascii="宋体" w:cs="宋体"/>
          <w:color w:val="auto"/>
          <w:sz w:val="24"/>
          <w:szCs w:val="24"/>
          <w:highlight w:val="none"/>
        </w:rPr>
        <w:t>第六条 本合同作为</w:t>
      </w:r>
      <w:r>
        <w:rPr>
          <w:rFonts w:hint="eastAsia"/>
          <w:b/>
          <w:color w:val="auto"/>
          <w:sz w:val="24"/>
          <w:szCs w:val="24"/>
          <w:highlight w:val="none"/>
          <w:u w:val="single"/>
        </w:rPr>
        <w:t>XXX工程XX</w:t>
      </w:r>
      <w:r>
        <w:rPr>
          <w:rFonts w:hint="eastAsia" w:ascii="宋体" w:cs="宋体"/>
          <w:color w:val="auto"/>
          <w:sz w:val="24"/>
          <w:szCs w:val="24"/>
          <w:highlight w:val="none"/>
        </w:rPr>
        <w:t>合同的附件，与</w:t>
      </w:r>
      <w:r>
        <w:rPr>
          <w:rFonts w:hint="eastAsia"/>
          <w:b/>
          <w:color w:val="auto"/>
          <w:sz w:val="24"/>
          <w:szCs w:val="24"/>
          <w:highlight w:val="none"/>
          <w:u w:val="single"/>
        </w:rPr>
        <w:t>XXX工程XX</w:t>
      </w:r>
      <w:r>
        <w:rPr>
          <w:rFonts w:hint="eastAsia" w:ascii="宋体" w:cs="宋体"/>
          <w:color w:val="auto"/>
          <w:sz w:val="24"/>
          <w:szCs w:val="24"/>
          <w:highlight w:val="none"/>
        </w:rPr>
        <w:t>合同具有同等的法律效力，经甲、乙双方签字盖章后立即生效。</w:t>
      </w:r>
    </w:p>
    <w:p>
      <w:pPr>
        <w:pStyle w:val="55"/>
        <w:spacing w:line="360" w:lineRule="auto"/>
        <w:ind w:firstLine="480"/>
        <w:contextualSpacing/>
        <w:rPr>
          <w:rFonts w:ascii="宋体"/>
          <w:color w:val="auto"/>
          <w:sz w:val="24"/>
          <w:szCs w:val="24"/>
          <w:highlight w:val="none"/>
        </w:rPr>
      </w:pPr>
      <w:r>
        <w:rPr>
          <w:rFonts w:hint="eastAsia" w:ascii="宋体" w:cs="宋体"/>
          <w:color w:val="auto"/>
          <w:sz w:val="24"/>
          <w:szCs w:val="24"/>
          <w:highlight w:val="none"/>
        </w:rPr>
        <w:t>第七条 本合同一式</w:t>
      </w:r>
      <w:r>
        <w:rPr>
          <w:rFonts w:hint="eastAsia" w:ascii="宋体" w:cs="宋体"/>
          <w:b/>
          <w:bCs/>
          <w:color w:val="auto"/>
          <w:sz w:val="24"/>
          <w:szCs w:val="24"/>
          <w:highlight w:val="none"/>
          <w:u w:val="single"/>
        </w:rPr>
        <w:t xml:space="preserve"> </w:t>
      </w:r>
      <w:r>
        <w:rPr>
          <w:rFonts w:ascii="宋体" w:cs="宋体"/>
          <w:b/>
          <w:bCs/>
          <w:color w:val="auto"/>
          <w:sz w:val="24"/>
          <w:szCs w:val="24"/>
          <w:highlight w:val="none"/>
          <w:u w:val="single"/>
        </w:rPr>
        <w:t xml:space="preserve">  </w:t>
      </w:r>
      <w:r>
        <w:rPr>
          <w:rFonts w:hint="eastAsia" w:ascii="宋体" w:cs="宋体"/>
          <w:color w:val="auto"/>
          <w:sz w:val="24"/>
          <w:szCs w:val="24"/>
          <w:highlight w:val="none"/>
        </w:rPr>
        <w:t>份，具有同等法律效力，甲方执</w:t>
      </w:r>
      <w:r>
        <w:rPr>
          <w:rFonts w:hint="eastAsia" w:ascii="宋体" w:cs="宋体"/>
          <w:b/>
          <w:bCs/>
          <w:color w:val="auto"/>
          <w:sz w:val="24"/>
          <w:szCs w:val="24"/>
          <w:highlight w:val="none"/>
          <w:u w:val="single"/>
        </w:rPr>
        <w:t xml:space="preserve"> </w:t>
      </w:r>
      <w:r>
        <w:rPr>
          <w:rFonts w:ascii="宋体" w:cs="宋体"/>
          <w:b/>
          <w:bCs/>
          <w:color w:val="auto"/>
          <w:sz w:val="24"/>
          <w:szCs w:val="24"/>
          <w:highlight w:val="none"/>
          <w:u w:val="single"/>
        </w:rPr>
        <w:t xml:space="preserve">  </w:t>
      </w:r>
      <w:r>
        <w:rPr>
          <w:rFonts w:hint="eastAsia" w:ascii="宋体" w:cs="宋体"/>
          <w:color w:val="auto"/>
          <w:sz w:val="24"/>
          <w:szCs w:val="24"/>
          <w:highlight w:val="none"/>
        </w:rPr>
        <w:t>份、乙方执</w:t>
      </w:r>
      <w:r>
        <w:rPr>
          <w:rFonts w:hint="eastAsia" w:ascii="宋体" w:cs="宋体"/>
          <w:b/>
          <w:bCs/>
          <w:color w:val="auto"/>
          <w:sz w:val="24"/>
          <w:szCs w:val="24"/>
          <w:highlight w:val="none"/>
          <w:u w:val="single"/>
        </w:rPr>
        <w:t xml:space="preserve"> </w:t>
      </w:r>
      <w:r>
        <w:rPr>
          <w:rFonts w:ascii="宋体" w:cs="宋体"/>
          <w:b/>
          <w:bCs/>
          <w:color w:val="auto"/>
          <w:sz w:val="24"/>
          <w:szCs w:val="24"/>
          <w:highlight w:val="none"/>
          <w:u w:val="single"/>
        </w:rPr>
        <w:t xml:space="preserve">  </w:t>
      </w:r>
      <w:r>
        <w:rPr>
          <w:rFonts w:hint="eastAsia" w:ascii="宋体" w:cs="宋体"/>
          <w:color w:val="auto"/>
          <w:sz w:val="24"/>
          <w:szCs w:val="24"/>
          <w:highlight w:val="none"/>
        </w:rPr>
        <w:t>份。</w:t>
      </w:r>
    </w:p>
    <w:p>
      <w:pPr>
        <w:widowControl/>
        <w:spacing w:line="360" w:lineRule="auto"/>
        <w:ind w:firstLine="480" w:firstLineChars="200"/>
        <w:contextualSpacing/>
        <w:rPr>
          <w:rFonts w:ascii="宋体" w:cs="宋体"/>
          <w:color w:val="auto"/>
          <w:sz w:val="24"/>
          <w:szCs w:val="24"/>
          <w:highlight w:val="none"/>
          <w:lang w:val="zh-CN"/>
        </w:rPr>
      </w:pPr>
    </w:p>
    <w:p>
      <w:pPr>
        <w:widowControl/>
        <w:spacing w:line="360" w:lineRule="auto"/>
        <w:ind w:firstLine="480" w:firstLineChars="200"/>
        <w:contextualSpacing/>
        <w:rPr>
          <w:rFonts w:ascii="宋体" w:cs="宋体"/>
          <w:color w:val="auto"/>
          <w:sz w:val="24"/>
          <w:szCs w:val="24"/>
          <w:highlight w:val="none"/>
          <w:lang w:val="zh-CN"/>
        </w:rPr>
      </w:pPr>
    </w:p>
    <w:p>
      <w:pPr>
        <w:widowControl/>
        <w:spacing w:line="360" w:lineRule="auto"/>
        <w:ind w:firstLine="480" w:firstLineChars="200"/>
        <w:contextualSpacing/>
        <w:rPr>
          <w:rFonts w:ascii="宋体" w:cs="宋体"/>
          <w:color w:val="auto"/>
          <w:sz w:val="24"/>
          <w:szCs w:val="24"/>
          <w:highlight w:val="none"/>
          <w:lang w:val="zh-CN"/>
        </w:rPr>
      </w:pPr>
      <w:r>
        <w:rPr>
          <w:rFonts w:hint="eastAsia" w:ascii="宋体" w:cs="宋体"/>
          <w:color w:val="auto"/>
          <w:sz w:val="24"/>
          <w:szCs w:val="24"/>
          <w:highlight w:val="none"/>
          <w:lang w:val="zh-CN"/>
        </w:rPr>
        <w:t>甲方</w:t>
      </w:r>
      <w:r>
        <w:rPr>
          <w:rFonts w:hint="eastAsia" w:ascii="宋体" w:cs="宋体"/>
          <w:color w:val="auto"/>
          <w:sz w:val="24"/>
          <w:szCs w:val="24"/>
          <w:highlight w:val="none"/>
        </w:rPr>
        <w:t>（</w:t>
      </w:r>
      <w:r>
        <w:rPr>
          <w:rFonts w:hint="eastAsia" w:ascii="宋体" w:cs="宋体"/>
          <w:color w:val="auto"/>
          <w:sz w:val="24"/>
          <w:szCs w:val="24"/>
          <w:highlight w:val="none"/>
          <w:lang w:val="zh-CN"/>
        </w:rPr>
        <w:t>公章</w:t>
      </w:r>
      <w:r>
        <w:rPr>
          <w:rFonts w:hint="eastAsia" w:ascii="宋体" w:cs="宋体"/>
          <w:color w:val="auto"/>
          <w:sz w:val="24"/>
          <w:szCs w:val="24"/>
          <w:highlight w:val="none"/>
        </w:rPr>
        <w:t>）：</w:t>
      </w:r>
    </w:p>
    <w:p>
      <w:pPr>
        <w:widowControl/>
        <w:spacing w:line="360" w:lineRule="auto"/>
        <w:ind w:firstLine="480" w:firstLineChars="200"/>
        <w:contextualSpacing/>
        <w:rPr>
          <w:rFonts w:ascii="宋体" w:cs="宋体"/>
          <w:color w:val="auto"/>
          <w:sz w:val="24"/>
          <w:szCs w:val="24"/>
          <w:highlight w:val="none"/>
        </w:rPr>
      </w:pPr>
      <w:r>
        <w:rPr>
          <w:rFonts w:hint="eastAsia" w:ascii="宋体" w:cs="宋体"/>
          <w:color w:val="auto"/>
          <w:sz w:val="24"/>
          <w:szCs w:val="24"/>
          <w:highlight w:val="none"/>
          <w:lang w:val="zh-CN"/>
        </w:rPr>
        <w:t>法定代表人</w:t>
      </w:r>
      <w:r>
        <w:rPr>
          <w:rFonts w:hint="eastAsia" w:ascii="宋体" w:cs="宋体"/>
          <w:color w:val="auto"/>
          <w:sz w:val="24"/>
          <w:szCs w:val="24"/>
          <w:highlight w:val="none"/>
        </w:rPr>
        <w:t>：</w:t>
      </w:r>
    </w:p>
    <w:p>
      <w:pPr>
        <w:widowControl/>
        <w:spacing w:line="360" w:lineRule="auto"/>
        <w:ind w:firstLine="480" w:firstLineChars="200"/>
        <w:contextualSpacing/>
        <w:rPr>
          <w:rFonts w:ascii="宋体" w:cs="宋体"/>
          <w:color w:val="auto"/>
          <w:sz w:val="24"/>
          <w:szCs w:val="24"/>
          <w:highlight w:val="none"/>
        </w:rPr>
      </w:pPr>
      <w:r>
        <w:rPr>
          <w:rFonts w:hint="eastAsia" w:ascii="宋体" w:cs="宋体"/>
          <w:color w:val="auto"/>
          <w:sz w:val="24"/>
          <w:szCs w:val="24"/>
          <w:highlight w:val="none"/>
          <w:lang w:val="zh-CN"/>
        </w:rPr>
        <w:t>委托代理人</w:t>
      </w:r>
      <w:r>
        <w:rPr>
          <w:rFonts w:hint="eastAsia" w:ascii="宋体" w:cs="宋体"/>
          <w:color w:val="auto"/>
          <w:sz w:val="24"/>
          <w:szCs w:val="24"/>
          <w:highlight w:val="none"/>
        </w:rPr>
        <w:t>：</w:t>
      </w:r>
    </w:p>
    <w:p>
      <w:pPr>
        <w:widowControl/>
        <w:spacing w:line="360" w:lineRule="auto"/>
        <w:ind w:firstLine="480" w:firstLineChars="200"/>
        <w:contextualSpacing/>
        <w:rPr>
          <w:rFonts w:ascii="宋体" w:cs="宋体"/>
          <w:color w:val="auto"/>
          <w:sz w:val="24"/>
          <w:szCs w:val="24"/>
          <w:highlight w:val="none"/>
          <w:lang w:val="zh-CN"/>
        </w:rPr>
      </w:pPr>
      <w:r>
        <w:rPr>
          <w:rFonts w:hint="eastAsia" w:ascii="宋体" w:cs="宋体"/>
          <w:color w:val="auto"/>
          <w:sz w:val="24"/>
          <w:szCs w:val="24"/>
          <w:highlight w:val="none"/>
          <w:lang w:val="zh-CN"/>
        </w:rPr>
        <w:t>电      话：</w:t>
      </w:r>
    </w:p>
    <w:p>
      <w:pPr>
        <w:widowControl/>
        <w:spacing w:line="360" w:lineRule="auto"/>
        <w:ind w:firstLine="480" w:firstLineChars="200"/>
        <w:contextualSpacing/>
        <w:rPr>
          <w:rFonts w:ascii="宋体" w:cs="宋体"/>
          <w:color w:val="auto"/>
          <w:sz w:val="24"/>
          <w:szCs w:val="24"/>
          <w:highlight w:val="none"/>
          <w:lang w:val="zh-CN"/>
        </w:rPr>
      </w:pPr>
      <w:r>
        <w:rPr>
          <w:rFonts w:hint="eastAsia" w:ascii="宋体" w:cs="宋体"/>
          <w:color w:val="auto"/>
          <w:sz w:val="24"/>
          <w:szCs w:val="24"/>
          <w:highlight w:val="none"/>
          <w:lang w:val="zh-CN"/>
        </w:rPr>
        <w:t>传      真：</w:t>
      </w:r>
    </w:p>
    <w:p>
      <w:pPr>
        <w:widowControl/>
        <w:spacing w:line="360" w:lineRule="auto"/>
        <w:ind w:firstLine="480" w:firstLineChars="200"/>
        <w:contextualSpacing/>
        <w:rPr>
          <w:rFonts w:ascii="宋体" w:cs="宋体"/>
          <w:color w:val="auto"/>
          <w:sz w:val="24"/>
          <w:szCs w:val="24"/>
          <w:highlight w:val="none"/>
          <w:lang w:val="zh-CN"/>
        </w:rPr>
      </w:pPr>
    </w:p>
    <w:p>
      <w:pPr>
        <w:widowControl/>
        <w:spacing w:line="360" w:lineRule="auto"/>
        <w:ind w:firstLine="480" w:firstLineChars="200"/>
        <w:contextualSpacing/>
        <w:rPr>
          <w:rFonts w:ascii="宋体" w:cs="宋体"/>
          <w:color w:val="auto"/>
          <w:sz w:val="24"/>
          <w:szCs w:val="24"/>
          <w:highlight w:val="none"/>
        </w:rPr>
      </w:pPr>
    </w:p>
    <w:p>
      <w:pPr>
        <w:widowControl/>
        <w:spacing w:line="360" w:lineRule="auto"/>
        <w:ind w:firstLine="480" w:firstLineChars="200"/>
        <w:contextualSpacing/>
        <w:rPr>
          <w:rFonts w:ascii="宋体" w:cs="宋体"/>
          <w:color w:val="auto"/>
          <w:sz w:val="24"/>
          <w:szCs w:val="24"/>
          <w:highlight w:val="none"/>
        </w:rPr>
      </w:pPr>
      <w:r>
        <w:rPr>
          <w:rFonts w:hint="eastAsia" w:ascii="宋体" w:cs="宋体"/>
          <w:color w:val="auto"/>
          <w:sz w:val="24"/>
          <w:szCs w:val="24"/>
          <w:highlight w:val="none"/>
          <w:lang w:val="zh-CN"/>
        </w:rPr>
        <w:t>乙方</w:t>
      </w:r>
      <w:r>
        <w:rPr>
          <w:rFonts w:hint="eastAsia" w:ascii="宋体" w:cs="宋体"/>
          <w:color w:val="auto"/>
          <w:sz w:val="24"/>
          <w:szCs w:val="24"/>
          <w:highlight w:val="none"/>
        </w:rPr>
        <w:t>（</w:t>
      </w:r>
      <w:r>
        <w:rPr>
          <w:rFonts w:hint="eastAsia" w:ascii="宋体" w:cs="宋体"/>
          <w:color w:val="auto"/>
          <w:sz w:val="24"/>
          <w:szCs w:val="24"/>
          <w:highlight w:val="none"/>
          <w:lang w:val="zh-CN"/>
        </w:rPr>
        <w:t>公章</w:t>
      </w:r>
      <w:r>
        <w:rPr>
          <w:rFonts w:hint="eastAsia" w:ascii="宋体" w:cs="宋体"/>
          <w:color w:val="auto"/>
          <w:sz w:val="24"/>
          <w:szCs w:val="24"/>
          <w:highlight w:val="none"/>
        </w:rPr>
        <w:t>）：</w:t>
      </w:r>
    </w:p>
    <w:p>
      <w:pPr>
        <w:widowControl/>
        <w:spacing w:line="360" w:lineRule="auto"/>
        <w:ind w:firstLine="480" w:firstLineChars="200"/>
        <w:contextualSpacing/>
        <w:rPr>
          <w:rFonts w:hint="eastAsia" w:ascii="宋体" w:cs="宋体"/>
          <w:color w:val="auto"/>
          <w:sz w:val="24"/>
          <w:szCs w:val="24"/>
          <w:highlight w:val="none"/>
        </w:rPr>
      </w:pPr>
      <w:r>
        <w:rPr>
          <w:rFonts w:hint="eastAsia" w:ascii="宋体" w:cs="宋体"/>
          <w:color w:val="auto"/>
          <w:sz w:val="24"/>
          <w:szCs w:val="24"/>
          <w:highlight w:val="none"/>
          <w:lang w:val="zh-CN"/>
        </w:rPr>
        <w:t>住所</w:t>
      </w:r>
      <w:r>
        <w:rPr>
          <w:rFonts w:hint="eastAsia" w:ascii="宋体" w:cs="宋体"/>
          <w:color w:val="auto"/>
          <w:sz w:val="24"/>
          <w:szCs w:val="24"/>
          <w:highlight w:val="none"/>
        </w:rPr>
        <w:t>：</w:t>
      </w:r>
    </w:p>
    <w:p>
      <w:pPr>
        <w:widowControl/>
        <w:spacing w:line="360" w:lineRule="auto"/>
        <w:ind w:firstLine="480" w:firstLineChars="200"/>
        <w:contextualSpacing/>
        <w:rPr>
          <w:rFonts w:ascii="宋体" w:cs="宋体"/>
          <w:color w:val="auto"/>
          <w:sz w:val="24"/>
          <w:szCs w:val="24"/>
          <w:highlight w:val="none"/>
        </w:rPr>
      </w:pPr>
      <w:r>
        <w:rPr>
          <w:rFonts w:hint="eastAsia" w:ascii="宋体" w:cs="宋体"/>
          <w:color w:val="auto"/>
          <w:sz w:val="24"/>
          <w:szCs w:val="24"/>
          <w:highlight w:val="none"/>
          <w:lang w:val="zh-CN"/>
        </w:rPr>
        <w:t>法定代表人</w:t>
      </w:r>
      <w:r>
        <w:rPr>
          <w:rFonts w:hint="eastAsia" w:ascii="宋体" w:cs="宋体"/>
          <w:color w:val="auto"/>
          <w:sz w:val="24"/>
          <w:szCs w:val="24"/>
          <w:highlight w:val="none"/>
        </w:rPr>
        <w:t>：</w:t>
      </w:r>
    </w:p>
    <w:p>
      <w:pPr>
        <w:widowControl/>
        <w:spacing w:line="360" w:lineRule="auto"/>
        <w:ind w:firstLine="480" w:firstLineChars="200"/>
        <w:contextualSpacing/>
        <w:rPr>
          <w:rFonts w:ascii="宋体" w:cs="宋体"/>
          <w:color w:val="auto"/>
          <w:sz w:val="24"/>
          <w:szCs w:val="24"/>
          <w:highlight w:val="none"/>
        </w:rPr>
      </w:pPr>
      <w:r>
        <w:rPr>
          <w:rFonts w:hint="eastAsia" w:ascii="宋体" w:cs="宋体"/>
          <w:color w:val="auto"/>
          <w:sz w:val="24"/>
          <w:szCs w:val="24"/>
          <w:highlight w:val="none"/>
          <w:lang w:val="zh-CN"/>
        </w:rPr>
        <w:t>委托代理人</w:t>
      </w:r>
      <w:r>
        <w:rPr>
          <w:rFonts w:hint="eastAsia" w:ascii="宋体" w:cs="宋体"/>
          <w:color w:val="auto"/>
          <w:sz w:val="24"/>
          <w:szCs w:val="24"/>
          <w:highlight w:val="none"/>
        </w:rPr>
        <w:t>：</w:t>
      </w:r>
    </w:p>
    <w:p>
      <w:pPr>
        <w:widowControl/>
        <w:spacing w:line="360" w:lineRule="auto"/>
        <w:ind w:firstLine="480" w:firstLineChars="200"/>
        <w:contextualSpacing/>
        <w:rPr>
          <w:rFonts w:ascii="宋体" w:cs="宋体"/>
          <w:color w:val="auto"/>
          <w:sz w:val="24"/>
          <w:szCs w:val="24"/>
          <w:highlight w:val="none"/>
        </w:rPr>
      </w:pPr>
      <w:r>
        <w:rPr>
          <w:rFonts w:hint="eastAsia" w:ascii="宋体" w:cs="宋体"/>
          <w:color w:val="auto"/>
          <w:sz w:val="24"/>
          <w:szCs w:val="24"/>
          <w:highlight w:val="none"/>
        </w:rPr>
        <w:t>联系人：</w:t>
      </w:r>
    </w:p>
    <w:p>
      <w:pPr>
        <w:widowControl/>
        <w:spacing w:line="360" w:lineRule="auto"/>
        <w:ind w:firstLine="480" w:firstLineChars="200"/>
        <w:contextualSpacing/>
        <w:rPr>
          <w:rFonts w:ascii="宋体" w:cs="宋体"/>
          <w:color w:val="auto"/>
          <w:sz w:val="24"/>
          <w:szCs w:val="24"/>
          <w:highlight w:val="none"/>
        </w:rPr>
      </w:pPr>
      <w:r>
        <w:rPr>
          <w:rFonts w:hint="eastAsia" w:ascii="宋体" w:cs="宋体"/>
          <w:color w:val="auto"/>
          <w:sz w:val="24"/>
          <w:szCs w:val="24"/>
          <w:highlight w:val="none"/>
          <w:lang w:val="zh-CN"/>
        </w:rPr>
        <w:t>电      话：</w:t>
      </w:r>
    </w:p>
    <w:p>
      <w:pPr>
        <w:widowControl/>
        <w:spacing w:line="360" w:lineRule="auto"/>
        <w:ind w:firstLine="480" w:firstLineChars="200"/>
        <w:contextualSpacing/>
        <w:rPr>
          <w:rFonts w:ascii="宋体" w:cs="宋体"/>
          <w:color w:val="auto"/>
          <w:sz w:val="24"/>
          <w:szCs w:val="24"/>
          <w:highlight w:val="none"/>
        </w:rPr>
      </w:pPr>
      <w:r>
        <w:rPr>
          <w:rFonts w:hint="eastAsia" w:ascii="宋体" w:cs="宋体"/>
          <w:color w:val="auto"/>
          <w:sz w:val="24"/>
          <w:szCs w:val="24"/>
          <w:highlight w:val="none"/>
          <w:lang w:val="zh-CN"/>
        </w:rPr>
        <w:t>传      真：</w:t>
      </w:r>
    </w:p>
    <w:p>
      <w:pPr>
        <w:widowControl/>
        <w:spacing w:line="360" w:lineRule="auto"/>
        <w:ind w:firstLine="480" w:firstLineChars="200"/>
        <w:contextualSpacing/>
        <w:rPr>
          <w:rFonts w:ascii="宋体" w:cs="宋体"/>
          <w:bCs/>
          <w:color w:val="auto"/>
          <w:sz w:val="24"/>
          <w:szCs w:val="24"/>
          <w:highlight w:val="none"/>
        </w:rPr>
      </w:pPr>
      <w:r>
        <w:rPr>
          <w:rFonts w:hint="eastAsia" w:ascii="宋体" w:cs="宋体"/>
          <w:color w:val="auto"/>
          <w:sz w:val="24"/>
          <w:szCs w:val="24"/>
          <w:highlight w:val="none"/>
          <w:lang w:val="zh-CN"/>
        </w:rPr>
        <w:t>开 户 银 行：</w:t>
      </w:r>
    </w:p>
    <w:p>
      <w:pPr>
        <w:widowControl/>
        <w:spacing w:line="360" w:lineRule="auto"/>
        <w:ind w:firstLine="480" w:firstLineChars="200"/>
        <w:contextualSpacing/>
        <w:rPr>
          <w:rFonts w:ascii="宋体" w:cs="宋体"/>
          <w:bCs/>
          <w:color w:val="auto"/>
          <w:sz w:val="24"/>
          <w:szCs w:val="24"/>
          <w:highlight w:val="none"/>
          <w:lang w:val="zh-CN"/>
        </w:rPr>
      </w:pPr>
      <w:r>
        <w:rPr>
          <w:rFonts w:hint="eastAsia" w:ascii="宋体" w:cs="宋体"/>
          <w:bCs/>
          <w:color w:val="auto"/>
          <w:sz w:val="24"/>
          <w:szCs w:val="24"/>
          <w:highlight w:val="none"/>
          <w:lang w:val="zh-CN"/>
        </w:rPr>
        <w:t xml:space="preserve">帐   </w:t>
      </w:r>
      <w:r>
        <w:rPr>
          <w:rFonts w:hint="eastAsia" w:ascii="宋体" w:cs="宋体"/>
          <w:color w:val="auto"/>
          <w:sz w:val="24"/>
          <w:szCs w:val="24"/>
          <w:highlight w:val="none"/>
          <w:lang w:val="zh-CN"/>
        </w:rPr>
        <w:t xml:space="preserve">    号：</w:t>
      </w:r>
    </w:p>
    <w:p>
      <w:pPr>
        <w:widowControl/>
        <w:spacing w:line="360" w:lineRule="auto"/>
        <w:ind w:firstLine="480" w:firstLineChars="200"/>
        <w:contextualSpacing/>
        <w:rPr>
          <w:rFonts w:ascii="宋体" w:cs="宋体"/>
          <w:color w:val="auto"/>
          <w:sz w:val="24"/>
          <w:szCs w:val="24"/>
          <w:highlight w:val="none"/>
          <w:lang w:val="zh-CN"/>
        </w:rPr>
      </w:pPr>
      <w:r>
        <w:rPr>
          <w:rFonts w:hint="eastAsia" w:ascii="宋体" w:cs="宋体"/>
          <w:color w:val="auto"/>
          <w:sz w:val="24"/>
          <w:szCs w:val="24"/>
          <w:highlight w:val="none"/>
          <w:lang w:val="zh-CN"/>
        </w:rPr>
        <w:t>邮 政 编 码：</w:t>
      </w:r>
    </w:p>
    <w:p>
      <w:pPr>
        <w:spacing w:line="360" w:lineRule="auto"/>
        <w:ind w:firstLine="480" w:firstLineChars="200"/>
        <w:contextualSpacing/>
        <w:jc w:val="center"/>
        <w:rPr>
          <w:rFonts w:ascii="宋体" w:cs="宋体"/>
          <w:color w:val="auto"/>
          <w:sz w:val="24"/>
          <w:szCs w:val="24"/>
          <w:highlight w:val="none"/>
        </w:rPr>
      </w:pPr>
      <w:r>
        <w:rPr>
          <w:rFonts w:hint="eastAsia" w:ascii="宋体" w:cs="宋体"/>
          <w:color w:val="auto"/>
          <w:sz w:val="24"/>
          <w:szCs w:val="24"/>
          <w:highlight w:val="none"/>
        </w:rPr>
        <w:t xml:space="preserve">                             2021年   月    日</w:t>
      </w:r>
    </w:p>
    <w:p>
      <w:pPr>
        <w:jc w:val="left"/>
        <w:rPr>
          <w:rFonts w:hint="eastAsia"/>
          <w:color w:val="auto"/>
          <w:highlight w:val="none"/>
        </w:rPr>
      </w:pPr>
    </w:p>
    <w:p>
      <w:pPr>
        <w:jc w:val="left"/>
        <w:rPr>
          <w:rFonts w:hint="eastAsia"/>
          <w:color w:val="auto"/>
          <w:highlight w:val="none"/>
        </w:rPr>
      </w:pPr>
    </w:p>
    <w:p>
      <w:pPr>
        <w:jc w:val="left"/>
        <w:rPr>
          <w:rFonts w:hint="eastAsia"/>
          <w:color w:val="auto"/>
          <w:highlight w:val="none"/>
        </w:rPr>
      </w:pPr>
    </w:p>
    <w:p>
      <w:pPr>
        <w:jc w:val="left"/>
        <w:rPr>
          <w:rFonts w:hint="eastAsia"/>
          <w:color w:val="auto"/>
          <w:highlight w:val="none"/>
        </w:rPr>
      </w:pPr>
    </w:p>
    <w:p>
      <w:pPr>
        <w:jc w:val="left"/>
        <w:rPr>
          <w:rFonts w:hint="eastAsia"/>
          <w:color w:val="auto"/>
          <w:highlight w:val="none"/>
        </w:rPr>
      </w:pPr>
    </w:p>
    <w:p>
      <w:pPr>
        <w:jc w:val="left"/>
        <w:rPr>
          <w:color w:val="auto"/>
          <w:highlight w:val="none"/>
        </w:rPr>
      </w:pPr>
    </w:p>
    <w:p>
      <w:pPr>
        <w:rPr>
          <w:rFonts w:ascii="宋体" w:hAnsi="宋体"/>
          <w:b/>
          <w:bCs/>
          <w:color w:val="auto"/>
          <w:kern w:val="0"/>
          <w:sz w:val="24"/>
          <w:szCs w:val="24"/>
          <w:highlight w:val="none"/>
        </w:rPr>
      </w:pPr>
      <w:bookmarkStart w:id="175" w:name="_Toc517530671"/>
      <w:bookmarkStart w:id="176" w:name="_Toc517529709"/>
      <w:bookmarkStart w:id="177" w:name="_Toc405968563"/>
      <w:bookmarkStart w:id="178" w:name="_Toc517528616"/>
      <w:bookmarkStart w:id="179" w:name="_Toc517531947"/>
      <w:r>
        <w:rPr>
          <w:color w:val="auto"/>
          <w:highlight w:val="none"/>
        </w:rPr>
        <w:br w:type="page"/>
      </w:r>
      <w:bookmarkEnd w:id="175"/>
      <w:bookmarkEnd w:id="176"/>
      <w:bookmarkEnd w:id="177"/>
      <w:bookmarkEnd w:id="178"/>
      <w:bookmarkEnd w:id="179"/>
      <w:r>
        <w:rPr>
          <w:rFonts w:hint="eastAsia" w:ascii="宋体"/>
          <w:bCs/>
          <w:color w:val="auto"/>
          <w:sz w:val="28"/>
          <w:szCs w:val="28"/>
          <w:highlight w:val="none"/>
        </w:rPr>
        <w:t>附件</w:t>
      </w:r>
      <w:r>
        <w:rPr>
          <w:rFonts w:ascii="宋体"/>
          <w:bCs/>
          <w:color w:val="auto"/>
          <w:sz w:val="28"/>
          <w:szCs w:val="28"/>
          <w:highlight w:val="none"/>
        </w:rPr>
        <w:t>7</w:t>
      </w:r>
      <w:r>
        <w:rPr>
          <w:rFonts w:hint="eastAsia" w:ascii="宋体"/>
          <w:bCs/>
          <w:color w:val="auto"/>
          <w:sz w:val="28"/>
          <w:szCs w:val="28"/>
          <w:highlight w:val="none"/>
        </w:rPr>
        <w:t>：</w:t>
      </w:r>
    </w:p>
    <w:tbl>
      <w:tblPr>
        <w:tblStyle w:val="43"/>
        <w:tblW w:w="9286" w:type="dxa"/>
        <w:jc w:val="center"/>
        <w:tblLayout w:type="fixed"/>
        <w:tblCellMar>
          <w:top w:w="0" w:type="dxa"/>
          <w:left w:w="108" w:type="dxa"/>
          <w:bottom w:w="0" w:type="dxa"/>
          <w:right w:w="108" w:type="dxa"/>
        </w:tblCellMar>
      </w:tblPr>
      <w:tblGrid>
        <w:gridCol w:w="2398"/>
        <w:gridCol w:w="1044"/>
        <w:gridCol w:w="542"/>
        <w:gridCol w:w="366"/>
        <w:gridCol w:w="1380"/>
        <w:gridCol w:w="332"/>
        <w:gridCol w:w="806"/>
        <w:gridCol w:w="403"/>
        <w:gridCol w:w="2015"/>
      </w:tblGrid>
      <w:tr>
        <w:tblPrEx>
          <w:tblCellMar>
            <w:top w:w="0" w:type="dxa"/>
            <w:left w:w="108" w:type="dxa"/>
            <w:bottom w:w="0" w:type="dxa"/>
            <w:right w:w="108" w:type="dxa"/>
          </w:tblCellMar>
        </w:tblPrEx>
        <w:trPr>
          <w:trHeight w:val="935" w:hRule="atLeast"/>
          <w:jc w:val="center"/>
        </w:trPr>
        <w:tc>
          <w:tcPr>
            <w:tcW w:w="9286" w:type="dxa"/>
            <w:gridSpan w:val="9"/>
            <w:tcBorders>
              <w:top w:val="nil"/>
              <w:left w:val="nil"/>
              <w:bottom w:val="nil"/>
              <w:right w:val="nil"/>
            </w:tcBorders>
            <w:noWrap w:val="0"/>
            <w:vAlign w:val="center"/>
          </w:tcPr>
          <w:p>
            <w:pPr>
              <w:ind w:firstLine="3025" w:firstLineChars="945"/>
              <w:rPr>
                <w:rFonts w:ascii="宋体" w:hAnsi="宋体" w:cs="宋体"/>
                <w:b/>
                <w:bCs/>
                <w:color w:val="auto"/>
                <w:kern w:val="0"/>
                <w:sz w:val="48"/>
                <w:szCs w:val="48"/>
                <w:highlight w:val="none"/>
              </w:rPr>
            </w:pPr>
            <w:r>
              <w:rPr>
                <w:rFonts w:hint="eastAsia" w:ascii="宋体" w:hAnsi="宋体" w:cs="宋体"/>
                <w:b/>
                <w:bCs/>
                <w:color w:val="auto"/>
                <w:kern w:val="0"/>
                <w:sz w:val="32"/>
                <w:szCs w:val="32"/>
                <w:highlight w:val="none"/>
              </w:rPr>
              <w:t>保</w:t>
            </w:r>
            <w:r>
              <w:rPr>
                <w:rFonts w:ascii="宋体" w:hAnsi="宋体" w:cs="宋体"/>
                <w:b/>
                <w:bCs/>
                <w:color w:val="auto"/>
                <w:kern w:val="0"/>
                <w:sz w:val="32"/>
                <w:szCs w:val="32"/>
                <w:highlight w:val="none"/>
              </w:rPr>
              <w:t xml:space="preserve"> </w:t>
            </w:r>
            <w:r>
              <w:rPr>
                <w:rFonts w:hint="eastAsia" w:ascii="宋体" w:hAnsi="宋体" w:cs="宋体"/>
                <w:b/>
                <w:bCs/>
                <w:color w:val="auto"/>
                <w:kern w:val="0"/>
                <w:sz w:val="32"/>
                <w:szCs w:val="32"/>
                <w:highlight w:val="none"/>
              </w:rPr>
              <w:t>修</w:t>
            </w:r>
            <w:r>
              <w:rPr>
                <w:rFonts w:ascii="宋体" w:hAnsi="宋体" w:cs="宋体"/>
                <w:b/>
                <w:bCs/>
                <w:color w:val="auto"/>
                <w:kern w:val="0"/>
                <w:sz w:val="32"/>
                <w:szCs w:val="32"/>
                <w:highlight w:val="none"/>
              </w:rPr>
              <w:t xml:space="preserve"> </w:t>
            </w:r>
            <w:r>
              <w:rPr>
                <w:rFonts w:hint="eastAsia" w:ascii="宋体" w:hAnsi="宋体" w:cs="宋体"/>
                <w:b/>
                <w:bCs/>
                <w:color w:val="auto"/>
                <w:kern w:val="0"/>
                <w:sz w:val="32"/>
                <w:szCs w:val="32"/>
                <w:highlight w:val="none"/>
              </w:rPr>
              <w:t>通</w:t>
            </w:r>
            <w:r>
              <w:rPr>
                <w:rFonts w:ascii="宋体" w:hAnsi="宋体" w:cs="宋体"/>
                <w:b/>
                <w:bCs/>
                <w:color w:val="auto"/>
                <w:kern w:val="0"/>
                <w:sz w:val="32"/>
                <w:szCs w:val="32"/>
                <w:highlight w:val="none"/>
              </w:rPr>
              <w:t xml:space="preserve"> </w:t>
            </w:r>
            <w:r>
              <w:rPr>
                <w:rFonts w:hint="eastAsia" w:ascii="宋体" w:hAnsi="宋体" w:cs="宋体"/>
                <w:b/>
                <w:bCs/>
                <w:color w:val="auto"/>
                <w:kern w:val="0"/>
                <w:sz w:val="32"/>
                <w:szCs w:val="32"/>
                <w:highlight w:val="none"/>
              </w:rPr>
              <w:t>知</w:t>
            </w:r>
            <w:r>
              <w:rPr>
                <w:rFonts w:ascii="宋体" w:hAnsi="宋体" w:cs="宋体"/>
                <w:b/>
                <w:bCs/>
                <w:color w:val="auto"/>
                <w:kern w:val="0"/>
                <w:sz w:val="32"/>
                <w:szCs w:val="32"/>
                <w:highlight w:val="none"/>
              </w:rPr>
              <w:t xml:space="preserve"> </w:t>
            </w:r>
            <w:r>
              <w:rPr>
                <w:rFonts w:hint="eastAsia" w:ascii="宋体" w:hAnsi="宋体" w:cs="宋体"/>
                <w:b/>
                <w:bCs/>
                <w:color w:val="auto"/>
                <w:kern w:val="0"/>
                <w:sz w:val="32"/>
                <w:szCs w:val="32"/>
                <w:highlight w:val="none"/>
              </w:rPr>
              <w:t xml:space="preserve">书 </w:t>
            </w:r>
            <w:r>
              <w:rPr>
                <w:rFonts w:ascii="宋体" w:hAnsi="宋体" w:cs="宋体"/>
                <w:b/>
                <w:bCs/>
                <w:color w:val="auto"/>
                <w:kern w:val="0"/>
                <w:sz w:val="32"/>
                <w:szCs w:val="32"/>
                <w:highlight w:val="none"/>
              </w:rPr>
              <w:t xml:space="preserve">          </w:t>
            </w:r>
            <w:r>
              <w:rPr>
                <w:rFonts w:hint="eastAsia" w:ascii="宋体" w:hAnsi="宋体" w:cs="宋体"/>
                <w:bCs/>
                <w:color w:val="auto"/>
                <w:kern w:val="0"/>
                <w:sz w:val="16"/>
                <w:szCs w:val="16"/>
                <w:highlight w:val="none"/>
              </w:rPr>
              <w:t>编号</w:t>
            </w:r>
            <w:r>
              <w:rPr>
                <w:rFonts w:ascii="宋体" w:hAnsi="宋体" w:cs="宋体"/>
                <w:bCs/>
                <w:color w:val="auto"/>
                <w:kern w:val="0"/>
                <w:sz w:val="16"/>
                <w:szCs w:val="16"/>
                <w:highlight w:val="none"/>
                <w:u w:val="single"/>
              </w:rPr>
              <w:t xml:space="preserve">        </w:t>
            </w:r>
            <w:r>
              <w:rPr>
                <w:rFonts w:hint="eastAsia" w:ascii="宋体" w:hAnsi="宋体" w:cs="宋体"/>
                <w:bCs/>
                <w:color w:val="auto"/>
                <w:kern w:val="0"/>
                <w:sz w:val="16"/>
                <w:szCs w:val="16"/>
                <w:highlight w:val="none"/>
              </w:rPr>
              <w:t>（一式四联）</w:t>
            </w:r>
          </w:p>
        </w:tc>
      </w:tr>
      <w:tr>
        <w:tblPrEx>
          <w:tblCellMar>
            <w:top w:w="0" w:type="dxa"/>
            <w:left w:w="108" w:type="dxa"/>
            <w:bottom w:w="0" w:type="dxa"/>
            <w:right w:w="108" w:type="dxa"/>
          </w:tblCellMar>
        </w:tblPrEx>
        <w:trPr>
          <w:trHeight w:val="323" w:hRule="atLeast"/>
          <w:jc w:val="center"/>
        </w:trPr>
        <w:tc>
          <w:tcPr>
            <w:tcW w:w="2398" w:type="dxa"/>
            <w:tcBorders>
              <w:top w:val="single" w:color="auto" w:sz="8" w:space="0"/>
              <w:left w:val="single" w:color="auto" w:sz="8" w:space="0"/>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工程名称</w:t>
            </w:r>
          </w:p>
        </w:tc>
        <w:tc>
          <w:tcPr>
            <w:tcW w:w="6888" w:type="dxa"/>
            <w:gridSpan w:val="8"/>
            <w:tcBorders>
              <w:top w:val="single" w:color="auto" w:sz="8" w:space="0"/>
              <w:left w:val="nil"/>
              <w:bottom w:val="single" w:color="auto" w:sz="4" w:space="0"/>
              <w:right w:val="single" w:color="000000" w:sz="8" w:space="0"/>
            </w:tcBorders>
            <w:noWrap w:val="0"/>
            <w:vAlign w:val="center"/>
          </w:tcPr>
          <w:p>
            <w:pPr>
              <w:keepNext/>
              <w:spacing w:line="360" w:lineRule="auto"/>
              <w:ind w:left="851"/>
              <w:jc w:val="center"/>
              <w:outlineLvl w:val="0"/>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295" w:hRule="atLeast"/>
          <w:jc w:val="center"/>
        </w:trPr>
        <w:tc>
          <w:tcPr>
            <w:tcW w:w="2398" w:type="dxa"/>
            <w:vMerge w:val="restart"/>
            <w:tcBorders>
              <w:top w:val="nil"/>
              <w:left w:val="single" w:color="auto" w:sz="8"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使用单位</w:t>
            </w:r>
          </w:p>
        </w:tc>
        <w:tc>
          <w:tcPr>
            <w:tcW w:w="6888" w:type="dxa"/>
            <w:gridSpan w:val="8"/>
            <w:tcBorders>
              <w:top w:val="single" w:color="auto" w:sz="4" w:space="0"/>
              <w:left w:val="nil"/>
              <w:bottom w:val="single" w:color="auto" w:sz="4" w:space="0"/>
              <w:right w:val="single" w:color="000000" w:sz="8" w:space="0"/>
            </w:tcBorders>
            <w:noWrap w:val="0"/>
            <w:vAlign w:val="center"/>
          </w:tcPr>
          <w:p>
            <w:pPr>
              <w:keepNext/>
              <w:spacing w:line="360" w:lineRule="auto"/>
              <w:ind w:left="851"/>
              <w:jc w:val="center"/>
              <w:outlineLvl w:val="0"/>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480" w:hRule="atLeast"/>
          <w:jc w:val="center"/>
        </w:trPr>
        <w:tc>
          <w:tcPr>
            <w:tcW w:w="2398" w:type="dxa"/>
            <w:vMerge w:val="continue"/>
            <w:tcBorders>
              <w:left w:val="single" w:color="auto" w:sz="8" w:space="0"/>
              <w:right w:val="single" w:color="auto" w:sz="4" w:space="0"/>
            </w:tcBorders>
            <w:noWrap w:val="0"/>
            <w:vAlign w:val="center"/>
          </w:tcPr>
          <w:p>
            <w:pPr>
              <w:keepNext/>
              <w:numPr>
                <w:ilvl w:val="0"/>
                <w:numId w:val="1"/>
              </w:numPr>
              <w:tabs>
                <w:tab w:val="left" w:pos="360"/>
              </w:tabs>
              <w:spacing w:line="360" w:lineRule="auto"/>
              <w:ind w:left="360"/>
              <w:jc w:val="left"/>
              <w:outlineLvl w:val="0"/>
              <w:rPr>
                <w:rFonts w:ascii="宋体" w:hAnsi="宋体" w:cs="宋体"/>
                <w:color w:val="auto"/>
                <w:kern w:val="0"/>
                <w:szCs w:val="21"/>
                <w:highlight w:val="none"/>
              </w:rPr>
            </w:pPr>
            <w:bookmarkStart w:id="180" w:name="_Toc517531960"/>
            <w:bookmarkEnd w:id="180"/>
            <w:bookmarkStart w:id="181" w:name="_Toc517530684"/>
            <w:bookmarkEnd w:id="181"/>
            <w:bookmarkStart w:id="182" w:name="_Toc517529722"/>
            <w:bookmarkEnd w:id="182"/>
            <w:bookmarkStart w:id="183" w:name="_Toc517528629"/>
            <w:bookmarkEnd w:id="183"/>
          </w:p>
        </w:tc>
        <w:tc>
          <w:tcPr>
            <w:tcW w:w="1586" w:type="dxa"/>
            <w:gridSpan w:val="2"/>
            <w:tcBorders>
              <w:top w:val="nil"/>
              <w:left w:val="nil"/>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保修负责人</w:t>
            </w:r>
          </w:p>
        </w:tc>
        <w:tc>
          <w:tcPr>
            <w:tcW w:w="1746" w:type="dxa"/>
            <w:gridSpan w:val="2"/>
            <w:tcBorders>
              <w:top w:val="nil"/>
              <w:left w:val="nil"/>
              <w:bottom w:val="single" w:color="auto" w:sz="4" w:space="0"/>
              <w:right w:val="single" w:color="auto" w:sz="4" w:space="0"/>
            </w:tcBorders>
            <w:noWrap w:val="0"/>
            <w:vAlign w:val="center"/>
          </w:tcPr>
          <w:p>
            <w:pPr>
              <w:keepNext/>
              <w:spacing w:line="360" w:lineRule="auto"/>
              <w:ind w:left="851"/>
              <w:jc w:val="center"/>
              <w:outlineLvl w:val="0"/>
              <w:rPr>
                <w:rFonts w:ascii="宋体" w:hAnsi="宋体" w:cs="宋体"/>
                <w:color w:val="auto"/>
                <w:kern w:val="0"/>
                <w:szCs w:val="21"/>
                <w:highlight w:val="none"/>
              </w:rPr>
            </w:pPr>
          </w:p>
        </w:tc>
        <w:tc>
          <w:tcPr>
            <w:tcW w:w="1138" w:type="dxa"/>
            <w:gridSpan w:val="2"/>
            <w:tcBorders>
              <w:top w:val="nil"/>
              <w:left w:val="nil"/>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电话</w:t>
            </w:r>
          </w:p>
        </w:tc>
        <w:tc>
          <w:tcPr>
            <w:tcW w:w="2418" w:type="dxa"/>
            <w:gridSpan w:val="2"/>
            <w:tcBorders>
              <w:top w:val="nil"/>
              <w:left w:val="nil"/>
              <w:bottom w:val="single" w:color="auto" w:sz="4" w:space="0"/>
              <w:right w:val="single" w:color="auto" w:sz="8" w:space="0"/>
            </w:tcBorders>
            <w:noWrap w:val="0"/>
            <w:vAlign w:val="center"/>
          </w:tcPr>
          <w:p>
            <w:pPr>
              <w:keepNext/>
              <w:spacing w:line="360" w:lineRule="auto"/>
              <w:ind w:left="851"/>
              <w:jc w:val="center"/>
              <w:outlineLvl w:val="0"/>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323" w:hRule="atLeast"/>
          <w:jc w:val="center"/>
        </w:trPr>
        <w:tc>
          <w:tcPr>
            <w:tcW w:w="2398" w:type="dxa"/>
            <w:vMerge w:val="continue"/>
            <w:tcBorders>
              <w:left w:val="single" w:color="auto" w:sz="8" w:space="0"/>
              <w:bottom w:val="single" w:color="auto" w:sz="4" w:space="0"/>
              <w:right w:val="single" w:color="auto" w:sz="4" w:space="0"/>
            </w:tcBorders>
            <w:noWrap w:val="0"/>
            <w:vAlign w:val="center"/>
          </w:tcPr>
          <w:p>
            <w:pPr>
              <w:keepNext/>
              <w:numPr>
                <w:ilvl w:val="0"/>
                <w:numId w:val="1"/>
              </w:numPr>
              <w:tabs>
                <w:tab w:val="left" w:pos="360"/>
              </w:tabs>
              <w:spacing w:line="360" w:lineRule="auto"/>
              <w:ind w:left="360"/>
              <w:jc w:val="left"/>
              <w:outlineLvl w:val="0"/>
              <w:rPr>
                <w:rFonts w:ascii="宋体" w:hAnsi="宋体" w:cs="宋体"/>
                <w:color w:val="auto"/>
                <w:kern w:val="0"/>
                <w:szCs w:val="21"/>
                <w:highlight w:val="none"/>
              </w:rPr>
            </w:pPr>
            <w:bookmarkStart w:id="184" w:name="_Toc517531961"/>
            <w:bookmarkEnd w:id="184"/>
            <w:bookmarkStart w:id="185" w:name="_Toc517529723"/>
            <w:bookmarkEnd w:id="185"/>
            <w:bookmarkStart w:id="186" w:name="_Toc517528630"/>
            <w:bookmarkEnd w:id="186"/>
            <w:bookmarkStart w:id="187" w:name="_Toc517530685"/>
            <w:bookmarkEnd w:id="187"/>
          </w:p>
        </w:tc>
        <w:tc>
          <w:tcPr>
            <w:tcW w:w="1586" w:type="dxa"/>
            <w:gridSpan w:val="2"/>
            <w:tcBorders>
              <w:top w:val="nil"/>
              <w:left w:val="nil"/>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联系人</w:t>
            </w:r>
          </w:p>
        </w:tc>
        <w:tc>
          <w:tcPr>
            <w:tcW w:w="1746" w:type="dxa"/>
            <w:gridSpan w:val="2"/>
            <w:tcBorders>
              <w:top w:val="nil"/>
              <w:left w:val="nil"/>
              <w:bottom w:val="single" w:color="auto" w:sz="4" w:space="0"/>
              <w:right w:val="single" w:color="auto" w:sz="4" w:space="0"/>
            </w:tcBorders>
            <w:noWrap w:val="0"/>
            <w:vAlign w:val="center"/>
          </w:tcPr>
          <w:p>
            <w:pPr>
              <w:keepNext/>
              <w:spacing w:line="360" w:lineRule="auto"/>
              <w:ind w:left="851"/>
              <w:jc w:val="center"/>
              <w:outlineLvl w:val="0"/>
              <w:rPr>
                <w:rFonts w:ascii="宋体" w:hAnsi="宋体" w:cs="宋体"/>
                <w:color w:val="auto"/>
                <w:kern w:val="0"/>
                <w:szCs w:val="21"/>
                <w:highlight w:val="none"/>
              </w:rPr>
            </w:pPr>
          </w:p>
        </w:tc>
        <w:tc>
          <w:tcPr>
            <w:tcW w:w="1138" w:type="dxa"/>
            <w:gridSpan w:val="2"/>
            <w:tcBorders>
              <w:top w:val="nil"/>
              <w:left w:val="nil"/>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电话</w:t>
            </w:r>
          </w:p>
        </w:tc>
        <w:tc>
          <w:tcPr>
            <w:tcW w:w="2418" w:type="dxa"/>
            <w:gridSpan w:val="2"/>
            <w:tcBorders>
              <w:top w:val="nil"/>
              <w:left w:val="nil"/>
              <w:bottom w:val="single" w:color="auto" w:sz="4" w:space="0"/>
              <w:right w:val="single" w:color="auto" w:sz="8" w:space="0"/>
            </w:tcBorders>
            <w:noWrap w:val="0"/>
            <w:vAlign w:val="center"/>
          </w:tcPr>
          <w:p>
            <w:pPr>
              <w:keepNext/>
              <w:spacing w:line="360" w:lineRule="auto"/>
              <w:ind w:left="851"/>
              <w:jc w:val="center"/>
              <w:outlineLvl w:val="0"/>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257" w:hRule="atLeast"/>
          <w:jc w:val="center"/>
        </w:trPr>
        <w:tc>
          <w:tcPr>
            <w:tcW w:w="2398" w:type="dxa"/>
            <w:vMerge w:val="restart"/>
            <w:tcBorders>
              <w:top w:val="nil"/>
              <w:left w:val="single" w:color="auto" w:sz="8" w:space="0"/>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保修责任</w:t>
            </w:r>
          </w:p>
          <w:p>
            <w:pPr>
              <w:jc w:val="center"/>
              <w:rPr>
                <w:rFonts w:ascii="宋体" w:hAnsi="宋体" w:cs="宋体"/>
                <w:color w:val="auto"/>
                <w:kern w:val="0"/>
                <w:szCs w:val="21"/>
                <w:highlight w:val="none"/>
              </w:rPr>
            </w:pPr>
            <w:r>
              <w:rPr>
                <w:rFonts w:hint="eastAsia" w:ascii="宋体" w:hAnsi="宋体" w:cs="宋体"/>
                <w:color w:val="auto"/>
                <w:kern w:val="0"/>
                <w:szCs w:val="21"/>
                <w:highlight w:val="none"/>
              </w:rPr>
              <w:t>单位</w:t>
            </w:r>
          </w:p>
        </w:tc>
        <w:tc>
          <w:tcPr>
            <w:tcW w:w="6888" w:type="dxa"/>
            <w:gridSpan w:val="8"/>
            <w:tcBorders>
              <w:top w:val="single" w:color="auto" w:sz="4" w:space="0"/>
              <w:left w:val="nil"/>
              <w:bottom w:val="single" w:color="auto" w:sz="4" w:space="0"/>
              <w:right w:val="single" w:color="000000" w:sz="8" w:space="0"/>
            </w:tcBorders>
            <w:noWrap w:val="0"/>
            <w:vAlign w:val="center"/>
          </w:tcPr>
          <w:p>
            <w:pPr>
              <w:keepNext/>
              <w:spacing w:line="360" w:lineRule="auto"/>
              <w:ind w:left="851"/>
              <w:jc w:val="center"/>
              <w:outlineLvl w:val="0"/>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375" w:hRule="atLeast"/>
          <w:jc w:val="center"/>
        </w:trPr>
        <w:tc>
          <w:tcPr>
            <w:tcW w:w="2398" w:type="dxa"/>
            <w:vMerge w:val="continue"/>
            <w:tcBorders>
              <w:top w:val="nil"/>
              <w:left w:val="single" w:color="auto" w:sz="8" w:space="0"/>
              <w:bottom w:val="single" w:color="auto" w:sz="4" w:space="0"/>
              <w:right w:val="single" w:color="auto" w:sz="4" w:space="0"/>
            </w:tcBorders>
            <w:noWrap w:val="0"/>
            <w:vAlign w:val="center"/>
          </w:tcPr>
          <w:p>
            <w:pPr>
              <w:keepNext/>
              <w:numPr>
                <w:ilvl w:val="0"/>
                <w:numId w:val="1"/>
              </w:numPr>
              <w:tabs>
                <w:tab w:val="left" w:pos="360"/>
              </w:tabs>
              <w:spacing w:line="360" w:lineRule="auto"/>
              <w:ind w:left="360"/>
              <w:jc w:val="left"/>
              <w:outlineLvl w:val="0"/>
              <w:rPr>
                <w:rFonts w:ascii="宋体" w:hAnsi="宋体" w:cs="宋体"/>
                <w:color w:val="auto"/>
                <w:kern w:val="0"/>
                <w:szCs w:val="21"/>
                <w:highlight w:val="none"/>
              </w:rPr>
            </w:pPr>
            <w:bookmarkStart w:id="188" w:name="_Toc517531962"/>
            <w:bookmarkEnd w:id="188"/>
            <w:bookmarkStart w:id="189" w:name="_Toc517530686"/>
            <w:bookmarkEnd w:id="189"/>
            <w:bookmarkStart w:id="190" w:name="_Toc517529724"/>
            <w:bookmarkEnd w:id="190"/>
            <w:bookmarkStart w:id="191" w:name="_Toc517528631"/>
            <w:bookmarkEnd w:id="191"/>
          </w:p>
        </w:tc>
        <w:tc>
          <w:tcPr>
            <w:tcW w:w="1586" w:type="dxa"/>
            <w:gridSpan w:val="2"/>
            <w:tcBorders>
              <w:top w:val="nil"/>
              <w:left w:val="nil"/>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项目负责人</w:t>
            </w:r>
          </w:p>
        </w:tc>
        <w:tc>
          <w:tcPr>
            <w:tcW w:w="1746" w:type="dxa"/>
            <w:gridSpan w:val="2"/>
            <w:tcBorders>
              <w:top w:val="nil"/>
              <w:left w:val="nil"/>
              <w:bottom w:val="single" w:color="auto" w:sz="4" w:space="0"/>
              <w:right w:val="single" w:color="auto" w:sz="4" w:space="0"/>
            </w:tcBorders>
            <w:noWrap w:val="0"/>
            <w:vAlign w:val="center"/>
          </w:tcPr>
          <w:p>
            <w:pPr>
              <w:keepNext/>
              <w:spacing w:line="360" w:lineRule="auto"/>
              <w:ind w:left="851"/>
              <w:jc w:val="center"/>
              <w:outlineLvl w:val="0"/>
              <w:rPr>
                <w:rFonts w:ascii="宋体" w:hAnsi="宋体" w:cs="宋体"/>
                <w:color w:val="auto"/>
                <w:kern w:val="0"/>
                <w:szCs w:val="21"/>
                <w:highlight w:val="none"/>
              </w:rPr>
            </w:pPr>
          </w:p>
        </w:tc>
        <w:tc>
          <w:tcPr>
            <w:tcW w:w="1138" w:type="dxa"/>
            <w:gridSpan w:val="2"/>
            <w:tcBorders>
              <w:top w:val="nil"/>
              <w:left w:val="nil"/>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电话</w:t>
            </w:r>
          </w:p>
        </w:tc>
        <w:tc>
          <w:tcPr>
            <w:tcW w:w="2418" w:type="dxa"/>
            <w:gridSpan w:val="2"/>
            <w:tcBorders>
              <w:top w:val="nil"/>
              <w:left w:val="nil"/>
              <w:bottom w:val="single" w:color="auto" w:sz="4" w:space="0"/>
              <w:right w:val="single" w:color="auto" w:sz="8" w:space="0"/>
            </w:tcBorders>
            <w:noWrap w:val="0"/>
            <w:vAlign w:val="center"/>
          </w:tcPr>
          <w:p>
            <w:pPr>
              <w:keepNext/>
              <w:spacing w:line="360" w:lineRule="auto"/>
              <w:ind w:left="851"/>
              <w:jc w:val="center"/>
              <w:outlineLvl w:val="0"/>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267" w:hRule="atLeast"/>
          <w:jc w:val="center"/>
        </w:trPr>
        <w:tc>
          <w:tcPr>
            <w:tcW w:w="2398" w:type="dxa"/>
            <w:vMerge w:val="restart"/>
            <w:tcBorders>
              <w:top w:val="nil"/>
              <w:left w:val="single" w:color="auto" w:sz="8" w:space="0"/>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监理单位</w:t>
            </w:r>
          </w:p>
        </w:tc>
        <w:tc>
          <w:tcPr>
            <w:tcW w:w="6888" w:type="dxa"/>
            <w:gridSpan w:val="8"/>
            <w:tcBorders>
              <w:top w:val="single" w:color="auto" w:sz="4" w:space="0"/>
              <w:left w:val="nil"/>
              <w:bottom w:val="single" w:color="auto" w:sz="4" w:space="0"/>
              <w:right w:val="single" w:color="000000" w:sz="8" w:space="0"/>
            </w:tcBorders>
            <w:noWrap w:val="0"/>
            <w:vAlign w:val="center"/>
          </w:tcPr>
          <w:p>
            <w:pPr>
              <w:keepNext/>
              <w:spacing w:line="360" w:lineRule="auto"/>
              <w:ind w:left="851"/>
              <w:jc w:val="center"/>
              <w:outlineLvl w:val="0"/>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359" w:hRule="atLeast"/>
          <w:jc w:val="center"/>
        </w:trPr>
        <w:tc>
          <w:tcPr>
            <w:tcW w:w="2398" w:type="dxa"/>
            <w:vMerge w:val="continue"/>
            <w:tcBorders>
              <w:top w:val="nil"/>
              <w:left w:val="single" w:color="auto" w:sz="8" w:space="0"/>
              <w:bottom w:val="single" w:color="auto" w:sz="4" w:space="0"/>
              <w:right w:val="single" w:color="auto" w:sz="4" w:space="0"/>
            </w:tcBorders>
            <w:noWrap w:val="0"/>
            <w:vAlign w:val="center"/>
          </w:tcPr>
          <w:p>
            <w:pPr>
              <w:keepNext/>
              <w:numPr>
                <w:ilvl w:val="0"/>
                <w:numId w:val="1"/>
              </w:numPr>
              <w:tabs>
                <w:tab w:val="left" w:pos="360"/>
              </w:tabs>
              <w:spacing w:line="360" w:lineRule="auto"/>
              <w:ind w:left="360"/>
              <w:jc w:val="left"/>
              <w:outlineLvl w:val="0"/>
              <w:rPr>
                <w:rFonts w:ascii="宋体" w:hAnsi="宋体" w:cs="宋体"/>
                <w:color w:val="auto"/>
                <w:kern w:val="0"/>
                <w:szCs w:val="21"/>
                <w:highlight w:val="none"/>
              </w:rPr>
            </w:pPr>
            <w:bookmarkStart w:id="192" w:name="_Toc517529725"/>
            <w:bookmarkEnd w:id="192"/>
            <w:bookmarkStart w:id="193" w:name="_Toc517528632"/>
            <w:bookmarkEnd w:id="193"/>
            <w:bookmarkStart w:id="194" w:name="_Toc517531963"/>
            <w:bookmarkEnd w:id="194"/>
            <w:bookmarkStart w:id="195" w:name="_Toc517530687"/>
            <w:bookmarkEnd w:id="195"/>
          </w:p>
        </w:tc>
        <w:tc>
          <w:tcPr>
            <w:tcW w:w="1586" w:type="dxa"/>
            <w:gridSpan w:val="2"/>
            <w:tcBorders>
              <w:top w:val="nil"/>
              <w:left w:val="nil"/>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总监</w:t>
            </w:r>
          </w:p>
        </w:tc>
        <w:tc>
          <w:tcPr>
            <w:tcW w:w="1746" w:type="dxa"/>
            <w:gridSpan w:val="2"/>
            <w:tcBorders>
              <w:top w:val="nil"/>
              <w:left w:val="nil"/>
              <w:bottom w:val="single" w:color="auto" w:sz="4" w:space="0"/>
              <w:right w:val="single" w:color="auto" w:sz="4" w:space="0"/>
            </w:tcBorders>
            <w:noWrap w:val="0"/>
            <w:vAlign w:val="center"/>
          </w:tcPr>
          <w:p>
            <w:pPr>
              <w:keepNext/>
              <w:spacing w:line="360" w:lineRule="auto"/>
              <w:ind w:left="851"/>
              <w:jc w:val="center"/>
              <w:outlineLvl w:val="0"/>
              <w:rPr>
                <w:rFonts w:ascii="宋体" w:hAnsi="宋体" w:cs="宋体"/>
                <w:color w:val="auto"/>
                <w:kern w:val="0"/>
                <w:szCs w:val="21"/>
                <w:highlight w:val="none"/>
              </w:rPr>
            </w:pPr>
          </w:p>
        </w:tc>
        <w:tc>
          <w:tcPr>
            <w:tcW w:w="1138" w:type="dxa"/>
            <w:gridSpan w:val="2"/>
            <w:tcBorders>
              <w:top w:val="nil"/>
              <w:left w:val="nil"/>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电话</w:t>
            </w:r>
          </w:p>
        </w:tc>
        <w:tc>
          <w:tcPr>
            <w:tcW w:w="2418" w:type="dxa"/>
            <w:gridSpan w:val="2"/>
            <w:tcBorders>
              <w:top w:val="nil"/>
              <w:left w:val="nil"/>
              <w:bottom w:val="single" w:color="auto" w:sz="4" w:space="0"/>
              <w:right w:val="single" w:color="auto" w:sz="8" w:space="0"/>
            </w:tcBorders>
            <w:noWrap w:val="0"/>
            <w:vAlign w:val="center"/>
          </w:tcPr>
          <w:p>
            <w:pPr>
              <w:keepNext/>
              <w:spacing w:line="360" w:lineRule="auto"/>
              <w:ind w:left="851"/>
              <w:jc w:val="center"/>
              <w:outlineLvl w:val="0"/>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281" w:hRule="atLeast"/>
          <w:jc w:val="center"/>
        </w:trPr>
        <w:tc>
          <w:tcPr>
            <w:tcW w:w="2398" w:type="dxa"/>
            <w:tcBorders>
              <w:top w:val="nil"/>
              <w:left w:val="single" w:color="auto" w:sz="8" w:space="0"/>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项目组</w:t>
            </w:r>
          </w:p>
        </w:tc>
        <w:tc>
          <w:tcPr>
            <w:tcW w:w="1586" w:type="dxa"/>
            <w:gridSpan w:val="2"/>
            <w:tcBorders>
              <w:top w:val="nil"/>
              <w:left w:val="nil"/>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项目负责人</w:t>
            </w:r>
          </w:p>
        </w:tc>
        <w:tc>
          <w:tcPr>
            <w:tcW w:w="1746" w:type="dxa"/>
            <w:gridSpan w:val="2"/>
            <w:tcBorders>
              <w:top w:val="nil"/>
              <w:left w:val="nil"/>
              <w:bottom w:val="single" w:color="auto" w:sz="4" w:space="0"/>
              <w:right w:val="single" w:color="auto" w:sz="4" w:space="0"/>
            </w:tcBorders>
            <w:noWrap w:val="0"/>
            <w:vAlign w:val="center"/>
          </w:tcPr>
          <w:p>
            <w:pPr>
              <w:keepNext/>
              <w:spacing w:line="360" w:lineRule="auto"/>
              <w:ind w:left="851"/>
              <w:jc w:val="center"/>
              <w:outlineLvl w:val="0"/>
              <w:rPr>
                <w:rFonts w:ascii="宋体" w:hAnsi="宋体" w:cs="宋体"/>
                <w:color w:val="auto"/>
                <w:kern w:val="0"/>
                <w:szCs w:val="21"/>
                <w:highlight w:val="none"/>
              </w:rPr>
            </w:pPr>
          </w:p>
        </w:tc>
        <w:tc>
          <w:tcPr>
            <w:tcW w:w="1138" w:type="dxa"/>
            <w:gridSpan w:val="2"/>
            <w:tcBorders>
              <w:top w:val="nil"/>
              <w:left w:val="nil"/>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电话</w:t>
            </w:r>
          </w:p>
        </w:tc>
        <w:tc>
          <w:tcPr>
            <w:tcW w:w="2418" w:type="dxa"/>
            <w:gridSpan w:val="2"/>
            <w:tcBorders>
              <w:top w:val="nil"/>
              <w:left w:val="nil"/>
              <w:bottom w:val="single" w:color="auto" w:sz="4" w:space="0"/>
              <w:right w:val="single" w:color="auto" w:sz="8" w:space="0"/>
            </w:tcBorders>
            <w:noWrap w:val="0"/>
            <w:vAlign w:val="center"/>
          </w:tcPr>
          <w:p>
            <w:pPr>
              <w:keepNext/>
              <w:spacing w:line="360" w:lineRule="auto"/>
              <w:ind w:left="851"/>
              <w:jc w:val="center"/>
              <w:outlineLvl w:val="0"/>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403" w:hRule="atLeast"/>
          <w:jc w:val="center"/>
        </w:trPr>
        <w:tc>
          <w:tcPr>
            <w:tcW w:w="2398" w:type="dxa"/>
            <w:tcBorders>
              <w:top w:val="nil"/>
              <w:left w:val="single" w:color="auto" w:sz="8" w:space="0"/>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工程竣工时间</w:t>
            </w:r>
          </w:p>
        </w:tc>
        <w:tc>
          <w:tcPr>
            <w:tcW w:w="1952" w:type="dxa"/>
            <w:gridSpan w:val="3"/>
            <w:tcBorders>
              <w:top w:val="single" w:color="auto" w:sz="4" w:space="0"/>
              <w:left w:val="nil"/>
              <w:bottom w:val="single" w:color="auto" w:sz="4" w:space="0"/>
              <w:right w:val="single" w:color="auto" w:sz="4" w:space="0"/>
            </w:tcBorders>
            <w:noWrap w:val="0"/>
            <w:vAlign w:val="center"/>
          </w:tcPr>
          <w:p>
            <w:pPr>
              <w:keepNext/>
              <w:spacing w:line="360" w:lineRule="auto"/>
              <w:ind w:left="851"/>
              <w:jc w:val="center"/>
              <w:outlineLvl w:val="0"/>
              <w:rPr>
                <w:rFonts w:ascii="宋体" w:hAnsi="宋体" w:cs="宋体"/>
                <w:color w:val="auto"/>
                <w:kern w:val="0"/>
                <w:szCs w:val="21"/>
                <w:highlight w:val="none"/>
              </w:rPr>
            </w:pPr>
          </w:p>
        </w:tc>
        <w:tc>
          <w:tcPr>
            <w:tcW w:w="2921" w:type="dxa"/>
            <w:gridSpan w:val="4"/>
            <w:tcBorders>
              <w:top w:val="nil"/>
              <w:left w:val="nil"/>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房屋建筑工程保修书编号</w:t>
            </w:r>
          </w:p>
        </w:tc>
        <w:tc>
          <w:tcPr>
            <w:tcW w:w="2015" w:type="dxa"/>
            <w:tcBorders>
              <w:top w:val="nil"/>
              <w:left w:val="nil"/>
              <w:bottom w:val="single" w:color="auto" w:sz="4" w:space="0"/>
              <w:right w:val="single" w:color="auto" w:sz="8" w:space="0"/>
            </w:tcBorders>
            <w:noWrap w:val="0"/>
            <w:vAlign w:val="center"/>
          </w:tcPr>
          <w:p>
            <w:pPr>
              <w:keepNext/>
              <w:spacing w:line="360" w:lineRule="auto"/>
              <w:ind w:left="851"/>
              <w:jc w:val="center"/>
              <w:outlineLvl w:val="0"/>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1122" w:hRule="atLeast"/>
          <w:jc w:val="center"/>
        </w:trPr>
        <w:tc>
          <w:tcPr>
            <w:tcW w:w="2398" w:type="dxa"/>
            <w:vMerge w:val="restart"/>
            <w:tcBorders>
              <w:top w:val="nil"/>
              <w:left w:val="single" w:color="auto" w:sz="8" w:space="0"/>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质量缺陷情况简介</w:t>
            </w:r>
          </w:p>
        </w:tc>
        <w:tc>
          <w:tcPr>
            <w:tcW w:w="6888" w:type="dxa"/>
            <w:gridSpan w:val="8"/>
            <w:tcBorders>
              <w:top w:val="single" w:color="auto" w:sz="4" w:space="0"/>
              <w:left w:val="nil"/>
              <w:bottom w:val="single" w:color="auto" w:sz="4" w:space="0"/>
              <w:right w:val="single" w:color="000000" w:sz="8" w:space="0"/>
            </w:tcBorders>
            <w:noWrap w:val="0"/>
            <w:vAlign w:val="center"/>
          </w:tcPr>
          <w:p>
            <w:pPr>
              <w:keepNext/>
              <w:spacing w:line="360" w:lineRule="auto"/>
              <w:ind w:left="851"/>
              <w:jc w:val="center"/>
              <w:outlineLvl w:val="0"/>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830" w:hRule="atLeast"/>
          <w:jc w:val="center"/>
        </w:trPr>
        <w:tc>
          <w:tcPr>
            <w:tcW w:w="2398" w:type="dxa"/>
            <w:vMerge w:val="continue"/>
            <w:tcBorders>
              <w:top w:val="nil"/>
              <w:left w:val="single" w:color="auto" w:sz="8" w:space="0"/>
              <w:bottom w:val="single" w:color="auto" w:sz="4" w:space="0"/>
              <w:right w:val="single" w:color="auto" w:sz="4" w:space="0"/>
            </w:tcBorders>
            <w:noWrap w:val="0"/>
            <w:vAlign w:val="center"/>
          </w:tcPr>
          <w:p>
            <w:pPr>
              <w:keepNext/>
              <w:numPr>
                <w:ilvl w:val="0"/>
                <w:numId w:val="1"/>
              </w:numPr>
              <w:tabs>
                <w:tab w:val="left" w:pos="360"/>
              </w:tabs>
              <w:spacing w:line="360" w:lineRule="auto"/>
              <w:ind w:left="360"/>
              <w:jc w:val="left"/>
              <w:outlineLvl w:val="0"/>
              <w:rPr>
                <w:rFonts w:ascii="宋体" w:hAnsi="宋体" w:cs="宋体"/>
                <w:color w:val="auto"/>
                <w:kern w:val="0"/>
                <w:szCs w:val="21"/>
                <w:highlight w:val="none"/>
              </w:rPr>
            </w:pPr>
            <w:bookmarkStart w:id="196" w:name="_Toc517528633"/>
            <w:bookmarkEnd w:id="196"/>
            <w:bookmarkStart w:id="197" w:name="_Toc517529726"/>
            <w:bookmarkEnd w:id="197"/>
            <w:bookmarkStart w:id="198" w:name="_Toc517530688"/>
            <w:bookmarkEnd w:id="198"/>
            <w:bookmarkStart w:id="199" w:name="_Toc517531964"/>
            <w:bookmarkEnd w:id="199"/>
          </w:p>
        </w:tc>
        <w:tc>
          <w:tcPr>
            <w:tcW w:w="1952" w:type="dxa"/>
            <w:gridSpan w:val="3"/>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主要专业或设备</w:t>
            </w:r>
          </w:p>
        </w:tc>
        <w:tc>
          <w:tcPr>
            <w:tcW w:w="4936" w:type="dxa"/>
            <w:gridSpan w:val="5"/>
            <w:tcBorders>
              <w:top w:val="single" w:color="auto" w:sz="4" w:space="0"/>
              <w:left w:val="nil"/>
              <w:bottom w:val="single" w:color="auto" w:sz="4" w:space="0"/>
              <w:right w:val="single" w:color="000000" w:sz="8" w:space="0"/>
            </w:tcBorders>
            <w:noWrap w:val="0"/>
            <w:vAlign w:val="center"/>
          </w:tcPr>
          <w:p>
            <w:pPr>
              <w:keepNext/>
              <w:spacing w:line="360" w:lineRule="auto"/>
              <w:ind w:left="851"/>
              <w:jc w:val="center"/>
              <w:outlineLvl w:val="0"/>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1399" w:hRule="atLeast"/>
          <w:jc w:val="center"/>
        </w:trPr>
        <w:tc>
          <w:tcPr>
            <w:tcW w:w="2398" w:type="dxa"/>
            <w:tcBorders>
              <w:top w:val="nil"/>
              <w:left w:val="single" w:color="auto" w:sz="8" w:space="0"/>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使用单位</w:t>
            </w:r>
          </w:p>
          <w:p>
            <w:pPr>
              <w:jc w:val="center"/>
              <w:rPr>
                <w:rFonts w:ascii="宋体" w:hAnsi="宋体" w:cs="宋体"/>
                <w:color w:val="auto"/>
                <w:kern w:val="0"/>
                <w:szCs w:val="21"/>
                <w:highlight w:val="none"/>
              </w:rPr>
            </w:pPr>
            <w:r>
              <w:rPr>
                <w:rFonts w:hint="eastAsia" w:ascii="宋体" w:hAnsi="宋体" w:cs="宋体"/>
                <w:color w:val="auto"/>
                <w:kern w:val="0"/>
                <w:szCs w:val="21"/>
                <w:highlight w:val="none"/>
              </w:rPr>
              <w:t>意见</w:t>
            </w:r>
          </w:p>
          <w:p>
            <w:pPr>
              <w:jc w:val="center"/>
              <w:rPr>
                <w:rFonts w:ascii="宋体" w:hAnsi="宋体" w:cs="宋体"/>
                <w:color w:val="auto"/>
                <w:kern w:val="0"/>
                <w:szCs w:val="21"/>
                <w:highlight w:val="none"/>
              </w:rPr>
            </w:pPr>
            <w:r>
              <w:rPr>
                <w:rFonts w:hint="eastAsia" w:ascii="宋体" w:hAnsi="宋体" w:cs="宋体"/>
                <w:color w:val="auto"/>
                <w:kern w:val="0"/>
                <w:szCs w:val="21"/>
                <w:highlight w:val="none"/>
              </w:rPr>
              <w:t>（公章）</w:t>
            </w:r>
          </w:p>
        </w:tc>
        <w:tc>
          <w:tcPr>
            <w:tcW w:w="6888" w:type="dxa"/>
            <w:gridSpan w:val="8"/>
            <w:tcBorders>
              <w:top w:val="single" w:color="auto" w:sz="4" w:space="0"/>
              <w:left w:val="nil"/>
              <w:bottom w:val="single" w:color="auto" w:sz="4" w:space="0"/>
              <w:right w:val="single" w:color="000000" w:sz="8" w:space="0"/>
            </w:tcBorders>
            <w:noWrap w:val="0"/>
            <w:vAlign w:val="center"/>
          </w:tcPr>
          <w:p>
            <w:pPr>
              <w:keepNext/>
              <w:spacing w:line="360" w:lineRule="auto"/>
              <w:ind w:left="851"/>
              <w:jc w:val="center"/>
              <w:outlineLvl w:val="0"/>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480" w:hRule="atLeast"/>
          <w:jc w:val="center"/>
        </w:trPr>
        <w:tc>
          <w:tcPr>
            <w:tcW w:w="2398" w:type="dxa"/>
            <w:tcBorders>
              <w:top w:val="nil"/>
              <w:left w:val="single" w:color="auto" w:sz="8" w:space="0"/>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保修责任单位签收人</w:t>
            </w:r>
          </w:p>
        </w:tc>
        <w:tc>
          <w:tcPr>
            <w:tcW w:w="1044" w:type="dxa"/>
            <w:tcBorders>
              <w:top w:val="single" w:color="auto" w:sz="4" w:space="0"/>
              <w:left w:val="nil"/>
              <w:bottom w:val="single" w:color="auto" w:sz="4" w:space="0"/>
              <w:right w:val="single" w:color="auto" w:sz="4" w:space="0"/>
            </w:tcBorders>
            <w:noWrap w:val="0"/>
            <w:vAlign w:val="center"/>
          </w:tcPr>
          <w:p>
            <w:pPr>
              <w:keepNext/>
              <w:spacing w:line="360" w:lineRule="auto"/>
              <w:ind w:left="851"/>
              <w:jc w:val="center"/>
              <w:outlineLvl w:val="0"/>
              <w:rPr>
                <w:rFonts w:ascii="宋体" w:hAnsi="宋体" w:cs="宋体"/>
                <w:color w:val="auto"/>
                <w:kern w:val="0"/>
                <w:szCs w:val="21"/>
                <w:highlight w:val="none"/>
              </w:rPr>
            </w:pPr>
          </w:p>
        </w:tc>
        <w:tc>
          <w:tcPr>
            <w:tcW w:w="908" w:type="dxa"/>
            <w:gridSpan w:val="2"/>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日期</w:t>
            </w:r>
          </w:p>
        </w:tc>
        <w:tc>
          <w:tcPr>
            <w:tcW w:w="1712" w:type="dxa"/>
            <w:gridSpan w:val="2"/>
            <w:tcBorders>
              <w:top w:val="single" w:color="auto" w:sz="4" w:space="0"/>
              <w:left w:val="nil"/>
              <w:bottom w:val="single" w:color="auto" w:sz="4" w:space="0"/>
              <w:right w:val="single" w:color="auto" w:sz="4" w:space="0"/>
            </w:tcBorders>
            <w:noWrap w:val="0"/>
            <w:vAlign w:val="center"/>
          </w:tcPr>
          <w:p>
            <w:pPr>
              <w:keepNext/>
              <w:spacing w:line="360" w:lineRule="auto"/>
              <w:ind w:left="851"/>
              <w:jc w:val="center"/>
              <w:outlineLvl w:val="0"/>
              <w:rPr>
                <w:rFonts w:ascii="宋体" w:hAnsi="宋体" w:cs="宋体"/>
                <w:color w:val="auto"/>
                <w:kern w:val="0"/>
                <w:szCs w:val="21"/>
                <w:highlight w:val="none"/>
              </w:rPr>
            </w:pPr>
          </w:p>
        </w:tc>
        <w:tc>
          <w:tcPr>
            <w:tcW w:w="806" w:type="dxa"/>
            <w:tcBorders>
              <w:top w:val="nil"/>
              <w:left w:val="nil"/>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电话</w:t>
            </w:r>
          </w:p>
        </w:tc>
        <w:tc>
          <w:tcPr>
            <w:tcW w:w="2418" w:type="dxa"/>
            <w:gridSpan w:val="2"/>
            <w:tcBorders>
              <w:top w:val="nil"/>
              <w:left w:val="nil"/>
              <w:bottom w:val="single" w:color="auto" w:sz="4" w:space="0"/>
              <w:right w:val="single" w:color="auto" w:sz="8" w:space="0"/>
            </w:tcBorders>
            <w:noWrap w:val="0"/>
            <w:vAlign w:val="center"/>
          </w:tcPr>
          <w:p>
            <w:pPr>
              <w:keepNext/>
              <w:spacing w:line="360" w:lineRule="auto"/>
              <w:ind w:left="851"/>
              <w:jc w:val="center"/>
              <w:outlineLvl w:val="0"/>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480" w:hRule="atLeast"/>
          <w:jc w:val="center"/>
        </w:trPr>
        <w:tc>
          <w:tcPr>
            <w:tcW w:w="2398" w:type="dxa"/>
            <w:tcBorders>
              <w:top w:val="nil"/>
              <w:left w:val="single" w:color="auto" w:sz="8" w:space="0"/>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监理单位签收人</w:t>
            </w:r>
          </w:p>
        </w:tc>
        <w:tc>
          <w:tcPr>
            <w:tcW w:w="1044" w:type="dxa"/>
            <w:tcBorders>
              <w:top w:val="single" w:color="auto" w:sz="4" w:space="0"/>
              <w:left w:val="nil"/>
              <w:bottom w:val="single" w:color="auto" w:sz="4" w:space="0"/>
              <w:right w:val="single" w:color="auto" w:sz="4" w:space="0"/>
            </w:tcBorders>
            <w:noWrap w:val="0"/>
            <w:vAlign w:val="center"/>
          </w:tcPr>
          <w:p>
            <w:pPr>
              <w:keepNext/>
              <w:spacing w:line="360" w:lineRule="auto"/>
              <w:ind w:left="851"/>
              <w:jc w:val="center"/>
              <w:outlineLvl w:val="0"/>
              <w:rPr>
                <w:rFonts w:ascii="宋体" w:hAnsi="宋体" w:cs="宋体"/>
                <w:color w:val="auto"/>
                <w:kern w:val="0"/>
                <w:szCs w:val="21"/>
                <w:highlight w:val="none"/>
              </w:rPr>
            </w:pPr>
          </w:p>
        </w:tc>
        <w:tc>
          <w:tcPr>
            <w:tcW w:w="908" w:type="dxa"/>
            <w:gridSpan w:val="2"/>
            <w:tcBorders>
              <w:top w:val="single" w:color="auto" w:sz="4" w:space="0"/>
              <w:left w:val="nil"/>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日期</w:t>
            </w:r>
          </w:p>
        </w:tc>
        <w:tc>
          <w:tcPr>
            <w:tcW w:w="1712" w:type="dxa"/>
            <w:gridSpan w:val="2"/>
            <w:tcBorders>
              <w:top w:val="single" w:color="auto" w:sz="4" w:space="0"/>
              <w:left w:val="nil"/>
              <w:bottom w:val="single" w:color="auto" w:sz="4" w:space="0"/>
              <w:right w:val="single" w:color="auto" w:sz="4" w:space="0"/>
            </w:tcBorders>
            <w:noWrap w:val="0"/>
            <w:vAlign w:val="center"/>
          </w:tcPr>
          <w:p>
            <w:pPr>
              <w:keepNext/>
              <w:spacing w:line="360" w:lineRule="auto"/>
              <w:ind w:left="851"/>
              <w:jc w:val="center"/>
              <w:outlineLvl w:val="0"/>
              <w:rPr>
                <w:rFonts w:ascii="宋体" w:hAnsi="宋体" w:cs="宋体"/>
                <w:color w:val="auto"/>
                <w:kern w:val="0"/>
                <w:szCs w:val="21"/>
                <w:highlight w:val="none"/>
              </w:rPr>
            </w:pPr>
          </w:p>
        </w:tc>
        <w:tc>
          <w:tcPr>
            <w:tcW w:w="806" w:type="dxa"/>
            <w:tcBorders>
              <w:top w:val="nil"/>
              <w:left w:val="nil"/>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电话</w:t>
            </w:r>
          </w:p>
        </w:tc>
        <w:tc>
          <w:tcPr>
            <w:tcW w:w="2418" w:type="dxa"/>
            <w:gridSpan w:val="2"/>
            <w:tcBorders>
              <w:top w:val="nil"/>
              <w:left w:val="nil"/>
              <w:bottom w:val="single" w:color="auto" w:sz="4" w:space="0"/>
              <w:right w:val="single" w:color="auto" w:sz="8" w:space="0"/>
            </w:tcBorders>
            <w:noWrap w:val="0"/>
            <w:vAlign w:val="center"/>
          </w:tcPr>
          <w:p>
            <w:pPr>
              <w:keepNext/>
              <w:spacing w:line="360" w:lineRule="auto"/>
              <w:ind w:left="851"/>
              <w:jc w:val="center"/>
              <w:outlineLvl w:val="0"/>
              <w:rPr>
                <w:rFonts w:ascii="宋体" w:hAnsi="宋体" w:cs="宋体"/>
                <w:color w:val="auto"/>
                <w:kern w:val="0"/>
                <w:szCs w:val="21"/>
                <w:highlight w:val="none"/>
              </w:rPr>
            </w:pPr>
          </w:p>
        </w:tc>
      </w:tr>
    </w:tbl>
    <w:p>
      <w:pPr>
        <w:jc w:val="left"/>
        <w:rPr>
          <w:color w:val="auto"/>
          <w:highlight w:val="none"/>
        </w:rPr>
      </w:pPr>
    </w:p>
    <w:p>
      <w:pPr>
        <w:rPr>
          <w:color w:val="auto"/>
          <w:highlight w:val="none"/>
        </w:rPr>
      </w:pPr>
      <w:r>
        <w:rPr>
          <w:color w:val="auto"/>
          <w:highlight w:val="none"/>
        </w:rPr>
        <w:br w:type="page"/>
      </w:r>
    </w:p>
    <w:p>
      <w:pPr>
        <w:rPr>
          <w:color w:val="auto"/>
          <w:highlight w:val="none"/>
        </w:rPr>
      </w:pPr>
      <w:r>
        <w:rPr>
          <w:rFonts w:hint="eastAsia" w:ascii="宋体"/>
          <w:bCs/>
          <w:color w:val="auto"/>
          <w:sz w:val="28"/>
          <w:szCs w:val="28"/>
          <w:highlight w:val="none"/>
        </w:rPr>
        <w:t>附件8：</w:t>
      </w:r>
    </w:p>
    <w:tbl>
      <w:tblPr>
        <w:tblStyle w:val="43"/>
        <w:tblW w:w="9286" w:type="dxa"/>
        <w:jc w:val="center"/>
        <w:tblLayout w:type="fixed"/>
        <w:tblCellMar>
          <w:top w:w="0" w:type="dxa"/>
          <w:left w:w="108" w:type="dxa"/>
          <w:bottom w:w="0" w:type="dxa"/>
          <w:right w:w="108" w:type="dxa"/>
        </w:tblCellMar>
      </w:tblPr>
      <w:tblGrid>
        <w:gridCol w:w="1946"/>
        <w:gridCol w:w="1157"/>
        <w:gridCol w:w="561"/>
        <w:gridCol w:w="1369"/>
        <w:gridCol w:w="1157"/>
        <w:gridCol w:w="773"/>
        <w:gridCol w:w="2323"/>
      </w:tblGrid>
      <w:tr>
        <w:tblPrEx>
          <w:tblCellMar>
            <w:top w:w="0" w:type="dxa"/>
            <w:left w:w="108" w:type="dxa"/>
            <w:bottom w:w="0" w:type="dxa"/>
            <w:right w:w="108" w:type="dxa"/>
          </w:tblCellMar>
        </w:tblPrEx>
        <w:trPr>
          <w:trHeight w:val="935" w:hRule="atLeast"/>
          <w:jc w:val="center"/>
        </w:trPr>
        <w:tc>
          <w:tcPr>
            <w:tcW w:w="9286" w:type="dxa"/>
            <w:gridSpan w:val="7"/>
            <w:tcBorders>
              <w:top w:val="nil"/>
              <w:left w:val="nil"/>
              <w:bottom w:val="nil"/>
              <w:right w:val="nil"/>
            </w:tcBorders>
            <w:noWrap w:val="0"/>
            <w:vAlign w:val="center"/>
          </w:tcPr>
          <w:p>
            <w:pPr>
              <w:jc w:val="center"/>
              <w:rPr>
                <w:rFonts w:ascii="宋体" w:hAnsi="宋体" w:cs="宋体"/>
                <w:b/>
                <w:bCs/>
                <w:color w:val="auto"/>
                <w:kern w:val="0"/>
                <w:sz w:val="32"/>
                <w:szCs w:val="32"/>
                <w:highlight w:val="none"/>
              </w:rPr>
            </w:pPr>
            <w:r>
              <w:rPr>
                <w:rFonts w:hint="eastAsia" w:ascii="宋体" w:hAnsi="宋体" w:cs="宋体"/>
                <w:b/>
                <w:bCs/>
                <w:color w:val="auto"/>
                <w:kern w:val="0"/>
                <w:sz w:val="32"/>
                <w:szCs w:val="32"/>
                <w:highlight w:val="none"/>
              </w:rPr>
              <w:t>质量缺陷处理情况备案表</w:t>
            </w:r>
          </w:p>
          <w:p>
            <w:pPr>
              <w:jc w:val="center"/>
              <w:rPr>
                <w:rFonts w:ascii="宋体" w:hAnsi="宋体" w:cs="宋体"/>
                <w:b/>
                <w:bCs/>
                <w:color w:val="auto"/>
                <w:kern w:val="0"/>
                <w:sz w:val="48"/>
                <w:szCs w:val="48"/>
                <w:highlight w:val="none"/>
              </w:rPr>
            </w:pPr>
            <w:r>
              <w:rPr>
                <w:rFonts w:hint="eastAsia" w:ascii="宋体" w:hAnsi="宋体" w:cs="宋体"/>
                <w:bCs/>
                <w:color w:val="auto"/>
                <w:kern w:val="0"/>
                <w:sz w:val="16"/>
                <w:szCs w:val="16"/>
                <w:highlight w:val="none"/>
              </w:rPr>
              <w:t>编号</w:t>
            </w:r>
            <w:r>
              <w:rPr>
                <w:rFonts w:ascii="宋体" w:hAnsi="宋体" w:cs="宋体"/>
                <w:b/>
                <w:bCs/>
                <w:color w:val="auto"/>
                <w:kern w:val="0"/>
                <w:sz w:val="20"/>
                <w:szCs w:val="20"/>
                <w:highlight w:val="none"/>
                <w:u w:val="single"/>
              </w:rPr>
              <w:t xml:space="preserve">     </w:t>
            </w:r>
            <w:r>
              <w:rPr>
                <w:rFonts w:ascii="宋体" w:hAnsi="宋体" w:cs="宋体"/>
                <w:bCs/>
                <w:color w:val="auto"/>
                <w:kern w:val="0"/>
                <w:sz w:val="16"/>
                <w:szCs w:val="16"/>
                <w:highlight w:val="none"/>
                <w:u w:val="single"/>
              </w:rPr>
              <w:t xml:space="preserve">  </w:t>
            </w:r>
            <w:r>
              <w:rPr>
                <w:rFonts w:hint="eastAsia" w:ascii="宋体" w:hAnsi="宋体" w:cs="宋体"/>
                <w:bCs/>
                <w:color w:val="auto"/>
                <w:kern w:val="0"/>
                <w:sz w:val="16"/>
                <w:szCs w:val="16"/>
                <w:highlight w:val="none"/>
              </w:rPr>
              <w:t>（一式四联）</w:t>
            </w:r>
          </w:p>
        </w:tc>
      </w:tr>
      <w:tr>
        <w:tblPrEx>
          <w:tblCellMar>
            <w:top w:w="0" w:type="dxa"/>
            <w:left w:w="108" w:type="dxa"/>
            <w:bottom w:w="0" w:type="dxa"/>
            <w:right w:w="108" w:type="dxa"/>
          </w:tblCellMar>
        </w:tblPrEx>
        <w:trPr>
          <w:trHeight w:val="480" w:hRule="atLeast"/>
          <w:jc w:val="center"/>
        </w:trPr>
        <w:tc>
          <w:tcPr>
            <w:tcW w:w="1946" w:type="dxa"/>
            <w:tcBorders>
              <w:top w:val="single" w:color="auto" w:sz="8" w:space="0"/>
              <w:left w:val="single" w:color="auto" w:sz="8" w:space="0"/>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工程名称</w:t>
            </w:r>
          </w:p>
        </w:tc>
        <w:tc>
          <w:tcPr>
            <w:tcW w:w="7340" w:type="dxa"/>
            <w:gridSpan w:val="6"/>
            <w:tcBorders>
              <w:top w:val="single" w:color="auto" w:sz="8" w:space="0"/>
              <w:left w:val="nil"/>
              <w:bottom w:val="single" w:color="auto" w:sz="4" w:space="0"/>
              <w:right w:val="single" w:color="000000" w:sz="8" w:space="0"/>
            </w:tcBorders>
            <w:noWrap w:val="0"/>
            <w:vAlign w:val="center"/>
          </w:tcPr>
          <w:p>
            <w:pPr>
              <w:keepNext/>
              <w:spacing w:line="360" w:lineRule="auto"/>
              <w:ind w:left="851"/>
              <w:jc w:val="center"/>
              <w:outlineLvl w:val="0"/>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480" w:hRule="atLeast"/>
          <w:jc w:val="center"/>
        </w:trPr>
        <w:tc>
          <w:tcPr>
            <w:tcW w:w="1946" w:type="dxa"/>
            <w:vMerge w:val="restart"/>
            <w:tcBorders>
              <w:top w:val="nil"/>
              <w:left w:val="single" w:color="auto" w:sz="8" w:space="0"/>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使用单位</w:t>
            </w:r>
          </w:p>
        </w:tc>
        <w:tc>
          <w:tcPr>
            <w:tcW w:w="7340" w:type="dxa"/>
            <w:gridSpan w:val="6"/>
            <w:tcBorders>
              <w:top w:val="single" w:color="auto" w:sz="4" w:space="0"/>
              <w:left w:val="nil"/>
              <w:bottom w:val="single" w:color="auto" w:sz="4" w:space="0"/>
              <w:right w:val="single" w:color="000000" w:sz="8" w:space="0"/>
            </w:tcBorders>
            <w:noWrap w:val="0"/>
            <w:vAlign w:val="center"/>
          </w:tcPr>
          <w:p>
            <w:pPr>
              <w:keepNext/>
              <w:spacing w:line="360" w:lineRule="auto"/>
              <w:ind w:left="851"/>
              <w:jc w:val="center"/>
              <w:outlineLvl w:val="0"/>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480" w:hRule="atLeast"/>
          <w:jc w:val="center"/>
        </w:trPr>
        <w:tc>
          <w:tcPr>
            <w:tcW w:w="1946" w:type="dxa"/>
            <w:vMerge w:val="continue"/>
            <w:tcBorders>
              <w:top w:val="nil"/>
              <w:left w:val="single" w:color="auto" w:sz="8" w:space="0"/>
              <w:bottom w:val="single" w:color="auto" w:sz="4" w:space="0"/>
              <w:right w:val="single" w:color="auto" w:sz="4" w:space="0"/>
            </w:tcBorders>
            <w:noWrap w:val="0"/>
            <w:vAlign w:val="center"/>
          </w:tcPr>
          <w:p>
            <w:pPr>
              <w:keepNext/>
              <w:numPr>
                <w:ilvl w:val="0"/>
                <w:numId w:val="1"/>
              </w:numPr>
              <w:tabs>
                <w:tab w:val="left" w:pos="360"/>
              </w:tabs>
              <w:spacing w:line="360" w:lineRule="auto"/>
              <w:ind w:left="360"/>
              <w:jc w:val="left"/>
              <w:outlineLvl w:val="0"/>
              <w:rPr>
                <w:rFonts w:ascii="宋体" w:hAnsi="宋体" w:cs="宋体"/>
                <w:color w:val="auto"/>
                <w:kern w:val="0"/>
                <w:szCs w:val="21"/>
                <w:highlight w:val="none"/>
              </w:rPr>
            </w:pPr>
            <w:bookmarkStart w:id="200" w:name="_Toc517528634"/>
            <w:bookmarkEnd w:id="200"/>
            <w:bookmarkStart w:id="201" w:name="_Toc517529727"/>
            <w:bookmarkEnd w:id="201"/>
            <w:bookmarkStart w:id="202" w:name="_Toc517531965"/>
            <w:bookmarkEnd w:id="202"/>
            <w:bookmarkStart w:id="203" w:name="_Toc517530689"/>
            <w:bookmarkEnd w:id="203"/>
          </w:p>
        </w:tc>
        <w:tc>
          <w:tcPr>
            <w:tcW w:w="1157" w:type="dxa"/>
            <w:tcBorders>
              <w:top w:val="nil"/>
              <w:left w:val="nil"/>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联系人</w:t>
            </w:r>
          </w:p>
        </w:tc>
        <w:tc>
          <w:tcPr>
            <w:tcW w:w="1930" w:type="dxa"/>
            <w:gridSpan w:val="2"/>
            <w:tcBorders>
              <w:top w:val="nil"/>
              <w:left w:val="nil"/>
              <w:bottom w:val="single" w:color="auto" w:sz="4" w:space="0"/>
              <w:right w:val="single" w:color="auto" w:sz="4" w:space="0"/>
            </w:tcBorders>
            <w:noWrap w:val="0"/>
            <w:vAlign w:val="center"/>
          </w:tcPr>
          <w:p>
            <w:pPr>
              <w:keepNext/>
              <w:spacing w:line="360" w:lineRule="auto"/>
              <w:ind w:left="851"/>
              <w:jc w:val="center"/>
              <w:outlineLvl w:val="0"/>
              <w:rPr>
                <w:rFonts w:ascii="宋体" w:hAnsi="宋体" w:cs="宋体"/>
                <w:color w:val="auto"/>
                <w:kern w:val="0"/>
                <w:szCs w:val="21"/>
                <w:highlight w:val="none"/>
              </w:rPr>
            </w:pPr>
          </w:p>
        </w:tc>
        <w:tc>
          <w:tcPr>
            <w:tcW w:w="1157" w:type="dxa"/>
            <w:tcBorders>
              <w:top w:val="nil"/>
              <w:left w:val="nil"/>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电话</w:t>
            </w:r>
          </w:p>
        </w:tc>
        <w:tc>
          <w:tcPr>
            <w:tcW w:w="3096" w:type="dxa"/>
            <w:gridSpan w:val="2"/>
            <w:tcBorders>
              <w:top w:val="nil"/>
              <w:left w:val="nil"/>
              <w:bottom w:val="single" w:color="auto" w:sz="4" w:space="0"/>
              <w:right w:val="single" w:color="auto" w:sz="8" w:space="0"/>
            </w:tcBorders>
            <w:noWrap w:val="0"/>
            <w:vAlign w:val="center"/>
          </w:tcPr>
          <w:p>
            <w:pPr>
              <w:keepNext/>
              <w:spacing w:line="360" w:lineRule="auto"/>
              <w:ind w:left="851"/>
              <w:jc w:val="center"/>
              <w:outlineLvl w:val="0"/>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480" w:hRule="atLeast"/>
          <w:jc w:val="center"/>
        </w:trPr>
        <w:tc>
          <w:tcPr>
            <w:tcW w:w="1946" w:type="dxa"/>
            <w:vMerge w:val="restart"/>
            <w:tcBorders>
              <w:top w:val="nil"/>
              <w:left w:val="single" w:color="auto" w:sz="8" w:space="0"/>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物业公司</w:t>
            </w:r>
          </w:p>
        </w:tc>
        <w:tc>
          <w:tcPr>
            <w:tcW w:w="7340" w:type="dxa"/>
            <w:gridSpan w:val="6"/>
            <w:tcBorders>
              <w:top w:val="single" w:color="auto" w:sz="4" w:space="0"/>
              <w:left w:val="nil"/>
              <w:bottom w:val="single" w:color="auto" w:sz="4" w:space="0"/>
              <w:right w:val="single" w:color="000000" w:sz="8" w:space="0"/>
            </w:tcBorders>
            <w:noWrap w:val="0"/>
            <w:vAlign w:val="center"/>
          </w:tcPr>
          <w:p>
            <w:pPr>
              <w:keepNext/>
              <w:spacing w:line="360" w:lineRule="auto"/>
              <w:ind w:left="360"/>
              <w:outlineLvl w:val="0"/>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480" w:hRule="atLeast"/>
          <w:jc w:val="center"/>
        </w:trPr>
        <w:tc>
          <w:tcPr>
            <w:tcW w:w="1946" w:type="dxa"/>
            <w:vMerge w:val="continue"/>
            <w:tcBorders>
              <w:top w:val="nil"/>
              <w:left w:val="single" w:color="auto" w:sz="8" w:space="0"/>
              <w:bottom w:val="single" w:color="auto" w:sz="4" w:space="0"/>
              <w:right w:val="single" w:color="auto" w:sz="4" w:space="0"/>
            </w:tcBorders>
            <w:noWrap w:val="0"/>
            <w:vAlign w:val="center"/>
          </w:tcPr>
          <w:p>
            <w:pPr>
              <w:keepNext/>
              <w:numPr>
                <w:ilvl w:val="0"/>
                <w:numId w:val="1"/>
              </w:numPr>
              <w:tabs>
                <w:tab w:val="left" w:pos="360"/>
              </w:tabs>
              <w:spacing w:line="360" w:lineRule="auto"/>
              <w:ind w:left="360"/>
              <w:jc w:val="left"/>
              <w:outlineLvl w:val="0"/>
              <w:rPr>
                <w:rFonts w:ascii="宋体" w:hAnsi="宋体" w:cs="宋体"/>
                <w:color w:val="auto"/>
                <w:kern w:val="0"/>
                <w:szCs w:val="21"/>
                <w:highlight w:val="none"/>
              </w:rPr>
            </w:pPr>
            <w:bookmarkStart w:id="204" w:name="_Toc517528635"/>
            <w:bookmarkEnd w:id="204"/>
            <w:bookmarkStart w:id="205" w:name="_Toc517529728"/>
            <w:bookmarkEnd w:id="205"/>
            <w:bookmarkStart w:id="206" w:name="_Toc517530690"/>
            <w:bookmarkEnd w:id="206"/>
            <w:bookmarkStart w:id="207" w:name="_Toc517531966"/>
            <w:bookmarkEnd w:id="207"/>
          </w:p>
        </w:tc>
        <w:tc>
          <w:tcPr>
            <w:tcW w:w="1157" w:type="dxa"/>
            <w:tcBorders>
              <w:top w:val="nil"/>
              <w:left w:val="nil"/>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联系人</w:t>
            </w:r>
          </w:p>
        </w:tc>
        <w:tc>
          <w:tcPr>
            <w:tcW w:w="1930" w:type="dxa"/>
            <w:gridSpan w:val="2"/>
            <w:tcBorders>
              <w:top w:val="nil"/>
              <w:left w:val="nil"/>
              <w:bottom w:val="single" w:color="auto" w:sz="4" w:space="0"/>
              <w:right w:val="single" w:color="auto" w:sz="4" w:space="0"/>
            </w:tcBorders>
            <w:noWrap w:val="0"/>
            <w:vAlign w:val="center"/>
          </w:tcPr>
          <w:p>
            <w:pPr>
              <w:keepNext/>
              <w:spacing w:line="360" w:lineRule="auto"/>
              <w:ind w:left="360"/>
              <w:outlineLvl w:val="0"/>
              <w:rPr>
                <w:rFonts w:ascii="宋体" w:hAnsi="宋体" w:cs="宋体"/>
                <w:color w:val="auto"/>
                <w:kern w:val="0"/>
                <w:szCs w:val="21"/>
                <w:highlight w:val="none"/>
              </w:rPr>
            </w:pPr>
          </w:p>
        </w:tc>
        <w:tc>
          <w:tcPr>
            <w:tcW w:w="1157" w:type="dxa"/>
            <w:tcBorders>
              <w:top w:val="nil"/>
              <w:left w:val="nil"/>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电话</w:t>
            </w:r>
          </w:p>
        </w:tc>
        <w:tc>
          <w:tcPr>
            <w:tcW w:w="3096" w:type="dxa"/>
            <w:gridSpan w:val="2"/>
            <w:tcBorders>
              <w:top w:val="nil"/>
              <w:left w:val="nil"/>
              <w:bottom w:val="single" w:color="auto" w:sz="4" w:space="0"/>
              <w:right w:val="single" w:color="auto" w:sz="8" w:space="0"/>
            </w:tcBorders>
            <w:noWrap w:val="0"/>
            <w:vAlign w:val="center"/>
          </w:tcPr>
          <w:p>
            <w:pPr>
              <w:keepNext/>
              <w:spacing w:line="360" w:lineRule="auto"/>
              <w:ind w:left="360"/>
              <w:outlineLvl w:val="0"/>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480" w:hRule="atLeast"/>
          <w:jc w:val="center"/>
        </w:trPr>
        <w:tc>
          <w:tcPr>
            <w:tcW w:w="1946" w:type="dxa"/>
            <w:vMerge w:val="restart"/>
            <w:tcBorders>
              <w:top w:val="nil"/>
              <w:left w:val="single" w:color="auto" w:sz="8" w:space="0"/>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保修责任单位</w:t>
            </w:r>
          </w:p>
        </w:tc>
        <w:tc>
          <w:tcPr>
            <w:tcW w:w="7340" w:type="dxa"/>
            <w:gridSpan w:val="6"/>
            <w:tcBorders>
              <w:top w:val="single" w:color="auto" w:sz="4" w:space="0"/>
              <w:left w:val="nil"/>
              <w:bottom w:val="single" w:color="auto" w:sz="4" w:space="0"/>
              <w:right w:val="single" w:color="000000" w:sz="8" w:space="0"/>
            </w:tcBorders>
            <w:noWrap w:val="0"/>
            <w:vAlign w:val="center"/>
          </w:tcPr>
          <w:p>
            <w:pPr>
              <w:keepNext/>
              <w:spacing w:line="360" w:lineRule="auto"/>
              <w:ind w:left="360"/>
              <w:outlineLvl w:val="0"/>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480" w:hRule="atLeast"/>
          <w:jc w:val="center"/>
        </w:trPr>
        <w:tc>
          <w:tcPr>
            <w:tcW w:w="1946" w:type="dxa"/>
            <w:vMerge w:val="continue"/>
            <w:tcBorders>
              <w:top w:val="nil"/>
              <w:left w:val="single" w:color="auto" w:sz="8" w:space="0"/>
              <w:bottom w:val="single" w:color="auto" w:sz="4" w:space="0"/>
              <w:right w:val="single" w:color="auto" w:sz="4" w:space="0"/>
            </w:tcBorders>
            <w:noWrap w:val="0"/>
            <w:vAlign w:val="center"/>
          </w:tcPr>
          <w:p>
            <w:pPr>
              <w:keepNext/>
              <w:numPr>
                <w:ilvl w:val="0"/>
                <w:numId w:val="1"/>
              </w:numPr>
              <w:tabs>
                <w:tab w:val="left" w:pos="360"/>
              </w:tabs>
              <w:spacing w:line="360" w:lineRule="auto"/>
              <w:ind w:left="360"/>
              <w:jc w:val="left"/>
              <w:outlineLvl w:val="0"/>
              <w:rPr>
                <w:rFonts w:ascii="宋体" w:hAnsi="宋体" w:cs="宋体"/>
                <w:color w:val="auto"/>
                <w:kern w:val="0"/>
                <w:szCs w:val="21"/>
                <w:highlight w:val="none"/>
              </w:rPr>
            </w:pPr>
            <w:bookmarkStart w:id="208" w:name="_Toc517528636"/>
            <w:bookmarkEnd w:id="208"/>
            <w:bookmarkStart w:id="209" w:name="_Toc517530691"/>
            <w:bookmarkEnd w:id="209"/>
            <w:bookmarkStart w:id="210" w:name="_Toc517531967"/>
            <w:bookmarkEnd w:id="210"/>
            <w:bookmarkStart w:id="211" w:name="_Toc517529729"/>
            <w:bookmarkEnd w:id="211"/>
          </w:p>
        </w:tc>
        <w:tc>
          <w:tcPr>
            <w:tcW w:w="1157" w:type="dxa"/>
            <w:tcBorders>
              <w:top w:val="nil"/>
              <w:left w:val="nil"/>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项目负责人</w:t>
            </w:r>
          </w:p>
        </w:tc>
        <w:tc>
          <w:tcPr>
            <w:tcW w:w="1930" w:type="dxa"/>
            <w:gridSpan w:val="2"/>
            <w:tcBorders>
              <w:top w:val="nil"/>
              <w:left w:val="nil"/>
              <w:bottom w:val="single" w:color="auto" w:sz="4" w:space="0"/>
              <w:right w:val="single" w:color="auto" w:sz="4" w:space="0"/>
            </w:tcBorders>
            <w:noWrap w:val="0"/>
            <w:vAlign w:val="center"/>
          </w:tcPr>
          <w:p>
            <w:pPr>
              <w:keepNext/>
              <w:spacing w:line="360" w:lineRule="auto"/>
              <w:ind w:left="360"/>
              <w:outlineLvl w:val="0"/>
              <w:rPr>
                <w:rFonts w:ascii="宋体" w:hAnsi="宋体" w:cs="宋体"/>
                <w:color w:val="auto"/>
                <w:kern w:val="0"/>
                <w:szCs w:val="21"/>
                <w:highlight w:val="none"/>
              </w:rPr>
            </w:pPr>
          </w:p>
        </w:tc>
        <w:tc>
          <w:tcPr>
            <w:tcW w:w="1157" w:type="dxa"/>
            <w:tcBorders>
              <w:top w:val="nil"/>
              <w:left w:val="nil"/>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电话</w:t>
            </w:r>
          </w:p>
        </w:tc>
        <w:tc>
          <w:tcPr>
            <w:tcW w:w="3096" w:type="dxa"/>
            <w:gridSpan w:val="2"/>
            <w:tcBorders>
              <w:top w:val="nil"/>
              <w:left w:val="nil"/>
              <w:bottom w:val="single" w:color="auto" w:sz="4" w:space="0"/>
              <w:right w:val="single" w:color="auto" w:sz="8" w:space="0"/>
            </w:tcBorders>
            <w:noWrap w:val="0"/>
            <w:vAlign w:val="center"/>
          </w:tcPr>
          <w:p>
            <w:pPr>
              <w:keepNext/>
              <w:spacing w:line="360" w:lineRule="auto"/>
              <w:ind w:left="360"/>
              <w:outlineLvl w:val="0"/>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480" w:hRule="atLeast"/>
          <w:jc w:val="center"/>
        </w:trPr>
        <w:tc>
          <w:tcPr>
            <w:tcW w:w="1946" w:type="dxa"/>
            <w:vMerge w:val="restart"/>
            <w:tcBorders>
              <w:top w:val="nil"/>
              <w:left w:val="single" w:color="auto" w:sz="8" w:space="0"/>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监理单位</w:t>
            </w:r>
          </w:p>
        </w:tc>
        <w:tc>
          <w:tcPr>
            <w:tcW w:w="7340" w:type="dxa"/>
            <w:gridSpan w:val="6"/>
            <w:tcBorders>
              <w:top w:val="single" w:color="auto" w:sz="4" w:space="0"/>
              <w:left w:val="nil"/>
              <w:bottom w:val="single" w:color="auto" w:sz="4" w:space="0"/>
              <w:right w:val="single" w:color="000000" w:sz="8" w:space="0"/>
            </w:tcBorders>
            <w:noWrap w:val="0"/>
            <w:vAlign w:val="center"/>
          </w:tcPr>
          <w:p>
            <w:pPr>
              <w:keepNext/>
              <w:spacing w:line="360" w:lineRule="auto"/>
              <w:ind w:left="360"/>
              <w:outlineLvl w:val="0"/>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480" w:hRule="atLeast"/>
          <w:jc w:val="center"/>
        </w:trPr>
        <w:tc>
          <w:tcPr>
            <w:tcW w:w="1946" w:type="dxa"/>
            <w:vMerge w:val="continue"/>
            <w:tcBorders>
              <w:top w:val="nil"/>
              <w:left w:val="single" w:color="auto" w:sz="8" w:space="0"/>
              <w:bottom w:val="single" w:color="auto" w:sz="4" w:space="0"/>
              <w:right w:val="single" w:color="auto" w:sz="4" w:space="0"/>
            </w:tcBorders>
            <w:noWrap w:val="0"/>
            <w:vAlign w:val="center"/>
          </w:tcPr>
          <w:p>
            <w:pPr>
              <w:keepNext/>
              <w:numPr>
                <w:ilvl w:val="0"/>
                <w:numId w:val="1"/>
              </w:numPr>
              <w:tabs>
                <w:tab w:val="left" w:pos="360"/>
              </w:tabs>
              <w:spacing w:line="360" w:lineRule="auto"/>
              <w:ind w:left="360"/>
              <w:jc w:val="left"/>
              <w:outlineLvl w:val="0"/>
              <w:rPr>
                <w:rFonts w:ascii="宋体" w:hAnsi="宋体" w:cs="宋体"/>
                <w:color w:val="auto"/>
                <w:kern w:val="0"/>
                <w:szCs w:val="21"/>
                <w:highlight w:val="none"/>
              </w:rPr>
            </w:pPr>
            <w:bookmarkStart w:id="212" w:name="_Toc517531968"/>
            <w:bookmarkEnd w:id="212"/>
            <w:bookmarkStart w:id="213" w:name="_Toc517529730"/>
            <w:bookmarkEnd w:id="213"/>
            <w:bookmarkStart w:id="214" w:name="_Toc517530692"/>
            <w:bookmarkEnd w:id="214"/>
            <w:bookmarkStart w:id="215" w:name="_Toc517528637"/>
            <w:bookmarkEnd w:id="215"/>
          </w:p>
        </w:tc>
        <w:tc>
          <w:tcPr>
            <w:tcW w:w="1157" w:type="dxa"/>
            <w:tcBorders>
              <w:top w:val="nil"/>
              <w:left w:val="nil"/>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总监</w:t>
            </w:r>
          </w:p>
        </w:tc>
        <w:tc>
          <w:tcPr>
            <w:tcW w:w="1930" w:type="dxa"/>
            <w:gridSpan w:val="2"/>
            <w:tcBorders>
              <w:top w:val="nil"/>
              <w:left w:val="nil"/>
              <w:bottom w:val="single" w:color="auto" w:sz="4" w:space="0"/>
              <w:right w:val="single" w:color="auto" w:sz="4" w:space="0"/>
            </w:tcBorders>
            <w:noWrap w:val="0"/>
            <w:vAlign w:val="center"/>
          </w:tcPr>
          <w:p>
            <w:pPr>
              <w:keepNext/>
              <w:spacing w:line="360" w:lineRule="auto"/>
              <w:ind w:left="360"/>
              <w:outlineLvl w:val="0"/>
              <w:rPr>
                <w:rFonts w:ascii="宋体" w:hAnsi="宋体" w:cs="宋体"/>
                <w:color w:val="auto"/>
                <w:kern w:val="0"/>
                <w:szCs w:val="21"/>
                <w:highlight w:val="none"/>
              </w:rPr>
            </w:pPr>
          </w:p>
        </w:tc>
        <w:tc>
          <w:tcPr>
            <w:tcW w:w="1157" w:type="dxa"/>
            <w:tcBorders>
              <w:top w:val="nil"/>
              <w:left w:val="nil"/>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电话</w:t>
            </w:r>
          </w:p>
        </w:tc>
        <w:tc>
          <w:tcPr>
            <w:tcW w:w="3096" w:type="dxa"/>
            <w:gridSpan w:val="2"/>
            <w:tcBorders>
              <w:top w:val="nil"/>
              <w:left w:val="nil"/>
              <w:bottom w:val="single" w:color="auto" w:sz="4" w:space="0"/>
              <w:right w:val="single" w:color="auto" w:sz="8" w:space="0"/>
            </w:tcBorders>
            <w:noWrap w:val="0"/>
            <w:vAlign w:val="center"/>
          </w:tcPr>
          <w:p>
            <w:pPr>
              <w:keepNext/>
              <w:spacing w:line="360" w:lineRule="auto"/>
              <w:ind w:left="360"/>
              <w:outlineLvl w:val="0"/>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570" w:hRule="atLeast"/>
          <w:jc w:val="center"/>
        </w:trPr>
        <w:tc>
          <w:tcPr>
            <w:tcW w:w="1946" w:type="dxa"/>
            <w:tcBorders>
              <w:top w:val="nil"/>
              <w:left w:val="single" w:color="auto" w:sz="8" w:space="0"/>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项目组</w:t>
            </w:r>
          </w:p>
        </w:tc>
        <w:tc>
          <w:tcPr>
            <w:tcW w:w="1157" w:type="dxa"/>
            <w:tcBorders>
              <w:top w:val="nil"/>
              <w:left w:val="nil"/>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项目负责人</w:t>
            </w:r>
          </w:p>
        </w:tc>
        <w:tc>
          <w:tcPr>
            <w:tcW w:w="1930" w:type="dxa"/>
            <w:gridSpan w:val="2"/>
            <w:tcBorders>
              <w:top w:val="nil"/>
              <w:left w:val="nil"/>
              <w:bottom w:val="single" w:color="auto" w:sz="4" w:space="0"/>
              <w:right w:val="single" w:color="auto" w:sz="4" w:space="0"/>
            </w:tcBorders>
            <w:noWrap w:val="0"/>
            <w:vAlign w:val="center"/>
          </w:tcPr>
          <w:p>
            <w:pPr>
              <w:keepNext/>
              <w:spacing w:line="360" w:lineRule="auto"/>
              <w:ind w:left="360"/>
              <w:outlineLvl w:val="0"/>
              <w:rPr>
                <w:rFonts w:ascii="宋体" w:hAnsi="宋体" w:cs="宋体"/>
                <w:color w:val="auto"/>
                <w:kern w:val="0"/>
                <w:szCs w:val="21"/>
                <w:highlight w:val="none"/>
              </w:rPr>
            </w:pPr>
          </w:p>
        </w:tc>
        <w:tc>
          <w:tcPr>
            <w:tcW w:w="1157" w:type="dxa"/>
            <w:tcBorders>
              <w:top w:val="nil"/>
              <w:left w:val="nil"/>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电话</w:t>
            </w:r>
          </w:p>
        </w:tc>
        <w:tc>
          <w:tcPr>
            <w:tcW w:w="3096" w:type="dxa"/>
            <w:gridSpan w:val="2"/>
            <w:tcBorders>
              <w:top w:val="nil"/>
              <w:left w:val="nil"/>
              <w:bottom w:val="single" w:color="auto" w:sz="4" w:space="0"/>
              <w:right w:val="single" w:color="auto" w:sz="8" w:space="0"/>
            </w:tcBorders>
            <w:noWrap w:val="0"/>
            <w:vAlign w:val="center"/>
          </w:tcPr>
          <w:p>
            <w:pPr>
              <w:keepNext/>
              <w:spacing w:line="360" w:lineRule="auto"/>
              <w:ind w:left="360"/>
              <w:outlineLvl w:val="0"/>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570" w:hRule="atLeast"/>
          <w:jc w:val="center"/>
        </w:trPr>
        <w:tc>
          <w:tcPr>
            <w:tcW w:w="1946" w:type="dxa"/>
            <w:tcBorders>
              <w:top w:val="nil"/>
              <w:left w:val="single" w:color="auto" w:sz="8" w:space="0"/>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保修通知</w:t>
            </w:r>
          </w:p>
          <w:p>
            <w:pPr>
              <w:jc w:val="center"/>
              <w:rPr>
                <w:rFonts w:ascii="宋体" w:hAnsi="宋体" w:cs="宋体"/>
                <w:color w:val="auto"/>
                <w:kern w:val="0"/>
                <w:szCs w:val="21"/>
                <w:highlight w:val="none"/>
              </w:rPr>
            </w:pPr>
            <w:r>
              <w:rPr>
                <w:rFonts w:hint="eastAsia" w:ascii="宋体" w:hAnsi="宋体" w:cs="宋体"/>
                <w:color w:val="auto"/>
                <w:kern w:val="0"/>
                <w:szCs w:val="21"/>
                <w:highlight w:val="none"/>
              </w:rPr>
              <w:t>时间</w:t>
            </w:r>
          </w:p>
        </w:tc>
        <w:tc>
          <w:tcPr>
            <w:tcW w:w="3087" w:type="dxa"/>
            <w:gridSpan w:val="3"/>
            <w:tcBorders>
              <w:top w:val="single" w:color="auto" w:sz="4" w:space="0"/>
              <w:left w:val="nil"/>
              <w:bottom w:val="single" w:color="auto" w:sz="4" w:space="0"/>
              <w:right w:val="single" w:color="auto" w:sz="4" w:space="0"/>
            </w:tcBorders>
            <w:noWrap w:val="0"/>
            <w:vAlign w:val="center"/>
          </w:tcPr>
          <w:p>
            <w:pPr>
              <w:keepNext/>
              <w:spacing w:line="360" w:lineRule="auto"/>
              <w:ind w:left="360"/>
              <w:outlineLvl w:val="0"/>
              <w:rPr>
                <w:rFonts w:ascii="宋体" w:hAnsi="宋体" w:cs="宋体"/>
                <w:color w:val="auto"/>
                <w:kern w:val="0"/>
                <w:szCs w:val="21"/>
                <w:highlight w:val="none"/>
              </w:rPr>
            </w:pPr>
          </w:p>
        </w:tc>
        <w:tc>
          <w:tcPr>
            <w:tcW w:w="1930" w:type="dxa"/>
            <w:gridSpan w:val="2"/>
            <w:tcBorders>
              <w:top w:val="nil"/>
              <w:left w:val="nil"/>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房屋建筑工程保修卡编号</w:t>
            </w:r>
          </w:p>
        </w:tc>
        <w:tc>
          <w:tcPr>
            <w:tcW w:w="2323" w:type="dxa"/>
            <w:tcBorders>
              <w:top w:val="nil"/>
              <w:left w:val="nil"/>
              <w:bottom w:val="single" w:color="auto" w:sz="4" w:space="0"/>
              <w:right w:val="single" w:color="auto" w:sz="8" w:space="0"/>
            </w:tcBorders>
            <w:noWrap w:val="0"/>
            <w:vAlign w:val="center"/>
          </w:tcPr>
          <w:p>
            <w:pPr>
              <w:keepNext/>
              <w:spacing w:line="360" w:lineRule="auto"/>
              <w:ind w:left="360"/>
              <w:outlineLvl w:val="0"/>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2606" w:hRule="atLeast"/>
          <w:jc w:val="center"/>
        </w:trPr>
        <w:tc>
          <w:tcPr>
            <w:tcW w:w="1946" w:type="dxa"/>
            <w:vMerge w:val="restart"/>
            <w:tcBorders>
              <w:top w:val="nil"/>
              <w:left w:val="single" w:color="auto" w:sz="8" w:space="0"/>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质量缺陷</w:t>
            </w:r>
          </w:p>
          <w:p>
            <w:pPr>
              <w:jc w:val="center"/>
              <w:rPr>
                <w:rFonts w:ascii="宋体" w:hAnsi="宋体" w:cs="宋体"/>
                <w:color w:val="auto"/>
                <w:kern w:val="0"/>
                <w:szCs w:val="21"/>
                <w:highlight w:val="none"/>
              </w:rPr>
            </w:pPr>
            <w:r>
              <w:rPr>
                <w:rFonts w:hint="eastAsia" w:ascii="宋体" w:hAnsi="宋体" w:cs="宋体"/>
                <w:color w:val="auto"/>
                <w:kern w:val="0"/>
                <w:szCs w:val="21"/>
                <w:highlight w:val="none"/>
              </w:rPr>
              <w:t>保修完成</w:t>
            </w:r>
          </w:p>
          <w:p>
            <w:pPr>
              <w:jc w:val="center"/>
              <w:rPr>
                <w:rFonts w:ascii="宋体" w:hAnsi="宋体" w:cs="宋体"/>
                <w:color w:val="auto"/>
                <w:kern w:val="0"/>
                <w:szCs w:val="21"/>
                <w:highlight w:val="none"/>
              </w:rPr>
            </w:pPr>
            <w:r>
              <w:rPr>
                <w:rFonts w:hint="eastAsia" w:ascii="宋体" w:hAnsi="宋体" w:cs="宋体"/>
                <w:color w:val="auto"/>
                <w:kern w:val="0"/>
                <w:szCs w:val="21"/>
                <w:highlight w:val="none"/>
              </w:rPr>
              <w:t>情况</w:t>
            </w:r>
          </w:p>
        </w:tc>
        <w:tc>
          <w:tcPr>
            <w:tcW w:w="7340" w:type="dxa"/>
            <w:gridSpan w:val="6"/>
            <w:tcBorders>
              <w:top w:val="single" w:color="auto" w:sz="4" w:space="0"/>
              <w:left w:val="nil"/>
              <w:bottom w:val="single" w:color="auto" w:sz="4" w:space="0"/>
              <w:right w:val="single" w:color="000000" w:sz="8" w:space="0"/>
            </w:tcBorders>
            <w:noWrap w:val="0"/>
            <w:vAlign w:val="center"/>
          </w:tcPr>
          <w:p>
            <w:pPr>
              <w:keepNext/>
              <w:spacing w:line="360" w:lineRule="auto"/>
              <w:ind w:left="360"/>
              <w:outlineLvl w:val="0"/>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609" w:hRule="atLeast"/>
          <w:jc w:val="center"/>
        </w:trPr>
        <w:tc>
          <w:tcPr>
            <w:tcW w:w="1946" w:type="dxa"/>
            <w:vMerge w:val="continue"/>
            <w:tcBorders>
              <w:top w:val="nil"/>
              <w:left w:val="single" w:color="auto" w:sz="8" w:space="0"/>
              <w:bottom w:val="single" w:color="auto" w:sz="4" w:space="0"/>
              <w:right w:val="single" w:color="auto" w:sz="4" w:space="0"/>
            </w:tcBorders>
            <w:noWrap w:val="0"/>
            <w:vAlign w:val="center"/>
          </w:tcPr>
          <w:p>
            <w:pPr>
              <w:keepNext/>
              <w:numPr>
                <w:ilvl w:val="0"/>
                <w:numId w:val="1"/>
              </w:numPr>
              <w:tabs>
                <w:tab w:val="left" w:pos="360"/>
              </w:tabs>
              <w:spacing w:line="360" w:lineRule="auto"/>
              <w:ind w:left="360"/>
              <w:jc w:val="left"/>
              <w:outlineLvl w:val="0"/>
              <w:rPr>
                <w:rFonts w:ascii="宋体" w:hAnsi="宋体" w:cs="宋体"/>
                <w:color w:val="auto"/>
                <w:kern w:val="0"/>
                <w:szCs w:val="21"/>
                <w:highlight w:val="none"/>
              </w:rPr>
            </w:pPr>
            <w:bookmarkStart w:id="216" w:name="_Toc517530693"/>
            <w:bookmarkEnd w:id="216"/>
            <w:bookmarkStart w:id="217" w:name="_Toc517531969"/>
            <w:bookmarkEnd w:id="217"/>
            <w:bookmarkStart w:id="218" w:name="_Toc517529731"/>
            <w:bookmarkEnd w:id="218"/>
            <w:bookmarkStart w:id="219" w:name="_Toc517528638"/>
            <w:bookmarkEnd w:id="219"/>
          </w:p>
        </w:tc>
        <w:tc>
          <w:tcPr>
            <w:tcW w:w="1718" w:type="dxa"/>
            <w:gridSpan w:val="2"/>
            <w:tcBorders>
              <w:top w:val="single" w:color="auto" w:sz="4" w:space="0"/>
              <w:left w:val="nil"/>
              <w:bottom w:val="single" w:color="auto" w:sz="4" w:space="0"/>
              <w:right w:val="single" w:color="000000"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实际完成时间</w:t>
            </w:r>
          </w:p>
        </w:tc>
        <w:tc>
          <w:tcPr>
            <w:tcW w:w="5622" w:type="dxa"/>
            <w:gridSpan w:val="4"/>
            <w:tcBorders>
              <w:top w:val="single" w:color="auto" w:sz="4" w:space="0"/>
              <w:left w:val="nil"/>
              <w:bottom w:val="single" w:color="auto" w:sz="4" w:space="0"/>
              <w:right w:val="single" w:color="000000" w:sz="8" w:space="0"/>
            </w:tcBorders>
            <w:noWrap w:val="0"/>
            <w:vAlign w:val="center"/>
          </w:tcPr>
          <w:p>
            <w:pPr>
              <w:keepNext/>
              <w:spacing w:line="360" w:lineRule="auto"/>
              <w:ind w:left="851"/>
              <w:jc w:val="center"/>
              <w:outlineLvl w:val="0"/>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1399" w:hRule="atLeast"/>
          <w:jc w:val="center"/>
        </w:trPr>
        <w:tc>
          <w:tcPr>
            <w:tcW w:w="1946" w:type="dxa"/>
            <w:tcBorders>
              <w:top w:val="nil"/>
              <w:left w:val="single" w:color="auto" w:sz="8" w:space="0"/>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监理单位</w:t>
            </w:r>
          </w:p>
          <w:p>
            <w:pPr>
              <w:jc w:val="center"/>
              <w:rPr>
                <w:rFonts w:ascii="宋体" w:hAnsi="宋体" w:cs="宋体"/>
                <w:color w:val="auto"/>
                <w:kern w:val="0"/>
                <w:szCs w:val="21"/>
                <w:highlight w:val="none"/>
              </w:rPr>
            </w:pPr>
            <w:r>
              <w:rPr>
                <w:rFonts w:hint="eastAsia" w:ascii="宋体" w:hAnsi="宋体" w:cs="宋体"/>
                <w:color w:val="auto"/>
                <w:kern w:val="0"/>
                <w:szCs w:val="21"/>
                <w:highlight w:val="none"/>
              </w:rPr>
              <w:t>意见</w:t>
            </w:r>
          </w:p>
          <w:p>
            <w:pPr>
              <w:jc w:val="center"/>
              <w:rPr>
                <w:rFonts w:ascii="宋体" w:hAnsi="宋体" w:cs="宋体"/>
                <w:color w:val="auto"/>
                <w:kern w:val="0"/>
                <w:szCs w:val="21"/>
                <w:highlight w:val="none"/>
              </w:rPr>
            </w:pPr>
            <w:r>
              <w:rPr>
                <w:rFonts w:hint="eastAsia" w:ascii="宋体" w:hAnsi="宋体" w:cs="宋体"/>
                <w:color w:val="auto"/>
                <w:kern w:val="0"/>
                <w:szCs w:val="21"/>
                <w:highlight w:val="none"/>
              </w:rPr>
              <w:t>（公章）</w:t>
            </w:r>
          </w:p>
        </w:tc>
        <w:tc>
          <w:tcPr>
            <w:tcW w:w="7340" w:type="dxa"/>
            <w:gridSpan w:val="6"/>
            <w:tcBorders>
              <w:top w:val="single" w:color="auto" w:sz="4" w:space="0"/>
              <w:left w:val="nil"/>
              <w:bottom w:val="single" w:color="auto" w:sz="4" w:space="0"/>
              <w:right w:val="single" w:color="000000" w:sz="8" w:space="0"/>
            </w:tcBorders>
            <w:noWrap w:val="0"/>
            <w:vAlign w:val="center"/>
          </w:tcPr>
          <w:p>
            <w:pPr>
              <w:keepNext/>
              <w:spacing w:line="360" w:lineRule="auto"/>
              <w:ind w:left="360"/>
              <w:outlineLvl w:val="0"/>
              <w:rPr>
                <w:rFonts w:ascii="宋体" w:hAnsi="宋体" w:cs="宋体"/>
                <w:color w:val="auto"/>
                <w:kern w:val="0"/>
                <w:szCs w:val="21"/>
                <w:highlight w:val="none"/>
              </w:rPr>
            </w:pPr>
          </w:p>
        </w:tc>
      </w:tr>
      <w:tr>
        <w:tblPrEx>
          <w:tblCellMar>
            <w:top w:w="0" w:type="dxa"/>
            <w:left w:w="108" w:type="dxa"/>
            <w:bottom w:w="0" w:type="dxa"/>
            <w:right w:w="108" w:type="dxa"/>
          </w:tblCellMar>
        </w:tblPrEx>
        <w:trPr>
          <w:trHeight w:val="872" w:hRule="atLeast"/>
          <w:jc w:val="center"/>
        </w:trPr>
        <w:tc>
          <w:tcPr>
            <w:tcW w:w="1946" w:type="dxa"/>
            <w:tcBorders>
              <w:top w:val="nil"/>
              <w:left w:val="single" w:color="auto" w:sz="8" w:space="0"/>
              <w:bottom w:val="single" w:color="auto" w:sz="4" w:space="0"/>
              <w:right w:val="single" w:color="auto" w:sz="4" w:space="0"/>
            </w:tcBorders>
            <w:noWrap w:val="0"/>
            <w:vAlign w:val="center"/>
          </w:tcPr>
          <w:p>
            <w:pPr>
              <w:jc w:val="center"/>
              <w:rPr>
                <w:rFonts w:ascii="宋体" w:hAnsi="宋体" w:cs="宋体"/>
                <w:color w:val="auto"/>
                <w:kern w:val="0"/>
                <w:szCs w:val="21"/>
                <w:highlight w:val="none"/>
              </w:rPr>
            </w:pPr>
            <w:r>
              <w:rPr>
                <w:rFonts w:hint="eastAsia" w:ascii="宋体" w:hAnsi="宋体" w:cs="宋体"/>
                <w:color w:val="auto"/>
                <w:kern w:val="0"/>
                <w:szCs w:val="21"/>
                <w:highlight w:val="none"/>
              </w:rPr>
              <w:t>使用单位</w:t>
            </w:r>
          </w:p>
          <w:p>
            <w:pPr>
              <w:jc w:val="center"/>
              <w:rPr>
                <w:rFonts w:ascii="宋体" w:hAnsi="宋体" w:cs="宋体"/>
                <w:color w:val="auto"/>
                <w:kern w:val="0"/>
                <w:szCs w:val="21"/>
                <w:highlight w:val="none"/>
              </w:rPr>
            </w:pPr>
            <w:r>
              <w:rPr>
                <w:rFonts w:hint="eastAsia" w:ascii="宋体" w:hAnsi="宋体" w:cs="宋体"/>
                <w:color w:val="auto"/>
                <w:kern w:val="0"/>
                <w:szCs w:val="21"/>
                <w:highlight w:val="none"/>
              </w:rPr>
              <w:t>意见</w:t>
            </w:r>
          </w:p>
          <w:p>
            <w:pPr>
              <w:jc w:val="center"/>
              <w:rPr>
                <w:rFonts w:ascii="宋体" w:hAnsi="宋体" w:cs="宋体"/>
                <w:color w:val="auto"/>
                <w:kern w:val="0"/>
                <w:szCs w:val="21"/>
                <w:highlight w:val="none"/>
              </w:rPr>
            </w:pPr>
            <w:r>
              <w:rPr>
                <w:rFonts w:hint="eastAsia" w:ascii="宋体" w:hAnsi="宋体" w:cs="宋体"/>
                <w:color w:val="auto"/>
                <w:kern w:val="0"/>
                <w:szCs w:val="21"/>
                <w:highlight w:val="none"/>
              </w:rPr>
              <w:t>（公章）</w:t>
            </w:r>
          </w:p>
        </w:tc>
        <w:tc>
          <w:tcPr>
            <w:tcW w:w="7340" w:type="dxa"/>
            <w:gridSpan w:val="6"/>
            <w:tcBorders>
              <w:top w:val="single" w:color="auto" w:sz="4" w:space="0"/>
              <w:left w:val="nil"/>
              <w:bottom w:val="single" w:color="auto" w:sz="4" w:space="0"/>
              <w:right w:val="single" w:color="000000" w:sz="8" w:space="0"/>
            </w:tcBorders>
            <w:noWrap w:val="0"/>
            <w:vAlign w:val="center"/>
          </w:tcPr>
          <w:p>
            <w:pPr>
              <w:keepNext/>
              <w:spacing w:line="360" w:lineRule="auto"/>
              <w:ind w:left="360"/>
              <w:outlineLvl w:val="0"/>
              <w:rPr>
                <w:rFonts w:ascii="宋体" w:hAnsi="宋体" w:cs="宋体"/>
                <w:color w:val="auto"/>
                <w:kern w:val="0"/>
                <w:szCs w:val="21"/>
                <w:highlight w:val="none"/>
              </w:rPr>
            </w:pPr>
          </w:p>
        </w:tc>
      </w:tr>
    </w:tbl>
    <w:p>
      <w:pPr>
        <w:adjustRightInd w:val="0"/>
        <w:snapToGrid w:val="0"/>
        <w:spacing w:line="360" w:lineRule="auto"/>
        <w:jc w:val="left"/>
        <w:rPr>
          <w:rFonts w:hint="eastAsia" w:ascii="宋体" w:hAnsi="宋体"/>
          <w:b/>
          <w:bCs/>
          <w:color w:val="auto"/>
          <w:sz w:val="24"/>
          <w:highlight w:val="none"/>
        </w:rPr>
      </w:pPr>
    </w:p>
    <w:p>
      <w:pPr>
        <w:adjustRightInd w:val="0"/>
        <w:snapToGrid w:val="0"/>
        <w:spacing w:line="360" w:lineRule="auto"/>
        <w:jc w:val="left"/>
        <w:rPr>
          <w:rFonts w:hint="eastAsia" w:ascii="宋体" w:hAnsi="宋体"/>
          <w:b/>
          <w:bCs/>
          <w:color w:val="auto"/>
          <w:sz w:val="24"/>
          <w:highlight w:val="none"/>
        </w:rPr>
      </w:pPr>
    </w:p>
    <w:p>
      <w:pPr>
        <w:spacing w:line="360" w:lineRule="auto"/>
        <w:jc w:val="left"/>
        <w:rPr>
          <w:rFonts w:hint="eastAsia" w:ascii="宋体" w:hAnsi="宋体"/>
          <w:b/>
          <w:color w:val="auto"/>
          <w:sz w:val="24"/>
          <w:szCs w:val="24"/>
          <w:highlight w:val="none"/>
        </w:rPr>
      </w:pPr>
    </w:p>
    <w:p>
      <w:pPr>
        <w:pStyle w:val="12"/>
        <w:spacing w:before="120" w:beforeLines="50" w:line="360" w:lineRule="auto"/>
        <w:ind w:firstLine="0"/>
        <w:jc w:val="left"/>
        <w:rPr>
          <w:rFonts w:hint="eastAsia"/>
          <w:color w:val="auto"/>
          <w:highlight w:val="none"/>
        </w:rPr>
        <w:sectPr>
          <w:pgSz w:w="11906" w:h="16838"/>
          <w:pgMar w:top="1418" w:right="1418" w:bottom="1418" w:left="1418" w:header="851" w:footer="992" w:gutter="0"/>
          <w:cols w:space="720" w:num="1"/>
          <w:docGrid w:linePitch="312" w:charSpace="0"/>
        </w:sectPr>
      </w:pPr>
    </w:p>
    <w:p>
      <w:pPr>
        <w:keepNext/>
        <w:keepLines/>
        <w:spacing w:line="360" w:lineRule="auto"/>
        <w:ind w:firstLine="643"/>
        <w:jc w:val="center"/>
        <w:outlineLvl w:val="0"/>
        <w:rPr>
          <w:rFonts w:hint="eastAsia" w:ascii="宋体" w:hAnsi="宋体" w:cs="宋体"/>
          <w:b/>
          <w:bCs/>
          <w:color w:val="auto"/>
          <w:kern w:val="44"/>
          <w:szCs w:val="21"/>
          <w:highlight w:val="none"/>
        </w:rPr>
      </w:pPr>
      <w:bookmarkStart w:id="220" w:name="_Toc15624"/>
      <w:bookmarkStart w:id="221" w:name="_Toc22303"/>
      <w:bookmarkStart w:id="222" w:name="_Toc7202"/>
      <w:bookmarkStart w:id="223" w:name="_Toc348"/>
      <w:bookmarkStart w:id="224" w:name="_Toc69113921"/>
      <w:bookmarkStart w:id="225" w:name="_Toc2116"/>
      <w:bookmarkStart w:id="226" w:name="_Toc517529733"/>
      <w:bookmarkStart w:id="227" w:name="_Toc21008"/>
      <w:bookmarkStart w:id="228" w:name="_Toc517530695"/>
      <w:bookmarkStart w:id="229" w:name="_Toc7224"/>
      <w:bookmarkStart w:id="230" w:name="_Toc610"/>
      <w:bookmarkStart w:id="231" w:name="_Toc517531971"/>
      <w:bookmarkStart w:id="232" w:name="_Toc517528640"/>
      <w:bookmarkStart w:id="233" w:name="_Toc15128"/>
      <w:r>
        <w:rPr>
          <w:rFonts w:hint="eastAsia" w:ascii="宋体" w:hAnsi="宋体" w:cs="宋体"/>
          <w:b/>
          <w:bCs/>
          <w:color w:val="auto"/>
          <w:kern w:val="44"/>
          <w:sz w:val="32"/>
          <w:szCs w:val="32"/>
          <w:highlight w:val="none"/>
        </w:rPr>
        <w:t>第二部分 通用合同条款</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pPr>
        <w:keepNext/>
        <w:keepLines/>
        <w:spacing w:before="156" w:beforeLines="50" w:after="156" w:afterLines="50" w:line="360" w:lineRule="auto"/>
        <w:ind w:firstLine="600" w:firstLineChars="200"/>
        <w:outlineLvl w:val="1"/>
        <w:rPr>
          <w:rFonts w:hint="eastAsia" w:ascii="宋体" w:hAnsi="宋体" w:cs="宋体"/>
          <w:b/>
          <w:color w:val="auto"/>
          <w:sz w:val="30"/>
          <w:szCs w:val="30"/>
          <w:highlight w:val="none"/>
        </w:rPr>
      </w:pPr>
      <w:bookmarkStart w:id="234" w:name="_Toc296346528"/>
      <w:bookmarkStart w:id="235" w:name="_Toc296503027"/>
      <w:bookmarkStart w:id="236" w:name="_Toc351203495"/>
      <w:bookmarkStart w:id="237" w:name="_Toc7304"/>
      <w:bookmarkStart w:id="238" w:name="_Toc13305"/>
      <w:bookmarkStart w:id="239" w:name="_Toc21451"/>
      <w:bookmarkStart w:id="240" w:name="_Toc14188"/>
      <w:bookmarkStart w:id="241" w:name="_Toc3920"/>
      <w:bookmarkStart w:id="242" w:name="_Toc19794"/>
      <w:bookmarkStart w:id="243" w:name="_Toc2130"/>
      <w:bookmarkStart w:id="244" w:name="_Toc11766"/>
      <w:bookmarkStart w:id="245" w:name="_Toc465237170"/>
      <w:bookmarkStart w:id="246" w:name="_Toc517529734"/>
      <w:bookmarkStart w:id="247" w:name="_Toc465237072"/>
      <w:bookmarkStart w:id="248" w:name="_Toc13267"/>
      <w:bookmarkStart w:id="249" w:name="_Toc517531972"/>
      <w:bookmarkStart w:id="250" w:name="_Toc20726"/>
      <w:bookmarkStart w:id="251" w:name="_Toc26642"/>
      <w:bookmarkStart w:id="252" w:name="_Toc18768"/>
      <w:bookmarkStart w:id="253" w:name="_Toc14264"/>
      <w:bookmarkStart w:id="254" w:name="_Toc23490"/>
      <w:bookmarkStart w:id="255" w:name="_Toc29283"/>
      <w:bookmarkStart w:id="256" w:name="_Toc2304"/>
      <w:bookmarkStart w:id="257" w:name="_Toc10110"/>
      <w:bookmarkStart w:id="258" w:name="_Toc517528641"/>
      <w:bookmarkStart w:id="259" w:name="_Toc7132"/>
      <w:bookmarkStart w:id="260" w:name="_Toc517530696"/>
      <w:bookmarkStart w:id="261" w:name="_Toc69113922"/>
      <w:r>
        <w:rPr>
          <w:rFonts w:hint="eastAsia" w:ascii="宋体" w:hAnsi="宋体" w:cs="宋体"/>
          <w:b/>
          <w:color w:val="auto"/>
          <w:sz w:val="30"/>
          <w:szCs w:val="30"/>
          <w:highlight w:val="none"/>
        </w:rPr>
        <w:t>1.</w:t>
      </w:r>
      <w:bookmarkEnd w:id="234"/>
      <w:bookmarkEnd w:id="235"/>
      <w:bookmarkEnd w:id="236"/>
      <w:r>
        <w:rPr>
          <w:rFonts w:hint="eastAsia" w:ascii="宋体" w:hAnsi="宋体" w:cs="宋体"/>
          <w:b/>
          <w:color w:val="auto"/>
          <w:sz w:val="30"/>
          <w:szCs w:val="30"/>
          <w:highlight w:val="none"/>
        </w:rPr>
        <w:t xml:space="preserve"> 一般约定</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262" w:name="_Toc21"/>
      <w:bookmarkStart w:id="263" w:name="_Toc69113923"/>
      <w:bookmarkStart w:id="264" w:name="_Toc28730"/>
      <w:bookmarkStart w:id="265" w:name="_Toc7841"/>
      <w:bookmarkStart w:id="266" w:name="_Toc11290"/>
      <w:bookmarkStart w:id="267" w:name="_Toc1586"/>
      <w:bookmarkStart w:id="268" w:name="_Toc517531973"/>
      <w:bookmarkStart w:id="269" w:name="_Toc2050"/>
      <w:bookmarkStart w:id="270" w:name="_Toc15102"/>
      <w:bookmarkStart w:id="271" w:name="_Toc25437"/>
      <w:bookmarkStart w:id="272" w:name="_Toc12991"/>
      <w:bookmarkStart w:id="273" w:name="_Toc517530697"/>
      <w:bookmarkStart w:id="274" w:name="_Toc23216"/>
      <w:bookmarkStart w:id="275" w:name="_Toc12728"/>
      <w:bookmarkStart w:id="276" w:name="_Toc465237073"/>
      <w:bookmarkStart w:id="277" w:name="_Toc465237171"/>
      <w:bookmarkStart w:id="278" w:name="_Toc26776"/>
      <w:bookmarkStart w:id="279" w:name="_Toc16789"/>
      <w:bookmarkStart w:id="280" w:name="_Toc15314"/>
      <w:bookmarkStart w:id="281" w:name="_Toc25588"/>
      <w:bookmarkStart w:id="282" w:name="_Toc517528642"/>
      <w:bookmarkStart w:id="283" w:name="_Toc9450"/>
      <w:bookmarkStart w:id="284" w:name="_Toc24788"/>
      <w:bookmarkStart w:id="285" w:name="_Toc2202"/>
      <w:r>
        <w:rPr>
          <w:rFonts w:hint="eastAsia" w:ascii="宋体" w:hAnsi="宋体" w:cs="宋体"/>
          <w:b/>
          <w:bCs/>
          <w:color w:val="auto"/>
          <w:sz w:val="28"/>
          <w:szCs w:val="28"/>
          <w:highlight w:val="none"/>
        </w:rPr>
        <w:t>1.1定义</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pPr>
        <w:tabs>
          <w:tab w:val="left" w:pos="1050"/>
          <w:tab w:val="left" w:pos="126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在本合同中，下列名词或术语，除文中另有要求和说明外，应具有本条所指的含义：</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286" w:name="_Toc12229"/>
      <w:bookmarkStart w:id="287" w:name="_Toc13743"/>
      <w:bookmarkStart w:id="288" w:name="_Toc10325"/>
      <w:bookmarkStart w:id="289" w:name="_Toc20718"/>
      <w:bookmarkStart w:id="290" w:name="_Toc22585"/>
      <w:bookmarkStart w:id="291" w:name="_Toc29021"/>
      <w:bookmarkStart w:id="292" w:name="_Toc517530698"/>
      <w:bookmarkStart w:id="293" w:name="_Toc22656"/>
      <w:bookmarkStart w:id="294" w:name="_Toc27794"/>
      <w:bookmarkStart w:id="295" w:name="_Toc23326"/>
      <w:bookmarkStart w:id="296" w:name="_Toc2906"/>
      <w:bookmarkStart w:id="297" w:name="_Toc25301"/>
      <w:bookmarkStart w:id="298" w:name="_Toc15190"/>
      <w:bookmarkStart w:id="299" w:name="_Toc2259"/>
      <w:bookmarkStart w:id="300" w:name="_Toc10179"/>
      <w:bookmarkStart w:id="301" w:name="_Toc13051"/>
      <w:bookmarkStart w:id="302" w:name="_Toc27428"/>
      <w:bookmarkStart w:id="303" w:name="_Toc4378"/>
      <w:bookmarkStart w:id="304" w:name="_Toc517531974"/>
      <w:bookmarkStart w:id="305" w:name="_Toc17818"/>
      <w:r>
        <w:rPr>
          <w:rFonts w:hint="eastAsia" w:ascii="宋体" w:hAnsi="宋体" w:cs="宋体"/>
          <w:b/>
          <w:bCs/>
          <w:color w:val="auto"/>
          <w:sz w:val="24"/>
          <w:szCs w:val="24"/>
          <w:highlight w:val="none"/>
        </w:rPr>
        <w:t>1.1.1 合同</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pPr>
        <w:tabs>
          <w:tab w:val="left" w:pos="147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（1）“合同”指合同条款、技术规范、图纸、工程量清单、投标文件、中标通知书、合同协议书以及构成合同组成部分的其他文件。</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（2）“规范”指合同中约定的工程技术规范及对技术规范的有效修改或补充。</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（3）“图纸”指发包人按照合同约定提供或经发包人批准的设计文件、施工图、鸟瞰图及模型等，以及在合同履行过程中形成的图纸文件。图纸应当按照法律规定审查合格。</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（4）“工程量清单”指投标文件中已标价的工程量清单。</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（5）“投标文件”指承包人按照合同约定为实施并完成本合同工程及其缺陷的修复而向发包人提交的、包含了为中标通知书所接受的报价的相关文件。</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（6）“中标通知书”指发包人对投标文件的正式接受函件。</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（7）“合同协议书”指第3.1.1条所指的合同协议书。</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（8）“投标函附件”指构成投标文件的附件。</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306" w:name="_Toc732"/>
      <w:bookmarkStart w:id="307" w:name="_Toc25830"/>
      <w:bookmarkStart w:id="308" w:name="_Toc517530699"/>
      <w:bookmarkStart w:id="309" w:name="_Toc27136"/>
      <w:bookmarkStart w:id="310" w:name="_Toc20499"/>
      <w:bookmarkStart w:id="311" w:name="_Toc12599"/>
      <w:bookmarkStart w:id="312" w:name="_Toc8204"/>
      <w:bookmarkStart w:id="313" w:name="_Toc10233"/>
      <w:bookmarkStart w:id="314" w:name="_Toc20429"/>
      <w:bookmarkStart w:id="315" w:name="_Toc1904"/>
      <w:bookmarkStart w:id="316" w:name="_Toc15129"/>
      <w:bookmarkStart w:id="317" w:name="_Toc18254"/>
      <w:bookmarkStart w:id="318" w:name="_Toc5475"/>
      <w:bookmarkStart w:id="319" w:name="_Toc18247"/>
      <w:bookmarkStart w:id="320" w:name="_Toc9937"/>
      <w:bookmarkStart w:id="321" w:name="_Toc2147"/>
      <w:bookmarkStart w:id="322" w:name="_Toc3759"/>
      <w:bookmarkStart w:id="323" w:name="_Toc7900"/>
      <w:bookmarkStart w:id="324" w:name="_Toc3403"/>
      <w:bookmarkStart w:id="325" w:name="_Toc517531975"/>
      <w:r>
        <w:rPr>
          <w:rFonts w:hint="eastAsia" w:ascii="宋体" w:hAnsi="宋体" w:cs="宋体"/>
          <w:b/>
          <w:bCs/>
          <w:color w:val="auto"/>
          <w:sz w:val="24"/>
          <w:szCs w:val="24"/>
          <w:highlight w:val="none"/>
        </w:rPr>
        <w:t>1.1.2 合同当事人及相关各方</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（1）“发包人”指本合同条款指名的执行本建设项目投资计划的单位或其他指定的负责管理本建设项目的代表机构。</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（2）“项目主任”指发包人派驻施工现场履行合同的代表。</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（3）“承包人”指与发包人签订合同协议书的，具有相应工程施工承包资质的当事人及取得该当事人资格的合法继承人。</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（4）“指定专业工程承包人”指与发包人签订了合同协议书承建本项目指定专业工程的单位，以及取得该当事人（单位）资格的合法继承人（单位）。</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（5）“分包人”指按照法律规定和合同约定，分包部分工程或工作，并与承包人签订分包合同的具有相应资质的当事人及取得该当事人资格的合法继承人。</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（6）“监理人”指在专用合同条款中指名的，受发包人委托按照法律规定进行工程监督管理的法人或其他组织。</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（7）“总监理工程师”指由监理人任命并派驻施工现场进行工程监理的总负责人。</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（8）“项目经理”指由承包人书面委派常驻现场负责执行本合同和管理本合同工程的代表。</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（9）“项目技术负责人”指由承包人书面委派常驻现场负责管理本合同工程的总工程师或技术总负责人。</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(10)设计人：指发包人委托的负责本工程设计并取得相应工程设计资质的当事人，以及取得该当事人资格的合法继承人。</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326" w:name="_Toc4500"/>
      <w:bookmarkStart w:id="327" w:name="_Toc28404"/>
      <w:bookmarkStart w:id="328" w:name="_Toc28078"/>
      <w:bookmarkStart w:id="329" w:name="_Toc4911"/>
      <w:bookmarkStart w:id="330" w:name="_Toc15971"/>
      <w:bookmarkStart w:id="331" w:name="_Toc12197"/>
      <w:bookmarkStart w:id="332" w:name="_Toc32144"/>
      <w:bookmarkStart w:id="333" w:name="_Toc26029"/>
      <w:bookmarkStart w:id="334" w:name="_Toc802"/>
      <w:bookmarkStart w:id="335" w:name="_Toc14037"/>
      <w:bookmarkStart w:id="336" w:name="_Toc20458"/>
      <w:bookmarkStart w:id="337" w:name="_Toc10966"/>
      <w:bookmarkStart w:id="338" w:name="_Toc31407"/>
      <w:bookmarkStart w:id="339" w:name="_Toc17304"/>
      <w:bookmarkStart w:id="340" w:name="_Toc23194"/>
      <w:bookmarkStart w:id="341" w:name="_Toc517530700"/>
      <w:bookmarkStart w:id="342" w:name="_Toc517531976"/>
      <w:bookmarkStart w:id="343" w:name="_Toc32093"/>
      <w:bookmarkStart w:id="344" w:name="_Toc16542"/>
      <w:bookmarkStart w:id="345" w:name="_Toc11867"/>
      <w:r>
        <w:rPr>
          <w:rFonts w:hint="eastAsia" w:ascii="宋体" w:hAnsi="宋体" w:cs="宋体"/>
          <w:b/>
          <w:bCs/>
          <w:color w:val="auto"/>
          <w:sz w:val="24"/>
          <w:szCs w:val="24"/>
          <w:highlight w:val="none"/>
        </w:rPr>
        <w:t>1.1.3 工程与设备</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pPr>
        <w:tabs>
          <w:tab w:val="left" w:pos="126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（1）“工程”指永久工程和（或）临时工程。</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（2）“永久工程”指根据合同规定应实施的永久性工程（包括下文所指的设备）。</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（3）“临时工程”指在实施和完成本合同工程及其缺陷的修复过程中所需的各种临时性工程（不包括下文所指的承包人装备）。</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（4）“建设项目工程”指一个建设项目的全部工程，它可由一个或若干个合同工程组成。</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（5）“合同工程”指本合同范围内的全部工程。</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（6）“区段工程”指合同工程范围内，合同规定或能单独发挥效益的某一区段的全部工程。</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（7）“单项工程”指合同工程范围内，合同规定或能单独发挥效益的某一独立的单项工程。</w:t>
      </w:r>
    </w:p>
    <w:p>
      <w:pPr>
        <w:spacing w:line="360" w:lineRule="auto"/>
        <w:ind w:firstLine="420" w:firstLineChars="200"/>
        <w:jc w:val="left"/>
        <w:rPr>
          <w:rFonts w:hint="eastAsia" w:ascii="宋体" w:hAnsi="宋体" w:cs="宋体"/>
          <w:color w:val="auto"/>
          <w:szCs w:val="21"/>
          <w:highlight w:val="none"/>
        </w:rPr>
      </w:pPr>
      <w:bookmarkStart w:id="346" w:name="_Toc16164"/>
      <w:r>
        <w:rPr>
          <w:rFonts w:hint="eastAsia" w:ascii="宋体" w:hAnsi="宋体" w:cs="宋体"/>
          <w:color w:val="auto"/>
          <w:szCs w:val="21"/>
          <w:highlight w:val="none"/>
        </w:rPr>
        <w:t>（8）“设备”指预定构成或构成永久工程某部分的机械、仪器、装置以及诸如此类的设备。</w:t>
      </w:r>
      <w:bookmarkEnd w:id="346"/>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（9）“承包人装备”指属承包人所有（或租赁）的、为了实施和完成本合同及其缺陷修复所需的机械、器具或物品。</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（10）“现场”指由发包人提供的本合同工程实施所在地的场所，及在合同中具体指定构成现场一部分的其他场所。</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（11）“永久占地”指为实施本合同工程而需要的一切永久占用的土地。</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（12）“临时占地”指为实施本合同工程而需要的一切临时占用土地，包括施工所用的临时支线、便道、便桥和现场的临时出入通道，以及生产、生活等临时设施用地等。</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347" w:name="_Toc13861"/>
      <w:bookmarkStart w:id="348" w:name="_Toc12615"/>
      <w:bookmarkStart w:id="349" w:name="_Toc29939"/>
      <w:bookmarkStart w:id="350" w:name="_Toc5838"/>
      <w:bookmarkStart w:id="351" w:name="_Toc20844"/>
      <w:bookmarkStart w:id="352" w:name="_Toc19995"/>
      <w:bookmarkStart w:id="353" w:name="_Toc517531977"/>
      <w:bookmarkStart w:id="354" w:name="_Toc13588"/>
      <w:bookmarkStart w:id="355" w:name="_Toc5187"/>
      <w:bookmarkStart w:id="356" w:name="_Toc8264"/>
      <w:bookmarkStart w:id="357" w:name="_Toc4083"/>
      <w:bookmarkStart w:id="358" w:name="_Toc7825"/>
      <w:bookmarkStart w:id="359" w:name="_Toc4773"/>
      <w:bookmarkStart w:id="360" w:name="_Toc6422"/>
      <w:bookmarkStart w:id="361" w:name="_Toc5896"/>
      <w:bookmarkStart w:id="362" w:name="_Toc25808"/>
      <w:bookmarkStart w:id="363" w:name="_Toc12396"/>
      <w:bookmarkStart w:id="364" w:name="_Toc517530701"/>
      <w:bookmarkStart w:id="365" w:name="_Toc16658"/>
      <w:bookmarkStart w:id="366" w:name="_Toc26786"/>
      <w:r>
        <w:rPr>
          <w:rFonts w:hint="eastAsia" w:ascii="宋体" w:hAnsi="宋体" w:cs="宋体"/>
          <w:b/>
          <w:bCs/>
          <w:color w:val="auto"/>
          <w:sz w:val="24"/>
          <w:szCs w:val="24"/>
          <w:highlight w:val="none"/>
        </w:rPr>
        <w:t>1.1.4 日期与期限</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（1）“开工期”指投标书附件中规定的开工期限。</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（2）“开工日期”指发包人和承包人在开工期限内约定的、在开工通知书写明的日期。</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（3）“竣工日期”包括计划竣工日期和实际竣工日期。计划竣工日期是指合同协议书约定的竣工日期；实际竣工日期按照第13条确定。</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（4）“工期”是指在合同中约定的承包人完成工程所需的期限，包括按照合同约定所做的期限变更。</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（5）“履约期”指发包人和承包人就本工程实施和竣工后继续履行合同而约定的期限，其开始日期从合同协议书约定的合同生效日起到工程保修书约定的质量保证金退还之日止。</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（6）“保修期”指在投标书附件中指定的保修期，其时间从交接证书中写明的竣工日期算起。</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367" w:name="_Toc11440"/>
      <w:bookmarkStart w:id="368" w:name="_Toc27546"/>
      <w:bookmarkStart w:id="369" w:name="_Toc23940"/>
      <w:bookmarkStart w:id="370" w:name="_Toc15268"/>
      <w:bookmarkStart w:id="371" w:name="_Toc517531978"/>
      <w:bookmarkStart w:id="372" w:name="_Toc21764"/>
      <w:bookmarkStart w:id="373" w:name="_Toc9508"/>
      <w:bookmarkStart w:id="374" w:name="_Toc1652"/>
      <w:bookmarkStart w:id="375" w:name="_Toc30631"/>
      <w:bookmarkStart w:id="376" w:name="_Toc1973"/>
      <w:bookmarkStart w:id="377" w:name="_Toc4639"/>
      <w:bookmarkStart w:id="378" w:name="_Toc27539"/>
      <w:bookmarkStart w:id="379" w:name="_Toc6480"/>
      <w:bookmarkStart w:id="380" w:name="_Toc517530702"/>
      <w:bookmarkStart w:id="381" w:name="_Toc5876"/>
      <w:bookmarkStart w:id="382" w:name="_Toc2390"/>
      <w:bookmarkStart w:id="383" w:name="_Toc18309"/>
      <w:bookmarkStart w:id="384" w:name="_Toc8736"/>
      <w:bookmarkStart w:id="385" w:name="_Toc20088"/>
      <w:bookmarkStart w:id="386" w:name="_Toc10471"/>
      <w:r>
        <w:rPr>
          <w:rFonts w:hint="eastAsia" w:ascii="宋体" w:hAnsi="宋体" w:cs="宋体"/>
          <w:b/>
          <w:bCs/>
          <w:color w:val="auto"/>
          <w:sz w:val="24"/>
          <w:szCs w:val="24"/>
          <w:highlight w:val="none"/>
        </w:rPr>
        <w:t>1.1.5 证书</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（1）“履约证书”指承包人在履约期内完成合同工程及合同约定的义务后得到的履约证明。</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（2）“交接证书”指本合同工程或合同工程中规定有单独工期的区段或单项工程竣工后，根据第13.1、13.2条规定签发的证书。</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387" w:name="_Toc5612"/>
      <w:bookmarkStart w:id="388" w:name="_Toc1499"/>
      <w:bookmarkStart w:id="389" w:name="_Toc8340"/>
      <w:bookmarkStart w:id="390" w:name="_Toc30114"/>
      <w:bookmarkStart w:id="391" w:name="_Toc22226"/>
      <w:bookmarkStart w:id="392" w:name="_Toc23435"/>
      <w:bookmarkStart w:id="393" w:name="_Toc31444"/>
      <w:bookmarkStart w:id="394" w:name="_Toc20560"/>
      <w:bookmarkStart w:id="395" w:name="_Toc27482"/>
      <w:bookmarkStart w:id="396" w:name="_Toc32349"/>
      <w:bookmarkStart w:id="397" w:name="_Toc29104"/>
      <w:bookmarkStart w:id="398" w:name="_Toc24653"/>
      <w:bookmarkStart w:id="399" w:name="_Toc7509"/>
      <w:bookmarkStart w:id="400" w:name="_Toc19179"/>
      <w:bookmarkStart w:id="401" w:name="_Toc517530703"/>
      <w:bookmarkStart w:id="402" w:name="_Toc25721"/>
      <w:bookmarkStart w:id="403" w:name="_Toc21592"/>
      <w:bookmarkStart w:id="404" w:name="_Toc517531979"/>
      <w:bookmarkStart w:id="405" w:name="_Toc9293"/>
      <w:bookmarkStart w:id="406" w:name="_Toc24144"/>
      <w:r>
        <w:rPr>
          <w:rFonts w:hint="eastAsia" w:ascii="宋体" w:hAnsi="宋体" w:cs="宋体"/>
          <w:b/>
          <w:bCs/>
          <w:color w:val="auto"/>
          <w:sz w:val="24"/>
          <w:szCs w:val="24"/>
          <w:highlight w:val="none"/>
        </w:rPr>
        <w:t>1.1.6 合同价格与费用</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（1）“合同价格”指在中标通知书中写明的、承包人按合同规定实施和完成本合同工程及其缺陷的修复应得到的支付价款总额。</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（2）“质量保证金”指发包人根据第15.6款扣留的款额。</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暂列金额”是招标人在工程量清单中暂定并包括在合同价款中的一笔款项。用于施工合同签订时尚未确定或者不可预见的所需材料、设备、服务的采购，施工中可能发生的工程变更、合同约定调整因素出现时的工程价款调整以及发生的索赔、现场签证确认等情形的费用。</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（4）“专业工程暂估价”是招标人在工程量清单中提供的用于支付必然发生但暂时不能确定的专业工程金额。</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（5）“材料设备暂估价”是指招标人在工程量清单中提供的用于支付必然发生但暂时不能确定价格的材料、设备的单价。</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（6）“费用”指承包人现场内外已发生或将要发生的合理支出，包括管理费和其他类似的支出，但不包括利润。</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407" w:name="_Toc517531980"/>
      <w:bookmarkStart w:id="408" w:name="_Toc21685"/>
      <w:bookmarkStart w:id="409" w:name="_Toc26299"/>
      <w:bookmarkStart w:id="410" w:name="_Toc7016"/>
      <w:bookmarkStart w:id="411" w:name="_Toc8008"/>
      <w:bookmarkStart w:id="412" w:name="_Toc31188"/>
      <w:bookmarkStart w:id="413" w:name="_Toc12059"/>
      <w:bookmarkStart w:id="414" w:name="_Toc4137"/>
      <w:bookmarkStart w:id="415" w:name="_Toc8639"/>
      <w:bookmarkStart w:id="416" w:name="_Toc19779"/>
      <w:bookmarkStart w:id="417" w:name="_Toc4929"/>
      <w:bookmarkStart w:id="418" w:name="_Toc11832"/>
      <w:bookmarkStart w:id="419" w:name="_Toc16147"/>
      <w:bookmarkStart w:id="420" w:name="_Toc1787"/>
      <w:bookmarkStart w:id="421" w:name="_Toc12132"/>
      <w:bookmarkStart w:id="422" w:name="_Toc517530704"/>
      <w:bookmarkStart w:id="423" w:name="_Toc9022"/>
      <w:bookmarkStart w:id="424" w:name="_Toc16015"/>
      <w:bookmarkStart w:id="425" w:name="_Toc20461"/>
      <w:bookmarkStart w:id="426" w:name="_Toc14164"/>
      <w:r>
        <w:rPr>
          <w:rFonts w:hint="eastAsia" w:ascii="宋体" w:hAnsi="宋体" w:cs="宋体"/>
          <w:b/>
          <w:bCs/>
          <w:color w:val="auto"/>
          <w:sz w:val="24"/>
          <w:szCs w:val="24"/>
          <w:highlight w:val="none"/>
        </w:rPr>
        <w:t>1.1.7 其他</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（1）“天”指日历天，“年”、“月”、“日”按公历计算。</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（2）“国家”指中华人民共和国。</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（3）“当地”指本合同工程所在地及其附近。</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（4）“书面”指手书、打字或印刷的通信函电，包括传真、电报、电传及电子邮件等数据电文。</w:t>
      </w:r>
    </w:p>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427" w:name="_Toc19280"/>
      <w:bookmarkStart w:id="428" w:name="_Toc859"/>
      <w:bookmarkStart w:id="429" w:name="_Toc19556"/>
      <w:bookmarkStart w:id="430" w:name="_Toc22138"/>
      <w:bookmarkStart w:id="431" w:name="_Toc31874"/>
      <w:bookmarkStart w:id="432" w:name="_Toc517531981"/>
      <w:bookmarkStart w:id="433" w:name="_Toc465237074"/>
      <w:bookmarkStart w:id="434" w:name="_Toc517530705"/>
      <w:bookmarkStart w:id="435" w:name="_Toc1808"/>
      <w:bookmarkStart w:id="436" w:name="_Toc18940"/>
      <w:bookmarkStart w:id="437" w:name="_Toc4914"/>
      <w:bookmarkStart w:id="438" w:name="_Toc28258"/>
      <w:bookmarkStart w:id="439" w:name="_Toc9940"/>
      <w:bookmarkStart w:id="440" w:name="_Toc14241"/>
      <w:bookmarkStart w:id="441" w:name="_Toc24557"/>
      <w:bookmarkStart w:id="442" w:name="_Toc12309"/>
      <w:bookmarkStart w:id="443" w:name="_Toc465237172"/>
      <w:bookmarkStart w:id="444" w:name="_Toc27258"/>
      <w:bookmarkStart w:id="445" w:name="_Toc15498"/>
      <w:bookmarkStart w:id="446" w:name="_Toc517528643"/>
      <w:bookmarkStart w:id="447" w:name="_Toc28049"/>
      <w:bookmarkStart w:id="448" w:name="_Toc21667"/>
      <w:bookmarkStart w:id="449" w:name="_Toc69113924"/>
      <w:bookmarkStart w:id="450" w:name="_Toc27584"/>
      <w:r>
        <w:rPr>
          <w:rFonts w:hint="eastAsia" w:ascii="宋体" w:hAnsi="宋体" w:cs="宋体"/>
          <w:b/>
          <w:bCs/>
          <w:color w:val="auto"/>
          <w:sz w:val="28"/>
          <w:szCs w:val="28"/>
          <w:highlight w:val="none"/>
        </w:rPr>
        <w:t>1.2标题和边注</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本合同条款中标题和边注不视为本合同的部分，在合同条款或合同本身的解释中也不考虑这些标题和边注。</w:t>
      </w:r>
    </w:p>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451" w:name="_Toc465237173"/>
      <w:bookmarkStart w:id="452" w:name="_Toc465237075"/>
      <w:bookmarkStart w:id="453" w:name="_Toc15859"/>
      <w:bookmarkStart w:id="454" w:name="_Toc32653"/>
      <w:bookmarkStart w:id="455" w:name="_Toc1522"/>
      <w:bookmarkStart w:id="456" w:name="_Toc27753"/>
      <w:bookmarkStart w:id="457" w:name="_Toc24459"/>
      <w:bookmarkStart w:id="458" w:name="_Toc29440"/>
      <w:bookmarkStart w:id="459" w:name="_Toc29023"/>
      <w:bookmarkStart w:id="460" w:name="_Toc18136"/>
      <w:bookmarkStart w:id="461" w:name="_Toc2548"/>
      <w:bookmarkStart w:id="462" w:name="_Toc517530706"/>
      <w:bookmarkStart w:id="463" w:name="_Toc517528644"/>
      <w:bookmarkStart w:id="464" w:name="_Toc26940"/>
      <w:bookmarkStart w:id="465" w:name="_Toc18986"/>
      <w:bookmarkStart w:id="466" w:name="_Toc28738"/>
      <w:bookmarkStart w:id="467" w:name="_Toc69113925"/>
      <w:bookmarkStart w:id="468" w:name="_Toc20907"/>
      <w:bookmarkStart w:id="469" w:name="_Toc23133"/>
      <w:bookmarkStart w:id="470" w:name="_Toc19030"/>
      <w:bookmarkStart w:id="471" w:name="_Toc26862"/>
      <w:bookmarkStart w:id="472" w:name="_Toc14386"/>
      <w:bookmarkStart w:id="473" w:name="_Toc517531982"/>
      <w:bookmarkStart w:id="474" w:name="_Toc27268"/>
      <w:r>
        <w:rPr>
          <w:rFonts w:hint="eastAsia" w:ascii="宋体" w:hAnsi="宋体" w:cs="宋体"/>
          <w:b/>
          <w:bCs/>
          <w:color w:val="auto"/>
          <w:sz w:val="28"/>
          <w:szCs w:val="28"/>
          <w:highlight w:val="none"/>
        </w:rPr>
        <w:t>1.3法律</w:t>
      </w:r>
      <w:bookmarkEnd w:id="451"/>
      <w:bookmarkEnd w:id="452"/>
      <w:r>
        <w:rPr>
          <w:rFonts w:hint="eastAsia" w:ascii="宋体" w:hAnsi="宋体" w:cs="宋体"/>
          <w:b/>
          <w:bCs/>
          <w:color w:val="auto"/>
          <w:sz w:val="28"/>
          <w:szCs w:val="28"/>
          <w:highlight w:val="none"/>
        </w:rPr>
        <w:t>和法规</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本合同必须遵守国家现行法律和法规；合同所称法律和法规是指中华人民共和国法律、行政法规、部门规章，以及工程所在地的地方性法规、自治条例、单行条例和地方政府规章等。</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合同的解释应以现行法律和法规为准。</w:t>
      </w:r>
    </w:p>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475" w:name="_Toc28044"/>
      <w:bookmarkStart w:id="476" w:name="_Toc517528645"/>
      <w:bookmarkStart w:id="477" w:name="_Toc517531983"/>
      <w:bookmarkStart w:id="478" w:name="_Toc31054"/>
      <w:bookmarkStart w:id="479" w:name="_Toc26651"/>
      <w:bookmarkStart w:id="480" w:name="_Toc3245"/>
      <w:bookmarkStart w:id="481" w:name="_Toc17499"/>
      <w:bookmarkStart w:id="482" w:name="_Toc517530707"/>
      <w:bookmarkStart w:id="483" w:name="_Toc32238"/>
      <w:bookmarkStart w:id="484" w:name="_Toc15157"/>
      <w:bookmarkStart w:id="485" w:name="_Toc9530"/>
      <w:bookmarkStart w:id="486" w:name="_Toc465237076"/>
      <w:bookmarkStart w:id="487" w:name="_Toc12653"/>
      <w:bookmarkStart w:id="488" w:name="_Toc31930"/>
      <w:bookmarkStart w:id="489" w:name="_Toc465237174"/>
      <w:bookmarkStart w:id="490" w:name="_Toc11466"/>
      <w:bookmarkStart w:id="491" w:name="_Toc3204"/>
      <w:bookmarkStart w:id="492" w:name="_Toc69113926"/>
      <w:bookmarkStart w:id="493" w:name="_Toc10008"/>
      <w:bookmarkStart w:id="494" w:name="_Toc5764"/>
      <w:bookmarkStart w:id="495" w:name="_Toc28765"/>
      <w:bookmarkStart w:id="496" w:name="_Toc32030"/>
      <w:bookmarkStart w:id="497" w:name="_Toc15073"/>
      <w:bookmarkStart w:id="498" w:name="_Toc6738"/>
      <w:r>
        <w:rPr>
          <w:rFonts w:hint="eastAsia" w:ascii="宋体" w:hAnsi="宋体" w:cs="宋体"/>
          <w:b/>
          <w:bCs/>
          <w:color w:val="auto"/>
          <w:sz w:val="28"/>
          <w:szCs w:val="28"/>
          <w:highlight w:val="none"/>
        </w:rPr>
        <w:t>1.4 技术标准和管理规范</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499" w:name="_Toc15607"/>
      <w:bookmarkStart w:id="500" w:name="_Toc9825"/>
      <w:bookmarkStart w:id="501" w:name="_Toc24207"/>
      <w:bookmarkStart w:id="502" w:name="_Toc15143"/>
      <w:bookmarkStart w:id="503" w:name="_Toc9251"/>
      <w:bookmarkStart w:id="504" w:name="_Toc5817"/>
      <w:bookmarkStart w:id="505" w:name="_Toc517531984"/>
      <w:bookmarkStart w:id="506" w:name="_Toc14287"/>
      <w:bookmarkStart w:id="507" w:name="_Toc17237"/>
      <w:bookmarkStart w:id="508" w:name="_Toc517530708"/>
      <w:bookmarkStart w:id="509" w:name="_Toc20255"/>
      <w:r>
        <w:rPr>
          <w:rFonts w:hint="eastAsia" w:ascii="宋体" w:hAnsi="宋体" w:cs="宋体"/>
          <w:b/>
          <w:bCs/>
          <w:color w:val="auto"/>
          <w:sz w:val="24"/>
          <w:szCs w:val="24"/>
          <w:highlight w:val="none"/>
        </w:rPr>
        <w:t>1.4.1发包人制定的标准</w:t>
      </w:r>
      <w:bookmarkEnd w:id="499"/>
      <w:bookmarkEnd w:id="500"/>
      <w:bookmarkEnd w:id="501"/>
      <w:bookmarkEnd w:id="502"/>
      <w:bookmarkEnd w:id="503"/>
      <w:bookmarkEnd w:id="504"/>
      <w:bookmarkEnd w:id="505"/>
      <w:bookmarkEnd w:id="506"/>
      <w:bookmarkEnd w:id="507"/>
      <w:bookmarkEnd w:id="508"/>
      <w:bookmarkEnd w:id="509"/>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合同专用条款附件为发包人制定的有关政府工程项目管理的规范性文件，承包人须按照发包人的管理程序和流程办理工程业务（应符合发包人信息化管理的要求），附件有关规定视为发包人与承包人合同的有效组成部分。</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510" w:name="_Toc24282"/>
      <w:bookmarkStart w:id="511" w:name="_Toc13982"/>
      <w:bookmarkStart w:id="512" w:name="_Toc517530709"/>
      <w:bookmarkStart w:id="513" w:name="_Toc15838"/>
      <w:bookmarkStart w:id="514" w:name="_Toc490"/>
      <w:bookmarkStart w:id="515" w:name="_Toc18380"/>
      <w:bookmarkStart w:id="516" w:name="_Toc517531985"/>
      <w:bookmarkStart w:id="517" w:name="_Toc23286"/>
      <w:bookmarkStart w:id="518" w:name="_Toc15041"/>
      <w:bookmarkStart w:id="519" w:name="_Toc7734"/>
      <w:bookmarkStart w:id="520" w:name="_Toc17815"/>
      <w:r>
        <w:rPr>
          <w:rFonts w:hint="eastAsia" w:ascii="宋体" w:hAnsi="宋体" w:cs="宋体"/>
          <w:b/>
          <w:bCs/>
          <w:color w:val="auto"/>
          <w:sz w:val="24"/>
          <w:szCs w:val="24"/>
          <w:highlight w:val="none"/>
        </w:rPr>
        <w:t>1.4.2外国标准</w:t>
      </w:r>
      <w:bookmarkEnd w:id="510"/>
      <w:bookmarkEnd w:id="511"/>
      <w:bookmarkEnd w:id="512"/>
      <w:bookmarkEnd w:id="513"/>
      <w:bookmarkEnd w:id="514"/>
      <w:bookmarkEnd w:id="515"/>
      <w:bookmarkEnd w:id="516"/>
      <w:bookmarkEnd w:id="517"/>
      <w:bookmarkEnd w:id="518"/>
      <w:bookmarkEnd w:id="519"/>
      <w:bookmarkEnd w:id="520"/>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kern w:val="0"/>
          <w:szCs w:val="21"/>
          <w:highlight w:val="none"/>
        </w:rPr>
        <w:t>发包人要求使用国外标准、规范的，发包人负责提供原文版本和中文译本，并在专用合同条款中约定提供标准规范的名称、份数和时间。若发包人提供的中文译本与原文版本不一致，以原文版本为准。</w:t>
      </w:r>
    </w:p>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521" w:name="_Toc29416"/>
      <w:bookmarkStart w:id="522" w:name="_Toc13672"/>
      <w:bookmarkStart w:id="523" w:name="_Toc724"/>
      <w:bookmarkStart w:id="524" w:name="_Toc517530710"/>
      <w:bookmarkStart w:id="525" w:name="_Toc16776"/>
      <w:bookmarkStart w:id="526" w:name="_Toc12454"/>
      <w:bookmarkStart w:id="527" w:name="_Toc4600"/>
      <w:bookmarkStart w:id="528" w:name="_Toc517531986"/>
      <w:bookmarkStart w:id="529" w:name="_Toc69113927"/>
      <w:bookmarkStart w:id="530" w:name="_Toc31870"/>
      <w:bookmarkStart w:id="531" w:name="_Toc26672"/>
      <w:bookmarkStart w:id="532" w:name="_Toc9247"/>
      <w:bookmarkStart w:id="533" w:name="_Toc18139"/>
      <w:bookmarkStart w:id="534" w:name="_Toc465237175"/>
      <w:bookmarkStart w:id="535" w:name="_Toc12811"/>
      <w:bookmarkStart w:id="536" w:name="_Toc465237077"/>
      <w:bookmarkStart w:id="537" w:name="_Toc13341"/>
      <w:bookmarkStart w:id="538" w:name="_Toc6886"/>
      <w:bookmarkStart w:id="539" w:name="_Toc14572"/>
      <w:bookmarkStart w:id="540" w:name="_Toc13509"/>
      <w:bookmarkStart w:id="541" w:name="_Toc1167"/>
      <w:bookmarkStart w:id="542" w:name="_Toc517528646"/>
      <w:bookmarkStart w:id="543" w:name="_Toc11087"/>
      <w:bookmarkStart w:id="544" w:name="_Toc3865"/>
      <w:r>
        <w:rPr>
          <w:rFonts w:hint="eastAsia" w:ascii="宋体" w:hAnsi="宋体" w:cs="宋体"/>
          <w:b/>
          <w:bCs/>
          <w:color w:val="auto"/>
          <w:sz w:val="28"/>
          <w:szCs w:val="28"/>
          <w:highlight w:val="none"/>
        </w:rPr>
        <w:t>1.5合同文件的优先次序</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组成合同的各个文件应该认为是一个整体，彼此相互解释，相互补充。如果出现含糊不清或相互矛盾的情况，由监理人做出解释和调整。在这种情况下，除非合同另有规定，组成合同的文件的优先顺序应依次如下：</w:t>
      </w:r>
    </w:p>
    <w:p>
      <w:pPr>
        <w:numPr>
          <w:ilvl w:val="0"/>
          <w:numId w:val="6"/>
        </w:num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合同协议书及双方签认的补充协议；</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(b)中标通知书；</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(c)投标函及其附件（含承包人在评标期间和合同谈判过程中递交和确认并经发包人</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同意的对有关问题的补充资料和澄清文件等，如果有）；</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(d)招标文件中的投标报价规定；</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(e)补充合同条款；</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(f)专用合同条款（含专用条款附件及招标文件补遗书中与此有关的部分，如果有）；</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(g)通用合同条款；</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(h)技术标准和规范（含招标文件补遗书中与此有关的部分，如果有）；</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(i)图纸（含招标文件补遗书中与此有关的部分，如果有）；</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(j)标价的工程量清单；</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(k)工程质量保修书；</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(l)</w:t>
      </w:r>
      <w:r>
        <w:rPr>
          <w:rFonts w:hint="eastAsia"/>
          <w:color w:val="auto"/>
          <w:highlight w:val="none"/>
        </w:rPr>
        <w:t xml:space="preserve"> 发包人和承包人双方有关本工程的变更、签证、洽商、索赔、询价采购凭证等书面文件及组成合同的其他文件。</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上述各项合同文件包括合同当事人就该项合同文件所作出的补充和修改，属于同一类内容的文件，应该以双方协商一致且最新签署的为准。</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在合同订立及履行过程中形成的与合同有关的文件均构成合同文件组成部分，并根据其性质确定优先解释顺序。</w:t>
      </w:r>
    </w:p>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545" w:name="_Toc32379"/>
      <w:bookmarkStart w:id="546" w:name="_Toc6309"/>
      <w:bookmarkStart w:id="547" w:name="_Toc19731"/>
      <w:bookmarkStart w:id="548" w:name="_Toc20978"/>
      <w:bookmarkStart w:id="549" w:name="_Toc28206"/>
      <w:bookmarkStart w:id="550" w:name="_Toc7678"/>
      <w:bookmarkStart w:id="551" w:name="_Toc26286"/>
      <w:bookmarkStart w:id="552" w:name="_Toc30783"/>
      <w:bookmarkStart w:id="553" w:name="_Toc3221"/>
      <w:bookmarkStart w:id="554" w:name="_Toc26706"/>
      <w:bookmarkStart w:id="555" w:name="_Toc5037"/>
      <w:bookmarkStart w:id="556" w:name="_Toc15994"/>
      <w:bookmarkStart w:id="557" w:name="_Toc26714"/>
      <w:bookmarkStart w:id="558" w:name="_Toc465237176"/>
      <w:bookmarkStart w:id="559" w:name="_Toc21034"/>
      <w:bookmarkStart w:id="560" w:name="_Toc465237078"/>
      <w:bookmarkStart w:id="561" w:name="_Toc517530711"/>
      <w:bookmarkStart w:id="562" w:name="_Toc8718"/>
      <w:bookmarkStart w:id="563" w:name="_Toc23223"/>
      <w:bookmarkStart w:id="564" w:name="_Toc517528647"/>
      <w:bookmarkStart w:id="565" w:name="_Toc4282"/>
      <w:bookmarkStart w:id="566" w:name="_Toc9866"/>
      <w:bookmarkStart w:id="567" w:name="_Toc69113928"/>
      <w:bookmarkStart w:id="568" w:name="_Toc517531987"/>
      <w:bookmarkStart w:id="569" w:name="_Toc296346533"/>
      <w:bookmarkStart w:id="570" w:name="_Toc337558732"/>
      <w:bookmarkStart w:id="571" w:name="_Toc296503032"/>
      <w:r>
        <w:rPr>
          <w:rFonts w:hint="eastAsia" w:ascii="宋体" w:hAnsi="宋体" w:cs="宋体"/>
          <w:b/>
          <w:bCs/>
          <w:color w:val="auto"/>
          <w:sz w:val="28"/>
          <w:szCs w:val="28"/>
          <w:highlight w:val="none"/>
        </w:rPr>
        <w:t>1.6图纸和承包人文件</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bookmarkEnd w:id="569"/>
    <w:bookmarkEnd w:id="570"/>
    <w:bookmarkEnd w:id="571"/>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572" w:name="_Toc517530712"/>
      <w:bookmarkStart w:id="573" w:name="_Toc15570"/>
      <w:bookmarkStart w:id="574" w:name="_Toc325"/>
      <w:bookmarkStart w:id="575" w:name="_Toc24999"/>
      <w:bookmarkStart w:id="576" w:name="_Toc2636"/>
      <w:bookmarkStart w:id="577" w:name="_Toc4658"/>
      <w:bookmarkStart w:id="578" w:name="_Toc14543"/>
      <w:bookmarkStart w:id="579" w:name="_Toc368"/>
      <w:bookmarkStart w:id="580" w:name="_Toc15776"/>
      <w:bookmarkStart w:id="581" w:name="_Toc27372"/>
      <w:bookmarkStart w:id="582" w:name="_Toc13028"/>
      <w:bookmarkStart w:id="583" w:name="_Toc11504"/>
      <w:bookmarkStart w:id="584" w:name="_Toc28018"/>
      <w:bookmarkStart w:id="585" w:name="_Toc517531988"/>
      <w:bookmarkStart w:id="586" w:name="_Toc4515"/>
      <w:bookmarkStart w:id="587" w:name="_Toc6992"/>
      <w:bookmarkStart w:id="588" w:name="_Toc17024"/>
      <w:bookmarkStart w:id="589" w:name="_Toc22323"/>
      <w:bookmarkStart w:id="590" w:name="_Toc14983"/>
      <w:bookmarkStart w:id="591" w:name="_Toc22954"/>
      <w:r>
        <w:rPr>
          <w:rFonts w:hint="eastAsia" w:ascii="宋体" w:hAnsi="宋体" w:cs="宋体"/>
          <w:b/>
          <w:bCs/>
          <w:color w:val="auto"/>
          <w:sz w:val="24"/>
          <w:szCs w:val="24"/>
          <w:highlight w:val="none"/>
        </w:rPr>
        <w:t>1.6.1图纸和技术资料的提供</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监理人应在发包人发出中标通知书之后42天内，向承包人免费提供由发包人或其委托的设计单位设计的全部图纸和其他技术资料</w:t>
      </w:r>
      <w:r>
        <w:rPr>
          <w:rFonts w:hint="eastAsia" w:ascii="宋体" w:hAnsi="宋体" w:cs="宋体"/>
          <w:color w:val="auto"/>
          <w:szCs w:val="21"/>
          <w:highlight w:val="none"/>
          <w:u w:val="single"/>
        </w:rPr>
        <w:t>4</w:t>
      </w:r>
      <w:r>
        <w:rPr>
          <w:rFonts w:hint="eastAsia" w:ascii="宋体" w:hAnsi="宋体" w:cs="宋体"/>
          <w:color w:val="auto"/>
          <w:szCs w:val="21"/>
          <w:highlight w:val="none"/>
        </w:rPr>
        <w:t>份，并组织向承包人进行技术交底和图纸会审。承包人需要更多份数时，应自费复制。未经监理人同意，承包人不得将上述图纸和其他技术资料提供给与本工程施工无关的第三方。</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592" w:name="_Toc7918"/>
      <w:bookmarkStart w:id="593" w:name="_Toc6274"/>
      <w:bookmarkStart w:id="594" w:name="_Toc17824"/>
      <w:bookmarkStart w:id="595" w:name="_Toc21548"/>
      <w:bookmarkStart w:id="596" w:name="_Toc17535"/>
      <w:bookmarkStart w:id="597" w:name="_Toc16137"/>
      <w:bookmarkStart w:id="598" w:name="_Toc3334"/>
      <w:bookmarkStart w:id="599" w:name="_Toc9012"/>
      <w:bookmarkStart w:id="600" w:name="_Toc517531989"/>
      <w:bookmarkStart w:id="601" w:name="_Toc2595"/>
      <w:bookmarkStart w:id="602" w:name="_Toc27167"/>
      <w:bookmarkStart w:id="603" w:name="_Toc1408"/>
      <w:bookmarkStart w:id="604" w:name="_Toc24857"/>
      <w:bookmarkStart w:id="605" w:name="_Toc28409"/>
      <w:bookmarkStart w:id="606" w:name="_Toc517530713"/>
      <w:bookmarkStart w:id="607" w:name="_Toc2461"/>
      <w:bookmarkStart w:id="608" w:name="_Toc18277"/>
      <w:bookmarkStart w:id="609" w:name="_Toc17779"/>
      <w:bookmarkStart w:id="610" w:name="_Toc19428"/>
      <w:r>
        <w:rPr>
          <w:rFonts w:hint="eastAsia" w:ascii="宋体" w:hAnsi="宋体" w:cs="宋体"/>
          <w:b/>
          <w:bCs/>
          <w:color w:val="auto"/>
          <w:sz w:val="24"/>
          <w:szCs w:val="24"/>
          <w:highlight w:val="none"/>
        </w:rPr>
        <w:t>1.6.2临时工程图纸</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当监理人认为需要时，承包人应提交临时工程的设计图纸</w:t>
      </w:r>
      <w:r>
        <w:rPr>
          <w:rFonts w:hint="eastAsia" w:ascii="宋体" w:hAnsi="宋体" w:cs="宋体"/>
          <w:color w:val="auto"/>
          <w:szCs w:val="21"/>
          <w:highlight w:val="none"/>
          <w:u w:val="single"/>
        </w:rPr>
        <w:t>4</w:t>
      </w:r>
      <w:r>
        <w:rPr>
          <w:rFonts w:hint="eastAsia" w:ascii="宋体" w:hAnsi="宋体" w:cs="宋体"/>
          <w:color w:val="auto"/>
          <w:szCs w:val="21"/>
          <w:highlight w:val="none"/>
        </w:rPr>
        <w:t>份，供监理人批准，必要时承包人应就其临时工程的设计征得有关第三方的批准。</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611" w:name="_Toc13589"/>
      <w:bookmarkStart w:id="612" w:name="_Toc8802"/>
      <w:bookmarkStart w:id="613" w:name="_Toc28046"/>
      <w:bookmarkStart w:id="614" w:name="_Toc27497"/>
      <w:bookmarkStart w:id="615" w:name="_Toc4781"/>
      <w:bookmarkStart w:id="616" w:name="_Toc19993"/>
      <w:bookmarkStart w:id="617" w:name="_Toc24016"/>
      <w:bookmarkStart w:id="618" w:name="_Toc962"/>
      <w:bookmarkStart w:id="619" w:name="_Toc2851"/>
      <w:bookmarkStart w:id="620" w:name="_Toc6251"/>
      <w:bookmarkStart w:id="621" w:name="_Toc517530714"/>
      <w:bookmarkStart w:id="622" w:name="_Toc5522"/>
      <w:bookmarkStart w:id="623" w:name="_Toc23926"/>
      <w:bookmarkStart w:id="624" w:name="_Toc32461"/>
      <w:bookmarkStart w:id="625" w:name="_Toc30508"/>
      <w:bookmarkStart w:id="626" w:name="_Toc22852"/>
      <w:bookmarkStart w:id="627" w:name="_Toc517531990"/>
      <w:bookmarkStart w:id="628" w:name="_Toc26636"/>
      <w:bookmarkStart w:id="629" w:name="_Toc8690"/>
      <w:r>
        <w:rPr>
          <w:rFonts w:hint="eastAsia" w:ascii="宋体" w:hAnsi="宋体" w:cs="宋体"/>
          <w:b/>
          <w:bCs/>
          <w:color w:val="auto"/>
          <w:sz w:val="24"/>
          <w:szCs w:val="24"/>
          <w:highlight w:val="none"/>
        </w:rPr>
        <w:t>1.6.3补充图纸</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监理人有权根据合同约定随时向承包人发出为满足本合同工程的实施和修复所需的补充图纸和指令，承包人应予执行，并受其约束。</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630" w:name="_Toc517530715"/>
      <w:bookmarkStart w:id="631" w:name="_Toc12896"/>
      <w:bookmarkStart w:id="632" w:name="_Toc20745"/>
      <w:bookmarkStart w:id="633" w:name="_Toc3736"/>
      <w:bookmarkStart w:id="634" w:name="_Toc14981"/>
      <w:bookmarkStart w:id="635" w:name="_Toc261"/>
      <w:bookmarkStart w:id="636" w:name="_Toc26396"/>
      <w:bookmarkStart w:id="637" w:name="_Toc3535"/>
      <w:bookmarkStart w:id="638" w:name="_Toc1205"/>
      <w:bookmarkStart w:id="639" w:name="_Toc13590"/>
      <w:bookmarkStart w:id="640" w:name="_Toc1830"/>
      <w:bookmarkStart w:id="641" w:name="_Toc17623"/>
      <w:bookmarkStart w:id="642" w:name="_Toc29829"/>
      <w:bookmarkStart w:id="643" w:name="_Toc26226"/>
      <w:bookmarkStart w:id="644" w:name="_Toc16094"/>
      <w:bookmarkStart w:id="645" w:name="_Toc22754"/>
      <w:bookmarkStart w:id="646" w:name="_Toc517531991"/>
      <w:bookmarkStart w:id="647" w:name="_Toc16093"/>
      <w:bookmarkStart w:id="648" w:name="_Toc30330"/>
      <w:bookmarkStart w:id="649" w:name="_Toc29685"/>
      <w:r>
        <w:rPr>
          <w:rFonts w:hint="eastAsia" w:ascii="宋体" w:hAnsi="宋体" w:cs="宋体"/>
          <w:b/>
          <w:bCs/>
          <w:color w:val="auto"/>
          <w:sz w:val="24"/>
          <w:szCs w:val="24"/>
          <w:highlight w:val="none"/>
        </w:rPr>
        <w:t>1.6.4提交图纸延误</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在施工过程中，监理人如未在合理的时间内提供进一步施工所需要的图纸和指令，且有可能因此打乱工程计划延误工期时，承包人应向监理人发出通知，并抄送发包人，提出所需的图纸或指令、需要的时间和理由，以及说明由于图纸或指令延误可能造成的影响和损失。</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如因监理人未能在合理的时间内向承包人提供所需图纸、发出指令而造成承包人施工进度拖延和费用增加，则监理人在与承包人协商并报发包人批准后，承包人有权获得：</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(a)根据第7.6.1、7.6.2、7.6.3条规定承包人应得的延长工期；</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(b)应该加到合同价格上的费用款额；</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并通知承包人，抄送发包人。</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如果监理人未能在合理时间内提供图纸或发出指令，是因为承包人未能按照合同规定提交应该提交的图纸、技术规范或其他技术资料所致，则监理人在根据前款规定作出确定时应考虑上述因素。</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650" w:name="_Toc517530716"/>
      <w:bookmarkStart w:id="651" w:name="_Toc1651"/>
      <w:bookmarkStart w:id="652" w:name="_Toc19363"/>
      <w:bookmarkStart w:id="653" w:name="_Toc135"/>
      <w:bookmarkStart w:id="654" w:name="_Toc24595"/>
      <w:bookmarkStart w:id="655" w:name="_Toc6350"/>
      <w:bookmarkStart w:id="656" w:name="_Toc18610"/>
      <w:bookmarkStart w:id="657" w:name="_Toc2182"/>
      <w:bookmarkStart w:id="658" w:name="_Toc31716"/>
      <w:bookmarkStart w:id="659" w:name="_Toc8318"/>
      <w:bookmarkStart w:id="660" w:name="_Toc640"/>
      <w:bookmarkStart w:id="661" w:name="_Toc22625"/>
      <w:bookmarkStart w:id="662" w:name="_Toc12691"/>
      <w:bookmarkStart w:id="663" w:name="_Toc878"/>
      <w:bookmarkStart w:id="664" w:name="_Toc32458"/>
      <w:bookmarkStart w:id="665" w:name="_Toc9192"/>
      <w:bookmarkStart w:id="666" w:name="_Toc23120"/>
      <w:bookmarkStart w:id="667" w:name="_Toc212"/>
      <w:bookmarkStart w:id="668" w:name="_Toc517531992"/>
      <w:bookmarkStart w:id="669" w:name="_Toc18099"/>
      <w:r>
        <w:rPr>
          <w:rFonts w:hint="eastAsia" w:ascii="宋体" w:hAnsi="宋体" w:cs="宋体"/>
          <w:b/>
          <w:bCs/>
          <w:color w:val="auto"/>
          <w:sz w:val="24"/>
          <w:szCs w:val="24"/>
          <w:highlight w:val="none"/>
        </w:rPr>
        <w:t>1.6.5图纸和承包人文件的保管</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pPr>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除专用合同条款另有约定外，承包人应在施工现场另外保存一套完整的图纸和承包人文件，供发包人、监理人及有关人员进行工程检查时使用。</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r>
        <w:rPr>
          <w:rFonts w:hint="eastAsia" w:ascii="宋体" w:hAnsi="宋体" w:cs="宋体"/>
          <w:b/>
          <w:bCs/>
          <w:color w:val="auto"/>
          <w:sz w:val="24"/>
          <w:szCs w:val="24"/>
          <w:highlight w:val="none"/>
        </w:rPr>
        <w:t>1.6.6竣工图</w:t>
      </w:r>
    </w:p>
    <w:p>
      <w:pPr>
        <w:numPr>
          <w:ilvl w:val="0"/>
          <w:numId w:val="7"/>
        </w:num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除专用条款另有约定外，在本工程竣工验收之前，承包人配合设计人按政府建设行政主管部门及政府档案主管部门有关技术档案管理要求编制整理竣工图，报承包人审核并加盖竣工图章。由承包人报监理人审核后移交给发包人。</w:t>
      </w:r>
    </w:p>
    <w:p>
      <w:pPr>
        <w:numPr>
          <w:ilvl w:val="0"/>
          <w:numId w:val="7"/>
        </w:num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竣工图内容应与工程实物相符，加盖竣工图章，由承包人本工程技术负责人签名，并按规定要求折叠、装订和组卷。承包人应向政府档案主管部门和发包人各提交</w:t>
      </w:r>
      <w:r>
        <w:rPr>
          <w:rFonts w:ascii="宋体" w:hAnsi="宋体" w:cs="宋体"/>
          <w:color w:val="auto"/>
          <w:szCs w:val="21"/>
          <w:highlight w:val="none"/>
          <w:u w:val="single"/>
        </w:rPr>
        <w:t xml:space="preserve">   </w:t>
      </w:r>
      <w:r>
        <w:rPr>
          <w:rFonts w:hint="eastAsia" w:ascii="宋体" w:hAnsi="宋体" w:cs="宋体"/>
          <w:color w:val="auto"/>
          <w:szCs w:val="21"/>
          <w:highlight w:val="none"/>
        </w:rPr>
        <w:t>份竣工图及电子文档（AutoCAD版），交政府档案主管部门的竣工图需要由设计人加盖设计人公章。</w:t>
      </w:r>
    </w:p>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670" w:name="_Toc29745"/>
      <w:bookmarkStart w:id="671" w:name="_Toc29892"/>
      <w:bookmarkStart w:id="672" w:name="_Toc69113929"/>
      <w:bookmarkStart w:id="673" w:name="_Toc3019"/>
      <w:bookmarkStart w:id="674" w:name="_Toc18501"/>
      <w:bookmarkStart w:id="675" w:name="_Toc14199"/>
      <w:bookmarkStart w:id="676" w:name="_Toc19088"/>
      <w:bookmarkStart w:id="677" w:name="_Toc465237079"/>
      <w:bookmarkStart w:id="678" w:name="_Toc1889"/>
      <w:bookmarkStart w:id="679" w:name="_Toc24772"/>
      <w:bookmarkStart w:id="680" w:name="_Toc465237177"/>
      <w:bookmarkStart w:id="681" w:name="_Toc23368"/>
      <w:bookmarkStart w:id="682" w:name="_Toc13451"/>
      <w:bookmarkStart w:id="683" w:name="_Toc3188"/>
      <w:bookmarkStart w:id="684" w:name="_Toc517528648"/>
      <w:bookmarkStart w:id="685" w:name="_Toc23720"/>
      <w:bookmarkStart w:id="686" w:name="_Toc517530717"/>
      <w:bookmarkStart w:id="687" w:name="_Toc28403"/>
      <w:bookmarkStart w:id="688" w:name="_Toc16380"/>
      <w:bookmarkStart w:id="689" w:name="_Toc10890"/>
      <w:bookmarkStart w:id="690" w:name="_Toc30644"/>
      <w:bookmarkStart w:id="691" w:name="_Toc30779"/>
      <w:bookmarkStart w:id="692" w:name="_Toc2254"/>
      <w:bookmarkStart w:id="693" w:name="_Toc517531993"/>
      <w:bookmarkStart w:id="694" w:name="_Toc337558733"/>
      <w:bookmarkStart w:id="695" w:name="_Toc296503033"/>
      <w:bookmarkStart w:id="696" w:name="_Toc296346534"/>
      <w:r>
        <w:rPr>
          <w:rFonts w:hint="eastAsia" w:ascii="宋体" w:hAnsi="宋体" w:cs="宋体"/>
          <w:b/>
          <w:bCs/>
          <w:color w:val="auto"/>
          <w:sz w:val="28"/>
          <w:szCs w:val="28"/>
          <w:highlight w:val="none"/>
        </w:rPr>
        <w:t>1.7联络</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697" w:name="_Toc18265"/>
      <w:bookmarkStart w:id="698" w:name="_Toc237"/>
      <w:bookmarkStart w:id="699" w:name="_Toc10926"/>
      <w:bookmarkStart w:id="700" w:name="_Toc10827"/>
      <w:bookmarkStart w:id="701" w:name="_Toc10397"/>
      <w:bookmarkStart w:id="702" w:name="_Toc22719"/>
      <w:bookmarkStart w:id="703" w:name="_Toc9735"/>
      <w:bookmarkStart w:id="704" w:name="_Toc31479"/>
      <w:bookmarkStart w:id="705" w:name="_Toc517531994"/>
      <w:bookmarkStart w:id="706" w:name="_Toc20847"/>
      <w:bookmarkStart w:id="707" w:name="_Toc15900"/>
      <w:bookmarkStart w:id="708" w:name="_Toc13349"/>
      <w:bookmarkStart w:id="709" w:name="_Toc517530718"/>
      <w:bookmarkStart w:id="710" w:name="_Toc29229"/>
      <w:bookmarkStart w:id="711" w:name="_Toc15163"/>
      <w:bookmarkStart w:id="712" w:name="_Toc10390"/>
      <w:bookmarkStart w:id="713" w:name="_Toc29061"/>
      <w:bookmarkStart w:id="714" w:name="_Toc2341"/>
      <w:bookmarkStart w:id="715" w:name="_Toc8077"/>
      <w:bookmarkStart w:id="716" w:name="_Toc30505"/>
      <w:r>
        <w:rPr>
          <w:rFonts w:hint="eastAsia" w:ascii="宋体" w:hAnsi="宋体" w:cs="宋体"/>
          <w:b/>
          <w:bCs/>
          <w:color w:val="auto"/>
          <w:sz w:val="24"/>
          <w:szCs w:val="24"/>
          <w:highlight w:val="none"/>
        </w:rPr>
        <w:t>1.7.1书面通知</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除另有规定外，在合同中任何单位或个人作出的意思表示均应采用书面形式且不应被无理扣压或拖延。收件方应在回执上签署姓名和收到时间。</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717" w:name="_Toc26335"/>
      <w:bookmarkStart w:id="718" w:name="_Toc30289"/>
      <w:bookmarkStart w:id="719" w:name="_Toc9931"/>
      <w:bookmarkStart w:id="720" w:name="_Toc21794"/>
      <w:bookmarkStart w:id="721" w:name="_Toc21511"/>
      <w:bookmarkStart w:id="722" w:name="_Toc20597"/>
      <w:bookmarkStart w:id="723" w:name="_Toc8270"/>
      <w:bookmarkStart w:id="724" w:name="_Toc27484"/>
      <w:bookmarkStart w:id="725" w:name="_Toc14802"/>
      <w:bookmarkStart w:id="726" w:name="_Toc6222"/>
      <w:bookmarkStart w:id="727" w:name="_Toc24533"/>
      <w:bookmarkStart w:id="728" w:name="_Toc13627"/>
      <w:bookmarkStart w:id="729" w:name="_Toc21703"/>
      <w:bookmarkStart w:id="730" w:name="_Toc30316"/>
      <w:bookmarkStart w:id="731" w:name="_Toc517531995"/>
      <w:bookmarkStart w:id="732" w:name="_Toc17534"/>
      <w:bookmarkStart w:id="733" w:name="_Toc15180"/>
      <w:bookmarkStart w:id="734" w:name="_Toc517530719"/>
      <w:bookmarkStart w:id="735" w:name="_Toc4006"/>
      <w:bookmarkStart w:id="736" w:name="_Toc31095"/>
      <w:r>
        <w:rPr>
          <w:rFonts w:hint="eastAsia" w:ascii="宋体" w:hAnsi="宋体" w:cs="宋体"/>
          <w:b/>
          <w:bCs/>
          <w:color w:val="auto"/>
          <w:sz w:val="24"/>
          <w:szCs w:val="24"/>
          <w:highlight w:val="none"/>
        </w:rPr>
        <w:t>1.7.2通知的送达</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根据本合同条款由发包人或监理人发给承包人的一切证书、通知或指令均应通过书面形式发送到专用合同条款中指定的项目</w:t>
      </w:r>
      <w:r>
        <w:rPr>
          <w:rFonts w:ascii="宋体" w:hAnsi="宋体" w:cs="宋体"/>
          <w:color w:val="auto"/>
          <w:szCs w:val="21"/>
          <w:highlight w:val="none"/>
        </w:rPr>
        <w:t>经理或联系人地址</w:t>
      </w:r>
      <w:r>
        <w:rPr>
          <w:rFonts w:hint="eastAsia" w:ascii="宋体" w:hAnsi="宋体" w:cs="宋体"/>
          <w:color w:val="auto"/>
          <w:szCs w:val="21"/>
          <w:highlight w:val="none"/>
        </w:rPr>
        <w:t>。</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承包人根据本合同条款致发包人或监理人的通知均应通过书面形式送达专用合同条款中指定的地址。</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737" w:name="_Toc20960"/>
      <w:bookmarkStart w:id="738" w:name="_Toc13029"/>
      <w:bookmarkStart w:id="739" w:name="_Toc7470"/>
      <w:bookmarkStart w:id="740" w:name="_Toc25062"/>
      <w:bookmarkStart w:id="741" w:name="_Toc4034"/>
      <w:bookmarkStart w:id="742" w:name="_Toc28591"/>
      <w:bookmarkStart w:id="743" w:name="_Toc26603"/>
      <w:bookmarkStart w:id="744" w:name="_Toc5274"/>
      <w:bookmarkStart w:id="745" w:name="_Toc2499"/>
      <w:bookmarkStart w:id="746" w:name="_Toc14989"/>
      <w:bookmarkStart w:id="747" w:name="_Toc18701"/>
      <w:bookmarkStart w:id="748" w:name="_Toc16190"/>
      <w:bookmarkStart w:id="749" w:name="_Toc8575"/>
      <w:bookmarkStart w:id="750" w:name="_Toc18533"/>
      <w:bookmarkStart w:id="751" w:name="_Toc517531996"/>
      <w:bookmarkStart w:id="752" w:name="_Toc9894"/>
      <w:bookmarkStart w:id="753" w:name="_Toc16262"/>
      <w:bookmarkStart w:id="754" w:name="_Toc517530720"/>
      <w:bookmarkStart w:id="755" w:name="_Toc19632"/>
      <w:bookmarkStart w:id="756" w:name="_Toc2080"/>
      <w:r>
        <w:rPr>
          <w:rFonts w:hint="eastAsia" w:ascii="宋体" w:hAnsi="宋体" w:cs="宋体"/>
          <w:b/>
          <w:bCs/>
          <w:color w:val="auto"/>
          <w:sz w:val="24"/>
          <w:szCs w:val="24"/>
          <w:highlight w:val="none"/>
        </w:rPr>
        <w:t>1.7.3送达地址的变更</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合同双方提前以书面形式通知对方可更改联系地址，并抄送监理人。监理人事先通知合同双方，也可更改其地址。</w:t>
      </w:r>
    </w:p>
    <w:bookmarkEnd w:id="694"/>
    <w:bookmarkEnd w:id="695"/>
    <w:bookmarkEnd w:id="696"/>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757" w:name="_Toc23209"/>
      <w:bookmarkStart w:id="758" w:name="_Toc8050"/>
      <w:bookmarkStart w:id="759" w:name="_Toc14254"/>
      <w:bookmarkStart w:id="760" w:name="_Toc7482"/>
      <w:bookmarkStart w:id="761" w:name="_Toc16972"/>
      <w:bookmarkStart w:id="762" w:name="_Toc17217"/>
      <w:bookmarkStart w:id="763" w:name="_Toc10143"/>
      <w:bookmarkStart w:id="764" w:name="_Toc17566"/>
      <w:bookmarkStart w:id="765" w:name="_Toc517528649"/>
      <w:bookmarkStart w:id="766" w:name="_Toc517530721"/>
      <w:bookmarkStart w:id="767" w:name="_Toc517531997"/>
      <w:bookmarkStart w:id="768" w:name="_Toc1088"/>
      <w:bookmarkStart w:id="769" w:name="_Toc465237178"/>
      <w:bookmarkStart w:id="770" w:name="_Toc3381"/>
      <w:bookmarkStart w:id="771" w:name="_Toc17724"/>
      <w:bookmarkStart w:id="772" w:name="_Toc465237080"/>
      <w:bookmarkStart w:id="773" w:name="_Toc27893"/>
      <w:bookmarkStart w:id="774" w:name="_Toc22274"/>
      <w:bookmarkStart w:id="775" w:name="_Toc27061"/>
      <w:bookmarkStart w:id="776" w:name="_Toc6541"/>
      <w:bookmarkStart w:id="777" w:name="_Toc8231"/>
      <w:bookmarkStart w:id="778" w:name="_Toc29392"/>
      <w:bookmarkStart w:id="779" w:name="_Toc23290"/>
      <w:bookmarkStart w:id="780" w:name="_Toc69113930"/>
      <w:bookmarkStart w:id="781" w:name="_Toc337558734"/>
      <w:bookmarkStart w:id="782" w:name="_Toc296503035"/>
      <w:bookmarkStart w:id="783" w:name="_Toc296346536"/>
      <w:r>
        <w:rPr>
          <w:rFonts w:hint="eastAsia" w:ascii="宋体" w:hAnsi="宋体" w:cs="宋体"/>
          <w:b/>
          <w:bCs/>
          <w:color w:val="auto"/>
          <w:sz w:val="28"/>
          <w:szCs w:val="28"/>
          <w:highlight w:val="none"/>
        </w:rPr>
        <w:t>1.8严禁商业贿赂</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r>
        <w:rPr>
          <w:rFonts w:hint="eastAsia" w:ascii="宋体" w:hAnsi="宋体" w:cs="宋体"/>
          <w:b/>
          <w:bCs/>
          <w:color w:val="auto"/>
          <w:sz w:val="28"/>
          <w:szCs w:val="28"/>
          <w:highlight w:val="none"/>
        </w:rPr>
        <w:t>、欺诈</w:t>
      </w:r>
      <w:bookmarkEnd w:id="780"/>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如果承包人在合同实施过程中有商业贿赂或欺诈行为，用行贿、送礼或其他不正当手段企图获得或已经获得额外费用，如经查实将追究有关单位和人员的法律责任，因承包人的上述行为造成工程损害、发包人经济损失等，承包人应承担一切责任，并予赔偿。情节严重者，发包人有权终止承包人在本合同项下的承包，本合同条款第16.2条的各项规定将随之适用。本条款中</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（a）“商业贿赂行为”是指在合同履行期间，通过提供、给予、接受或索要任何财产或财产性利益或其他法律禁止的行为从而影响公职人员、监理及其他服务本项目的第三方机构工作的行为；</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（b）“欺诈行为”是指通过提供虚假证明材料影响合同履行从而损害发包人、业主或第三人利益的行为。</w:t>
      </w:r>
    </w:p>
    <w:bookmarkEnd w:id="781"/>
    <w:bookmarkEnd w:id="782"/>
    <w:bookmarkEnd w:id="783"/>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784" w:name="_Toc465237081"/>
      <w:bookmarkStart w:id="785" w:name="_Toc465237179"/>
      <w:bookmarkStart w:id="786" w:name="_Toc23875"/>
      <w:bookmarkStart w:id="787" w:name="_Toc3598"/>
      <w:bookmarkStart w:id="788" w:name="_Toc25"/>
      <w:bookmarkStart w:id="789" w:name="_Toc29346"/>
      <w:bookmarkStart w:id="790" w:name="_Toc69113931"/>
      <w:bookmarkStart w:id="791" w:name="_Toc11120"/>
      <w:bookmarkStart w:id="792" w:name="_Toc30545"/>
      <w:bookmarkStart w:id="793" w:name="_Toc517528650"/>
      <w:bookmarkStart w:id="794" w:name="_Toc5007"/>
      <w:bookmarkStart w:id="795" w:name="_Toc2614"/>
      <w:bookmarkStart w:id="796" w:name="_Toc22037"/>
      <w:bookmarkStart w:id="797" w:name="_Toc32098"/>
      <w:bookmarkStart w:id="798" w:name="_Toc28920"/>
      <w:bookmarkStart w:id="799" w:name="_Toc31902"/>
      <w:bookmarkStart w:id="800" w:name="_Toc26450"/>
      <w:bookmarkStart w:id="801" w:name="_Toc3872"/>
      <w:bookmarkStart w:id="802" w:name="_Toc18202"/>
      <w:bookmarkStart w:id="803" w:name="_Toc1260"/>
      <w:bookmarkStart w:id="804" w:name="_Toc4120"/>
      <w:bookmarkStart w:id="805" w:name="_Toc517530722"/>
      <w:bookmarkStart w:id="806" w:name="_Toc3776"/>
      <w:bookmarkStart w:id="807" w:name="_Toc517531998"/>
      <w:bookmarkStart w:id="808" w:name="_Toc296503036"/>
      <w:bookmarkStart w:id="809" w:name="_Toc337558735"/>
      <w:bookmarkStart w:id="810" w:name="_Toc296346537"/>
      <w:r>
        <w:rPr>
          <w:rFonts w:hint="eastAsia" w:ascii="宋体" w:hAnsi="宋体" w:cs="宋体"/>
          <w:b/>
          <w:bCs/>
          <w:color w:val="auto"/>
          <w:sz w:val="28"/>
          <w:szCs w:val="28"/>
          <w:highlight w:val="none"/>
        </w:rPr>
        <w:t>1.9文物</w:t>
      </w:r>
      <w:bookmarkEnd w:id="784"/>
      <w:bookmarkEnd w:id="785"/>
      <w:r>
        <w:rPr>
          <w:rFonts w:hint="eastAsia" w:ascii="宋体" w:hAnsi="宋体" w:cs="宋体"/>
          <w:b/>
          <w:bCs/>
          <w:color w:val="auto"/>
          <w:sz w:val="28"/>
          <w:szCs w:val="28"/>
          <w:highlight w:val="none"/>
        </w:rPr>
        <w:t>、化石与遗迹</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pPr>
        <w:autoSpaceDE w:val="0"/>
        <w:autoSpaceDN w:val="0"/>
        <w:adjustRightInd w:val="0"/>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pPr>
        <w:autoSpaceDE w:val="0"/>
        <w:autoSpaceDN w:val="0"/>
        <w:adjustRightInd w:val="0"/>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发包人、监理人和承包人应按有关政府行政管理部门要求采取妥善的保护措施，由此增加的费用和（或）延误的工期由发包人承担。</w:t>
      </w:r>
    </w:p>
    <w:p>
      <w:pPr>
        <w:autoSpaceDE w:val="0"/>
        <w:autoSpaceDN w:val="0"/>
        <w:adjustRightInd w:val="0"/>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承包人发现文物后不及时报告或隐瞒不报，致使文物丢失或损坏的，应赔偿损失，并承担相应的法律责任。</w:t>
      </w:r>
    </w:p>
    <w:bookmarkEnd w:id="808"/>
    <w:bookmarkEnd w:id="809"/>
    <w:bookmarkEnd w:id="810"/>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811" w:name="_Toc18023"/>
      <w:bookmarkStart w:id="812" w:name="_Toc28740"/>
      <w:bookmarkStart w:id="813" w:name="_Toc11594"/>
      <w:bookmarkStart w:id="814" w:name="_Toc23806"/>
      <w:bookmarkStart w:id="815" w:name="_Toc32239"/>
      <w:bookmarkStart w:id="816" w:name="_Toc69113932"/>
      <w:bookmarkStart w:id="817" w:name="_Toc18012"/>
      <w:bookmarkStart w:id="818" w:name="_Toc28286"/>
      <w:bookmarkStart w:id="819" w:name="_Toc517528651"/>
      <w:bookmarkStart w:id="820" w:name="_Toc11835"/>
      <w:bookmarkStart w:id="821" w:name="_Toc6985"/>
      <w:bookmarkStart w:id="822" w:name="_Toc24056"/>
      <w:bookmarkStart w:id="823" w:name="_Toc465237180"/>
      <w:bookmarkStart w:id="824" w:name="_Toc465237082"/>
      <w:bookmarkStart w:id="825" w:name="_Toc517531999"/>
      <w:bookmarkStart w:id="826" w:name="_Toc6835"/>
      <w:bookmarkStart w:id="827" w:name="_Toc23397"/>
      <w:bookmarkStart w:id="828" w:name="_Toc29255"/>
      <w:bookmarkStart w:id="829" w:name="_Toc517530723"/>
      <w:bookmarkStart w:id="830" w:name="_Toc7892"/>
      <w:bookmarkStart w:id="831" w:name="_Toc6958"/>
      <w:bookmarkStart w:id="832" w:name="_Toc16600"/>
      <w:bookmarkStart w:id="833" w:name="_Toc1612"/>
      <w:bookmarkStart w:id="834" w:name="_Toc12018"/>
      <w:bookmarkStart w:id="835" w:name="_Toc337558736"/>
      <w:r>
        <w:rPr>
          <w:rFonts w:hint="eastAsia" w:ascii="宋体" w:hAnsi="宋体" w:cs="宋体"/>
          <w:b/>
          <w:bCs/>
          <w:color w:val="auto"/>
          <w:sz w:val="28"/>
          <w:szCs w:val="28"/>
          <w:highlight w:val="none"/>
        </w:rPr>
        <w:t>1.10交通运输</w: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836" w:name="_Toc517532000"/>
      <w:bookmarkStart w:id="837" w:name="_Toc20696"/>
      <w:bookmarkStart w:id="838" w:name="_Toc20520"/>
      <w:bookmarkStart w:id="839" w:name="_Toc7511"/>
      <w:bookmarkStart w:id="840" w:name="_Toc25761"/>
      <w:bookmarkStart w:id="841" w:name="_Toc10434"/>
      <w:bookmarkStart w:id="842" w:name="_Toc5240"/>
      <w:bookmarkStart w:id="843" w:name="_Toc14402"/>
      <w:bookmarkStart w:id="844" w:name="_Toc1449"/>
      <w:bookmarkStart w:id="845" w:name="_Toc25833"/>
      <w:bookmarkStart w:id="846" w:name="_Toc517530724"/>
      <w:bookmarkStart w:id="847" w:name="_Toc17311"/>
      <w:bookmarkStart w:id="848" w:name="_Toc16352"/>
      <w:bookmarkStart w:id="849" w:name="_Toc377"/>
      <w:bookmarkStart w:id="850" w:name="_Toc2923"/>
      <w:bookmarkStart w:id="851" w:name="_Toc15194"/>
      <w:bookmarkStart w:id="852" w:name="_Toc22844"/>
      <w:bookmarkStart w:id="853" w:name="_Toc25545"/>
      <w:bookmarkStart w:id="854" w:name="_Toc32174"/>
      <w:bookmarkStart w:id="855" w:name="_Toc14708"/>
      <w:r>
        <w:rPr>
          <w:rFonts w:hint="eastAsia" w:ascii="宋体" w:hAnsi="宋体" w:cs="宋体"/>
          <w:b/>
          <w:bCs/>
          <w:color w:val="auto"/>
          <w:sz w:val="24"/>
          <w:szCs w:val="24"/>
          <w:highlight w:val="none"/>
        </w:rPr>
        <w:t>1.10.1避免损坏道路</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pPr>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承包人应审慎选择运输路线和运输车辆，采取前置限制和分配载运重量等一切合理措施，防止承包人或其分包人的运输车辆因超过载重限制或操作不当而损坏所通行的道路或桥梁。大型施工装备和超重件的运输，应事先取得公路管理部门的许可方能启运。如果采用上述措施后，仍超过所通行的桥梁或道路的载重限制而又必须通过时，除合同另有规定外，承包人应与公路管理部门协商，取得同意和协助，并承担所通行路线上的桥梁加固或改建、道路改线或改善及其他特殊许可的费用。发包人不承担上述费用以及由于承包人原因而引起的一切费用或赔偿责任。</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承包人在实施和完成本合同工程及缺陷修复工作中的一切施工作业时，应保证发包人免于承担因承包人借用、占用或进出当地道路或其他交通设施所造成的损失，包括但不限于损害赔偿金、违约金、诉讼费、仲裁费、律师费等一切相关费用及损失。</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856" w:name="_Toc3626"/>
      <w:bookmarkStart w:id="857" w:name="_Toc6865"/>
      <w:bookmarkStart w:id="858" w:name="_Toc11694"/>
      <w:bookmarkStart w:id="859" w:name="_Toc28807"/>
      <w:bookmarkStart w:id="860" w:name="_Toc7656"/>
      <w:bookmarkStart w:id="861" w:name="_Toc4683"/>
      <w:bookmarkStart w:id="862" w:name="_Toc11674"/>
      <w:bookmarkStart w:id="863" w:name="_Toc517530725"/>
      <w:bookmarkStart w:id="864" w:name="_Toc5977"/>
      <w:bookmarkStart w:id="865" w:name="_Toc13223"/>
      <w:bookmarkStart w:id="866" w:name="_Toc17638"/>
      <w:bookmarkStart w:id="867" w:name="_Toc18594"/>
      <w:bookmarkStart w:id="868" w:name="_Toc517532001"/>
      <w:bookmarkStart w:id="869" w:name="_Toc16180"/>
      <w:bookmarkStart w:id="870" w:name="_Toc20046"/>
      <w:bookmarkStart w:id="871" w:name="_Toc25517"/>
      <w:bookmarkStart w:id="872" w:name="_Toc11642"/>
      <w:bookmarkStart w:id="873" w:name="_Toc17530"/>
      <w:bookmarkStart w:id="874" w:name="_Toc20921"/>
      <w:bookmarkStart w:id="875" w:name="_Toc15420"/>
      <w:r>
        <w:rPr>
          <w:rFonts w:hint="eastAsia" w:ascii="宋体" w:hAnsi="宋体" w:cs="宋体"/>
          <w:b/>
          <w:bCs/>
          <w:color w:val="auto"/>
          <w:sz w:val="24"/>
          <w:szCs w:val="24"/>
          <w:highlight w:val="none"/>
        </w:rPr>
        <w:t>1.10.2临时道路</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除合同另有规定外，承包人为了出入现场和施工运输，应养护由承包人修建和使用的所有临时道路和桥梁，其费用由承包人承担。</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876" w:name="_Toc11201"/>
      <w:bookmarkStart w:id="877" w:name="_Toc4855"/>
      <w:bookmarkStart w:id="878" w:name="_Toc30877"/>
      <w:bookmarkStart w:id="879" w:name="_Toc26738"/>
      <w:bookmarkStart w:id="880" w:name="_Toc517532002"/>
      <w:bookmarkStart w:id="881" w:name="_Toc16690"/>
      <w:bookmarkStart w:id="882" w:name="_Toc18911"/>
      <w:bookmarkStart w:id="883" w:name="_Toc517530726"/>
      <w:bookmarkStart w:id="884" w:name="_Toc22313"/>
      <w:bookmarkStart w:id="885" w:name="_Toc4838"/>
      <w:bookmarkStart w:id="886" w:name="_Toc19832"/>
      <w:bookmarkStart w:id="887" w:name="_Toc26446"/>
      <w:bookmarkStart w:id="888" w:name="_Toc2573"/>
      <w:bookmarkStart w:id="889" w:name="_Toc23518"/>
      <w:bookmarkStart w:id="890" w:name="_Toc6619"/>
      <w:bookmarkStart w:id="891" w:name="_Toc11386"/>
      <w:bookmarkStart w:id="892" w:name="_Toc22222"/>
      <w:bookmarkStart w:id="893" w:name="_Toc11245"/>
      <w:bookmarkStart w:id="894" w:name="_Toc28077"/>
      <w:bookmarkStart w:id="895" w:name="_Toc8215"/>
      <w:r>
        <w:rPr>
          <w:rFonts w:hint="eastAsia" w:ascii="宋体" w:hAnsi="宋体" w:cs="宋体"/>
          <w:b/>
          <w:bCs/>
          <w:color w:val="auto"/>
          <w:sz w:val="24"/>
          <w:szCs w:val="24"/>
          <w:highlight w:val="none"/>
        </w:rPr>
        <w:t>1.10.3水运</w:t>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在工程性质要求承包人使用水路运输的条件下：“道路”一词的含意包括船闸、码头、海堤或与水路有关的其他结构物；“运输车辆”包括船舶。</w:t>
      </w:r>
    </w:p>
    <w:bookmarkEnd w:id="835"/>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896" w:name="_Toc21009"/>
      <w:bookmarkStart w:id="897" w:name="_Toc6263"/>
      <w:bookmarkStart w:id="898" w:name="_Toc465237083"/>
      <w:bookmarkStart w:id="899" w:name="_Toc9892"/>
      <w:bookmarkStart w:id="900" w:name="_Toc22727"/>
      <w:bookmarkStart w:id="901" w:name="_Toc32439"/>
      <w:bookmarkStart w:id="902" w:name="_Toc517528652"/>
      <w:bookmarkStart w:id="903" w:name="_Toc797"/>
      <w:bookmarkStart w:id="904" w:name="_Toc465237181"/>
      <w:bookmarkStart w:id="905" w:name="_Toc8744"/>
      <w:bookmarkStart w:id="906" w:name="_Toc9307"/>
      <w:bookmarkStart w:id="907" w:name="_Toc24942"/>
      <w:bookmarkStart w:id="908" w:name="_Toc9663"/>
      <w:bookmarkStart w:id="909" w:name="_Toc5677"/>
      <w:bookmarkStart w:id="910" w:name="_Toc18207"/>
      <w:bookmarkStart w:id="911" w:name="_Toc26196"/>
      <w:bookmarkStart w:id="912" w:name="_Toc27425"/>
      <w:bookmarkStart w:id="913" w:name="_Toc20702"/>
      <w:bookmarkStart w:id="914" w:name="_Toc32571"/>
      <w:bookmarkStart w:id="915" w:name="_Toc31390"/>
      <w:bookmarkStart w:id="916" w:name="_Toc25574"/>
      <w:bookmarkStart w:id="917" w:name="_Toc517530727"/>
      <w:bookmarkStart w:id="918" w:name="_Toc69113933"/>
      <w:bookmarkStart w:id="919" w:name="_Toc517532003"/>
      <w:bookmarkStart w:id="920" w:name="_Toc296503037"/>
      <w:bookmarkStart w:id="921" w:name="_Toc296346538"/>
      <w:r>
        <w:rPr>
          <w:rFonts w:hint="eastAsia" w:ascii="宋体" w:hAnsi="宋体" w:cs="宋体"/>
          <w:b/>
          <w:bCs/>
          <w:color w:val="auto"/>
          <w:sz w:val="28"/>
          <w:szCs w:val="28"/>
          <w:highlight w:val="none"/>
        </w:rPr>
        <w:t>1.11知识产权</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pPr>
        <w:autoSpaceDE w:val="0"/>
        <w:autoSpaceDN w:val="0"/>
        <w:adjustRightInd w:val="0"/>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autoSpaceDE w:val="0"/>
        <w:autoSpaceDN w:val="0"/>
        <w:adjustRightInd w:val="0"/>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承包人在实施本合同工程和其缺陷修复过程中所采用的施工工艺、进场的装备和材料、设备等，如果因在其商标、图案、施工工艺、新材料的使用过程中发生侵犯知识产权的行为，并引起索赔或诉讼，则一切与此有关的一切费用和赔偿责任，均由承包人负责。若因此给发包人造成损失，承包人应予以赔偿，赔偿范围包括但不限于损害赔偿金、违约金、诉讼费、仲裁费、律师费等一切相关费用及损失。但凡是因遵守发包人或监理人提供的设计或规范而造成的侵权，则属例外。</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除专用合同条款另有约定外，承包人在合同签订前和签订时已确定采用的专利、专有技术、技术秘密的使用费已包含在签约合同价中。</w:t>
      </w:r>
    </w:p>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922" w:name="_Toc69113934"/>
      <w:r>
        <w:rPr>
          <w:rFonts w:hint="eastAsia" w:ascii="宋体" w:hAnsi="宋体" w:cs="宋体"/>
          <w:b/>
          <w:bCs/>
          <w:color w:val="auto"/>
          <w:sz w:val="28"/>
          <w:szCs w:val="28"/>
          <w:highlight w:val="none"/>
        </w:rPr>
        <w:t>1.1</w:t>
      </w:r>
      <w:r>
        <w:rPr>
          <w:rFonts w:ascii="宋体" w:hAnsi="宋体" w:cs="宋体"/>
          <w:b/>
          <w:bCs/>
          <w:color w:val="auto"/>
          <w:sz w:val="28"/>
          <w:szCs w:val="28"/>
          <w:highlight w:val="none"/>
        </w:rPr>
        <w:t xml:space="preserve">2 </w:t>
      </w:r>
      <w:r>
        <w:rPr>
          <w:rFonts w:hint="eastAsia" w:ascii="宋体" w:hAnsi="宋体" w:cs="宋体"/>
          <w:b/>
          <w:bCs/>
          <w:color w:val="auto"/>
          <w:sz w:val="28"/>
          <w:szCs w:val="28"/>
          <w:highlight w:val="none"/>
        </w:rPr>
        <w:t>BIM应用</w:t>
      </w:r>
      <w:bookmarkEnd w:id="922"/>
    </w:p>
    <w:p>
      <w:pPr>
        <w:spacing w:line="360" w:lineRule="auto"/>
        <w:ind w:firstLine="420" w:firstLineChars="200"/>
        <w:jc w:val="left"/>
        <w:rPr>
          <w:rFonts w:hint="eastAsia" w:ascii="宋体" w:hAnsi="宋体" w:cs="宋体"/>
          <w:color w:val="auto"/>
          <w:szCs w:val="21"/>
          <w:highlight w:val="none"/>
        </w:rPr>
      </w:pPr>
      <w:r>
        <w:rPr>
          <w:rFonts w:hint="eastAsia" w:ascii="宋体" w:hAnsi="宋体"/>
          <w:color w:val="auto"/>
          <w:kern w:val="0"/>
          <w:szCs w:val="24"/>
          <w:highlight w:val="none"/>
        </w:rPr>
        <w:t>合同双方</w:t>
      </w:r>
      <w:r>
        <w:rPr>
          <w:rFonts w:ascii="宋体" w:hAnsi="宋体"/>
          <w:color w:val="auto"/>
          <w:kern w:val="0"/>
          <w:szCs w:val="24"/>
          <w:highlight w:val="none"/>
        </w:rPr>
        <w:t>应在</w:t>
      </w:r>
      <w:r>
        <w:rPr>
          <w:rFonts w:ascii="宋体" w:hAnsi="宋体"/>
          <w:bCs/>
          <w:iCs/>
          <w:color w:val="auto"/>
          <w:kern w:val="0"/>
          <w:szCs w:val="24"/>
          <w:highlight w:val="none"/>
        </w:rPr>
        <w:t>专用条款</w:t>
      </w:r>
      <w:r>
        <w:rPr>
          <w:rFonts w:ascii="宋体" w:hAnsi="宋体"/>
          <w:color w:val="auto"/>
          <w:kern w:val="0"/>
          <w:szCs w:val="24"/>
          <w:highlight w:val="none"/>
        </w:rPr>
        <w:t>中约定本工程使用</w:t>
      </w:r>
      <w:r>
        <w:rPr>
          <w:rFonts w:hint="eastAsia" w:ascii="宋体" w:hAnsi="宋体"/>
          <w:color w:val="auto"/>
          <w:kern w:val="0"/>
          <w:szCs w:val="24"/>
          <w:highlight w:val="none"/>
        </w:rPr>
        <w:t>BIM技术的要求</w:t>
      </w:r>
      <w:r>
        <w:rPr>
          <w:rFonts w:ascii="宋体" w:hAnsi="宋体"/>
          <w:color w:val="auto"/>
          <w:kern w:val="0"/>
          <w:szCs w:val="24"/>
          <w:highlight w:val="none"/>
        </w:rPr>
        <w:t>，</w:t>
      </w:r>
      <w:r>
        <w:rPr>
          <w:rFonts w:hint="eastAsia" w:ascii="宋体" w:hAnsi="宋体"/>
          <w:color w:val="auto"/>
          <w:kern w:val="0"/>
          <w:szCs w:val="24"/>
          <w:highlight w:val="none"/>
        </w:rPr>
        <w:t>除</w:t>
      </w:r>
      <w:r>
        <w:rPr>
          <w:rFonts w:ascii="宋体" w:hAnsi="宋体"/>
          <w:color w:val="auto"/>
          <w:kern w:val="0"/>
          <w:szCs w:val="24"/>
          <w:highlight w:val="none"/>
        </w:rPr>
        <w:t>专用条款另有约定外，</w:t>
      </w:r>
      <w:r>
        <w:rPr>
          <w:rFonts w:hint="eastAsia" w:ascii="宋体" w:hAnsi="宋体"/>
          <w:color w:val="auto"/>
          <w:kern w:val="0"/>
          <w:szCs w:val="24"/>
          <w:highlight w:val="none"/>
        </w:rPr>
        <w:t>相关费用已包含在签约合同价“其他”项目中。</w:t>
      </w:r>
    </w:p>
    <w:bookmarkEnd w:id="920"/>
    <w:bookmarkEnd w:id="921"/>
    <w:p>
      <w:pPr>
        <w:keepNext/>
        <w:keepLines/>
        <w:spacing w:before="156" w:beforeLines="50" w:after="156" w:afterLines="50" w:line="360" w:lineRule="auto"/>
        <w:ind w:firstLine="600" w:firstLineChars="200"/>
        <w:outlineLvl w:val="1"/>
        <w:rPr>
          <w:rFonts w:hint="eastAsia" w:ascii="宋体" w:hAnsi="宋体" w:cs="宋体"/>
          <w:b/>
          <w:bCs/>
          <w:color w:val="auto"/>
          <w:sz w:val="30"/>
          <w:szCs w:val="30"/>
          <w:highlight w:val="none"/>
        </w:rPr>
      </w:pPr>
      <w:bookmarkStart w:id="923" w:name="_Toc351203509"/>
      <w:bookmarkStart w:id="924" w:name="_Toc25625"/>
      <w:bookmarkStart w:id="925" w:name="_Toc517529735"/>
      <w:bookmarkStart w:id="926" w:name="_Toc23202"/>
      <w:bookmarkStart w:id="927" w:name="_Toc465237084"/>
      <w:bookmarkStart w:id="928" w:name="_Toc5320"/>
      <w:bookmarkStart w:id="929" w:name="_Toc397"/>
      <w:bookmarkStart w:id="930" w:name="_Toc465237182"/>
      <w:bookmarkStart w:id="931" w:name="_Toc8940"/>
      <w:bookmarkStart w:id="932" w:name="_Toc6607"/>
      <w:bookmarkStart w:id="933" w:name="_Toc8749"/>
      <w:bookmarkStart w:id="934" w:name="_Toc517530728"/>
      <w:bookmarkStart w:id="935" w:name="_Toc6976"/>
      <w:bookmarkStart w:id="936" w:name="_Toc23113"/>
      <w:bookmarkStart w:id="937" w:name="_Toc4803"/>
      <w:bookmarkStart w:id="938" w:name="_Toc7208"/>
      <w:bookmarkStart w:id="939" w:name="_Toc517528653"/>
      <w:bookmarkStart w:id="940" w:name="_Toc21858"/>
      <w:bookmarkStart w:id="941" w:name="_Toc2891"/>
      <w:bookmarkStart w:id="942" w:name="_Toc11109"/>
      <w:bookmarkStart w:id="943" w:name="_Toc517532004"/>
      <w:bookmarkStart w:id="944" w:name="_Toc69113935"/>
      <w:bookmarkStart w:id="945" w:name="_Toc4727"/>
      <w:bookmarkStart w:id="946" w:name="_Toc9323"/>
      <w:bookmarkStart w:id="947" w:name="_Toc1130"/>
      <w:bookmarkStart w:id="948" w:name="_Toc29911"/>
      <w:bookmarkStart w:id="949" w:name="_Toc296346539"/>
      <w:bookmarkStart w:id="950" w:name="_Toc337558739"/>
      <w:bookmarkStart w:id="951" w:name="_Toc296503038"/>
      <w:bookmarkStart w:id="952" w:name="OLE_LINK2"/>
      <w:bookmarkStart w:id="953" w:name="OLE_LINK1"/>
      <w:r>
        <w:rPr>
          <w:rFonts w:hint="eastAsia" w:ascii="宋体" w:hAnsi="宋体" w:cs="宋体"/>
          <w:b/>
          <w:bCs/>
          <w:color w:val="auto"/>
          <w:sz w:val="30"/>
          <w:szCs w:val="30"/>
          <w:highlight w:val="none"/>
        </w:rPr>
        <w:t>2.</w:t>
      </w:r>
      <w:bookmarkEnd w:id="923"/>
      <w:r>
        <w:rPr>
          <w:rFonts w:hint="eastAsia" w:ascii="宋体" w:hAnsi="宋体" w:cs="宋体"/>
          <w:b/>
          <w:bCs/>
          <w:color w:val="auto"/>
          <w:sz w:val="30"/>
          <w:szCs w:val="30"/>
          <w:highlight w:val="none"/>
        </w:rPr>
        <w:t xml:space="preserve"> 发包人</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p>
    <w:bookmarkEnd w:id="949"/>
    <w:bookmarkEnd w:id="950"/>
    <w:bookmarkEnd w:id="951"/>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954" w:name="_Toc27660"/>
      <w:bookmarkStart w:id="955" w:name="_Toc11682"/>
      <w:bookmarkStart w:id="956" w:name="_Toc465237085"/>
      <w:bookmarkStart w:id="957" w:name="_Toc20086"/>
      <w:bookmarkStart w:id="958" w:name="_Toc186"/>
      <w:bookmarkStart w:id="959" w:name="_Toc19412"/>
      <w:bookmarkStart w:id="960" w:name="_Toc26930"/>
      <w:bookmarkStart w:id="961" w:name="_Toc2890"/>
      <w:bookmarkStart w:id="962" w:name="_Toc465237183"/>
      <w:bookmarkStart w:id="963" w:name="_Toc8336"/>
      <w:bookmarkStart w:id="964" w:name="_Toc460"/>
      <w:bookmarkStart w:id="965" w:name="_Toc6657"/>
      <w:bookmarkStart w:id="966" w:name="_Toc6970"/>
      <w:bookmarkStart w:id="967" w:name="_Toc18998"/>
      <w:bookmarkStart w:id="968" w:name="_Toc10454"/>
      <w:bookmarkStart w:id="969" w:name="_Toc517528654"/>
      <w:bookmarkStart w:id="970" w:name="_Toc20037"/>
      <w:bookmarkStart w:id="971" w:name="_Toc21977"/>
      <w:bookmarkStart w:id="972" w:name="_Toc69113936"/>
      <w:bookmarkStart w:id="973" w:name="_Toc517532005"/>
      <w:bookmarkStart w:id="974" w:name="_Toc21747"/>
      <w:bookmarkStart w:id="975" w:name="_Toc10845"/>
      <w:bookmarkStart w:id="976" w:name="_Toc11157"/>
      <w:bookmarkStart w:id="977" w:name="_Toc517530729"/>
      <w:bookmarkStart w:id="978" w:name="_Toc296346540"/>
      <w:bookmarkStart w:id="979" w:name="_Toc296503039"/>
      <w:bookmarkStart w:id="980" w:name="_Toc337558740"/>
      <w:r>
        <w:rPr>
          <w:rFonts w:hint="eastAsia" w:ascii="宋体" w:hAnsi="宋体" w:cs="宋体"/>
          <w:b/>
          <w:bCs/>
          <w:color w:val="auto"/>
          <w:sz w:val="28"/>
          <w:szCs w:val="28"/>
          <w:highlight w:val="none"/>
        </w:rPr>
        <w:t>2.1</w:t>
      </w:r>
      <w:bookmarkEnd w:id="954"/>
      <w:bookmarkEnd w:id="955"/>
      <w:bookmarkEnd w:id="956"/>
      <w:bookmarkEnd w:id="957"/>
      <w:bookmarkEnd w:id="958"/>
      <w:bookmarkEnd w:id="959"/>
      <w:bookmarkEnd w:id="960"/>
      <w:bookmarkEnd w:id="961"/>
      <w:bookmarkEnd w:id="962"/>
      <w:bookmarkEnd w:id="963"/>
      <w:bookmarkEnd w:id="964"/>
      <w:r>
        <w:rPr>
          <w:rFonts w:hint="eastAsia" w:ascii="宋体" w:hAnsi="宋体" w:cs="宋体"/>
          <w:b/>
          <w:bCs/>
          <w:color w:val="auto"/>
          <w:sz w:val="28"/>
          <w:szCs w:val="28"/>
          <w:highlight w:val="none"/>
        </w:rPr>
        <w:t>许可或批准</w:t>
      </w:r>
      <w:bookmarkEnd w:id="965"/>
      <w:bookmarkEnd w:id="966"/>
      <w:bookmarkEnd w:id="967"/>
      <w:bookmarkEnd w:id="968"/>
      <w:bookmarkEnd w:id="969"/>
      <w:bookmarkEnd w:id="970"/>
      <w:bookmarkEnd w:id="971"/>
      <w:bookmarkEnd w:id="972"/>
      <w:bookmarkEnd w:id="973"/>
      <w:bookmarkEnd w:id="974"/>
      <w:bookmarkEnd w:id="975"/>
      <w:bookmarkEnd w:id="976"/>
      <w:bookmarkEnd w:id="977"/>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发包人应遵守法律，并办理法律规定由其办理的许可、批准或备案，包括但不限于建设用地规划许可证、建设工程规划许可证、建设工程施工许可证、施工所需的其他许可和批准。</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发包人应协助承包人办理法律规定的有关施工证件和批件。</w:t>
      </w:r>
    </w:p>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981" w:name="_Toc20898"/>
      <w:bookmarkStart w:id="982" w:name="_Toc517530730"/>
      <w:bookmarkStart w:id="983" w:name="_Toc13514"/>
      <w:bookmarkStart w:id="984" w:name="_Toc28801"/>
      <w:bookmarkStart w:id="985" w:name="_Toc31453"/>
      <w:bookmarkStart w:id="986" w:name="_Toc5397"/>
      <w:bookmarkStart w:id="987" w:name="_Toc21500"/>
      <w:bookmarkStart w:id="988" w:name="_Toc2654"/>
      <w:bookmarkStart w:id="989" w:name="_Toc10134"/>
      <w:bookmarkStart w:id="990" w:name="_Toc69113937"/>
      <w:bookmarkStart w:id="991" w:name="_Toc517528655"/>
      <w:bookmarkStart w:id="992" w:name="_Toc28845"/>
      <w:bookmarkStart w:id="993" w:name="_Toc517532006"/>
      <w:r>
        <w:rPr>
          <w:rFonts w:hint="eastAsia" w:ascii="宋体" w:hAnsi="宋体" w:cs="宋体"/>
          <w:b/>
          <w:bCs/>
          <w:color w:val="auto"/>
          <w:sz w:val="28"/>
          <w:szCs w:val="28"/>
          <w:highlight w:val="none"/>
        </w:rPr>
        <w:t>2.2项目主任</w:t>
      </w:r>
      <w:bookmarkEnd w:id="981"/>
      <w:bookmarkEnd w:id="982"/>
      <w:bookmarkEnd w:id="983"/>
      <w:bookmarkEnd w:id="984"/>
      <w:bookmarkEnd w:id="985"/>
      <w:bookmarkEnd w:id="986"/>
      <w:bookmarkEnd w:id="987"/>
      <w:bookmarkEnd w:id="988"/>
      <w:bookmarkEnd w:id="989"/>
      <w:bookmarkEnd w:id="990"/>
      <w:bookmarkEnd w:id="991"/>
      <w:bookmarkEnd w:id="992"/>
      <w:bookmarkEnd w:id="993"/>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项目主任为发包人派驻施工现场履行合同的代表。项目主任的职权：</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（a）审批（审核）工程设计变更；</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（b）批准承包人项目经理及有关人员的调换；</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（c）参与工程质量、安全、投资、进度的管理及各有关协作单位的协调；</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（d）参与审核工程进度款的支付和参与确认工程结算款；</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（e）其它。</w:t>
      </w:r>
    </w:p>
    <w:bookmarkEnd w:id="952"/>
    <w:bookmarkEnd w:id="953"/>
    <w:bookmarkEnd w:id="978"/>
    <w:bookmarkEnd w:id="979"/>
    <w:bookmarkEnd w:id="980"/>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994" w:name="_Toc2323"/>
      <w:bookmarkStart w:id="995" w:name="_Toc26440"/>
      <w:bookmarkStart w:id="996" w:name="_Toc9759"/>
      <w:bookmarkStart w:id="997" w:name="_Toc7316"/>
      <w:bookmarkStart w:id="998" w:name="_Toc30731"/>
      <w:bookmarkStart w:id="999" w:name="_Toc5416"/>
      <w:bookmarkStart w:id="1000" w:name="_Toc30299"/>
      <w:bookmarkStart w:id="1001" w:name="_Toc13605"/>
      <w:bookmarkStart w:id="1002" w:name="_Toc25895"/>
      <w:bookmarkStart w:id="1003" w:name="_Toc7287"/>
      <w:bookmarkStart w:id="1004" w:name="_Toc4261"/>
      <w:bookmarkStart w:id="1005" w:name="_Toc6631"/>
      <w:bookmarkStart w:id="1006" w:name="_Toc9075"/>
      <w:bookmarkStart w:id="1007" w:name="_Toc517528656"/>
      <w:bookmarkStart w:id="1008" w:name="_Toc10022"/>
      <w:bookmarkStart w:id="1009" w:name="_Toc465237186"/>
      <w:bookmarkStart w:id="1010" w:name="_Toc24823"/>
      <w:bookmarkStart w:id="1011" w:name="_Toc517532007"/>
      <w:bookmarkStart w:id="1012" w:name="_Toc16823"/>
      <w:bookmarkStart w:id="1013" w:name="_Toc11351"/>
      <w:bookmarkStart w:id="1014" w:name="_Toc13557"/>
      <w:bookmarkStart w:id="1015" w:name="_Toc517530731"/>
      <w:bookmarkStart w:id="1016" w:name="_Toc69113938"/>
      <w:bookmarkStart w:id="1017" w:name="_Toc465237088"/>
      <w:r>
        <w:rPr>
          <w:rFonts w:hint="eastAsia" w:ascii="宋体" w:hAnsi="宋体" w:cs="宋体"/>
          <w:b/>
          <w:bCs/>
          <w:color w:val="auto"/>
          <w:sz w:val="28"/>
          <w:szCs w:val="28"/>
          <w:highlight w:val="none"/>
        </w:rPr>
        <w:t>2.3履约评价</w:t>
      </w:r>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根据发包人《合同履约评价管理办法》及《合同履约评价实施细则》的有关规定，在本工程履约过程中，发包人将对承包人进行履约评价，评价结果将影响承包人在发包人负责建设的其他项目的投标。</w:t>
      </w:r>
    </w:p>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1018" w:name="_Toc15805"/>
      <w:bookmarkStart w:id="1019" w:name="_Toc4901"/>
      <w:bookmarkStart w:id="1020" w:name="_Toc29927"/>
      <w:bookmarkStart w:id="1021" w:name="_Toc30810"/>
      <w:bookmarkStart w:id="1022" w:name="_Toc16737"/>
      <w:bookmarkStart w:id="1023" w:name="_Toc31520"/>
      <w:bookmarkStart w:id="1024" w:name="_Toc517530732"/>
      <w:bookmarkStart w:id="1025" w:name="_Toc517528657"/>
      <w:bookmarkStart w:id="1026" w:name="_Toc517532008"/>
      <w:bookmarkStart w:id="1027" w:name="_Toc32074"/>
      <w:bookmarkStart w:id="1028" w:name="_Toc21739"/>
      <w:bookmarkStart w:id="1029" w:name="_Toc8360"/>
      <w:bookmarkStart w:id="1030" w:name="_Toc69113939"/>
      <w:r>
        <w:rPr>
          <w:rFonts w:hint="eastAsia" w:ascii="宋体" w:hAnsi="宋体" w:cs="宋体"/>
          <w:b/>
          <w:bCs/>
          <w:color w:val="auto"/>
          <w:sz w:val="28"/>
          <w:szCs w:val="28"/>
          <w:highlight w:val="none"/>
        </w:rPr>
        <w:t>2.4支付合同价款</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发包人应按合同约定向承包人支付合同价款。</w:t>
      </w:r>
    </w:p>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1031" w:name="_Toc28033"/>
      <w:bookmarkStart w:id="1032" w:name="_Toc3572"/>
      <w:bookmarkStart w:id="1033" w:name="_Toc32285"/>
      <w:bookmarkStart w:id="1034" w:name="_Toc9181"/>
      <w:bookmarkStart w:id="1035" w:name="_Toc61"/>
      <w:bookmarkStart w:id="1036" w:name="_Toc22381"/>
      <w:bookmarkStart w:id="1037" w:name="_Toc69113940"/>
      <w:bookmarkStart w:id="1038" w:name="_Toc517528658"/>
      <w:bookmarkStart w:id="1039" w:name="_Toc517532009"/>
      <w:bookmarkStart w:id="1040" w:name="_Toc2700"/>
      <w:bookmarkStart w:id="1041" w:name="_Toc517530733"/>
      <w:bookmarkStart w:id="1042" w:name="_Toc21783"/>
      <w:bookmarkStart w:id="1043" w:name="_Toc9286"/>
      <w:r>
        <w:rPr>
          <w:rFonts w:hint="eastAsia" w:ascii="宋体" w:hAnsi="宋体" w:cs="宋体"/>
          <w:b/>
          <w:bCs/>
          <w:color w:val="auto"/>
          <w:sz w:val="28"/>
          <w:szCs w:val="28"/>
          <w:highlight w:val="none"/>
        </w:rPr>
        <w:t>2.5组织竣工验收</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发包人应按合同约定及时组织竣工验收。</w:t>
      </w:r>
    </w:p>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1044" w:name="_Toc19923"/>
      <w:bookmarkStart w:id="1045" w:name="_Toc5432"/>
      <w:bookmarkStart w:id="1046" w:name="_Toc9555"/>
      <w:bookmarkStart w:id="1047" w:name="_Toc5935"/>
      <w:bookmarkStart w:id="1048" w:name="_Toc5418"/>
      <w:bookmarkStart w:id="1049" w:name="_Toc6002"/>
      <w:bookmarkStart w:id="1050" w:name="_Toc27995"/>
      <w:bookmarkStart w:id="1051" w:name="_Toc517528659"/>
      <w:bookmarkStart w:id="1052" w:name="_Toc517532010"/>
      <w:bookmarkStart w:id="1053" w:name="_Toc517530734"/>
      <w:bookmarkStart w:id="1054" w:name="_Toc13167"/>
      <w:bookmarkStart w:id="1055" w:name="_Toc69113941"/>
      <w:r>
        <w:rPr>
          <w:rFonts w:hint="eastAsia" w:ascii="宋体" w:hAnsi="宋体" w:cs="宋体"/>
          <w:b/>
          <w:bCs/>
          <w:color w:val="auto"/>
          <w:sz w:val="28"/>
          <w:szCs w:val="28"/>
          <w:highlight w:val="none"/>
        </w:rPr>
        <w:t>2.6支付担保的提交与退还</w:t>
      </w:r>
      <w:bookmarkEnd w:id="1044"/>
      <w:bookmarkEnd w:id="1045"/>
      <w:bookmarkEnd w:id="1046"/>
      <w:bookmarkEnd w:id="1047"/>
      <w:bookmarkEnd w:id="1048"/>
      <w:bookmarkEnd w:id="1049"/>
      <w:bookmarkEnd w:id="1050"/>
      <w:bookmarkEnd w:id="1051"/>
      <w:bookmarkEnd w:id="1052"/>
      <w:bookmarkEnd w:id="1053"/>
      <w:bookmarkEnd w:id="1054"/>
      <w:bookmarkEnd w:id="1055"/>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发包人在承包人提交履约担保的同时，向承包人提供本工程支付担保。支付担保的提交与退还按照专用条款的约定执行。</w:t>
      </w:r>
    </w:p>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1056" w:name="_Toc69113942"/>
      <w:r>
        <w:rPr>
          <w:rFonts w:hint="eastAsia" w:ascii="宋体" w:hAnsi="宋体" w:cs="宋体"/>
          <w:b/>
          <w:bCs/>
          <w:color w:val="auto"/>
          <w:sz w:val="28"/>
          <w:szCs w:val="28"/>
          <w:highlight w:val="none"/>
        </w:rPr>
        <w:t>2.</w:t>
      </w:r>
      <w:r>
        <w:rPr>
          <w:rFonts w:ascii="宋体" w:hAnsi="宋体" w:cs="宋体"/>
          <w:b/>
          <w:bCs/>
          <w:color w:val="auto"/>
          <w:sz w:val="28"/>
          <w:szCs w:val="28"/>
          <w:highlight w:val="none"/>
        </w:rPr>
        <w:t>7</w:t>
      </w:r>
      <w:r>
        <w:rPr>
          <w:rFonts w:hint="eastAsia" w:ascii="宋体" w:hAnsi="宋体" w:cs="宋体"/>
          <w:b/>
          <w:bCs/>
          <w:color w:val="auto"/>
          <w:sz w:val="28"/>
          <w:szCs w:val="28"/>
          <w:highlight w:val="none"/>
        </w:rPr>
        <w:t>深化设计</w:t>
      </w:r>
      <w:bookmarkEnd w:id="1056"/>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发包人应明确由承包人负责深化设计的具体范围，并对承包人提交的深化设计图纸等文件进行审核确认。</w:t>
      </w:r>
    </w:p>
    <w:p>
      <w:pPr>
        <w:keepNext/>
        <w:keepLines/>
        <w:spacing w:before="156" w:beforeLines="50" w:after="156" w:afterLines="50" w:line="360" w:lineRule="auto"/>
        <w:ind w:firstLine="600" w:firstLineChars="200"/>
        <w:outlineLvl w:val="1"/>
        <w:rPr>
          <w:rFonts w:hint="eastAsia" w:ascii="宋体" w:hAnsi="宋体" w:cs="宋体"/>
          <w:b/>
          <w:bCs/>
          <w:color w:val="auto"/>
          <w:sz w:val="30"/>
          <w:szCs w:val="30"/>
          <w:highlight w:val="none"/>
        </w:rPr>
      </w:pPr>
      <w:bookmarkStart w:id="1057" w:name="_Toc351203518"/>
      <w:bookmarkStart w:id="1058" w:name="_Toc57"/>
      <w:bookmarkStart w:id="1059" w:name="_Toc19659"/>
      <w:bookmarkStart w:id="1060" w:name="_Toc2398"/>
      <w:bookmarkStart w:id="1061" w:name="_Toc11278"/>
      <w:bookmarkStart w:id="1062" w:name="_Toc4273"/>
      <w:bookmarkStart w:id="1063" w:name="_Toc517528660"/>
      <w:bookmarkStart w:id="1064" w:name="_Toc517529736"/>
      <w:bookmarkStart w:id="1065" w:name="_Toc28188"/>
      <w:bookmarkStart w:id="1066" w:name="_Toc19455"/>
      <w:bookmarkStart w:id="1067" w:name="_Toc24310"/>
      <w:bookmarkStart w:id="1068" w:name="_Toc517532011"/>
      <w:bookmarkStart w:id="1069" w:name="_Toc3398"/>
      <w:bookmarkStart w:id="1070" w:name="_Toc22015"/>
      <w:bookmarkStart w:id="1071" w:name="_Toc16258"/>
      <w:bookmarkStart w:id="1072" w:name="_Toc18387"/>
      <w:bookmarkStart w:id="1073" w:name="_Toc19231"/>
      <w:bookmarkStart w:id="1074" w:name="_Toc15181"/>
      <w:bookmarkStart w:id="1075" w:name="_Toc22881"/>
      <w:bookmarkStart w:id="1076" w:name="_Toc517530735"/>
      <w:bookmarkStart w:id="1077" w:name="_Toc32500"/>
      <w:bookmarkStart w:id="1078" w:name="_Toc27152"/>
      <w:bookmarkStart w:id="1079" w:name="_Toc27071"/>
      <w:bookmarkStart w:id="1080" w:name="_Toc69113943"/>
      <w:bookmarkStart w:id="1081" w:name="_Toc465237187"/>
      <w:bookmarkStart w:id="1082" w:name="_Toc465237089"/>
      <w:bookmarkStart w:id="1083" w:name="_Toc337558746"/>
      <w:bookmarkStart w:id="1084" w:name="_Toc296346546"/>
      <w:bookmarkStart w:id="1085" w:name="_Toc296503045"/>
      <w:r>
        <w:rPr>
          <w:rFonts w:hint="eastAsia" w:ascii="宋体" w:hAnsi="宋体" w:cs="宋体"/>
          <w:b/>
          <w:bCs/>
          <w:color w:val="auto"/>
          <w:sz w:val="30"/>
          <w:szCs w:val="30"/>
          <w:highlight w:val="none"/>
        </w:rPr>
        <w:t>3.</w:t>
      </w:r>
      <w:bookmarkEnd w:id="1057"/>
      <w:r>
        <w:rPr>
          <w:rFonts w:hint="eastAsia" w:ascii="宋体" w:hAnsi="宋体" w:cs="宋体"/>
          <w:b/>
          <w:bCs/>
          <w:color w:val="auto"/>
          <w:sz w:val="30"/>
          <w:szCs w:val="30"/>
          <w:highlight w:val="none"/>
        </w:rPr>
        <w:t xml:space="preserve"> 承包人</w:t>
      </w:r>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bookmarkEnd w:id="1083"/>
    <w:bookmarkEnd w:id="1084"/>
    <w:bookmarkEnd w:id="1085"/>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1086" w:name="_Toc26991"/>
      <w:bookmarkStart w:id="1087" w:name="_Toc30856"/>
      <w:bookmarkStart w:id="1088" w:name="_Toc3617"/>
      <w:bookmarkStart w:id="1089" w:name="_Toc5412"/>
      <w:bookmarkStart w:id="1090" w:name="_Toc11031"/>
      <w:bookmarkStart w:id="1091" w:name="_Toc1158"/>
      <w:bookmarkStart w:id="1092" w:name="_Toc7695"/>
      <w:bookmarkStart w:id="1093" w:name="_Toc69113944"/>
      <w:bookmarkStart w:id="1094" w:name="_Toc23624"/>
      <w:bookmarkStart w:id="1095" w:name="_Toc517532012"/>
      <w:bookmarkStart w:id="1096" w:name="_Toc465237090"/>
      <w:bookmarkStart w:id="1097" w:name="_Toc3832"/>
      <w:bookmarkStart w:id="1098" w:name="_Toc465237188"/>
      <w:bookmarkStart w:id="1099" w:name="_Toc27066"/>
      <w:bookmarkStart w:id="1100" w:name="_Toc26355"/>
      <w:bookmarkStart w:id="1101" w:name="_Toc30748"/>
      <w:bookmarkStart w:id="1102" w:name="_Toc18975"/>
      <w:bookmarkStart w:id="1103" w:name="_Toc25154"/>
      <w:bookmarkStart w:id="1104" w:name="_Toc18718"/>
      <w:bookmarkStart w:id="1105" w:name="_Toc517530736"/>
      <w:bookmarkStart w:id="1106" w:name="_Toc517528661"/>
      <w:bookmarkStart w:id="1107" w:name="_Toc23168"/>
      <w:bookmarkStart w:id="1108" w:name="_Toc262"/>
      <w:bookmarkStart w:id="1109" w:name="_Toc14367"/>
      <w:bookmarkStart w:id="1110" w:name="_Toc296346547"/>
      <w:bookmarkStart w:id="1111" w:name="_Toc296503046"/>
      <w:bookmarkStart w:id="1112" w:name="_Toc337558747"/>
      <w:r>
        <w:rPr>
          <w:rFonts w:hint="eastAsia" w:ascii="宋体" w:hAnsi="宋体" w:cs="宋体"/>
          <w:b/>
          <w:bCs/>
          <w:color w:val="auto"/>
          <w:sz w:val="28"/>
          <w:szCs w:val="28"/>
          <w:highlight w:val="none"/>
        </w:rPr>
        <w:t>3.1 承包人的一般义务</w:t>
      </w:r>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113" w:name="_Toc19419"/>
      <w:bookmarkStart w:id="1114" w:name="_Toc2333"/>
      <w:bookmarkStart w:id="1115" w:name="_Toc1757"/>
      <w:bookmarkStart w:id="1116" w:name="_Toc25602"/>
      <w:bookmarkStart w:id="1117" w:name="_Toc26792"/>
      <w:bookmarkStart w:id="1118" w:name="_Toc20423"/>
      <w:bookmarkStart w:id="1119" w:name="_Toc17437"/>
      <w:bookmarkStart w:id="1120" w:name="_Toc517532013"/>
      <w:bookmarkStart w:id="1121" w:name="_Toc23352"/>
      <w:bookmarkStart w:id="1122" w:name="_Toc29809"/>
      <w:bookmarkStart w:id="1123" w:name="_Toc517530737"/>
      <w:bookmarkStart w:id="1124" w:name="_Toc18086"/>
      <w:bookmarkStart w:id="1125" w:name="_Toc25586"/>
      <w:bookmarkStart w:id="1126" w:name="_Toc16919"/>
      <w:bookmarkStart w:id="1127" w:name="_Toc21559"/>
      <w:bookmarkStart w:id="1128" w:name="_Toc11754"/>
      <w:bookmarkStart w:id="1129" w:name="_Toc13296"/>
      <w:bookmarkStart w:id="1130" w:name="_Toc21815"/>
      <w:bookmarkStart w:id="1131" w:name="_Toc28454"/>
      <w:bookmarkStart w:id="1132" w:name="_Toc6186"/>
      <w:r>
        <w:rPr>
          <w:rFonts w:hint="eastAsia" w:ascii="宋体" w:hAnsi="宋体" w:cs="宋体"/>
          <w:b/>
          <w:bCs/>
          <w:color w:val="auto"/>
          <w:sz w:val="24"/>
          <w:szCs w:val="24"/>
          <w:highlight w:val="none"/>
        </w:rPr>
        <w:t>3.1.1签署合同协议书</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承包人应签订并履行合同协议书，该协议书采用招标文件所附格式。</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133" w:name="_Toc517532014"/>
      <w:bookmarkStart w:id="1134" w:name="_Toc25847"/>
      <w:bookmarkStart w:id="1135" w:name="_Toc32289"/>
      <w:bookmarkStart w:id="1136" w:name="_Toc4250"/>
      <w:bookmarkStart w:id="1137" w:name="_Toc25002"/>
      <w:bookmarkStart w:id="1138" w:name="_Toc15538"/>
      <w:bookmarkStart w:id="1139" w:name="_Toc27720"/>
      <w:bookmarkStart w:id="1140" w:name="_Toc6513"/>
      <w:bookmarkStart w:id="1141" w:name="_Toc107"/>
      <w:bookmarkStart w:id="1142" w:name="_Toc2083"/>
      <w:bookmarkStart w:id="1143" w:name="_Toc20317"/>
      <w:bookmarkStart w:id="1144" w:name="_Toc2278"/>
      <w:bookmarkStart w:id="1145" w:name="_Toc30718"/>
      <w:bookmarkStart w:id="1146" w:name="_Toc25598"/>
      <w:bookmarkStart w:id="1147" w:name="_Toc517530738"/>
      <w:bookmarkStart w:id="1148" w:name="_Toc9746"/>
      <w:bookmarkStart w:id="1149" w:name="_Toc20574"/>
      <w:bookmarkStart w:id="1150" w:name="_Toc16867"/>
      <w:bookmarkStart w:id="1151" w:name="_Toc8587"/>
      <w:bookmarkStart w:id="1152" w:name="_Toc155"/>
      <w:r>
        <w:rPr>
          <w:rFonts w:hint="eastAsia" w:ascii="宋体" w:hAnsi="宋体" w:cs="宋体"/>
          <w:b/>
          <w:bCs/>
          <w:color w:val="auto"/>
          <w:sz w:val="24"/>
          <w:szCs w:val="24"/>
          <w:highlight w:val="none"/>
        </w:rPr>
        <w:t>3.1.2合同文件中的差错</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承包人在查阅合同文件或在本合同工程实施过程中，应尽到合理的注意义务，其有责任对工程设计、技术规范与补充技术规范、图纸或其他资料进行复核，如发现其中有任何差错、遗漏或缺陷，应在其有关的单项工程开工前及时书面通知监理人，否则承包人对其应能发现但未能发现的错误造成工程的损失应承担相应的责任。监理人在接到承包人上述通知后，应立即就此作出决定，并通知承包人，抄送发包人。</w:t>
      </w:r>
    </w:p>
    <w:bookmarkEnd w:id="1110"/>
    <w:bookmarkEnd w:id="1111"/>
    <w:bookmarkEnd w:id="1112"/>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153" w:name="_Toc517532015"/>
      <w:bookmarkStart w:id="1154" w:name="_Toc14675"/>
      <w:bookmarkStart w:id="1155" w:name="_Toc31055"/>
      <w:bookmarkStart w:id="1156" w:name="_Toc517530739"/>
      <w:bookmarkStart w:id="1157" w:name="_Toc8447"/>
      <w:bookmarkStart w:id="1158" w:name="_Toc9278"/>
      <w:bookmarkStart w:id="1159" w:name="_Toc8843"/>
      <w:bookmarkStart w:id="1160" w:name="_Toc15382"/>
      <w:bookmarkStart w:id="1161" w:name="_Toc19284"/>
      <w:bookmarkStart w:id="1162" w:name="_Toc25351"/>
      <w:bookmarkStart w:id="1163" w:name="_Toc199"/>
      <w:bookmarkStart w:id="1164" w:name="_Toc19125"/>
      <w:bookmarkStart w:id="1165" w:name="_Toc23800"/>
      <w:bookmarkStart w:id="1166" w:name="_Toc22587"/>
      <w:bookmarkStart w:id="1167" w:name="_Toc21750"/>
      <w:bookmarkStart w:id="1168" w:name="_Toc4347"/>
      <w:bookmarkStart w:id="1169" w:name="_Toc25950"/>
      <w:bookmarkStart w:id="1170" w:name="_Toc811"/>
      <w:bookmarkStart w:id="1171" w:name="_Toc29547"/>
      <w:bookmarkStart w:id="1172" w:name="_Toc19101"/>
      <w:r>
        <w:rPr>
          <w:rFonts w:hint="eastAsia" w:ascii="宋体" w:hAnsi="宋体" w:cs="宋体"/>
          <w:b/>
          <w:bCs/>
          <w:color w:val="auto"/>
          <w:sz w:val="24"/>
          <w:szCs w:val="24"/>
          <w:highlight w:val="none"/>
        </w:rPr>
        <w:t>3.1.3设计与施工</w:t>
      </w:r>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pPr>
        <w:keepNext/>
        <w:keepLines/>
        <w:spacing w:line="360" w:lineRule="auto"/>
        <w:ind w:firstLine="420" w:firstLineChars="200"/>
        <w:outlineLvl w:val="4"/>
        <w:rPr>
          <w:rFonts w:hint="eastAsia" w:ascii="宋体" w:hAnsi="宋体" w:cs="宋体"/>
          <w:b/>
          <w:bCs/>
          <w:color w:val="auto"/>
          <w:szCs w:val="21"/>
          <w:highlight w:val="none"/>
        </w:rPr>
      </w:pPr>
      <w:bookmarkStart w:id="1173" w:name="_Toc517530740"/>
      <w:bookmarkStart w:id="1174" w:name="_Toc517532016"/>
      <w:r>
        <w:rPr>
          <w:rFonts w:hint="eastAsia" w:ascii="宋体" w:hAnsi="宋体" w:cs="宋体"/>
          <w:b/>
          <w:bCs/>
          <w:color w:val="auto"/>
          <w:szCs w:val="21"/>
          <w:highlight w:val="none"/>
        </w:rPr>
        <w:t>（1）承包人的一般责任</w:t>
      </w:r>
      <w:bookmarkEnd w:id="1173"/>
      <w:bookmarkEnd w:id="1174"/>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根据合同的各项规定，承包人应负责做好合同规定的设计（如有），精心组织施工，按时完成本合同工程及其缺陷的修复。为此，承包人应提供所需的全部监督管理、劳务、材料、设备、施工装备和其他物品。</w:t>
      </w:r>
    </w:p>
    <w:p>
      <w:pPr>
        <w:keepNext/>
        <w:keepLines/>
        <w:spacing w:line="360" w:lineRule="auto"/>
        <w:ind w:firstLine="420" w:firstLineChars="200"/>
        <w:outlineLvl w:val="4"/>
        <w:rPr>
          <w:rFonts w:hint="eastAsia" w:ascii="宋体" w:hAnsi="宋体" w:cs="宋体"/>
          <w:b/>
          <w:bCs/>
          <w:color w:val="auto"/>
          <w:szCs w:val="21"/>
          <w:highlight w:val="none"/>
        </w:rPr>
      </w:pPr>
      <w:bookmarkStart w:id="1175" w:name="_Toc517530741"/>
      <w:bookmarkStart w:id="1176" w:name="_Toc517532017"/>
      <w:r>
        <w:rPr>
          <w:rFonts w:hint="eastAsia" w:ascii="宋体" w:hAnsi="宋体" w:cs="宋体"/>
          <w:b/>
          <w:bCs/>
          <w:color w:val="auto"/>
          <w:szCs w:val="21"/>
          <w:highlight w:val="none"/>
        </w:rPr>
        <w:t>（2）现场作业和施工方法</w:t>
      </w:r>
      <w:bookmarkEnd w:id="1175"/>
      <w:bookmarkEnd w:id="1176"/>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承包人应对全部现场作业和施工方法的适应、稳妥和安全性承担全部责任。但是，承包人对于非由其负责的永久工程和临时工程的设计与规范，不应承担责任（另有协议者除外）。如果合同明确规定部分永久工程由承包人设计，则即使有监理人的批准，承包人仍应对该部分永久工程负全部责任。</w:t>
      </w:r>
    </w:p>
    <w:p>
      <w:pPr>
        <w:keepNext/>
        <w:keepLines/>
        <w:spacing w:line="360" w:lineRule="auto"/>
        <w:ind w:firstLine="420" w:firstLineChars="200"/>
        <w:outlineLvl w:val="4"/>
        <w:rPr>
          <w:rFonts w:hint="eastAsia" w:ascii="宋体" w:hAnsi="宋体" w:cs="宋体"/>
          <w:b/>
          <w:bCs/>
          <w:color w:val="auto"/>
          <w:szCs w:val="21"/>
          <w:highlight w:val="none"/>
        </w:rPr>
      </w:pPr>
      <w:bookmarkStart w:id="1177" w:name="_Toc517530742"/>
      <w:bookmarkStart w:id="1178" w:name="_Toc517532018"/>
      <w:r>
        <w:rPr>
          <w:rFonts w:hint="eastAsia" w:ascii="宋体" w:hAnsi="宋体" w:cs="宋体"/>
          <w:b/>
          <w:bCs/>
          <w:color w:val="auto"/>
          <w:szCs w:val="21"/>
          <w:highlight w:val="none"/>
        </w:rPr>
        <w:t>（3）承包人设计的永久工程</w:t>
      </w:r>
      <w:bookmarkEnd w:id="1177"/>
      <w:bookmarkEnd w:id="1178"/>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如果合同规定部分永久工程由承包人设计或要求承包人完成施工图设计，则承包人应向监理人提交并要求批准以下文件：</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(a)为使该永久工程达到符合合同约定的标准而需要的图纸、技术规范、计算书和其他资料；</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(b)安装设备的使用和维护手册。</w:t>
      </w:r>
    </w:p>
    <w:p>
      <w:pPr>
        <w:keepNext/>
        <w:keepLines/>
        <w:spacing w:line="360" w:lineRule="auto"/>
        <w:ind w:firstLine="420" w:firstLineChars="200"/>
        <w:outlineLvl w:val="4"/>
        <w:rPr>
          <w:rFonts w:hint="eastAsia" w:ascii="宋体" w:hAnsi="宋体" w:cs="宋体"/>
          <w:b/>
          <w:bCs/>
          <w:color w:val="auto"/>
          <w:szCs w:val="21"/>
          <w:highlight w:val="none"/>
        </w:rPr>
      </w:pPr>
      <w:r>
        <w:rPr>
          <w:rFonts w:hint="eastAsia" w:ascii="宋体" w:hAnsi="宋体" w:cs="宋体"/>
          <w:b/>
          <w:bCs/>
          <w:color w:val="auto"/>
          <w:szCs w:val="21"/>
          <w:highlight w:val="none"/>
        </w:rPr>
        <w:t>（</w:t>
      </w:r>
      <w:r>
        <w:rPr>
          <w:rFonts w:ascii="宋体" w:hAnsi="宋体" w:cs="宋体"/>
          <w:b/>
          <w:bCs/>
          <w:color w:val="auto"/>
          <w:szCs w:val="21"/>
          <w:highlight w:val="none"/>
        </w:rPr>
        <w:t>4</w:t>
      </w:r>
      <w:r>
        <w:rPr>
          <w:rFonts w:hint="eastAsia" w:ascii="宋体" w:hAnsi="宋体" w:cs="宋体"/>
          <w:b/>
          <w:bCs/>
          <w:color w:val="auto"/>
          <w:szCs w:val="21"/>
          <w:highlight w:val="none"/>
        </w:rPr>
        <w:t>）深化设计</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应按照发包人的要求进行深化设计，不得超范围、超标准深化设计，深化设计方案完成后，应报原设计单位和发包人，经批准后方可实施。承包人认为应该深化设计的内容（包括承包人投标文件中承诺的深化设计内容）须经原设计单位和发包人</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批准后方可实施。</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所有深化设计及优化设计，可运用BIM智能建筑信息模型进行论证，过程及最终确定的方案应出具可视化汇报资料（三维图像、效果图、VR等）。</w:t>
      </w:r>
    </w:p>
    <w:p>
      <w:pPr>
        <w:keepNext/>
        <w:keepLine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深化设计的设计费由承包人承担，原则上深化设计之后的工程量与招标的工程量清单对应的规格、型号及工程量不发生变化，如发生变化，承包人应履行设计变更程序。</w:t>
      </w:r>
    </w:p>
    <w:p>
      <w:pPr>
        <w:keepNext/>
        <w:keepLines/>
        <w:spacing w:line="360" w:lineRule="auto"/>
        <w:ind w:firstLine="420" w:firstLineChars="200"/>
        <w:outlineLvl w:val="4"/>
        <w:rPr>
          <w:rFonts w:hint="eastAsia" w:ascii="宋体" w:hAnsi="宋体" w:cs="宋体"/>
          <w:b/>
          <w:bCs/>
          <w:color w:val="auto"/>
          <w:szCs w:val="21"/>
          <w:highlight w:val="none"/>
        </w:rPr>
      </w:pPr>
      <w:r>
        <w:rPr>
          <w:rFonts w:hint="eastAsia" w:ascii="宋体" w:hAnsi="宋体" w:cs="宋体"/>
          <w:b/>
          <w:bCs/>
          <w:color w:val="auto"/>
          <w:szCs w:val="21"/>
          <w:highlight w:val="none"/>
        </w:rPr>
        <w:t>（</w:t>
      </w:r>
      <w:r>
        <w:rPr>
          <w:rFonts w:ascii="宋体" w:hAnsi="宋体" w:cs="宋体"/>
          <w:b/>
          <w:bCs/>
          <w:color w:val="auto"/>
          <w:szCs w:val="21"/>
          <w:highlight w:val="none"/>
        </w:rPr>
        <w:t>5</w:t>
      </w:r>
      <w:r>
        <w:rPr>
          <w:rFonts w:hint="eastAsia" w:ascii="宋体" w:hAnsi="宋体" w:cs="宋体"/>
          <w:b/>
          <w:bCs/>
          <w:color w:val="auto"/>
          <w:szCs w:val="21"/>
          <w:highlight w:val="none"/>
        </w:rPr>
        <w:t>）技术交底制度</w:t>
      </w:r>
    </w:p>
    <w:p>
      <w:pPr>
        <w:spacing w:line="360" w:lineRule="auto"/>
        <w:ind w:firstLine="420" w:firstLineChars="200"/>
        <w:jc w:val="left"/>
        <w:rPr>
          <w:rFonts w:hint="eastAsia" w:ascii="宋体" w:hAnsi="宋体" w:cs="宋体"/>
          <w:color w:val="auto"/>
          <w:szCs w:val="21"/>
          <w:highlight w:val="none"/>
        </w:rPr>
      </w:pPr>
      <w:r>
        <w:rPr>
          <w:rFonts w:hAnsi="宋体"/>
          <w:color w:val="auto"/>
          <w:szCs w:val="21"/>
          <w:highlight w:val="none"/>
        </w:rPr>
        <w:t>承包人必须建立并落实技术交底制度，</w:t>
      </w:r>
      <w:r>
        <w:rPr>
          <w:rFonts w:hint="eastAsia" w:hAnsi="宋体"/>
          <w:color w:val="auto"/>
          <w:szCs w:val="21"/>
          <w:highlight w:val="none"/>
        </w:rPr>
        <w:t>针对本项目制定《技术标准手册》，</w:t>
      </w:r>
      <w:r>
        <w:rPr>
          <w:rFonts w:hAnsi="宋体"/>
          <w:color w:val="auto"/>
          <w:szCs w:val="21"/>
          <w:highlight w:val="none"/>
        </w:rPr>
        <w:t>技术交底要求对《</w:t>
      </w:r>
      <w:r>
        <w:rPr>
          <w:rFonts w:hAnsi="宋体"/>
          <w:bCs/>
          <w:color w:val="auto"/>
          <w:szCs w:val="21"/>
          <w:highlight w:val="none"/>
        </w:rPr>
        <w:t>技术标准手册</w:t>
      </w:r>
      <w:r>
        <w:rPr>
          <w:rFonts w:hAnsi="宋体"/>
          <w:color w:val="auto"/>
          <w:szCs w:val="21"/>
          <w:highlight w:val="none"/>
        </w:rPr>
        <w:t>》的各项要求内容作出响应</w:t>
      </w:r>
      <w:r>
        <w:rPr>
          <w:rFonts w:hint="eastAsia" w:hAnsi="宋体"/>
          <w:color w:val="auto"/>
          <w:szCs w:val="21"/>
          <w:highlight w:val="none"/>
        </w:rPr>
        <w:t>，</w:t>
      </w:r>
      <w:r>
        <w:rPr>
          <w:rFonts w:hAnsi="宋体"/>
          <w:color w:val="auto"/>
          <w:szCs w:val="21"/>
          <w:highlight w:val="none"/>
        </w:rPr>
        <w:t>技术交底要结合异地现场实物样板内容进行，各分项工程均有交底记录。施工过程中，由于设计的重大修改或现场条件、工艺的变化，必须重新组织交底。</w:t>
      </w:r>
    </w:p>
    <w:p>
      <w:pPr>
        <w:keepNext/>
        <w:keepLines/>
        <w:spacing w:line="360" w:lineRule="auto"/>
        <w:ind w:firstLine="420" w:firstLineChars="200"/>
        <w:outlineLvl w:val="4"/>
        <w:rPr>
          <w:rFonts w:hint="eastAsia" w:ascii="宋体" w:hAnsi="宋体" w:cs="宋体"/>
          <w:b/>
          <w:bCs/>
          <w:color w:val="auto"/>
          <w:szCs w:val="21"/>
          <w:highlight w:val="none"/>
        </w:rPr>
      </w:pPr>
      <w:bookmarkStart w:id="1179" w:name="_Toc517532019"/>
      <w:bookmarkStart w:id="1180" w:name="_Toc517530743"/>
      <w:r>
        <w:rPr>
          <w:rFonts w:hint="eastAsia" w:ascii="宋体" w:hAnsi="宋体" w:cs="宋体"/>
          <w:b/>
          <w:bCs/>
          <w:color w:val="auto"/>
          <w:szCs w:val="21"/>
          <w:highlight w:val="none"/>
        </w:rPr>
        <w:t>（</w:t>
      </w:r>
      <w:r>
        <w:rPr>
          <w:rFonts w:ascii="宋体" w:hAnsi="宋体" w:cs="宋体"/>
          <w:b/>
          <w:bCs/>
          <w:color w:val="auto"/>
          <w:szCs w:val="21"/>
          <w:highlight w:val="none"/>
        </w:rPr>
        <w:t>6</w:t>
      </w:r>
      <w:r>
        <w:rPr>
          <w:rFonts w:hint="eastAsia" w:ascii="宋体" w:hAnsi="宋体" w:cs="宋体"/>
          <w:b/>
          <w:bCs/>
          <w:color w:val="auto"/>
          <w:szCs w:val="21"/>
          <w:highlight w:val="none"/>
        </w:rPr>
        <w:t>）批准不影响责任</w:t>
      </w:r>
      <w:bookmarkEnd w:id="1179"/>
      <w:bookmarkEnd w:id="1180"/>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承包人应对其进行的临时工程或永久工程的设计负责；监理人根据第3.1.3条规定的批准不应解除或减轻承包人对合同所负的任何责任。</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181" w:name="_Toc29786"/>
      <w:bookmarkStart w:id="1182" w:name="_Toc22681"/>
      <w:bookmarkStart w:id="1183" w:name="_Toc12766"/>
      <w:bookmarkStart w:id="1184" w:name="_Toc6950"/>
      <w:bookmarkStart w:id="1185" w:name="_Toc517530744"/>
      <w:bookmarkStart w:id="1186" w:name="_Toc9504"/>
      <w:bookmarkStart w:id="1187" w:name="_Toc25788"/>
      <w:bookmarkStart w:id="1188" w:name="_Toc31006"/>
      <w:bookmarkStart w:id="1189" w:name="_Toc517532020"/>
      <w:bookmarkStart w:id="1190" w:name="_Toc4512"/>
      <w:bookmarkStart w:id="1191" w:name="_Toc2987"/>
      <w:bookmarkStart w:id="1192" w:name="_Toc10383"/>
      <w:bookmarkStart w:id="1193" w:name="_Toc18401"/>
      <w:bookmarkStart w:id="1194" w:name="_Toc28137"/>
      <w:bookmarkStart w:id="1195" w:name="_Toc864"/>
      <w:bookmarkStart w:id="1196" w:name="_Toc3893"/>
      <w:bookmarkStart w:id="1197" w:name="_Toc28154"/>
      <w:bookmarkStart w:id="1198" w:name="_Toc17257"/>
      <w:bookmarkStart w:id="1199" w:name="_Toc25782"/>
      <w:r>
        <w:rPr>
          <w:rFonts w:hint="eastAsia" w:ascii="宋体" w:hAnsi="宋体" w:cs="宋体"/>
          <w:b/>
          <w:bCs/>
          <w:color w:val="auto"/>
          <w:sz w:val="24"/>
          <w:szCs w:val="24"/>
          <w:highlight w:val="none"/>
        </w:rPr>
        <w:t>3.1.4为其他承包人提供方便</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如果监理人有书面要求，承包人应该：</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(a)允许发包人或与发包人签订了承包合同的其他承包人及其职工使用由承包人负责维护的临时道路、桥梁等；</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(b)为上述人员提供其他合理服务。</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承包人不得以此提出任何形式的增加费用的要求。</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200" w:name="_Toc32325"/>
      <w:bookmarkStart w:id="1201" w:name="_Toc1500"/>
      <w:bookmarkStart w:id="1202" w:name="_Toc517530745"/>
      <w:bookmarkStart w:id="1203" w:name="_Toc20524"/>
      <w:bookmarkStart w:id="1204" w:name="_Toc7065"/>
      <w:bookmarkStart w:id="1205" w:name="_Toc30252"/>
      <w:bookmarkStart w:id="1206" w:name="_Toc16363"/>
      <w:bookmarkStart w:id="1207" w:name="_Toc9985"/>
      <w:bookmarkStart w:id="1208" w:name="_Toc30420"/>
      <w:bookmarkStart w:id="1209" w:name="_Toc23675"/>
      <w:bookmarkStart w:id="1210" w:name="_Toc23082"/>
      <w:bookmarkStart w:id="1211" w:name="_Toc18554"/>
      <w:bookmarkStart w:id="1212" w:name="_Toc15488"/>
      <w:bookmarkStart w:id="1213" w:name="_Toc517532021"/>
      <w:bookmarkStart w:id="1214" w:name="_Toc2603"/>
      <w:bookmarkStart w:id="1215" w:name="_Toc26495"/>
      <w:bookmarkStart w:id="1216" w:name="_Toc22819"/>
      <w:bookmarkStart w:id="1217" w:name="_Toc30962"/>
      <w:bookmarkStart w:id="1218" w:name="_Toc11841"/>
      <w:r>
        <w:rPr>
          <w:rFonts w:hint="eastAsia" w:ascii="宋体" w:hAnsi="宋体" w:cs="宋体"/>
          <w:b/>
          <w:bCs/>
          <w:color w:val="auto"/>
          <w:sz w:val="24"/>
          <w:szCs w:val="24"/>
          <w:highlight w:val="none"/>
        </w:rPr>
        <w:t>3.1.5施工干扰</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承包人在施工过程中，应尽量避免给其他承包人造成施工干扰。凡涉及与相邻合同段不可避免的施工干扰问题，由监理人统筹协调解决，承包人必须服从监理人有关裁决。当与相邻合同段不可避免的施工干扰问题产生时，承包人应相互理解并尽可能为相邻合同段提供便利条件，承包人不得以此提出任何形式的费用增加。</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219" w:name="_Toc2030"/>
      <w:bookmarkStart w:id="1220" w:name="_Toc517530746"/>
      <w:bookmarkStart w:id="1221" w:name="_Toc13521"/>
      <w:bookmarkStart w:id="1222" w:name="_Toc15"/>
      <w:bookmarkStart w:id="1223" w:name="_Toc24868"/>
      <w:bookmarkStart w:id="1224" w:name="_Toc517532022"/>
      <w:bookmarkStart w:id="1225" w:name="_Toc10356"/>
      <w:bookmarkStart w:id="1226" w:name="_Toc19566"/>
      <w:bookmarkStart w:id="1227" w:name="_Toc3846"/>
      <w:bookmarkStart w:id="1228" w:name="_Toc13157"/>
      <w:bookmarkStart w:id="1229" w:name="_Toc32067"/>
      <w:bookmarkStart w:id="1230" w:name="_Toc30140"/>
      <w:bookmarkStart w:id="1231" w:name="_Toc24150"/>
      <w:bookmarkStart w:id="1232" w:name="_Toc4004"/>
      <w:bookmarkStart w:id="1233" w:name="_Toc25557"/>
      <w:bookmarkStart w:id="1234" w:name="_Toc8262"/>
      <w:bookmarkStart w:id="1235" w:name="_Toc7430"/>
      <w:bookmarkStart w:id="1236" w:name="_Toc7889"/>
      <w:bookmarkStart w:id="1237" w:name="_Toc12297"/>
      <w:r>
        <w:rPr>
          <w:rFonts w:hint="eastAsia" w:ascii="宋体" w:hAnsi="宋体" w:cs="宋体"/>
          <w:b/>
          <w:bCs/>
          <w:color w:val="auto"/>
          <w:sz w:val="24"/>
          <w:szCs w:val="24"/>
          <w:highlight w:val="none"/>
        </w:rPr>
        <w:t>3.1.6职业健康</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p>
    <w:p>
      <w:pPr>
        <w:autoSpaceDE w:val="0"/>
        <w:autoSpaceDN w:val="0"/>
        <w:adjustRightInd w:val="0"/>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pPr>
        <w:autoSpaceDE w:val="0"/>
        <w:autoSpaceDN w:val="0"/>
        <w:adjustRightInd w:val="0"/>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承包人应按法律规定安排工作时间，保证其雇佣人员享有休息和休假的权利。</w:t>
      </w:r>
    </w:p>
    <w:p>
      <w:pPr>
        <w:autoSpaceDE w:val="0"/>
        <w:autoSpaceDN w:val="0"/>
        <w:adjustRightInd w:val="0"/>
        <w:spacing w:line="360" w:lineRule="auto"/>
        <w:ind w:firstLine="420" w:firstLineChars="200"/>
        <w:jc w:val="left"/>
        <w:rPr>
          <w:rFonts w:hint="eastAsia" w:ascii="宋体" w:hAnsi="宋体" w:cs="宋体"/>
          <w:color w:val="auto"/>
          <w:kern w:val="0"/>
          <w:szCs w:val="21"/>
          <w:highlight w:val="none"/>
        </w:rPr>
      </w:pP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238" w:name="_Toc22683"/>
      <w:bookmarkStart w:id="1239" w:name="_Toc517532023"/>
      <w:bookmarkStart w:id="1240" w:name="_Toc28395"/>
      <w:bookmarkStart w:id="1241" w:name="_Toc17871"/>
      <w:bookmarkStart w:id="1242" w:name="_Toc7458"/>
      <w:bookmarkStart w:id="1243" w:name="_Toc31725"/>
      <w:bookmarkStart w:id="1244" w:name="_Toc14328"/>
      <w:bookmarkStart w:id="1245" w:name="_Toc20006"/>
      <w:bookmarkStart w:id="1246" w:name="_Toc23899"/>
      <w:bookmarkStart w:id="1247" w:name="_Toc5431"/>
      <w:bookmarkStart w:id="1248" w:name="_Toc517530747"/>
      <w:bookmarkStart w:id="1249" w:name="_Toc633"/>
      <w:bookmarkStart w:id="1250" w:name="_Toc8684"/>
      <w:bookmarkStart w:id="1251" w:name="_Toc1858"/>
      <w:bookmarkStart w:id="1252" w:name="_Toc5246"/>
      <w:bookmarkStart w:id="1253" w:name="_Toc19887"/>
      <w:bookmarkStart w:id="1254" w:name="_Toc1061"/>
      <w:bookmarkStart w:id="1255" w:name="_Toc14868"/>
      <w:bookmarkStart w:id="1256" w:name="_Toc23973"/>
      <w:bookmarkStart w:id="1257" w:name="_Toc16915"/>
      <w:r>
        <w:rPr>
          <w:rFonts w:hint="eastAsia" w:ascii="宋体" w:hAnsi="宋体" w:cs="宋体"/>
          <w:b/>
          <w:bCs/>
          <w:color w:val="auto"/>
          <w:sz w:val="24"/>
          <w:szCs w:val="24"/>
          <w:highlight w:val="none"/>
        </w:rPr>
        <w:t>3.1.7遵守法令规章</w:t>
      </w:r>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承包人在实施和完成本合同工程及其缺陷修复的全过程中，应该：</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(a)遵守国家或所在省（自治区、直辖市）颁布的法律、法令、条例及当地的有关规定；</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(b)遵守有关部门（如铁路、交通、水利、电力、通讯等）的规章、细则等，不因此使本合同工程的实施或缺陷的修复而受到影响。</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承包人应保障发包人免于承担由于承包人违反任何上述规定而产生的各种罚款和责任；但发包人也应在承包人开始施工前办妥施工所需的各种证件、批件和有关申请报批手续，取得必须的许可，保障承包人免于承担由于发包人未履行上述义务而产生的各种罚款和责任。否则，双方应各自为其行为负责。</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258" w:name="_Toc24133"/>
      <w:bookmarkStart w:id="1259" w:name="_Toc517530748"/>
      <w:bookmarkStart w:id="1260" w:name="_Toc27767"/>
      <w:bookmarkStart w:id="1261" w:name="_Toc14398"/>
      <w:bookmarkStart w:id="1262" w:name="_Toc20622"/>
      <w:bookmarkStart w:id="1263" w:name="_Toc395"/>
      <w:bookmarkStart w:id="1264" w:name="_Toc13019"/>
      <w:bookmarkStart w:id="1265" w:name="_Toc7736"/>
      <w:bookmarkStart w:id="1266" w:name="_Toc23137"/>
      <w:bookmarkStart w:id="1267" w:name="_Toc4755"/>
      <w:bookmarkStart w:id="1268" w:name="_Toc517532024"/>
      <w:bookmarkStart w:id="1269" w:name="_Toc28926"/>
      <w:bookmarkStart w:id="1270" w:name="_Toc15630"/>
      <w:bookmarkStart w:id="1271" w:name="_Toc20480"/>
      <w:bookmarkStart w:id="1272" w:name="_Toc7626"/>
      <w:bookmarkStart w:id="1273" w:name="_Toc23443"/>
      <w:bookmarkStart w:id="1274" w:name="_Toc24301"/>
      <w:bookmarkStart w:id="1275" w:name="_Toc21383"/>
      <w:bookmarkStart w:id="1276" w:name="_Toc4302"/>
      <w:bookmarkStart w:id="1277" w:name="_Toc27676"/>
      <w:r>
        <w:rPr>
          <w:rFonts w:hint="eastAsia" w:ascii="宋体" w:hAnsi="宋体" w:cs="宋体"/>
          <w:b/>
          <w:bCs/>
          <w:color w:val="auto"/>
          <w:sz w:val="24"/>
          <w:szCs w:val="24"/>
          <w:highlight w:val="none"/>
        </w:rPr>
        <w:t>3.1.8纳税和缴费</w:t>
      </w:r>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除合同另有规定外，按照国家现行税法和有关部门现行规定，承包人或其分包人需缴纳的一切税费，均应由承包人或其分包人承担并支付。</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278" w:name="_Toc4219"/>
      <w:bookmarkStart w:id="1279" w:name="_Toc29479"/>
      <w:bookmarkStart w:id="1280" w:name="_Toc5687"/>
      <w:bookmarkStart w:id="1281" w:name="_Toc17857"/>
      <w:bookmarkStart w:id="1282" w:name="_Toc29548"/>
      <w:bookmarkStart w:id="1283" w:name="_Toc5147"/>
      <w:bookmarkStart w:id="1284" w:name="_Toc31788"/>
      <w:bookmarkStart w:id="1285" w:name="_Toc3307"/>
      <w:bookmarkStart w:id="1286" w:name="_Toc5818"/>
      <w:bookmarkStart w:id="1287" w:name="_Toc27565"/>
      <w:bookmarkStart w:id="1288" w:name="_Toc17869"/>
      <w:bookmarkStart w:id="1289" w:name="_Toc1232"/>
      <w:bookmarkStart w:id="1290" w:name="_Toc3956"/>
      <w:bookmarkStart w:id="1291" w:name="_Toc517530749"/>
      <w:bookmarkStart w:id="1292" w:name="_Toc11765"/>
      <w:bookmarkStart w:id="1293" w:name="_Toc26108"/>
      <w:bookmarkStart w:id="1294" w:name="_Toc517532025"/>
      <w:bookmarkStart w:id="1295" w:name="_Toc26557"/>
      <w:bookmarkStart w:id="1296" w:name="_Toc30029"/>
      <w:r>
        <w:rPr>
          <w:rFonts w:hint="eastAsia" w:ascii="宋体" w:hAnsi="宋体" w:cs="宋体"/>
          <w:b/>
          <w:bCs/>
          <w:color w:val="auto"/>
          <w:sz w:val="24"/>
          <w:szCs w:val="24"/>
          <w:highlight w:val="none"/>
        </w:rPr>
        <w:t>3.1.9专项基金缴纳</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总承包招标项目的承包人应按照有关行业管理部门的规定缴交新型墙体材料专项基金和散装水泥专项基金，由承包人在竣工验收后规定时间内向有关部门申请办理返退。</w:t>
      </w:r>
    </w:p>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1297" w:name="_Toc28302"/>
      <w:bookmarkStart w:id="1298" w:name="_Toc465237091"/>
      <w:bookmarkStart w:id="1299" w:name="_Toc465237189"/>
      <w:bookmarkStart w:id="1300" w:name="_Toc29040"/>
      <w:bookmarkStart w:id="1301" w:name="_Toc69113945"/>
      <w:bookmarkStart w:id="1302" w:name="_Toc16431"/>
      <w:bookmarkStart w:id="1303" w:name="_Toc32243"/>
      <w:bookmarkStart w:id="1304" w:name="_Toc8510"/>
      <w:bookmarkStart w:id="1305" w:name="_Toc28109"/>
      <w:bookmarkStart w:id="1306" w:name="_Toc27489"/>
      <w:bookmarkStart w:id="1307" w:name="_Toc517530750"/>
      <w:bookmarkStart w:id="1308" w:name="_Toc517528662"/>
      <w:bookmarkStart w:id="1309" w:name="_Toc9962"/>
      <w:bookmarkStart w:id="1310" w:name="_Toc517532026"/>
      <w:bookmarkStart w:id="1311" w:name="_Toc819"/>
      <w:bookmarkStart w:id="1312" w:name="_Toc12527"/>
      <w:bookmarkStart w:id="1313" w:name="_Toc7953"/>
      <w:bookmarkStart w:id="1314" w:name="_Toc24801"/>
      <w:bookmarkStart w:id="1315" w:name="_Toc32198"/>
      <w:bookmarkStart w:id="1316" w:name="_Toc1557"/>
      <w:bookmarkStart w:id="1317" w:name="_Toc682"/>
      <w:bookmarkStart w:id="1318" w:name="_Toc10112"/>
      <w:bookmarkStart w:id="1319" w:name="_Toc14423"/>
      <w:bookmarkStart w:id="1320" w:name="_Toc3615"/>
      <w:r>
        <w:rPr>
          <w:rFonts w:hint="eastAsia" w:ascii="宋体" w:hAnsi="宋体" w:cs="宋体"/>
          <w:b/>
          <w:bCs/>
          <w:color w:val="auto"/>
          <w:sz w:val="28"/>
          <w:szCs w:val="28"/>
          <w:highlight w:val="none"/>
        </w:rPr>
        <w:t xml:space="preserve">3.2 </w:t>
      </w:r>
      <w:bookmarkEnd w:id="1297"/>
      <w:bookmarkEnd w:id="1298"/>
      <w:bookmarkEnd w:id="1299"/>
      <w:r>
        <w:rPr>
          <w:rFonts w:hint="eastAsia" w:ascii="宋体" w:hAnsi="宋体" w:cs="宋体"/>
          <w:b/>
          <w:bCs/>
          <w:color w:val="auto"/>
          <w:sz w:val="28"/>
          <w:szCs w:val="28"/>
          <w:highlight w:val="none"/>
        </w:rPr>
        <w:t>项目经理</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321" w:name="_Toc23151"/>
      <w:bookmarkStart w:id="1322" w:name="_Toc10153"/>
      <w:bookmarkStart w:id="1323" w:name="_Toc15022"/>
      <w:bookmarkStart w:id="1324" w:name="_Toc517530751"/>
      <w:bookmarkStart w:id="1325" w:name="_Toc7631"/>
      <w:bookmarkStart w:id="1326" w:name="_Toc517532027"/>
      <w:bookmarkStart w:id="1327" w:name="_Toc11063"/>
      <w:bookmarkStart w:id="1328" w:name="_Toc26382"/>
      <w:bookmarkStart w:id="1329" w:name="_Toc26136"/>
      <w:bookmarkStart w:id="1330" w:name="_Toc5068"/>
      <w:bookmarkStart w:id="1331" w:name="_Toc27157"/>
      <w:bookmarkStart w:id="1332" w:name="_Toc12184"/>
      <w:bookmarkStart w:id="1333" w:name="_Toc31959"/>
      <w:bookmarkStart w:id="1334" w:name="_Toc1490"/>
      <w:bookmarkStart w:id="1335" w:name="_Toc2332"/>
      <w:bookmarkStart w:id="1336" w:name="_Toc24650"/>
      <w:bookmarkStart w:id="1337" w:name="_Toc20005"/>
      <w:bookmarkStart w:id="1338" w:name="_Toc14672"/>
      <w:bookmarkStart w:id="1339" w:name="_Toc5632"/>
      <w:bookmarkStart w:id="1340" w:name="_Toc17993"/>
      <w:r>
        <w:rPr>
          <w:rFonts w:hint="eastAsia" w:ascii="宋体" w:hAnsi="宋体" w:cs="宋体"/>
          <w:b/>
          <w:bCs/>
          <w:color w:val="auto"/>
          <w:sz w:val="24"/>
          <w:szCs w:val="24"/>
          <w:highlight w:val="none"/>
        </w:rPr>
        <w:t>3.2.1</w:t>
      </w:r>
      <w:bookmarkEnd w:id="1321"/>
      <w:r>
        <w:rPr>
          <w:rFonts w:hint="eastAsia" w:ascii="宋体" w:hAnsi="宋体" w:cs="宋体"/>
          <w:b/>
          <w:bCs/>
          <w:color w:val="auto"/>
          <w:sz w:val="24"/>
          <w:szCs w:val="24"/>
          <w:highlight w:val="none"/>
        </w:rPr>
        <w:t>项目经理的职责</w:t>
      </w:r>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项目经理应为合同当事人所确认的人选，并在合同专用条款中明确项目经理的姓名、职称、注册执业证书编号、联系方式及授权范围等事项。项目经理经承包人授权后代表承包人负责履行合同。项目经理应是承包人正式聘用的职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项目经理应常驻施工现场，且每月在施工现场时间不得少于专用合同条款约定的天数。项目经理确需离开施工现场时，应事先通知监理人，并取得发包人的书面同意。项目经理的通知中应载明临时代行其职责的人员的注册执业资格、管理经验等资料，该人员应具备履行相应职责的能力。</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承包人违反上述约定的，应按照专用合同条款的约定承担违约责任。</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341" w:name="_Toc2924"/>
      <w:bookmarkStart w:id="1342" w:name="_Toc15200"/>
      <w:bookmarkStart w:id="1343" w:name="_Toc4337"/>
      <w:bookmarkStart w:id="1344" w:name="_Toc4697"/>
      <w:bookmarkStart w:id="1345" w:name="_Toc28519"/>
      <w:bookmarkStart w:id="1346" w:name="_Toc13428"/>
      <w:bookmarkStart w:id="1347" w:name="_Toc5794"/>
      <w:bookmarkStart w:id="1348" w:name="_Toc17071"/>
      <w:bookmarkStart w:id="1349" w:name="_Toc1279"/>
      <w:bookmarkStart w:id="1350" w:name="_Toc5238"/>
      <w:bookmarkStart w:id="1351" w:name="_Toc12594"/>
      <w:bookmarkStart w:id="1352" w:name="_Toc21734"/>
      <w:bookmarkStart w:id="1353" w:name="_Toc6210"/>
      <w:bookmarkStart w:id="1354" w:name="_Toc517530752"/>
      <w:bookmarkStart w:id="1355" w:name="_Toc17209"/>
      <w:bookmarkStart w:id="1356" w:name="_Toc29175"/>
      <w:bookmarkStart w:id="1357" w:name="_Toc4454"/>
      <w:bookmarkStart w:id="1358" w:name="_Toc29387"/>
      <w:bookmarkStart w:id="1359" w:name="_Toc517532028"/>
      <w:r>
        <w:rPr>
          <w:rFonts w:hint="eastAsia" w:ascii="宋体" w:hAnsi="宋体" w:cs="宋体"/>
          <w:b/>
          <w:bCs/>
          <w:color w:val="auto"/>
          <w:sz w:val="24"/>
          <w:szCs w:val="24"/>
          <w:highlight w:val="none"/>
        </w:rPr>
        <w:t>3.2.2紧急情况的处置</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项目经理按合同约定组织工程实施。在紧急情况下为确保施工安全和人员安全，在无法与项目主任和总监理工程师及时取得联系时，项目经理有权采取必要的措施保证与工程有关的人身、财产和工程的安全，但应在48小时内向项目主任和总监理工程师提交书面报告。</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360" w:name="_Toc16906"/>
      <w:bookmarkStart w:id="1361" w:name="_Toc24888"/>
      <w:bookmarkStart w:id="1362" w:name="_Toc25164"/>
      <w:bookmarkStart w:id="1363" w:name="_Toc30799"/>
      <w:bookmarkStart w:id="1364" w:name="_Toc517530753"/>
      <w:bookmarkStart w:id="1365" w:name="_Toc517532029"/>
      <w:bookmarkStart w:id="1366" w:name="_Toc20417"/>
      <w:bookmarkStart w:id="1367" w:name="_Toc754"/>
      <w:bookmarkStart w:id="1368" w:name="_Toc6723"/>
      <w:bookmarkStart w:id="1369" w:name="_Toc16138"/>
      <w:bookmarkStart w:id="1370" w:name="_Toc28076"/>
      <w:bookmarkStart w:id="1371" w:name="_Toc13466"/>
      <w:bookmarkStart w:id="1372" w:name="_Toc19651"/>
      <w:bookmarkStart w:id="1373" w:name="_Toc16048"/>
      <w:bookmarkStart w:id="1374" w:name="_Toc25783"/>
      <w:bookmarkStart w:id="1375" w:name="_Toc22636"/>
      <w:bookmarkStart w:id="1376" w:name="_Toc32474"/>
      <w:bookmarkStart w:id="1377" w:name="_Toc10629"/>
      <w:bookmarkStart w:id="1378" w:name="_Toc21051"/>
      <w:r>
        <w:rPr>
          <w:rFonts w:hint="eastAsia" w:ascii="宋体" w:hAnsi="宋体" w:cs="宋体"/>
          <w:b/>
          <w:bCs/>
          <w:color w:val="auto"/>
          <w:sz w:val="24"/>
          <w:szCs w:val="24"/>
          <w:highlight w:val="none"/>
        </w:rPr>
        <w:t>3.2.3项目经理的更换</w:t>
      </w:r>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如果需要更换投标文件附表所报项目经理或项目技术负责人名单，应事先与监理人协商并取得发包人的</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同意。如果监理人认为已委派的项目经理或项目技术负责人的工作能力和业务水平不能胜任履行合同义务经发包人</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同意而需要撤换时，承包人应在接到通知14天内，尽快撤回委派的项目经理或项目技术负责人，同时委派一名新的经发包人与监理人同意的项目经理或项目技术负责人。</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项目经理的更换按照专用条款相关约定执行。</w:t>
      </w:r>
    </w:p>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1379" w:name="_Toc18990"/>
      <w:bookmarkStart w:id="1380" w:name="_Toc25497"/>
      <w:bookmarkStart w:id="1381" w:name="_Toc517528663"/>
      <w:bookmarkStart w:id="1382" w:name="_Toc10749"/>
      <w:bookmarkStart w:id="1383" w:name="_Toc25373"/>
      <w:bookmarkStart w:id="1384" w:name="_Toc32682"/>
      <w:bookmarkStart w:id="1385" w:name="_Toc10507"/>
      <w:bookmarkStart w:id="1386" w:name="_Toc32604"/>
      <w:bookmarkStart w:id="1387" w:name="_Toc14760"/>
      <w:bookmarkStart w:id="1388" w:name="_Toc517532030"/>
      <w:bookmarkStart w:id="1389" w:name="_Toc3241"/>
      <w:bookmarkStart w:id="1390" w:name="_Toc28094"/>
      <w:bookmarkStart w:id="1391" w:name="_Toc22172"/>
      <w:bookmarkStart w:id="1392" w:name="_Toc26949"/>
      <w:bookmarkStart w:id="1393" w:name="_Toc8159"/>
      <w:bookmarkStart w:id="1394" w:name="_Toc69113946"/>
      <w:bookmarkStart w:id="1395" w:name="_Toc23895"/>
      <w:bookmarkStart w:id="1396" w:name="_Toc517530754"/>
      <w:bookmarkStart w:id="1397" w:name="_Toc17830"/>
      <w:bookmarkStart w:id="1398" w:name="_Toc29597"/>
      <w:bookmarkStart w:id="1399" w:name="_Toc29331"/>
      <w:r>
        <w:rPr>
          <w:rFonts w:hint="eastAsia" w:ascii="宋体" w:hAnsi="宋体" w:cs="宋体"/>
          <w:b/>
          <w:bCs/>
          <w:color w:val="auto"/>
          <w:sz w:val="28"/>
          <w:szCs w:val="28"/>
          <w:highlight w:val="none"/>
        </w:rPr>
        <w:t>3.3 承包人人员</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400" w:name="_Toc22789"/>
      <w:bookmarkStart w:id="1401" w:name="_Toc10100"/>
      <w:bookmarkStart w:id="1402" w:name="_Toc2280"/>
      <w:bookmarkStart w:id="1403" w:name="_Toc6143"/>
      <w:bookmarkStart w:id="1404" w:name="_Toc11626"/>
      <w:bookmarkStart w:id="1405" w:name="_Toc3506"/>
      <w:bookmarkStart w:id="1406" w:name="_Toc517532031"/>
      <w:bookmarkStart w:id="1407" w:name="_Toc10021"/>
      <w:bookmarkStart w:id="1408" w:name="_Toc2584"/>
      <w:bookmarkStart w:id="1409" w:name="_Toc16376"/>
      <w:bookmarkStart w:id="1410" w:name="_Toc17548"/>
      <w:bookmarkStart w:id="1411" w:name="_Toc32645"/>
      <w:bookmarkStart w:id="1412" w:name="_Toc7265"/>
      <w:bookmarkStart w:id="1413" w:name="_Toc32743"/>
      <w:bookmarkStart w:id="1414" w:name="_Toc23828"/>
      <w:bookmarkStart w:id="1415" w:name="_Toc7835"/>
      <w:bookmarkStart w:id="1416" w:name="_Toc517530755"/>
      <w:bookmarkStart w:id="1417" w:name="_Toc9368"/>
      <w:bookmarkStart w:id="1418" w:name="_Toc20297"/>
      <w:bookmarkStart w:id="1419" w:name="_Toc337558749"/>
      <w:r>
        <w:rPr>
          <w:rFonts w:hint="eastAsia" w:ascii="宋体" w:hAnsi="宋体" w:cs="宋体"/>
          <w:b/>
          <w:bCs/>
          <w:color w:val="auto"/>
          <w:sz w:val="24"/>
          <w:szCs w:val="24"/>
          <w:highlight w:val="none"/>
        </w:rPr>
        <w:t>3.3.1职工的聘（雇）用</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除合同另有规定外，承包人应自行聘（雇）用当地或其他来源的职员和工人，并负责支付上述人员的工资（包括住宿及交通等费用），以及进场和退场的一切费用。承包人聘（雇）员应到在当地注册的劳务部门办理手续，并与其聘（雇）用的员工订立劳动合同（劳务合同）。承包人应当及时、审慎地处理其聘用或雇用的人员因本合同工程与承包人发生的劳动（劳务）纠纷，避免给发包人造成困扰或损失。</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承包人不得从为发包人或监理人服务的人员中招聘雇员或工人。</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承包人不得以任何发包人的责任为理由延期支付上述人员的工资。</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420" w:name="_Toc22637"/>
      <w:bookmarkStart w:id="1421" w:name="_Toc13243"/>
      <w:bookmarkStart w:id="1422" w:name="_Toc14855"/>
      <w:bookmarkStart w:id="1423" w:name="_Toc26403"/>
      <w:bookmarkStart w:id="1424" w:name="_Toc6922"/>
      <w:bookmarkStart w:id="1425" w:name="_Toc26857"/>
      <w:bookmarkStart w:id="1426" w:name="_Toc16992"/>
      <w:bookmarkStart w:id="1427" w:name="_Toc9177"/>
      <w:bookmarkStart w:id="1428" w:name="_Toc517530756"/>
      <w:bookmarkStart w:id="1429" w:name="_Toc25113"/>
      <w:bookmarkStart w:id="1430" w:name="_Toc17468"/>
      <w:bookmarkStart w:id="1431" w:name="_Toc2741"/>
      <w:bookmarkStart w:id="1432" w:name="_Toc28746"/>
      <w:bookmarkStart w:id="1433" w:name="_Toc9020"/>
      <w:bookmarkStart w:id="1434" w:name="_Toc517532032"/>
      <w:bookmarkStart w:id="1435" w:name="_Toc14239"/>
      <w:bookmarkStart w:id="1436" w:name="_Toc7926"/>
      <w:bookmarkStart w:id="1437" w:name="_Toc12397"/>
      <w:bookmarkStart w:id="1438" w:name="_Toc32613"/>
      <w:r>
        <w:rPr>
          <w:rFonts w:hint="eastAsia" w:ascii="宋体" w:hAnsi="宋体" w:cs="宋体"/>
          <w:b/>
          <w:bCs/>
          <w:color w:val="auto"/>
          <w:sz w:val="24"/>
          <w:szCs w:val="24"/>
          <w:highlight w:val="none"/>
        </w:rPr>
        <w:t>3.3.2承包人的职工</w:t>
      </w:r>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承包人应向现场派遣或雇用为实施和完成本合同工程及其缺陷的修复而需要的人员：</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(a)在本行业中技术熟练、经验丰富的各类专业技术人员和有能力进行施工管理、指导作业的工长；</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(b)适应本工程需要的各类熟练技工、半熟练技工和普通工。</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439" w:name="_Toc20780"/>
      <w:bookmarkStart w:id="1440" w:name="_Toc8216"/>
      <w:bookmarkStart w:id="1441" w:name="_Toc29689"/>
      <w:bookmarkStart w:id="1442" w:name="_Toc10059"/>
      <w:bookmarkStart w:id="1443" w:name="_Toc8208"/>
      <w:bookmarkStart w:id="1444" w:name="_Toc517532033"/>
      <w:bookmarkStart w:id="1445" w:name="_Toc18188"/>
      <w:bookmarkStart w:id="1446" w:name="_Toc7698"/>
      <w:bookmarkStart w:id="1447" w:name="_Toc7527"/>
      <w:bookmarkStart w:id="1448" w:name="_Toc16618"/>
      <w:bookmarkStart w:id="1449" w:name="_Toc8689"/>
      <w:bookmarkStart w:id="1450" w:name="_Toc990"/>
      <w:bookmarkStart w:id="1451" w:name="_Toc3813"/>
      <w:bookmarkStart w:id="1452" w:name="_Toc29909"/>
      <w:bookmarkStart w:id="1453" w:name="_Toc27506"/>
      <w:bookmarkStart w:id="1454" w:name="_Toc517530757"/>
      <w:bookmarkStart w:id="1455" w:name="_Toc246"/>
      <w:bookmarkStart w:id="1456" w:name="_Toc17207"/>
      <w:bookmarkStart w:id="1457" w:name="_Toc20910"/>
      <w:r>
        <w:rPr>
          <w:rFonts w:hint="eastAsia" w:ascii="宋体" w:hAnsi="宋体" w:cs="宋体"/>
          <w:b/>
          <w:bCs/>
          <w:color w:val="auto"/>
          <w:sz w:val="24"/>
          <w:szCs w:val="24"/>
          <w:highlight w:val="none"/>
        </w:rPr>
        <w:t>3.3.3承包人人员及装备统计</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如果监理人提出要求，承包人应向监理人提交一份详细的统计表，其格式和提交的间隔时间应符合监理人的规定。该表应填报承包人在现场的各类职员和各个工种、等级的工人人数，以及监理人要求的有关承包人装备等资料。</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458" w:name="_Toc6654"/>
      <w:bookmarkStart w:id="1459" w:name="_Toc32109"/>
      <w:bookmarkStart w:id="1460" w:name="_Toc22342"/>
      <w:bookmarkStart w:id="1461" w:name="_Toc28007"/>
      <w:bookmarkStart w:id="1462" w:name="_Toc29335"/>
      <w:bookmarkStart w:id="1463" w:name="_Toc28798"/>
      <w:bookmarkStart w:id="1464" w:name="_Toc517530758"/>
      <w:bookmarkStart w:id="1465" w:name="_Toc23761"/>
      <w:bookmarkStart w:id="1466" w:name="_Toc14927"/>
      <w:bookmarkStart w:id="1467" w:name="_Toc30237"/>
      <w:bookmarkStart w:id="1468" w:name="_Toc18061"/>
      <w:bookmarkStart w:id="1469" w:name="_Toc15945"/>
      <w:bookmarkStart w:id="1470" w:name="_Toc517532034"/>
      <w:bookmarkStart w:id="1471" w:name="_Toc32370"/>
      <w:bookmarkStart w:id="1472" w:name="_Toc10830"/>
      <w:bookmarkStart w:id="1473" w:name="_Toc7362"/>
      <w:bookmarkStart w:id="1474" w:name="_Toc11834"/>
      <w:bookmarkStart w:id="1475" w:name="_Toc9545"/>
      <w:bookmarkStart w:id="1476" w:name="_Toc23240"/>
      <w:r>
        <w:rPr>
          <w:rFonts w:hint="eastAsia" w:ascii="宋体" w:hAnsi="宋体" w:cs="宋体"/>
          <w:b/>
          <w:bCs/>
          <w:color w:val="auto"/>
          <w:sz w:val="24"/>
          <w:szCs w:val="24"/>
          <w:highlight w:val="none"/>
        </w:rPr>
        <w:t>3.3.4承包人人员的更换与撤换</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监理人或发包人有权要求承包人撤换由其派遣或雇用的那些工作不能胜任、玩忽职守、工作不负责任的其他人员。已被撤换的人员未经监理人同意不得重新回到本合同工程工作。</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477" w:name="_Toc23318"/>
      <w:bookmarkStart w:id="1478" w:name="_Toc517532035"/>
      <w:bookmarkStart w:id="1479" w:name="_Toc18756"/>
      <w:bookmarkStart w:id="1480" w:name="_Toc29935"/>
      <w:bookmarkStart w:id="1481" w:name="_Toc27953"/>
      <w:bookmarkStart w:id="1482" w:name="_Toc10254"/>
      <w:bookmarkStart w:id="1483" w:name="_Toc3442"/>
      <w:bookmarkStart w:id="1484" w:name="_Toc29043"/>
      <w:bookmarkStart w:id="1485" w:name="_Toc3792"/>
      <w:bookmarkStart w:id="1486" w:name="_Toc12507"/>
      <w:bookmarkStart w:id="1487" w:name="_Toc19123"/>
      <w:bookmarkStart w:id="1488" w:name="_Toc16080"/>
      <w:bookmarkStart w:id="1489" w:name="_Toc517530759"/>
      <w:bookmarkStart w:id="1490" w:name="_Toc14384"/>
      <w:bookmarkStart w:id="1491" w:name="_Toc4800"/>
      <w:bookmarkStart w:id="1492" w:name="_Toc23377"/>
      <w:bookmarkStart w:id="1493" w:name="_Toc26884"/>
      <w:bookmarkStart w:id="1494" w:name="_Toc13397"/>
      <w:bookmarkStart w:id="1495" w:name="_Toc429"/>
      <w:r>
        <w:rPr>
          <w:rFonts w:hint="eastAsia" w:ascii="宋体" w:hAnsi="宋体" w:cs="宋体"/>
          <w:b/>
          <w:bCs/>
          <w:color w:val="auto"/>
          <w:sz w:val="24"/>
          <w:szCs w:val="24"/>
          <w:highlight w:val="none"/>
        </w:rPr>
        <w:t>3.3.5劳务分包与工资支付</w:t>
      </w:r>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p>
    <w:p>
      <w:pPr>
        <w:adjustRightInd w:val="0"/>
        <w:snapToGrid w:val="0"/>
        <w:spacing w:line="360" w:lineRule="auto"/>
        <w:ind w:firstLine="428" w:firstLineChars="200"/>
        <w:jc w:val="left"/>
        <w:rPr>
          <w:rFonts w:hint="eastAsia" w:ascii="宋体" w:hAnsi="宋体" w:cs="宋体"/>
          <w:b/>
          <w:bCs/>
          <w:color w:val="auto"/>
          <w:spacing w:val="2"/>
          <w:szCs w:val="21"/>
          <w:highlight w:val="none"/>
        </w:rPr>
      </w:pPr>
      <w:r>
        <w:rPr>
          <w:rFonts w:hint="eastAsia" w:ascii="宋体" w:hAnsi="宋体" w:cs="宋体"/>
          <w:b/>
          <w:bCs/>
          <w:color w:val="auto"/>
          <w:spacing w:val="2"/>
          <w:szCs w:val="21"/>
          <w:highlight w:val="none"/>
        </w:rPr>
        <w:t>（a）劳务工工资的支付</w:t>
      </w:r>
    </w:p>
    <w:p>
      <w:pPr>
        <w:adjustRightInd w:val="0"/>
        <w:snapToGrid w:val="0"/>
        <w:spacing w:line="360" w:lineRule="auto"/>
        <w:ind w:firstLine="428" w:firstLineChars="200"/>
        <w:jc w:val="left"/>
        <w:rPr>
          <w:rFonts w:hint="eastAsia" w:ascii="宋体" w:hAnsi="宋体" w:cs="宋体"/>
          <w:color w:val="auto"/>
          <w:spacing w:val="2"/>
          <w:szCs w:val="21"/>
          <w:highlight w:val="none"/>
        </w:rPr>
      </w:pPr>
      <w:r>
        <w:rPr>
          <w:rFonts w:hint="eastAsia" w:ascii="宋体" w:hAnsi="宋体" w:cs="宋体"/>
          <w:color w:val="auto"/>
          <w:spacing w:val="2"/>
          <w:szCs w:val="21"/>
          <w:highlight w:val="none"/>
        </w:rPr>
        <w:t>承包人必须严格按照国家、省、市等有关规定支付劳务工工资，不得拖欠或克扣。</w:t>
      </w:r>
    </w:p>
    <w:p>
      <w:pPr>
        <w:adjustRightInd w:val="0"/>
        <w:snapToGrid w:val="0"/>
        <w:spacing w:line="360" w:lineRule="auto"/>
        <w:ind w:firstLine="420"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（b）劳务分包工作</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建筑劳务分包工作按建设行政主管部门有关规定执行。</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496" w:name="_Toc30702"/>
      <w:bookmarkStart w:id="1497" w:name="_Toc18471"/>
      <w:bookmarkStart w:id="1498" w:name="_Toc5870"/>
      <w:bookmarkStart w:id="1499" w:name="_Toc30979"/>
      <w:bookmarkStart w:id="1500" w:name="_Toc16716"/>
      <w:bookmarkStart w:id="1501" w:name="_Toc18363"/>
      <w:bookmarkStart w:id="1502" w:name="_Toc4139"/>
      <w:bookmarkStart w:id="1503" w:name="_Toc29258"/>
      <w:bookmarkStart w:id="1504" w:name="_Toc517532036"/>
      <w:bookmarkStart w:id="1505" w:name="_Toc22373"/>
      <w:bookmarkStart w:id="1506" w:name="_Toc31505"/>
      <w:bookmarkStart w:id="1507" w:name="_Toc26963"/>
      <w:bookmarkStart w:id="1508" w:name="_Toc30575"/>
      <w:bookmarkStart w:id="1509" w:name="_Toc517530760"/>
      <w:bookmarkStart w:id="1510" w:name="_Toc10285"/>
      <w:bookmarkStart w:id="1511" w:name="_Toc1533"/>
      <w:bookmarkStart w:id="1512" w:name="_Toc32121"/>
      <w:bookmarkStart w:id="1513" w:name="_Toc6035"/>
      <w:bookmarkStart w:id="1514" w:name="_Toc2018"/>
      <w:r>
        <w:rPr>
          <w:rFonts w:hint="eastAsia" w:ascii="宋体" w:hAnsi="宋体" w:cs="宋体"/>
          <w:b/>
          <w:bCs/>
          <w:color w:val="auto"/>
          <w:sz w:val="24"/>
          <w:szCs w:val="24"/>
          <w:highlight w:val="none"/>
        </w:rPr>
        <w:t>3.3.6劳务协议报备</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承包人签订的劳务协议的副本应报送监理人核备。承包人不得以签订劳务协议为名行分包之实。如经发现，按第3.5.1条处理。</w:t>
      </w:r>
    </w:p>
    <w:bookmarkEnd w:id="1419"/>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1515" w:name="_Toc21622"/>
      <w:bookmarkStart w:id="1516" w:name="_Toc15006"/>
      <w:bookmarkStart w:id="1517" w:name="_Toc10027"/>
      <w:bookmarkStart w:id="1518" w:name="_Toc15059"/>
      <w:bookmarkStart w:id="1519" w:name="_Toc517530761"/>
      <w:bookmarkStart w:id="1520" w:name="_Toc13926"/>
      <w:bookmarkStart w:id="1521" w:name="_Toc8900"/>
      <w:bookmarkStart w:id="1522" w:name="_Toc330"/>
      <w:bookmarkStart w:id="1523" w:name="_Toc29240"/>
      <w:bookmarkStart w:id="1524" w:name="_Toc69113947"/>
      <w:bookmarkStart w:id="1525" w:name="_Toc25508"/>
      <w:bookmarkStart w:id="1526" w:name="_Toc19624"/>
      <w:bookmarkStart w:id="1527" w:name="_Toc24034"/>
      <w:bookmarkStart w:id="1528" w:name="_Toc11698"/>
      <w:bookmarkStart w:id="1529" w:name="_Toc5759"/>
      <w:bookmarkStart w:id="1530" w:name="_Toc3668"/>
      <w:bookmarkStart w:id="1531" w:name="_Toc517528664"/>
      <w:bookmarkStart w:id="1532" w:name="_Toc5813"/>
      <w:bookmarkStart w:id="1533" w:name="_Toc16507"/>
      <w:bookmarkStart w:id="1534" w:name="_Toc31372"/>
      <w:bookmarkStart w:id="1535" w:name="_Toc30568"/>
      <w:bookmarkStart w:id="1536" w:name="_Toc517532037"/>
      <w:bookmarkStart w:id="1537" w:name="_Toc296503050"/>
      <w:bookmarkStart w:id="1538" w:name="_Toc337558750"/>
      <w:bookmarkStart w:id="1539" w:name="_Toc296346551"/>
      <w:r>
        <w:rPr>
          <w:rFonts w:hint="eastAsia" w:ascii="宋体" w:hAnsi="宋体" w:cs="宋体"/>
          <w:b/>
          <w:bCs/>
          <w:color w:val="auto"/>
          <w:sz w:val="28"/>
          <w:szCs w:val="28"/>
          <w:highlight w:val="none"/>
        </w:rPr>
        <w:t>3.4 承包人现场查勘</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540" w:name="_Toc22406"/>
      <w:bookmarkStart w:id="1541" w:name="_Toc17240"/>
      <w:bookmarkStart w:id="1542" w:name="_Toc11258"/>
      <w:bookmarkStart w:id="1543" w:name="_Toc7837"/>
      <w:bookmarkStart w:id="1544" w:name="_Toc23976"/>
      <w:bookmarkStart w:id="1545" w:name="_Toc8626"/>
      <w:bookmarkStart w:id="1546" w:name="_Toc517532038"/>
      <w:bookmarkStart w:id="1547" w:name="_Toc9563"/>
      <w:bookmarkStart w:id="1548" w:name="_Toc7895"/>
      <w:bookmarkStart w:id="1549" w:name="_Toc25007"/>
      <w:bookmarkStart w:id="1550" w:name="_Toc23438"/>
      <w:bookmarkStart w:id="1551" w:name="_Toc3367"/>
      <w:bookmarkStart w:id="1552" w:name="_Toc13203"/>
      <w:bookmarkStart w:id="1553" w:name="_Toc517530762"/>
      <w:bookmarkStart w:id="1554" w:name="_Toc4059"/>
      <w:bookmarkStart w:id="1555" w:name="_Toc25771"/>
      <w:bookmarkStart w:id="1556" w:name="_Toc26548"/>
      <w:bookmarkStart w:id="1557" w:name="_Toc18928"/>
      <w:bookmarkStart w:id="1558" w:name="_Toc15245"/>
      <w:r>
        <w:rPr>
          <w:rFonts w:hint="eastAsia" w:ascii="宋体" w:hAnsi="宋体" w:cs="宋体"/>
          <w:b/>
          <w:bCs/>
          <w:color w:val="auto"/>
          <w:sz w:val="24"/>
          <w:szCs w:val="24"/>
          <w:highlight w:val="none"/>
        </w:rPr>
        <w:t>3.4.1勘察资料</w:t>
      </w:r>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发包人或发包人委托的勘察设计单位提供的水文、地质、气象等资料供承包人参考。但上述资料决不意味着免除根据合同文件应由承包人承担的任何责任，应认为承包人在编制投标书之前，已研究和分析发包人提供的水文、地质、气象等资料，承包人自己应对该资料的理解、判断和应用负责。</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559" w:name="_Toc5916"/>
      <w:bookmarkStart w:id="1560" w:name="_Toc517530763"/>
      <w:bookmarkStart w:id="1561" w:name="_Toc4590"/>
      <w:bookmarkStart w:id="1562" w:name="_Toc27010"/>
      <w:bookmarkStart w:id="1563" w:name="_Toc24561"/>
      <w:bookmarkStart w:id="1564" w:name="_Toc5655"/>
      <w:bookmarkStart w:id="1565" w:name="_Toc9283"/>
      <w:bookmarkStart w:id="1566" w:name="_Toc13814"/>
      <w:bookmarkStart w:id="1567" w:name="_Toc9057"/>
      <w:bookmarkStart w:id="1568" w:name="_Toc11913"/>
      <w:bookmarkStart w:id="1569" w:name="_Toc10101"/>
      <w:bookmarkStart w:id="1570" w:name="_Toc517532039"/>
      <w:bookmarkStart w:id="1571" w:name="_Toc29827"/>
      <w:bookmarkStart w:id="1572" w:name="_Toc31911"/>
      <w:bookmarkStart w:id="1573" w:name="_Toc3902"/>
      <w:bookmarkStart w:id="1574" w:name="_Toc1616"/>
      <w:bookmarkStart w:id="1575" w:name="_Toc28438"/>
      <w:bookmarkStart w:id="1576" w:name="_Toc18395"/>
      <w:bookmarkStart w:id="1577" w:name="_Toc7282"/>
      <w:bookmarkStart w:id="1578" w:name="_Toc16395"/>
      <w:r>
        <w:rPr>
          <w:rFonts w:hint="eastAsia" w:ascii="宋体" w:hAnsi="宋体" w:cs="宋体"/>
          <w:b/>
          <w:bCs/>
          <w:color w:val="auto"/>
          <w:sz w:val="24"/>
          <w:szCs w:val="24"/>
          <w:highlight w:val="none"/>
        </w:rPr>
        <w:t>3.4.2现场考察</w:t>
      </w:r>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应认为承包人在送交投标文件之前，已对现场和其周围环境以及与之有关可得到的资料进行了察看和核查，并对以下几点内容已经查明：</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(a)现场的地形地貌和特征，包括地表以下的情况；</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(b)水文和气象条件；</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(c)实施和完成本合同工程及其缺陷的修复所需做的工作范围、性质和所需用的材料采购和加工；</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(d)进入现场的手段和需要的住宿供应条件、临时给排水及供电条件；</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(e)当地的乡规民约和风俗习惯。</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还应认为，承包人已取得有关可能对投标有影响或起作用的风险、意外及其所有其他情况的必要资料。</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579" w:name="_Toc29128"/>
      <w:bookmarkStart w:id="1580" w:name="_Toc4573"/>
      <w:bookmarkStart w:id="1581" w:name="_Toc18234"/>
      <w:bookmarkStart w:id="1582" w:name="_Toc31113"/>
      <w:bookmarkStart w:id="1583" w:name="_Toc19468"/>
      <w:bookmarkStart w:id="1584" w:name="_Toc11233"/>
      <w:bookmarkStart w:id="1585" w:name="_Toc5305"/>
      <w:bookmarkStart w:id="1586" w:name="_Toc27371"/>
      <w:bookmarkStart w:id="1587" w:name="_Toc15828"/>
      <w:bookmarkStart w:id="1588" w:name="_Toc15592"/>
      <w:bookmarkStart w:id="1589" w:name="_Toc517532040"/>
      <w:bookmarkStart w:id="1590" w:name="_Toc28564"/>
      <w:bookmarkStart w:id="1591" w:name="_Toc517530764"/>
      <w:bookmarkStart w:id="1592" w:name="_Toc9185"/>
      <w:bookmarkStart w:id="1593" w:name="_Toc23666"/>
      <w:bookmarkStart w:id="1594" w:name="_Toc21355"/>
      <w:bookmarkStart w:id="1595" w:name="_Toc19683"/>
      <w:bookmarkStart w:id="1596" w:name="_Toc13953"/>
      <w:bookmarkStart w:id="1597" w:name="_Toc19747"/>
      <w:bookmarkStart w:id="1598" w:name="_Toc30298"/>
      <w:r>
        <w:rPr>
          <w:rFonts w:hint="eastAsia" w:ascii="宋体" w:hAnsi="宋体" w:cs="宋体"/>
          <w:b/>
          <w:bCs/>
          <w:color w:val="auto"/>
          <w:sz w:val="24"/>
          <w:szCs w:val="24"/>
          <w:highlight w:val="none"/>
        </w:rPr>
        <w:t>3.4.3现场管线等地下构筑物对施工的影响</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应认为承包</w:t>
      </w:r>
      <w:r>
        <w:rPr>
          <w:rFonts w:hint="eastAsia" w:ascii="宋体" w:hAnsi="宋体" w:cs="宋体"/>
          <w:color w:val="auto"/>
          <w:spacing w:val="-2"/>
          <w:szCs w:val="21"/>
          <w:highlight w:val="none"/>
        </w:rPr>
        <w:t>人在投标之前，已在勘察设计资料的基础上，对现场存在的管线等</w:t>
      </w:r>
      <w:r>
        <w:rPr>
          <w:rFonts w:hint="eastAsia" w:ascii="宋体" w:hAnsi="宋体" w:cs="宋体"/>
          <w:color w:val="auto"/>
          <w:szCs w:val="21"/>
          <w:highlight w:val="none"/>
        </w:rPr>
        <w:t>地下构筑物作进一步的调查和了解，以取得其对施工影响的全部信息，并在投标报价和进度计划中作出充分的考虑。承包人确认，其提交投标书时已经充分考虑现场管线等地下构筑物不明的不利影响，并在投标报价中包含了可能因此发生的损失或费用。</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发包人提供的地下管线和设施探测资料（如有）仅供承包人参考，承包人施工时应先进行试挖，避免因盲目施工对地下管线和设施造成破坏。</w:t>
      </w:r>
    </w:p>
    <w:bookmarkEnd w:id="1537"/>
    <w:bookmarkEnd w:id="1538"/>
    <w:bookmarkEnd w:id="1539"/>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1599" w:name="_Toc465237093"/>
      <w:bookmarkStart w:id="1600" w:name="_Toc2555"/>
      <w:bookmarkStart w:id="1601" w:name="_Toc517532041"/>
      <w:bookmarkStart w:id="1602" w:name="_Toc19596"/>
      <w:bookmarkStart w:id="1603" w:name="_Toc17104"/>
      <w:bookmarkStart w:id="1604" w:name="_Toc13400"/>
      <w:bookmarkStart w:id="1605" w:name="_Toc12349"/>
      <w:bookmarkStart w:id="1606" w:name="_Toc9809"/>
      <w:bookmarkStart w:id="1607" w:name="_Toc9822"/>
      <w:bookmarkStart w:id="1608" w:name="_Toc517530765"/>
      <w:bookmarkStart w:id="1609" w:name="_Toc10186"/>
      <w:bookmarkStart w:id="1610" w:name="_Toc517528665"/>
      <w:bookmarkStart w:id="1611" w:name="_Toc22485"/>
      <w:bookmarkStart w:id="1612" w:name="_Toc28321"/>
      <w:bookmarkStart w:id="1613" w:name="_Toc26996"/>
      <w:bookmarkStart w:id="1614" w:name="_Toc25925"/>
      <w:bookmarkStart w:id="1615" w:name="_Toc16135"/>
      <w:bookmarkStart w:id="1616" w:name="_Toc69113948"/>
      <w:bookmarkStart w:id="1617" w:name="_Toc20129"/>
      <w:bookmarkStart w:id="1618" w:name="_Toc29972"/>
      <w:bookmarkStart w:id="1619" w:name="_Toc465237191"/>
      <w:bookmarkStart w:id="1620" w:name="_Toc143"/>
      <w:bookmarkStart w:id="1621" w:name="_Toc8579"/>
      <w:bookmarkStart w:id="1622" w:name="_Toc10421"/>
      <w:r>
        <w:rPr>
          <w:rFonts w:hint="eastAsia" w:ascii="宋体" w:hAnsi="宋体" w:cs="宋体"/>
          <w:b/>
          <w:bCs/>
          <w:color w:val="auto"/>
          <w:sz w:val="28"/>
          <w:szCs w:val="28"/>
          <w:highlight w:val="none"/>
        </w:rPr>
        <w:t>3.5转包、分包</w:t>
      </w:r>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623" w:name="_Toc517530766"/>
      <w:bookmarkStart w:id="1624" w:name="_Toc18978"/>
      <w:bookmarkStart w:id="1625" w:name="_Toc32408"/>
      <w:bookmarkStart w:id="1626" w:name="_Toc29660"/>
      <w:bookmarkStart w:id="1627" w:name="_Toc18351"/>
      <w:bookmarkStart w:id="1628" w:name="_Toc4104"/>
      <w:bookmarkStart w:id="1629" w:name="_Toc517532042"/>
      <w:bookmarkStart w:id="1630" w:name="_Toc11494"/>
      <w:bookmarkStart w:id="1631" w:name="_Toc3059"/>
      <w:bookmarkStart w:id="1632" w:name="_Toc16182"/>
      <w:bookmarkStart w:id="1633" w:name="_Toc19654"/>
      <w:bookmarkStart w:id="1634" w:name="_Toc13730"/>
      <w:bookmarkStart w:id="1635" w:name="_Toc3138"/>
      <w:bookmarkStart w:id="1636" w:name="_Toc19226"/>
      <w:bookmarkStart w:id="1637" w:name="_Toc23144"/>
      <w:bookmarkStart w:id="1638" w:name="_Toc19188"/>
      <w:bookmarkStart w:id="1639" w:name="_Toc15786"/>
      <w:r>
        <w:rPr>
          <w:rFonts w:hint="eastAsia" w:ascii="宋体" w:hAnsi="宋体" w:cs="宋体"/>
          <w:b/>
          <w:bCs/>
          <w:color w:val="auto"/>
          <w:sz w:val="24"/>
          <w:szCs w:val="24"/>
          <w:highlight w:val="none"/>
        </w:rPr>
        <w:t>3.5.1禁止挂靠、转包或违法分包</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（1）承包人应当保证本合同项下工程投标、施工不存在任何挂靠行为。</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（2）承包人不得以任何理由、任何形式将本合同或其中任何部分转让给其他单位或个人。</w:t>
      </w:r>
    </w:p>
    <w:p>
      <w:pPr>
        <w:spacing w:line="360" w:lineRule="auto"/>
        <w:ind w:firstLine="420"/>
        <w:jc w:val="left"/>
        <w:rPr>
          <w:rFonts w:ascii="宋体" w:hAnsi="宋体" w:cs="宋体"/>
          <w:color w:val="auto"/>
          <w:szCs w:val="21"/>
          <w:highlight w:val="none"/>
        </w:rPr>
      </w:pPr>
      <w:r>
        <w:rPr>
          <w:rFonts w:hint="eastAsia" w:ascii="宋体" w:hAnsi="宋体" w:cs="宋体"/>
          <w:color w:val="auto"/>
          <w:szCs w:val="21"/>
          <w:highlight w:val="none"/>
        </w:rPr>
        <w:t>（3）未经发包人</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同意，承包人不得以任何理由、任何形式将工程的任何部分分包给其他单位或个人。承包人不得将全部工程肢解分包，并应禁止分包人将分包工程的任何部分再分包。</w:t>
      </w:r>
    </w:p>
    <w:p>
      <w:pPr>
        <w:spacing w:line="360" w:lineRule="auto"/>
        <w:ind w:firstLine="420"/>
        <w:jc w:val="left"/>
        <w:rPr>
          <w:rFonts w:hint="eastAsia" w:ascii="宋体" w:hAnsi="宋体" w:cs="宋体"/>
          <w:color w:val="auto"/>
          <w:szCs w:val="21"/>
          <w:highlight w:val="none"/>
        </w:rPr>
      </w:pPr>
      <w:r>
        <w:rPr>
          <w:rFonts w:hint="eastAsia" w:ascii="宋体" w:hAnsi="宋体" w:cs="宋体"/>
          <w:color w:val="auto"/>
          <w:szCs w:val="21"/>
          <w:highlight w:val="none"/>
        </w:rPr>
        <w:t>（3）承包人不得以任何理由、任何形式将工程的任何部分分包给被发包人按照不良行为记录处理办法规定的纳入拒绝参与发包人工程建设的单位。</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）为满足本工程监督、管理的需要，发包人有权要求承包人提供与本工程施工及管理相关的资料，承包人应予以配合。</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640" w:name="_Toc25280"/>
      <w:bookmarkStart w:id="1641" w:name="_Toc19847"/>
      <w:bookmarkStart w:id="1642" w:name="_Toc6590"/>
      <w:bookmarkStart w:id="1643" w:name="_Toc23711"/>
      <w:bookmarkStart w:id="1644" w:name="_Toc29320"/>
      <w:bookmarkStart w:id="1645" w:name="_Toc517532043"/>
      <w:bookmarkStart w:id="1646" w:name="_Toc30101"/>
      <w:bookmarkStart w:id="1647" w:name="_Toc8124"/>
      <w:bookmarkStart w:id="1648" w:name="_Toc4164"/>
      <w:bookmarkStart w:id="1649" w:name="_Toc18894"/>
      <w:bookmarkStart w:id="1650" w:name="_Toc1934"/>
      <w:bookmarkStart w:id="1651" w:name="_Toc23652"/>
      <w:bookmarkStart w:id="1652" w:name="_Toc19563"/>
      <w:bookmarkStart w:id="1653" w:name="_Toc12259"/>
      <w:bookmarkStart w:id="1654" w:name="_Toc11005"/>
      <w:bookmarkStart w:id="1655" w:name="_Toc517530767"/>
      <w:bookmarkStart w:id="1656" w:name="_Toc2492"/>
      <w:r>
        <w:rPr>
          <w:rFonts w:hint="eastAsia" w:ascii="宋体" w:hAnsi="宋体" w:cs="宋体"/>
          <w:b/>
          <w:bCs/>
          <w:color w:val="auto"/>
          <w:sz w:val="24"/>
          <w:szCs w:val="24"/>
          <w:highlight w:val="none"/>
        </w:rPr>
        <w:t>3.5.2分包不解除责任</w:t>
      </w:r>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承包人不得将整个合同工程肢解分包出去。除非合同另有规定，承包人事先未报经监理人审查并取得发包人</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批准，也不得将本合同工程的任何部分分包出去。承包人即使取得上述批准，也不应解除合同规定的承包人的任何责任或义务，并应对分包人及其职工的行为负完全责任。</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对于提供劳务或根据合同规定的标准采购材料，虽不要求承包人取得上述批准，但承包人应报监理人备案，监理人对此有权进行核查。</w:t>
      </w:r>
    </w:p>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1657" w:name="_Toc2144"/>
      <w:bookmarkStart w:id="1658" w:name="_Toc7140"/>
      <w:bookmarkStart w:id="1659" w:name="_Toc465237094"/>
      <w:bookmarkStart w:id="1660" w:name="_Toc436"/>
      <w:bookmarkStart w:id="1661" w:name="_Toc25820"/>
      <w:bookmarkStart w:id="1662" w:name="_Toc29445"/>
      <w:bookmarkStart w:id="1663" w:name="_Toc15111"/>
      <w:bookmarkStart w:id="1664" w:name="_Toc25402"/>
      <w:bookmarkStart w:id="1665" w:name="_Toc5499"/>
      <w:bookmarkStart w:id="1666" w:name="_Toc30510"/>
      <w:bookmarkStart w:id="1667" w:name="_Toc517532044"/>
      <w:bookmarkStart w:id="1668" w:name="_Toc4453"/>
      <w:bookmarkStart w:id="1669" w:name="_Toc2838"/>
      <w:bookmarkStart w:id="1670" w:name="_Toc10536"/>
      <w:bookmarkStart w:id="1671" w:name="_Toc1725"/>
      <w:bookmarkStart w:id="1672" w:name="_Toc517530768"/>
      <w:bookmarkStart w:id="1673" w:name="_Toc69113949"/>
      <w:bookmarkStart w:id="1674" w:name="_Toc21381"/>
      <w:bookmarkStart w:id="1675" w:name="_Toc18072"/>
      <w:bookmarkStart w:id="1676" w:name="_Toc31406"/>
      <w:bookmarkStart w:id="1677" w:name="_Toc517528666"/>
      <w:bookmarkStart w:id="1678" w:name="_Toc6447"/>
      <w:bookmarkStart w:id="1679" w:name="_Toc9081"/>
      <w:bookmarkStart w:id="1680" w:name="_Toc465237192"/>
      <w:r>
        <w:rPr>
          <w:rFonts w:hint="eastAsia" w:ascii="宋体" w:hAnsi="宋体" w:cs="宋体"/>
          <w:b/>
          <w:bCs/>
          <w:color w:val="auto"/>
          <w:sz w:val="28"/>
          <w:szCs w:val="28"/>
          <w:highlight w:val="none"/>
        </w:rPr>
        <w:t>3.6承包人对指定专业工程承包人管理所发生的费用</w:t>
      </w:r>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对于同发包人签订了合同协议的指定专业工程承包人，发包人将可能指定由承包人对其进行统一管理。承包人承担的管理责任包括指定专业工程承包人完成工程的进度安排、施工现场管理协调以及竣工资料的汇总整理等。因此而产生的费用按承包人在投标报价时对指定承包工程所列的暂定金与自报的费率乘积包干使用，不随暂定金结算价的增减而调整。</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指定专业工程承包人负责的专业工程纳入本项目总承包工程的管理，由本项目总承包工程的承包人对整个工程进行统一协调管理，涉及相关费用按投标报价规定执行。本项目总承包工程的承包人与专业工程的指定承包人视作总分包关系，本项目总承包工程的承包人对专业工程的安全文明施工等承担连带责任。本项目总承包工程的承包人应与发包人签署补充协议，明确该专业工程的管理责任，为发包人办理施工许可证提供便利。</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1681" w:name="_Toc69113950"/>
      <w:r>
        <w:rPr>
          <w:rFonts w:hint="eastAsia" w:ascii="宋体" w:hAnsi="宋体" w:cs="宋体"/>
          <w:b/>
          <w:bCs/>
          <w:color w:val="auto"/>
          <w:sz w:val="28"/>
          <w:szCs w:val="28"/>
          <w:highlight w:val="none"/>
        </w:rPr>
        <w:t>3.7工作界面协调</w:t>
      </w:r>
      <w:bookmarkEnd w:id="1681"/>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（1）承包人应做好与本工程相关各专业工作界面的协调工作。本工程施工期间，承包人应无条件服从发包人及监理人的统一协调指令，并指定专人负责接口协调工作，确保发包人及监理人指令的及时实施。</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承包人在编制施工组织设计时，应根据设计文件和现场调查资料，充分考虑施工接口的部位及内容，制定可能引起接口部位安全质量问题的预付措施；及时向监理人提交本工程需其他专业工程提供接口的细目清单，交由监理人统一协调；或接受监理人的接口指令，及时实施接口指令作业。</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承包人与其它工程之间应当就施工接口、测量控制网点、预埋件（预留孔洞）位置和尺寸等资料及时互通信息，中线控制桩点应贯通测定，水准点应相互闭合，以确保施工顺利进行，避免工程质量事故的发生。</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由于承包人未能及时对工程接口问题进行协调或未及时实施监理人接口指令而造成工程延误、返工或其它损失，所有损失和费用由承包人承担。发包人或监理人均有权根据实际情况，要求承包人支付专用条款约定的违约金，包括并不限于采取扣付工程款等方式。</w:t>
      </w:r>
    </w:p>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1682" w:name="_Toc465237096"/>
      <w:bookmarkStart w:id="1683" w:name="_Toc12724"/>
      <w:bookmarkStart w:id="1684" w:name="_Toc25074"/>
      <w:bookmarkStart w:id="1685" w:name="_Toc30019"/>
      <w:bookmarkStart w:id="1686" w:name="_Toc3413"/>
      <w:bookmarkStart w:id="1687" w:name="_Toc8741"/>
      <w:bookmarkStart w:id="1688" w:name="_Toc25274"/>
      <w:bookmarkStart w:id="1689" w:name="_Toc10580"/>
      <w:bookmarkStart w:id="1690" w:name="_Toc28377"/>
      <w:bookmarkStart w:id="1691" w:name="_Toc517532045"/>
      <w:bookmarkStart w:id="1692" w:name="_Toc2546"/>
      <w:bookmarkStart w:id="1693" w:name="_Toc21696"/>
      <w:bookmarkStart w:id="1694" w:name="_Toc5597"/>
      <w:bookmarkStart w:id="1695" w:name="_Toc25485"/>
      <w:bookmarkStart w:id="1696" w:name="_Toc6029"/>
      <w:bookmarkStart w:id="1697" w:name="_Toc6058"/>
      <w:bookmarkStart w:id="1698" w:name="_Toc517530769"/>
      <w:bookmarkStart w:id="1699" w:name="_Toc14193"/>
      <w:bookmarkStart w:id="1700" w:name="_Toc517528667"/>
      <w:bookmarkStart w:id="1701" w:name="_Toc69113951"/>
      <w:bookmarkStart w:id="1702" w:name="_Toc11611"/>
      <w:bookmarkStart w:id="1703" w:name="_Toc465237194"/>
      <w:bookmarkStart w:id="1704" w:name="_Toc26673"/>
      <w:bookmarkStart w:id="1705" w:name="_Toc16734"/>
      <w:bookmarkStart w:id="1706" w:name="_Toc337558752"/>
      <w:bookmarkStart w:id="1707" w:name="_Toc296346553"/>
      <w:bookmarkStart w:id="1708" w:name="_Toc296503052"/>
      <w:r>
        <w:rPr>
          <w:rFonts w:hint="eastAsia" w:ascii="宋体" w:hAnsi="宋体" w:cs="宋体"/>
          <w:b/>
          <w:bCs/>
          <w:color w:val="auto"/>
          <w:sz w:val="28"/>
          <w:szCs w:val="28"/>
          <w:highlight w:val="none"/>
        </w:rPr>
        <w:t>3.8 履约担保</w:t>
      </w:r>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709" w:name="_Toc31931"/>
      <w:bookmarkStart w:id="1710" w:name="_Toc517532046"/>
      <w:bookmarkStart w:id="1711" w:name="_Toc27799"/>
      <w:bookmarkStart w:id="1712" w:name="_Toc517530770"/>
      <w:bookmarkStart w:id="1713" w:name="_Toc5517"/>
      <w:bookmarkStart w:id="1714" w:name="_Toc19503"/>
      <w:bookmarkStart w:id="1715" w:name="_Toc6147"/>
      <w:bookmarkStart w:id="1716" w:name="_Toc30612"/>
      <w:bookmarkStart w:id="1717" w:name="_Toc12223"/>
      <w:bookmarkStart w:id="1718" w:name="_Toc14524"/>
      <w:bookmarkStart w:id="1719" w:name="_Toc32418"/>
      <w:bookmarkStart w:id="1720" w:name="_Toc29951"/>
      <w:bookmarkStart w:id="1721" w:name="_Toc12316"/>
      <w:bookmarkStart w:id="1722" w:name="_Toc15808"/>
      <w:bookmarkStart w:id="1723" w:name="_Toc1767"/>
      <w:bookmarkStart w:id="1724" w:name="_Toc16276"/>
      <w:r>
        <w:rPr>
          <w:rFonts w:hint="eastAsia" w:ascii="宋体" w:hAnsi="宋体" w:cs="宋体"/>
          <w:b/>
          <w:bCs/>
          <w:color w:val="auto"/>
          <w:sz w:val="24"/>
          <w:szCs w:val="24"/>
          <w:highlight w:val="none"/>
        </w:rPr>
        <w:t>3.8.1履约担保金额</w:t>
      </w:r>
      <w:bookmarkEnd w:id="1709"/>
      <w:bookmarkEnd w:id="1710"/>
      <w:bookmarkEnd w:id="1711"/>
      <w:bookmarkEnd w:id="1712"/>
      <w:bookmarkEnd w:id="1713"/>
      <w:bookmarkStart w:id="1725" w:name="_Toc5049"/>
    </w:p>
    <w:p>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履约担保金额由合同双方在专用条款中约定。</w:t>
      </w:r>
      <w:bookmarkEnd w:id="1725"/>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726" w:name="_Toc17956"/>
      <w:bookmarkStart w:id="1727" w:name="_Toc30424"/>
      <w:bookmarkStart w:id="1728" w:name="_Toc2283"/>
      <w:bookmarkStart w:id="1729" w:name="_Toc517530771"/>
      <w:bookmarkStart w:id="1730" w:name="_Toc6701"/>
      <w:bookmarkStart w:id="1731" w:name="_Toc17341"/>
      <w:bookmarkStart w:id="1732" w:name="_Toc24585"/>
      <w:bookmarkStart w:id="1733" w:name="_Toc9408"/>
      <w:bookmarkStart w:id="1734" w:name="_Toc517532047"/>
      <w:r>
        <w:rPr>
          <w:rFonts w:hint="eastAsia" w:ascii="宋体" w:hAnsi="宋体" w:cs="宋体"/>
          <w:b/>
          <w:bCs/>
          <w:color w:val="auto"/>
          <w:sz w:val="24"/>
          <w:szCs w:val="24"/>
          <w:highlight w:val="none"/>
        </w:rPr>
        <w:t>3.8.2履约担保形式</w:t>
      </w:r>
      <w:bookmarkEnd w:id="1714"/>
      <w:bookmarkEnd w:id="1715"/>
      <w:bookmarkEnd w:id="1716"/>
      <w:bookmarkEnd w:id="1717"/>
      <w:bookmarkEnd w:id="1718"/>
      <w:bookmarkEnd w:id="1719"/>
      <w:bookmarkEnd w:id="1720"/>
      <w:bookmarkEnd w:id="1721"/>
      <w:bookmarkEnd w:id="1722"/>
      <w:bookmarkEnd w:id="1723"/>
      <w:bookmarkEnd w:id="1724"/>
      <w:bookmarkEnd w:id="1726"/>
      <w:bookmarkEnd w:id="1727"/>
      <w:bookmarkEnd w:id="1728"/>
      <w:bookmarkEnd w:id="1729"/>
      <w:bookmarkEnd w:id="1730"/>
      <w:bookmarkEnd w:id="1731"/>
      <w:bookmarkEnd w:id="1732"/>
      <w:bookmarkEnd w:id="1733"/>
      <w:bookmarkEnd w:id="1734"/>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承包人在收到中标通知书后</w:t>
      </w:r>
      <w:r>
        <w:rPr>
          <w:rFonts w:hint="eastAsia" w:ascii="宋体" w:hAnsi="宋体" w:cs="宋体"/>
          <w:color w:val="auto"/>
          <w:szCs w:val="21"/>
          <w:highlight w:val="none"/>
          <w:u w:val="single"/>
        </w:rPr>
        <w:t xml:space="preserve"> 28</w:t>
      </w:r>
      <w:r>
        <w:rPr>
          <w:rFonts w:hint="eastAsia" w:ascii="宋体" w:hAnsi="宋体" w:cs="宋体"/>
          <w:color w:val="auto"/>
          <w:szCs w:val="21"/>
          <w:highlight w:val="none"/>
        </w:rPr>
        <w:t>天之内并在签订合同协议书之前，应向发包人提交履约担保，同时通知监理人，履约担保采用银行履约保函的形式提供，保函的格式应按招标文件所附的或发包人认可的格式提供。提供担保的银行为国内股份制商业银行，担保的正本由发包人签收并保存，执行本条各项要求所需的费用由承包人承担。</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735" w:name="_Toc2408"/>
      <w:bookmarkStart w:id="1736" w:name="_Toc12517"/>
      <w:bookmarkStart w:id="1737" w:name="_Toc28212"/>
      <w:bookmarkStart w:id="1738" w:name="_Toc10476"/>
      <w:bookmarkStart w:id="1739" w:name="_Toc12720"/>
      <w:bookmarkStart w:id="1740" w:name="_Toc15959"/>
      <w:bookmarkStart w:id="1741" w:name="_Toc18264"/>
      <w:bookmarkStart w:id="1742" w:name="_Toc5080"/>
      <w:bookmarkStart w:id="1743" w:name="_Toc22563"/>
      <w:bookmarkStart w:id="1744" w:name="_Toc25875"/>
      <w:bookmarkStart w:id="1745" w:name="_Toc517532048"/>
      <w:bookmarkStart w:id="1746" w:name="_Toc15947"/>
      <w:bookmarkStart w:id="1747" w:name="_Toc21890"/>
      <w:bookmarkStart w:id="1748" w:name="_Toc21587"/>
      <w:bookmarkStart w:id="1749" w:name="_Toc26043"/>
      <w:bookmarkStart w:id="1750" w:name="_Toc20412"/>
      <w:bookmarkStart w:id="1751" w:name="_Toc517530772"/>
      <w:bookmarkStart w:id="1752" w:name="_Toc28414"/>
      <w:bookmarkStart w:id="1753" w:name="_Toc1558"/>
      <w:bookmarkStart w:id="1754" w:name="_Toc12962"/>
      <w:r>
        <w:rPr>
          <w:rFonts w:hint="eastAsia" w:ascii="宋体" w:hAnsi="宋体" w:cs="宋体"/>
          <w:b/>
          <w:bCs/>
          <w:color w:val="auto"/>
          <w:sz w:val="24"/>
          <w:szCs w:val="24"/>
          <w:highlight w:val="none"/>
        </w:rPr>
        <w:t>3.8.3履约担保的有效期</w:t>
      </w:r>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pPr>
        <w:spacing w:line="360" w:lineRule="auto"/>
        <w:ind w:firstLine="420" w:firstLineChars="200"/>
        <w:jc w:val="left"/>
        <w:rPr>
          <w:rFonts w:hint="eastAsia" w:ascii="宋体" w:hAnsi="宋体" w:cs="宋体"/>
          <w:b/>
          <w:bCs/>
          <w:color w:val="auto"/>
          <w:szCs w:val="21"/>
          <w:highlight w:val="none"/>
        </w:rPr>
      </w:pPr>
      <w:r>
        <w:rPr>
          <w:rFonts w:hint="eastAsia" w:ascii="宋体" w:hAnsi="宋体" w:cs="宋体"/>
          <w:color w:val="auto"/>
          <w:szCs w:val="21"/>
          <w:highlight w:val="none"/>
        </w:rPr>
        <w:t>承包人应保证履约保函在此合同工程交接证书签发（取得竣工验收备案证明）后</w:t>
      </w:r>
      <w:r>
        <w:rPr>
          <w:rFonts w:hint="eastAsia" w:ascii="宋体" w:hAnsi="宋体" w:cs="宋体"/>
          <w:color w:val="auto"/>
          <w:szCs w:val="21"/>
          <w:highlight w:val="none"/>
          <w:u w:val="single"/>
        </w:rPr>
        <w:t>119</w:t>
      </w:r>
      <w:r>
        <w:rPr>
          <w:rFonts w:hint="eastAsia" w:ascii="宋体" w:hAnsi="宋体" w:cs="宋体"/>
          <w:color w:val="auto"/>
          <w:szCs w:val="21"/>
          <w:highlight w:val="none"/>
        </w:rPr>
        <w:t>天之内保持有效并可执行（保函有效期的具体计算公式为：合同工期+</w:t>
      </w:r>
      <w:r>
        <w:rPr>
          <w:rFonts w:hint="eastAsia" w:ascii="宋体" w:hAnsi="宋体" w:cs="宋体"/>
          <w:color w:val="auto"/>
          <w:szCs w:val="21"/>
          <w:highlight w:val="none"/>
          <w:u w:val="single"/>
        </w:rPr>
        <w:t>119</w:t>
      </w:r>
      <w:r>
        <w:rPr>
          <w:rFonts w:hint="eastAsia" w:ascii="宋体" w:hAnsi="宋体" w:cs="宋体"/>
          <w:color w:val="auto"/>
          <w:szCs w:val="21"/>
          <w:highlight w:val="none"/>
        </w:rPr>
        <w:t>天）。之后，发包人就不应对本担保再提出任何索赔要求并应根据承包人的申请办理履约保函的退还手续。</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755" w:name="_Toc27515"/>
      <w:bookmarkStart w:id="1756" w:name="_Toc15403"/>
      <w:bookmarkStart w:id="1757" w:name="_Toc5205"/>
      <w:bookmarkStart w:id="1758" w:name="_Toc16506"/>
      <w:bookmarkStart w:id="1759" w:name="_Toc517532049"/>
      <w:bookmarkStart w:id="1760" w:name="_Toc24776"/>
      <w:bookmarkStart w:id="1761" w:name="_Toc22541"/>
      <w:bookmarkStart w:id="1762" w:name="_Toc517530773"/>
      <w:bookmarkStart w:id="1763" w:name="_Toc2178"/>
      <w:bookmarkStart w:id="1764" w:name="_Toc12251"/>
      <w:bookmarkStart w:id="1765" w:name="_Toc29556"/>
      <w:bookmarkStart w:id="1766" w:name="_Toc1228"/>
      <w:bookmarkStart w:id="1767" w:name="_Toc31607"/>
      <w:bookmarkStart w:id="1768" w:name="_Toc9065"/>
      <w:bookmarkStart w:id="1769" w:name="_Toc512"/>
      <w:bookmarkStart w:id="1770" w:name="_Toc20224"/>
      <w:bookmarkStart w:id="1771" w:name="_Toc28240"/>
      <w:bookmarkStart w:id="1772" w:name="_Toc22765"/>
      <w:bookmarkStart w:id="1773" w:name="_Toc10783"/>
      <w:bookmarkStart w:id="1774" w:name="_Toc25398"/>
      <w:r>
        <w:rPr>
          <w:rFonts w:hint="eastAsia" w:ascii="宋体" w:hAnsi="宋体" w:cs="宋体"/>
          <w:b/>
          <w:bCs/>
          <w:color w:val="auto"/>
          <w:sz w:val="24"/>
          <w:szCs w:val="24"/>
          <w:highlight w:val="none"/>
        </w:rPr>
        <w:t>3.8.4履约担保项下的索赔</w:t>
      </w:r>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发包人在对履约担保提出索赔要求之前，应通知承包人，说明有关此项索赔要求所涉及承包人违约的性质。发包人应在履约担保的范围内对承包人提起索赔。</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在出现下列情形时，发包人根据合同规定有权获得相应的金额，除此之外发包人不应对履约担保提出索赔：</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（a）承包人未能按第3.7.3条所述要求保持履约担保持续有效，这时发包人可以在履约担保有效期满前</w:t>
      </w:r>
      <w:r>
        <w:rPr>
          <w:rFonts w:hint="eastAsia" w:ascii="宋体" w:hAnsi="宋体" w:cs="宋体"/>
          <w:color w:val="auto"/>
          <w:szCs w:val="21"/>
          <w:highlight w:val="none"/>
          <w:u w:val="single"/>
        </w:rPr>
        <w:t>7</w:t>
      </w:r>
      <w:r>
        <w:rPr>
          <w:rFonts w:hint="eastAsia" w:ascii="宋体" w:hAnsi="宋体" w:cs="宋体"/>
          <w:color w:val="auto"/>
          <w:szCs w:val="21"/>
          <w:highlight w:val="none"/>
        </w:rPr>
        <w:t>天内索赔履约担保的全部金额；</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（b）承包人未能在商定或确定后</w:t>
      </w:r>
      <w:r>
        <w:rPr>
          <w:rFonts w:hint="eastAsia" w:ascii="宋体" w:hAnsi="宋体" w:cs="宋体"/>
          <w:color w:val="auto"/>
          <w:szCs w:val="21"/>
          <w:highlight w:val="none"/>
          <w:u w:val="single"/>
        </w:rPr>
        <w:t>42</w:t>
      </w:r>
      <w:r>
        <w:rPr>
          <w:rFonts w:hint="eastAsia" w:ascii="宋体" w:hAnsi="宋体" w:cs="宋体"/>
          <w:color w:val="auto"/>
          <w:szCs w:val="21"/>
          <w:highlight w:val="none"/>
        </w:rPr>
        <w:t>天内，将承包人同意的，或按规定确定的承包人应付金额付给发包人；</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（c）承包人未能在收到发包人要求纠正违约的通知后</w:t>
      </w:r>
      <w:r>
        <w:rPr>
          <w:rFonts w:hint="eastAsia" w:ascii="宋体" w:hAnsi="宋体" w:cs="宋体"/>
          <w:color w:val="auto"/>
          <w:szCs w:val="21"/>
          <w:highlight w:val="none"/>
          <w:u w:val="single"/>
        </w:rPr>
        <w:t>42</w:t>
      </w:r>
      <w:r>
        <w:rPr>
          <w:rFonts w:hint="eastAsia" w:ascii="宋体" w:hAnsi="宋体" w:cs="宋体"/>
          <w:color w:val="auto"/>
          <w:szCs w:val="21"/>
          <w:highlight w:val="none"/>
        </w:rPr>
        <w:t>天内进行纠正；</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（d）根据第16.2.1条的规定，发包人有权终止合同的情况，不管是否已发出终止通知。</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发包人应在履约担保的范围内对承包人提起索赔，若因发包人超出履约担保范围的索赔而引起承包人的损失，应予以赔偿。</w:t>
      </w:r>
    </w:p>
    <w:bookmarkEnd w:id="1706"/>
    <w:bookmarkEnd w:id="1707"/>
    <w:bookmarkEnd w:id="1708"/>
    <w:p>
      <w:pPr>
        <w:keepNext/>
        <w:keepLines/>
        <w:tabs>
          <w:tab w:val="left" w:pos="312"/>
        </w:tabs>
        <w:spacing w:before="156" w:beforeLines="50" w:after="156" w:afterLines="50" w:line="360" w:lineRule="auto"/>
        <w:ind w:left="562"/>
        <w:outlineLvl w:val="2"/>
        <w:rPr>
          <w:rFonts w:hint="eastAsia" w:ascii="宋体" w:hAnsi="宋体" w:cs="宋体"/>
          <w:b/>
          <w:bCs/>
          <w:color w:val="auto"/>
          <w:sz w:val="28"/>
          <w:szCs w:val="28"/>
          <w:highlight w:val="none"/>
        </w:rPr>
      </w:pPr>
      <w:bookmarkStart w:id="1775" w:name="_Toc465237097"/>
      <w:bookmarkStart w:id="1776" w:name="_Toc465237195"/>
      <w:bookmarkStart w:id="1777" w:name="_Toc25767"/>
      <w:bookmarkStart w:id="1778" w:name="_Toc12027"/>
      <w:bookmarkStart w:id="1779" w:name="_Toc9310"/>
      <w:bookmarkStart w:id="1780" w:name="_Toc517532050"/>
      <w:bookmarkStart w:id="1781" w:name="_Toc69113952"/>
      <w:bookmarkStart w:id="1782" w:name="_Toc14356"/>
      <w:bookmarkStart w:id="1783" w:name="_Toc842"/>
      <w:bookmarkStart w:id="1784" w:name="_Toc12125"/>
      <w:bookmarkStart w:id="1785" w:name="_Toc517528668"/>
      <w:bookmarkStart w:id="1786" w:name="_Toc3958"/>
      <w:bookmarkStart w:id="1787" w:name="_Toc517530774"/>
      <w:bookmarkStart w:id="1788" w:name="_Toc27683"/>
      <w:bookmarkStart w:id="1789" w:name="_Toc24947"/>
      <w:bookmarkStart w:id="1790" w:name="_Toc23938"/>
      <w:bookmarkStart w:id="1791" w:name="_Toc26725"/>
      <w:bookmarkStart w:id="1792" w:name="_Toc31423"/>
      <w:bookmarkStart w:id="1793" w:name="_Toc26189"/>
      <w:bookmarkStart w:id="1794" w:name="_Toc25307"/>
      <w:bookmarkStart w:id="1795" w:name="_Toc21069"/>
      <w:bookmarkStart w:id="1796" w:name="_Toc16783"/>
      <w:bookmarkStart w:id="1797" w:name="_Toc22189"/>
      <w:bookmarkStart w:id="1798" w:name="_Toc12650"/>
      <w:r>
        <w:rPr>
          <w:rFonts w:hint="eastAsia" w:ascii="宋体" w:hAnsi="宋体" w:cs="宋体"/>
          <w:b/>
          <w:bCs/>
          <w:color w:val="auto"/>
          <w:sz w:val="28"/>
          <w:szCs w:val="28"/>
          <w:highlight w:val="none"/>
        </w:rPr>
        <w:t>3.</w:t>
      </w:r>
      <w:bookmarkEnd w:id="1775"/>
      <w:bookmarkEnd w:id="1776"/>
      <w:r>
        <w:rPr>
          <w:rFonts w:hint="eastAsia" w:ascii="宋体" w:hAnsi="宋体" w:cs="宋体"/>
          <w:b/>
          <w:bCs/>
          <w:color w:val="auto"/>
          <w:sz w:val="28"/>
          <w:szCs w:val="28"/>
          <w:highlight w:val="none"/>
        </w:rPr>
        <w:t>9 联合体</w:t>
      </w:r>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799" w:name="_Toc26890"/>
      <w:bookmarkStart w:id="1800" w:name="_Toc28010"/>
      <w:bookmarkStart w:id="1801" w:name="_Toc5634"/>
      <w:bookmarkStart w:id="1802" w:name="_Toc27006"/>
      <w:bookmarkStart w:id="1803" w:name="_Toc31784"/>
      <w:bookmarkStart w:id="1804" w:name="_Toc30176"/>
      <w:bookmarkStart w:id="1805" w:name="_Toc18452"/>
      <w:bookmarkStart w:id="1806" w:name="_Toc23052"/>
      <w:bookmarkStart w:id="1807" w:name="_Toc27283"/>
      <w:bookmarkStart w:id="1808" w:name="_Toc517530775"/>
      <w:bookmarkStart w:id="1809" w:name="_Toc517532051"/>
      <w:bookmarkStart w:id="1810" w:name="_Toc11825"/>
      <w:bookmarkStart w:id="1811" w:name="_Toc12603"/>
      <w:bookmarkStart w:id="1812" w:name="_Toc30660"/>
      <w:bookmarkStart w:id="1813" w:name="_Toc11875"/>
      <w:bookmarkStart w:id="1814" w:name="_Toc3213"/>
      <w:bookmarkStart w:id="1815" w:name="_Toc20901"/>
      <w:r>
        <w:rPr>
          <w:rFonts w:hint="eastAsia" w:ascii="宋体" w:hAnsi="宋体" w:cs="宋体"/>
          <w:b/>
          <w:bCs/>
          <w:color w:val="auto"/>
          <w:sz w:val="24"/>
          <w:szCs w:val="24"/>
          <w:highlight w:val="none"/>
        </w:rPr>
        <w:t>3.9.1 连带责任</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如果承包人是两个或两个以上的单位联合经营，则组成该联合体的各个单位对本单位负责的工程部分向发包人承担责任，并对联合体所有其他成员负责的工作向发包人承担连带责任。</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816" w:name="_Toc5887"/>
      <w:bookmarkStart w:id="1817" w:name="_Toc10040"/>
      <w:bookmarkStart w:id="1818" w:name="_Toc8292"/>
      <w:bookmarkStart w:id="1819" w:name="_Toc29821"/>
      <w:bookmarkStart w:id="1820" w:name="_Toc20399"/>
      <w:bookmarkStart w:id="1821" w:name="_Toc19868"/>
      <w:bookmarkStart w:id="1822" w:name="_Toc1267"/>
      <w:bookmarkStart w:id="1823" w:name="_Toc22841"/>
      <w:bookmarkStart w:id="1824" w:name="_Toc25980"/>
      <w:bookmarkStart w:id="1825" w:name="_Toc31270"/>
      <w:bookmarkStart w:id="1826" w:name="_Toc10166"/>
      <w:bookmarkStart w:id="1827" w:name="_Toc20113"/>
      <w:bookmarkStart w:id="1828" w:name="_Toc517530776"/>
      <w:bookmarkStart w:id="1829" w:name="_Toc8872"/>
      <w:bookmarkStart w:id="1830" w:name="_Toc25371"/>
      <w:bookmarkStart w:id="1831" w:name="_Toc517532052"/>
      <w:bookmarkStart w:id="1832" w:name="_Toc21596"/>
      <w:r>
        <w:rPr>
          <w:rFonts w:hint="eastAsia" w:ascii="宋体" w:hAnsi="宋体" w:cs="宋体"/>
          <w:b/>
          <w:bCs/>
          <w:color w:val="auto"/>
          <w:sz w:val="24"/>
          <w:szCs w:val="24"/>
          <w:highlight w:val="none"/>
        </w:rPr>
        <w:t>3.9.2 联合体代表</w:t>
      </w:r>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联合体应有一个被授权的、对各个单位都有约束力的牵头单位，并应由该单位指派的代表负责，有关文件应由该被授权的代表签署。未经发包人事先</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同意，联合体的组成与结构不得变动。</w:t>
      </w:r>
    </w:p>
    <w:p>
      <w:pPr>
        <w:keepNext/>
        <w:keepLines/>
        <w:tabs>
          <w:tab w:val="left" w:pos="312"/>
        </w:tabs>
        <w:spacing w:before="156" w:beforeLines="50" w:after="156" w:afterLines="50" w:line="360" w:lineRule="auto"/>
        <w:ind w:left="562"/>
        <w:outlineLvl w:val="2"/>
        <w:rPr>
          <w:rFonts w:hint="eastAsia" w:ascii="宋体" w:hAnsi="宋体" w:cs="宋体"/>
          <w:b/>
          <w:bCs/>
          <w:color w:val="auto"/>
          <w:sz w:val="28"/>
          <w:szCs w:val="28"/>
          <w:highlight w:val="none"/>
        </w:rPr>
      </w:pPr>
      <w:bookmarkStart w:id="1833" w:name="_Toc11990"/>
      <w:bookmarkStart w:id="1834" w:name="_Toc517528669"/>
      <w:bookmarkStart w:id="1835" w:name="_Toc517530777"/>
      <w:bookmarkStart w:id="1836" w:name="_Toc28405"/>
      <w:bookmarkStart w:id="1837" w:name="_Toc7856"/>
      <w:bookmarkStart w:id="1838" w:name="_Toc517532053"/>
      <w:bookmarkStart w:id="1839" w:name="_Toc571"/>
      <w:bookmarkStart w:id="1840" w:name="_Toc69113953"/>
      <w:r>
        <w:rPr>
          <w:rFonts w:hint="eastAsia" w:ascii="宋体" w:hAnsi="宋体" w:cs="宋体"/>
          <w:b/>
          <w:bCs/>
          <w:color w:val="auto"/>
          <w:sz w:val="28"/>
          <w:szCs w:val="28"/>
          <w:highlight w:val="none"/>
        </w:rPr>
        <w:t>3.10 严格执行合同要求</w:t>
      </w:r>
      <w:bookmarkEnd w:id="1833"/>
      <w:bookmarkEnd w:id="1834"/>
      <w:bookmarkEnd w:id="1835"/>
      <w:bookmarkEnd w:id="1836"/>
      <w:bookmarkEnd w:id="1837"/>
      <w:bookmarkEnd w:id="1838"/>
      <w:bookmarkEnd w:id="1839"/>
      <w:bookmarkEnd w:id="1840"/>
    </w:p>
    <w:p>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承包人应严格按照合同规定实施和完成本合同工程及其缺陷的修复，使工程质量、进度、价款、安全和文明达到符合合同要求的程度。其中，专业承包工程或发包范围内各分部分项工程以及有关重点工艺，必须按发包人提供或发布的实施标准、技术标准、图集、工艺指引等的要求组织实施并进行验收，符合要求的方视为合格。</w:t>
      </w:r>
    </w:p>
    <w:p>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承包人应该严格遵守并执行监理人对有关该工程实施的任何事项所作的指令，无论这些事项在合同中写明与否。除合同第5.3条规定的情形外，承包人仅限于从监理人或者总监理工程师处取得指令。</w:t>
      </w:r>
    </w:p>
    <w:p>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承包人确认知悉并理解发包人提供的或发包人已公开发布的实施标准、技术标准、图集、工艺指引、制度规范等相关文件的全部内容，将根据合同要求执行相应的文件。</w:t>
      </w:r>
    </w:p>
    <w:p>
      <w:pPr>
        <w:spacing w:line="360" w:lineRule="auto"/>
        <w:ind w:firstLine="420" w:firstLineChars="200"/>
        <w:jc w:val="left"/>
        <w:rPr>
          <w:rFonts w:hint="eastAsia" w:ascii="宋体" w:hAnsi="宋体" w:cs="宋体"/>
          <w:color w:val="auto"/>
          <w:szCs w:val="21"/>
          <w:highlight w:val="none"/>
        </w:rPr>
      </w:pPr>
    </w:p>
    <w:p>
      <w:pPr>
        <w:keepNext/>
        <w:keepLines/>
        <w:spacing w:before="156" w:beforeLines="50" w:after="156" w:afterLines="50" w:line="360" w:lineRule="auto"/>
        <w:ind w:firstLine="600" w:firstLineChars="200"/>
        <w:outlineLvl w:val="1"/>
        <w:rPr>
          <w:rFonts w:hint="eastAsia" w:ascii="宋体" w:hAnsi="宋体" w:cs="宋体"/>
          <w:b/>
          <w:bCs/>
          <w:color w:val="auto"/>
          <w:sz w:val="30"/>
          <w:szCs w:val="30"/>
          <w:highlight w:val="none"/>
        </w:rPr>
      </w:pPr>
      <w:bookmarkStart w:id="1841" w:name="_Toc296346554"/>
      <w:bookmarkStart w:id="1842" w:name="_Toc296503053"/>
      <w:bookmarkStart w:id="1843" w:name="_Toc351203527"/>
      <w:bookmarkStart w:id="1844" w:name="_Toc465237196"/>
      <w:bookmarkStart w:id="1845" w:name="_Toc517530778"/>
      <w:bookmarkStart w:id="1846" w:name="_Toc26289"/>
      <w:bookmarkStart w:id="1847" w:name="_Toc517528670"/>
      <w:bookmarkStart w:id="1848" w:name="_Toc517529737"/>
      <w:bookmarkStart w:id="1849" w:name="_Toc2331"/>
      <w:bookmarkStart w:id="1850" w:name="_Toc19076"/>
      <w:bookmarkStart w:id="1851" w:name="_Toc517532054"/>
      <w:bookmarkStart w:id="1852" w:name="_Toc465237098"/>
      <w:bookmarkStart w:id="1853" w:name="_Toc5645"/>
      <w:bookmarkStart w:id="1854" w:name="_Toc7654"/>
      <w:bookmarkStart w:id="1855" w:name="_Toc26074"/>
      <w:bookmarkStart w:id="1856" w:name="_Toc20357"/>
      <w:bookmarkStart w:id="1857" w:name="_Toc32476"/>
      <w:bookmarkStart w:id="1858" w:name="_Toc11507"/>
      <w:bookmarkStart w:id="1859" w:name="_Toc16571"/>
      <w:bookmarkStart w:id="1860" w:name="_Toc899"/>
      <w:bookmarkStart w:id="1861" w:name="_Toc8512"/>
      <w:bookmarkStart w:id="1862" w:name="_Toc5503"/>
      <w:bookmarkStart w:id="1863" w:name="_Toc18961"/>
      <w:bookmarkStart w:id="1864" w:name="_Toc29676"/>
      <w:bookmarkStart w:id="1865" w:name="_Toc24939"/>
      <w:bookmarkStart w:id="1866" w:name="_Toc15909"/>
      <w:bookmarkStart w:id="1867" w:name="_Toc14659"/>
      <w:bookmarkStart w:id="1868" w:name="_Toc69113954"/>
      <w:bookmarkStart w:id="1869" w:name="_Toc337558753"/>
      <w:r>
        <w:rPr>
          <w:rFonts w:hint="eastAsia" w:ascii="宋体" w:hAnsi="宋体" w:cs="宋体"/>
          <w:b/>
          <w:bCs/>
          <w:color w:val="auto"/>
          <w:sz w:val="30"/>
          <w:szCs w:val="30"/>
          <w:highlight w:val="none"/>
        </w:rPr>
        <w:t>4.</w:t>
      </w:r>
      <w:bookmarkEnd w:id="1841"/>
      <w:bookmarkEnd w:id="1842"/>
      <w:bookmarkEnd w:id="1843"/>
      <w:r>
        <w:rPr>
          <w:rFonts w:hint="eastAsia" w:ascii="宋体" w:hAnsi="宋体" w:cs="宋体"/>
          <w:b/>
          <w:bCs/>
          <w:color w:val="auto"/>
          <w:sz w:val="30"/>
          <w:szCs w:val="30"/>
          <w:highlight w:val="none"/>
        </w:rPr>
        <w:t xml:space="preserve"> 监理人</w:t>
      </w:r>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p>
    <w:bookmarkEnd w:id="1869"/>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1870" w:name="_Toc465237099"/>
      <w:bookmarkStart w:id="1871" w:name="_Toc465237197"/>
      <w:bookmarkStart w:id="1872" w:name="_Toc2588"/>
      <w:bookmarkStart w:id="1873" w:name="_Toc8375"/>
      <w:bookmarkStart w:id="1874" w:name="_Toc1728"/>
      <w:bookmarkStart w:id="1875" w:name="_Toc28653"/>
      <w:bookmarkStart w:id="1876" w:name="_Toc12907"/>
      <w:bookmarkStart w:id="1877" w:name="_Toc12318"/>
      <w:bookmarkStart w:id="1878" w:name="_Toc23635"/>
      <w:bookmarkStart w:id="1879" w:name="_Toc31417"/>
      <w:bookmarkStart w:id="1880" w:name="_Toc69113955"/>
      <w:bookmarkStart w:id="1881" w:name="_Toc32664"/>
      <w:bookmarkStart w:id="1882" w:name="_Toc4804"/>
      <w:bookmarkStart w:id="1883" w:name="_Toc15185"/>
      <w:bookmarkStart w:id="1884" w:name="_Toc27443"/>
      <w:bookmarkStart w:id="1885" w:name="_Toc517530779"/>
      <w:bookmarkStart w:id="1886" w:name="_Toc26087"/>
      <w:bookmarkStart w:id="1887" w:name="_Toc517532055"/>
      <w:bookmarkStart w:id="1888" w:name="_Toc30521"/>
      <w:bookmarkStart w:id="1889" w:name="_Toc28284"/>
      <w:bookmarkStart w:id="1890" w:name="_Toc2484"/>
      <w:bookmarkStart w:id="1891" w:name="_Toc28999"/>
      <w:bookmarkStart w:id="1892" w:name="_Toc517528671"/>
      <w:bookmarkStart w:id="1893" w:name="_Toc27770"/>
      <w:bookmarkStart w:id="1894" w:name="_Toc351203528"/>
      <w:r>
        <w:rPr>
          <w:rFonts w:hint="eastAsia" w:ascii="宋体" w:hAnsi="宋体" w:cs="宋体"/>
          <w:b/>
          <w:bCs/>
          <w:color w:val="auto"/>
          <w:sz w:val="28"/>
          <w:szCs w:val="28"/>
          <w:highlight w:val="none"/>
        </w:rPr>
        <w:t>4.1</w:t>
      </w:r>
      <w:bookmarkEnd w:id="1870"/>
      <w:bookmarkEnd w:id="1871"/>
      <w:r>
        <w:rPr>
          <w:rFonts w:hint="eastAsia" w:ascii="宋体" w:hAnsi="宋体" w:cs="宋体"/>
          <w:b/>
          <w:bCs/>
          <w:color w:val="auto"/>
          <w:sz w:val="28"/>
          <w:szCs w:val="28"/>
          <w:highlight w:val="none"/>
        </w:rPr>
        <w:t>监理人</w:t>
      </w:r>
      <w:bookmarkEnd w:id="1872"/>
      <w:r>
        <w:rPr>
          <w:rFonts w:hint="eastAsia" w:ascii="宋体" w:hAnsi="宋体" w:cs="宋体"/>
          <w:b/>
          <w:bCs/>
          <w:color w:val="auto"/>
          <w:sz w:val="28"/>
          <w:szCs w:val="28"/>
          <w:highlight w:val="none"/>
        </w:rPr>
        <w:t>的一般规定</w:t>
      </w:r>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p>
    <w:p>
      <w:pPr>
        <w:autoSpaceDE w:val="0"/>
        <w:autoSpaceDN w:val="0"/>
        <w:adjustRightInd w:val="0"/>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监理人应当根据发包人授权及法律规定，代表发包人对工程施工相关事项进行检查、查验、审核、验收，并签发相关指示，但监理人无权修改合同，且无权减轻或免除合同约定的承包人的任何责任与义务。</w:t>
      </w:r>
    </w:p>
    <w:p>
      <w:pPr>
        <w:autoSpaceDE w:val="0"/>
        <w:autoSpaceDN w:val="0"/>
        <w:adjustRightInd w:val="0"/>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除专用合同条款另有约定外，监理人在施工现场的办公场所、生活场所由承包人提供，所发生的费用由发包人承担。</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895" w:name="_Toc263"/>
      <w:bookmarkStart w:id="1896" w:name="_Toc21876"/>
      <w:bookmarkStart w:id="1897" w:name="_Toc30131"/>
      <w:bookmarkStart w:id="1898" w:name="_Toc4306"/>
      <w:bookmarkStart w:id="1899" w:name="_Toc7011"/>
      <w:bookmarkStart w:id="1900" w:name="_Toc21317"/>
      <w:bookmarkStart w:id="1901" w:name="_Toc30092"/>
      <w:bookmarkStart w:id="1902" w:name="_Toc31448"/>
      <w:bookmarkStart w:id="1903" w:name="_Toc23826"/>
      <w:bookmarkStart w:id="1904" w:name="_Toc27966"/>
      <w:bookmarkStart w:id="1905" w:name="_Toc27778"/>
      <w:bookmarkStart w:id="1906" w:name="_Toc15766"/>
      <w:bookmarkStart w:id="1907" w:name="_Toc16494"/>
      <w:bookmarkStart w:id="1908" w:name="_Toc1842"/>
      <w:bookmarkStart w:id="1909" w:name="_Toc22977"/>
      <w:bookmarkStart w:id="1910" w:name="_Toc26290"/>
      <w:bookmarkStart w:id="1911" w:name="_Toc12815"/>
      <w:bookmarkStart w:id="1912" w:name="_Toc517530780"/>
      <w:bookmarkStart w:id="1913" w:name="_Toc595"/>
      <w:bookmarkStart w:id="1914" w:name="_Toc517532056"/>
      <w:r>
        <w:rPr>
          <w:rFonts w:hint="eastAsia" w:ascii="宋体" w:hAnsi="宋体" w:cs="宋体"/>
          <w:b/>
          <w:bCs/>
          <w:color w:val="auto"/>
          <w:sz w:val="24"/>
          <w:szCs w:val="24"/>
          <w:highlight w:val="none"/>
        </w:rPr>
        <w:t>4.1.1监理人的职责和权限</w:t>
      </w:r>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(1)监理人必须履行合同规定的职责。</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(2)监理人可以行使合同规定的职权。监理人根据合同行使的职权，都应认为已从发包人处取得了必要的批准。</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(3)除在合同中有明确的规定外，监理人无权解除合同规定的承包人的任何义务。</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(4)监理人在行使下述职权之前，应先取得发包人的书面批准：</w:t>
      </w:r>
    </w:p>
    <w:p>
      <w:pPr>
        <w:spacing w:line="360" w:lineRule="auto"/>
        <w:ind w:firstLine="630" w:firstLineChars="300"/>
        <w:jc w:val="left"/>
        <w:rPr>
          <w:rFonts w:hint="eastAsia" w:ascii="宋体" w:hAnsi="宋体" w:cs="宋体"/>
          <w:color w:val="auto"/>
          <w:szCs w:val="21"/>
          <w:highlight w:val="none"/>
        </w:rPr>
      </w:pPr>
      <w:r>
        <w:rPr>
          <w:rFonts w:hint="eastAsia" w:ascii="宋体" w:hAnsi="宋体" w:cs="宋体"/>
          <w:color w:val="auto"/>
          <w:szCs w:val="21"/>
          <w:highlight w:val="none"/>
        </w:rPr>
        <w:t>（a）发布开工令、停工令、复工令，如在紧急情况下未能事先报告时，则应在24小时内向发包人做出书面报告；</w:t>
      </w:r>
    </w:p>
    <w:p>
      <w:pPr>
        <w:spacing w:line="360" w:lineRule="auto"/>
        <w:ind w:firstLine="630" w:firstLineChars="300"/>
        <w:jc w:val="left"/>
        <w:rPr>
          <w:rFonts w:hint="eastAsia" w:ascii="宋体" w:hAnsi="宋体" w:cs="宋体"/>
          <w:color w:val="auto"/>
          <w:szCs w:val="21"/>
          <w:highlight w:val="none"/>
        </w:rPr>
      </w:pPr>
      <w:r>
        <w:rPr>
          <w:rFonts w:hint="eastAsia" w:ascii="宋体" w:hAnsi="宋体" w:cs="宋体"/>
          <w:color w:val="auto"/>
          <w:szCs w:val="21"/>
          <w:highlight w:val="none"/>
        </w:rPr>
        <w:t>（b）向设计单位提出建议，且提出的建议可能会提高工程造价或者延误工期时；</w:t>
      </w:r>
    </w:p>
    <w:p>
      <w:pPr>
        <w:spacing w:line="360" w:lineRule="auto"/>
        <w:ind w:firstLine="630" w:firstLineChars="300"/>
        <w:jc w:val="left"/>
        <w:rPr>
          <w:rFonts w:hint="eastAsia" w:ascii="宋体" w:hAnsi="宋体" w:cs="宋体"/>
          <w:color w:val="auto"/>
          <w:szCs w:val="21"/>
          <w:highlight w:val="none"/>
        </w:rPr>
      </w:pPr>
      <w:r>
        <w:rPr>
          <w:rFonts w:hint="eastAsia" w:ascii="宋体" w:hAnsi="宋体" w:cs="宋体"/>
          <w:color w:val="auto"/>
          <w:szCs w:val="21"/>
          <w:highlight w:val="none"/>
        </w:rPr>
        <w:t>（c）向承包人提出建议，且拟提出的建议可能会提高工程造价或者延误工期时；</w:t>
      </w:r>
    </w:p>
    <w:p>
      <w:pPr>
        <w:spacing w:line="360" w:lineRule="auto"/>
        <w:ind w:firstLine="630" w:firstLineChars="300"/>
        <w:jc w:val="left"/>
        <w:rPr>
          <w:rFonts w:hint="eastAsia" w:ascii="宋体" w:hAnsi="宋体" w:cs="宋体"/>
          <w:color w:val="auto"/>
          <w:szCs w:val="21"/>
          <w:highlight w:val="none"/>
        </w:rPr>
      </w:pPr>
      <w:r>
        <w:rPr>
          <w:rFonts w:hint="eastAsia" w:ascii="宋体" w:hAnsi="宋体" w:cs="宋体"/>
          <w:color w:val="auto"/>
          <w:szCs w:val="21"/>
          <w:highlight w:val="none"/>
        </w:rPr>
        <w:t>（d）对合同规定的承包人义务进行变更；</w:t>
      </w:r>
    </w:p>
    <w:p>
      <w:pPr>
        <w:spacing w:line="360" w:lineRule="auto"/>
        <w:ind w:firstLine="630" w:firstLineChars="300"/>
        <w:jc w:val="left"/>
        <w:rPr>
          <w:rFonts w:hint="eastAsia" w:ascii="宋体" w:hAnsi="宋体" w:cs="宋体"/>
          <w:color w:val="auto"/>
          <w:szCs w:val="21"/>
          <w:highlight w:val="none"/>
        </w:rPr>
      </w:pPr>
      <w:r>
        <w:rPr>
          <w:rFonts w:hint="eastAsia" w:ascii="宋体" w:hAnsi="宋体" w:cs="宋体"/>
          <w:color w:val="auto"/>
          <w:szCs w:val="21"/>
          <w:highlight w:val="none"/>
        </w:rPr>
        <w:t>（e）行使索赔权利。</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(5)尽管工程任何形式、质量、数量和内容上的变动都需要获得发包人</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批准，但当监理人认为出现了危及人身、财产安全和影响工程安危的紧急情况时，在不解除合同规定的承包人的任何义务和责任的情况下，监理人可以指令承包人实施上述工作。</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915" w:name="_Toc13916"/>
      <w:bookmarkStart w:id="1916" w:name="_Toc18600"/>
      <w:bookmarkStart w:id="1917" w:name="_Toc13917"/>
      <w:bookmarkStart w:id="1918" w:name="_Toc16889"/>
      <w:bookmarkStart w:id="1919" w:name="_Toc7336"/>
      <w:bookmarkStart w:id="1920" w:name="_Toc26050"/>
      <w:bookmarkStart w:id="1921" w:name="_Toc517530781"/>
      <w:bookmarkStart w:id="1922" w:name="_Toc18535"/>
      <w:bookmarkStart w:id="1923" w:name="_Toc1719"/>
      <w:bookmarkStart w:id="1924" w:name="_Toc19214"/>
      <w:bookmarkStart w:id="1925" w:name="_Toc517532057"/>
      <w:bookmarkStart w:id="1926" w:name="_Toc23119"/>
      <w:bookmarkStart w:id="1927" w:name="_Toc1711"/>
      <w:bookmarkStart w:id="1928" w:name="_Toc31823"/>
      <w:bookmarkStart w:id="1929" w:name="_Toc29801"/>
      <w:bookmarkStart w:id="1930" w:name="_Toc10884"/>
      <w:bookmarkStart w:id="1931" w:name="_Toc7604"/>
      <w:bookmarkStart w:id="1932" w:name="_Toc17659"/>
      <w:bookmarkStart w:id="1933" w:name="_Toc21031"/>
      <w:bookmarkStart w:id="1934" w:name="_Toc3881"/>
      <w:r>
        <w:rPr>
          <w:rFonts w:hint="eastAsia" w:ascii="宋体" w:hAnsi="宋体" w:cs="宋体"/>
          <w:b/>
          <w:bCs/>
          <w:color w:val="auto"/>
          <w:sz w:val="24"/>
          <w:szCs w:val="24"/>
          <w:highlight w:val="none"/>
        </w:rPr>
        <w:t>4.1.2书面指令</w:t>
      </w:r>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监理人发出的指令应是书面的，在某些特殊情形下，监理人可以发出口头指令，承包人必须执行口头指令，但事后监理人应以书面形式确认上述口头指令。如果承包人在监理人发出口头指令的</w:t>
      </w:r>
      <w:r>
        <w:rPr>
          <w:rFonts w:hint="eastAsia" w:ascii="宋体" w:hAnsi="宋体" w:cs="宋体"/>
          <w:color w:val="auto"/>
          <w:szCs w:val="21"/>
          <w:highlight w:val="none"/>
          <w:u w:val="single"/>
        </w:rPr>
        <w:t>3</w:t>
      </w:r>
      <w:r>
        <w:rPr>
          <w:rFonts w:hint="eastAsia" w:ascii="宋体" w:hAnsi="宋体" w:cs="宋体"/>
          <w:color w:val="auto"/>
          <w:szCs w:val="21"/>
          <w:highlight w:val="none"/>
        </w:rPr>
        <w:t>天内，未收到监理人的书面确认，承包人应立即以书面形式要求监理人确认上述口头指令。如监理人在收到承包人的书面要求</w:t>
      </w:r>
      <w:r>
        <w:rPr>
          <w:rFonts w:hint="eastAsia" w:ascii="宋体" w:hAnsi="宋体" w:cs="宋体"/>
          <w:color w:val="auto"/>
          <w:szCs w:val="21"/>
          <w:highlight w:val="none"/>
          <w:u w:val="single"/>
        </w:rPr>
        <w:t>3</w:t>
      </w:r>
      <w:r>
        <w:rPr>
          <w:rFonts w:hint="eastAsia" w:ascii="宋体" w:hAnsi="宋体" w:cs="宋体"/>
          <w:color w:val="auto"/>
          <w:szCs w:val="21"/>
          <w:highlight w:val="none"/>
        </w:rPr>
        <w:t>天之内没有以书面形式驳回上述确认，则该口头指令应认为已被监理人书面确认。</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本款的规定同样地适用于总监理工程师发出的指令，并适用于根据4.2.2条规定任命的监理工程师或总监理工程师的助理发出的指令。</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935" w:name="_Toc31379"/>
      <w:bookmarkStart w:id="1936" w:name="_Toc3464"/>
      <w:bookmarkStart w:id="1937" w:name="_Toc7337"/>
      <w:bookmarkStart w:id="1938" w:name="_Toc5864"/>
      <w:bookmarkStart w:id="1939" w:name="_Toc11864"/>
      <w:bookmarkStart w:id="1940" w:name="_Toc6996"/>
      <w:bookmarkStart w:id="1941" w:name="_Toc517532058"/>
      <w:bookmarkStart w:id="1942" w:name="_Toc27734"/>
      <w:bookmarkStart w:id="1943" w:name="_Toc7321"/>
      <w:bookmarkStart w:id="1944" w:name="_Toc17455"/>
      <w:bookmarkStart w:id="1945" w:name="_Toc13776"/>
      <w:bookmarkStart w:id="1946" w:name="_Toc5425"/>
      <w:bookmarkStart w:id="1947" w:name="_Toc684"/>
      <w:bookmarkStart w:id="1948" w:name="_Toc517530782"/>
      <w:bookmarkStart w:id="1949" w:name="_Toc697"/>
      <w:bookmarkStart w:id="1950" w:name="_Toc20274"/>
      <w:bookmarkStart w:id="1951" w:name="_Toc27836"/>
      <w:bookmarkStart w:id="1952" w:name="_Toc12348"/>
      <w:bookmarkStart w:id="1953" w:name="_Toc1929"/>
      <w:bookmarkStart w:id="1954" w:name="_Toc21645"/>
      <w:r>
        <w:rPr>
          <w:rFonts w:hint="eastAsia" w:ascii="宋体" w:hAnsi="宋体" w:cs="宋体"/>
          <w:b/>
          <w:bCs/>
          <w:color w:val="auto"/>
          <w:sz w:val="24"/>
          <w:szCs w:val="24"/>
          <w:highlight w:val="none"/>
        </w:rPr>
        <w:t>4.1.3监理人客观中立</w:t>
      </w:r>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监理人在按本合同要求作出各项决定时，应该根据合同条款规定，考虑各种情况，实事求是和公正地作出判断并接受检查。如发现有不当之处，应进行修正。</w:t>
      </w:r>
    </w:p>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1955" w:name="_Toc18716"/>
      <w:bookmarkStart w:id="1956" w:name="_Toc32725"/>
      <w:bookmarkStart w:id="1957" w:name="_Toc7911"/>
      <w:bookmarkStart w:id="1958" w:name="_Toc843"/>
      <w:bookmarkStart w:id="1959" w:name="_Toc20124"/>
      <w:bookmarkStart w:id="1960" w:name="_Toc517528672"/>
      <w:bookmarkStart w:id="1961" w:name="_Toc517532059"/>
      <w:bookmarkStart w:id="1962" w:name="_Toc465237100"/>
      <w:bookmarkStart w:id="1963" w:name="_Toc69113956"/>
      <w:bookmarkStart w:id="1964" w:name="_Toc2665"/>
      <w:bookmarkStart w:id="1965" w:name="_Toc31528"/>
      <w:bookmarkStart w:id="1966" w:name="_Toc22929"/>
      <w:bookmarkStart w:id="1967" w:name="_Toc12685"/>
      <w:bookmarkStart w:id="1968" w:name="_Toc22492"/>
      <w:bookmarkStart w:id="1969" w:name="_Toc11090"/>
      <w:bookmarkStart w:id="1970" w:name="_Toc13583"/>
      <w:bookmarkStart w:id="1971" w:name="_Toc517530783"/>
      <w:bookmarkStart w:id="1972" w:name="_Toc465237198"/>
      <w:bookmarkStart w:id="1973" w:name="_Toc23312"/>
      <w:bookmarkStart w:id="1974" w:name="_Toc1513"/>
      <w:bookmarkStart w:id="1975" w:name="_Toc22001"/>
      <w:bookmarkStart w:id="1976" w:name="_Toc17435"/>
      <w:bookmarkStart w:id="1977" w:name="_Toc13774"/>
      <w:bookmarkStart w:id="1978" w:name="_Toc29497"/>
      <w:r>
        <w:rPr>
          <w:rFonts w:hint="eastAsia" w:ascii="宋体" w:hAnsi="宋体" w:cs="宋体"/>
          <w:b/>
          <w:bCs/>
          <w:color w:val="auto"/>
          <w:sz w:val="28"/>
          <w:szCs w:val="28"/>
          <w:highlight w:val="none"/>
        </w:rPr>
        <w:t>4.2监理人员</w:t>
      </w:r>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p>
    <w:p>
      <w:pPr>
        <w:autoSpaceDE w:val="0"/>
        <w:autoSpaceDN w:val="0"/>
        <w:adjustRightIn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kern w:val="0"/>
          <w:szCs w:val="21"/>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979" w:name="_Toc16954"/>
      <w:bookmarkStart w:id="1980" w:name="_Toc16315"/>
      <w:bookmarkStart w:id="1981" w:name="_Toc28103"/>
      <w:bookmarkStart w:id="1982" w:name="_Toc25799"/>
      <w:bookmarkStart w:id="1983" w:name="_Toc6891"/>
      <w:bookmarkStart w:id="1984" w:name="_Toc2228"/>
      <w:bookmarkStart w:id="1985" w:name="_Toc28276"/>
      <w:bookmarkStart w:id="1986" w:name="_Toc2141"/>
      <w:bookmarkStart w:id="1987" w:name="_Toc22956"/>
      <w:bookmarkStart w:id="1988" w:name="_Toc9384"/>
      <w:bookmarkStart w:id="1989" w:name="_Toc6869"/>
      <w:bookmarkStart w:id="1990" w:name="_Toc3299"/>
      <w:bookmarkStart w:id="1991" w:name="_Toc32497"/>
      <w:bookmarkStart w:id="1992" w:name="_Toc17268"/>
      <w:bookmarkStart w:id="1993" w:name="_Toc28017"/>
      <w:bookmarkStart w:id="1994" w:name="_Toc14410"/>
      <w:bookmarkStart w:id="1995" w:name="_Toc517532060"/>
      <w:bookmarkStart w:id="1996" w:name="_Toc9395"/>
      <w:bookmarkStart w:id="1997" w:name="_Toc2373"/>
      <w:bookmarkStart w:id="1998" w:name="_Toc517530784"/>
      <w:r>
        <w:rPr>
          <w:rFonts w:hint="eastAsia" w:ascii="宋体" w:hAnsi="宋体" w:cs="宋体"/>
          <w:b/>
          <w:bCs/>
          <w:color w:val="auto"/>
          <w:sz w:val="24"/>
          <w:szCs w:val="24"/>
          <w:highlight w:val="none"/>
        </w:rPr>
        <w:t>4.2.1总监理工程师</w:t>
      </w:r>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总监理工程师应由监理人任命，并对监理人负责。总监理工程师履行和行使监理人委托的职责与职权。</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总监理工程师根据上述的委托向承包人发出的任何函电等，都与由监理人发出的同等有效，但是：</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(a)总监理工程师如对任何工作、材料或设备未加反对，应不影响监理人对上述问题的否定和给予指令去纠正的权力；</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(b)承包人对总监理工程师的所来函电如有疑问，承包人可将该疑问提交监理人，而监理人应对上述函电内容做出确认、否定或改变。</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1999" w:name="_Toc16770"/>
      <w:bookmarkStart w:id="2000" w:name="_Toc25899"/>
      <w:bookmarkStart w:id="2001" w:name="_Toc517530785"/>
      <w:bookmarkStart w:id="2002" w:name="_Toc8028"/>
      <w:bookmarkStart w:id="2003" w:name="_Toc23998"/>
      <w:bookmarkStart w:id="2004" w:name="_Toc491"/>
      <w:bookmarkStart w:id="2005" w:name="_Toc19589"/>
      <w:bookmarkStart w:id="2006" w:name="_Toc21010"/>
      <w:bookmarkStart w:id="2007" w:name="_Toc6492"/>
      <w:bookmarkStart w:id="2008" w:name="_Toc6584"/>
      <w:bookmarkStart w:id="2009" w:name="_Toc31265"/>
      <w:bookmarkStart w:id="2010" w:name="_Toc29010"/>
      <w:bookmarkStart w:id="2011" w:name="_Toc10171"/>
      <w:bookmarkStart w:id="2012" w:name="_Toc15829"/>
      <w:bookmarkStart w:id="2013" w:name="_Toc16810"/>
      <w:bookmarkStart w:id="2014" w:name="_Toc10955"/>
      <w:bookmarkStart w:id="2015" w:name="_Toc31468"/>
      <w:bookmarkStart w:id="2016" w:name="_Toc12737"/>
      <w:bookmarkStart w:id="2017" w:name="_Toc517532061"/>
      <w:bookmarkStart w:id="2018" w:name="_Toc8246"/>
      <w:r>
        <w:rPr>
          <w:rFonts w:hint="eastAsia" w:ascii="宋体" w:hAnsi="宋体" w:cs="宋体"/>
          <w:b/>
          <w:bCs/>
          <w:color w:val="auto"/>
          <w:sz w:val="24"/>
          <w:szCs w:val="24"/>
          <w:highlight w:val="none"/>
        </w:rPr>
        <w:t>4.2.2总监理工程师助理</w:t>
      </w:r>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监理人可以任命一定数量的人员协助总监理工程师完成第4.2.1条规定的总监理工程师的任务。监理人或总监理工程师应将上述人员的姓名、职权和权限范围通知承包人。上述助理无权向承包人签发指令，除非此类指令是为履行其本身职责和按合同规定验收材料设备或操作工艺等所必需的，其为此目的而发出的任何指令均应视为是总监理工程师发出的。</w:t>
      </w:r>
    </w:p>
    <w:bookmarkEnd w:id="1894"/>
    <w:p>
      <w:pPr>
        <w:keepNext/>
        <w:keepLines/>
        <w:spacing w:before="156" w:beforeLines="50" w:after="156" w:afterLines="50" w:line="360" w:lineRule="auto"/>
        <w:ind w:firstLine="600" w:firstLineChars="200"/>
        <w:outlineLvl w:val="1"/>
        <w:rPr>
          <w:rFonts w:hint="eastAsia" w:ascii="宋体" w:hAnsi="宋体" w:cs="宋体"/>
          <w:b/>
          <w:bCs/>
          <w:color w:val="auto"/>
          <w:sz w:val="30"/>
          <w:szCs w:val="30"/>
          <w:highlight w:val="none"/>
        </w:rPr>
      </w:pPr>
      <w:bookmarkStart w:id="2019" w:name="_Toc517529738"/>
      <w:bookmarkStart w:id="2020" w:name="_Toc25787"/>
      <w:bookmarkStart w:id="2021" w:name="_Toc465237101"/>
      <w:bookmarkStart w:id="2022" w:name="_Toc517530786"/>
      <w:bookmarkStart w:id="2023" w:name="_Toc465237199"/>
      <w:bookmarkStart w:id="2024" w:name="_Toc29632"/>
      <w:bookmarkStart w:id="2025" w:name="_Toc21888"/>
      <w:bookmarkStart w:id="2026" w:name="_Toc9417"/>
      <w:bookmarkStart w:id="2027" w:name="_Toc20507"/>
      <w:bookmarkStart w:id="2028" w:name="_Toc69113957"/>
      <w:bookmarkStart w:id="2029" w:name="_Toc10105"/>
      <w:bookmarkStart w:id="2030" w:name="_Toc4408"/>
      <w:bookmarkStart w:id="2031" w:name="_Toc351203538"/>
      <w:bookmarkStart w:id="2032" w:name="_Toc11881"/>
      <w:bookmarkStart w:id="2033" w:name="_Toc30632"/>
      <w:bookmarkStart w:id="2034" w:name="_Toc517532062"/>
      <w:bookmarkStart w:id="2035" w:name="_Toc54"/>
      <w:bookmarkStart w:id="2036" w:name="_Toc30390"/>
      <w:bookmarkStart w:id="2037" w:name="_Toc19312"/>
      <w:bookmarkStart w:id="2038" w:name="_Toc30182"/>
      <w:bookmarkStart w:id="2039" w:name="_Toc17513"/>
      <w:bookmarkStart w:id="2040" w:name="_Toc3819"/>
      <w:bookmarkStart w:id="2041" w:name="_Toc517528673"/>
      <w:bookmarkStart w:id="2042" w:name="_Toc2367"/>
      <w:bookmarkStart w:id="2043" w:name="_Toc18619"/>
      <w:bookmarkStart w:id="2044" w:name="_Toc15715"/>
      <w:bookmarkStart w:id="2045" w:name="_Toc337558763"/>
      <w:r>
        <w:rPr>
          <w:rFonts w:hint="eastAsia" w:ascii="宋体" w:hAnsi="宋体" w:cs="宋体"/>
          <w:b/>
          <w:bCs/>
          <w:color w:val="auto"/>
          <w:sz w:val="30"/>
          <w:szCs w:val="30"/>
          <w:highlight w:val="none"/>
        </w:rPr>
        <w:t>5.工程质量</w:t>
      </w:r>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p>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2046" w:name="_Toc27960"/>
      <w:bookmarkStart w:id="2047" w:name="_Toc517528674"/>
      <w:bookmarkStart w:id="2048" w:name="_Toc9064"/>
      <w:bookmarkStart w:id="2049" w:name="_Toc17586"/>
      <w:bookmarkStart w:id="2050" w:name="_Toc27036"/>
      <w:bookmarkStart w:id="2051" w:name="_Toc3340"/>
      <w:bookmarkStart w:id="2052" w:name="_Toc25931"/>
      <w:bookmarkStart w:id="2053" w:name="_Toc517530787"/>
      <w:bookmarkStart w:id="2054" w:name="_Toc30149"/>
      <w:bookmarkStart w:id="2055" w:name="_Toc23472"/>
      <w:bookmarkStart w:id="2056" w:name="_Toc165"/>
      <w:bookmarkStart w:id="2057" w:name="_Toc27337"/>
      <w:bookmarkStart w:id="2058" w:name="_Toc19106"/>
      <w:bookmarkStart w:id="2059" w:name="_Toc517532063"/>
      <w:bookmarkStart w:id="2060" w:name="_Toc69113958"/>
      <w:bookmarkStart w:id="2061" w:name="_Toc30767"/>
      <w:bookmarkStart w:id="2062" w:name="_Toc3988"/>
      <w:bookmarkStart w:id="2063" w:name="_Toc2993"/>
      <w:bookmarkStart w:id="2064" w:name="_Toc7032"/>
      <w:r>
        <w:rPr>
          <w:rFonts w:hint="eastAsia" w:ascii="宋体" w:hAnsi="宋体" w:cs="宋体"/>
          <w:b/>
          <w:bCs/>
          <w:color w:val="auto"/>
          <w:sz w:val="28"/>
          <w:szCs w:val="28"/>
          <w:highlight w:val="none"/>
        </w:rPr>
        <w:t>5.1质量要求</w:t>
      </w:r>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p>
    <w:p>
      <w:pPr>
        <w:spacing w:line="360" w:lineRule="auto"/>
        <w:ind w:firstLine="420" w:firstLineChars="200"/>
        <w:rPr>
          <w:rFonts w:ascii="宋体" w:hAnsi="宋体" w:cs="宋体"/>
          <w:color w:val="auto"/>
          <w:szCs w:val="21"/>
          <w:highlight w:val="none"/>
        </w:rPr>
      </w:pPr>
      <w:r>
        <w:rPr>
          <w:rFonts w:hint="eastAsia" w:ascii="宋体" w:hAnsi="宋体" w:cs="宋体"/>
          <w:color w:val="auto"/>
          <w:kern w:val="0"/>
          <w:szCs w:val="21"/>
          <w:highlight w:val="none"/>
        </w:rPr>
        <w:t>工程质量标准必须符合现行国家有关工程施工质量验收规范和标准的要求</w:t>
      </w:r>
      <w:r>
        <w:rPr>
          <w:rFonts w:hint="eastAsia" w:ascii="宋体" w:hAnsi="宋体" w:cs="宋体"/>
          <w:color w:val="auto"/>
          <w:szCs w:val="21"/>
          <w:highlight w:val="none"/>
        </w:rPr>
        <w:t>、工程所在地的地方性标准以及相应的规范、规程等（若存在冲突，以较严格的为准，除非设计另有约定），此外还需满足发包人制定的技术标准。</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发包人根据项目情况认为可参评深圳市优质工程奖的项目，必须要求承包人对该项目进行创优，创优的具体规定在专用条款中明确。</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工程实行竣工预验收制度，预验收以工程实体质量核查为主，包括建构筑物（或道路、交通、景观等设施）观感、功能体验、机电工程、设计图纸符合程度、实测实量等。</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项目达到竣工预验收条件后，发包人应组织（或委托第三方机构）开展预验收工作。</w:t>
      </w:r>
    </w:p>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2065" w:name="_Toc29634"/>
      <w:bookmarkStart w:id="2066" w:name="_Toc69113959"/>
      <w:bookmarkStart w:id="2067" w:name="_Toc23219"/>
      <w:bookmarkStart w:id="2068" w:name="_Toc26206"/>
      <w:bookmarkStart w:id="2069" w:name="_Toc24751"/>
      <w:bookmarkStart w:id="2070" w:name="_Toc517532064"/>
      <w:bookmarkStart w:id="2071" w:name="_Toc2800"/>
      <w:bookmarkStart w:id="2072" w:name="_Toc19999"/>
      <w:bookmarkStart w:id="2073" w:name="_Toc8004"/>
      <w:bookmarkStart w:id="2074" w:name="_Toc5457"/>
      <w:bookmarkStart w:id="2075" w:name="_Toc18564"/>
      <w:bookmarkStart w:id="2076" w:name="_Toc32183"/>
      <w:bookmarkStart w:id="2077" w:name="_Toc6249"/>
      <w:bookmarkStart w:id="2078" w:name="_Toc5596"/>
      <w:bookmarkStart w:id="2079" w:name="_Toc8059"/>
      <w:bookmarkStart w:id="2080" w:name="_Toc517528675"/>
      <w:bookmarkStart w:id="2081" w:name="_Toc32185"/>
      <w:bookmarkStart w:id="2082" w:name="_Toc517530788"/>
      <w:bookmarkStart w:id="2083" w:name="_Toc14137"/>
      <w:r>
        <w:rPr>
          <w:rFonts w:hint="eastAsia" w:ascii="宋体" w:hAnsi="宋体" w:cs="宋体"/>
          <w:b/>
          <w:bCs/>
          <w:color w:val="auto"/>
          <w:sz w:val="28"/>
          <w:szCs w:val="28"/>
          <w:highlight w:val="none"/>
        </w:rPr>
        <w:t>5.2承包人控制质量的责任</w:t>
      </w:r>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承包人就所有工程的质量及其指定的供货商的物料质量对发包人负责，所有工程是指由承包人及其分包人负责的全部工程。承包人应采取相应措施控制工程质量，包括但不限于下列内容：</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(a)编制和审查施工技术方案，确定特殊工程的施工技术措施，制定工程质量保证措施，虽然这些方案和措施要求由监理人审批，但监理人的批示并不免除承包人的责任；</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(b)提供和组织足够的工程质量控制与检验人员，检查与控制施工质量；</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(c)控制施工所用的材料、设备包括承包人或其分包人自行采购的和指定供货商所供应的材料、设备，使其不低于规范、设计文件和发包人要求的标准；</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(d)组织并参与所有工程的验收工作，包括隐蔽验收、中间验收直至竣工验收，组织分包人参加工程竣工验收；</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(e)负责组织分包人共同承担缺陷责任期的工程保修责任；对经监理人确认因承包人在质量控制方面的责任造成的工程损坏，由承包人自行修复到符合质量要求的程度，并承担由此产生给发包人造成的损失；</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(f)</w:t>
      </w:r>
      <w:r>
        <w:rPr>
          <w:rFonts w:hint="eastAsia"/>
          <w:color w:val="auto"/>
          <w:highlight w:val="none"/>
        </w:rPr>
        <w:t xml:space="preserve"> </w:t>
      </w:r>
      <w:r>
        <w:rPr>
          <w:rFonts w:hint="eastAsia" w:ascii="宋体" w:hAnsi="宋体" w:cs="宋体"/>
          <w:color w:val="auto"/>
          <w:szCs w:val="21"/>
          <w:highlight w:val="none"/>
        </w:rPr>
        <w:t>实施现场联合验收制度。在关键节点、隐蔽工程及停止点应进行现场举牌验收。施工班组长、质检员、监理人员必须到场，共同拍照或影像存档，并建立举牌验收管理台账。验收牌内容包括工程名称、分部分项名称，验收部位、内容、时间、结论、人员等。发生质量问题要倒查责任人员并追究违约责任；</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（g）承包人应针对常见质量通病（如渗、裂、漏、尺寸偏差等）制定防治措施专项方案，报发包人审核通过后实施；</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（h）承包人应配合预验收，并对预验收发现的问题进行整改落实。</w:t>
      </w:r>
    </w:p>
    <w:p>
      <w:pPr>
        <w:spacing w:line="360" w:lineRule="auto"/>
        <w:ind w:firstLine="420" w:firstLineChars="200"/>
        <w:jc w:val="left"/>
        <w:rPr>
          <w:rFonts w:hint="eastAsia" w:ascii="宋体" w:hAnsi="宋体" w:cs="宋体"/>
          <w:color w:val="auto"/>
          <w:szCs w:val="21"/>
          <w:highlight w:val="none"/>
        </w:rPr>
      </w:pP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2084" w:name="_Toc531009591"/>
      <w:bookmarkStart w:id="2085" w:name="_Toc69113960"/>
      <w:r>
        <w:rPr>
          <w:rFonts w:ascii="宋体" w:hAnsi="宋体" w:cs="宋体"/>
          <w:b/>
          <w:bCs/>
          <w:color w:val="auto"/>
          <w:sz w:val="28"/>
          <w:szCs w:val="28"/>
          <w:highlight w:val="none"/>
        </w:rPr>
        <w:t>5</w:t>
      </w:r>
      <w:bookmarkStart w:id="2086" w:name="_Toc337558761"/>
      <w:r>
        <w:rPr>
          <w:rFonts w:ascii="宋体" w:hAnsi="宋体" w:cs="宋体"/>
          <w:b/>
          <w:bCs/>
          <w:color w:val="auto"/>
          <w:sz w:val="28"/>
          <w:szCs w:val="28"/>
          <w:highlight w:val="none"/>
        </w:rPr>
        <w:t>.3 隐蔽工程检查</w:t>
      </w:r>
      <w:bookmarkEnd w:id="2084"/>
      <w:r>
        <w:rPr>
          <w:rFonts w:hint="eastAsia" w:ascii="宋体" w:hAnsi="宋体" w:cs="宋体"/>
          <w:b/>
          <w:bCs/>
          <w:color w:val="auto"/>
          <w:sz w:val="28"/>
          <w:szCs w:val="28"/>
          <w:highlight w:val="none"/>
        </w:rPr>
        <w:t>验收</w:t>
      </w:r>
      <w:bookmarkEnd w:id="2085"/>
    </w:p>
    <w:bookmarkEnd w:id="2086"/>
    <w:p>
      <w:pPr>
        <w:keepNext/>
        <w:keepLines/>
        <w:spacing w:before="156" w:beforeLines="50" w:after="156" w:afterLines="50" w:line="360" w:lineRule="auto"/>
        <w:ind w:firstLine="728"/>
        <w:outlineLvl w:val="3"/>
        <w:rPr>
          <w:rFonts w:ascii="宋体" w:hAnsi="宋体" w:cs="宋体"/>
          <w:b/>
          <w:bCs/>
          <w:color w:val="auto"/>
          <w:sz w:val="24"/>
          <w:szCs w:val="24"/>
          <w:highlight w:val="none"/>
        </w:rPr>
      </w:pPr>
      <w:r>
        <w:rPr>
          <w:rFonts w:ascii="宋体" w:hAnsi="宋体" w:cs="宋体"/>
          <w:b/>
          <w:bCs/>
          <w:color w:val="auto"/>
          <w:sz w:val="24"/>
          <w:szCs w:val="24"/>
          <w:highlight w:val="none"/>
        </w:rPr>
        <w:t>5.3.1</w:t>
      </w:r>
      <w:r>
        <w:rPr>
          <w:rFonts w:hint="eastAsia" w:ascii="宋体" w:hAnsi="宋体" w:cs="宋体"/>
          <w:b/>
          <w:bCs/>
          <w:color w:val="auto"/>
          <w:sz w:val="24"/>
          <w:szCs w:val="24"/>
          <w:highlight w:val="none"/>
        </w:rPr>
        <w:t xml:space="preserve"> </w:t>
      </w:r>
      <w:r>
        <w:rPr>
          <w:rFonts w:ascii="宋体" w:hAnsi="宋体" w:cs="宋体"/>
          <w:b/>
          <w:bCs/>
          <w:color w:val="auto"/>
          <w:sz w:val="24"/>
          <w:szCs w:val="24"/>
          <w:highlight w:val="none"/>
        </w:rPr>
        <w:t>承包人自检</w:t>
      </w:r>
    </w:p>
    <w:p>
      <w:pPr>
        <w:tabs>
          <w:tab w:val="left" w:pos="1620"/>
          <w:tab w:val="left" w:pos="2340"/>
        </w:tabs>
        <w:spacing w:after="156" w:line="360" w:lineRule="auto"/>
        <w:ind w:firstLine="420" w:firstLineChars="200"/>
        <w:jc w:val="left"/>
        <w:rPr>
          <w:rFonts w:ascii="宋体" w:hAnsi="宋体"/>
          <w:color w:val="auto"/>
          <w:kern w:val="0"/>
          <w:szCs w:val="24"/>
          <w:highlight w:val="none"/>
        </w:rPr>
      </w:pPr>
      <w:r>
        <w:rPr>
          <w:rFonts w:ascii="宋体" w:hAnsi="宋体"/>
          <w:color w:val="auto"/>
          <w:kern w:val="0"/>
          <w:szCs w:val="24"/>
          <w:highlight w:val="none"/>
        </w:rPr>
        <w:t>承包人应当对工程隐蔽部位进行自检，并经自检确认是否具备覆盖条件。</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r>
        <w:rPr>
          <w:rFonts w:ascii="宋体" w:hAnsi="宋体" w:cs="宋体"/>
          <w:b/>
          <w:bCs/>
          <w:color w:val="auto"/>
          <w:sz w:val="24"/>
          <w:szCs w:val="24"/>
          <w:highlight w:val="none"/>
        </w:rPr>
        <w:t>5.3.2</w:t>
      </w:r>
      <w:r>
        <w:rPr>
          <w:rFonts w:hint="eastAsia" w:ascii="宋体" w:hAnsi="宋体" w:cs="宋体"/>
          <w:b/>
          <w:bCs/>
          <w:color w:val="auto"/>
          <w:sz w:val="24"/>
          <w:szCs w:val="24"/>
          <w:highlight w:val="none"/>
        </w:rPr>
        <w:t xml:space="preserve"> </w:t>
      </w:r>
      <w:r>
        <w:rPr>
          <w:rFonts w:ascii="宋体" w:hAnsi="宋体" w:cs="宋体"/>
          <w:b/>
          <w:bCs/>
          <w:color w:val="auto"/>
          <w:sz w:val="24"/>
          <w:szCs w:val="24"/>
          <w:highlight w:val="none"/>
        </w:rPr>
        <w:t>检查程序</w:t>
      </w:r>
    </w:p>
    <w:p>
      <w:pPr>
        <w:tabs>
          <w:tab w:val="left" w:pos="1620"/>
          <w:tab w:val="left" w:pos="2340"/>
        </w:tabs>
        <w:spacing w:after="156" w:line="360" w:lineRule="auto"/>
        <w:ind w:firstLine="420" w:firstLineChars="200"/>
        <w:jc w:val="left"/>
        <w:rPr>
          <w:rFonts w:ascii="宋体" w:hAnsi="宋体"/>
          <w:color w:val="auto"/>
          <w:kern w:val="0"/>
          <w:szCs w:val="24"/>
          <w:highlight w:val="none"/>
        </w:rPr>
      </w:pPr>
      <w:r>
        <w:rPr>
          <w:rFonts w:ascii="宋体" w:hAnsi="宋体"/>
          <w:color w:val="auto"/>
          <w:kern w:val="0"/>
          <w:szCs w:val="24"/>
          <w:highlight w:val="none"/>
        </w:rPr>
        <w:t>除专用条款另有约定外，工程隐蔽部位经承包人自检确认具备覆盖条件的，承包人应在</w:t>
      </w:r>
      <w:r>
        <w:rPr>
          <w:rFonts w:hint="eastAsia" w:ascii="宋体" w:hAnsi="宋体"/>
          <w:color w:val="auto"/>
          <w:kern w:val="0"/>
          <w:szCs w:val="24"/>
          <w:highlight w:val="none"/>
        </w:rPr>
        <w:t>共同</w:t>
      </w:r>
      <w:r>
        <w:rPr>
          <w:rFonts w:ascii="宋体" w:hAnsi="宋体"/>
          <w:color w:val="auto"/>
          <w:kern w:val="0"/>
          <w:szCs w:val="24"/>
          <w:highlight w:val="none"/>
        </w:rPr>
        <w:t>检查前48小时书面通知监理人检查，通知中应载明隐蔽检查的内容、时间和地点，并应附有自检记录和必要的检查资料。</w:t>
      </w:r>
    </w:p>
    <w:p>
      <w:pPr>
        <w:tabs>
          <w:tab w:val="left" w:pos="1620"/>
          <w:tab w:val="left" w:pos="2340"/>
        </w:tabs>
        <w:spacing w:after="156" w:line="360" w:lineRule="auto"/>
        <w:ind w:firstLine="420" w:firstLineChars="200"/>
        <w:jc w:val="left"/>
        <w:rPr>
          <w:rFonts w:ascii="宋体" w:hAnsi="宋体"/>
          <w:color w:val="auto"/>
          <w:kern w:val="0"/>
          <w:szCs w:val="24"/>
          <w:highlight w:val="none"/>
        </w:rPr>
      </w:pPr>
      <w:r>
        <w:rPr>
          <w:rFonts w:ascii="宋体" w:hAnsi="宋体"/>
          <w:color w:val="auto"/>
          <w:kern w:val="0"/>
          <w:szCs w:val="24"/>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r>
        <w:rPr>
          <w:rFonts w:hint="eastAsia" w:ascii="宋体" w:hAnsi="宋体"/>
          <w:color w:val="auto"/>
          <w:kern w:val="0"/>
          <w:szCs w:val="24"/>
          <w:highlight w:val="none"/>
        </w:rPr>
        <w:t>隐蔽工程检查验收应全程录像、举牌验收，并于检查完成后2</w:t>
      </w:r>
      <w:r>
        <w:rPr>
          <w:rFonts w:ascii="宋体" w:hAnsi="宋体"/>
          <w:color w:val="auto"/>
          <w:kern w:val="0"/>
          <w:szCs w:val="24"/>
          <w:highlight w:val="none"/>
        </w:rPr>
        <w:t>4</w:t>
      </w:r>
      <w:r>
        <w:rPr>
          <w:rFonts w:hint="eastAsia" w:ascii="宋体" w:hAnsi="宋体"/>
          <w:color w:val="auto"/>
          <w:kern w:val="0"/>
          <w:szCs w:val="24"/>
          <w:highlight w:val="none"/>
        </w:rPr>
        <w:t>h内由承包人提交给监理人存档。</w:t>
      </w:r>
    </w:p>
    <w:p>
      <w:pPr>
        <w:tabs>
          <w:tab w:val="left" w:pos="1620"/>
          <w:tab w:val="left" w:pos="2340"/>
        </w:tabs>
        <w:spacing w:after="156" w:line="360" w:lineRule="auto"/>
        <w:ind w:firstLine="420" w:firstLineChars="200"/>
        <w:jc w:val="left"/>
        <w:rPr>
          <w:rFonts w:hint="eastAsia" w:ascii="宋体" w:hAnsi="宋体"/>
          <w:color w:val="auto"/>
          <w:kern w:val="0"/>
          <w:szCs w:val="24"/>
          <w:highlight w:val="none"/>
        </w:rPr>
      </w:pPr>
      <w:r>
        <w:rPr>
          <w:rFonts w:ascii="宋体" w:hAnsi="宋体"/>
          <w:color w:val="auto"/>
          <w:kern w:val="0"/>
          <w:szCs w:val="24"/>
          <w:highlight w:val="none"/>
        </w:rPr>
        <w:t>除</w:t>
      </w:r>
      <w:r>
        <w:rPr>
          <w:rFonts w:ascii="宋体" w:hAnsi="宋体"/>
          <w:bCs/>
          <w:iCs/>
          <w:color w:val="auto"/>
          <w:kern w:val="0"/>
          <w:szCs w:val="24"/>
          <w:highlight w:val="none"/>
        </w:rPr>
        <w:t>专用条款</w:t>
      </w:r>
      <w:r>
        <w:rPr>
          <w:rFonts w:ascii="宋体" w:hAnsi="宋体"/>
          <w:color w:val="auto"/>
          <w:kern w:val="0"/>
          <w:szCs w:val="24"/>
          <w:highlight w:val="none"/>
        </w:rPr>
        <w:t>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w:t>
      </w:r>
      <w:r>
        <w:rPr>
          <w:rFonts w:hint="eastAsia" w:ascii="宋体" w:hAnsi="宋体"/>
          <w:color w:val="auto"/>
          <w:kern w:val="0"/>
          <w:szCs w:val="24"/>
          <w:highlight w:val="none"/>
        </w:rPr>
        <w:t>〔</w:t>
      </w:r>
      <w:r>
        <w:rPr>
          <w:rFonts w:ascii="宋体" w:hAnsi="宋体"/>
          <w:color w:val="auto"/>
          <w:kern w:val="0"/>
          <w:szCs w:val="24"/>
          <w:highlight w:val="none"/>
        </w:rPr>
        <w:t>重新检查</w:t>
      </w:r>
      <w:r>
        <w:rPr>
          <w:rFonts w:hint="eastAsia" w:ascii="宋体" w:hAnsi="宋体"/>
          <w:color w:val="auto"/>
          <w:kern w:val="0"/>
          <w:szCs w:val="24"/>
          <w:highlight w:val="none"/>
        </w:rPr>
        <w:t>〕</w:t>
      </w:r>
      <w:r>
        <w:rPr>
          <w:rFonts w:ascii="宋体" w:hAnsi="宋体"/>
          <w:color w:val="auto"/>
          <w:kern w:val="0"/>
          <w:szCs w:val="24"/>
          <w:highlight w:val="none"/>
        </w:rPr>
        <w:t>的约定重新检查。</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r>
        <w:rPr>
          <w:rFonts w:ascii="宋体" w:hAnsi="宋体" w:cs="宋体"/>
          <w:b/>
          <w:bCs/>
          <w:color w:val="auto"/>
          <w:sz w:val="24"/>
          <w:szCs w:val="24"/>
          <w:highlight w:val="none"/>
        </w:rPr>
        <w:t>5.3.3 重新检查</w:t>
      </w:r>
    </w:p>
    <w:p>
      <w:pPr>
        <w:tabs>
          <w:tab w:val="left" w:pos="1620"/>
          <w:tab w:val="left" w:pos="2340"/>
        </w:tabs>
        <w:spacing w:after="156" w:line="360" w:lineRule="auto"/>
        <w:ind w:firstLine="420" w:firstLineChars="200"/>
        <w:jc w:val="left"/>
        <w:rPr>
          <w:rFonts w:ascii="宋体" w:hAnsi="宋体"/>
          <w:color w:val="auto"/>
          <w:kern w:val="0"/>
          <w:szCs w:val="24"/>
          <w:highlight w:val="none"/>
        </w:rPr>
      </w:pPr>
      <w:r>
        <w:rPr>
          <w:rFonts w:ascii="宋体" w:hAnsi="宋体"/>
          <w:color w:val="auto"/>
          <w:kern w:val="0"/>
          <w:szCs w:val="24"/>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r>
        <w:rPr>
          <w:rFonts w:ascii="宋体" w:hAnsi="宋体" w:cs="宋体"/>
          <w:b/>
          <w:bCs/>
          <w:color w:val="auto"/>
          <w:sz w:val="24"/>
          <w:szCs w:val="24"/>
          <w:highlight w:val="none"/>
        </w:rPr>
        <w:t>5.3.4 承包人私自覆盖</w:t>
      </w:r>
    </w:p>
    <w:p>
      <w:pPr>
        <w:tabs>
          <w:tab w:val="left" w:pos="1620"/>
          <w:tab w:val="left" w:pos="2340"/>
        </w:tabs>
        <w:spacing w:after="156" w:line="360" w:lineRule="auto"/>
        <w:ind w:firstLine="420" w:firstLineChars="200"/>
        <w:jc w:val="left"/>
        <w:rPr>
          <w:rFonts w:ascii="宋体" w:hAnsi="宋体"/>
          <w:color w:val="auto"/>
          <w:kern w:val="0"/>
          <w:szCs w:val="24"/>
          <w:highlight w:val="none"/>
        </w:rPr>
      </w:pPr>
      <w:r>
        <w:rPr>
          <w:rFonts w:ascii="宋体" w:hAnsi="宋体"/>
          <w:color w:val="auto"/>
          <w:kern w:val="0"/>
          <w:szCs w:val="24"/>
          <w:highlight w:val="none"/>
        </w:rPr>
        <w:t>承包人未通知监理人到场检查，私自将工程隐蔽部位覆盖的，监理人有权指示承包人钻孔探测或揭开检查，无论工程隐蔽部位质量是否合格，由此增加的费用和（或）延误的工期均由承包人承担。</w:t>
      </w:r>
    </w:p>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2087" w:name="_Toc28983"/>
      <w:bookmarkStart w:id="2088" w:name="_Toc517528676"/>
      <w:bookmarkStart w:id="2089" w:name="_Toc517532065"/>
      <w:bookmarkStart w:id="2090" w:name="_Toc3294"/>
      <w:bookmarkStart w:id="2091" w:name="_Toc5306"/>
      <w:bookmarkStart w:id="2092" w:name="_Toc19119"/>
      <w:bookmarkStart w:id="2093" w:name="_Toc21043"/>
      <w:bookmarkStart w:id="2094" w:name="_Toc10557"/>
      <w:bookmarkStart w:id="2095" w:name="_Toc19447"/>
      <w:bookmarkStart w:id="2096" w:name="_Toc517530789"/>
      <w:bookmarkStart w:id="2097" w:name="_Toc3088"/>
      <w:bookmarkStart w:id="2098" w:name="_Toc23145"/>
      <w:bookmarkStart w:id="2099" w:name="_Toc3072"/>
      <w:bookmarkStart w:id="2100" w:name="_Toc16712"/>
      <w:bookmarkStart w:id="2101" w:name="_Toc25564"/>
      <w:bookmarkStart w:id="2102" w:name="_Toc21538"/>
      <w:bookmarkStart w:id="2103" w:name="_Toc11500"/>
      <w:bookmarkStart w:id="2104" w:name="_Toc69113961"/>
      <w:bookmarkStart w:id="2105" w:name="_Toc16516"/>
      <w:r>
        <w:rPr>
          <w:rFonts w:hint="eastAsia" w:ascii="宋体" w:hAnsi="宋体" w:cs="宋体"/>
          <w:b/>
          <w:bCs/>
          <w:color w:val="auto"/>
          <w:sz w:val="28"/>
          <w:szCs w:val="28"/>
          <w:highlight w:val="none"/>
        </w:rPr>
        <w:t>5.</w:t>
      </w:r>
      <w:r>
        <w:rPr>
          <w:rFonts w:ascii="宋体" w:hAnsi="宋体" w:cs="宋体"/>
          <w:b/>
          <w:bCs/>
          <w:color w:val="auto"/>
          <w:sz w:val="28"/>
          <w:szCs w:val="28"/>
          <w:highlight w:val="none"/>
        </w:rPr>
        <w:t>4</w:t>
      </w:r>
      <w:r>
        <w:rPr>
          <w:rFonts w:hint="eastAsia" w:ascii="宋体" w:hAnsi="宋体" w:cs="宋体"/>
          <w:b/>
          <w:bCs/>
          <w:color w:val="auto"/>
          <w:sz w:val="28"/>
          <w:szCs w:val="28"/>
          <w:highlight w:val="none"/>
        </w:rPr>
        <w:t>发包人的抽查权</w:t>
      </w:r>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p>
    <w:p>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工程竣工前的施工过程中，发包人或发包人委托的第三方有权随时对工程及工程任何部分的质量和安全、施工行为及为完成工程所作的其他任何工作进行抽查，并对抽查情况进行详细记录。</w:t>
      </w:r>
    </w:p>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2106" w:name="_Toc841"/>
      <w:bookmarkStart w:id="2107" w:name="_Toc69113962"/>
      <w:bookmarkStart w:id="2108" w:name="_Toc18279"/>
      <w:bookmarkStart w:id="2109" w:name="_Toc23755"/>
      <w:bookmarkStart w:id="2110" w:name="_Toc8449"/>
      <w:bookmarkStart w:id="2111" w:name="_Toc19608"/>
      <w:bookmarkStart w:id="2112" w:name="_Toc4485"/>
      <w:bookmarkStart w:id="2113" w:name="_Toc28578"/>
      <w:bookmarkStart w:id="2114" w:name="_Toc517528677"/>
      <w:bookmarkStart w:id="2115" w:name="_Toc9068"/>
      <w:bookmarkStart w:id="2116" w:name="_Toc18306"/>
      <w:bookmarkStart w:id="2117" w:name="_Toc517532066"/>
      <w:bookmarkStart w:id="2118" w:name="_Toc517530790"/>
      <w:bookmarkStart w:id="2119" w:name="_Toc3017"/>
      <w:bookmarkStart w:id="2120" w:name="_Toc10988"/>
      <w:bookmarkStart w:id="2121" w:name="_Toc29382"/>
      <w:bookmarkStart w:id="2122" w:name="_Toc12764"/>
      <w:bookmarkStart w:id="2123" w:name="_Toc4000"/>
      <w:bookmarkStart w:id="2124" w:name="_Toc12159"/>
      <w:r>
        <w:rPr>
          <w:rFonts w:hint="eastAsia" w:ascii="宋体" w:hAnsi="宋体" w:cs="宋体"/>
          <w:b/>
          <w:bCs/>
          <w:color w:val="auto"/>
          <w:sz w:val="28"/>
          <w:szCs w:val="28"/>
          <w:highlight w:val="none"/>
        </w:rPr>
        <w:t>5.</w:t>
      </w:r>
      <w:r>
        <w:rPr>
          <w:rFonts w:ascii="宋体" w:hAnsi="宋体" w:cs="宋体"/>
          <w:b/>
          <w:bCs/>
          <w:color w:val="auto"/>
          <w:sz w:val="28"/>
          <w:szCs w:val="28"/>
          <w:highlight w:val="none"/>
        </w:rPr>
        <w:t>5</w:t>
      </w:r>
      <w:r>
        <w:rPr>
          <w:rFonts w:hint="eastAsia" w:ascii="宋体" w:hAnsi="宋体" w:cs="宋体"/>
          <w:b/>
          <w:bCs/>
          <w:color w:val="auto"/>
          <w:sz w:val="28"/>
          <w:szCs w:val="28"/>
          <w:highlight w:val="none"/>
        </w:rPr>
        <w:t>质量、安全检查</w:t>
      </w:r>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发包人或发包人委托的第三方将定期或不定期对所管理的工程项目进行</w:t>
      </w:r>
      <w:bookmarkStart w:id="2125" w:name="_Hlk65749657"/>
      <w:r>
        <w:rPr>
          <w:rFonts w:hint="eastAsia" w:ascii="宋体" w:hAnsi="宋体" w:cs="宋体"/>
          <w:color w:val="auto"/>
          <w:szCs w:val="21"/>
          <w:highlight w:val="none"/>
        </w:rPr>
        <w:t>质量、安全检查</w:t>
      </w:r>
      <w:bookmarkEnd w:id="2125"/>
      <w:r>
        <w:rPr>
          <w:rFonts w:hint="eastAsia" w:ascii="宋体" w:hAnsi="宋体" w:cs="宋体"/>
          <w:color w:val="auto"/>
          <w:szCs w:val="21"/>
          <w:highlight w:val="none"/>
        </w:rPr>
        <w:t>，根据检查情况汇总形成年度房建（市政）工程质量排名和年度房建（市政）工程安全文明排名。</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发包人有权将质量、安全检查排名数据作为定标依据之一。</w:t>
      </w:r>
    </w:p>
    <w:p>
      <w:pPr>
        <w:keepNext/>
        <w:keepLines/>
        <w:spacing w:before="156" w:beforeLines="50" w:after="156" w:afterLines="50" w:line="360" w:lineRule="auto"/>
        <w:ind w:firstLine="600" w:firstLineChars="200"/>
        <w:outlineLvl w:val="1"/>
        <w:rPr>
          <w:rFonts w:hint="eastAsia" w:ascii="宋体" w:hAnsi="宋体" w:cs="宋体"/>
          <w:b/>
          <w:bCs/>
          <w:color w:val="auto"/>
          <w:sz w:val="30"/>
          <w:szCs w:val="30"/>
          <w:highlight w:val="none"/>
        </w:rPr>
      </w:pPr>
      <w:bookmarkStart w:id="2126" w:name="_Toc2476"/>
      <w:bookmarkStart w:id="2127" w:name="_Toc13090"/>
      <w:bookmarkStart w:id="2128" w:name="_Toc18665"/>
      <w:bookmarkStart w:id="2129" w:name="_Toc517529739"/>
      <w:bookmarkStart w:id="2130" w:name="_Toc31730"/>
      <w:bookmarkStart w:id="2131" w:name="_Toc31637"/>
      <w:bookmarkStart w:id="2132" w:name="_Toc517528678"/>
      <w:bookmarkStart w:id="2133" w:name="_Toc583"/>
      <w:bookmarkStart w:id="2134" w:name="_Toc27140"/>
      <w:bookmarkStart w:id="2135" w:name="_Toc6325"/>
      <w:bookmarkStart w:id="2136" w:name="_Toc6331"/>
      <w:bookmarkStart w:id="2137" w:name="_Toc20116"/>
      <w:bookmarkStart w:id="2138" w:name="_Toc27328"/>
      <w:bookmarkStart w:id="2139" w:name="_Toc69113963"/>
      <w:bookmarkStart w:id="2140" w:name="_Toc13708"/>
      <w:bookmarkStart w:id="2141" w:name="_Toc517532067"/>
      <w:bookmarkStart w:id="2142" w:name="_Toc26704"/>
      <w:bookmarkStart w:id="2143" w:name="_Toc517530791"/>
      <w:bookmarkStart w:id="2144" w:name="_Toc21316"/>
      <w:bookmarkStart w:id="2145" w:name="_Toc13733"/>
      <w:r>
        <w:rPr>
          <w:rFonts w:hint="eastAsia" w:ascii="宋体" w:hAnsi="宋体" w:cs="宋体"/>
          <w:b/>
          <w:bCs/>
          <w:color w:val="auto"/>
          <w:sz w:val="30"/>
          <w:szCs w:val="30"/>
          <w:highlight w:val="none"/>
        </w:rPr>
        <w:t>6.安全文明施工与环境保护</w:t>
      </w:r>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p>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2146" w:name="_Toc11363"/>
      <w:bookmarkStart w:id="2147" w:name="_Toc29561"/>
      <w:bookmarkStart w:id="2148" w:name="_Toc25334"/>
      <w:bookmarkStart w:id="2149" w:name="_Toc17938"/>
      <w:bookmarkStart w:id="2150" w:name="_Toc27135"/>
      <w:bookmarkStart w:id="2151" w:name="_Toc18861"/>
      <w:bookmarkStart w:id="2152" w:name="_Toc517528679"/>
      <w:bookmarkStart w:id="2153" w:name="_Toc29639"/>
      <w:bookmarkStart w:id="2154" w:name="_Toc465237102"/>
      <w:bookmarkStart w:id="2155" w:name="_Toc29986"/>
      <w:bookmarkStart w:id="2156" w:name="_Toc517532068"/>
      <w:bookmarkStart w:id="2157" w:name="_Toc13058"/>
      <w:bookmarkStart w:id="2158" w:name="_Toc6313"/>
      <w:bookmarkStart w:id="2159" w:name="_Toc19011"/>
      <w:bookmarkStart w:id="2160" w:name="_Toc7465"/>
      <w:bookmarkStart w:id="2161" w:name="_Toc20378"/>
      <w:bookmarkStart w:id="2162" w:name="_Toc517530792"/>
      <w:bookmarkStart w:id="2163" w:name="_Toc69113964"/>
      <w:bookmarkStart w:id="2164" w:name="_Toc14434"/>
      <w:bookmarkStart w:id="2165" w:name="_Toc13377"/>
      <w:bookmarkStart w:id="2166" w:name="_Toc465237200"/>
      <w:bookmarkStart w:id="2167" w:name="_Toc24120"/>
      <w:bookmarkStart w:id="2168" w:name="_Toc13215"/>
      <w:bookmarkStart w:id="2169" w:name="_Toc26361"/>
      <w:r>
        <w:rPr>
          <w:rFonts w:hint="eastAsia" w:ascii="宋体" w:hAnsi="宋体" w:cs="宋体"/>
          <w:b/>
          <w:bCs/>
          <w:color w:val="auto"/>
          <w:sz w:val="28"/>
          <w:szCs w:val="28"/>
          <w:highlight w:val="none"/>
        </w:rPr>
        <w:t>6.1安全文明施工</w:t>
      </w:r>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2170" w:name="_Toc16309"/>
      <w:bookmarkStart w:id="2171" w:name="_Toc13390"/>
      <w:bookmarkStart w:id="2172" w:name="_Toc31767"/>
      <w:bookmarkStart w:id="2173" w:name="_Toc20024"/>
      <w:bookmarkStart w:id="2174" w:name="_Toc27980"/>
      <w:bookmarkStart w:id="2175" w:name="_Toc10249"/>
      <w:bookmarkStart w:id="2176" w:name="_Toc30764"/>
      <w:bookmarkStart w:id="2177" w:name="_Toc29361"/>
      <w:bookmarkStart w:id="2178" w:name="_Toc22697"/>
      <w:bookmarkStart w:id="2179" w:name="_Toc19894"/>
      <w:bookmarkStart w:id="2180" w:name="_Toc4035"/>
      <w:bookmarkStart w:id="2181" w:name="_Toc517530793"/>
      <w:bookmarkStart w:id="2182" w:name="_Toc517532069"/>
      <w:bookmarkStart w:id="2183" w:name="_Toc10927"/>
      <w:bookmarkStart w:id="2184" w:name="_Toc15389"/>
      <w:bookmarkStart w:id="2185" w:name="_Toc32487"/>
      <w:bookmarkStart w:id="2186" w:name="_Toc16989"/>
      <w:bookmarkStart w:id="2187" w:name="_Toc27729"/>
      <w:bookmarkStart w:id="2188" w:name="_Toc20045"/>
      <w:bookmarkStart w:id="2189" w:name="_Toc8630"/>
      <w:r>
        <w:rPr>
          <w:rFonts w:hint="eastAsia" w:ascii="宋体" w:hAnsi="宋体" w:cs="宋体"/>
          <w:b/>
          <w:bCs/>
          <w:color w:val="auto"/>
          <w:sz w:val="24"/>
          <w:szCs w:val="24"/>
          <w:highlight w:val="none"/>
        </w:rPr>
        <w:t>6.1.1</w:t>
      </w:r>
      <w:bookmarkEnd w:id="2170"/>
      <w:bookmarkEnd w:id="2171"/>
      <w:bookmarkEnd w:id="2172"/>
      <w:bookmarkEnd w:id="2173"/>
      <w:bookmarkEnd w:id="2174"/>
      <w:bookmarkEnd w:id="2175"/>
      <w:bookmarkEnd w:id="2176"/>
      <w:bookmarkEnd w:id="2177"/>
      <w:bookmarkEnd w:id="2178"/>
      <w:r>
        <w:rPr>
          <w:rFonts w:hint="eastAsia" w:ascii="宋体" w:hAnsi="宋体" w:cs="宋体"/>
          <w:b/>
          <w:bCs/>
          <w:color w:val="auto"/>
          <w:sz w:val="24"/>
          <w:szCs w:val="24"/>
          <w:highlight w:val="none"/>
        </w:rPr>
        <w:t>一般要求</w:t>
      </w:r>
      <w:bookmarkEnd w:id="2179"/>
      <w:bookmarkEnd w:id="2180"/>
      <w:bookmarkEnd w:id="2181"/>
      <w:bookmarkEnd w:id="2182"/>
      <w:bookmarkEnd w:id="2183"/>
      <w:bookmarkEnd w:id="2184"/>
      <w:bookmarkEnd w:id="2185"/>
      <w:bookmarkEnd w:id="2186"/>
      <w:bookmarkEnd w:id="2187"/>
      <w:bookmarkEnd w:id="2188"/>
      <w:bookmarkEnd w:id="2189"/>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在实施和完成本合同工程及其缺陷修复的整个过程中，承包人应该：</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(a)充分关注和保障所有在现场工作的人员的安全，采取有效措施，使现场和本合同工程的实施保持有条不紊，以免使上述人员的安全受到威胁；</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(b)为了保护本合同工程免遭损坏，或为了现场附近和过往群众的安全与方便，在确有必要或当监理人或有关主管部门要求时，应自费提供照明、警卫、护栅、安全网、警告标志等安全防护设施；</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(c)采取一切合理措施保护现场内外的环境，避免由于施工操作引起的粉尘、有害气体、噪音等对环境的污染，或其他原因造成的人身伤害或财产损失；</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(d)采取可靠措施保证原有交通的正常通行和维持沿线居民饮水、生产生活用电及通讯等管线的正常使用。</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如果由于承包人未能对其负责的上述事项采取各种必要的措施而导致或发生与此有关的一切责任应由承包人负责。</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2190" w:name="_Toc5273"/>
      <w:bookmarkStart w:id="2191" w:name="_Toc517532070"/>
      <w:bookmarkStart w:id="2192" w:name="_Toc11529"/>
      <w:bookmarkStart w:id="2193" w:name="_Toc24638"/>
      <w:bookmarkStart w:id="2194" w:name="_Toc31643"/>
      <w:bookmarkStart w:id="2195" w:name="_Toc6266"/>
      <w:bookmarkStart w:id="2196" w:name="_Toc28322"/>
      <w:bookmarkStart w:id="2197" w:name="_Toc24711"/>
      <w:bookmarkStart w:id="2198" w:name="_Toc28108"/>
      <w:bookmarkStart w:id="2199" w:name="_Toc19699"/>
      <w:bookmarkStart w:id="2200" w:name="_Toc6944"/>
      <w:bookmarkStart w:id="2201" w:name="_Toc4564"/>
      <w:bookmarkStart w:id="2202" w:name="_Toc7118"/>
      <w:bookmarkStart w:id="2203" w:name="_Toc517530794"/>
      <w:bookmarkStart w:id="2204" w:name="_Toc23375"/>
      <w:bookmarkStart w:id="2205" w:name="_Toc20087"/>
      <w:bookmarkStart w:id="2206" w:name="_Toc15552"/>
      <w:bookmarkStart w:id="2207" w:name="_Toc11770"/>
      <w:bookmarkStart w:id="2208" w:name="_Toc29775"/>
      <w:bookmarkStart w:id="2209" w:name="_Toc6228"/>
      <w:r>
        <w:rPr>
          <w:rFonts w:hint="eastAsia" w:ascii="宋体" w:hAnsi="宋体" w:cs="宋体"/>
          <w:b/>
          <w:bCs/>
          <w:color w:val="auto"/>
          <w:sz w:val="24"/>
          <w:szCs w:val="24"/>
          <w:highlight w:val="none"/>
        </w:rPr>
        <w:t>6.1.2施工对邻近房产和群众的干扰</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实施和完成本合同工程及缺陷修复工程中的一切施工作业，不得影响邻近建筑物、构筑物的安全与正常使用，应尽量避免干扰群众的通行，</w:t>
      </w:r>
      <w:r>
        <w:rPr>
          <w:rFonts w:ascii="宋体" w:hAnsi="宋体" w:cs="宋体"/>
          <w:color w:val="auto"/>
          <w:szCs w:val="21"/>
          <w:highlight w:val="none"/>
        </w:rPr>
        <w:t>同时仍应保证施工</w:t>
      </w:r>
      <w:r>
        <w:rPr>
          <w:rFonts w:hint="eastAsia" w:ascii="宋体" w:hAnsi="宋体" w:cs="宋体"/>
          <w:color w:val="auto"/>
          <w:szCs w:val="21"/>
          <w:highlight w:val="none"/>
        </w:rPr>
        <w:t>作业</w:t>
      </w:r>
      <w:r>
        <w:rPr>
          <w:rFonts w:ascii="宋体" w:hAnsi="宋体" w:cs="宋体"/>
          <w:color w:val="auto"/>
          <w:szCs w:val="21"/>
          <w:highlight w:val="none"/>
        </w:rPr>
        <w:t>符合合同要求</w:t>
      </w:r>
      <w:r>
        <w:rPr>
          <w:rFonts w:hint="eastAsia" w:ascii="宋体" w:hAnsi="宋体" w:cs="宋体"/>
          <w:color w:val="auto"/>
          <w:szCs w:val="21"/>
          <w:highlight w:val="none"/>
        </w:rPr>
        <w:t>。如果发生上述情况，并由此导致索赔、赔偿、诉讼费、指控费及其他价款时，应由承包人承担一切责任及费用。但属于发包人或监理人对本工程提供的设计所引起的损失或损害除外。承包人在爆破施工中应采用经监理人批准的施工方案（包括安全措施）以保证当地的一切建筑物、构造物、附近人群等的安全及交通道路的通行方便,且应自行负责同当地的一切协调工作。由此发生的相关费用由承包人承担。</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因降水或基础施工不当等引起邻近建筑物、构筑物、道路、管网等受到损害或构成安全隐患的，由承包人承担全部责任及费用。</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2210" w:name="_Toc15078"/>
      <w:bookmarkStart w:id="2211" w:name="_Toc22363"/>
      <w:bookmarkStart w:id="2212" w:name="_Toc828"/>
      <w:bookmarkStart w:id="2213" w:name="_Toc32060"/>
      <w:bookmarkStart w:id="2214" w:name="_Toc5036"/>
      <w:bookmarkStart w:id="2215" w:name="_Toc29448"/>
      <w:bookmarkStart w:id="2216" w:name="_Toc20152"/>
      <w:bookmarkStart w:id="2217" w:name="_Toc30517"/>
      <w:bookmarkStart w:id="2218" w:name="_Toc21946"/>
      <w:bookmarkStart w:id="2219" w:name="_Toc12634"/>
      <w:bookmarkStart w:id="2220" w:name="_Toc19332"/>
      <w:bookmarkStart w:id="2221" w:name="_Toc517532071"/>
      <w:bookmarkStart w:id="2222" w:name="_Toc166"/>
      <w:bookmarkStart w:id="2223" w:name="_Toc19233"/>
      <w:bookmarkStart w:id="2224" w:name="_Toc20452"/>
      <w:bookmarkStart w:id="2225" w:name="_Toc13931"/>
      <w:bookmarkStart w:id="2226" w:name="_Toc517530795"/>
      <w:bookmarkStart w:id="2227" w:name="_Toc30047"/>
      <w:bookmarkStart w:id="2228" w:name="_Toc3186"/>
      <w:bookmarkStart w:id="2229" w:name="_Toc22201"/>
      <w:r>
        <w:rPr>
          <w:rFonts w:hint="eastAsia" w:ascii="宋体" w:hAnsi="宋体" w:cs="宋体"/>
          <w:b/>
          <w:bCs/>
          <w:color w:val="auto"/>
          <w:sz w:val="24"/>
          <w:szCs w:val="24"/>
          <w:highlight w:val="none"/>
        </w:rPr>
        <w:t>6.1.3工作时间的限制</w:t>
      </w:r>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承包人在夜间或国家规定的节假日进行永久工程的施工应得到监理人的许可，并应遵守当地政府的有关规定或取得有关部门的批准，但是为了抢救生命或保护财产，或为了工程的安全、质量而不可避免的或绝对必要的作业，则不必事先经监理人的许可。在这种情况下，承包人应在事后立即向监理人书面报告。</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2230" w:name="_Toc7226"/>
      <w:bookmarkStart w:id="2231" w:name="_Toc26223"/>
      <w:bookmarkStart w:id="2232" w:name="_Toc151"/>
      <w:bookmarkStart w:id="2233" w:name="_Toc17002"/>
      <w:bookmarkStart w:id="2234" w:name="_Toc3355"/>
      <w:bookmarkStart w:id="2235" w:name="_Toc15065"/>
      <w:bookmarkStart w:id="2236" w:name="_Toc14597"/>
      <w:bookmarkStart w:id="2237" w:name="_Toc3678"/>
      <w:bookmarkStart w:id="2238" w:name="_Toc12783"/>
      <w:bookmarkStart w:id="2239" w:name="_Toc16192"/>
      <w:bookmarkStart w:id="2240" w:name="_Toc21114"/>
      <w:bookmarkStart w:id="2241" w:name="_Toc22907"/>
      <w:bookmarkStart w:id="2242" w:name="_Toc31480"/>
      <w:bookmarkStart w:id="2243" w:name="_Toc29345"/>
      <w:bookmarkStart w:id="2244" w:name="_Toc9981"/>
      <w:bookmarkStart w:id="2245" w:name="_Toc517532072"/>
      <w:bookmarkStart w:id="2246" w:name="_Toc517530796"/>
      <w:bookmarkStart w:id="2247" w:name="_Toc5333"/>
      <w:bookmarkStart w:id="2248" w:name="_Toc5823"/>
      <w:bookmarkStart w:id="2249" w:name="_Toc29867"/>
      <w:r>
        <w:rPr>
          <w:rFonts w:hint="eastAsia" w:ascii="宋体" w:hAnsi="宋体" w:cs="宋体"/>
          <w:b/>
          <w:bCs/>
          <w:color w:val="auto"/>
          <w:sz w:val="24"/>
          <w:szCs w:val="24"/>
          <w:highlight w:val="none"/>
        </w:rPr>
        <w:t>6.1.4爆破器材的运输和保管</w:t>
      </w:r>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爆破器材（炸药、雷管、引火线等）由承包人自行采购、运输和保管，其运输和保管必须符合当地公安部门的有关规定，并接受当地公安部门定期或不定期的安全检查，必要时发包人应予协助。</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2250" w:name="_Toc28761"/>
      <w:bookmarkStart w:id="2251" w:name="_Toc21473"/>
      <w:bookmarkStart w:id="2252" w:name="_Toc9121"/>
      <w:bookmarkStart w:id="2253" w:name="_Toc31551"/>
      <w:bookmarkStart w:id="2254" w:name="_Toc110"/>
      <w:bookmarkStart w:id="2255" w:name="_Toc9124"/>
      <w:bookmarkStart w:id="2256" w:name="_Toc10175"/>
      <w:bookmarkStart w:id="2257" w:name="_Toc517530797"/>
      <w:bookmarkStart w:id="2258" w:name="_Toc5533"/>
      <w:bookmarkStart w:id="2259" w:name="_Toc26160"/>
      <w:bookmarkStart w:id="2260" w:name="_Toc5266"/>
      <w:bookmarkStart w:id="2261" w:name="_Toc19410"/>
      <w:bookmarkStart w:id="2262" w:name="_Toc2237"/>
      <w:bookmarkStart w:id="2263" w:name="_Toc517532073"/>
      <w:bookmarkStart w:id="2264" w:name="_Toc28370"/>
      <w:bookmarkStart w:id="2265" w:name="_Toc7373"/>
      <w:bookmarkStart w:id="2266" w:name="_Toc12260"/>
      <w:bookmarkStart w:id="2267" w:name="_Toc11953"/>
      <w:bookmarkStart w:id="2268" w:name="_Toc6778"/>
      <w:bookmarkStart w:id="2269" w:name="_Toc17047"/>
      <w:r>
        <w:rPr>
          <w:rFonts w:hint="eastAsia" w:ascii="宋体" w:hAnsi="宋体" w:cs="宋体"/>
          <w:b/>
          <w:bCs/>
          <w:color w:val="auto"/>
          <w:sz w:val="24"/>
          <w:szCs w:val="24"/>
          <w:highlight w:val="none"/>
        </w:rPr>
        <w:t>6.1.5承包人保持现场整洁</w:t>
      </w:r>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在施工期间，承包人应随时保持现场整洁，施工装备和材料、设备应妥善存放和贮存，废料、垃圾和不再需要的临时设施应从现场清除、拆除并运走。</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2270" w:name="_Toc5783"/>
      <w:bookmarkStart w:id="2271" w:name="_Toc10929"/>
      <w:bookmarkStart w:id="2272" w:name="_Toc568"/>
      <w:bookmarkStart w:id="2273" w:name="_Toc517530798"/>
      <w:bookmarkStart w:id="2274" w:name="_Toc9204"/>
      <w:bookmarkStart w:id="2275" w:name="_Toc13611"/>
      <w:bookmarkStart w:id="2276" w:name="_Toc26723"/>
      <w:bookmarkStart w:id="2277" w:name="_Toc26520"/>
      <w:bookmarkStart w:id="2278" w:name="_Toc12932"/>
      <w:bookmarkStart w:id="2279" w:name="_Toc18930"/>
      <w:bookmarkStart w:id="2280" w:name="_Toc6068"/>
      <w:bookmarkStart w:id="2281" w:name="_Toc13441"/>
      <w:bookmarkStart w:id="2282" w:name="_Toc21176"/>
      <w:bookmarkStart w:id="2283" w:name="_Toc32706"/>
      <w:bookmarkStart w:id="2284" w:name="_Toc3214"/>
      <w:bookmarkStart w:id="2285" w:name="_Toc30933"/>
      <w:bookmarkStart w:id="2286" w:name="_Toc517532074"/>
      <w:bookmarkStart w:id="2287" w:name="_Toc28307"/>
      <w:bookmarkStart w:id="2288" w:name="_Toc14655"/>
      <w:bookmarkStart w:id="2289" w:name="_Toc15918"/>
      <w:r>
        <w:rPr>
          <w:rFonts w:hint="eastAsia" w:ascii="宋体" w:hAnsi="宋体" w:cs="宋体"/>
          <w:b/>
          <w:bCs/>
          <w:color w:val="auto"/>
          <w:sz w:val="24"/>
          <w:szCs w:val="24"/>
          <w:highlight w:val="none"/>
        </w:rPr>
        <w:t>6.1.6竣工时的现场清理</w:t>
      </w:r>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在签发交接证书时，承包人应从与交接证书相关的现场清除并运出承包人装备、剩余材料、垃圾和各种临时设施，并保持整个现场及工程整洁，达到符合合同要求的使用状态。</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按照前款的规定，如果承包人未在发包人或监理人指定的合理时间内所有的承包人装备、剩余材料、垃圾及各种临时设施运走，则发包人可以：</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(a)委托他人将承包人装备、剩余材料及承包人的其他财产觅地存放；</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(b)委托他人清除并运走垃圾、废料。</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因上述工作而发生的费用应由承包人承担，发包人可从应付承包人的款项内扣除，若不足时，发包人可出售承包人的财产用以抵补，或由发包人依照法律从承包人处收回。</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2290" w:name="_Toc30336"/>
      <w:bookmarkStart w:id="2291" w:name="_Toc517532075"/>
      <w:bookmarkStart w:id="2292" w:name="_Toc517530799"/>
      <w:bookmarkStart w:id="2293" w:name="_Toc10094"/>
      <w:bookmarkStart w:id="2294" w:name="_Toc4992"/>
      <w:bookmarkStart w:id="2295" w:name="_Toc8436"/>
      <w:bookmarkStart w:id="2296" w:name="_Toc22009"/>
      <w:bookmarkStart w:id="2297" w:name="_Toc23471"/>
      <w:bookmarkStart w:id="2298" w:name="_Toc4225"/>
      <w:bookmarkStart w:id="2299" w:name="_Toc465237104"/>
      <w:bookmarkStart w:id="2300" w:name="_Toc24139"/>
      <w:bookmarkStart w:id="2301" w:name="_Toc1875"/>
      <w:bookmarkStart w:id="2302" w:name="_Toc32753"/>
      <w:bookmarkStart w:id="2303" w:name="_Toc29776"/>
      <w:bookmarkStart w:id="2304" w:name="_Toc465237202"/>
      <w:bookmarkStart w:id="2305" w:name="_Toc24340"/>
      <w:bookmarkStart w:id="2306" w:name="_Toc16478"/>
      <w:bookmarkStart w:id="2307" w:name="_Toc18418"/>
      <w:bookmarkStart w:id="2308" w:name="_Toc15132"/>
      <w:bookmarkStart w:id="2309" w:name="_Toc8543"/>
      <w:bookmarkStart w:id="2310" w:name="_Toc20387"/>
      <w:bookmarkStart w:id="2311" w:name="_Toc14277"/>
      <w:r>
        <w:rPr>
          <w:rFonts w:hint="eastAsia" w:ascii="宋体" w:hAnsi="宋体" w:cs="宋体"/>
          <w:b/>
          <w:bCs/>
          <w:color w:val="auto"/>
          <w:sz w:val="24"/>
          <w:szCs w:val="24"/>
          <w:highlight w:val="none"/>
        </w:rPr>
        <w:t>6.1.7安全事故报告</w:t>
      </w:r>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如果现场发生重大伤亡及其他安全事故，承包人应按规定立即上报政府有关部门并通知监理人，同时按有关部门的要求处理。</w:t>
      </w:r>
    </w:p>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2312" w:name="_Toc21567"/>
      <w:bookmarkStart w:id="2313" w:name="_Toc465237105"/>
      <w:bookmarkStart w:id="2314" w:name="_Toc17358"/>
      <w:bookmarkStart w:id="2315" w:name="_Toc17666"/>
      <w:bookmarkStart w:id="2316" w:name="_Toc16824"/>
      <w:bookmarkStart w:id="2317" w:name="_Toc22161"/>
      <w:bookmarkStart w:id="2318" w:name="_Toc19988"/>
      <w:bookmarkStart w:id="2319" w:name="_Toc25152"/>
      <w:bookmarkStart w:id="2320" w:name="_Toc69113965"/>
      <w:bookmarkStart w:id="2321" w:name="_Toc1433"/>
      <w:bookmarkStart w:id="2322" w:name="_Toc8329"/>
      <w:bookmarkStart w:id="2323" w:name="_Toc465237203"/>
      <w:bookmarkStart w:id="2324" w:name="_Toc517530800"/>
      <w:bookmarkStart w:id="2325" w:name="_Toc598"/>
      <w:bookmarkStart w:id="2326" w:name="_Toc800"/>
      <w:bookmarkStart w:id="2327" w:name="_Toc8890"/>
      <w:bookmarkStart w:id="2328" w:name="_Toc5698"/>
      <w:bookmarkStart w:id="2329" w:name="_Toc16634"/>
      <w:bookmarkStart w:id="2330" w:name="_Toc517528680"/>
      <w:bookmarkStart w:id="2331" w:name="_Toc517532076"/>
      <w:bookmarkStart w:id="2332" w:name="_Toc16430"/>
      <w:bookmarkStart w:id="2333" w:name="_Toc7498"/>
      <w:bookmarkStart w:id="2334" w:name="_Toc26354"/>
      <w:bookmarkStart w:id="2335" w:name="_Toc28220"/>
      <w:r>
        <w:rPr>
          <w:rFonts w:hint="eastAsia" w:ascii="宋体" w:hAnsi="宋体" w:cs="宋体"/>
          <w:b/>
          <w:bCs/>
          <w:color w:val="auto"/>
          <w:sz w:val="28"/>
          <w:szCs w:val="28"/>
          <w:highlight w:val="none"/>
        </w:rPr>
        <w:t>6.2人身和财产损害</w:t>
      </w:r>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2336" w:name="_Toc27510"/>
      <w:bookmarkStart w:id="2337" w:name="_Toc27559"/>
      <w:bookmarkStart w:id="2338" w:name="_Toc3493"/>
      <w:bookmarkStart w:id="2339" w:name="_Toc28684"/>
      <w:bookmarkStart w:id="2340" w:name="_Toc20144"/>
      <w:bookmarkStart w:id="2341" w:name="_Toc10787"/>
      <w:bookmarkStart w:id="2342" w:name="_Toc548"/>
      <w:bookmarkStart w:id="2343" w:name="_Toc29333"/>
      <w:bookmarkStart w:id="2344" w:name="_Toc6627"/>
      <w:bookmarkStart w:id="2345" w:name="_Toc5819"/>
      <w:bookmarkStart w:id="2346" w:name="_Toc517530801"/>
      <w:bookmarkStart w:id="2347" w:name="_Toc2734"/>
      <w:bookmarkStart w:id="2348" w:name="_Toc30955"/>
      <w:bookmarkStart w:id="2349" w:name="_Toc31655"/>
      <w:bookmarkStart w:id="2350" w:name="_Toc517532077"/>
      <w:bookmarkStart w:id="2351" w:name="_Toc31033"/>
      <w:bookmarkStart w:id="2352" w:name="_Toc27293"/>
      <w:bookmarkStart w:id="2353" w:name="_Toc17954"/>
      <w:bookmarkStart w:id="2354" w:name="_Toc18213"/>
      <w:bookmarkStart w:id="2355" w:name="_Toc24286"/>
      <w:r>
        <w:rPr>
          <w:rFonts w:hint="eastAsia" w:ascii="宋体" w:hAnsi="宋体" w:cs="宋体"/>
          <w:b/>
          <w:bCs/>
          <w:color w:val="auto"/>
          <w:sz w:val="24"/>
          <w:szCs w:val="24"/>
          <w:highlight w:val="none"/>
        </w:rPr>
        <w:t>6.2.1人身和财产的损害</w:t>
      </w:r>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除合同另有规定外，承包人实施和完成本合同工程和缺陷修复过程中，应保障发包人免于承担由于下列原因发生或引起的损失和索赔：</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(a)任何人身死亡或伤残；</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(b)任何财产（不含本工程）的损失或损害。</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承包人并应保障发包人免于承担与此有关的一切赔偿或费用，包括但不限于损害赔偿金、违约金、诉讼费、仲裁费、律师费等，但第6.2.2条定义的例外事项除外。</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2356" w:name="_Toc15524"/>
      <w:bookmarkStart w:id="2357" w:name="_Toc16551"/>
      <w:bookmarkStart w:id="2358" w:name="_Toc517532078"/>
      <w:bookmarkStart w:id="2359" w:name="_Toc5159"/>
      <w:bookmarkStart w:id="2360" w:name="_Toc19645"/>
      <w:bookmarkStart w:id="2361" w:name="_Toc16412"/>
      <w:bookmarkStart w:id="2362" w:name="_Toc6604"/>
      <w:bookmarkStart w:id="2363" w:name="_Toc3978"/>
      <w:bookmarkStart w:id="2364" w:name="_Toc7033"/>
      <w:bookmarkStart w:id="2365" w:name="_Toc517530802"/>
      <w:bookmarkStart w:id="2366" w:name="_Toc23707"/>
      <w:bookmarkStart w:id="2367" w:name="_Toc17997"/>
      <w:bookmarkStart w:id="2368" w:name="_Toc30481"/>
      <w:bookmarkStart w:id="2369" w:name="_Toc23243"/>
      <w:bookmarkStart w:id="2370" w:name="_Toc21744"/>
      <w:bookmarkStart w:id="2371" w:name="_Toc5325"/>
      <w:bookmarkStart w:id="2372" w:name="_Toc1525"/>
      <w:bookmarkStart w:id="2373" w:name="_Toc4609"/>
      <w:bookmarkStart w:id="2374" w:name="_Toc28214"/>
      <w:bookmarkStart w:id="2375" w:name="_Toc31123"/>
      <w:r>
        <w:rPr>
          <w:rFonts w:hint="eastAsia" w:ascii="宋体" w:hAnsi="宋体" w:cs="宋体"/>
          <w:b/>
          <w:bCs/>
          <w:color w:val="auto"/>
          <w:sz w:val="24"/>
          <w:szCs w:val="24"/>
          <w:highlight w:val="none"/>
        </w:rPr>
        <w:t>6.2.2例外事项</w:t>
      </w:r>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在第6.2.1条中所指的“例外事项”是：</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(a)本合同工程或其任何部分对土地的永久使用或占用；</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(b)发包人在任何土地之上、之下、之内或穿过其间实施本合同工程或其任何部分的权利；</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(c)按照合同规定，实施和完成工程或修复工程中任何缺陷所导致的、无法避免的对财产的损害；</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(d)由发包人或其他承包人而不是承包人的职工的行为或疏忽所造成的人身伤亡或财产的损失，或与此有关的任何赔偿或费用，包括但不限于损害赔偿金、违约金、诉讼费、仲裁费、律师费等；</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发包人应保障承包人免于承担前款例外事项中所规定的有关赔偿或费用，包括但不限于损害赔偿金、违约金、诉讼费、仲裁费、律师费等。但当承包人或其职工也对伤害或损坏负有部分责任时，应公正合理地按发包人或其他承包人对上述伤害或损坏应负的责任程度而确定其偿付损害费用的相应部分。</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2376" w:name="_Toc30228"/>
      <w:bookmarkStart w:id="2377" w:name="_Toc1676"/>
      <w:bookmarkStart w:id="2378" w:name="_Toc16587"/>
      <w:bookmarkStart w:id="2379" w:name="_Toc577"/>
      <w:bookmarkStart w:id="2380" w:name="_Toc25323"/>
      <w:bookmarkStart w:id="2381" w:name="_Toc27779"/>
      <w:bookmarkStart w:id="2382" w:name="_Toc32126"/>
      <w:bookmarkStart w:id="2383" w:name="_Toc3107"/>
      <w:bookmarkStart w:id="2384" w:name="_Toc517530803"/>
      <w:bookmarkStart w:id="2385" w:name="_Toc24984"/>
      <w:bookmarkStart w:id="2386" w:name="_Toc25320"/>
      <w:bookmarkStart w:id="2387" w:name="_Toc22579"/>
      <w:bookmarkStart w:id="2388" w:name="_Toc22154"/>
      <w:bookmarkStart w:id="2389" w:name="_Toc17612"/>
      <w:bookmarkStart w:id="2390" w:name="_Toc871"/>
      <w:bookmarkStart w:id="2391" w:name="_Toc15301"/>
      <w:bookmarkStart w:id="2392" w:name="_Toc28860"/>
      <w:bookmarkStart w:id="2393" w:name="_Toc18643"/>
      <w:bookmarkStart w:id="2394" w:name="_Toc10606"/>
      <w:bookmarkStart w:id="2395" w:name="_Toc517532079"/>
      <w:r>
        <w:rPr>
          <w:rFonts w:hint="eastAsia" w:ascii="宋体" w:hAnsi="宋体" w:cs="宋体"/>
          <w:b/>
          <w:bCs/>
          <w:color w:val="auto"/>
          <w:sz w:val="24"/>
          <w:szCs w:val="24"/>
          <w:highlight w:val="none"/>
        </w:rPr>
        <w:t>6.2.3职工的事故或伤亡</w:t>
      </w:r>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发包人对承包人或任何分包人派遣或雇用的工人或其他人员的任何伤害或支付补偿不负责任，除非死亡或伤残是由于发包人或其职工的行为所造成的。承包人应保障发包人不承担除本文上述应由发包人负责以外的一切伤害赔偿和补偿以及与此有关的一切赔偿或费用，包括但不限于损害赔偿金、违约金、诉讼费、仲裁费、律师费等。</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对于因工作或在受雇用期间死亡或受伤的工人，承包人须根据其雇用合同及发生意外的地点，按相关法律、法规的规定给予补偿。</w:t>
      </w:r>
    </w:p>
    <w:p>
      <w:pPr>
        <w:keepNext/>
        <w:keepLines/>
        <w:spacing w:before="156" w:beforeLines="50" w:after="156" w:afterLines="50" w:line="360" w:lineRule="auto"/>
        <w:ind w:firstLine="562"/>
        <w:outlineLvl w:val="2"/>
        <w:rPr>
          <w:rFonts w:hint="eastAsia" w:ascii="宋体" w:hAnsi="宋体" w:cs="宋体"/>
          <w:b/>
          <w:bCs/>
          <w:color w:val="auto"/>
          <w:sz w:val="28"/>
          <w:szCs w:val="28"/>
          <w:highlight w:val="none"/>
        </w:rPr>
      </w:pPr>
      <w:bookmarkStart w:id="2396" w:name="_Toc517530804"/>
      <w:bookmarkStart w:id="2397" w:name="_Toc23629"/>
      <w:bookmarkStart w:id="2398" w:name="_Toc517532080"/>
      <w:bookmarkStart w:id="2399" w:name="_Toc1588"/>
      <w:bookmarkStart w:id="2400" w:name="_Toc11346"/>
      <w:bookmarkStart w:id="2401" w:name="_Toc10642"/>
      <w:bookmarkStart w:id="2402" w:name="_Toc19174"/>
      <w:bookmarkStart w:id="2403" w:name="_Toc465237106"/>
      <w:bookmarkStart w:id="2404" w:name="_Toc16633"/>
      <w:bookmarkStart w:id="2405" w:name="_Toc9795"/>
      <w:bookmarkStart w:id="2406" w:name="_Toc7249"/>
      <w:bookmarkStart w:id="2407" w:name="_Toc29854"/>
      <w:bookmarkStart w:id="2408" w:name="_Toc7220"/>
      <w:bookmarkStart w:id="2409" w:name="_Toc13216"/>
      <w:bookmarkStart w:id="2410" w:name="_Toc22957"/>
      <w:bookmarkStart w:id="2411" w:name="_Toc576"/>
      <w:bookmarkStart w:id="2412" w:name="_Toc20405"/>
      <w:bookmarkStart w:id="2413" w:name="_Toc21779"/>
      <w:bookmarkStart w:id="2414" w:name="_Toc517528681"/>
      <w:bookmarkStart w:id="2415" w:name="_Toc25525"/>
      <w:bookmarkStart w:id="2416" w:name="_Toc6514"/>
      <w:bookmarkStart w:id="2417" w:name="_Toc18455"/>
      <w:bookmarkStart w:id="2418" w:name="_Toc69113966"/>
      <w:bookmarkStart w:id="2419" w:name="_Toc465237204"/>
      <w:r>
        <w:rPr>
          <w:rFonts w:hint="eastAsia" w:ascii="宋体" w:hAnsi="宋体" w:cs="宋体"/>
          <w:b/>
          <w:bCs/>
          <w:color w:val="auto"/>
          <w:sz w:val="28"/>
          <w:szCs w:val="28"/>
          <w:highlight w:val="none"/>
        </w:rPr>
        <w:t>6.3环境保护</w:t>
      </w:r>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2420" w:name="_Toc9362"/>
      <w:bookmarkStart w:id="2421" w:name="_Toc19334"/>
      <w:bookmarkStart w:id="2422" w:name="_Toc13528"/>
      <w:bookmarkStart w:id="2423" w:name="_Toc30365"/>
      <w:bookmarkStart w:id="2424" w:name="_Toc517532081"/>
      <w:bookmarkStart w:id="2425" w:name="_Toc18977"/>
      <w:bookmarkStart w:id="2426" w:name="_Toc1387"/>
      <w:bookmarkStart w:id="2427" w:name="_Toc13621"/>
      <w:bookmarkStart w:id="2428" w:name="_Toc17258"/>
      <w:bookmarkStart w:id="2429" w:name="_Toc16854"/>
      <w:bookmarkStart w:id="2430" w:name="_Toc28788"/>
      <w:bookmarkStart w:id="2431" w:name="_Toc32266"/>
      <w:bookmarkStart w:id="2432" w:name="_Toc19883"/>
      <w:bookmarkStart w:id="2433" w:name="_Toc31839"/>
      <w:bookmarkStart w:id="2434" w:name="_Toc7753"/>
      <w:bookmarkStart w:id="2435" w:name="_Toc20188"/>
      <w:bookmarkStart w:id="2436" w:name="_Toc517530805"/>
      <w:bookmarkStart w:id="2437" w:name="_Toc17235"/>
      <w:bookmarkStart w:id="2438" w:name="_Toc31455"/>
      <w:bookmarkStart w:id="2439" w:name="_Toc16358"/>
      <w:r>
        <w:rPr>
          <w:rFonts w:hint="eastAsia" w:ascii="宋体" w:hAnsi="宋体" w:cs="宋体"/>
          <w:b/>
          <w:bCs/>
          <w:color w:val="auto"/>
          <w:sz w:val="24"/>
          <w:szCs w:val="24"/>
          <w:highlight w:val="none"/>
        </w:rPr>
        <w:t>6.3.1扬尘污染防治</w:t>
      </w:r>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根据深圳市有关扬尘污染防治的管理办法，承包人对建设项目的扬尘污染负有防治责任，施工前，承包人应当制定具体的施工扬尘污染防治实施方案。</w:t>
      </w:r>
    </w:p>
    <w:p>
      <w:pPr>
        <w:keepNext/>
        <w:keepLines/>
        <w:spacing w:before="156" w:beforeLines="50" w:after="156" w:afterLines="50" w:line="360" w:lineRule="auto"/>
        <w:ind w:firstLine="728"/>
        <w:outlineLvl w:val="3"/>
        <w:rPr>
          <w:rFonts w:hint="eastAsia" w:ascii="宋体" w:hAnsi="宋体" w:cs="宋体"/>
          <w:b/>
          <w:bCs/>
          <w:color w:val="auto"/>
          <w:sz w:val="24"/>
          <w:szCs w:val="24"/>
          <w:highlight w:val="none"/>
        </w:rPr>
      </w:pPr>
      <w:bookmarkStart w:id="2440" w:name="_Toc2111"/>
      <w:bookmarkStart w:id="2441" w:name="_Toc517532082"/>
      <w:bookmarkStart w:id="2442" w:name="_Toc31259"/>
      <w:bookmarkStart w:id="2443" w:name="_Toc26211"/>
      <w:bookmarkStart w:id="2444" w:name="_Toc15648"/>
      <w:bookmarkStart w:id="2445" w:name="_Toc8525"/>
      <w:bookmarkStart w:id="2446" w:name="_Toc25184"/>
      <w:bookmarkStart w:id="2447" w:name="_Toc517530806"/>
      <w:bookmarkStart w:id="2448" w:name="_Toc23905"/>
      <w:bookmarkStart w:id="2449" w:name="_Toc25321"/>
      <w:bookmarkStart w:id="2450" w:name="_Toc16809"/>
      <w:bookmarkStart w:id="2451" w:name="_Toc9861"/>
      <w:bookmarkStart w:id="2452" w:name="_Toc31001"/>
      <w:bookmarkStart w:id="2453" w:name="_Toc4393"/>
      <w:bookmarkStart w:id="2454" w:name="_Toc13718"/>
      <w:bookmarkStart w:id="2455" w:name="_Toc19508"/>
      <w:bookmarkStart w:id="2456" w:name="_Toc6589"/>
      <w:bookmarkStart w:id="2457" w:name="_Toc30470"/>
      <w:bookmarkStart w:id="2458" w:name="_Toc20733"/>
      <w:r>
        <w:rPr>
          <w:rFonts w:hint="eastAsia" w:ascii="宋体" w:hAnsi="宋体" w:cs="宋体"/>
          <w:b/>
          <w:bCs/>
          <w:color w:val="auto"/>
          <w:sz w:val="24"/>
          <w:szCs w:val="24"/>
          <w:highlight w:val="none"/>
        </w:rPr>
        <w:t>6.3.2责任承担</w:t>
      </w:r>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p>
    <w:p>
      <w:pPr>
        <w:autoSpaceDE w:val="0"/>
        <w:autoSpaceDN w:val="0"/>
        <w:adjustRightInd w:val="0"/>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承包人应当承担因其原因引起的环境污染侵权损害赔偿责任，因上述环境污染引起纠纷而导致暂停施工的，由此增加的费用和（或）延误的工期由承包人承担。</w:t>
      </w:r>
    </w:p>
    <w:p>
      <w:pPr>
        <w:keepNext/>
        <w:keepLines/>
        <w:spacing w:before="156" w:beforeLines="50" w:after="156" w:afterLines="50" w:line="360" w:lineRule="auto"/>
        <w:ind w:firstLine="600" w:firstLineChars="200"/>
        <w:outlineLvl w:val="1"/>
        <w:rPr>
          <w:rFonts w:ascii="宋体" w:hAnsi="宋体" w:cs="宋体"/>
          <w:b/>
          <w:bCs/>
          <w:color w:val="auto"/>
          <w:sz w:val="30"/>
          <w:szCs w:val="30"/>
          <w:highlight w:val="none"/>
        </w:rPr>
      </w:pPr>
      <w:bookmarkStart w:id="2459" w:name="_Toc351203542"/>
      <w:bookmarkStart w:id="2460" w:name="_Toc16959"/>
      <w:bookmarkStart w:id="2461" w:name="_Toc20841"/>
      <w:bookmarkStart w:id="2462" w:name="_Toc19398"/>
      <w:bookmarkStart w:id="2463" w:name="_Toc6347"/>
      <w:bookmarkStart w:id="2464" w:name="_Toc3447"/>
      <w:bookmarkStart w:id="2465" w:name="_Toc13132"/>
      <w:bookmarkStart w:id="2466" w:name="_Toc517529740"/>
      <w:bookmarkStart w:id="2467" w:name="_Toc17953"/>
      <w:bookmarkStart w:id="2468" w:name="_Toc10049"/>
      <w:bookmarkStart w:id="2469" w:name="_Toc23865"/>
      <w:bookmarkStart w:id="2470" w:name="_Toc18781"/>
      <w:bookmarkStart w:id="2471" w:name="_Toc517532083"/>
      <w:bookmarkStart w:id="2472" w:name="_Toc19289"/>
      <w:bookmarkStart w:id="2473" w:name="_Toc465237206"/>
      <w:bookmarkStart w:id="2474" w:name="_Toc517530807"/>
      <w:bookmarkStart w:id="2475" w:name="_Toc18934"/>
      <w:bookmarkStart w:id="2476" w:name="_Toc6387"/>
      <w:bookmarkStart w:id="2477" w:name="_Toc29433"/>
      <w:bookmarkStart w:id="2478" w:name="_Toc69113967"/>
      <w:bookmarkStart w:id="2479" w:name="_Toc517528682"/>
      <w:bookmarkStart w:id="2480" w:name="_Toc30278"/>
      <w:bookmarkStart w:id="2481" w:name="_Toc8489"/>
      <w:bookmarkStart w:id="2482" w:name="_Toc28997"/>
      <w:bookmarkStart w:id="2483" w:name="_Toc30307"/>
      <w:bookmarkStart w:id="2484" w:name="_Toc465237108"/>
      <w:bookmarkStart w:id="2485" w:name="_Toc337558767"/>
      <w:r>
        <w:rPr>
          <w:rFonts w:hint="eastAsia" w:ascii="宋体" w:hAnsi="宋体" w:cs="宋体"/>
          <w:b/>
          <w:bCs/>
          <w:color w:val="auto"/>
          <w:sz w:val="30"/>
          <w:szCs w:val="30"/>
          <w:highlight w:val="none"/>
        </w:rPr>
        <w:t>7.</w:t>
      </w:r>
      <w:bookmarkEnd w:id="2459"/>
      <w:r>
        <w:rPr>
          <w:rFonts w:hint="eastAsia" w:ascii="宋体" w:hAnsi="宋体" w:cs="宋体"/>
          <w:b/>
          <w:bCs/>
          <w:color w:val="auto"/>
          <w:sz w:val="30"/>
          <w:szCs w:val="30"/>
          <w:highlight w:val="none"/>
        </w:rPr>
        <w:t xml:space="preserve"> 工期和进度</w:t>
      </w:r>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p>
    <w:bookmarkEnd w:id="2485"/>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2486" w:name="_Toc24050"/>
      <w:bookmarkStart w:id="2487" w:name="_Toc17982"/>
      <w:bookmarkStart w:id="2488" w:name="_Toc19927"/>
      <w:bookmarkStart w:id="2489" w:name="_Toc465237109"/>
      <w:bookmarkStart w:id="2490" w:name="_Toc25470"/>
      <w:bookmarkStart w:id="2491" w:name="_Toc16300"/>
      <w:bookmarkStart w:id="2492" w:name="_Toc27246"/>
      <w:bookmarkStart w:id="2493" w:name="_Toc5768"/>
      <w:bookmarkStart w:id="2494" w:name="_Toc17868"/>
      <w:bookmarkStart w:id="2495" w:name="_Toc837"/>
      <w:bookmarkStart w:id="2496" w:name="_Toc20434"/>
      <w:bookmarkStart w:id="2497" w:name="_Toc24743"/>
      <w:bookmarkStart w:id="2498" w:name="_Toc517530808"/>
      <w:bookmarkStart w:id="2499" w:name="_Toc8446"/>
      <w:bookmarkStart w:id="2500" w:name="_Toc279"/>
      <w:bookmarkStart w:id="2501" w:name="_Toc16736"/>
      <w:bookmarkStart w:id="2502" w:name="_Toc465237207"/>
      <w:bookmarkStart w:id="2503" w:name="_Toc7320"/>
      <w:bookmarkStart w:id="2504" w:name="_Toc517532084"/>
      <w:bookmarkStart w:id="2505" w:name="_Toc517528683"/>
      <w:bookmarkStart w:id="2506" w:name="_Toc69113968"/>
      <w:bookmarkStart w:id="2507" w:name="_Toc24425"/>
      <w:bookmarkStart w:id="2508" w:name="_Toc27122"/>
      <w:bookmarkStart w:id="2509" w:name="_Toc7744"/>
      <w:bookmarkStart w:id="2510" w:name="_Toc337558769"/>
      <w:bookmarkStart w:id="2511" w:name="_Toc296503066"/>
      <w:bookmarkStart w:id="2512" w:name="_Toc296346567"/>
      <w:r>
        <w:rPr>
          <w:rFonts w:hint="eastAsia" w:ascii="宋体" w:hAnsi="宋体" w:cs="宋体"/>
          <w:b/>
          <w:bCs/>
          <w:color w:val="auto"/>
          <w:sz w:val="28"/>
          <w:szCs w:val="28"/>
          <w:highlight w:val="none"/>
        </w:rPr>
        <w:t>7.1 施工进度计划</w:t>
      </w:r>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p>
    <w:bookmarkEnd w:id="2510"/>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2513" w:name="_Toc11707"/>
      <w:bookmarkStart w:id="2514" w:name="_Toc22413"/>
      <w:bookmarkStart w:id="2515" w:name="_Toc517532085"/>
      <w:bookmarkStart w:id="2516" w:name="_Toc15446"/>
      <w:bookmarkStart w:id="2517" w:name="_Toc26372"/>
      <w:bookmarkStart w:id="2518" w:name="_Toc3151"/>
      <w:bookmarkStart w:id="2519" w:name="_Toc14844"/>
      <w:bookmarkStart w:id="2520" w:name="_Toc5011"/>
      <w:bookmarkStart w:id="2521" w:name="_Toc517530809"/>
      <w:bookmarkStart w:id="2522" w:name="_Toc13008"/>
      <w:bookmarkStart w:id="2523" w:name="_Toc22551"/>
      <w:bookmarkStart w:id="2524" w:name="_Toc3018"/>
      <w:bookmarkStart w:id="2525" w:name="_Toc4587"/>
      <w:bookmarkStart w:id="2526" w:name="_Toc5933"/>
      <w:bookmarkStart w:id="2527" w:name="_Toc1667"/>
      <w:bookmarkStart w:id="2528" w:name="_Toc24069"/>
      <w:bookmarkStart w:id="2529" w:name="_Toc5604"/>
      <w:bookmarkStart w:id="2530" w:name="_Toc10297"/>
      <w:bookmarkStart w:id="2531" w:name="_Toc7723"/>
      <w:bookmarkStart w:id="2532" w:name="_Toc10205"/>
      <w:r>
        <w:rPr>
          <w:rFonts w:hint="eastAsia" w:ascii="宋体" w:hAnsi="宋体" w:cs="宋体"/>
          <w:b/>
          <w:bCs/>
          <w:color w:val="auto"/>
          <w:sz w:val="24"/>
          <w:szCs w:val="24"/>
          <w:highlight w:val="none"/>
        </w:rPr>
        <w:t>7.1.1工程进度计划的提交</w:t>
      </w:r>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p>
    <w:p>
      <w:pPr>
        <w:tabs>
          <w:tab w:val="left" w:pos="126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承包人在收到中标通知书之日后，在收到全部或部分图纸和技术资料后</w:t>
      </w:r>
      <w:r>
        <w:rPr>
          <w:rFonts w:hint="eastAsia" w:ascii="宋体" w:hAnsi="宋体" w:cs="宋体"/>
          <w:color w:val="auto"/>
          <w:szCs w:val="21"/>
          <w:highlight w:val="none"/>
          <w:u w:val="single"/>
        </w:rPr>
        <w:t>14</w:t>
      </w:r>
      <w:r>
        <w:rPr>
          <w:rFonts w:hint="eastAsia" w:ascii="宋体" w:hAnsi="宋体" w:cs="宋体"/>
          <w:color w:val="auto"/>
          <w:szCs w:val="21"/>
          <w:highlight w:val="none"/>
        </w:rPr>
        <w:t>天内，应</w:t>
      </w:r>
      <w:r>
        <w:rPr>
          <w:rFonts w:hint="eastAsia" w:ascii="宋体" w:hAnsi="宋体" w:cs="宋体"/>
          <w:color w:val="auto"/>
          <w:spacing w:val="2"/>
          <w:szCs w:val="21"/>
          <w:highlight w:val="none"/>
        </w:rPr>
        <w:t>向监理人提交</w:t>
      </w:r>
      <w:r>
        <w:rPr>
          <w:rFonts w:hint="eastAsia" w:ascii="宋体" w:hAnsi="宋体" w:cs="宋体"/>
          <w:color w:val="auto"/>
          <w:spacing w:val="2"/>
          <w:szCs w:val="21"/>
          <w:highlight w:val="none"/>
          <w:u w:val="single"/>
        </w:rPr>
        <w:t>3</w:t>
      </w:r>
      <w:r>
        <w:rPr>
          <w:rFonts w:hint="eastAsia" w:ascii="宋体" w:hAnsi="宋体" w:cs="宋体"/>
          <w:color w:val="auto"/>
          <w:spacing w:val="2"/>
          <w:szCs w:val="21"/>
          <w:highlight w:val="none"/>
        </w:rPr>
        <w:t>份其格式和内容符合监理人</w:t>
      </w:r>
      <w:r>
        <w:rPr>
          <w:rFonts w:hint="eastAsia" w:ascii="宋体" w:hAnsi="宋体" w:cs="宋体"/>
          <w:color w:val="auto"/>
          <w:szCs w:val="21"/>
          <w:highlight w:val="none"/>
        </w:rPr>
        <w:t>规定的工程进度计划，以及为完成该计划而采用的施工安排和施工方案的说明。监理人应在收到该计划后的</w:t>
      </w:r>
      <w:r>
        <w:rPr>
          <w:rFonts w:hint="eastAsia" w:ascii="宋体" w:hAnsi="宋体" w:cs="宋体"/>
          <w:color w:val="auto"/>
          <w:szCs w:val="21"/>
          <w:highlight w:val="none"/>
          <w:u w:val="single"/>
        </w:rPr>
        <w:t>14</w:t>
      </w:r>
      <w:r>
        <w:rPr>
          <w:rFonts w:hint="eastAsia" w:ascii="宋体" w:hAnsi="宋体" w:cs="宋体"/>
          <w:color w:val="auto"/>
          <w:szCs w:val="21"/>
          <w:highlight w:val="none"/>
        </w:rPr>
        <w:t>天内审查批准或提出修改意见。工程进度计划应按照关键线路网络图和主要工作横道图两种形式分别编绘，并应包括每月预计完成的工作量和形象进度，在需要时每个季度修正一次。</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本合同工程或合同规定有单独工期的区段或单项工程，应根据第13条的规定，在投标书附件中对合同工程或该区段或单项工程（如果有）写明的工期内完成，或按第7.6条规定允许的延长工期内完成，均从开工期的最后一天算起。</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2533" w:name="_Toc18000"/>
      <w:bookmarkStart w:id="2534" w:name="_Toc889"/>
      <w:bookmarkStart w:id="2535" w:name="_Toc25758"/>
      <w:bookmarkStart w:id="2536" w:name="_Toc23539"/>
      <w:bookmarkStart w:id="2537" w:name="_Toc12461"/>
      <w:bookmarkStart w:id="2538" w:name="_Toc25020"/>
      <w:bookmarkStart w:id="2539" w:name="_Toc4415"/>
      <w:bookmarkStart w:id="2540" w:name="_Toc10995"/>
      <w:bookmarkStart w:id="2541" w:name="_Toc18570"/>
      <w:bookmarkStart w:id="2542" w:name="_Toc517532086"/>
      <w:bookmarkStart w:id="2543" w:name="_Toc9475"/>
      <w:bookmarkStart w:id="2544" w:name="_Toc1091"/>
      <w:bookmarkStart w:id="2545" w:name="_Toc18544"/>
      <w:bookmarkStart w:id="2546" w:name="_Toc22872"/>
      <w:bookmarkStart w:id="2547" w:name="_Toc28459"/>
      <w:bookmarkStart w:id="2548" w:name="_Toc8415"/>
      <w:bookmarkStart w:id="2549" w:name="_Toc517530810"/>
      <w:bookmarkStart w:id="2550" w:name="_Toc7676"/>
      <w:bookmarkStart w:id="2551" w:name="_Toc32710"/>
      <w:bookmarkStart w:id="2552" w:name="_Toc29938"/>
      <w:r>
        <w:rPr>
          <w:rFonts w:hint="eastAsia" w:ascii="宋体" w:hAnsi="宋体" w:cs="宋体"/>
          <w:b/>
          <w:bCs/>
          <w:color w:val="auto"/>
          <w:sz w:val="24"/>
          <w:szCs w:val="24"/>
          <w:highlight w:val="none"/>
        </w:rPr>
        <w:t>7.1.2工程进度计划的修订</w:t>
      </w:r>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如果监理人认为工程的实际进度不符合根据7.1.1条已经同意的工程进度计划，则承包人应根据监理人的要求立即对工程进度计划进行修订，并提交</w:t>
      </w:r>
      <w:r>
        <w:rPr>
          <w:rFonts w:hint="eastAsia" w:ascii="宋体" w:hAnsi="宋体" w:cs="宋体"/>
          <w:color w:val="auto"/>
          <w:szCs w:val="21"/>
          <w:highlight w:val="none"/>
          <w:u w:val="single"/>
        </w:rPr>
        <w:t>3</w:t>
      </w:r>
      <w:r>
        <w:rPr>
          <w:rFonts w:hint="eastAsia" w:ascii="宋体" w:hAnsi="宋体" w:cs="宋体"/>
          <w:color w:val="auto"/>
          <w:szCs w:val="21"/>
          <w:highlight w:val="none"/>
        </w:rPr>
        <w:t>份修改后的工程进度计划，仍应保证本合同工程在合同规定的工期内完成。</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2553" w:name="_Toc517530811"/>
      <w:bookmarkStart w:id="2554" w:name="_Toc18603"/>
      <w:bookmarkStart w:id="2555" w:name="_Toc18182"/>
      <w:bookmarkStart w:id="2556" w:name="_Toc20684"/>
      <w:bookmarkStart w:id="2557" w:name="_Toc17700"/>
      <w:bookmarkStart w:id="2558" w:name="_Toc1078"/>
      <w:bookmarkStart w:id="2559" w:name="_Toc3021"/>
      <w:bookmarkStart w:id="2560" w:name="_Toc17914"/>
      <w:bookmarkStart w:id="2561" w:name="_Toc8913"/>
      <w:bookmarkStart w:id="2562" w:name="_Toc1152"/>
      <w:bookmarkStart w:id="2563" w:name="_Toc21788"/>
      <w:bookmarkStart w:id="2564" w:name="_Toc28266"/>
      <w:bookmarkStart w:id="2565" w:name="_Toc9458"/>
      <w:bookmarkStart w:id="2566" w:name="_Toc16603"/>
      <w:bookmarkStart w:id="2567" w:name="_Toc21770"/>
      <w:bookmarkStart w:id="2568" w:name="_Toc13940"/>
      <w:bookmarkStart w:id="2569" w:name="_Toc3383"/>
      <w:bookmarkStart w:id="2570" w:name="_Toc15621"/>
      <w:bookmarkStart w:id="2571" w:name="_Toc517532087"/>
      <w:bookmarkStart w:id="2572" w:name="_Toc24426"/>
      <w:r>
        <w:rPr>
          <w:rFonts w:hint="eastAsia" w:ascii="宋体" w:hAnsi="宋体" w:cs="宋体"/>
          <w:b/>
          <w:bCs/>
          <w:color w:val="auto"/>
          <w:sz w:val="24"/>
          <w:szCs w:val="24"/>
          <w:highlight w:val="none"/>
        </w:rPr>
        <w:t>7.1.3</w:t>
      </w:r>
      <w:bookmarkStart w:id="2573" w:name="_Hlk65484950"/>
      <w:r>
        <w:rPr>
          <w:rFonts w:hint="eastAsia" w:ascii="宋体" w:hAnsi="宋体" w:cs="宋体"/>
          <w:b/>
          <w:bCs/>
          <w:color w:val="auto"/>
          <w:sz w:val="24"/>
          <w:szCs w:val="24"/>
          <w:highlight w:val="none"/>
        </w:rPr>
        <w:t>年度施工计划的提交</w:t>
      </w:r>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承包人应每年</w:t>
      </w:r>
      <w:r>
        <w:rPr>
          <w:rFonts w:hint="eastAsia" w:ascii="宋体" w:hAnsi="宋体" w:cs="宋体"/>
          <w:color w:val="auto"/>
          <w:szCs w:val="21"/>
          <w:highlight w:val="none"/>
          <w:u w:val="single"/>
        </w:rPr>
        <w:t>11</w:t>
      </w:r>
      <w:r>
        <w:rPr>
          <w:rFonts w:hint="eastAsia" w:ascii="宋体" w:hAnsi="宋体" w:cs="宋体"/>
          <w:color w:val="auto"/>
          <w:szCs w:val="21"/>
          <w:highlight w:val="none"/>
        </w:rPr>
        <w:t>月底前，根据批准的工程进度计划或其修订的计划，向监理人</w:t>
      </w:r>
      <w:r>
        <w:rPr>
          <w:rFonts w:hint="eastAsia" w:ascii="宋体" w:hAnsi="宋体" w:cs="宋体"/>
          <w:color w:val="auto"/>
          <w:spacing w:val="2"/>
          <w:szCs w:val="21"/>
          <w:highlight w:val="none"/>
        </w:rPr>
        <w:t>提交</w:t>
      </w:r>
      <w:r>
        <w:rPr>
          <w:rFonts w:hint="eastAsia" w:ascii="宋体" w:hAnsi="宋体" w:cs="宋体"/>
          <w:color w:val="auto"/>
          <w:spacing w:val="2"/>
          <w:szCs w:val="21"/>
          <w:highlight w:val="none"/>
          <w:u w:val="single"/>
        </w:rPr>
        <w:t>3</w:t>
      </w:r>
      <w:r>
        <w:rPr>
          <w:rFonts w:hint="eastAsia" w:ascii="宋体" w:hAnsi="宋体" w:cs="宋体"/>
          <w:color w:val="auto"/>
          <w:spacing w:val="2"/>
          <w:szCs w:val="21"/>
          <w:highlight w:val="none"/>
        </w:rPr>
        <w:t>份其格式和内容符合监理人合理规定的下一年度的</w:t>
      </w:r>
      <w:r>
        <w:rPr>
          <w:rFonts w:hint="eastAsia" w:ascii="宋体" w:hAnsi="宋体" w:cs="宋体"/>
          <w:color w:val="auto"/>
          <w:szCs w:val="21"/>
          <w:highlight w:val="none"/>
        </w:rPr>
        <w:t>施工计划供审批。该计划应包括本年度估计完成和下一年度预计完成的分项工程数量和工作量，以及为实施此计划将采取的措施。</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2574" w:name="_Toc31571"/>
      <w:bookmarkStart w:id="2575" w:name="_Toc17529"/>
      <w:bookmarkStart w:id="2576" w:name="_Toc517532088"/>
      <w:bookmarkStart w:id="2577" w:name="_Toc21848"/>
      <w:bookmarkStart w:id="2578" w:name="_Toc15260"/>
      <w:bookmarkStart w:id="2579" w:name="_Toc7681"/>
      <w:bookmarkStart w:id="2580" w:name="_Toc2967"/>
      <w:bookmarkStart w:id="2581" w:name="_Toc3599"/>
      <w:bookmarkStart w:id="2582" w:name="_Toc11012"/>
      <w:bookmarkStart w:id="2583" w:name="_Toc13650"/>
      <w:bookmarkStart w:id="2584" w:name="_Toc2817"/>
      <w:bookmarkStart w:id="2585" w:name="_Toc517530812"/>
      <w:bookmarkStart w:id="2586" w:name="_Toc8708"/>
      <w:bookmarkStart w:id="2587" w:name="_Toc12148"/>
      <w:bookmarkStart w:id="2588" w:name="_Toc6180"/>
      <w:bookmarkStart w:id="2589" w:name="_Toc19650"/>
      <w:bookmarkStart w:id="2590" w:name="_Toc9015"/>
      <w:bookmarkStart w:id="2591" w:name="_Toc26516"/>
      <w:bookmarkStart w:id="2592" w:name="_Toc14015"/>
      <w:bookmarkStart w:id="2593" w:name="_Toc14270"/>
      <w:r>
        <w:rPr>
          <w:rFonts w:hint="eastAsia" w:ascii="宋体" w:hAnsi="宋体" w:cs="宋体"/>
          <w:b/>
          <w:bCs/>
          <w:color w:val="auto"/>
          <w:sz w:val="24"/>
          <w:szCs w:val="24"/>
          <w:highlight w:val="none"/>
        </w:rPr>
        <w:t>7.1.4批准不解除义务</w:t>
      </w:r>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承包人向监理人提交上述工程进度计划和说明，或年度施工计划，并取得监理人的同意，不能因此而解除承包人根据合同规定应负的任何责任或义务。</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2594" w:name="_Toc19804"/>
      <w:bookmarkStart w:id="2595" w:name="_Toc21374"/>
      <w:bookmarkStart w:id="2596" w:name="_Toc29731"/>
      <w:bookmarkStart w:id="2597" w:name="_Toc868"/>
      <w:bookmarkStart w:id="2598" w:name="_Toc465237208"/>
      <w:bookmarkStart w:id="2599" w:name="_Toc11815"/>
      <w:bookmarkStart w:id="2600" w:name="_Toc517528684"/>
      <w:bookmarkStart w:id="2601" w:name="_Toc15847"/>
      <w:bookmarkStart w:id="2602" w:name="_Toc517530813"/>
      <w:bookmarkStart w:id="2603" w:name="_Toc6474"/>
      <w:bookmarkStart w:id="2604" w:name="_Toc69113969"/>
      <w:bookmarkStart w:id="2605" w:name="_Toc17001"/>
      <w:bookmarkStart w:id="2606" w:name="_Toc18088"/>
      <w:bookmarkStart w:id="2607" w:name="_Toc24987"/>
      <w:bookmarkStart w:id="2608" w:name="_Toc1084"/>
      <w:bookmarkStart w:id="2609" w:name="_Toc517532089"/>
      <w:bookmarkStart w:id="2610" w:name="_Toc14347"/>
      <w:bookmarkStart w:id="2611" w:name="_Toc26042"/>
      <w:bookmarkStart w:id="2612" w:name="_Toc31635"/>
      <w:bookmarkStart w:id="2613" w:name="_Toc16759"/>
      <w:bookmarkStart w:id="2614" w:name="_Toc465237110"/>
      <w:bookmarkStart w:id="2615" w:name="_Toc17238"/>
      <w:bookmarkStart w:id="2616" w:name="_Toc16263"/>
      <w:bookmarkStart w:id="2617" w:name="_Toc622"/>
      <w:r>
        <w:rPr>
          <w:rFonts w:hint="eastAsia" w:ascii="宋体" w:hAnsi="宋体" w:cs="宋体"/>
          <w:b/>
          <w:bCs/>
          <w:color w:val="auto"/>
          <w:sz w:val="28"/>
          <w:szCs w:val="28"/>
          <w:highlight w:val="none"/>
        </w:rPr>
        <w:t>7.2工程用地</w:t>
      </w:r>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2618" w:name="_Toc10834"/>
      <w:bookmarkStart w:id="2619" w:name="_Toc29350"/>
      <w:bookmarkStart w:id="2620" w:name="_Toc16470"/>
      <w:bookmarkStart w:id="2621" w:name="_Toc11215"/>
      <w:bookmarkStart w:id="2622" w:name="_Toc7314"/>
      <w:bookmarkStart w:id="2623" w:name="_Toc20509"/>
      <w:bookmarkStart w:id="2624" w:name="_Toc517530814"/>
      <w:bookmarkStart w:id="2625" w:name="_Toc18281"/>
      <w:bookmarkStart w:id="2626" w:name="_Toc26993"/>
      <w:bookmarkStart w:id="2627" w:name="_Toc26151"/>
      <w:bookmarkStart w:id="2628" w:name="_Toc517532090"/>
      <w:bookmarkStart w:id="2629" w:name="_Toc5442"/>
      <w:bookmarkStart w:id="2630" w:name="_Toc12847"/>
      <w:bookmarkStart w:id="2631" w:name="_Toc18638"/>
      <w:bookmarkStart w:id="2632" w:name="_Toc9887"/>
      <w:bookmarkStart w:id="2633" w:name="_Toc13584"/>
      <w:bookmarkStart w:id="2634" w:name="_Toc4684"/>
      <w:bookmarkStart w:id="2635" w:name="_Toc25841"/>
      <w:bookmarkStart w:id="2636" w:name="_Toc12429"/>
      <w:bookmarkStart w:id="2637" w:name="_Toc32644"/>
      <w:r>
        <w:rPr>
          <w:rFonts w:hint="eastAsia" w:ascii="宋体" w:hAnsi="宋体" w:cs="宋体"/>
          <w:b/>
          <w:bCs/>
          <w:color w:val="auto"/>
          <w:sz w:val="24"/>
          <w:szCs w:val="24"/>
          <w:highlight w:val="none"/>
        </w:rPr>
        <w:t>7.2.1永久占地的征用</w:t>
      </w:r>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承包人在按第7.1和12.3.1条规定提交工程进度计划的同时，应向监理人提交一份按施工先后次序所需的永久占地计划。监理人应在收到此计划后的</w:t>
      </w:r>
      <w:r>
        <w:rPr>
          <w:rFonts w:hint="eastAsia" w:ascii="宋体" w:hAnsi="宋体" w:cs="宋体"/>
          <w:color w:val="auto"/>
          <w:szCs w:val="21"/>
          <w:highlight w:val="none"/>
          <w:u w:val="single"/>
        </w:rPr>
        <w:t>14</w:t>
      </w:r>
      <w:r>
        <w:rPr>
          <w:rFonts w:hint="eastAsia" w:ascii="宋体" w:hAnsi="宋体" w:cs="宋体"/>
          <w:color w:val="auto"/>
          <w:szCs w:val="21"/>
          <w:highlight w:val="none"/>
        </w:rPr>
        <w:t>天内审核并转报发包人备查。发包人应在监理人发出开工通知书之前，将承包人开工所需的永久占地办妥征用以及土地之上、之下和架空的青苗、树木、房屋建筑、管线设施等的拆迁赔偿手续，通知承包人使用，以使承包人能够及时开工；此后按承包人提交并经监理人同意的工程进度计划的安排分期（也可以一次）将施工所需的其余永久占地办妥征用以及拆迁赔偿手续，通知承包人使用，以使承包人能够连续不间断地施工。永久占地的征用以及与之有关的拆迁赔偿手续均由发包人负责办理并承担其费用。如果由于承包人施工考虑不周或措施不当等原因而造成的超计划占地或拆迁等所发生的征用和赔偿费用，应由承包人承担，但是由于监理人按第10.1条确定的变更而引起的超占除外。</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2638" w:name="_Toc27273"/>
      <w:bookmarkStart w:id="2639" w:name="_Toc517530815"/>
      <w:bookmarkStart w:id="2640" w:name="_Toc15332"/>
      <w:bookmarkStart w:id="2641" w:name="_Toc15652"/>
      <w:bookmarkStart w:id="2642" w:name="_Toc26752"/>
      <w:bookmarkStart w:id="2643" w:name="_Toc517532091"/>
      <w:bookmarkStart w:id="2644" w:name="_Toc28239"/>
      <w:bookmarkStart w:id="2645" w:name="_Toc24704"/>
      <w:bookmarkStart w:id="2646" w:name="_Toc6402"/>
      <w:bookmarkStart w:id="2647" w:name="_Toc19467"/>
      <w:bookmarkStart w:id="2648" w:name="_Toc30758"/>
      <w:bookmarkStart w:id="2649" w:name="_Toc1092"/>
      <w:bookmarkStart w:id="2650" w:name="_Toc30593"/>
      <w:bookmarkStart w:id="2651" w:name="_Toc11934"/>
      <w:bookmarkStart w:id="2652" w:name="_Toc13077"/>
      <w:bookmarkStart w:id="2653" w:name="_Toc22168"/>
      <w:bookmarkStart w:id="2654" w:name="_Toc7940"/>
      <w:bookmarkStart w:id="2655" w:name="_Toc4354"/>
      <w:bookmarkStart w:id="2656" w:name="_Toc15819"/>
      <w:bookmarkStart w:id="2657" w:name="_Toc18745"/>
      <w:r>
        <w:rPr>
          <w:rFonts w:hint="eastAsia" w:ascii="宋体" w:hAnsi="宋体" w:cs="宋体"/>
          <w:b/>
          <w:bCs/>
          <w:color w:val="auto"/>
          <w:sz w:val="24"/>
          <w:szCs w:val="24"/>
          <w:highlight w:val="none"/>
        </w:rPr>
        <w:t>7.2.2未能按期办妥永久占地的征用手续</w:t>
      </w:r>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由于发包人未能按照第7.2.1条的规定办妥永久占地征用和拆迁手续，则承包人在接到监理人的通知后，应按监理人的指示及时调整承包人按第7.1提交的工程进度计划中的各工作先后施工顺序，以便能够继续施工，或者对施工力量（人员和施工设备）及时进行调整，以避免停工损失的发生。应当认为，承包人的投标文件中已包含了发包人未能按期办妥永久占地的征用和拆迁手续对报价和施工进度带来的风险。</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2658" w:name="_Toc10953"/>
      <w:bookmarkStart w:id="2659" w:name="_Toc19016"/>
      <w:bookmarkStart w:id="2660" w:name="_Toc7285"/>
      <w:bookmarkStart w:id="2661" w:name="_Toc31436"/>
      <w:bookmarkStart w:id="2662" w:name="_Toc11482"/>
      <w:bookmarkStart w:id="2663" w:name="_Toc9952"/>
      <w:bookmarkStart w:id="2664" w:name="_Toc296"/>
      <w:bookmarkStart w:id="2665" w:name="_Toc31988"/>
      <w:bookmarkStart w:id="2666" w:name="_Toc517530816"/>
      <w:bookmarkStart w:id="2667" w:name="_Toc12732"/>
      <w:bookmarkStart w:id="2668" w:name="_Toc18741"/>
      <w:bookmarkStart w:id="2669" w:name="_Toc28165"/>
      <w:bookmarkStart w:id="2670" w:name="_Toc19686"/>
      <w:bookmarkStart w:id="2671" w:name="_Toc20803"/>
      <w:bookmarkStart w:id="2672" w:name="_Toc517532092"/>
      <w:bookmarkStart w:id="2673" w:name="_Toc6592"/>
      <w:bookmarkStart w:id="2674" w:name="_Toc17940"/>
      <w:bookmarkStart w:id="2675" w:name="_Toc32674"/>
      <w:bookmarkStart w:id="2676" w:name="_Toc14280"/>
      <w:bookmarkStart w:id="2677" w:name="_Toc7649"/>
      <w:r>
        <w:rPr>
          <w:rFonts w:hint="eastAsia" w:ascii="宋体" w:hAnsi="宋体" w:cs="宋体"/>
          <w:b/>
          <w:bCs/>
          <w:color w:val="auto"/>
          <w:sz w:val="24"/>
          <w:szCs w:val="24"/>
          <w:highlight w:val="none"/>
        </w:rPr>
        <w:t>7.2.3临时占地的租用</w:t>
      </w:r>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承包人在按第7.1和12.3.1条的规定提交工程进度计划的同时，应根据投标文件技术标书格式中要求填写的临时占地计划表提交</w:t>
      </w:r>
      <w:r>
        <w:rPr>
          <w:rFonts w:hint="eastAsia" w:ascii="宋体" w:hAnsi="宋体" w:cs="宋体"/>
          <w:color w:val="auto"/>
          <w:szCs w:val="21"/>
          <w:highlight w:val="none"/>
          <w:u w:val="single"/>
        </w:rPr>
        <w:t>3</w:t>
      </w:r>
      <w:r>
        <w:rPr>
          <w:rFonts w:hint="eastAsia" w:ascii="宋体" w:hAnsi="宋体" w:cs="宋体"/>
          <w:color w:val="auto"/>
          <w:szCs w:val="21"/>
          <w:highlight w:val="none"/>
        </w:rPr>
        <w:t>份临时占地修正计划，取得监理人同意后报发包人备查。发包人将按上述计划与承包人协商,根据开工需要和施工先后顺序，协助承包人分期办理租用手续，通知承包人使用。征地红线范围外临时占地的租用费(含拆迁补偿)由承包人承担并支付，并计入投标报价中。</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征地红线范围内的工程用地，由发包人统一办理和支付征（租）地和拆迁手续和费用，并在不影响施工的前提下，经发包人</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批准，可免费提供给承包人作施工临时用地。</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临时用地租用完毕前，承包人应自费恢复临时用地至使用前的使用条件。</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2678" w:name="_Toc28956"/>
      <w:bookmarkStart w:id="2679" w:name="_Toc747"/>
      <w:bookmarkStart w:id="2680" w:name="_Toc16329"/>
      <w:bookmarkStart w:id="2681" w:name="_Toc517530817"/>
      <w:bookmarkStart w:id="2682" w:name="_Toc26613"/>
      <w:bookmarkStart w:id="2683" w:name="_Toc10828"/>
      <w:bookmarkStart w:id="2684" w:name="_Toc9048"/>
      <w:bookmarkStart w:id="2685" w:name="_Toc3870"/>
      <w:bookmarkStart w:id="2686" w:name="_Toc15251"/>
      <w:bookmarkStart w:id="2687" w:name="_Toc22657"/>
      <w:bookmarkStart w:id="2688" w:name="_Toc16956"/>
      <w:bookmarkStart w:id="2689" w:name="_Toc465237111"/>
      <w:bookmarkStart w:id="2690" w:name="_Toc11999"/>
      <w:bookmarkStart w:id="2691" w:name="_Toc850"/>
      <w:bookmarkStart w:id="2692" w:name="_Toc26800"/>
      <w:bookmarkStart w:id="2693" w:name="_Toc517532093"/>
      <w:bookmarkStart w:id="2694" w:name="_Toc465237209"/>
      <w:bookmarkStart w:id="2695" w:name="_Toc4623"/>
      <w:bookmarkStart w:id="2696" w:name="_Toc7189"/>
      <w:bookmarkStart w:id="2697" w:name="_Toc10295"/>
      <w:bookmarkStart w:id="2698" w:name="_Toc517528685"/>
      <w:bookmarkStart w:id="2699" w:name="_Toc14383"/>
      <w:bookmarkStart w:id="2700" w:name="_Toc10788"/>
      <w:bookmarkStart w:id="2701" w:name="_Toc69113970"/>
      <w:bookmarkStart w:id="2702" w:name="_Toc337558770"/>
      <w:r>
        <w:rPr>
          <w:rFonts w:hint="eastAsia" w:ascii="宋体" w:hAnsi="宋体" w:cs="宋体"/>
          <w:b/>
          <w:bCs/>
          <w:color w:val="auto"/>
          <w:sz w:val="28"/>
          <w:szCs w:val="28"/>
          <w:highlight w:val="none"/>
        </w:rPr>
        <w:t>7.3工程的开工</w:t>
      </w:r>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承包人收到监理人开工通知书之后，应在投标书附件中规定的开工期内开工，然后连续均衡地施工。开工通知书应在发出中标通知书之后，按投标书附件中写明的期限内发出。</w:t>
      </w:r>
    </w:p>
    <w:bookmarkEnd w:id="2702"/>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2703" w:name="_Toc16095"/>
      <w:bookmarkStart w:id="2704" w:name="_Toc12235"/>
      <w:bookmarkStart w:id="2705" w:name="_Toc9254"/>
      <w:bookmarkStart w:id="2706" w:name="_Toc517532094"/>
      <w:bookmarkStart w:id="2707" w:name="_Toc14292"/>
      <w:bookmarkStart w:id="2708" w:name="_Toc2617"/>
      <w:bookmarkStart w:id="2709" w:name="_Toc69113971"/>
      <w:bookmarkStart w:id="2710" w:name="_Toc24162"/>
      <w:bookmarkStart w:id="2711" w:name="_Toc7863"/>
      <w:bookmarkStart w:id="2712" w:name="_Toc11103"/>
      <w:bookmarkStart w:id="2713" w:name="_Toc465237112"/>
      <w:bookmarkStart w:id="2714" w:name="_Toc19919"/>
      <w:bookmarkStart w:id="2715" w:name="_Toc1953"/>
      <w:bookmarkStart w:id="2716" w:name="_Toc9513"/>
      <w:bookmarkStart w:id="2717" w:name="_Toc29861"/>
      <w:bookmarkStart w:id="2718" w:name="_Toc28024"/>
      <w:bookmarkStart w:id="2719" w:name="_Toc517528686"/>
      <w:bookmarkStart w:id="2720" w:name="_Toc16781"/>
      <w:bookmarkStart w:id="2721" w:name="_Toc465237210"/>
      <w:bookmarkStart w:id="2722" w:name="_Toc517530818"/>
      <w:bookmarkStart w:id="2723" w:name="_Toc18952"/>
      <w:bookmarkStart w:id="2724" w:name="_Toc22364"/>
      <w:bookmarkStart w:id="2725" w:name="_Toc7491"/>
      <w:bookmarkStart w:id="2726" w:name="_Toc6280"/>
      <w:r>
        <w:rPr>
          <w:rFonts w:hint="eastAsia" w:ascii="宋体" w:hAnsi="宋体" w:cs="宋体"/>
          <w:b/>
          <w:bCs/>
          <w:color w:val="auto"/>
          <w:sz w:val="28"/>
          <w:szCs w:val="28"/>
          <w:highlight w:val="none"/>
        </w:rPr>
        <w:t>7.4测量和放线</w:t>
      </w:r>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监理人应在发出开工通知书</w:t>
      </w:r>
      <w:r>
        <w:rPr>
          <w:rFonts w:hint="eastAsia" w:ascii="宋体" w:hAnsi="宋体" w:cs="宋体"/>
          <w:color w:val="auto"/>
          <w:szCs w:val="21"/>
          <w:highlight w:val="none"/>
          <w:u w:val="single"/>
        </w:rPr>
        <w:t>7</w:t>
      </w:r>
      <w:r>
        <w:rPr>
          <w:rFonts w:hint="eastAsia" w:ascii="宋体" w:hAnsi="宋体" w:cs="宋体"/>
          <w:color w:val="auto"/>
          <w:szCs w:val="21"/>
          <w:highlight w:val="none"/>
        </w:rPr>
        <w:t>天之前，向承包人提供原始基准点、基准线和参考标高等书面资料，并进行现场交验。承包人则应：</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(a)根据监理人书面给定的原始基准点、基准线和参考标高，负责对本工程进行准确的放样，并对本工程各部分的位置、标高、尺寸及其线形的正确性负责；以及</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(b)负责提供放样所必需的仪器、机具和劳务。</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监理人对放样、线形或标高的核查，均不应解除承包人对其准确性所负的责任。承包人应认真保护一切基准点、标桩和其他有关标志。</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2727" w:name="_Toc69113972"/>
      <w:bookmarkStart w:id="2728" w:name="_Toc18091"/>
      <w:bookmarkStart w:id="2729" w:name="_Toc23047"/>
      <w:bookmarkStart w:id="2730" w:name="_Toc517532095"/>
      <w:bookmarkStart w:id="2731" w:name="_Toc9858"/>
      <w:bookmarkStart w:id="2732" w:name="_Toc23271"/>
      <w:bookmarkStart w:id="2733" w:name="_Toc1010"/>
      <w:bookmarkStart w:id="2734" w:name="_Toc18667"/>
      <w:bookmarkStart w:id="2735" w:name="_Toc3724"/>
      <w:bookmarkStart w:id="2736" w:name="_Toc517530819"/>
      <w:bookmarkStart w:id="2737" w:name="_Toc11985"/>
      <w:bookmarkStart w:id="2738" w:name="_Toc7877"/>
      <w:bookmarkStart w:id="2739" w:name="_Toc30407"/>
      <w:bookmarkStart w:id="2740" w:name="_Toc517528687"/>
      <w:bookmarkStart w:id="2741" w:name="_Toc19487"/>
      <w:bookmarkStart w:id="2742" w:name="_Toc5250"/>
      <w:bookmarkStart w:id="2743" w:name="_Toc257"/>
      <w:bookmarkStart w:id="2744" w:name="_Toc23727"/>
      <w:bookmarkStart w:id="2745" w:name="_Toc8363"/>
      <w:bookmarkStart w:id="2746" w:name="_Toc22214"/>
      <w:bookmarkStart w:id="2747" w:name="_Toc11733"/>
      <w:r>
        <w:rPr>
          <w:rFonts w:hint="eastAsia" w:ascii="宋体" w:hAnsi="宋体" w:cs="宋体"/>
          <w:b/>
          <w:bCs/>
          <w:color w:val="auto"/>
          <w:sz w:val="28"/>
          <w:szCs w:val="28"/>
          <w:highlight w:val="none"/>
        </w:rPr>
        <w:t>7.5钻孔和勘探性开挖</w:t>
      </w:r>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在工程施工期间，如果监理人要求承包人进行钻孔或勘探性的开挖工作，除非在工程量清单中已经列有此类工作的一个支付项目或含有此类工作的专业工程暂估价，否则此项要求应由监理人按照第10条发出指令。</w:t>
      </w:r>
    </w:p>
    <w:bookmarkEnd w:id="2511"/>
    <w:bookmarkEnd w:id="2512"/>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2748" w:name="_Toc31100"/>
      <w:bookmarkStart w:id="2749" w:name="_Toc6560"/>
      <w:bookmarkStart w:id="2750" w:name="_Toc465237113"/>
      <w:bookmarkStart w:id="2751" w:name="_Toc465237211"/>
      <w:bookmarkStart w:id="2752" w:name="_Toc3145"/>
      <w:bookmarkStart w:id="2753" w:name="_Toc12854"/>
      <w:bookmarkStart w:id="2754" w:name="_Toc31632"/>
      <w:bookmarkStart w:id="2755" w:name="_Toc11330"/>
      <w:bookmarkStart w:id="2756" w:name="_Toc26020"/>
      <w:bookmarkStart w:id="2757" w:name="_Toc517530820"/>
      <w:bookmarkStart w:id="2758" w:name="_Toc12338"/>
      <w:bookmarkStart w:id="2759" w:name="_Toc3891"/>
      <w:bookmarkStart w:id="2760" w:name="_Toc517532096"/>
      <w:bookmarkStart w:id="2761" w:name="_Toc29301"/>
      <w:bookmarkStart w:id="2762" w:name="_Toc13556"/>
      <w:bookmarkStart w:id="2763" w:name="_Toc27652"/>
      <w:bookmarkStart w:id="2764" w:name="_Toc8869"/>
      <w:bookmarkStart w:id="2765" w:name="_Toc28371"/>
      <w:bookmarkStart w:id="2766" w:name="_Toc11738"/>
      <w:bookmarkStart w:id="2767" w:name="_Toc4045"/>
      <w:bookmarkStart w:id="2768" w:name="_Toc6824"/>
      <w:bookmarkStart w:id="2769" w:name="_Toc517528688"/>
      <w:bookmarkStart w:id="2770" w:name="_Toc13107"/>
      <w:bookmarkStart w:id="2771" w:name="_Toc69113973"/>
      <w:bookmarkStart w:id="2772" w:name="_Toc337558772"/>
      <w:bookmarkStart w:id="2773" w:name="_Toc296346574"/>
      <w:bookmarkStart w:id="2774" w:name="_Toc296503073"/>
      <w:r>
        <w:rPr>
          <w:rFonts w:hint="eastAsia" w:ascii="宋体" w:hAnsi="宋体" w:cs="宋体"/>
          <w:b/>
          <w:bCs/>
          <w:color w:val="auto"/>
          <w:sz w:val="28"/>
          <w:szCs w:val="28"/>
          <w:highlight w:val="none"/>
        </w:rPr>
        <w:t>7.6 工期延误</w:t>
      </w:r>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p>
    <w:bookmarkEnd w:id="2772"/>
    <w:bookmarkEnd w:id="2773"/>
    <w:bookmarkEnd w:id="2774"/>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2775" w:name="_Toc9298"/>
      <w:bookmarkStart w:id="2776" w:name="_Toc18383"/>
      <w:bookmarkStart w:id="2777" w:name="_Toc3888"/>
      <w:bookmarkStart w:id="2778" w:name="_Toc26429"/>
      <w:bookmarkStart w:id="2779" w:name="_Toc27591"/>
      <w:bookmarkStart w:id="2780" w:name="_Toc517530821"/>
      <w:bookmarkStart w:id="2781" w:name="_Toc18799"/>
      <w:bookmarkStart w:id="2782" w:name="_Toc44"/>
      <w:bookmarkStart w:id="2783" w:name="_Toc29508"/>
      <w:bookmarkStart w:id="2784" w:name="_Toc30868"/>
      <w:bookmarkStart w:id="2785" w:name="_Toc2309"/>
      <w:bookmarkStart w:id="2786" w:name="_Toc14393"/>
      <w:bookmarkStart w:id="2787" w:name="_Toc16342"/>
      <w:bookmarkStart w:id="2788" w:name="_Toc21836"/>
      <w:bookmarkStart w:id="2789" w:name="_Toc19369"/>
      <w:bookmarkStart w:id="2790" w:name="_Toc517532097"/>
      <w:bookmarkStart w:id="2791" w:name="_Toc6862"/>
      <w:bookmarkStart w:id="2792" w:name="_Toc32303"/>
      <w:bookmarkStart w:id="2793" w:name="_Toc19445"/>
      <w:bookmarkStart w:id="2794" w:name="_Toc32334"/>
      <w:r>
        <w:rPr>
          <w:rFonts w:hint="eastAsia" w:ascii="宋体" w:hAnsi="宋体" w:cs="宋体"/>
          <w:b/>
          <w:bCs/>
          <w:color w:val="auto"/>
          <w:sz w:val="24"/>
          <w:szCs w:val="24"/>
          <w:highlight w:val="none"/>
        </w:rPr>
        <w:t>7.6.1工期的延长</w:t>
      </w:r>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如果出现下列情形，则承包人有权延长本合同工程或其区段或单项工程的工期，监理人在与承包人适当协商并报经发包人</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批准后应确定延长工期的天数，并通知承包人，抄送发包人：</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(a)额外或附加的工作量，如：某项工作量的显著变化引起的变更价款超过合同价款的</w:t>
      </w:r>
      <w:r>
        <w:rPr>
          <w:rFonts w:hint="eastAsia" w:ascii="宋体" w:hAnsi="宋体" w:cs="宋体"/>
          <w:color w:val="auto"/>
          <w:szCs w:val="21"/>
          <w:highlight w:val="none"/>
          <w:u w:val="single"/>
        </w:rPr>
        <w:t>5%</w:t>
      </w:r>
      <w:r>
        <w:rPr>
          <w:rFonts w:hint="eastAsia" w:ascii="宋体" w:hAnsi="宋体" w:cs="宋体"/>
          <w:color w:val="auto"/>
          <w:szCs w:val="21"/>
          <w:highlight w:val="none"/>
        </w:rPr>
        <w:t>；</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(b)本合同条款所指的延误原因；</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(c)8.2.6（g）款指明的自然灾害；</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(d)发包人的任何延误、妨碍或阻止；</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(e)可能发生的其他特殊情况，而不是由于承包人的失误或承包人应负责的违约，如：一周内非承包人原因停水、停电造成停工累计超过</w:t>
      </w:r>
      <w:r>
        <w:rPr>
          <w:rFonts w:hint="eastAsia" w:ascii="宋体" w:hAnsi="宋体" w:cs="宋体"/>
          <w:color w:val="auto"/>
          <w:szCs w:val="21"/>
          <w:highlight w:val="none"/>
          <w:u w:val="single"/>
        </w:rPr>
        <w:t>8</w:t>
      </w:r>
      <w:r>
        <w:rPr>
          <w:rFonts w:hint="eastAsia" w:ascii="宋体" w:hAnsi="宋体" w:cs="宋体"/>
          <w:color w:val="auto"/>
          <w:szCs w:val="21"/>
          <w:highlight w:val="none"/>
        </w:rPr>
        <w:t>小时；</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（f）其他符合相关法律法规规定的不可抗力情形。</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2795" w:name="_Toc14940"/>
      <w:bookmarkStart w:id="2796" w:name="_Toc28962"/>
      <w:bookmarkStart w:id="2797" w:name="_Toc23910"/>
      <w:bookmarkStart w:id="2798" w:name="_Toc10316"/>
      <w:bookmarkStart w:id="2799" w:name="_Toc1801"/>
      <w:bookmarkStart w:id="2800" w:name="_Toc29164"/>
      <w:bookmarkStart w:id="2801" w:name="_Toc14600"/>
      <w:bookmarkStart w:id="2802" w:name="_Toc15934"/>
      <w:bookmarkStart w:id="2803" w:name="_Toc11603"/>
      <w:bookmarkStart w:id="2804" w:name="_Toc17389"/>
      <w:bookmarkStart w:id="2805" w:name="_Toc517532098"/>
      <w:bookmarkStart w:id="2806" w:name="_Toc15952"/>
      <w:bookmarkStart w:id="2807" w:name="_Toc517530822"/>
      <w:bookmarkStart w:id="2808" w:name="_Toc23353"/>
      <w:bookmarkStart w:id="2809" w:name="_Toc11086"/>
      <w:bookmarkStart w:id="2810" w:name="_Toc15380"/>
      <w:bookmarkStart w:id="2811" w:name="_Toc907"/>
      <w:bookmarkStart w:id="2812" w:name="_Toc30250"/>
      <w:bookmarkStart w:id="2813" w:name="_Toc7762"/>
      <w:bookmarkStart w:id="2814" w:name="_Toc27609"/>
      <w:r>
        <w:rPr>
          <w:rFonts w:hint="eastAsia" w:ascii="宋体" w:hAnsi="宋体" w:cs="宋体"/>
          <w:b/>
          <w:bCs/>
          <w:color w:val="auto"/>
          <w:sz w:val="24"/>
          <w:szCs w:val="24"/>
          <w:highlight w:val="none"/>
        </w:rPr>
        <w:t>7.6.2延期申请与审批</w:t>
      </w:r>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当第7.6.1条所述事件首次发生后，承包人应在</w:t>
      </w:r>
      <w:r>
        <w:rPr>
          <w:rFonts w:hint="eastAsia" w:ascii="宋体" w:hAnsi="宋体" w:cs="宋体"/>
          <w:color w:val="auto"/>
          <w:szCs w:val="21"/>
          <w:highlight w:val="none"/>
          <w:u w:val="single"/>
        </w:rPr>
        <w:t>21</w:t>
      </w:r>
      <w:r>
        <w:rPr>
          <w:rFonts w:hint="eastAsia" w:ascii="宋体" w:hAnsi="宋体" w:cs="宋体"/>
          <w:color w:val="auto"/>
          <w:szCs w:val="21"/>
          <w:highlight w:val="none"/>
        </w:rPr>
        <w:t>天内向监理人发出要求延期的通知并抄送发包人，还应在发出通知后的</w:t>
      </w:r>
      <w:r>
        <w:rPr>
          <w:rFonts w:hint="eastAsia" w:ascii="宋体" w:hAnsi="宋体" w:cs="宋体"/>
          <w:color w:val="auto"/>
          <w:szCs w:val="21"/>
          <w:highlight w:val="none"/>
          <w:u w:val="single"/>
        </w:rPr>
        <w:t>21</w:t>
      </w:r>
      <w:r>
        <w:rPr>
          <w:rFonts w:hint="eastAsia" w:ascii="宋体" w:hAnsi="宋体" w:cs="宋体"/>
          <w:color w:val="auto"/>
          <w:szCs w:val="21"/>
          <w:highlight w:val="none"/>
        </w:rPr>
        <w:t>天内或在监理人同意的其他合理的时间内向监理人提交承包人认为有权延期的具体细节，以供监理人调查。</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如果承包人未能按前款和第7.6.3条规定的时间发出要求延期的通知和提交具体细节的详细资料，则事后监理人可拒绝作出任何延期的决定。</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监理人在收到要求延期的通知和提交具体细节的最后详细资料后，将在7天内</w:t>
      </w:r>
      <w:r>
        <w:rPr>
          <w:rFonts w:hint="eastAsia" w:ascii="Times New Roman" w:hAnsi="Times New Roman"/>
          <w:color w:val="auto"/>
          <w:highlight w:val="none"/>
        </w:rPr>
        <w:t>提交处理意见至发包人，发包人应在收到监理人提交的处理意见后28天内予以答复。</w:t>
      </w:r>
      <w:r>
        <w:rPr>
          <w:rFonts w:hint="eastAsia" w:ascii="宋体" w:hAnsi="宋体" w:cs="宋体"/>
          <w:color w:val="auto"/>
          <w:szCs w:val="21"/>
          <w:highlight w:val="none"/>
        </w:rPr>
        <w:t>若监理人和发包人未在该期限内予以答复，则应视为承包人要求的延期已经发包人</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批准。</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2815" w:name="_Toc11760"/>
      <w:bookmarkStart w:id="2816" w:name="_Toc517530823"/>
      <w:bookmarkStart w:id="2817" w:name="_Toc6119"/>
      <w:bookmarkStart w:id="2818" w:name="_Toc5787"/>
      <w:bookmarkStart w:id="2819" w:name="_Toc24905"/>
      <w:bookmarkStart w:id="2820" w:name="_Toc7661"/>
      <w:bookmarkStart w:id="2821" w:name="_Toc28181"/>
      <w:bookmarkStart w:id="2822" w:name="_Toc29365"/>
      <w:bookmarkStart w:id="2823" w:name="_Toc24918"/>
      <w:bookmarkStart w:id="2824" w:name="_Toc1772"/>
      <w:bookmarkStart w:id="2825" w:name="_Toc16423"/>
      <w:bookmarkStart w:id="2826" w:name="_Toc5906"/>
      <w:bookmarkStart w:id="2827" w:name="_Toc32061"/>
      <w:bookmarkStart w:id="2828" w:name="_Toc17172"/>
      <w:bookmarkStart w:id="2829" w:name="_Toc18267"/>
      <w:bookmarkStart w:id="2830" w:name="_Toc517532099"/>
      <w:bookmarkStart w:id="2831" w:name="_Toc4650"/>
      <w:bookmarkStart w:id="2832" w:name="_Toc26506"/>
      <w:bookmarkStart w:id="2833" w:name="_Toc28848"/>
      <w:bookmarkStart w:id="2834" w:name="_Toc27054"/>
      <w:r>
        <w:rPr>
          <w:rFonts w:hint="eastAsia" w:ascii="宋体" w:hAnsi="宋体" w:cs="宋体"/>
          <w:b/>
          <w:bCs/>
          <w:color w:val="auto"/>
          <w:sz w:val="24"/>
          <w:szCs w:val="24"/>
          <w:highlight w:val="none"/>
        </w:rPr>
        <w:t>7.6.3延长工期的暂时决定</w:t>
      </w:r>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如果某个事件有持续性影响，以致实际上不可能要求承包人在按第7.6.2条规定的</w:t>
      </w:r>
      <w:r>
        <w:rPr>
          <w:rFonts w:hint="eastAsia" w:ascii="宋体" w:hAnsi="宋体" w:cs="宋体"/>
          <w:color w:val="auto"/>
          <w:szCs w:val="21"/>
          <w:highlight w:val="none"/>
          <w:u w:val="single"/>
        </w:rPr>
        <w:t>21</w:t>
      </w:r>
      <w:r>
        <w:rPr>
          <w:rFonts w:hint="eastAsia" w:ascii="宋体" w:hAnsi="宋体" w:cs="宋体"/>
          <w:color w:val="auto"/>
          <w:szCs w:val="21"/>
          <w:highlight w:val="none"/>
        </w:rPr>
        <w:t>天之内提交具体细节的详细资料，只要承包人在不超过</w:t>
      </w:r>
      <w:r>
        <w:rPr>
          <w:rFonts w:hint="eastAsia" w:ascii="宋体" w:hAnsi="宋体" w:cs="宋体"/>
          <w:color w:val="auto"/>
          <w:szCs w:val="21"/>
          <w:highlight w:val="none"/>
          <w:u w:val="single"/>
        </w:rPr>
        <w:t>21</w:t>
      </w:r>
      <w:r>
        <w:rPr>
          <w:rFonts w:hint="eastAsia" w:ascii="宋体" w:hAnsi="宋体" w:cs="宋体"/>
          <w:color w:val="auto"/>
          <w:szCs w:val="21"/>
          <w:highlight w:val="none"/>
        </w:rPr>
        <w:t>天的间隔时间内向监理人提交了暂时的详细资料，并在该事件造成的影响结束后的</w:t>
      </w:r>
      <w:r>
        <w:rPr>
          <w:rFonts w:hint="eastAsia" w:ascii="宋体" w:hAnsi="宋体" w:cs="宋体"/>
          <w:color w:val="auto"/>
          <w:szCs w:val="21"/>
          <w:highlight w:val="none"/>
          <w:u w:val="single"/>
        </w:rPr>
        <w:t>21</w:t>
      </w:r>
      <w:r>
        <w:rPr>
          <w:rFonts w:hint="eastAsia" w:ascii="宋体" w:hAnsi="宋体" w:cs="宋体"/>
          <w:color w:val="auto"/>
          <w:szCs w:val="21"/>
          <w:highlight w:val="none"/>
        </w:rPr>
        <w:t>天之内提交了最后的详细资料，则承包人仍有权得到延长工期。监理人收到此暂时的详细资料时不应延误，应立即作出延长工期的暂时决定，并在收到最后的详细资料时审查全部情况，确定关于该事件的总的延长工期。在这两种情况下，监理人都应与承包人协商报发包人</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批准后确定，并将此确定通知承包人，抄送发包人。但最后的审查不应使监理人对已经确定的延长工期予以缩短。</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2835" w:name="_Toc2164"/>
      <w:bookmarkStart w:id="2836" w:name="_Toc8392"/>
      <w:bookmarkStart w:id="2837" w:name="_Toc2819"/>
      <w:bookmarkStart w:id="2838" w:name="_Toc27879"/>
      <w:bookmarkStart w:id="2839" w:name="_Toc14435"/>
      <w:bookmarkStart w:id="2840" w:name="_Toc26992"/>
      <w:bookmarkStart w:id="2841" w:name="_Toc18856"/>
      <w:bookmarkStart w:id="2842" w:name="_Toc16183"/>
      <w:bookmarkStart w:id="2843" w:name="_Toc20728"/>
      <w:bookmarkStart w:id="2844" w:name="_Toc517532100"/>
      <w:bookmarkStart w:id="2845" w:name="_Toc7278"/>
      <w:bookmarkStart w:id="2846" w:name="_Toc7996"/>
      <w:bookmarkStart w:id="2847" w:name="_Toc24668"/>
      <w:bookmarkStart w:id="2848" w:name="_Toc9497"/>
      <w:bookmarkStart w:id="2849" w:name="_Toc26784"/>
      <w:bookmarkStart w:id="2850" w:name="_Toc3341"/>
      <w:bookmarkStart w:id="2851" w:name="_Toc21757"/>
      <w:bookmarkStart w:id="2852" w:name="_Toc6517"/>
      <w:bookmarkStart w:id="2853" w:name="_Toc8755"/>
      <w:bookmarkStart w:id="2854" w:name="_Toc517530824"/>
      <w:r>
        <w:rPr>
          <w:rFonts w:hint="eastAsia" w:ascii="宋体" w:hAnsi="宋体" w:cs="宋体"/>
          <w:b/>
          <w:bCs/>
          <w:color w:val="auto"/>
          <w:sz w:val="24"/>
          <w:szCs w:val="24"/>
          <w:highlight w:val="none"/>
        </w:rPr>
        <w:t>7.6.4工程进度过慢</w:t>
      </w:r>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承包人无任何理由取得延长工期的情况下，如果监理人认为，本合同工程或其任何部分的进度过慢，因而不能按预定的工期竣工时，则监理人应将此情况通知承包人。承包人应即据此采取监理人同意的必要的措施，以便加快工程进度，以使工程能在预定的工期内竣工。承包人无权要求为了采取这些步骤而支付任何附加费用。</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2855" w:name="_Toc6067"/>
      <w:bookmarkStart w:id="2856" w:name="_Toc517530825"/>
      <w:bookmarkStart w:id="2857" w:name="_Toc8596"/>
      <w:bookmarkStart w:id="2858" w:name="_Toc17376"/>
      <w:bookmarkStart w:id="2859" w:name="_Toc30537"/>
      <w:bookmarkStart w:id="2860" w:name="_Toc19598"/>
      <w:bookmarkStart w:id="2861" w:name="_Toc5800"/>
      <w:bookmarkStart w:id="2862" w:name="_Toc22279"/>
      <w:bookmarkStart w:id="2863" w:name="_Toc14999"/>
      <w:bookmarkStart w:id="2864" w:name="_Toc18284"/>
      <w:bookmarkStart w:id="2865" w:name="_Toc6748"/>
      <w:bookmarkStart w:id="2866" w:name="_Toc21573"/>
      <w:bookmarkStart w:id="2867" w:name="_Toc15166"/>
      <w:bookmarkStart w:id="2868" w:name="_Toc10065"/>
      <w:bookmarkStart w:id="2869" w:name="_Toc5756"/>
      <w:bookmarkStart w:id="2870" w:name="_Toc517532101"/>
      <w:bookmarkStart w:id="2871" w:name="_Toc31669"/>
      <w:bookmarkStart w:id="2872" w:name="_Toc1643"/>
      <w:bookmarkStart w:id="2873" w:name="_Toc16081"/>
      <w:bookmarkStart w:id="2874" w:name="_Toc4315"/>
      <w:r>
        <w:rPr>
          <w:rFonts w:hint="eastAsia" w:ascii="宋体" w:hAnsi="宋体" w:cs="宋体"/>
          <w:b/>
          <w:bCs/>
          <w:color w:val="auto"/>
          <w:sz w:val="24"/>
          <w:szCs w:val="24"/>
          <w:highlight w:val="none"/>
        </w:rPr>
        <w:t>7.6.5工期拖延</w:t>
      </w:r>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承包人未能按照规定的工期完成合同工程，或者未能在相应的工期内完成某区段或某单项工程，发包人可事先向承包人发出指令，要求在一段合理的时间内完成前述工程，否则将雇用他人执行该项指令并明示所需费用。如承包人仍未在发包人要求的期限内完成前述工程，则发包人可雇用他人执行该项指令，并从应付给承包人的款项中扣除上述费用，不足的由承包人予以补足，承包人不得对上述费用提出异议。</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2875" w:name="_Toc11808"/>
      <w:bookmarkStart w:id="2876" w:name="_Toc19324"/>
      <w:bookmarkStart w:id="2877" w:name="_Toc15804"/>
      <w:bookmarkStart w:id="2878" w:name="_Toc9699"/>
      <w:bookmarkStart w:id="2879" w:name="_Toc32593"/>
      <w:bookmarkStart w:id="2880" w:name="_Toc1873"/>
      <w:bookmarkStart w:id="2881" w:name="_Toc4189"/>
      <w:bookmarkStart w:id="2882" w:name="_Toc14754"/>
      <w:bookmarkStart w:id="2883" w:name="_Toc517530826"/>
      <w:bookmarkStart w:id="2884" w:name="_Toc2375"/>
      <w:bookmarkStart w:id="2885" w:name="_Toc16087"/>
      <w:bookmarkStart w:id="2886" w:name="_Toc29962"/>
      <w:bookmarkStart w:id="2887" w:name="_Toc20400"/>
      <w:bookmarkStart w:id="2888" w:name="_Toc32716"/>
      <w:bookmarkStart w:id="2889" w:name="_Toc7075"/>
      <w:bookmarkStart w:id="2890" w:name="_Toc29645"/>
      <w:bookmarkStart w:id="2891" w:name="_Toc517532102"/>
      <w:bookmarkStart w:id="2892" w:name="_Toc5578"/>
      <w:bookmarkStart w:id="2893" w:name="_Toc2635"/>
      <w:bookmarkStart w:id="2894" w:name="_Toc17865"/>
      <w:r>
        <w:rPr>
          <w:rFonts w:hint="eastAsia" w:ascii="宋体" w:hAnsi="宋体" w:cs="宋体"/>
          <w:b/>
          <w:bCs/>
          <w:color w:val="auto"/>
          <w:sz w:val="24"/>
          <w:szCs w:val="24"/>
          <w:highlight w:val="none"/>
        </w:rPr>
        <w:t>7.6.6拖期损失赔偿金</w:t>
      </w:r>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如果承包人未能按照第7.1.1条规定的工期完成合同工程，或者未能在相应的工期内完成某区段或某单项工程，应分情况处理：</w:t>
      </w:r>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a)若承包人的延误导致建设项目工程或其他承包人不能按期竣工验收的，则承包人应支付每延期1天0.5‰合同价的拖期损失赔偿金，时间自经批准延期后按合同约定应竣工日期起到合同工程或某区段或某单项工程的交接证书中写明的竣工日期止（即：实际工期-合同工期-批准的延长工期），按天计算。拖期损失赔偿金应不超过总合同额的</w:t>
      </w:r>
      <w:r>
        <w:rPr>
          <w:rFonts w:hint="eastAsia" w:ascii="宋体" w:hAnsi="宋体" w:cs="宋体"/>
          <w:color w:val="auto"/>
          <w:szCs w:val="21"/>
          <w:highlight w:val="none"/>
          <w:u w:val="single"/>
        </w:rPr>
        <w:t>3</w:t>
      </w:r>
      <w:r>
        <w:rPr>
          <w:rFonts w:hint="eastAsia" w:ascii="宋体" w:hAnsi="宋体" w:cs="宋体"/>
          <w:color w:val="auto"/>
          <w:szCs w:val="21"/>
          <w:highlight w:val="none"/>
        </w:rPr>
        <w:t>%。发包人可以从应付或到期应付给承包人的任何款项中扣除此赔偿金，但不排除其他扣款方法。此项支付或扣除，不应解除承包人对完成该项工程的义务或合同规定的承包人的其他义务和责任；</w:t>
      </w:r>
    </w:p>
    <w:p>
      <w:pPr>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b)若承包人有证据证明该延误不会影响建设项目工程的按期竣工验收，也不对其他承包人按期完工产生实质性影响，则发包人可酌情决定不对承包人处拖期损失赔偿金。但若承包人的延误最终仍导致建设项目工程或其他承包人不能按期竣工验收的，则发包人有权要求承包人从最初延误之日起按前款约定计算并支付拖期损失赔偿金。</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若指定专业工程承包人工期延误而总承包单位未尽发包人根据合同有关规定要求其承担的总承包管理义务，则总承包单位应分担指定专业工程承包人拖期损失赔偿金的10%。</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在合同工程竣工之前，已对合同工程内的某区段或某单项工程签发了交接证书，且上述交接证书中写明的竣工日期并未延误，而是合同工程中的其他部分产生了工期延误，则合同工程的拖期损失赔偿金应予减少，减少的幅度按已签发交接证书的某区段或某单项工程的价值占合同工程价值的比例计算，但本款的规定不应影响该赔偿金的限额。</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2895" w:name="_Toc4094"/>
      <w:bookmarkStart w:id="2896" w:name="_Toc517528689"/>
      <w:bookmarkStart w:id="2897" w:name="_Toc14076"/>
      <w:bookmarkStart w:id="2898" w:name="_Toc16377"/>
      <w:bookmarkStart w:id="2899" w:name="_Toc9583"/>
      <w:bookmarkStart w:id="2900" w:name="_Toc22809"/>
      <w:bookmarkStart w:id="2901" w:name="_Toc24005"/>
      <w:bookmarkStart w:id="2902" w:name="_Toc465237212"/>
      <w:bookmarkStart w:id="2903" w:name="_Toc23934"/>
      <w:bookmarkStart w:id="2904" w:name="_Toc16215"/>
      <w:bookmarkStart w:id="2905" w:name="_Toc32388"/>
      <w:bookmarkStart w:id="2906" w:name="_Toc24176"/>
      <w:bookmarkStart w:id="2907" w:name="_Toc3922"/>
      <w:bookmarkStart w:id="2908" w:name="_Toc69113974"/>
      <w:bookmarkStart w:id="2909" w:name="_Toc21755"/>
      <w:bookmarkStart w:id="2910" w:name="_Toc15305"/>
      <w:bookmarkStart w:id="2911" w:name="_Toc25768"/>
      <w:bookmarkStart w:id="2912" w:name="_Toc32091"/>
      <w:bookmarkStart w:id="2913" w:name="_Toc24433"/>
      <w:bookmarkStart w:id="2914" w:name="_Toc517532103"/>
      <w:bookmarkStart w:id="2915" w:name="_Toc7504"/>
      <w:bookmarkStart w:id="2916" w:name="_Toc465237114"/>
      <w:bookmarkStart w:id="2917" w:name="_Toc17547"/>
      <w:bookmarkStart w:id="2918" w:name="_Toc517530827"/>
      <w:bookmarkStart w:id="2919" w:name="_Toc296503074"/>
      <w:bookmarkStart w:id="2920" w:name="_Toc337558773"/>
      <w:bookmarkStart w:id="2921" w:name="_Toc296346575"/>
      <w:bookmarkStart w:id="2922" w:name="_Toc296346578"/>
      <w:bookmarkStart w:id="2923" w:name="_Toc296503077"/>
      <w:r>
        <w:rPr>
          <w:rFonts w:hint="eastAsia" w:ascii="宋体" w:hAnsi="宋体" w:cs="宋体"/>
          <w:b/>
          <w:bCs/>
          <w:color w:val="auto"/>
          <w:sz w:val="28"/>
          <w:szCs w:val="28"/>
          <w:highlight w:val="none"/>
        </w:rPr>
        <w:t>7.7不利的外界障碍或条件</w:t>
      </w:r>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施工期间，承包人如果遇到不属于现场气候条件的，凭以往经验无法预见的外界障碍或条件，并已实际造成影响工期和增加费用时，承包人应立即就此向监理人发出书面通知，并抄送发包人。监理人收到该通知后，如经查明属实，确认该障碍或条件不可能为一个有经验的承包人所合理预见的，则监理人在与承包人协商并报发包人</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批准后，承包人有权获得：</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(a)根据第7.6条规定承包人应得的延长工期；</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(b)应该加到合同价格上的费用款额，并将上述确定通知承包人，抄送发包人。</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做出上述确定时，应该考虑监理人已经发给承包人的与此有关的指令，以及在没有监理人具体指令情况下，承包人采取的使监理人可接受的合理而又恰当的措施。</w:t>
      </w:r>
    </w:p>
    <w:p>
      <w:pPr>
        <w:spacing w:line="360" w:lineRule="auto"/>
        <w:ind w:firstLine="420" w:firstLineChars="200"/>
        <w:jc w:val="left"/>
        <w:rPr>
          <w:rFonts w:ascii="宋体" w:hAnsi="宋体" w:cs="宋体"/>
          <w:b/>
          <w:color w:val="auto"/>
          <w:szCs w:val="21"/>
          <w:highlight w:val="none"/>
        </w:rPr>
      </w:pPr>
      <w:r>
        <w:rPr>
          <w:rFonts w:hint="eastAsia" w:ascii="宋体" w:hAnsi="宋体" w:cs="宋体"/>
          <w:color w:val="auto"/>
          <w:szCs w:val="21"/>
          <w:highlight w:val="none"/>
        </w:rPr>
        <w:t>但是，对于合同已经明确指出的不利的外界障碍或条件，无论承包人是否有经验，均视承包人在接受合同时已预见其影响因素并已在合同报价中计入由其影响而可能发生的一切费用。对合同未明确指出但在不利的外界障碍或条件发生之前，监理人已经指示承包人有可能发生，但承包人未能采取有效措施而导致的损失和后果均由承包人负责。</w:t>
      </w:r>
    </w:p>
    <w:bookmarkEnd w:id="2919"/>
    <w:bookmarkEnd w:id="2920"/>
    <w:bookmarkEnd w:id="2921"/>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2924" w:name="_Toc16550"/>
      <w:bookmarkStart w:id="2925" w:name="_Toc23780"/>
      <w:bookmarkStart w:id="2926" w:name="_Toc13362"/>
      <w:bookmarkStart w:id="2927" w:name="_Toc20165"/>
      <w:bookmarkStart w:id="2928" w:name="_Toc517530828"/>
      <w:bookmarkStart w:id="2929" w:name="_Toc27234"/>
      <w:bookmarkStart w:id="2930" w:name="_Toc9773"/>
      <w:bookmarkStart w:id="2931" w:name="_Toc8569"/>
      <w:bookmarkStart w:id="2932" w:name="_Toc25319"/>
      <w:bookmarkStart w:id="2933" w:name="_Toc26625"/>
      <w:bookmarkStart w:id="2934" w:name="_Toc24441"/>
      <w:bookmarkStart w:id="2935" w:name="_Toc465237115"/>
      <w:bookmarkStart w:id="2936" w:name="_Toc10542"/>
      <w:bookmarkStart w:id="2937" w:name="_Toc465237213"/>
      <w:bookmarkStart w:id="2938" w:name="_Toc9344"/>
      <w:bookmarkStart w:id="2939" w:name="_Toc69113975"/>
      <w:bookmarkStart w:id="2940" w:name="_Toc22483"/>
      <w:bookmarkStart w:id="2941" w:name="_Toc29256"/>
      <w:bookmarkStart w:id="2942" w:name="_Toc11929"/>
      <w:bookmarkStart w:id="2943" w:name="_Toc517528690"/>
      <w:bookmarkStart w:id="2944" w:name="_Toc20463"/>
      <w:bookmarkStart w:id="2945" w:name="_Toc517532104"/>
      <w:bookmarkStart w:id="2946" w:name="_Toc31143"/>
      <w:bookmarkStart w:id="2947" w:name="_Toc12710"/>
      <w:bookmarkStart w:id="2948" w:name="_Toc337558775"/>
      <w:r>
        <w:rPr>
          <w:rFonts w:hint="eastAsia" w:ascii="宋体" w:hAnsi="宋体" w:cs="宋体"/>
          <w:b/>
          <w:bCs/>
          <w:color w:val="auto"/>
          <w:sz w:val="28"/>
          <w:szCs w:val="28"/>
          <w:highlight w:val="none"/>
        </w:rPr>
        <w:t>7.8暂停施工</w:t>
      </w:r>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2949" w:name="_Toc17391"/>
      <w:bookmarkStart w:id="2950" w:name="_Toc10327"/>
      <w:bookmarkStart w:id="2951" w:name="_Toc24611"/>
      <w:bookmarkStart w:id="2952" w:name="_Toc31022"/>
      <w:bookmarkStart w:id="2953" w:name="_Toc30994"/>
      <w:bookmarkStart w:id="2954" w:name="_Toc15604"/>
      <w:bookmarkStart w:id="2955" w:name="_Toc2694"/>
      <w:bookmarkStart w:id="2956" w:name="_Toc17072"/>
      <w:bookmarkStart w:id="2957" w:name="_Toc13820"/>
      <w:bookmarkStart w:id="2958" w:name="_Toc726"/>
      <w:bookmarkStart w:id="2959" w:name="_Toc1694"/>
      <w:bookmarkStart w:id="2960" w:name="_Toc4281"/>
      <w:bookmarkStart w:id="2961" w:name="_Toc517532105"/>
      <w:bookmarkStart w:id="2962" w:name="_Toc517530829"/>
      <w:bookmarkStart w:id="2963" w:name="_Toc12306"/>
      <w:bookmarkStart w:id="2964" w:name="_Toc13881"/>
      <w:bookmarkStart w:id="2965" w:name="_Toc287"/>
      <w:bookmarkStart w:id="2966" w:name="_Toc26985"/>
      <w:bookmarkStart w:id="2967" w:name="_Toc10576"/>
      <w:bookmarkStart w:id="2968" w:name="_Toc11271"/>
      <w:r>
        <w:rPr>
          <w:rFonts w:hint="eastAsia" w:ascii="宋体" w:hAnsi="宋体" w:cs="宋体"/>
          <w:b/>
          <w:bCs/>
          <w:color w:val="auto"/>
          <w:sz w:val="24"/>
          <w:szCs w:val="24"/>
          <w:highlight w:val="none"/>
        </w:rPr>
        <w:t>7.8.1暂时停工</w:t>
      </w:r>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工程建设期间，一旦监理人发出暂停施工的指令，承包人应在监理人认为适当的时间按照监理人要求的方式暂时停止本工程或其部分工程的施工。在暂时停工期间，承包人应妥善地保护本工程或其任何部分工程，并保障其安全。</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除了下述原因的暂时停工外，在其他情况下应按7.8.2条的规定办理：</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(a)在合同中另有规定的；</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(b)由于承包人一方某种失误或违约导致的，或承包人应对其负责的必要停工；</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(c)由于现场气候条件导致的必要的停工；</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(d)承包人为了本工程的合理施工调整布署或为了工程及其任何部分的安全而采取必要的技术措施所需要的停工（因监理人或发包人的任何行为或失误所引起的，或第8.2.6条规定的任何一种风险而引起的除外）。</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2969" w:name="_Toc31757"/>
      <w:bookmarkStart w:id="2970" w:name="_Toc6831"/>
      <w:bookmarkStart w:id="2971" w:name="_Toc7093"/>
      <w:bookmarkStart w:id="2972" w:name="_Toc517532106"/>
      <w:bookmarkStart w:id="2973" w:name="_Toc26624"/>
      <w:bookmarkStart w:id="2974" w:name="_Toc16714"/>
      <w:bookmarkStart w:id="2975" w:name="_Toc5070"/>
      <w:bookmarkStart w:id="2976" w:name="_Toc941"/>
      <w:bookmarkStart w:id="2977" w:name="_Toc32694"/>
      <w:bookmarkStart w:id="2978" w:name="_Toc13960"/>
      <w:bookmarkStart w:id="2979" w:name="_Toc20851"/>
      <w:bookmarkStart w:id="2980" w:name="_Toc17678"/>
      <w:bookmarkStart w:id="2981" w:name="_Toc27700"/>
      <w:bookmarkStart w:id="2982" w:name="_Toc15758"/>
      <w:bookmarkStart w:id="2983" w:name="_Toc29622"/>
      <w:bookmarkStart w:id="2984" w:name="_Toc18989"/>
      <w:bookmarkStart w:id="2985" w:name="_Toc7752"/>
      <w:bookmarkStart w:id="2986" w:name="_Toc20644"/>
      <w:bookmarkStart w:id="2987" w:name="_Toc517530830"/>
      <w:bookmarkStart w:id="2988" w:name="_Toc30338"/>
      <w:r>
        <w:rPr>
          <w:rFonts w:hint="eastAsia" w:ascii="宋体" w:hAnsi="宋体" w:cs="宋体"/>
          <w:b/>
          <w:bCs/>
          <w:color w:val="auto"/>
          <w:sz w:val="24"/>
          <w:szCs w:val="24"/>
          <w:highlight w:val="none"/>
        </w:rPr>
        <w:t>7.8.2暂时停工后监理人的决定</w:t>
      </w:r>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在执行第7.8.1条的规定时，除该条(a)、(b)、(c)、(d)所述情况外，监理人在与承包人协商并报经发包人</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批准后应确定：</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(a)根据第7.6条规定承包人应得的延长工期；</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(b)发包人不支付给承包人任何的额外增加费用。</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2989" w:name="_Toc15226"/>
      <w:bookmarkStart w:id="2990" w:name="_Toc8175"/>
      <w:bookmarkStart w:id="2991" w:name="_Toc25347"/>
      <w:bookmarkStart w:id="2992" w:name="_Toc27971"/>
      <w:bookmarkStart w:id="2993" w:name="_Toc15392"/>
      <w:bookmarkStart w:id="2994" w:name="_Toc11468"/>
      <w:bookmarkStart w:id="2995" w:name="_Toc8409"/>
      <w:bookmarkStart w:id="2996" w:name="_Toc20140"/>
      <w:bookmarkStart w:id="2997" w:name="_Toc10800"/>
      <w:bookmarkStart w:id="2998" w:name="_Toc517530831"/>
      <w:bookmarkStart w:id="2999" w:name="_Toc20291"/>
      <w:bookmarkStart w:id="3000" w:name="_Toc28835"/>
      <w:bookmarkStart w:id="3001" w:name="_Toc8456"/>
      <w:bookmarkStart w:id="3002" w:name="_Toc10473"/>
      <w:bookmarkStart w:id="3003" w:name="_Toc21816"/>
      <w:bookmarkStart w:id="3004" w:name="_Toc18708"/>
      <w:bookmarkStart w:id="3005" w:name="_Toc1623"/>
      <w:bookmarkStart w:id="3006" w:name="_Toc31731"/>
      <w:bookmarkStart w:id="3007" w:name="_Toc517532107"/>
      <w:bookmarkStart w:id="3008" w:name="_Toc9271"/>
      <w:r>
        <w:rPr>
          <w:rFonts w:hint="eastAsia" w:ascii="宋体" w:hAnsi="宋体" w:cs="宋体"/>
          <w:b/>
          <w:bCs/>
          <w:color w:val="auto"/>
          <w:sz w:val="24"/>
          <w:szCs w:val="24"/>
          <w:highlight w:val="none"/>
        </w:rPr>
        <w:t>7.8.3暂时停工持续63天以上</w:t>
      </w:r>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如果根据监理人的书面指令暂时停止了本合同工程或其部分工程的施工，并且在自暂时停工之日起</w:t>
      </w:r>
      <w:r>
        <w:rPr>
          <w:rFonts w:hint="eastAsia" w:ascii="宋体" w:hAnsi="宋体" w:cs="宋体"/>
          <w:color w:val="auto"/>
          <w:szCs w:val="21"/>
          <w:highlight w:val="none"/>
          <w:u w:val="single"/>
        </w:rPr>
        <w:t>63</w:t>
      </w:r>
      <w:r>
        <w:rPr>
          <w:rFonts w:hint="eastAsia" w:ascii="宋体" w:hAnsi="宋体" w:cs="宋体"/>
          <w:color w:val="auto"/>
          <w:szCs w:val="21"/>
          <w:highlight w:val="none"/>
        </w:rPr>
        <w:t>天的时间内，监理人仍未发出复工许可，如果该项暂时停工不属于第7.8.1条(a)、(b)、(c)或(d)所述范围之内，则承包人可向监理人发出书面通知，要求自收到该通知后</w:t>
      </w:r>
      <w:r>
        <w:rPr>
          <w:rFonts w:hint="eastAsia" w:ascii="宋体" w:hAnsi="宋体" w:cs="宋体"/>
          <w:color w:val="auto"/>
          <w:szCs w:val="21"/>
          <w:highlight w:val="none"/>
          <w:u w:val="single"/>
        </w:rPr>
        <w:t>14</w:t>
      </w:r>
      <w:r>
        <w:rPr>
          <w:rFonts w:hint="eastAsia" w:ascii="宋体" w:hAnsi="宋体" w:cs="宋体"/>
          <w:color w:val="auto"/>
          <w:szCs w:val="21"/>
          <w:highlight w:val="none"/>
        </w:rPr>
        <w:t>天内准许暂停的该工程或其部分工程继续施工，如果在上述期限内未得到此项准许，则承包人可以（但非必须如此）作如下选择：当此项停工仅影响本工程的一部分时，则按照第10条规定将该部分工程从合同中取消，同时将此事通知监理人；或者，当此项停工影响整个合同工程时，则根据第16.1条的规定将此项停工视为发包人违约事件，并终止对本合同项下的承包，有关问题按第16条的各项规定办理。</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3009" w:name="_Toc25016"/>
      <w:bookmarkStart w:id="3010" w:name="_Toc517530832"/>
      <w:bookmarkStart w:id="3011" w:name="_Toc26662"/>
      <w:bookmarkStart w:id="3012" w:name="_Toc517532108"/>
      <w:bookmarkStart w:id="3013" w:name="_Toc32675"/>
      <w:bookmarkStart w:id="3014" w:name="_Toc517528691"/>
      <w:bookmarkStart w:id="3015" w:name="_Toc69113976"/>
      <w:bookmarkStart w:id="3016" w:name="_Toc26071"/>
      <w:bookmarkStart w:id="3017" w:name="_Toc29097"/>
      <w:bookmarkStart w:id="3018" w:name="_Toc3103"/>
      <w:bookmarkStart w:id="3019" w:name="_Toc21318"/>
      <w:r>
        <w:rPr>
          <w:rFonts w:hint="eastAsia" w:ascii="宋体" w:hAnsi="宋体" w:cs="宋体"/>
          <w:b/>
          <w:bCs/>
          <w:color w:val="auto"/>
          <w:sz w:val="28"/>
          <w:szCs w:val="28"/>
          <w:highlight w:val="none"/>
        </w:rPr>
        <w:t>7.9工程复工</w:t>
      </w:r>
      <w:bookmarkEnd w:id="3009"/>
      <w:bookmarkEnd w:id="3010"/>
      <w:bookmarkEnd w:id="3011"/>
      <w:bookmarkEnd w:id="3012"/>
      <w:bookmarkEnd w:id="3013"/>
      <w:bookmarkEnd w:id="3014"/>
      <w:bookmarkEnd w:id="3015"/>
      <w:bookmarkEnd w:id="3016"/>
      <w:bookmarkEnd w:id="3017"/>
      <w:bookmarkEnd w:id="3018"/>
      <w:bookmarkEnd w:id="3019"/>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批准后向承包人发出复工通知，承包人应按照复工通知要求复工。承包人无故拖延和拒绝复工的，承包人承担由此增加的费用和（或）延误的工期。</w:t>
      </w:r>
    </w:p>
    <w:bookmarkEnd w:id="2922"/>
    <w:bookmarkEnd w:id="2923"/>
    <w:bookmarkEnd w:id="2948"/>
    <w:p>
      <w:pPr>
        <w:keepNext/>
        <w:keepLines/>
        <w:spacing w:before="156" w:beforeLines="50" w:after="156" w:afterLines="50" w:line="360" w:lineRule="auto"/>
        <w:ind w:firstLine="600" w:firstLineChars="200"/>
        <w:outlineLvl w:val="1"/>
        <w:rPr>
          <w:rFonts w:ascii="宋体" w:hAnsi="宋体" w:cs="宋体"/>
          <w:b/>
          <w:bCs/>
          <w:color w:val="auto"/>
          <w:sz w:val="30"/>
          <w:szCs w:val="30"/>
          <w:highlight w:val="none"/>
        </w:rPr>
      </w:pPr>
      <w:bookmarkStart w:id="3020" w:name="_Toc351203552"/>
      <w:bookmarkStart w:id="3021" w:name="_Toc22866"/>
      <w:bookmarkStart w:id="3022" w:name="_Toc15020"/>
      <w:bookmarkStart w:id="3023" w:name="_Toc31957"/>
      <w:bookmarkStart w:id="3024" w:name="_Toc517529741"/>
      <w:bookmarkStart w:id="3025" w:name="_Toc21366"/>
      <w:bookmarkStart w:id="3026" w:name="_Toc24646"/>
      <w:bookmarkStart w:id="3027" w:name="_Toc29290"/>
      <w:bookmarkStart w:id="3028" w:name="_Toc26340"/>
      <w:bookmarkStart w:id="3029" w:name="_Toc517530833"/>
      <w:bookmarkStart w:id="3030" w:name="_Toc5684"/>
      <w:bookmarkStart w:id="3031" w:name="_Toc465237214"/>
      <w:bookmarkStart w:id="3032" w:name="_Toc465237116"/>
      <w:bookmarkStart w:id="3033" w:name="_Toc7357"/>
      <w:bookmarkStart w:id="3034" w:name="_Toc13885"/>
      <w:bookmarkStart w:id="3035" w:name="_Toc21913"/>
      <w:bookmarkStart w:id="3036" w:name="_Toc31889"/>
      <w:bookmarkStart w:id="3037" w:name="_Toc4439"/>
      <w:bookmarkStart w:id="3038" w:name="_Toc18470"/>
      <w:bookmarkStart w:id="3039" w:name="_Toc12994"/>
      <w:bookmarkStart w:id="3040" w:name="_Toc1562"/>
      <w:bookmarkStart w:id="3041" w:name="_Toc69113977"/>
      <w:bookmarkStart w:id="3042" w:name="_Toc12627"/>
      <w:bookmarkStart w:id="3043" w:name="_Toc32115"/>
      <w:bookmarkStart w:id="3044" w:name="_Toc517528692"/>
      <w:bookmarkStart w:id="3045" w:name="_Toc517532109"/>
      <w:bookmarkStart w:id="3046" w:name="_Toc296346559"/>
      <w:bookmarkStart w:id="3047" w:name="_Toc337558776"/>
      <w:bookmarkStart w:id="3048" w:name="_Toc296503058"/>
      <w:r>
        <w:rPr>
          <w:rFonts w:hint="eastAsia" w:ascii="宋体" w:hAnsi="宋体" w:cs="宋体"/>
          <w:b/>
          <w:bCs/>
          <w:color w:val="auto"/>
          <w:sz w:val="30"/>
          <w:szCs w:val="30"/>
          <w:highlight w:val="none"/>
        </w:rPr>
        <w:t>8.</w:t>
      </w:r>
      <w:bookmarkEnd w:id="3020"/>
      <w:r>
        <w:rPr>
          <w:rFonts w:hint="eastAsia" w:ascii="宋体" w:hAnsi="宋体" w:cs="宋体"/>
          <w:b/>
          <w:bCs/>
          <w:color w:val="auto"/>
          <w:sz w:val="30"/>
          <w:szCs w:val="30"/>
          <w:highlight w:val="none"/>
        </w:rPr>
        <w:t xml:space="preserve"> 材料与设备</w:t>
      </w:r>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p>
    <w:bookmarkEnd w:id="3046"/>
    <w:bookmarkEnd w:id="3047"/>
    <w:bookmarkEnd w:id="3048"/>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3049" w:name="_Toc351203554"/>
      <w:bookmarkStart w:id="3050" w:name="_Toc15516"/>
      <w:bookmarkStart w:id="3051" w:name="_Toc4845"/>
      <w:bookmarkStart w:id="3052" w:name="_Toc2010"/>
      <w:bookmarkStart w:id="3053" w:name="_Toc1996"/>
      <w:bookmarkStart w:id="3054" w:name="_Toc26132"/>
      <w:bookmarkStart w:id="3055" w:name="_Toc7445"/>
      <w:bookmarkStart w:id="3056" w:name="_Toc30178"/>
      <w:bookmarkStart w:id="3057" w:name="_Toc24224"/>
      <w:bookmarkStart w:id="3058" w:name="_Toc465237215"/>
      <w:bookmarkStart w:id="3059" w:name="_Toc465237117"/>
      <w:bookmarkStart w:id="3060" w:name="_Toc14033"/>
      <w:bookmarkStart w:id="3061" w:name="_Toc8650"/>
      <w:bookmarkStart w:id="3062" w:name="_Toc28281"/>
      <w:bookmarkStart w:id="3063" w:name="_Toc30213"/>
      <w:bookmarkStart w:id="3064" w:name="_Toc655"/>
      <w:bookmarkStart w:id="3065" w:name="_Toc517532110"/>
      <w:bookmarkStart w:id="3066" w:name="_Toc1531"/>
      <w:bookmarkStart w:id="3067" w:name="_Toc30085"/>
      <w:bookmarkStart w:id="3068" w:name="_Toc517530834"/>
      <w:bookmarkStart w:id="3069" w:name="_Toc30886"/>
      <w:bookmarkStart w:id="3070" w:name="_Toc69113978"/>
      <w:bookmarkStart w:id="3071" w:name="_Toc517528693"/>
      <w:bookmarkStart w:id="3072" w:name="_Toc17331"/>
      <w:bookmarkStart w:id="3073" w:name="_Toc12958"/>
      <w:bookmarkStart w:id="3074" w:name="_Toc337558778"/>
      <w:bookmarkStart w:id="3075" w:name="_Toc296346561"/>
      <w:bookmarkStart w:id="3076" w:name="_Toc296503060"/>
      <w:bookmarkStart w:id="3077" w:name="_Toc468936960"/>
      <w:r>
        <w:rPr>
          <w:rFonts w:hint="eastAsia" w:ascii="宋体" w:hAnsi="宋体" w:cs="宋体"/>
          <w:b/>
          <w:bCs/>
          <w:color w:val="auto"/>
          <w:sz w:val="28"/>
          <w:szCs w:val="28"/>
          <w:highlight w:val="none"/>
        </w:rPr>
        <w:t>8.1承包人采购</w:t>
      </w:r>
      <w:bookmarkEnd w:id="3049"/>
      <w:r>
        <w:rPr>
          <w:rFonts w:hint="eastAsia" w:ascii="宋体" w:hAnsi="宋体" w:cs="宋体"/>
          <w:b/>
          <w:bCs/>
          <w:color w:val="auto"/>
          <w:sz w:val="28"/>
          <w:szCs w:val="28"/>
          <w:highlight w:val="none"/>
        </w:rPr>
        <w:t>或提供材料与工程设备</w:t>
      </w:r>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3078" w:name="_Toc4478"/>
      <w:bookmarkStart w:id="3079" w:name="_Toc21613"/>
      <w:bookmarkStart w:id="3080" w:name="_Toc517532111"/>
      <w:bookmarkStart w:id="3081" w:name="_Toc20722"/>
      <w:bookmarkStart w:id="3082" w:name="_Toc26402"/>
      <w:bookmarkStart w:id="3083" w:name="_Toc12359"/>
      <w:bookmarkStart w:id="3084" w:name="_Toc15442"/>
      <w:bookmarkStart w:id="3085" w:name="_Toc28861"/>
      <w:bookmarkStart w:id="3086" w:name="_Toc11974"/>
      <w:bookmarkStart w:id="3087" w:name="_Toc10192"/>
      <w:bookmarkStart w:id="3088" w:name="_Toc7454"/>
      <w:bookmarkStart w:id="3089" w:name="_Toc5417"/>
      <w:bookmarkStart w:id="3090" w:name="_Toc517530835"/>
      <w:bookmarkStart w:id="3091" w:name="_Toc5096"/>
      <w:bookmarkStart w:id="3092" w:name="_Toc2852"/>
      <w:bookmarkStart w:id="3093" w:name="_Toc15254"/>
      <w:bookmarkStart w:id="3094" w:name="_Toc25917"/>
      <w:bookmarkStart w:id="3095" w:name="_Toc5254"/>
      <w:bookmarkStart w:id="3096" w:name="_Toc22073"/>
      <w:bookmarkStart w:id="3097" w:name="_Toc6476"/>
      <w:r>
        <w:rPr>
          <w:rFonts w:hint="eastAsia" w:ascii="宋体" w:hAnsi="宋体" w:cs="宋体"/>
          <w:b/>
          <w:bCs/>
          <w:color w:val="auto"/>
          <w:sz w:val="24"/>
          <w:szCs w:val="24"/>
          <w:highlight w:val="none"/>
        </w:rPr>
        <w:t>8.1.1材料与工程设备的提供和专用</w:t>
      </w:r>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p>
    <w:p>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合同约定由承包人负责采购材料、工程设备的，应按照设计和有关标准要求采购，并提供产品合格证明及出厂证明，对材料、工程设备质量负责。</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由承包人为本工程提供的一切承包人装备、临时工程和材料，一经运到现场，即视为供本合同工程施工专用。承包人除将上述物品在现场内转移外，若无监理人的同意，不得将上述物品或其中任何部分运出现场，但运输车辆进出现场可不需经监理人的同意。</w:t>
      </w:r>
    </w:p>
    <w:bookmarkEnd w:id="3074"/>
    <w:bookmarkEnd w:id="3075"/>
    <w:bookmarkEnd w:id="3076"/>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3098" w:name="_Toc517532112"/>
      <w:bookmarkStart w:id="3099" w:name="_Toc28826"/>
      <w:bookmarkStart w:id="3100" w:name="_Toc3783"/>
      <w:bookmarkStart w:id="3101" w:name="_Toc20139"/>
      <w:bookmarkStart w:id="3102" w:name="_Toc13644"/>
      <w:bookmarkStart w:id="3103" w:name="_Toc29034"/>
      <w:bookmarkStart w:id="3104" w:name="_Toc517530836"/>
      <w:bookmarkStart w:id="3105" w:name="_Toc2335"/>
      <w:bookmarkStart w:id="3106" w:name="_Toc30946"/>
      <w:bookmarkStart w:id="3107" w:name="_Toc609"/>
      <w:bookmarkStart w:id="3108" w:name="_Toc1177"/>
      <w:bookmarkStart w:id="3109" w:name="_Toc16899"/>
      <w:bookmarkStart w:id="3110" w:name="_Toc6925"/>
      <w:bookmarkStart w:id="3111" w:name="_Toc11042"/>
      <w:bookmarkStart w:id="3112" w:name="_Toc22889"/>
      <w:bookmarkStart w:id="3113" w:name="_Toc6194"/>
      <w:bookmarkStart w:id="3114" w:name="_Toc7251"/>
      <w:bookmarkStart w:id="3115" w:name="_Toc8058"/>
      <w:bookmarkStart w:id="3116" w:name="_Toc13618"/>
      <w:bookmarkStart w:id="3117" w:name="_Toc12117"/>
      <w:r>
        <w:rPr>
          <w:rFonts w:hint="eastAsia" w:ascii="宋体" w:hAnsi="宋体" w:cs="宋体"/>
          <w:b/>
          <w:bCs/>
          <w:color w:val="auto"/>
          <w:sz w:val="24"/>
          <w:szCs w:val="24"/>
          <w:highlight w:val="none"/>
        </w:rPr>
        <w:t>8.1.2材料、设备的品牌</w:t>
      </w:r>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p>
    <w:p>
      <w:pPr>
        <w:adjustRightInd w:val="0"/>
        <w:snapToGrid w:val="0"/>
        <w:spacing w:line="360" w:lineRule="auto"/>
        <w:jc w:val="left"/>
        <w:rPr>
          <w:rFonts w:ascii="宋体" w:hAnsi="宋体" w:cs="宋体"/>
          <w:b/>
          <w:bCs/>
          <w:color w:val="auto"/>
          <w:szCs w:val="21"/>
          <w:highlight w:val="none"/>
        </w:rPr>
      </w:pPr>
      <w:r>
        <w:rPr>
          <w:rFonts w:hint="eastAsia" w:ascii="宋体" w:hAnsi="宋体" w:cs="宋体"/>
          <w:b/>
          <w:bCs/>
          <w:color w:val="auto"/>
          <w:szCs w:val="21"/>
          <w:highlight w:val="none"/>
        </w:rPr>
        <w:t>（1）材料、设备的品牌的更换原则</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除专用条款另有约定外，材料、设备要求满足产品技术、施工图纸和相关专业验收规范，产品品牌依据合同专用条款附件</w:t>
      </w:r>
      <w:r>
        <w:rPr>
          <w:rFonts w:hint="eastAsia" w:ascii="宋体" w:hAnsi="宋体" w:cs="宋体"/>
          <w:b/>
          <w:bCs/>
          <w:color w:val="auto"/>
          <w:szCs w:val="21"/>
          <w:highlight w:val="none"/>
        </w:rPr>
        <w:t>《深圳市建筑工务署品牌库》为准</w:t>
      </w:r>
      <w:r>
        <w:rPr>
          <w:rFonts w:hint="eastAsia" w:ascii="宋体" w:hAnsi="宋体" w:cs="宋体"/>
          <w:color w:val="auto"/>
          <w:szCs w:val="21"/>
          <w:highlight w:val="none"/>
        </w:rPr>
        <w:t>，如有更新，以最新品牌库为准，但最新品牌库中没有的品种，仍参考以往品牌库中的品种及相应品牌。承包人应选择品牌库中的品牌作为实施品牌，品牌档次以“■”、“/”标识对应的参考品牌为准，承包人也可选择标识“■”、“/”品牌以上档次的参考品牌，但结算价以标识品牌价格为准。承包人可以选用其他质量性能不低于标识品牌的品牌，但应提供足够的证据证明所选品牌完全满足设计要求、质量性能不低于标识参考品牌，并且须取得发包人认可和监理人书面同意后，严格按照设计文件和有关标准要求采购，但结算价以标识品牌价格为准。由于未能提供足够的证据造成的后果由承包人承担。</w:t>
      </w:r>
    </w:p>
    <w:p>
      <w:pPr>
        <w:adjustRightInd w:val="0"/>
        <w:snapToGrid w:val="0"/>
        <w:spacing w:line="360" w:lineRule="auto"/>
        <w:ind w:firstLine="420" w:firstLineChars="200"/>
        <w:jc w:val="left"/>
        <w:rPr>
          <w:rFonts w:ascii="宋体" w:hAnsi="宋体" w:cs="宋体"/>
          <w:b/>
          <w:bCs/>
          <w:color w:val="auto"/>
          <w:szCs w:val="21"/>
          <w:highlight w:val="none"/>
        </w:rPr>
      </w:pPr>
      <w:r>
        <w:rPr>
          <w:rFonts w:hint="eastAsia" w:ascii="宋体" w:hAnsi="宋体" w:cs="宋体"/>
          <w:b/>
          <w:bCs/>
          <w:color w:val="auto"/>
          <w:szCs w:val="21"/>
          <w:highlight w:val="none"/>
        </w:rPr>
        <w:t>(2)采购程序</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选定实施品牌签订采购合同后，须在3天内将采购合同报送发包人备案，发包人将与该品牌生产厂家联系，要求该厂家向发包人核对材料设备的采购数量、技术参数是否与招标文件要求相符，生产厂家发货时将向发包人报送发货单，必要时协助发包人验收材料设备。</w:t>
      </w:r>
    </w:p>
    <w:p>
      <w:pPr>
        <w:adjustRightInd w:val="0"/>
        <w:snapToGrid w:val="0"/>
        <w:spacing w:line="360" w:lineRule="auto"/>
        <w:ind w:firstLine="420" w:firstLineChars="200"/>
        <w:jc w:val="left"/>
        <w:rPr>
          <w:rFonts w:ascii="宋体" w:hAnsi="宋体" w:cs="宋体"/>
          <w:b/>
          <w:bCs/>
          <w:color w:val="auto"/>
          <w:szCs w:val="21"/>
          <w:highlight w:val="none"/>
        </w:rPr>
      </w:pPr>
      <w:r>
        <w:rPr>
          <w:rFonts w:hint="eastAsia" w:ascii="宋体" w:hAnsi="宋体" w:cs="宋体"/>
          <w:b/>
          <w:bCs/>
          <w:color w:val="auto"/>
          <w:szCs w:val="21"/>
          <w:highlight w:val="none"/>
        </w:rPr>
        <w:t>(3)材料采购注意事项</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承包人采购参考品牌材料设备注意事项：</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（a）承包人不得与材料设备供应商签订阴阳合同；</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（b）承包人不得要求供应商供货定制不符合招标文件要求的材料设备；</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（c）承包人不得以投标报价偏低为由，要求材料设备供应商低于正常的市场价格供货；</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（d）承包人采购相关人员不得收受材料设备供应商的回扣、“红包”、有价证券等财物，或向材料设备供应商报销应由个人支付的费用，不得参与商业贿赂行为；</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（e）承包人不得以各种理由拖延时间采购参考品牌的材料设备，因承包人原因未及时采购材料设备导致工期延误的，不得要求发包人批准更换品牌。对此，发包人保留对承包人工期索赔的权利。</w:t>
      </w:r>
    </w:p>
    <w:p>
      <w:pPr>
        <w:adjustRightInd w:val="0"/>
        <w:snapToGrid w:val="0"/>
        <w:spacing w:line="360" w:lineRule="auto"/>
        <w:ind w:firstLine="420" w:firstLineChars="200"/>
        <w:jc w:val="left"/>
        <w:rPr>
          <w:rFonts w:ascii="宋体" w:hAnsi="宋体" w:cs="宋体"/>
          <w:b/>
          <w:bCs/>
          <w:color w:val="auto"/>
          <w:szCs w:val="21"/>
          <w:highlight w:val="none"/>
        </w:rPr>
      </w:pPr>
      <w:r>
        <w:rPr>
          <w:rFonts w:hint="eastAsia" w:ascii="宋体" w:hAnsi="宋体" w:cs="宋体"/>
          <w:b/>
          <w:bCs/>
          <w:color w:val="auto"/>
          <w:szCs w:val="21"/>
          <w:highlight w:val="none"/>
        </w:rPr>
        <w:t xml:space="preserve"> (4) 违约处理</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如承包人不按招标文件要求采购材料设备，对工程质量、进度造成不良影响的，发包人将根据情节轻重记录其不良行为，直至给予停标的处理。</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3118" w:name="_Toc17312"/>
      <w:bookmarkStart w:id="3119" w:name="_Toc8095"/>
      <w:bookmarkStart w:id="3120" w:name="_Toc7342"/>
      <w:bookmarkStart w:id="3121" w:name="_Toc26128"/>
      <w:bookmarkStart w:id="3122" w:name="_Toc32515"/>
      <w:bookmarkStart w:id="3123" w:name="_Toc517530837"/>
      <w:bookmarkStart w:id="3124" w:name="_Toc13325"/>
      <w:bookmarkStart w:id="3125" w:name="_Toc13965"/>
      <w:bookmarkStart w:id="3126" w:name="_Toc24305"/>
      <w:bookmarkStart w:id="3127" w:name="_Toc30223"/>
      <w:bookmarkStart w:id="3128" w:name="_Toc250"/>
      <w:bookmarkStart w:id="3129" w:name="_Toc13133"/>
      <w:bookmarkStart w:id="3130" w:name="_Toc13525"/>
      <w:bookmarkStart w:id="3131" w:name="_Toc17175"/>
      <w:bookmarkStart w:id="3132" w:name="_Toc25952"/>
      <w:bookmarkStart w:id="3133" w:name="_Toc17504"/>
      <w:bookmarkStart w:id="3134" w:name="_Toc517532113"/>
      <w:bookmarkStart w:id="3135" w:name="_Toc14097"/>
      <w:bookmarkStart w:id="3136" w:name="_Toc15646"/>
      <w:bookmarkStart w:id="3137" w:name="_Toc18902"/>
      <w:r>
        <w:rPr>
          <w:rFonts w:hint="eastAsia" w:ascii="宋体" w:hAnsi="宋体" w:cs="宋体"/>
          <w:b/>
          <w:bCs/>
          <w:color w:val="auto"/>
          <w:sz w:val="24"/>
          <w:szCs w:val="24"/>
          <w:highlight w:val="none"/>
        </w:rPr>
        <w:t>8.1.3混凝土使用</w:t>
      </w:r>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本项目混凝土工程要求必须采用商品混凝土浇筑，零星工程混凝土如果采用现场拌制，必须事先征得监理人的</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批准。</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承包人应按建设行政主管部门有关建筑废弃物、预拌混凝土和预拌砂浆等相关管理规定，使用预拌混凝土和预拌砂浆。</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3138" w:name="_Toc27894"/>
      <w:bookmarkStart w:id="3139" w:name="_Toc29530"/>
      <w:bookmarkStart w:id="3140" w:name="_Toc8568"/>
      <w:bookmarkStart w:id="3141" w:name="_Toc16897"/>
      <w:bookmarkStart w:id="3142" w:name="_Toc32181"/>
      <w:bookmarkStart w:id="3143" w:name="_Toc2153"/>
      <w:bookmarkStart w:id="3144" w:name="_Toc29378"/>
      <w:bookmarkStart w:id="3145" w:name="_Toc30155"/>
      <w:bookmarkStart w:id="3146" w:name="_Toc517530838"/>
      <w:bookmarkStart w:id="3147" w:name="_Toc27392"/>
      <w:bookmarkStart w:id="3148" w:name="_Toc4784"/>
      <w:bookmarkStart w:id="3149" w:name="_Toc289"/>
      <w:bookmarkStart w:id="3150" w:name="_Toc867"/>
      <w:bookmarkStart w:id="3151" w:name="_Toc18219"/>
      <w:bookmarkStart w:id="3152" w:name="_Toc15653"/>
      <w:bookmarkStart w:id="3153" w:name="_Toc5012"/>
      <w:bookmarkStart w:id="3154" w:name="_Toc517532114"/>
      <w:bookmarkStart w:id="3155" w:name="_Toc26102"/>
      <w:bookmarkStart w:id="3156" w:name="_Toc5053"/>
      <w:bookmarkStart w:id="3157" w:name="_Toc18505"/>
      <w:r>
        <w:rPr>
          <w:rFonts w:hint="eastAsia" w:ascii="宋体" w:hAnsi="宋体" w:cs="宋体"/>
          <w:b/>
          <w:bCs/>
          <w:color w:val="auto"/>
          <w:sz w:val="24"/>
          <w:szCs w:val="24"/>
          <w:highlight w:val="none"/>
        </w:rPr>
        <w:t>8.1.4材料的批准</w:t>
      </w:r>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p>
    <w:p>
      <w:pPr>
        <w:autoSpaceDE w:val="0"/>
        <w:autoSpaceDN w:val="0"/>
        <w:adjustRightIn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履行第8.1条的约定，并不意味着监理人对其中所涉及的进场材料或其他物品的批准，监理人有权拒绝使用任何上述材料。</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3158" w:name="_Toc4795"/>
      <w:bookmarkStart w:id="3159" w:name="_Toc2833"/>
      <w:bookmarkStart w:id="3160" w:name="_Toc22669"/>
      <w:bookmarkStart w:id="3161" w:name="_Toc25521"/>
      <w:bookmarkStart w:id="3162" w:name="_Toc12237"/>
      <w:bookmarkStart w:id="3163" w:name="_Toc20838"/>
      <w:bookmarkStart w:id="3164" w:name="_Toc25811"/>
      <w:bookmarkStart w:id="3165" w:name="_Toc17786"/>
      <w:bookmarkStart w:id="3166" w:name="_Toc2810"/>
      <w:bookmarkStart w:id="3167" w:name="_Toc17687"/>
      <w:bookmarkStart w:id="3168" w:name="_Toc21470"/>
      <w:bookmarkStart w:id="3169" w:name="_Toc670"/>
      <w:bookmarkStart w:id="3170" w:name="_Toc2633"/>
      <w:bookmarkStart w:id="3171" w:name="_Toc517530839"/>
      <w:bookmarkStart w:id="3172" w:name="_Toc17589"/>
      <w:bookmarkStart w:id="3173" w:name="_Toc13617"/>
      <w:bookmarkStart w:id="3174" w:name="_Toc1812"/>
      <w:bookmarkStart w:id="3175" w:name="_Toc517532115"/>
      <w:bookmarkStart w:id="3176" w:name="_Toc6732"/>
      <w:bookmarkStart w:id="3177" w:name="_Toc25979"/>
      <w:r>
        <w:rPr>
          <w:rFonts w:hint="eastAsia" w:ascii="宋体" w:hAnsi="宋体" w:cs="宋体"/>
          <w:b/>
          <w:bCs/>
          <w:color w:val="auto"/>
          <w:sz w:val="24"/>
          <w:szCs w:val="24"/>
          <w:highlight w:val="none"/>
        </w:rPr>
        <w:t>8.1.5为发包人提供交通设施服务</w:t>
      </w:r>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为解决发包人管理人员前往工程现场的交通问题，由承包人提供机动车辆供发包人使用，承包人应在合同签订之日起15天内按照专用条款的有关约定将车辆交发包人。</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3178" w:name="_Toc22537"/>
      <w:bookmarkStart w:id="3179" w:name="_Toc763"/>
      <w:bookmarkStart w:id="3180" w:name="_Toc27547"/>
      <w:bookmarkStart w:id="3181" w:name="_Toc19290"/>
      <w:bookmarkStart w:id="3182" w:name="_Toc17681"/>
      <w:bookmarkStart w:id="3183" w:name="_Toc517532116"/>
      <w:bookmarkStart w:id="3184" w:name="_Toc7195"/>
      <w:bookmarkStart w:id="3185" w:name="_Toc6641"/>
      <w:bookmarkStart w:id="3186" w:name="_Toc16325"/>
      <w:bookmarkStart w:id="3187" w:name="_Toc16912"/>
      <w:bookmarkStart w:id="3188" w:name="_Toc517530840"/>
      <w:bookmarkStart w:id="3189" w:name="_Toc16169"/>
      <w:bookmarkStart w:id="3190" w:name="_Toc26350"/>
      <w:bookmarkStart w:id="3191" w:name="_Toc29126"/>
      <w:bookmarkStart w:id="3192" w:name="_Toc28974"/>
      <w:bookmarkStart w:id="3193" w:name="_Toc6531"/>
      <w:bookmarkStart w:id="3194" w:name="_Toc745"/>
      <w:bookmarkStart w:id="3195" w:name="_Toc13492"/>
      <w:bookmarkStart w:id="3196" w:name="_Toc22753"/>
      <w:bookmarkStart w:id="3197" w:name="_Toc22970"/>
      <w:r>
        <w:rPr>
          <w:rFonts w:hint="eastAsia" w:ascii="宋体" w:hAnsi="宋体" w:cs="宋体"/>
          <w:b/>
          <w:bCs/>
          <w:color w:val="auto"/>
          <w:sz w:val="24"/>
          <w:szCs w:val="24"/>
          <w:highlight w:val="none"/>
        </w:rPr>
        <w:t>8.1.6发包人的免责</w:t>
      </w:r>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除第8.2条和第17条提到的外，发包人无论何时均不对上述承包人装备、临时工程或材料的损失或损坏承担责任。</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3198" w:name="_Toc20263"/>
      <w:bookmarkStart w:id="3199" w:name="_Toc517532117"/>
      <w:bookmarkStart w:id="3200" w:name="_Toc16769"/>
      <w:bookmarkStart w:id="3201" w:name="_Toc7020"/>
      <w:bookmarkStart w:id="3202" w:name="_Toc25345"/>
      <w:bookmarkStart w:id="3203" w:name="_Toc13984"/>
      <w:bookmarkStart w:id="3204" w:name="_Toc20627"/>
      <w:bookmarkStart w:id="3205" w:name="_Toc22318"/>
      <w:bookmarkStart w:id="3206" w:name="_Toc582"/>
      <w:bookmarkStart w:id="3207" w:name="_Toc20874"/>
      <w:bookmarkStart w:id="3208" w:name="_Toc30532"/>
      <w:bookmarkStart w:id="3209" w:name="_Toc12472"/>
      <w:bookmarkStart w:id="3210" w:name="_Toc517530841"/>
      <w:bookmarkStart w:id="3211" w:name="_Toc21126"/>
      <w:bookmarkStart w:id="3212" w:name="_Toc6122"/>
      <w:bookmarkStart w:id="3213" w:name="_Toc27710"/>
      <w:bookmarkStart w:id="3214" w:name="_Toc8520"/>
      <w:bookmarkStart w:id="3215" w:name="_Toc16223"/>
      <w:bookmarkStart w:id="3216" w:name="_Toc4228"/>
      <w:bookmarkStart w:id="3217" w:name="_Toc11327"/>
      <w:r>
        <w:rPr>
          <w:rFonts w:hint="eastAsia" w:ascii="宋体" w:hAnsi="宋体" w:cs="宋体"/>
          <w:b/>
          <w:bCs/>
          <w:color w:val="auto"/>
          <w:sz w:val="24"/>
          <w:szCs w:val="24"/>
          <w:highlight w:val="none"/>
        </w:rPr>
        <w:t>8.1.7承包人装备的继续租用</w:t>
      </w:r>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根据第16.2条规定终止合同时，为了保证本工程施工的目的，发包人或其邀请实施本合同工程的其他承包人仍可继续使用承包人已租用的任何装备，其租用条件在各方面都应与租给承包人的条件相同。承包人应在设备租赁合同中明确约定租赁权可转让，以保障前述约定的实现。</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3218" w:name="_Toc3402"/>
      <w:bookmarkStart w:id="3219" w:name="_Toc8072"/>
      <w:bookmarkStart w:id="3220" w:name="_Toc24218"/>
      <w:bookmarkStart w:id="3221" w:name="_Toc517532118"/>
      <w:bookmarkStart w:id="3222" w:name="_Toc4310"/>
      <w:bookmarkStart w:id="3223" w:name="_Toc23503"/>
      <w:bookmarkStart w:id="3224" w:name="_Toc19933"/>
      <w:bookmarkStart w:id="3225" w:name="_Toc28069"/>
      <w:bookmarkStart w:id="3226" w:name="_Toc18874"/>
      <w:bookmarkStart w:id="3227" w:name="_Toc11051"/>
      <w:bookmarkStart w:id="3228" w:name="_Toc517530842"/>
      <w:bookmarkStart w:id="3229" w:name="_Toc29359"/>
      <w:bookmarkStart w:id="3230" w:name="_Toc8245"/>
      <w:bookmarkStart w:id="3231" w:name="_Toc27263"/>
      <w:bookmarkStart w:id="3232" w:name="_Toc19955"/>
      <w:bookmarkStart w:id="3233" w:name="_Toc31088"/>
      <w:bookmarkStart w:id="3234" w:name="_Toc22610"/>
      <w:bookmarkStart w:id="3235" w:name="_Toc22179"/>
      <w:bookmarkStart w:id="3236" w:name="_Toc18098"/>
      <w:bookmarkStart w:id="3237" w:name="_Toc21296"/>
      <w:r>
        <w:rPr>
          <w:rFonts w:hint="eastAsia" w:ascii="宋体" w:hAnsi="宋体" w:cs="宋体"/>
          <w:b/>
          <w:bCs/>
          <w:color w:val="auto"/>
          <w:sz w:val="24"/>
          <w:szCs w:val="24"/>
          <w:highlight w:val="none"/>
        </w:rPr>
        <w:t>8.1.8列入分包合同</w:t>
      </w:r>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承包人在签订本合同工程分包合同时，应将本条中有关分包人的装备、临时工程或材料运入现场的各项规定写入分包合同中。</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3238" w:name="_Toc11003"/>
      <w:bookmarkStart w:id="3239" w:name="_Toc20283"/>
      <w:bookmarkStart w:id="3240" w:name="_Toc26843"/>
      <w:bookmarkStart w:id="3241" w:name="_Toc24019"/>
      <w:bookmarkStart w:id="3242" w:name="_Toc517532119"/>
      <w:bookmarkStart w:id="3243" w:name="_Toc3690"/>
      <w:bookmarkStart w:id="3244" w:name="_Toc25856"/>
      <w:bookmarkStart w:id="3245" w:name="_Toc2717"/>
      <w:bookmarkStart w:id="3246" w:name="_Toc32616"/>
      <w:bookmarkStart w:id="3247" w:name="_Toc517530843"/>
      <w:bookmarkStart w:id="3248" w:name="_Toc3658"/>
      <w:bookmarkStart w:id="3249" w:name="_Toc27713"/>
      <w:bookmarkStart w:id="3250" w:name="_Toc11158"/>
      <w:bookmarkStart w:id="3251" w:name="_Toc29778"/>
      <w:bookmarkStart w:id="3252" w:name="_Toc3054"/>
      <w:bookmarkStart w:id="3253" w:name="_Toc32564"/>
      <w:bookmarkStart w:id="3254" w:name="_Toc613"/>
      <w:bookmarkStart w:id="3255" w:name="_Toc31137"/>
      <w:bookmarkStart w:id="3256" w:name="_Toc18798"/>
      <w:bookmarkStart w:id="3257" w:name="_Toc23054"/>
      <w:r>
        <w:rPr>
          <w:rFonts w:hint="eastAsia" w:ascii="宋体" w:hAnsi="宋体" w:cs="宋体"/>
          <w:b/>
          <w:bCs/>
          <w:color w:val="auto"/>
          <w:sz w:val="24"/>
          <w:szCs w:val="24"/>
          <w:highlight w:val="none"/>
        </w:rPr>
        <w:t>8.1.9料场使用费</w:t>
      </w:r>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除另有规定外，承包人应承担并支付为获得本合同工程所需的石料、砂、砾石、粘土或其他当地材料等所发生的吨位费和其他料场使用费、租金及其他支付或补偿。发包人应协助承包人办理料场租用手续及解决使用过程中的有关问题。</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3258" w:name="_Toc517532120"/>
      <w:bookmarkStart w:id="3259" w:name="_Toc17210"/>
      <w:bookmarkStart w:id="3260" w:name="_Toc517530844"/>
      <w:bookmarkStart w:id="3261" w:name="_Toc69113979"/>
      <w:bookmarkStart w:id="3262" w:name="_Toc24075"/>
      <w:bookmarkStart w:id="3263" w:name="_Toc27185"/>
      <w:bookmarkStart w:id="3264" w:name="_Toc19748"/>
      <w:bookmarkStart w:id="3265" w:name="_Toc707"/>
      <w:bookmarkStart w:id="3266" w:name="_Toc17637"/>
      <w:bookmarkStart w:id="3267" w:name="_Toc23383"/>
      <w:bookmarkStart w:id="3268" w:name="_Toc9287"/>
      <w:bookmarkStart w:id="3269" w:name="_Toc465237118"/>
      <w:bookmarkStart w:id="3270" w:name="_Toc12601"/>
      <w:bookmarkStart w:id="3271" w:name="_Toc30863"/>
      <w:bookmarkStart w:id="3272" w:name="_Toc13318"/>
      <w:bookmarkStart w:id="3273" w:name="_Toc465237216"/>
      <w:bookmarkStart w:id="3274" w:name="_Toc19189"/>
      <w:bookmarkStart w:id="3275" w:name="_Toc22169"/>
      <w:bookmarkStart w:id="3276" w:name="_Toc1682"/>
      <w:bookmarkStart w:id="3277" w:name="_Toc14515"/>
      <w:bookmarkStart w:id="3278" w:name="_Toc21412"/>
      <w:bookmarkStart w:id="3279" w:name="_Toc26527"/>
      <w:bookmarkStart w:id="3280" w:name="_Toc13076"/>
      <w:bookmarkStart w:id="3281" w:name="_Toc517528694"/>
      <w:bookmarkStart w:id="3282" w:name="_Toc296346563"/>
      <w:bookmarkStart w:id="3283" w:name="_Toc337558780"/>
      <w:bookmarkStart w:id="3284" w:name="_Toc296503062"/>
      <w:r>
        <w:rPr>
          <w:rFonts w:hint="eastAsia" w:ascii="宋体" w:hAnsi="宋体" w:cs="宋体"/>
          <w:b/>
          <w:bCs/>
          <w:color w:val="auto"/>
          <w:sz w:val="28"/>
          <w:szCs w:val="28"/>
          <w:highlight w:val="none"/>
        </w:rPr>
        <w:t>8.2材料与工程设备的保管与使用</w:t>
      </w:r>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3285" w:name="_Toc517532121"/>
      <w:bookmarkStart w:id="3286" w:name="_Toc517530845"/>
      <w:bookmarkStart w:id="3287" w:name="_Toc30741"/>
      <w:bookmarkStart w:id="3288" w:name="_Toc7576"/>
      <w:bookmarkStart w:id="3289" w:name="_Toc12943"/>
      <w:bookmarkStart w:id="3290" w:name="_Toc22834"/>
      <w:bookmarkStart w:id="3291" w:name="_Toc19343"/>
      <w:bookmarkStart w:id="3292" w:name="_Toc10712"/>
      <w:bookmarkStart w:id="3293" w:name="_Toc18356"/>
      <w:bookmarkStart w:id="3294" w:name="_Toc12735"/>
      <w:bookmarkStart w:id="3295" w:name="_Toc8173"/>
      <w:bookmarkStart w:id="3296" w:name="_Toc498"/>
      <w:bookmarkStart w:id="3297" w:name="_Toc29491"/>
      <w:bookmarkStart w:id="3298" w:name="_Toc8179"/>
      <w:bookmarkStart w:id="3299" w:name="_Toc957"/>
      <w:bookmarkStart w:id="3300" w:name="_Toc20671"/>
      <w:bookmarkStart w:id="3301" w:name="_Toc18958"/>
      <w:bookmarkStart w:id="3302" w:name="_Toc24581"/>
      <w:bookmarkStart w:id="3303" w:name="_Toc14832"/>
      <w:bookmarkStart w:id="3304" w:name="_Toc22157"/>
      <w:r>
        <w:rPr>
          <w:rFonts w:hint="eastAsia" w:ascii="宋体" w:hAnsi="宋体" w:cs="宋体"/>
          <w:b/>
          <w:bCs/>
          <w:color w:val="auto"/>
          <w:sz w:val="24"/>
          <w:szCs w:val="24"/>
          <w:highlight w:val="none"/>
        </w:rPr>
        <w:t>8.2.1工程的照管</w:t>
      </w:r>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从开工之日起，承包人应全面负责照管本合同工程及将用于和安装在本合同工程中的材料、设备，直到本合同工程交接证书签发之日为止。此后，上述照管责任即交给发包人。但是：</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(a)如果合同工程的任何区段或单项工程颁发了交接证书，则从该交接证书签发之日起承包人应立即停止对该区段或单项工程的照管，此时该区段或单项工程的照管责任应交发包人；</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(b)承包人应对其在缺陷责任期内承担的尚未完成的工程和将用于和安装在工程中的材料、设备的照管完全负责，直到根据合同有关第15条规定该未完成工程已经竣工为止。</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3305" w:name="_Toc4625"/>
      <w:bookmarkStart w:id="3306" w:name="_Toc3789"/>
      <w:bookmarkStart w:id="3307" w:name="_Toc4759"/>
      <w:bookmarkStart w:id="3308" w:name="_Toc26513"/>
      <w:bookmarkStart w:id="3309" w:name="_Toc20242"/>
      <w:bookmarkStart w:id="3310" w:name="_Toc32209"/>
      <w:bookmarkStart w:id="3311" w:name="_Toc21661"/>
      <w:bookmarkStart w:id="3312" w:name="_Toc19357"/>
      <w:bookmarkStart w:id="3313" w:name="_Toc4074"/>
      <w:bookmarkStart w:id="3314" w:name="_Toc25839"/>
      <w:bookmarkStart w:id="3315" w:name="_Toc15870"/>
      <w:bookmarkStart w:id="3316" w:name="_Toc517530846"/>
      <w:bookmarkStart w:id="3317" w:name="_Toc22450"/>
      <w:bookmarkStart w:id="3318" w:name="_Toc27306"/>
      <w:bookmarkStart w:id="3319" w:name="_Toc517532122"/>
      <w:bookmarkStart w:id="3320" w:name="_Toc5590"/>
      <w:bookmarkStart w:id="3321" w:name="_Toc2736"/>
      <w:bookmarkStart w:id="3322" w:name="_Toc2789"/>
      <w:bookmarkStart w:id="3323" w:name="_Toc25183"/>
      <w:bookmarkStart w:id="3324" w:name="_Toc26057"/>
      <w:r>
        <w:rPr>
          <w:rFonts w:hint="eastAsia" w:ascii="宋体" w:hAnsi="宋体" w:cs="宋体"/>
          <w:b/>
          <w:bCs/>
          <w:color w:val="auto"/>
          <w:sz w:val="24"/>
          <w:szCs w:val="24"/>
          <w:highlight w:val="none"/>
        </w:rPr>
        <w:t>8.2.2承包人在设备、材料管理的责任</w:t>
      </w:r>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承包人在设备、材料管理的责任包括但不限于下列内容：</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(a)甲供设备、材料的管理：</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甲供设备、材料指由发包人直接提供的用于永久性建筑的材料、设备，甲供材料由发包人负责运送到工程现场，发包人、承包人、监理人、供应商共同对有关的证明文件（产品合格证、生产许可证、检验化验报告、质量保证书）进行联合验收，符合要求后予以签认。经承包人签收的甲供设备，在其安装前由承包人进行妥善保管，保证其质量，并对因保管不善造成的损失负责。</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(b)对分包人的材料的管理：</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承包人应对分包人已安装或送到工地未安装的材料、设备、货物负保管责任，但不需对分包人的机械、工具、施工设备及类似财产负责。</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3325" w:name="_Toc10718"/>
      <w:bookmarkStart w:id="3326" w:name="_Toc26487"/>
      <w:bookmarkStart w:id="3327" w:name="_Toc10412"/>
      <w:bookmarkStart w:id="3328" w:name="_Toc22233"/>
      <w:bookmarkStart w:id="3329" w:name="_Toc517532123"/>
      <w:bookmarkStart w:id="3330" w:name="_Toc12022"/>
      <w:bookmarkStart w:id="3331" w:name="_Toc13717"/>
      <w:bookmarkStart w:id="3332" w:name="_Toc29566"/>
      <w:bookmarkStart w:id="3333" w:name="_Toc16116"/>
      <w:bookmarkStart w:id="3334" w:name="_Toc12524"/>
      <w:bookmarkStart w:id="3335" w:name="_Toc1425"/>
      <w:bookmarkStart w:id="3336" w:name="_Toc5563"/>
      <w:bookmarkStart w:id="3337" w:name="_Toc28794"/>
      <w:bookmarkStart w:id="3338" w:name="_Toc517530847"/>
      <w:bookmarkStart w:id="3339" w:name="_Toc22906"/>
      <w:bookmarkStart w:id="3340" w:name="_Toc26547"/>
      <w:bookmarkStart w:id="3341" w:name="_Toc12274"/>
      <w:bookmarkStart w:id="3342" w:name="_Toc19663"/>
      <w:bookmarkStart w:id="3343" w:name="_Toc31985"/>
      <w:bookmarkStart w:id="3344" w:name="_Toc27785"/>
      <w:r>
        <w:rPr>
          <w:rFonts w:hint="eastAsia" w:ascii="宋体" w:hAnsi="宋体" w:cs="宋体"/>
          <w:b/>
          <w:bCs/>
          <w:color w:val="auto"/>
          <w:sz w:val="24"/>
          <w:szCs w:val="24"/>
          <w:highlight w:val="none"/>
        </w:rPr>
        <w:t>8.2.3成品、半成品保护</w:t>
      </w:r>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对工程中分期完成的成品和半成品，在工程竣工移交前，承包人应负保护责任，任何其他分包人对其使用或在其基础上施工，必须得到承包人的许可，对经监理人确认因承包人管理保护措施不当造成的损坏，由承包人负责修复，对分包人在施工过程中造成的损坏由责任人负责修复直到符合合同要求的标准为止。</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未履行正常竣工手续前，因应急抢险、提前开放或使用需要等特殊情况，发包方提出工程投入使用的，需事先按程序履行审批手续，并对使用风险进行评估，对使用过程中的成品保护责任进行约定，与承包人履行交接手续。因发包人使用不当导致工程损坏，发包人需另外承担修复费用（包括材料费、人工费等）。因正常使用情况下质量问题导致的工程损坏导致的，由承包人负责修复。</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3345" w:name="_Toc29759"/>
      <w:bookmarkStart w:id="3346" w:name="_Toc14112"/>
      <w:bookmarkStart w:id="3347" w:name="_Toc10017"/>
      <w:bookmarkStart w:id="3348" w:name="_Toc6880"/>
      <w:bookmarkStart w:id="3349" w:name="_Toc517532124"/>
      <w:bookmarkStart w:id="3350" w:name="_Toc9918"/>
      <w:bookmarkStart w:id="3351" w:name="_Toc4152"/>
      <w:bookmarkStart w:id="3352" w:name="_Toc31065"/>
      <w:bookmarkStart w:id="3353" w:name="_Toc9738"/>
      <w:bookmarkStart w:id="3354" w:name="_Toc517530848"/>
      <w:bookmarkStart w:id="3355" w:name="_Toc13532"/>
      <w:bookmarkStart w:id="3356" w:name="_Toc4473"/>
      <w:bookmarkStart w:id="3357" w:name="_Toc23924"/>
      <w:bookmarkStart w:id="3358" w:name="_Toc11154"/>
      <w:bookmarkStart w:id="3359" w:name="_Toc7042"/>
      <w:bookmarkStart w:id="3360" w:name="_Toc20054"/>
      <w:bookmarkStart w:id="3361" w:name="_Toc22615"/>
      <w:bookmarkStart w:id="3362" w:name="_Toc24592"/>
      <w:bookmarkStart w:id="3363" w:name="_Toc31944"/>
      <w:bookmarkStart w:id="3364" w:name="_Toc28065"/>
      <w:r>
        <w:rPr>
          <w:rFonts w:hint="eastAsia" w:ascii="宋体" w:hAnsi="宋体" w:cs="宋体"/>
          <w:b/>
          <w:bCs/>
          <w:color w:val="auto"/>
          <w:sz w:val="24"/>
          <w:szCs w:val="24"/>
          <w:highlight w:val="none"/>
        </w:rPr>
        <w:t>8.2.4弥补损失的责任</w:t>
      </w:r>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承包人负责照管期间，如果本合同工程或其任何部分，或将用于或安装在本合同工程材料、设备等发生任何损失或损害，不论出于什么原因，除第8.2.6条规定的风险外，承包人均应自费弥补上述损失或损害，以使永久工程在各方面都符合合同的规定。承包人为了履行第15条规定的义务，在进行作业过程中由承包人造成的对工程的任何损失或损害，承包人也应对此承担责任。</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承包人应对颁发工程交接证书前由承包人原因导致的损失负责，还应对损害结果发生在颁发工程交接证书后，但原因产生在承包人负责期间的损失负责。</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3365" w:name="_Toc24279"/>
      <w:bookmarkStart w:id="3366" w:name="_Toc3871"/>
      <w:bookmarkStart w:id="3367" w:name="_Toc3933"/>
      <w:bookmarkStart w:id="3368" w:name="_Toc10301"/>
      <w:bookmarkStart w:id="3369" w:name="_Toc14773"/>
      <w:bookmarkStart w:id="3370" w:name="_Toc12974"/>
      <w:bookmarkStart w:id="3371" w:name="_Toc30169"/>
      <w:bookmarkStart w:id="3372" w:name="_Toc517532125"/>
      <w:bookmarkStart w:id="3373" w:name="_Toc31987"/>
      <w:bookmarkStart w:id="3374" w:name="_Toc31964"/>
      <w:bookmarkStart w:id="3375" w:name="_Toc563"/>
      <w:bookmarkStart w:id="3376" w:name="_Toc10266"/>
      <w:bookmarkStart w:id="3377" w:name="_Toc27249"/>
      <w:bookmarkStart w:id="3378" w:name="_Toc19457"/>
      <w:bookmarkStart w:id="3379" w:name="_Toc14282"/>
      <w:bookmarkStart w:id="3380" w:name="_Toc20724"/>
      <w:bookmarkStart w:id="3381" w:name="_Toc10057"/>
      <w:bookmarkStart w:id="3382" w:name="_Toc6031"/>
      <w:bookmarkStart w:id="3383" w:name="_Toc23863"/>
      <w:bookmarkStart w:id="3384" w:name="_Toc517530849"/>
      <w:r>
        <w:rPr>
          <w:rFonts w:hint="eastAsia" w:ascii="宋体" w:hAnsi="宋体" w:cs="宋体"/>
          <w:b/>
          <w:bCs/>
          <w:color w:val="auto"/>
          <w:sz w:val="24"/>
          <w:szCs w:val="24"/>
          <w:highlight w:val="none"/>
        </w:rPr>
        <w:t>8.2.5由于发包人风险所造成的损失或损害</w:t>
      </w:r>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由于第8.2.6条规定的任何一种风险造成的，或结合其他风险而造成的任何上述损失或损害，承包人应在监理人要求的范围内弥补损失或损害，同时，监理人应按照第10条规定在与承包人协商并报发包人</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批准后，确定合同价格的增加额，通知承包人，并抄送发包人。对上述损失或损害的处理，监理人的任何确定都应充分考虑发包人和承包人按比例承担的原则。</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3385" w:name="_Toc13252"/>
      <w:bookmarkStart w:id="3386" w:name="_Toc21547"/>
      <w:bookmarkStart w:id="3387" w:name="_Toc3137"/>
      <w:bookmarkStart w:id="3388" w:name="_Toc10346"/>
      <w:bookmarkStart w:id="3389" w:name="_Toc29343"/>
      <w:bookmarkStart w:id="3390" w:name="_Toc10365"/>
      <w:bookmarkStart w:id="3391" w:name="_Toc6539"/>
      <w:bookmarkStart w:id="3392" w:name="_Toc20418"/>
      <w:bookmarkStart w:id="3393" w:name="_Toc31972"/>
      <w:bookmarkStart w:id="3394" w:name="_Toc517530850"/>
      <w:bookmarkStart w:id="3395" w:name="_Toc23786"/>
      <w:bookmarkStart w:id="3396" w:name="_Toc8915"/>
      <w:bookmarkStart w:id="3397" w:name="_Toc11923"/>
      <w:bookmarkStart w:id="3398" w:name="_Toc16699"/>
      <w:bookmarkStart w:id="3399" w:name="_Toc14859"/>
      <w:bookmarkStart w:id="3400" w:name="_Toc517532126"/>
      <w:bookmarkStart w:id="3401" w:name="_Toc1111"/>
      <w:bookmarkStart w:id="3402" w:name="_Toc17941"/>
      <w:bookmarkStart w:id="3403" w:name="_Toc24804"/>
      <w:bookmarkStart w:id="3404" w:name="_Toc5218"/>
      <w:r>
        <w:rPr>
          <w:rFonts w:hint="eastAsia" w:ascii="宋体" w:hAnsi="宋体" w:cs="宋体"/>
          <w:b/>
          <w:bCs/>
          <w:color w:val="auto"/>
          <w:sz w:val="24"/>
          <w:szCs w:val="24"/>
          <w:highlight w:val="none"/>
        </w:rPr>
        <w:t>8.2.6发包人的风险</w:t>
      </w:r>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发包人的风险包括：</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(a)战争、入侵；</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(b)核反应、辐射或放射性污染；</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(c)空中飞行物体坠落或其他非发包人或承包人责任造成的爆炸、火灾；</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(d)暴乱、骚乱，但纯系承包人或其分包人派遣、雇用人员由于本合同工程施工引起的骚乱除外；</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(e)除合同规定者外，永久工程的任何区段或单项工程被发包人使用或占用所造成的损失或损害；</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(f)除承包人提供的或承包人负责的设计的任何部分外，属于本工程设计引起的损失和损害；</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(g)任何自然界力量的作用，而一个有经验的承包人不能合理预见，或能合理预见，但其既不能合理采取措施以避免这种力量所造成的损失或损害，也不能合理地加以投保。这些自然灾害包括：</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①烈度为七级以上的地震；</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②十级以上持续一天的大风；</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③持续降雨24小时且降雨量为210mm以上；</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④连续二天超过39摄氏度的高温天气。</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（h）其它：</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①对工程有直接影响的重大疫情；</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②政策性调整；</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③其它不可抗力的原因。</w:t>
      </w:r>
    </w:p>
    <w:bookmarkEnd w:id="3077"/>
    <w:bookmarkEnd w:id="3282"/>
    <w:bookmarkEnd w:id="3283"/>
    <w:bookmarkEnd w:id="3284"/>
    <w:p>
      <w:pPr>
        <w:keepNext/>
        <w:keepLines/>
        <w:spacing w:before="156" w:beforeLines="50" w:after="156" w:afterLines="50" w:line="360" w:lineRule="auto"/>
        <w:ind w:firstLine="600" w:firstLineChars="200"/>
        <w:outlineLvl w:val="1"/>
        <w:rPr>
          <w:rFonts w:ascii="宋体" w:hAnsi="宋体" w:cs="宋体"/>
          <w:b/>
          <w:bCs/>
          <w:color w:val="auto"/>
          <w:sz w:val="30"/>
          <w:szCs w:val="30"/>
          <w:highlight w:val="none"/>
        </w:rPr>
      </w:pPr>
      <w:bookmarkStart w:id="3405" w:name="_Toc351203562"/>
      <w:bookmarkStart w:id="3406" w:name="_Toc23452"/>
      <w:bookmarkStart w:id="3407" w:name="_Toc29033"/>
      <w:bookmarkStart w:id="3408" w:name="_Toc9519"/>
      <w:bookmarkStart w:id="3409" w:name="_Toc69113980"/>
      <w:bookmarkStart w:id="3410" w:name="_Toc11752"/>
      <w:bookmarkStart w:id="3411" w:name="_Toc5667"/>
      <w:bookmarkStart w:id="3412" w:name="_Toc10075"/>
      <w:bookmarkStart w:id="3413" w:name="_Toc517530851"/>
      <w:bookmarkStart w:id="3414" w:name="_Toc517528695"/>
      <w:bookmarkStart w:id="3415" w:name="_Toc517532127"/>
      <w:bookmarkStart w:id="3416" w:name="_Toc517529742"/>
      <w:bookmarkStart w:id="3417" w:name="_Toc2523"/>
      <w:bookmarkStart w:id="3418" w:name="_Toc14968"/>
      <w:bookmarkStart w:id="3419" w:name="_Toc29221"/>
      <w:bookmarkStart w:id="3420" w:name="_Toc31370"/>
      <w:bookmarkStart w:id="3421" w:name="_Toc16871"/>
      <w:bookmarkStart w:id="3422" w:name="_Toc14550"/>
      <w:bookmarkStart w:id="3423" w:name="_Toc465237218"/>
      <w:bookmarkStart w:id="3424" w:name="_Toc20504"/>
      <w:bookmarkStart w:id="3425" w:name="_Toc4193"/>
      <w:bookmarkStart w:id="3426" w:name="_Toc20876"/>
      <w:bookmarkStart w:id="3427" w:name="_Toc17098"/>
      <w:bookmarkStart w:id="3428" w:name="_Toc4469"/>
      <w:bookmarkStart w:id="3429" w:name="_Toc3976"/>
      <w:bookmarkStart w:id="3430" w:name="_Toc465237120"/>
      <w:bookmarkStart w:id="3431" w:name="_Toc337558782"/>
      <w:bookmarkStart w:id="3432" w:name="_Toc296503083"/>
      <w:bookmarkStart w:id="3433" w:name="_Toc296346584"/>
      <w:r>
        <w:rPr>
          <w:rFonts w:hint="eastAsia" w:ascii="宋体" w:hAnsi="宋体" w:cs="宋体"/>
          <w:b/>
          <w:bCs/>
          <w:color w:val="auto"/>
          <w:sz w:val="30"/>
          <w:szCs w:val="30"/>
          <w:highlight w:val="none"/>
        </w:rPr>
        <w:t>9.</w:t>
      </w:r>
      <w:bookmarkEnd w:id="3405"/>
      <w:r>
        <w:rPr>
          <w:rFonts w:hint="eastAsia" w:ascii="宋体" w:hAnsi="宋体" w:cs="宋体"/>
          <w:b/>
          <w:bCs/>
          <w:color w:val="auto"/>
          <w:sz w:val="30"/>
          <w:szCs w:val="30"/>
          <w:highlight w:val="none"/>
        </w:rPr>
        <w:t xml:space="preserve"> 试验与检验</w:t>
      </w:r>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p>
    <w:bookmarkEnd w:id="3431"/>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3434" w:name="_Toc517530852"/>
      <w:bookmarkStart w:id="3435" w:name="_Toc11129"/>
      <w:bookmarkStart w:id="3436" w:name="_Toc17884"/>
      <w:bookmarkStart w:id="3437" w:name="_Toc21112"/>
      <w:bookmarkStart w:id="3438" w:name="_Toc6426"/>
      <w:bookmarkStart w:id="3439" w:name="_Toc17741"/>
      <w:bookmarkStart w:id="3440" w:name="_Toc517532128"/>
      <w:bookmarkStart w:id="3441" w:name="_Toc32749"/>
      <w:bookmarkStart w:id="3442" w:name="_Toc17452"/>
      <w:bookmarkStart w:id="3443" w:name="_Toc13277"/>
      <w:bookmarkStart w:id="3444" w:name="_Toc16976"/>
      <w:bookmarkStart w:id="3445" w:name="_Toc19496"/>
      <w:bookmarkStart w:id="3446" w:name="_Toc4398"/>
      <w:bookmarkStart w:id="3447" w:name="_Toc20305"/>
      <w:bookmarkStart w:id="3448" w:name="_Toc15092"/>
      <w:bookmarkStart w:id="3449" w:name="_Toc14594"/>
      <w:bookmarkStart w:id="3450" w:name="_Toc10872"/>
      <w:bookmarkStart w:id="3451" w:name="_Toc30679"/>
      <w:bookmarkStart w:id="3452" w:name="_Toc28707"/>
      <w:bookmarkStart w:id="3453" w:name="_Toc18242"/>
      <w:bookmarkStart w:id="3454" w:name="_Toc517528696"/>
      <w:bookmarkStart w:id="3455" w:name="_Toc69113981"/>
      <w:r>
        <w:rPr>
          <w:rFonts w:hint="eastAsia" w:ascii="宋体" w:hAnsi="宋体" w:cs="宋体"/>
          <w:b/>
          <w:bCs/>
          <w:color w:val="auto"/>
          <w:sz w:val="28"/>
          <w:szCs w:val="28"/>
          <w:highlight w:val="none"/>
        </w:rPr>
        <w:t>9.1材料、设备和操作工艺的质量</w:t>
      </w:r>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一切材料、设备和操作工艺应该是：</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(a)属于合同所规定的相应类级，并符合监理人指令要求；</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(b)随时按监理人的要求，在制造、加工或制配地点，或在现场进行检验。</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为了对材料或设备进行检查量测和检验，承包人应提供一切正常需要的手段，并应在用于工程之前，提供材料样品，按照监理人的选择和要求进行检验。</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3456" w:name="_Toc31082"/>
      <w:bookmarkStart w:id="3457" w:name="_Toc517528697"/>
      <w:bookmarkStart w:id="3458" w:name="_Toc23802"/>
      <w:bookmarkStart w:id="3459" w:name="_Toc167"/>
      <w:bookmarkStart w:id="3460" w:name="_Toc21055"/>
      <w:bookmarkStart w:id="3461" w:name="_Toc24797"/>
      <w:bookmarkStart w:id="3462" w:name="_Toc19328"/>
      <w:bookmarkStart w:id="3463" w:name="_Toc10282"/>
      <w:bookmarkStart w:id="3464" w:name="_Toc2697"/>
      <w:bookmarkStart w:id="3465" w:name="_Toc517530853"/>
      <w:bookmarkStart w:id="3466" w:name="_Toc28514"/>
      <w:bookmarkStart w:id="3467" w:name="_Toc12651"/>
      <w:bookmarkStart w:id="3468" w:name="_Toc2627"/>
      <w:bookmarkStart w:id="3469" w:name="_Toc9243"/>
      <w:bookmarkStart w:id="3470" w:name="_Toc25664"/>
      <w:bookmarkStart w:id="3471" w:name="_Toc11880"/>
      <w:bookmarkStart w:id="3472" w:name="_Toc10217"/>
      <w:bookmarkStart w:id="3473" w:name="_Toc517532129"/>
      <w:bookmarkStart w:id="3474" w:name="_Toc32587"/>
      <w:bookmarkStart w:id="3475" w:name="_Toc24178"/>
      <w:bookmarkStart w:id="3476" w:name="_Toc23792"/>
      <w:bookmarkStart w:id="3477" w:name="_Toc69113982"/>
      <w:r>
        <w:rPr>
          <w:rFonts w:hint="eastAsia" w:ascii="宋体" w:hAnsi="宋体" w:cs="宋体"/>
          <w:b/>
          <w:bCs/>
          <w:color w:val="auto"/>
          <w:sz w:val="28"/>
          <w:szCs w:val="28"/>
          <w:highlight w:val="none"/>
        </w:rPr>
        <w:t>9.2检查与检验</w:t>
      </w:r>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3478" w:name="_Toc19020"/>
      <w:bookmarkStart w:id="3479" w:name="_Toc517532130"/>
      <w:bookmarkStart w:id="3480" w:name="_Toc24586"/>
      <w:bookmarkStart w:id="3481" w:name="_Toc14474"/>
      <w:bookmarkStart w:id="3482" w:name="_Toc8356"/>
      <w:bookmarkStart w:id="3483" w:name="_Toc1950"/>
      <w:bookmarkStart w:id="3484" w:name="_Toc8653"/>
      <w:bookmarkStart w:id="3485" w:name="_Toc600"/>
      <w:bookmarkStart w:id="3486" w:name="_Toc30291"/>
      <w:bookmarkStart w:id="3487" w:name="_Toc30248"/>
      <w:bookmarkStart w:id="3488" w:name="_Toc18143"/>
      <w:bookmarkStart w:id="3489" w:name="_Toc10577"/>
      <w:bookmarkStart w:id="3490" w:name="_Toc3396"/>
      <w:bookmarkStart w:id="3491" w:name="_Toc24602"/>
      <w:bookmarkStart w:id="3492" w:name="_Toc10552"/>
      <w:bookmarkStart w:id="3493" w:name="_Toc14552"/>
      <w:bookmarkStart w:id="3494" w:name="_Toc12136"/>
      <w:bookmarkStart w:id="3495" w:name="_Toc27248"/>
      <w:bookmarkStart w:id="3496" w:name="_Toc517530854"/>
      <w:bookmarkStart w:id="3497" w:name="_Toc23112"/>
      <w:r>
        <w:rPr>
          <w:rFonts w:hint="eastAsia" w:ascii="宋体" w:hAnsi="宋体" w:cs="宋体"/>
          <w:b/>
          <w:bCs/>
          <w:color w:val="auto"/>
          <w:sz w:val="24"/>
          <w:szCs w:val="24"/>
          <w:highlight w:val="none"/>
        </w:rPr>
        <w:t>9.2.1作业的检查</w:t>
      </w:r>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监理人及其委派的人员，在合理时间内均应能进入工程现场、材料或设备的制造的所有车间和场所，承包人应提供一切便利和协助。</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材料和设备制造、加工或制配期间，监理人有权检查和检验按合同提供的材料和设备。如果材料和设备在不属于承包人的车间或场所进行制造、加工或制配时，则承包人应取得第三方同意，准许监理人在他们的制配车间或场所进行上述检查和检验。上述检查和检验并不能解除承包人对合同所承担的任何责任。</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3498" w:name="_Toc806"/>
      <w:bookmarkStart w:id="3499" w:name="_Toc1524"/>
      <w:bookmarkStart w:id="3500" w:name="_Toc5113"/>
      <w:bookmarkStart w:id="3501" w:name="_Toc29913"/>
      <w:bookmarkStart w:id="3502" w:name="_Toc30089"/>
      <w:bookmarkStart w:id="3503" w:name="_Toc12477"/>
      <w:bookmarkStart w:id="3504" w:name="_Toc424"/>
      <w:bookmarkStart w:id="3505" w:name="_Toc32245"/>
      <w:bookmarkStart w:id="3506" w:name="_Toc4584"/>
      <w:bookmarkStart w:id="3507" w:name="_Toc27453"/>
      <w:bookmarkStart w:id="3508" w:name="_Toc517532131"/>
      <w:bookmarkStart w:id="3509" w:name="_Toc10130"/>
      <w:bookmarkStart w:id="3510" w:name="_Toc25640"/>
      <w:bookmarkStart w:id="3511" w:name="_Toc517530855"/>
      <w:bookmarkStart w:id="3512" w:name="_Toc7608"/>
      <w:bookmarkStart w:id="3513" w:name="_Toc3249"/>
      <w:bookmarkStart w:id="3514" w:name="_Toc2753"/>
      <w:bookmarkStart w:id="3515" w:name="_Toc16650"/>
      <w:bookmarkStart w:id="3516" w:name="_Toc23797"/>
      <w:bookmarkStart w:id="3517" w:name="_Toc2688"/>
      <w:r>
        <w:rPr>
          <w:rFonts w:hint="eastAsia" w:ascii="宋体" w:hAnsi="宋体" w:cs="宋体"/>
          <w:b/>
          <w:bCs/>
          <w:color w:val="auto"/>
          <w:sz w:val="24"/>
          <w:szCs w:val="24"/>
          <w:highlight w:val="none"/>
        </w:rPr>
        <w:t>9.2.2检查和检验的日期</w:t>
      </w:r>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承包人应与监理人商定检查或检验合同规定的材料或设备的时间和地点。监理人至少提前</w:t>
      </w:r>
      <w:r>
        <w:rPr>
          <w:rFonts w:hint="eastAsia" w:ascii="宋体" w:hAnsi="宋体" w:cs="宋体"/>
          <w:color w:val="auto"/>
          <w:szCs w:val="21"/>
          <w:highlight w:val="none"/>
          <w:u w:val="single"/>
        </w:rPr>
        <w:t>24</w:t>
      </w:r>
      <w:r>
        <w:rPr>
          <w:rFonts w:hint="eastAsia" w:ascii="宋体" w:hAnsi="宋体" w:cs="宋体"/>
          <w:color w:val="auto"/>
          <w:szCs w:val="21"/>
          <w:highlight w:val="none"/>
        </w:rPr>
        <w:t>小时通知承包人其将执行检查或参加检验。如果监理人或其正式委派的代表未能在约定的时间到场，则在监理人没有另外发出指令的情况下，承包人可以进行检验，而且应该认为这一检验是在监理人在场的情况下完成的。承包人应立即向监理人提出交检验数据的正式证明的复印件，如果监理人没有参加检验，其应对上述检验数据的准确性给予认可。</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3518" w:name="_Toc517530856"/>
      <w:bookmarkStart w:id="3519" w:name="_Toc15104"/>
      <w:bookmarkStart w:id="3520" w:name="_Toc16260"/>
      <w:bookmarkStart w:id="3521" w:name="_Toc26291"/>
      <w:bookmarkStart w:id="3522" w:name="_Toc838"/>
      <w:bookmarkStart w:id="3523" w:name="_Toc23625"/>
      <w:bookmarkStart w:id="3524" w:name="_Toc26379"/>
      <w:bookmarkStart w:id="3525" w:name="_Toc517532132"/>
      <w:bookmarkStart w:id="3526" w:name="_Toc15406"/>
      <w:bookmarkStart w:id="3527" w:name="_Toc925"/>
      <w:bookmarkStart w:id="3528" w:name="_Toc27750"/>
      <w:bookmarkStart w:id="3529" w:name="_Toc24900"/>
      <w:bookmarkStart w:id="3530" w:name="_Toc9026"/>
      <w:bookmarkStart w:id="3531" w:name="_Toc7135"/>
      <w:bookmarkStart w:id="3532" w:name="_Toc4982"/>
      <w:bookmarkStart w:id="3533" w:name="_Toc7942"/>
      <w:bookmarkStart w:id="3534" w:name="_Toc31914"/>
      <w:bookmarkStart w:id="3535" w:name="_Toc21294"/>
      <w:bookmarkStart w:id="3536" w:name="_Toc9609"/>
      <w:bookmarkStart w:id="3537" w:name="_Toc29788"/>
      <w:r>
        <w:rPr>
          <w:rFonts w:hint="eastAsia" w:ascii="宋体" w:hAnsi="宋体" w:cs="宋体"/>
          <w:b/>
          <w:bCs/>
          <w:color w:val="auto"/>
          <w:sz w:val="24"/>
          <w:szCs w:val="24"/>
          <w:highlight w:val="none"/>
        </w:rPr>
        <w:t>9.2.3 检验不合格的处理</w:t>
      </w:r>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p>
    <w:p>
      <w:pPr>
        <w:spacing w:line="360" w:lineRule="auto"/>
        <w:ind w:firstLine="420" w:firstLineChars="200"/>
        <w:outlineLvl w:val="5"/>
        <w:rPr>
          <w:rFonts w:ascii="宋体" w:hAnsi="宋体" w:cs="宋体"/>
          <w:b/>
          <w:bCs/>
          <w:color w:val="auto"/>
          <w:szCs w:val="21"/>
          <w:highlight w:val="none"/>
        </w:rPr>
      </w:pPr>
      <w:bookmarkStart w:id="3538" w:name="_Toc517530857"/>
      <w:bookmarkStart w:id="3539" w:name="_Toc517532133"/>
      <w:r>
        <w:rPr>
          <w:rFonts w:hint="eastAsia" w:ascii="宋体" w:hAnsi="宋体" w:cs="宋体"/>
          <w:b/>
          <w:bCs/>
          <w:color w:val="auto"/>
          <w:szCs w:val="21"/>
          <w:highlight w:val="none"/>
        </w:rPr>
        <w:t>（1）拒收</w:t>
      </w:r>
      <w:bookmarkEnd w:id="3538"/>
      <w:bookmarkEnd w:id="3539"/>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在按第9.2.2条商定的时间和地点供检查或检验的材料或设备未准备好，或监理人根据本条的检查或检验结果，确定材料或设备有缺陷或不符合合同要求，监理人可以拒收材料或设备，并将此情况立即通知承包人。通知应以理说明监理人的反对意见，承包人应监理人要求在同样条件下进行或重做被拒收材料或设备的检验，则重复检验所发生的全部费用由监理人在与发包人和承包人适当协商后确定，然后由发包人从承包人处收回，也可以从任何应付或到期应付给承包人的款项中扣除上述费用。监理人应通知承包人，抄送发包人。</w:t>
      </w:r>
    </w:p>
    <w:p>
      <w:pPr>
        <w:spacing w:line="360" w:lineRule="auto"/>
        <w:ind w:firstLine="420" w:firstLineChars="200"/>
        <w:outlineLvl w:val="5"/>
        <w:rPr>
          <w:rFonts w:ascii="宋体" w:hAnsi="宋体" w:cs="宋体"/>
          <w:b/>
          <w:bCs/>
          <w:color w:val="auto"/>
          <w:szCs w:val="21"/>
          <w:highlight w:val="none"/>
        </w:rPr>
      </w:pPr>
      <w:bookmarkStart w:id="3540" w:name="_Toc517530858"/>
      <w:bookmarkStart w:id="3541" w:name="_Toc517532134"/>
      <w:r>
        <w:rPr>
          <w:rFonts w:hint="eastAsia" w:ascii="宋体" w:hAnsi="宋体" w:cs="宋体"/>
          <w:b/>
          <w:bCs/>
          <w:color w:val="auto"/>
          <w:szCs w:val="21"/>
          <w:highlight w:val="none"/>
        </w:rPr>
        <w:t>（2）不合格工程材料或设备的拆运</w:t>
      </w:r>
      <w:bookmarkEnd w:id="3540"/>
      <w:bookmarkEnd w:id="3541"/>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监理人有权随时对下述事项发出指令：</w:t>
      </w:r>
    </w:p>
    <w:p>
      <w:pPr>
        <w:numPr>
          <w:ilvl w:val="0"/>
          <w:numId w:val="8"/>
        </w:numPr>
        <w:tabs>
          <w:tab w:val="left" w:pos="312"/>
        </w:tabs>
        <w:spacing w:line="360" w:lineRule="auto"/>
        <w:jc w:val="left"/>
        <w:rPr>
          <w:rFonts w:ascii="宋体" w:hAnsi="宋体" w:cs="宋体"/>
          <w:color w:val="auto"/>
          <w:szCs w:val="21"/>
          <w:highlight w:val="none"/>
        </w:rPr>
      </w:pPr>
      <w:r>
        <w:rPr>
          <w:rFonts w:hint="eastAsia" w:ascii="宋体" w:hAnsi="宋体" w:cs="宋体"/>
          <w:color w:val="auto"/>
          <w:szCs w:val="21"/>
          <w:highlight w:val="none"/>
        </w:rPr>
        <w:t>根据指令规定的时间内，在监理人的见证下将监理人认为不符合合同规定的材料或设备从现场运走；</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(b)用合格适用的材料或设备取代；</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(c)尽管先前已经过检验或期中付款；但监理人认为工程由于材料、设备或操作工艺，或承包人的设计或承包人负责的设计不符合合同规定时，将这些工程拆除，并彻底重做。</w:t>
      </w:r>
    </w:p>
    <w:p>
      <w:pPr>
        <w:spacing w:line="360" w:lineRule="auto"/>
        <w:ind w:firstLine="420" w:firstLineChars="200"/>
        <w:outlineLvl w:val="5"/>
        <w:rPr>
          <w:rFonts w:ascii="宋体" w:hAnsi="宋体" w:cs="宋体"/>
          <w:b/>
          <w:bCs/>
          <w:color w:val="auto"/>
          <w:szCs w:val="21"/>
          <w:highlight w:val="none"/>
        </w:rPr>
      </w:pPr>
      <w:bookmarkStart w:id="3542" w:name="_Toc517530859"/>
      <w:bookmarkStart w:id="3543" w:name="_Toc517532135"/>
      <w:r>
        <w:rPr>
          <w:rFonts w:hint="eastAsia" w:ascii="宋体" w:hAnsi="宋体" w:cs="宋体"/>
          <w:b/>
          <w:bCs/>
          <w:color w:val="auto"/>
          <w:szCs w:val="21"/>
          <w:highlight w:val="none"/>
        </w:rPr>
        <w:t>（3）承包人不执行指令</w:t>
      </w:r>
      <w:bookmarkEnd w:id="3542"/>
      <w:bookmarkEnd w:id="3543"/>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承包人一方在指令规定的时间内（如果没有规定，则在监理人认为合理的一段时间内）不执行上述指令，则发包人有权雇用他人执行该项指令，并向其支付有关费用。所有由此造成的或伴随产生的费用，由监理人在与发包人和承包人协商后确定，然后由发包人从承包人处收回，也可以从任何应付或到期应付给承包人的款项中扣除上述费用。监理人应通知承包人，并抄送发包人。</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3544" w:name="_Toc758"/>
      <w:bookmarkStart w:id="3545" w:name="_Toc26413"/>
      <w:bookmarkStart w:id="3546" w:name="_Toc16839"/>
      <w:bookmarkStart w:id="3547" w:name="_Toc17503"/>
      <w:bookmarkStart w:id="3548" w:name="_Toc517532136"/>
      <w:bookmarkStart w:id="3549" w:name="_Toc21935"/>
      <w:bookmarkStart w:id="3550" w:name="_Toc517528698"/>
      <w:bookmarkStart w:id="3551" w:name="_Toc23080"/>
      <w:bookmarkStart w:id="3552" w:name="_Toc3466"/>
      <w:bookmarkStart w:id="3553" w:name="_Toc10415"/>
      <w:bookmarkStart w:id="3554" w:name="_Toc7980"/>
      <w:bookmarkStart w:id="3555" w:name="_Toc517530860"/>
      <w:bookmarkStart w:id="3556" w:name="_Toc26268"/>
      <w:bookmarkStart w:id="3557" w:name="_Toc19479"/>
      <w:bookmarkStart w:id="3558" w:name="_Toc2864"/>
      <w:bookmarkStart w:id="3559" w:name="_Toc8472"/>
      <w:bookmarkStart w:id="3560" w:name="_Toc21822"/>
      <w:bookmarkStart w:id="3561" w:name="_Toc26134"/>
      <w:bookmarkStart w:id="3562" w:name="_Toc17033"/>
      <w:bookmarkStart w:id="3563" w:name="_Toc26091"/>
      <w:bookmarkStart w:id="3564" w:name="_Toc9643"/>
      <w:bookmarkStart w:id="3565" w:name="_Toc69113983"/>
      <w:r>
        <w:rPr>
          <w:rFonts w:hint="eastAsia" w:ascii="宋体" w:hAnsi="宋体" w:cs="宋体"/>
          <w:b/>
          <w:bCs/>
          <w:color w:val="auto"/>
          <w:sz w:val="28"/>
          <w:szCs w:val="28"/>
          <w:highlight w:val="none"/>
        </w:rPr>
        <w:t>9.3工程覆盖前的检查</w:t>
      </w:r>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没有监理人的</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批准，任何工程均不得覆盖或掩蔽，承包人应保证监理人有充分的机会对将予以覆盖或掩蔽的任何工程进行检查和量测，尤其在基础以上的任一部分工程修筑之前（如有），对该基础进行检查。在检查前，承包人应事先通知监理人，并约定检查的时间，监理人则应按时参加上述工程或基础的检查和量测，不得无故拖延，除非认为没有必要检查，并就此通知承包人。如果上述约定时间后的</w:t>
      </w:r>
      <w:r>
        <w:rPr>
          <w:rFonts w:hint="eastAsia" w:ascii="宋体" w:hAnsi="宋体" w:cs="宋体"/>
          <w:color w:val="auto"/>
          <w:szCs w:val="21"/>
          <w:highlight w:val="none"/>
          <w:u w:val="single"/>
        </w:rPr>
        <w:t>12</w:t>
      </w:r>
      <w:r>
        <w:rPr>
          <w:rFonts w:hint="eastAsia" w:ascii="宋体" w:hAnsi="宋体" w:cs="宋体"/>
          <w:color w:val="auto"/>
          <w:szCs w:val="21"/>
          <w:highlight w:val="none"/>
        </w:rPr>
        <w:t>小时内，监理人或其代表未能到场对上述工程或基础进行检查和量测，承包人即可自行检查，并如实作出自检报告后覆盖或掩蔽，监理人或其代表事后应予认可。监理人在组织工程覆盖前的检查时，应通知发包人及政府质检部门派人参加。</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3566" w:name="_Toc5307"/>
      <w:bookmarkStart w:id="3567" w:name="_Toc25583"/>
      <w:bookmarkStart w:id="3568" w:name="_Toc517530861"/>
      <w:bookmarkStart w:id="3569" w:name="_Toc15187"/>
      <w:bookmarkStart w:id="3570" w:name="_Toc30217"/>
      <w:bookmarkStart w:id="3571" w:name="_Toc11004"/>
      <w:bookmarkStart w:id="3572" w:name="_Toc23985"/>
      <w:bookmarkStart w:id="3573" w:name="_Toc13722"/>
      <w:bookmarkStart w:id="3574" w:name="_Toc3508"/>
      <w:bookmarkStart w:id="3575" w:name="_Toc19839"/>
      <w:bookmarkStart w:id="3576" w:name="_Toc517528699"/>
      <w:bookmarkStart w:id="3577" w:name="_Toc11479"/>
      <w:bookmarkStart w:id="3578" w:name="_Toc21286"/>
      <w:bookmarkStart w:id="3579" w:name="_Toc19155"/>
      <w:bookmarkStart w:id="3580" w:name="_Toc69113984"/>
      <w:bookmarkStart w:id="3581" w:name="_Toc517532137"/>
      <w:bookmarkStart w:id="3582" w:name="_Toc3428"/>
      <w:bookmarkStart w:id="3583" w:name="_Toc29838"/>
      <w:bookmarkStart w:id="3584" w:name="_Toc15076"/>
      <w:bookmarkStart w:id="3585" w:name="_Toc11769"/>
      <w:bookmarkStart w:id="3586" w:name="_Toc28117"/>
      <w:bookmarkStart w:id="3587" w:name="_Toc29323"/>
      <w:r>
        <w:rPr>
          <w:rFonts w:hint="eastAsia" w:ascii="宋体" w:hAnsi="宋体" w:cs="宋体"/>
          <w:b/>
          <w:bCs/>
          <w:color w:val="auto"/>
          <w:sz w:val="28"/>
          <w:szCs w:val="28"/>
          <w:highlight w:val="none"/>
        </w:rPr>
        <w:t>9.4剥开和开孔</w:t>
      </w:r>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应按监理人随时发出的指令，剥开工程的任何一部分，或在其内部或贯穿其内部开孔，并负责使该部分恢复原状。如果该部分已经根据第9.3条要求执行并已予覆盖或掩蔽，其施工被认为符合合同规定，则监理人在与发包人和承包人适当协商后，应确定剥开或在其内部贯穿其内部钻孔以及恢复原状的费用，并应将此费用加到合同价格上，然后通知承包人并抄送发包人。除此之外，一切费用应由承包人承担。</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3588" w:name="_Toc10899"/>
      <w:bookmarkStart w:id="3589" w:name="_Toc517532138"/>
      <w:bookmarkStart w:id="3590" w:name="_Toc26631"/>
      <w:bookmarkStart w:id="3591" w:name="_Toc12130"/>
      <w:bookmarkStart w:id="3592" w:name="_Toc13818"/>
      <w:bookmarkStart w:id="3593" w:name="_Toc16902"/>
      <w:bookmarkStart w:id="3594" w:name="_Toc23753"/>
      <w:bookmarkStart w:id="3595" w:name="_Toc25194"/>
      <w:bookmarkStart w:id="3596" w:name="_Toc14044"/>
      <w:bookmarkStart w:id="3597" w:name="_Toc23890"/>
      <w:bookmarkStart w:id="3598" w:name="_Toc13232"/>
      <w:bookmarkStart w:id="3599" w:name="_Toc22416"/>
      <w:bookmarkStart w:id="3600" w:name="_Toc19202"/>
      <w:bookmarkStart w:id="3601" w:name="_Toc69113985"/>
      <w:bookmarkStart w:id="3602" w:name="_Toc29463"/>
      <w:bookmarkStart w:id="3603" w:name="_Toc18513"/>
      <w:bookmarkStart w:id="3604" w:name="_Toc2692"/>
      <w:bookmarkStart w:id="3605" w:name="_Toc517528700"/>
      <w:bookmarkStart w:id="3606" w:name="_Toc4959"/>
      <w:bookmarkStart w:id="3607" w:name="_Toc20076"/>
      <w:bookmarkStart w:id="3608" w:name="_Toc517530862"/>
      <w:bookmarkStart w:id="3609" w:name="_Toc24784"/>
      <w:r>
        <w:rPr>
          <w:rFonts w:hint="eastAsia" w:ascii="宋体" w:hAnsi="宋体" w:cs="宋体"/>
          <w:b/>
          <w:bCs/>
          <w:color w:val="auto"/>
          <w:sz w:val="28"/>
          <w:szCs w:val="28"/>
          <w:highlight w:val="none"/>
        </w:rPr>
        <w:t>9.5委托检查</w:t>
      </w:r>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监理人可以将材料或设备的检查和检验委托给一家独立的检验单位。按照第4.2.2条的规定，这样的委托应是有合同效力的，为此，该委托检验单位的检验结果应视为监理人完成的，监理人应至少提前7天将该委托书面通知承包人。委托检验的费用的支出按以下原则办理：</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(a)材料或设备检验结果为合格的，所发生的检验费用由发包人承担；</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(b)材料或设备检验结果为不合格的，所发生的检验费用由承包人承担。</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3610" w:name="_Toc698"/>
      <w:bookmarkStart w:id="3611" w:name="_Toc517528701"/>
      <w:bookmarkStart w:id="3612" w:name="_Toc69113986"/>
      <w:bookmarkStart w:id="3613" w:name="_Toc18698"/>
      <w:bookmarkStart w:id="3614" w:name="_Toc27989"/>
      <w:bookmarkStart w:id="3615" w:name="_Toc21246"/>
      <w:bookmarkStart w:id="3616" w:name="_Toc31550"/>
      <w:bookmarkStart w:id="3617" w:name="_Toc20018"/>
      <w:bookmarkStart w:id="3618" w:name="_Toc11136"/>
      <w:bookmarkStart w:id="3619" w:name="_Toc2233"/>
      <w:bookmarkStart w:id="3620" w:name="_Toc27746"/>
      <w:bookmarkStart w:id="3621" w:name="_Toc25621"/>
      <w:bookmarkStart w:id="3622" w:name="_Toc8255"/>
      <w:bookmarkStart w:id="3623" w:name="_Toc5943"/>
      <w:bookmarkStart w:id="3624" w:name="_Toc26796"/>
      <w:bookmarkStart w:id="3625" w:name="_Toc517532139"/>
      <w:bookmarkStart w:id="3626" w:name="_Toc10654"/>
      <w:bookmarkStart w:id="3627" w:name="_Toc5664"/>
      <w:bookmarkStart w:id="3628" w:name="_Toc19065"/>
      <w:bookmarkStart w:id="3629" w:name="_Toc517530863"/>
      <w:bookmarkStart w:id="3630" w:name="_Toc29800"/>
      <w:bookmarkStart w:id="3631" w:name="_Toc20929"/>
      <w:r>
        <w:rPr>
          <w:rFonts w:hint="eastAsia" w:ascii="宋体" w:hAnsi="宋体" w:cs="宋体"/>
          <w:b/>
          <w:bCs/>
          <w:color w:val="auto"/>
          <w:sz w:val="28"/>
          <w:szCs w:val="28"/>
          <w:highlight w:val="none"/>
        </w:rPr>
        <w:t>9.6检验费用</w:t>
      </w:r>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3632" w:name="_Toc8945"/>
      <w:bookmarkStart w:id="3633" w:name="_Toc6471"/>
      <w:bookmarkStart w:id="3634" w:name="_Toc27505"/>
      <w:bookmarkStart w:id="3635" w:name="_Toc10299"/>
      <w:bookmarkStart w:id="3636" w:name="_Toc24892"/>
      <w:bookmarkStart w:id="3637" w:name="_Toc517530864"/>
      <w:bookmarkStart w:id="3638" w:name="_Toc1220"/>
      <w:bookmarkStart w:id="3639" w:name="_Toc30266"/>
      <w:bookmarkStart w:id="3640" w:name="_Toc12842"/>
      <w:bookmarkStart w:id="3641" w:name="_Toc6790"/>
      <w:bookmarkStart w:id="3642" w:name="_Toc517532140"/>
      <w:bookmarkStart w:id="3643" w:name="_Toc29012"/>
      <w:bookmarkStart w:id="3644" w:name="_Toc10699"/>
      <w:bookmarkStart w:id="3645" w:name="_Toc24129"/>
      <w:bookmarkStart w:id="3646" w:name="_Toc21671"/>
      <w:bookmarkStart w:id="3647" w:name="_Toc17154"/>
      <w:bookmarkStart w:id="3648" w:name="_Toc24244"/>
      <w:bookmarkStart w:id="3649" w:name="_Toc13830"/>
      <w:bookmarkStart w:id="3650" w:name="_Toc3414"/>
      <w:bookmarkStart w:id="3651" w:name="_Toc20016"/>
      <w:r>
        <w:rPr>
          <w:rFonts w:hint="eastAsia" w:ascii="宋体" w:hAnsi="宋体" w:cs="宋体"/>
          <w:b/>
          <w:bCs/>
          <w:color w:val="auto"/>
          <w:sz w:val="24"/>
          <w:szCs w:val="24"/>
          <w:highlight w:val="none"/>
        </w:rPr>
        <w:t>9.6.1有约定的检验费用</w:t>
      </w:r>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如果检验属于下述情况，则进行检验的费用由承包人负担:</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(a)在合同中明确规定的；</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(b)在合同中特别指出的，并作出了足够详细的说明，使承包人能在其投标文件中报价或便于报价的（如荷载试验，或旨在确认已竣工或部分竣工的工程的设计是否达到预定目的的检验）。</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3652" w:name="_Toc17597"/>
      <w:bookmarkStart w:id="3653" w:name="_Toc517530865"/>
      <w:bookmarkStart w:id="3654" w:name="_Toc11572"/>
      <w:bookmarkStart w:id="3655" w:name="_Toc30635"/>
      <w:bookmarkStart w:id="3656" w:name="_Toc23292"/>
      <w:bookmarkStart w:id="3657" w:name="_Toc28510"/>
      <w:bookmarkStart w:id="3658" w:name="_Toc18252"/>
      <w:bookmarkStart w:id="3659" w:name="_Toc28306"/>
      <w:bookmarkStart w:id="3660" w:name="_Toc9827"/>
      <w:bookmarkStart w:id="3661" w:name="_Toc517532141"/>
      <w:bookmarkStart w:id="3662" w:name="_Toc18672"/>
      <w:bookmarkStart w:id="3663" w:name="_Toc4701"/>
      <w:bookmarkStart w:id="3664" w:name="_Toc31610"/>
      <w:bookmarkStart w:id="3665" w:name="_Toc22391"/>
      <w:bookmarkStart w:id="3666" w:name="_Toc15747"/>
      <w:bookmarkStart w:id="3667" w:name="_Toc26064"/>
      <w:bookmarkStart w:id="3668" w:name="_Toc27400"/>
      <w:bookmarkStart w:id="3669" w:name="_Toc20410"/>
      <w:bookmarkStart w:id="3670" w:name="_Toc28831"/>
      <w:bookmarkStart w:id="3671" w:name="_Toc21404"/>
      <w:r>
        <w:rPr>
          <w:rFonts w:hint="eastAsia" w:ascii="宋体" w:hAnsi="宋体" w:cs="宋体"/>
          <w:b/>
          <w:bCs/>
          <w:color w:val="auto"/>
          <w:sz w:val="24"/>
          <w:szCs w:val="24"/>
          <w:highlight w:val="none"/>
        </w:rPr>
        <w:t>9.6.2未约定的检验费用</w:t>
      </w:r>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如果监理人所要求做的试验为：</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(a)合同未曾指明或规定的；</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(b)（在上款所述情况下）没有特别指出的；</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(c)（虽已指明或规定）但监理人所要求做的检验是在被检验材料或设备的制造、加工、制配场地以外的任何其他场所进行，</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在上述任一情况下所要求的检验，如表明操作工艺或材料没有达到合同要求的标准，则其费用由承包人承担。</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3672" w:name="_Toc3129"/>
      <w:bookmarkStart w:id="3673" w:name="_Toc23231"/>
      <w:bookmarkStart w:id="3674" w:name="_Toc23060"/>
      <w:bookmarkStart w:id="3675" w:name="_Toc30403"/>
      <w:bookmarkStart w:id="3676" w:name="_Toc9883"/>
      <w:bookmarkStart w:id="3677" w:name="_Toc7019"/>
      <w:bookmarkStart w:id="3678" w:name="_Toc10522"/>
      <w:bookmarkStart w:id="3679" w:name="_Toc24276"/>
      <w:bookmarkStart w:id="3680" w:name="_Toc1189"/>
      <w:bookmarkStart w:id="3681" w:name="_Toc32747"/>
      <w:bookmarkStart w:id="3682" w:name="_Toc22552"/>
      <w:bookmarkStart w:id="3683" w:name="_Toc517530866"/>
      <w:bookmarkStart w:id="3684" w:name="_Toc20944"/>
      <w:bookmarkStart w:id="3685" w:name="_Toc28199"/>
      <w:bookmarkStart w:id="3686" w:name="_Toc517532142"/>
      <w:bookmarkStart w:id="3687" w:name="_Toc24504"/>
      <w:bookmarkStart w:id="3688" w:name="_Toc11373"/>
      <w:r>
        <w:rPr>
          <w:rFonts w:hint="eastAsia" w:ascii="宋体" w:hAnsi="宋体" w:cs="宋体"/>
          <w:b/>
          <w:bCs/>
          <w:color w:val="auto"/>
          <w:sz w:val="24"/>
          <w:szCs w:val="24"/>
          <w:highlight w:val="none"/>
        </w:rPr>
        <w:t>9.6.3监理人未规定的检验的决定</w:t>
      </w:r>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根据第9.6.2条(a)、(b)、(c)所做的检验，若结果表明达到合同要求的标准，则监理人应在与发包人和承包人适当协商后，承包人有权获得：</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(a)根据第7.6条的规定承包人应得的延长工期；</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(b)应该加到合同价格上的上述费用款额；</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上述确定应通知承包人，抄送发包人。</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3689" w:name="_Toc7916"/>
      <w:bookmarkStart w:id="3690" w:name="_Toc69113987"/>
      <w:bookmarkStart w:id="3691" w:name="_Toc26297"/>
      <w:bookmarkStart w:id="3692" w:name="_Toc14758"/>
      <w:bookmarkStart w:id="3693" w:name="_Toc11814"/>
      <w:bookmarkStart w:id="3694" w:name="_Toc20285"/>
      <w:bookmarkStart w:id="3695" w:name="_Toc23164"/>
      <w:bookmarkStart w:id="3696" w:name="_Toc10277"/>
      <w:bookmarkStart w:id="3697" w:name="_Toc3788"/>
      <w:bookmarkStart w:id="3698" w:name="_Toc517532143"/>
      <w:bookmarkStart w:id="3699" w:name="_Toc517530867"/>
      <w:bookmarkStart w:id="3700" w:name="_Toc517528702"/>
      <w:bookmarkStart w:id="3701" w:name="_Toc12552"/>
      <w:bookmarkStart w:id="3702" w:name="_Toc4105"/>
      <w:bookmarkStart w:id="3703" w:name="_Toc16997"/>
      <w:bookmarkStart w:id="3704" w:name="_Toc10869"/>
      <w:bookmarkStart w:id="3705" w:name="_Toc7253"/>
      <w:bookmarkStart w:id="3706" w:name="_Toc26147"/>
      <w:bookmarkStart w:id="3707" w:name="_Toc22932"/>
      <w:r>
        <w:rPr>
          <w:rFonts w:hint="eastAsia" w:ascii="宋体" w:hAnsi="宋体" w:cs="宋体"/>
          <w:b/>
          <w:bCs/>
          <w:color w:val="auto"/>
          <w:sz w:val="28"/>
          <w:szCs w:val="28"/>
          <w:highlight w:val="none"/>
        </w:rPr>
        <w:t>9.7样品</w:t>
      </w:r>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检验全部样品应由监理人依据相关规定抽取，其费用由承包人承担。</w:t>
      </w:r>
    </w:p>
    <w:p>
      <w:pPr>
        <w:keepNext/>
        <w:keepLines/>
        <w:spacing w:before="156" w:beforeLines="50" w:after="156" w:afterLines="50" w:line="360" w:lineRule="auto"/>
        <w:ind w:firstLine="600" w:firstLineChars="200"/>
        <w:outlineLvl w:val="1"/>
        <w:rPr>
          <w:rFonts w:ascii="宋体" w:hAnsi="宋体" w:cs="宋体"/>
          <w:b/>
          <w:bCs/>
          <w:color w:val="auto"/>
          <w:sz w:val="30"/>
          <w:szCs w:val="30"/>
          <w:highlight w:val="none"/>
        </w:rPr>
      </w:pPr>
      <w:bookmarkStart w:id="3708" w:name="_Toc351203567"/>
      <w:bookmarkStart w:id="3709" w:name="_Toc19641"/>
      <w:bookmarkStart w:id="3710" w:name="_Toc465237219"/>
      <w:bookmarkStart w:id="3711" w:name="_Toc31817"/>
      <w:bookmarkStart w:id="3712" w:name="_Toc24573"/>
      <w:bookmarkStart w:id="3713" w:name="_Toc465237121"/>
      <w:bookmarkStart w:id="3714" w:name="_Toc17097"/>
      <w:bookmarkStart w:id="3715" w:name="_Toc4227"/>
      <w:bookmarkStart w:id="3716" w:name="_Toc517528703"/>
      <w:bookmarkStart w:id="3717" w:name="_Toc9778"/>
      <w:bookmarkStart w:id="3718" w:name="_Toc9228"/>
      <w:bookmarkStart w:id="3719" w:name="_Toc517529743"/>
      <w:bookmarkStart w:id="3720" w:name="_Toc30294"/>
      <w:bookmarkStart w:id="3721" w:name="_Toc19501"/>
      <w:bookmarkStart w:id="3722" w:name="_Toc28958"/>
      <w:bookmarkStart w:id="3723" w:name="_Toc15055"/>
      <w:bookmarkStart w:id="3724" w:name="_Toc19704"/>
      <w:bookmarkStart w:id="3725" w:name="_Toc28477"/>
      <w:bookmarkStart w:id="3726" w:name="_Toc23839"/>
      <w:bookmarkStart w:id="3727" w:name="_Toc9069"/>
      <w:bookmarkStart w:id="3728" w:name="_Toc517530868"/>
      <w:bookmarkStart w:id="3729" w:name="_Toc69113988"/>
      <w:bookmarkStart w:id="3730" w:name="_Toc23569"/>
      <w:bookmarkStart w:id="3731" w:name="_Toc26652"/>
      <w:bookmarkStart w:id="3732" w:name="_Toc25403"/>
      <w:bookmarkStart w:id="3733" w:name="_Toc517532144"/>
      <w:bookmarkStart w:id="3734" w:name="_Toc337558787"/>
      <w:r>
        <w:rPr>
          <w:rFonts w:hint="eastAsia" w:ascii="宋体" w:hAnsi="宋体" w:cs="宋体"/>
          <w:b/>
          <w:bCs/>
          <w:color w:val="auto"/>
          <w:sz w:val="30"/>
          <w:szCs w:val="30"/>
          <w:highlight w:val="none"/>
        </w:rPr>
        <w:t>10.</w:t>
      </w:r>
      <w:bookmarkEnd w:id="3432"/>
      <w:bookmarkEnd w:id="3433"/>
      <w:bookmarkEnd w:id="3708"/>
      <w:r>
        <w:rPr>
          <w:rFonts w:hint="eastAsia" w:ascii="宋体" w:hAnsi="宋体" w:cs="宋体"/>
          <w:b/>
          <w:bCs/>
          <w:color w:val="auto"/>
          <w:sz w:val="30"/>
          <w:szCs w:val="30"/>
          <w:highlight w:val="none"/>
        </w:rPr>
        <w:t xml:space="preserve"> 变更</w:t>
      </w:r>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3735" w:name="_Toc32588"/>
      <w:bookmarkStart w:id="3736" w:name="_Toc517530869"/>
      <w:bookmarkStart w:id="3737" w:name="_Toc1838"/>
      <w:bookmarkStart w:id="3738" w:name="_Toc517532145"/>
      <w:bookmarkStart w:id="3739" w:name="_Toc31626"/>
      <w:bookmarkStart w:id="3740" w:name="_Toc12085"/>
      <w:bookmarkStart w:id="3741" w:name="_Toc10998"/>
      <w:bookmarkStart w:id="3742" w:name="_Toc28283"/>
      <w:bookmarkStart w:id="3743" w:name="_Toc5372"/>
      <w:bookmarkStart w:id="3744" w:name="_Toc23075"/>
      <w:bookmarkStart w:id="3745" w:name="_Toc6303"/>
      <w:bookmarkStart w:id="3746" w:name="_Toc28067"/>
      <w:bookmarkStart w:id="3747" w:name="_Toc222"/>
      <w:bookmarkStart w:id="3748" w:name="_Toc517528704"/>
      <w:bookmarkStart w:id="3749" w:name="_Toc12693"/>
      <w:bookmarkStart w:id="3750" w:name="_Toc31813"/>
      <w:bookmarkStart w:id="3751" w:name="_Toc7318"/>
      <w:bookmarkStart w:id="3752" w:name="_Toc11304"/>
      <w:bookmarkStart w:id="3753" w:name="_Toc8357"/>
      <w:bookmarkStart w:id="3754" w:name="_Toc21202"/>
      <w:bookmarkStart w:id="3755" w:name="_Toc69113989"/>
      <w:bookmarkStart w:id="3756" w:name="_Toc2319"/>
      <w:r>
        <w:rPr>
          <w:rFonts w:hint="eastAsia" w:ascii="宋体" w:hAnsi="宋体" w:cs="宋体"/>
          <w:b/>
          <w:bCs/>
          <w:color w:val="auto"/>
          <w:sz w:val="28"/>
          <w:szCs w:val="28"/>
          <w:highlight w:val="none"/>
        </w:rPr>
        <w:t>10.1变更的范围和权限</w:t>
      </w:r>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监理人如认为有必要时，可对本合同工程或其任何部分的形式、质量或数量做出变更，有权指令承包人进行下述任何工作：</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(a)增加或减少合同中包括的任何工作的数量；</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(b)取消任何此类工作；</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(c)改变任何此类工作的性质、质量或种类；</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(d)改变本工程任何部分的标高、线形、位置和尺寸；</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(e)完成本工程所必要的任何种类的附加工作；</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(f)改变本工程任何部分施工的规定顺序或时间安排；</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g</w:t>
      </w:r>
      <w:r>
        <w:rPr>
          <w:rFonts w:hint="eastAsia" w:ascii="宋体" w:hAnsi="宋体" w:cs="宋体"/>
          <w:color w:val="auto"/>
          <w:szCs w:val="21"/>
          <w:highlight w:val="none"/>
        </w:rPr>
        <w:t>)深化设计之后的工程量对比招标的工程量清单对应的规格、型号及工程量发生的变化。</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上述变更均不应以任何方式使合同作废或无效，所有这类变更（如果有）的结果应该根据第10条规定进行估价。但是，如果发出本工程的变更指令是因承包人过错、承包人违反合同或承包人责任造成的，则这种违约引起的任何额外费用由承包人承担。</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3757" w:name="_Toc5156"/>
      <w:bookmarkStart w:id="3758" w:name="_Toc5515"/>
      <w:bookmarkStart w:id="3759" w:name="_Toc16000"/>
      <w:bookmarkStart w:id="3760" w:name="_Toc5571"/>
      <w:bookmarkStart w:id="3761" w:name="_Toc23006"/>
      <w:bookmarkStart w:id="3762" w:name="_Toc14394"/>
      <w:bookmarkStart w:id="3763" w:name="_Toc31214"/>
      <w:bookmarkStart w:id="3764" w:name="_Toc69113990"/>
      <w:bookmarkStart w:id="3765" w:name="_Toc7361"/>
      <w:bookmarkStart w:id="3766" w:name="_Toc517532146"/>
      <w:bookmarkStart w:id="3767" w:name="_Toc4687"/>
      <w:bookmarkStart w:id="3768" w:name="_Toc19527"/>
      <w:bookmarkStart w:id="3769" w:name="_Toc2044"/>
      <w:bookmarkStart w:id="3770" w:name="_Toc7098"/>
      <w:bookmarkStart w:id="3771" w:name="_Toc24092"/>
      <w:bookmarkStart w:id="3772" w:name="_Toc9067"/>
      <w:bookmarkStart w:id="3773" w:name="_Toc28407"/>
      <w:bookmarkStart w:id="3774" w:name="_Toc517530870"/>
      <w:bookmarkStart w:id="3775" w:name="_Toc11734"/>
      <w:bookmarkStart w:id="3776" w:name="_Toc18846"/>
      <w:bookmarkStart w:id="3777" w:name="_Toc517528705"/>
      <w:bookmarkStart w:id="3778" w:name="_Toc18637"/>
      <w:r>
        <w:rPr>
          <w:rFonts w:hint="eastAsia" w:ascii="宋体" w:hAnsi="宋体" w:cs="宋体"/>
          <w:b/>
          <w:bCs/>
          <w:color w:val="auto"/>
          <w:sz w:val="28"/>
          <w:szCs w:val="28"/>
          <w:highlight w:val="none"/>
        </w:rPr>
        <w:t>10.2变更的指令</w:t>
      </w:r>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没有监理人的指令，承包人不能进行任何变更。但如果工程量的增减并非执行本条规定发出的指令的结果，而是由于其工程量超过或少于工程量清单中开列的数量，则该项增减不需任何指令。如果承包人为了便于组织施工，或为了施工安全、避免干扰等原因需采取相应的技术措施而提出的局部变更设计，除须得到监理人的</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批准外，由此而增加的费用应由承包人自行负担。变更程序，按照发包人制定或认定的工程变更管理文件及发包人要求进行。</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3779" w:name="_Toc23632"/>
      <w:bookmarkStart w:id="3780" w:name="_Toc1119"/>
      <w:bookmarkStart w:id="3781" w:name="_Toc21993"/>
      <w:bookmarkStart w:id="3782" w:name="_Toc517532147"/>
      <w:bookmarkStart w:id="3783" w:name="_Toc4021"/>
      <w:bookmarkStart w:id="3784" w:name="_Toc19444"/>
      <w:bookmarkStart w:id="3785" w:name="_Toc27256"/>
      <w:bookmarkStart w:id="3786" w:name="_Toc27084"/>
      <w:bookmarkStart w:id="3787" w:name="_Toc517530871"/>
      <w:bookmarkStart w:id="3788" w:name="_Toc29446"/>
      <w:bookmarkStart w:id="3789" w:name="_Toc24495"/>
      <w:bookmarkStart w:id="3790" w:name="_Toc2892"/>
      <w:bookmarkStart w:id="3791" w:name="_Toc20947"/>
      <w:bookmarkStart w:id="3792" w:name="_Toc14396"/>
      <w:bookmarkStart w:id="3793" w:name="_Toc30606"/>
      <w:bookmarkStart w:id="3794" w:name="_Toc29056"/>
      <w:bookmarkStart w:id="3795" w:name="_Toc517528706"/>
      <w:bookmarkStart w:id="3796" w:name="_Toc69113991"/>
      <w:bookmarkStart w:id="3797" w:name="_Toc6334"/>
      <w:bookmarkStart w:id="3798" w:name="_Toc17201"/>
      <w:bookmarkStart w:id="3799" w:name="_Toc14890"/>
      <w:bookmarkStart w:id="3800" w:name="_Toc14234"/>
      <w:r>
        <w:rPr>
          <w:rFonts w:hint="eastAsia" w:ascii="宋体" w:hAnsi="宋体" w:cs="宋体"/>
          <w:b/>
          <w:bCs/>
          <w:color w:val="auto"/>
          <w:sz w:val="28"/>
          <w:szCs w:val="28"/>
          <w:highlight w:val="none"/>
        </w:rPr>
        <w:t>10.3变更的估价</w:t>
      </w:r>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10条所指的所有变更和根据第10条要求确定的合同价格的任何增加额（就本条而言，称之为“变更的工作”），只要监理人认为适当，应以合同中规定的综合单价或总额价进行估价。如果合同并未包含任何适用于变更的工作的综合单价或总额价，则合同内的综合单价或总额价只要合理，可用作估价的基础，如果不适用，则监理人可要求承包人报预算书由监理人审核，再报送发包人或发包人指定的第三方确定后按本条的有关规定执行。在发包人或发包人指定的第三方最后确定之前，监理人可先确定暂时的综合单价或总额价，以便使暂付账款能够列入根据合同有关规定签发的证书中。</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工程量清单中，任何工程项目的实际计量的工程量，无论是高于还是低于工程量清单中开列的估算工程量，其单价（或总额价）均不作调整。工程量清单以外的工程项目，只要监理人认为适当：</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(a)若工程量清单有相同项目单价，应按工程量清单单价进行计价；</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(b)若工程量清单有类似项目单价，可按类似项目单价进行计价；</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c)若工程量清单无类似项目单价，或类似单价不适用时，需重新定价。定价原则为：有信息价的主要材料设备采用施工期信息价(不执行合同专用条款11.1条)，人工、机械等按截标当日已发布的最新一期《深圳建设工程价格信息》信息价，之后再按净下浮率下浮作为结算价；无信息价的主要材料设备通过市场询价或竞价方式定价，由承包人按发包人的《五方询价管理办法》执行。</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下浮比例为投标总价的净下浮率，即净下浮率=[1-(投标总价-不可竞争费)/(公示的招标控制价-不可竞争费)]*100%。</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(a)、(b)款中，如发包人在招标阶段已对承包人的投标价格进行调整的，则执行调整后的清单单价。</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3801" w:name="_Toc6189"/>
      <w:bookmarkStart w:id="3802" w:name="_Toc26569"/>
      <w:bookmarkStart w:id="3803" w:name="_Toc24590"/>
      <w:bookmarkStart w:id="3804" w:name="_Toc31207"/>
      <w:bookmarkStart w:id="3805" w:name="_Toc17592"/>
      <w:bookmarkStart w:id="3806" w:name="_Toc3267"/>
      <w:bookmarkStart w:id="3807" w:name="_Toc20843"/>
      <w:bookmarkStart w:id="3808" w:name="_Toc2258"/>
      <w:bookmarkStart w:id="3809" w:name="_Toc12060"/>
      <w:bookmarkStart w:id="3810" w:name="_Toc564"/>
      <w:bookmarkStart w:id="3811" w:name="_Toc1469"/>
      <w:bookmarkStart w:id="3812" w:name="_Toc24299"/>
      <w:bookmarkStart w:id="3813" w:name="_Toc29186"/>
      <w:bookmarkStart w:id="3814" w:name="_Toc517528707"/>
      <w:bookmarkStart w:id="3815" w:name="_Toc4463"/>
      <w:bookmarkStart w:id="3816" w:name="_Toc20127"/>
      <w:bookmarkStart w:id="3817" w:name="_Toc69113992"/>
      <w:bookmarkStart w:id="3818" w:name="_Toc22408"/>
      <w:bookmarkStart w:id="3819" w:name="_Toc517532148"/>
      <w:bookmarkStart w:id="3820" w:name="_Toc8332"/>
      <w:bookmarkStart w:id="3821" w:name="_Toc517530872"/>
      <w:bookmarkStart w:id="3822" w:name="_Toc19397"/>
      <w:r>
        <w:rPr>
          <w:rFonts w:hint="eastAsia" w:ascii="宋体" w:hAnsi="宋体" w:cs="宋体"/>
          <w:b/>
          <w:bCs/>
          <w:color w:val="auto"/>
          <w:sz w:val="28"/>
          <w:szCs w:val="28"/>
          <w:highlight w:val="none"/>
        </w:rPr>
        <w:t>10.4计日工</w:t>
      </w:r>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监理人如认为有必要，可以指令按计日工完成任何需变更的工作。对于这种变更的工作，应按合同中包括的计日工明细表中所定的项目，和承包人在其投标书中对此所报的单价或总额价，向承包人付款。承包人应向监理人提交已付款的凭证、收据或其他凭单，并应在订购材料之前，向监理人提交订货报价单，以供批准。</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对所有按计日工方式施工的工程，承包人应在该工程持续进行过程中，每天向监理人提交从事该项工作的所有工人的姓名、工种及工时的清单一式两份，以及表明该项工程所用的材料和承包人装备（计日工明细表中已包括了以附加百分比表示的承包人装备除外）的名称和数量的报表一式两份，如果清单和报表的内容正确或经同意时，应由监理人在每种清单和报表的一份上签字，并退还给承包人。</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每月结束时，承包人应向监理人送交一份所用劳务、材料和承包人装备（以上提到的除外）的附有价格的账单，除非已完全而准确地提交了上述清单与报表，否则承包人无权获得任何款项。但如监理人认为承包人由于某种原因不可能按上述规定报送清单或报表，监理人仍应有权核准并报发包人</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批准后为此种工作付款。此项付款可以是对该工程所用的劳务、材料和承包人装备按计日工计算的，也可以是按监理人认为是对该项工程公平合理的价值计算。</w:t>
      </w:r>
    </w:p>
    <w:p>
      <w:pPr>
        <w:keepNext/>
        <w:keepLines/>
        <w:spacing w:before="156" w:beforeLines="50" w:after="156" w:afterLines="50" w:line="360" w:lineRule="auto"/>
        <w:ind w:firstLine="600" w:firstLineChars="200"/>
        <w:outlineLvl w:val="1"/>
        <w:rPr>
          <w:rFonts w:ascii="宋体" w:hAnsi="宋体" w:cs="宋体"/>
          <w:b/>
          <w:bCs/>
          <w:color w:val="auto"/>
          <w:sz w:val="30"/>
          <w:szCs w:val="30"/>
          <w:highlight w:val="none"/>
        </w:rPr>
      </w:pPr>
      <w:bookmarkStart w:id="3823" w:name="_Toc1474"/>
      <w:bookmarkStart w:id="3824" w:name="_Toc517529744"/>
      <w:bookmarkStart w:id="3825" w:name="_Toc10918"/>
      <w:bookmarkStart w:id="3826" w:name="_Toc1464"/>
      <w:bookmarkStart w:id="3827" w:name="_Toc517532149"/>
      <w:bookmarkStart w:id="3828" w:name="_Toc517528708"/>
      <w:bookmarkStart w:id="3829" w:name="_Toc20534"/>
      <w:bookmarkStart w:id="3830" w:name="_Toc22052"/>
      <w:bookmarkStart w:id="3831" w:name="_Toc27079"/>
      <w:bookmarkStart w:id="3832" w:name="_Toc8715"/>
      <w:bookmarkStart w:id="3833" w:name="_Toc517530873"/>
      <w:bookmarkStart w:id="3834" w:name="_Toc69113993"/>
      <w:bookmarkStart w:id="3835" w:name="_Toc16630"/>
      <w:bookmarkStart w:id="3836" w:name="_Toc10723"/>
      <w:bookmarkStart w:id="3837" w:name="_Toc16236"/>
      <w:bookmarkStart w:id="3838" w:name="_Toc8988"/>
      <w:bookmarkStart w:id="3839" w:name="_Toc21108"/>
      <w:bookmarkStart w:id="3840" w:name="_Toc16184"/>
      <w:bookmarkStart w:id="3841" w:name="_Toc8726"/>
      <w:bookmarkStart w:id="3842" w:name="_Toc21251"/>
      <w:r>
        <w:rPr>
          <w:rFonts w:hint="eastAsia" w:ascii="宋体" w:hAnsi="宋体" w:cs="宋体"/>
          <w:b/>
          <w:bCs/>
          <w:color w:val="auto"/>
          <w:sz w:val="30"/>
          <w:szCs w:val="30"/>
          <w:highlight w:val="none"/>
        </w:rPr>
        <w:t>11. 价格调整</w:t>
      </w:r>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3843" w:name="_Toc13949"/>
      <w:bookmarkStart w:id="3844" w:name="_Toc25137"/>
      <w:bookmarkStart w:id="3845" w:name="_Toc15220"/>
      <w:bookmarkStart w:id="3846" w:name="_Toc28120"/>
      <w:bookmarkStart w:id="3847" w:name="_Toc15426"/>
      <w:bookmarkStart w:id="3848" w:name="_Toc3591"/>
      <w:bookmarkStart w:id="3849" w:name="_Toc517530874"/>
      <w:bookmarkStart w:id="3850" w:name="_Toc517532150"/>
      <w:bookmarkStart w:id="3851" w:name="_Toc26730"/>
      <w:bookmarkStart w:id="3852" w:name="_Toc517528709"/>
      <w:bookmarkStart w:id="3853" w:name="_Toc3672"/>
      <w:bookmarkStart w:id="3854" w:name="_Toc3667"/>
      <w:bookmarkStart w:id="3855" w:name="_Toc69113994"/>
      <w:bookmarkStart w:id="3856" w:name="_Toc22462"/>
      <w:bookmarkStart w:id="3857" w:name="_Toc31433"/>
      <w:bookmarkStart w:id="3858" w:name="_Toc13063"/>
      <w:bookmarkStart w:id="3859" w:name="_Toc14326"/>
      <w:bookmarkStart w:id="3860" w:name="_Toc7969"/>
      <w:bookmarkStart w:id="3861" w:name="_Toc8242"/>
      <w:r>
        <w:rPr>
          <w:rFonts w:hint="eastAsia" w:ascii="宋体" w:hAnsi="宋体" w:cs="宋体"/>
          <w:b/>
          <w:bCs/>
          <w:color w:val="auto"/>
          <w:sz w:val="28"/>
          <w:szCs w:val="28"/>
          <w:highlight w:val="none"/>
        </w:rPr>
        <w:t>11.1 市场变化引起的费用的增加或减少</w:t>
      </w:r>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在合同履行期间，随着劳务和（或）材料或影响工程施工成本的任何其他事项的价格涨落而引起费用增减时，应根据专用合同条款规定的价格调整公式给予调价，将此费用加到合同价格或从合同价格中扣除。</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3862" w:name="_Toc19498"/>
      <w:bookmarkStart w:id="3863" w:name="_Toc17653"/>
      <w:bookmarkStart w:id="3864" w:name="_Toc517530875"/>
      <w:bookmarkStart w:id="3865" w:name="_Toc28918"/>
      <w:bookmarkStart w:id="3866" w:name="_Toc13117"/>
      <w:bookmarkStart w:id="3867" w:name="_Toc18713"/>
      <w:bookmarkStart w:id="3868" w:name="_Toc15769"/>
      <w:bookmarkStart w:id="3869" w:name="_Toc1606"/>
      <w:bookmarkStart w:id="3870" w:name="_Toc517528710"/>
      <w:bookmarkStart w:id="3871" w:name="_Toc26180"/>
      <w:bookmarkStart w:id="3872" w:name="_Toc517532151"/>
      <w:bookmarkStart w:id="3873" w:name="_Toc23883"/>
      <w:bookmarkStart w:id="3874" w:name="_Toc22592"/>
      <w:bookmarkStart w:id="3875" w:name="_Toc12563"/>
      <w:bookmarkStart w:id="3876" w:name="_Toc24275"/>
      <w:bookmarkStart w:id="3877" w:name="_Toc25762"/>
      <w:bookmarkStart w:id="3878" w:name="_Toc18885"/>
      <w:bookmarkStart w:id="3879" w:name="_Toc16725"/>
      <w:bookmarkStart w:id="3880" w:name="_Toc69113995"/>
      <w:r>
        <w:rPr>
          <w:rFonts w:hint="eastAsia" w:ascii="宋体" w:hAnsi="宋体" w:cs="宋体"/>
          <w:b/>
          <w:bCs/>
          <w:color w:val="auto"/>
          <w:sz w:val="28"/>
          <w:szCs w:val="28"/>
          <w:highlight w:val="none"/>
        </w:rPr>
        <w:t xml:space="preserve">11.2 </w:t>
      </w:r>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r>
        <w:rPr>
          <w:rFonts w:hint="eastAsia" w:ascii="宋体" w:hAnsi="宋体" w:cs="宋体"/>
          <w:b/>
          <w:bCs/>
          <w:color w:val="auto"/>
          <w:sz w:val="28"/>
          <w:szCs w:val="28"/>
          <w:highlight w:val="none"/>
        </w:rPr>
        <w:t>法律法规的改变</w:t>
      </w:r>
      <w:bookmarkEnd w:id="3880"/>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合同签订后，因国家法律、法规、规章和政策的改变对合同价格产生影响的，合同价格应作调整。发包人和承包人应根据法律法规改变造成的实际影响，按照深圳市工程造价管理机构发布的相应办法进行调整。</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（2）按前款情形对合同价格进行调整时，因承包人原因导致工期延误的，在本合同约定竣工日期之后，合同价格调增的不予调整，合同价格调减的予以调整。</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（3）因承包人原因造成工期延误，在工期延误期间出现法律变化的，由此增加的费用和（或）延误的工期由承包人承担。</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（4）因法律变化引起的合同价格和工期调整，承发包双方无法达成一致的，按第20条[争议解决]处理。</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3881" w:name="_Toc271"/>
      <w:bookmarkStart w:id="3882" w:name="_Toc16874"/>
      <w:bookmarkStart w:id="3883" w:name="_Toc9900"/>
      <w:bookmarkStart w:id="3884" w:name="_Toc32666"/>
      <w:bookmarkStart w:id="3885" w:name="_Toc19241"/>
      <w:bookmarkStart w:id="3886" w:name="_Toc31291"/>
      <w:bookmarkStart w:id="3887" w:name="_Toc19320"/>
      <w:bookmarkStart w:id="3888" w:name="_Toc26336"/>
      <w:bookmarkStart w:id="3889" w:name="_Toc15287"/>
      <w:bookmarkStart w:id="3890" w:name="_Toc20331"/>
      <w:bookmarkStart w:id="3891" w:name="_Toc15496"/>
      <w:bookmarkStart w:id="3892" w:name="_Toc7496"/>
      <w:bookmarkStart w:id="3893" w:name="_Toc517532152"/>
      <w:bookmarkStart w:id="3894" w:name="_Toc14338"/>
      <w:bookmarkStart w:id="3895" w:name="_Toc69113996"/>
      <w:bookmarkStart w:id="3896" w:name="_Toc31219"/>
      <w:bookmarkStart w:id="3897" w:name="_Toc14400"/>
      <w:bookmarkStart w:id="3898" w:name="_Toc517528711"/>
      <w:bookmarkStart w:id="3899" w:name="_Toc517530876"/>
      <w:r>
        <w:rPr>
          <w:rFonts w:hint="eastAsia" w:ascii="宋体" w:hAnsi="宋体" w:cs="宋体"/>
          <w:b/>
          <w:bCs/>
          <w:color w:val="auto"/>
          <w:sz w:val="28"/>
          <w:szCs w:val="28"/>
          <w:highlight w:val="none"/>
        </w:rPr>
        <w:t>11.3 合同价格的调整</w:t>
      </w:r>
      <w:bookmarkEnd w:id="3881"/>
      <w:bookmarkEnd w:id="3882"/>
      <w:bookmarkEnd w:id="3883"/>
      <w:bookmarkEnd w:id="3884"/>
      <w:bookmarkEnd w:id="3885"/>
      <w:bookmarkEnd w:id="3886"/>
      <w:r>
        <w:rPr>
          <w:rFonts w:hint="eastAsia" w:ascii="宋体" w:hAnsi="宋体" w:cs="宋体"/>
          <w:b/>
          <w:bCs/>
          <w:color w:val="auto"/>
          <w:sz w:val="28"/>
          <w:szCs w:val="28"/>
          <w:highlight w:val="none"/>
        </w:rPr>
        <w:t>方式</w:t>
      </w:r>
      <w:bookmarkEnd w:id="3887"/>
      <w:bookmarkEnd w:id="3888"/>
      <w:bookmarkEnd w:id="3889"/>
      <w:bookmarkEnd w:id="3890"/>
      <w:bookmarkEnd w:id="3891"/>
      <w:bookmarkEnd w:id="3892"/>
      <w:bookmarkEnd w:id="3893"/>
      <w:bookmarkEnd w:id="3894"/>
      <w:bookmarkEnd w:id="3895"/>
      <w:bookmarkEnd w:id="3896"/>
      <w:bookmarkEnd w:id="3897"/>
      <w:bookmarkEnd w:id="3898"/>
      <w:bookmarkEnd w:id="3899"/>
    </w:p>
    <w:p>
      <w:pPr>
        <w:adjustRightInd w:val="0"/>
        <w:snapToGrid w:val="0"/>
        <w:spacing w:line="360" w:lineRule="auto"/>
        <w:ind w:firstLine="428" w:firstLineChars="200"/>
        <w:jc w:val="left"/>
        <w:rPr>
          <w:rFonts w:hint="eastAsia" w:ascii="宋体" w:hAnsi="宋体" w:cs="宋体"/>
          <w:bCs/>
          <w:color w:val="auto"/>
          <w:spacing w:val="2"/>
          <w:szCs w:val="21"/>
          <w:highlight w:val="none"/>
        </w:rPr>
      </w:pPr>
      <w:r>
        <w:rPr>
          <w:rFonts w:hint="eastAsia" w:ascii="宋体" w:hAnsi="宋体" w:cs="宋体"/>
          <w:bCs/>
          <w:color w:val="auto"/>
          <w:spacing w:val="2"/>
          <w:szCs w:val="21"/>
          <w:highlight w:val="none"/>
        </w:rPr>
        <w:t>合同各方应按照专用条款确定的合同价格调整原则来调整合同价格。</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3900" w:name="_Toc69113997"/>
      <w:r>
        <w:rPr>
          <w:rFonts w:hint="eastAsia" w:ascii="宋体" w:hAnsi="宋体" w:cs="宋体"/>
          <w:b/>
          <w:bCs/>
          <w:color w:val="auto"/>
          <w:sz w:val="28"/>
          <w:szCs w:val="28"/>
          <w:highlight w:val="none"/>
        </w:rPr>
        <w:t>11.4 不平衡报价</w:t>
      </w:r>
      <w:bookmarkEnd w:id="3900"/>
    </w:p>
    <w:p>
      <w:pPr>
        <w:adjustRightInd w:val="0"/>
        <w:snapToGrid w:val="0"/>
        <w:spacing w:line="360" w:lineRule="auto"/>
        <w:ind w:firstLine="428" w:firstLineChars="200"/>
        <w:jc w:val="left"/>
        <w:rPr>
          <w:rFonts w:hint="eastAsia" w:ascii="宋体" w:hAnsi="宋体" w:cs="宋体"/>
          <w:bCs/>
          <w:color w:val="auto"/>
          <w:spacing w:val="2"/>
          <w:szCs w:val="21"/>
          <w:highlight w:val="none"/>
        </w:rPr>
      </w:pPr>
      <w:r>
        <w:rPr>
          <w:rFonts w:hint="eastAsia" w:ascii="宋体" w:hAnsi="宋体" w:cs="宋体"/>
          <w:bCs/>
          <w:color w:val="auto"/>
          <w:spacing w:val="2"/>
          <w:szCs w:val="21"/>
          <w:highlight w:val="none"/>
        </w:rPr>
        <w:t>本工程单价若存在不平衡报价，按不平衡报价归档重新调整单价。</w:t>
      </w:r>
    </w:p>
    <w:p>
      <w:pPr>
        <w:adjustRightInd w:val="0"/>
        <w:snapToGrid w:val="0"/>
        <w:spacing w:line="360" w:lineRule="auto"/>
        <w:ind w:firstLine="428" w:firstLineChars="200"/>
        <w:jc w:val="left"/>
        <w:rPr>
          <w:rFonts w:hint="eastAsia" w:ascii="宋体" w:hAnsi="宋体" w:cs="宋体"/>
          <w:bCs/>
          <w:color w:val="auto"/>
          <w:spacing w:val="2"/>
          <w:szCs w:val="21"/>
          <w:highlight w:val="none"/>
        </w:rPr>
      </w:pPr>
      <w:r>
        <w:rPr>
          <w:rFonts w:hint="eastAsia" w:ascii="宋体" w:hAnsi="宋体" w:cs="宋体"/>
          <w:bCs/>
          <w:color w:val="auto"/>
          <w:spacing w:val="2"/>
          <w:szCs w:val="21"/>
          <w:highlight w:val="none"/>
        </w:rPr>
        <w:t>不平衡报价修订办法</w:t>
      </w:r>
    </w:p>
    <w:p>
      <w:pPr>
        <w:numPr>
          <w:ilvl w:val="0"/>
          <w:numId w:val="9"/>
        </w:numPr>
        <w:adjustRightInd w:val="0"/>
        <w:snapToGrid w:val="0"/>
        <w:spacing w:line="360" w:lineRule="auto"/>
        <w:ind w:firstLine="428" w:firstLineChars="200"/>
        <w:jc w:val="left"/>
        <w:rPr>
          <w:rFonts w:hint="eastAsia" w:ascii="宋体" w:hAnsi="宋体" w:cs="宋体"/>
          <w:bCs/>
          <w:color w:val="auto"/>
          <w:spacing w:val="2"/>
          <w:szCs w:val="21"/>
          <w:highlight w:val="none"/>
        </w:rPr>
      </w:pPr>
      <w:r>
        <w:rPr>
          <w:rFonts w:hint="eastAsia" w:ascii="宋体" w:hAnsi="宋体" w:cs="宋体"/>
          <w:bCs/>
          <w:color w:val="auto"/>
          <w:spacing w:val="2"/>
          <w:szCs w:val="21"/>
          <w:highlight w:val="none"/>
        </w:rPr>
        <w:t>不平衡报价修订办法</w:t>
      </w:r>
    </w:p>
    <w:p>
      <w:pPr>
        <w:adjustRightInd w:val="0"/>
        <w:snapToGrid w:val="0"/>
        <w:spacing w:line="360" w:lineRule="auto"/>
        <w:ind w:left="654"/>
        <w:jc w:val="left"/>
        <w:rPr>
          <w:rFonts w:hint="eastAsia" w:ascii="宋体" w:hAnsi="宋体" w:cs="宋体"/>
          <w:bCs/>
          <w:color w:val="auto"/>
          <w:spacing w:val="2"/>
          <w:szCs w:val="21"/>
          <w:highlight w:val="none"/>
        </w:rPr>
      </w:pPr>
      <w:r>
        <w:rPr>
          <w:rFonts w:hint="eastAsia" w:ascii="宋体" w:hAnsi="宋体" w:cs="宋体"/>
          <w:bCs/>
          <w:color w:val="auto"/>
          <w:spacing w:val="2"/>
          <w:szCs w:val="21"/>
          <w:highlight w:val="none"/>
        </w:rPr>
        <w:t>a.投标综合单价超出招标控制价中对应综合单价的5%；</w:t>
      </w:r>
    </w:p>
    <w:p>
      <w:pPr>
        <w:adjustRightInd w:val="0"/>
        <w:snapToGrid w:val="0"/>
        <w:spacing w:line="360" w:lineRule="auto"/>
        <w:ind w:left="654"/>
        <w:jc w:val="left"/>
        <w:rPr>
          <w:rFonts w:ascii="宋体" w:hAnsi="宋体" w:cs="宋体"/>
          <w:bCs/>
          <w:color w:val="auto"/>
          <w:spacing w:val="2"/>
          <w:szCs w:val="21"/>
          <w:highlight w:val="none"/>
        </w:rPr>
      </w:pPr>
      <w:r>
        <w:rPr>
          <w:rFonts w:hint="eastAsia" w:ascii="宋体" w:hAnsi="宋体" w:cs="宋体"/>
          <w:bCs/>
          <w:color w:val="auto"/>
          <w:spacing w:val="2"/>
          <w:szCs w:val="21"/>
          <w:highlight w:val="none"/>
        </w:rPr>
        <w:t>b.投标综合单价相对于招标控制价按中标净下浮率下浮后的综合单价小于-30%（含-30%）。</w:t>
      </w:r>
    </w:p>
    <w:p>
      <w:pPr>
        <w:numPr>
          <w:ilvl w:val="0"/>
          <w:numId w:val="9"/>
        </w:numPr>
        <w:adjustRightInd w:val="0"/>
        <w:snapToGrid w:val="0"/>
        <w:spacing w:line="360" w:lineRule="auto"/>
        <w:ind w:firstLine="428" w:firstLineChars="200"/>
        <w:jc w:val="left"/>
        <w:rPr>
          <w:rFonts w:ascii="宋体" w:hAnsi="宋体" w:cs="宋体"/>
          <w:bCs/>
          <w:color w:val="auto"/>
          <w:spacing w:val="2"/>
          <w:szCs w:val="21"/>
          <w:highlight w:val="none"/>
        </w:rPr>
      </w:pPr>
      <w:r>
        <w:rPr>
          <w:rFonts w:hint="eastAsia" w:ascii="宋体" w:hAnsi="宋体" w:cs="宋体"/>
          <w:bCs/>
          <w:color w:val="auto"/>
          <w:spacing w:val="2"/>
          <w:szCs w:val="21"/>
          <w:highlight w:val="none"/>
        </w:rPr>
        <w:t>发包人对其认为投标报价明显不合理、不平衡的报价进行修正，修正后的综合单价作为合同单价，进行后期的款项支付和结算。</w:t>
      </w:r>
    </w:p>
    <w:p>
      <w:pPr>
        <w:adjustRightInd w:val="0"/>
        <w:snapToGrid w:val="0"/>
        <w:spacing w:line="360" w:lineRule="auto"/>
        <w:jc w:val="left"/>
        <w:rPr>
          <w:rFonts w:hint="eastAsia" w:ascii="宋体" w:hAnsi="宋体" w:cs="宋体"/>
          <w:bCs/>
          <w:color w:val="auto"/>
          <w:spacing w:val="2"/>
          <w:szCs w:val="21"/>
          <w:highlight w:val="none"/>
        </w:rPr>
      </w:pPr>
      <w:r>
        <w:rPr>
          <w:rFonts w:hint="eastAsia" w:ascii="宋体" w:hAnsi="宋体" w:cs="宋体"/>
          <w:bCs/>
          <w:color w:val="auto"/>
          <w:spacing w:val="2"/>
          <w:szCs w:val="21"/>
          <w:highlight w:val="none"/>
        </w:rPr>
        <w:t xml:space="preserve">     不平衡报价的修订原则：</w:t>
      </w:r>
    </w:p>
    <w:p>
      <w:pPr>
        <w:numPr>
          <w:ilvl w:val="0"/>
          <w:numId w:val="10"/>
        </w:numPr>
        <w:adjustRightInd w:val="0"/>
        <w:snapToGrid w:val="0"/>
        <w:spacing w:line="360" w:lineRule="auto"/>
        <w:jc w:val="left"/>
        <w:rPr>
          <w:rFonts w:hint="eastAsia" w:ascii="宋体" w:hAnsi="宋体" w:cs="宋体"/>
          <w:bCs/>
          <w:color w:val="auto"/>
          <w:spacing w:val="2"/>
          <w:szCs w:val="21"/>
          <w:highlight w:val="none"/>
        </w:rPr>
      </w:pPr>
      <w:r>
        <w:rPr>
          <w:rFonts w:hint="eastAsia" w:ascii="宋体" w:hAnsi="宋体" w:cs="宋体"/>
          <w:bCs/>
          <w:color w:val="auto"/>
          <w:spacing w:val="2"/>
          <w:szCs w:val="21"/>
          <w:highlight w:val="none"/>
        </w:rPr>
        <w:t>承包人投标综合单价超出招标控制价中对应的综合单价的5%的清单项，当实际工程量相对合同清单量增加时，就增加部分的工程量按修正后的综合单价执行；但实际工程量相对合同清单量减少时，仍按承包人投标综合单价执行。</w:t>
      </w:r>
    </w:p>
    <w:p>
      <w:pPr>
        <w:numPr>
          <w:ilvl w:val="0"/>
          <w:numId w:val="10"/>
        </w:numPr>
        <w:adjustRightInd w:val="0"/>
        <w:snapToGrid w:val="0"/>
        <w:spacing w:line="360" w:lineRule="auto"/>
        <w:jc w:val="left"/>
        <w:rPr>
          <w:rFonts w:ascii="宋体" w:hAnsi="宋体" w:cs="宋体"/>
          <w:bCs/>
          <w:color w:val="auto"/>
          <w:spacing w:val="2"/>
          <w:szCs w:val="21"/>
          <w:highlight w:val="none"/>
        </w:rPr>
      </w:pPr>
      <w:r>
        <w:rPr>
          <w:rFonts w:hint="eastAsia" w:ascii="宋体" w:hAnsi="宋体" w:cs="宋体"/>
          <w:bCs/>
          <w:color w:val="auto"/>
          <w:spacing w:val="2"/>
          <w:szCs w:val="21"/>
          <w:highlight w:val="none"/>
        </w:rPr>
        <w:t>承包人投标综合单价小于上述规定的-30%（含-30%）的清单项，视为不足部分含在本工程的其他报价中，由此产生的风险由承包人自行承担，不随该清单项实际工程量的增加而调整；但实际工程量相对合同清单量减少时，就减少部分的工程量按修正后的综合单价执行；</w:t>
      </w:r>
    </w:p>
    <w:p>
      <w:pPr>
        <w:numPr>
          <w:ilvl w:val="0"/>
          <w:numId w:val="10"/>
        </w:numPr>
        <w:adjustRightInd w:val="0"/>
        <w:snapToGrid w:val="0"/>
        <w:spacing w:line="360" w:lineRule="auto"/>
        <w:jc w:val="left"/>
        <w:rPr>
          <w:rFonts w:ascii="宋体" w:hAnsi="宋体" w:cs="宋体"/>
          <w:bCs/>
          <w:color w:val="auto"/>
          <w:spacing w:val="2"/>
          <w:szCs w:val="21"/>
          <w:highlight w:val="none"/>
        </w:rPr>
      </w:pPr>
      <w:r>
        <w:rPr>
          <w:rFonts w:hint="eastAsia" w:ascii="宋体" w:hAnsi="宋体" w:cs="宋体"/>
          <w:bCs/>
          <w:color w:val="auto"/>
          <w:spacing w:val="2"/>
          <w:szCs w:val="21"/>
          <w:highlight w:val="none"/>
        </w:rPr>
        <w:t>修正后的综合单价=招标控制价按中标净下浮率下浮后的综合单价。</w:t>
      </w:r>
    </w:p>
    <w:bookmarkEnd w:id="3734"/>
    <w:p>
      <w:pPr>
        <w:keepNext/>
        <w:keepLines/>
        <w:spacing w:before="156" w:beforeLines="50" w:after="156" w:afterLines="50" w:line="360" w:lineRule="auto"/>
        <w:ind w:firstLine="600" w:firstLineChars="200"/>
        <w:outlineLvl w:val="1"/>
        <w:rPr>
          <w:rFonts w:ascii="宋体" w:hAnsi="宋体" w:cs="宋体"/>
          <w:b/>
          <w:bCs/>
          <w:color w:val="auto"/>
          <w:sz w:val="30"/>
          <w:szCs w:val="30"/>
          <w:highlight w:val="none"/>
        </w:rPr>
      </w:pPr>
      <w:bookmarkStart w:id="3901" w:name="_Toc351203580"/>
      <w:bookmarkStart w:id="3902" w:name="_Toc587"/>
      <w:bookmarkStart w:id="3903" w:name="_Toc20613"/>
      <w:bookmarkStart w:id="3904" w:name="_Toc29489"/>
      <w:bookmarkStart w:id="3905" w:name="_Toc517528712"/>
      <w:bookmarkStart w:id="3906" w:name="_Toc14895"/>
      <w:bookmarkStart w:id="3907" w:name="_Toc517529745"/>
      <w:bookmarkStart w:id="3908" w:name="_Toc14132"/>
      <w:bookmarkStart w:id="3909" w:name="_Toc22710"/>
      <w:bookmarkStart w:id="3910" w:name="_Toc15726"/>
      <w:bookmarkStart w:id="3911" w:name="_Toc17960"/>
      <w:bookmarkStart w:id="3912" w:name="_Toc30907"/>
      <w:bookmarkStart w:id="3913" w:name="_Toc23043"/>
      <w:bookmarkStart w:id="3914" w:name="_Toc19275"/>
      <w:bookmarkStart w:id="3915" w:name="_Toc13675"/>
      <w:bookmarkStart w:id="3916" w:name="_Toc26572"/>
      <w:bookmarkStart w:id="3917" w:name="_Toc465237122"/>
      <w:bookmarkStart w:id="3918" w:name="_Toc517530877"/>
      <w:bookmarkStart w:id="3919" w:name="_Toc31595"/>
      <w:bookmarkStart w:id="3920" w:name="_Toc517532153"/>
      <w:bookmarkStart w:id="3921" w:name="_Toc69113998"/>
      <w:bookmarkStart w:id="3922" w:name="_Toc780"/>
      <w:bookmarkStart w:id="3923" w:name="_Toc2145"/>
      <w:bookmarkStart w:id="3924" w:name="_Toc4332"/>
      <w:bookmarkStart w:id="3925" w:name="_Toc465237220"/>
      <w:bookmarkStart w:id="3926" w:name="_Toc26423"/>
      <w:bookmarkStart w:id="3927" w:name="_Toc337558799"/>
      <w:bookmarkStart w:id="3928" w:name="_Toc296503096"/>
      <w:bookmarkStart w:id="3929" w:name="_Toc296346597"/>
      <w:r>
        <w:rPr>
          <w:rFonts w:hint="eastAsia" w:ascii="宋体" w:hAnsi="宋体" w:cs="宋体"/>
          <w:b/>
          <w:bCs/>
          <w:color w:val="auto"/>
          <w:sz w:val="30"/>
          <w:szCs w:val="30"/>
          <w:highlight w:val="none"/>
        </w:rPr>
        <w:t>12.</w:t>
      </w:r>
      <w:bookmarkEnd w:id="3901"/>
      <w:r>
        <w:rPr>
          <w:rFonts w:hint="eastAsia" w:ascii="宋体" w:hAnsi="宋体" w:cs="宋体"/>
          <w:b/>
          <w:bCs/>
          <w:color w:val="auto"/>
          <w:sz w:val="30"/>
          <w:szCs w:val="30"/>
          <w:highlight w:val="none"/>
        </w:rPr>
        <w:t xml:space="preserve"> 合同价格、计量与支付</w:t>
      </w:r>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3930" w:name="_Toc30889"/>
      <w:bookmarkStart w:id="3931" w:name="_Toc21830"/>
      <w:bookmarkStart w:id="3932" w:name="_Toc517532154"/>
      <w:bookmarkStart w:id="3933" w:name="_Toc11195"/>
      <w:bookmarkStart w:id="3934" w:name="_Toc517528713"/>
      <w:bookmarkStart w:id="3935" w:name="_Toc26203"/>
      <w:bookmarkStart w:id="3936" w:name="_Toc15199"/>
      <w:bookmarkStart w:id="3937" w:name="_Toc5769"/>
      <w:bookmarkStart w:id="3938" w:name="_Toc12779"/>
      <w:bookmarkStart w:id="3939" w:name="_Toc29339"/>
      <w:bookmarkStart w:id="3940" w:name="_Toc8729"/>
      <w:bookmarkStart w:id="3941" w:name="_Toc9539"/>
      <w:bookmarkStart w:id="3942" w:name="_Toc14413"/>
      <w:bookmarkStart w:id="3943" w:name="_Toc465237221"/>
      <w:bookmarkStart w:id="3944" w:name="_Toc69113999"/>
      <w:bookmarkStart w:id="3945" w:name="_Toc27979"/>
      <w:bookmarkStart w:id="3946" w:name="_Toc465237123"/>
      <w:bookmarkStart w:id="3947" w:name="_Toc18176"/>
      <w:bookmarkStart w:id="3948" w:name="_Toc25565"/>
      <w:bookmarkStart w:id="3949" w:name="_Toc14337"/>
      <w:bookmarkStart w:id="3950" w:name="_Toc17664"/>
      <w:bookmarkStart w:id="3951" w:name="_Toc20232"/>
      <w:bookmarkStart w:id="3952" w:name="_Toc517530878"/>
      <w:bookmarkStart w:id="3953" w:name="_Toc15114"/>
      <w:r>
        <w:rPr>
          <w:rFonts w:hint="eastAsia" w:ascii="宋体" w:hAnsi="宋体" w:cs="宋体"/>
          <w:b/>
          <w:bCs/>
          <w:color w:val="auto"/>
          <w:sz w:val="28"/>
          <w:szCs w:val="28"/>
          <w:highlight w:val="none"/>
        </w:rPr>
        <w:t>12.1 合同价格和费用</w:t>
      </w:r>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3954" w:name="_Toc1004"/>
      <w:bookmarkStart w:id="3955" w:name="_Toc20342"/>
      <w:bookmarkStart w:id="3956" w:name="_Toc28050"/>
      <w:bookmarkStart w:id="3957" w:name="_Toc10313"/>
      <w:bookmarkStart w:id="3958" w:name="_Toc465237124"/>
      <w:bookmarkStart w:id="3959" w:name="_Toc20039"/>
      <w:bookmarkStart w:id="3960" w:name="_Toc5224"/>
      <w:bookmarkStart w:id="3961" w:name="_Toc517530879"/>
      <w:bookmarkStart w:id="3962" w:name="_Toc29157"/>
      <w:bookmarkStart w:id="3963" w:name="_Toc16745"/>
      <w:bookmarkStart w:id="3964" w:name="_Toc19656"/>
      <w:bookmarkStart w:id="3965" w:name="_Toc19268"/>
      <w:bookmarkStart w:id="3966" w:name="_Toc27947"/>
      <w:bookmarkStart w:id="3967" w:name="_Toc25567"/>
      <w:bookmarkStart w:id="3968" w:name="_Toc32433"/>
      <w:bookmarkStart w:id="3969" w:name="_Toc13031"/>
      <w:bookmarkStart w:id="3970" w:name="_Toc29600"/>
      <w:bookmarkStart w:id="3971" w:name="_Toc18156"/>
      <w:bookmarkStart w:id="3972" w:name="_Toc517532155"/>
      <w:bookmarkStart w:id="3973" w:name="_Toc28877"/>
      <w:bookmarkStart w:id="3974" w:name="_Toc14293"/>
      <w:r>
        <w:rPr>
          <w:rFonts w:hint="eastAsia" w:ascii="宋体" w:hAnsi="宋体" w:cs="宋体"/>
          <w:b/>
          <w:bCs/>
          <w:color w:val="auto"/>
          <w:sz w:val="24"/>
          <w:szCs w:val="24"/>
          <w:highlight w:val="none"/>
        </w:rPr>
        <w:t>12.1.1合同价格的合理性</w:t>
      </w:r>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确认，其在送交投标文件前，对本合同工程的投标文件和标价的工程量清单中开列的综合单价和总额价的正确性与完备性是认可的。除在合同中另有规定外，投标的综合单价和总额价应已包括了承包人为履行合同中规定的全部义务（包括提供货物、材料、设备、服务的义务，并包括处理意外事件的义务）以及为实施和完成本合同工程和其缺陷修复所必需的一切工作和事宜的价款。</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3975" w:name="_Toc9089"/>
      <w:bookmarkStart w:id="3976" w:name="_Toc9580"/>
      <w:bookmarkStart w:id="3977" w:name="_Toc7197"/>
      <w:bookmarkStart w:id="3978" w:name="_Toc1190"/>
      <w:bookmarkStart w:id="3979" w:name="_Toc27383"/>
      <w:bookmarkStart w:id="3980" w:name="_Toc401"/>
      <w:bookmarkStart w:id="3981" w:name="_Toc83"/>
      <w:bookmarkStart w:id="3982" w:name="_Toc23886"/>
      <w:bookmarkStart w:id="3983" w:name="_Toc13904"/>
      <w:bookmarkStart w:id="3984" w:name="_Toc517530880"/>
      <w:bookmarkStart w:id="3985" w:name="_Toc517532156"/>
      <w:bookmarkStart w:id="3986" w:name="_Toc3468"/>
      <w:bookmarkStart w:id="3987" w:name="_Toc1909"/>
      <w:bookmarkStart w:id="3988" w:name="_Toc20071"/>
      <w:bookmarkStart w:id="3989" w:name="_Toc11872"/>
      <w:bookmarkStart w:id="3990" w:name="_Toc185"/>
      <w:bookmarkStart w:id="3991" w:name="_Toc3786"/>
      <w:bookmarkStart w:id="3992" w:name="_Toc21772"/>
      <w:bookmarkStart w:id="3993" w:name="_Toc12157"/>
      <w:bookmarkStart w:id="3994" w:name="_Toc8967"/>
      <w:r>
        <w:rPr>
          <w:rFonts w:hint="eastAsia" w:ascii="宋体" w:hAnsi="宋体" w:cs="宋体"/>
          <w:b/>
          <w:bCs/>
          <w:color w:val="auto"/>
          <w:sz w:val="24"/>
          <w:szCs w:val="24"/>
          <w:highlight w:val="none"/>
        </w:rPr>
        <w:t>12.1.2总额(包干)支付项的分目</w:t>
      </w:r>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为了根据第12.3.2条规定提交结账单，承包人收到中标通知书的28天之内，应向监理人提交包括在投标文件内的每个总额（包干）支付项的分目。该分目须经监理人的</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批准。</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3995" w:name="_Toc13736"/>
      <w:bookmarkStart w:id="3996" w:name="_Toc1213"/>
      <w:bookmarkStart w:id="3997" w:name="_Toc29890"/>
      <w:bookmarkStart w:id="3998" w:name="_Toc6495"/>
      <w:bookmarkStart w:id="3999" w:name="_Toc29732"/>
      <w:bookmarkStart w:id="4000" w:name="_Toc32380"/>
      <w:bookmarkStart w:id="4001" w:name="_Toc23045"/>
      <w:bookmarkStart w:id="4002" w:name="_Toc15153"/>
      <w:bookmarkStart w:id="4003" w:name="_Toc14257"/>
      <w:bookmarkStart w:id="4004" w:name="_Toc13239"/>
      <w:bookmarkStart w:id="4005" w:name="_Toc517530881"/>
      <w:bookmarkStart w:id="4006" w:name="_Toc12928"/>
      <w:bookmarkStart w:id="4007" w:name="_Toc517532157"/>
      <w:bookmarkStart w:id="4008" w:name="_Toc17780"/>
      <w:bookmarkStart w:id="4009" w:name="_Toc858"/>
      <w:bookmarkStart w:id="4010" w:name="_Toc14856"/>
      <w:bookmarkStart w:id="4011" w:name="_Toc22707"/>
      <w:bookmarkStart w:id="4012" w:name="_Toc2530"/>
      <w:bookmarkStart w:id="4013" w:name="_Toc19921"/>
      <w:bookmarkStart w:id="4014" w:name="_Toc15974"/>
      <w:r>
        <w:rPr>
          <w:rFonts w:hint="eastAsia" w:ascii="宋体" w:hAnsi="宋体" w:cs="宋体"/>
          <w:b/>
          <w:bCs/>
          <w:color w:val="auto"/>
          <w:sz w:val="24"/>
          <w:szCs w:val="24"/>
          <w:highlight w:val="none"/>
        </w:rPr>
        <w:t>12.1.3专业工程暂估价的最后确定</w:t>
      </w:r>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使用专业工程暂估价的项目有两类，其费用的最后确定方式是不相同的：</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该专项工程预算价未超过招标文件中所列的专业工程暂估价的：该专项工程施工前，承包人应按合同及规定做出预算书报监理人审核，再按10.3条款中工程量清单以外的项目的程序执行确定结算价，结算时应以暂估价为上限。</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（b）该专项工程预算价超过招标文件中所列的专业工程暂估价的：发包人通过公开招标方式重新确定该专项工程的承包人。</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4015" w:name="_Toc8219"/>
      <w:bookmarkStart w:id="4016" w:name="_Toc11324"/>
      <w:bookmarkStart w:id="4017" w:name="_Toc14216"/>
      <w:bookmarkStart w:id="4018" w:name="_Toc18676"/>
      <w:bookmarkStart w:id="4019" w:name="_Toc16710"/>
      <w:bookmarkStart w:id="4020" w:name="_Toc10343"/>
      <w:bookmarkStart w:id="4021" w:name="_Toc7640"/>
      <w:bookmarkStart w:id="4022" w:name="_Toc9473"/>
      <w:bookmarkStart w:id="4023" w:name="_Toc29230"/>
      <w:bookmarkStart w:id="4024" w:name="_Toc431"/>
      <w:bookmarkStart w:id="4025" w:name="_Toc5529"/>
      <w:bookmarkStart w:id="4026" w:name="_Toc28073"/>
      <w:bookmarkStart w:id="4027" w:name="_Toc22979"/>
      <w:bookmarkStart w:id="4028" w:name="_Toc27117"/>
      <w:bookmarkStart w:id="4029" w:name="_Toc32686"/>
      <w:bookmarkStart w:id="4030" w:name="_Toc29742"/>
      <w:bookmarkStart w:id="4031" w:name="_Toc17972"/>
      <w:bookmarkStart w:id="4032" w:name="_Toc517530882"/>
      <w:bookmarkStart w:id="4033" w:name="_Toc517532158"/>
      <w:bookmarkStart w:id="4034" w:name="_Toc14213"/>
      <w:r>
        <w:rPr>
          <w:rFonts w:hint="eastAsia" w:ascii="宋体" w:hAnsi="宋体" w:cs="宋体"/>
          <w:b/>
          <w:bCs/>
          <w:color w:val="auto"/>
          <w:sz w:val="24"/>
          <w:szCs w:val="24"/>
          <w:highlight w:val="none"/>
        </w:rPr>
        <w:t>12.1.4材料设备暂估价的最后确定</w:t>
      </w:r>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投标报价时采用的暂估价不作为结算依据。暂估价的最后确定均通过后期招标或询价方式进行（甲控乙供），同时需遵守深圳市相关主管部门的规定。结算时相应综合单价仅对主材价格及相关规费、税金进行调整（即补偿主材最终定价与暂估价间的差价），其它部分包干，不予调整。</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暂估价的最后确定的方式：</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（a）暂估价未达到法定应当招标限额的，按照深圳市相关主管部门的规定执行,根据具体情形采用询价采购、竞争性谈判等方式采购；</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 暂估价达到法定应当招标限额的，由承包人以公开招标方式进行定价，招标前相关技术标准和最高限价须报发包人审核确认。</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4035" w:name="_Toc26443"/>
      <w:bookmarkStart w:id="4036" w:name="_Toc11574"/>
      <w:bookmarkStart w:id="4037" w:name="_Toc13999"/>
      <w:bookmarkStart w:id="4038" w:name="_Toc28959"/>
      <w:bookmarkStart w:id="4039" w:name="_Toc517530883"/>
      <w:bookmarkStart w:id="4040" w:name="_Toc11714"/>
      <w:bookmarkStart w:id="4041" w:name="_Toc4442"/>
      <w:bookmarkStart w:id="4042" w:name="_Toc32736"/>
      <w:bookmarkStart w:id="4043" w:name="_Toc2553"/>
      <w:bookmarkStart w:id="4044" w:name="_Toc29501"/>
      <w:bookmarkStart w:id="4045" w:name="_Toc31437"/>
      <w:bookmarkStart w:id="4046" w:name="_Toc29481"/>
      <w:bookmarkStart w:id="4047" w:name="_Toc9142"/>
      <w:bookmarkStart w:id="4048" w:name="_Toc14349"/>
      <w:bookmarkStart w:id="4049" w:name="_Toc12823"/>
      <w:bookmarkStart w:id="4050" w:name="_Toc517532159"/>
      <w:bookmarkStart w:id="4051" w:name="_Toc25239"/>
      <w:bookmarkStart w:id="4052" w:name="_Toc13693"/>
      <w:bookmarkStart w:id="4053" w:name="_Toc9406"/>
      <w:bookmarkStart w:id="4054" w:name="_Toc15928"/>
      <w:r>
        <w:rPr>
          <w:rFonts w:hint="eastAsia" w:ascii="宋体" w:hAnsi="宋体" w:cs="宋体"/>
          <w:b/>
          <w:bCs/>
          <w:color w:val="auto"/>
          <w:sz w:val="24"/>
          <w:szCs w:val="24"/>
          <w:highlight w:val="none"/>
        </w:rPr>
        <w:t>12.1.5暂列金额的最后确定</w:t>
      </w:r>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暂列金额是发包人为可能发生的工程量变更而预留的金额，并非支付给承包人的实际费用。暂列金额的使用应按第10条规定并确定使用。</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4055" w:name="_Toc5994"/>
      <w:bookmarkStart w:id="4056" w:name="_Toc31867"/>
      <w:bookmarkStart w:id="4057" w:name="_Toc517530884"/>
      <w:bookmarkStart w:id="4058" w:name="_Toc1063"/>
      <w:bookmarkStart w:id="4059" w:name="_Toc465237222"/>
      <w:bookmarkStart w:id="4060" w:name="_Toc17309"/>
      <w:bookmarkStart w:id="4061" w:name="_Toc7972"/>
      <w:bookmarkStart w:id="4062" w:name="_Toc13285"/>
      <w:bookmarkStart w:id="4063" w:name="_Toc22071"/>
      <w:bookmarkStart w:id="4064" w:name="_Toc25419"/>
      <w:bookmarkStart w:id="4065" w:name="_Toc517532160"/>
      <w:bookmarkStart w:id="4066" w:name="_Toc517528714"/>
      <w:bookmarkStart w:id="4067" w:name="_Toc19059"/>
      <w:bookmarkStart w:id="4068" w:name="_Toc13381"/>
      <w:bookmarkStart w:id="4069" w:name="_Toc4086"/>
      <w:bookmarkStart w:id="4070" w:name="_Toc12444"/>
      <w:bookmarkStart w:id="4071" w:name="_Toc465237125"/>
      <w:bookmarkStart w:id="4072" w:name="_Toc8625"/>
      <w:bookmarkStart w:id="4073" w:name="_Toc18697"/>
      <w:bookmarkStart w:id="4074" w:name="_Toc17777"/>
      <w:bookmarkStart w:id="4075" w:name="_Toc22129"/>
      <w:bookmarkStart w:id="4076" w:name="_Toc18532"/>
      <w:bookmarkStart w:id="4077" w:name="_Toc27898"/>
      <w:bookmarkStart w:id="4078" w:name="_Toc69114000"/>
      <w:r>
        <w:rPr>
          <w:rFonts w:hint="eastAsia" w:ascii="宋体" w:hAnsi="宋体" w:cs="宋体"/>
          <w:b/>
          <w:bCs/>
          <w:color w:val="auto"/>
          <w:sz w:val="28"/>
          <w:szCs w:val="28"/>
          <w:highlight w:val="none"/>
        </w:rPr>
        <w:t>12.2工程量</w:t>
      </w:r>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4079" w:name="_Toc517530885"/>
      <w:bookmarkStart w:id="4080" w:name="_Toc14408"/>
      <w:bookmarkStart w:id="4081" w:name="_Toc16545"/>
      <w:bookmarkStart w:id="4082" w:name="_Toc22291"/>
      <w:bookmarkStart w:id="4083" w:name="_Toc27771"/>
      <w:bookmarkStart w:id="4084" w:name="_Toc32275"/>
      <w:bookmarkStart w:id="4085" w:name="_Toc517532161"/>
      <w:bookmarkStart w:id="4086" w:name="_Toc7541"/>
      <w:bookmarkStart w:id="4087" w:name="_Toc28954"/>
      <w:bookmarkStart w:id="4088" w:name="_Toc18755"/>
      <w:bookmarkStart w:id="4089" w:name="_Toc23948"/>
      <w:bookmarkStart w:id="4090" w:name="_Toc19845"/>
      <w:bookmarkStart w:id="4091" w:name="_Toc20618"/>
      <w:bookmarkStart w:id="4092" w:name="_Toc5169"/>
      <w:bookmarkStart w:id="4093" w:name="_Toc5660"/>
      <w:bookmarkStart w:id="4094" w:name="_Toc32101"/>
      <w:bookmarkStart w:id="4095" w:name="_Toc26072"/>
      <w:bookmarkStart w:id="4096" w:name="_Toc17655"/>
      <w:bookmarkStart w:id="4097" w:name="_Toc20886"/>
      <w:bookmarkStart w:id="4098" w:name="_Toc3825"/>
      <w:r>
        <w:rPr>
          <w:rFonts w:hint="eastAsia" w:ascii="宋体" w:hAnsi="宋体" w:cs="宋体"/>
          <w:b/>
          <w:bCs/>
          <w:color w:val="auto"/>
          <w:sz w:val="24"/>
          <w:szCs w:val="24"/>
          <w:highlight w:val="none"/>
        </w:rPr>
        <w:t>12.2.1工程量清单</w:t>
      </w:r>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工程量清单中开列的工程量是根据本工程的设计提供的预计工程量，其不能作为承包人在履行合同义务过程中应予完成工程的实际和准确的工程量。</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4099" w:name="_Toc2589"/>
      <w:bookmarkStart w:id="4100" w:name="_Toc18851"/>
      <w:bookmarkStart w:id="4101" w:name="_Toc7046"/>
      <w:bookmarkStart w:id="4102" w:name="_Toc13878"/>
      <w:bookmarkStart w:id="4103" w:name="_Toc16502"/>
      <w:bookmarkStart w:id="4104" w:name="_Toc15973"/>
      <w:bookmarkStart w:id="4105" w:name="_Toc28391"/>
      <w:bookmarkStart w:id="4106" w:name="_Toc29425"/>
      <w:bookmarkStart w:id="4107" w:name="_Toc517530886"/>
      <w:bookmarkStart w:id="4108" w:name="_Toc17674"/>
      <w:bookmarkStart w:id="4109" w:name="_Toc7836"/>
      <w:bookmarkStart w:id="4110" w:name="_Toc517532162"/>
      <w:bookmarkStart w:id="4111" w:name="_Toc17805"/>
      <w:bookmarkStart w:id="4112" w:name="_Toc15390"/>
      <w:bookmarkStart w:id="4113" w:name="_Toc19852"/>
      <w:bookmarkStart w:id="4114" w:name="_Toc10678"/>
      <w:bookmarkStart w:id="4115" w:name="_Toc16570"/>
      <w:bookmarkStart w:id="4116" w:name="_Toc16608"/>
      <w:bookmarkStart w:id="4117" w:name="_Toc23255"/>
      <w:bookmarkStart w:id="4118" w:name="_Toc15871"/>
      <w:r>
        <w:rPr>
          <w:rFonts w:hint="eastAsia" w:ascii="宋体" w:hAnsi="宋体" w:cs="宋体"/>
          <w:b/>
          <w:bCs/>
          <w:color w:val="auto"/>
          <w:sz w:val="24"/>
          <w:szCs w:val="24"/>
          <w:highlight w:val="none"/>
        </w:rPr>
        <w:t>12.2.2工程量清单的复核</w:t>
      </w:r>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合同签订之后</w:t>
      </w:r>
      <w:r>
        <w:rPr>
          <w:rFonts w:hint="eastAsia" w:ascii="宋体" w:hAnsi="宋体" w:cs="宋体"/>
          <w:color w:val="auto"/>
          <w:szCs w:val="21"/>
          <w:highlight w:val="none"/>
          <w:u w:val="single"/>
        </w:rPr>
        <w:t>120</w:t>
      </w:r>
      <w:r>
        <w:rPr>
          <w:rFonts w:hint="eastAsia" w:ascii="宋体" w:hAnsi="宋体" w:cs="宋体"/>
          <w:color w:val="auto"/>
          <w:szCs w:val="21"/>
          <w:highlight w:val="none"/>
        </w:rPr>
        <w:t>天内，承包人对工程量清单进行复核（以施工图为复核依据），复核结果报监理人、发包人核对确认。如果承包人不在规定时间内完成复核工作，发包人有权对其记录不良行为，或同时予以当期履约评价不合格的处理。</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4119" w:name="_Toc21086"/>
      <w:bookmarkStart w:id="4120" w:name="_Toc8218"/>
      <w:bookmarkStart w:id="4121" w:name="_Toc2821"/>
      <w:bookmarkStart w:id="4122" w:name="_Toc29067"/>
      <w:bookmarkStart w:id="4123" w:name="_Toc517530887"/>
      <w:bookmarkStart w:id="4124" w:name="_Toc15929"/>
      <w:bookmarkStart w:id="4125" w:name="_Toc8526"/>
      <w:bookmarkStart w:id="4126" w:name="_Toc16297"/>
      <w:bookmarkStart w:id="4127" w:name="_Toc517532163"/>
      <w:bookmarkStart w:id="4128" w:name="_Toc11965"/>
      <w:bookmarkStart w:id="4129" w:name="_Toc16851"/>
      <w:bookmarkStart w:id="4130" w:name="_Toc30458"/>
      <w:bookmarkStart w:id="4131" w:name="_Toc24393"/>
      <w:bookmarkStart w:id="4132" w:name="_Toc7641"/>
      <w:bookmarkStart w:id="4133" w:name="_Toc14266"/>
      <w:bookmarkStart w:id="4134" w:name="_Toc699"/>
      <w:bookmarkStart w:id="4135" w:name="_Toc22265"/>
      <w:bookmarkStart w:id="4136" w:name="_Toc8291"/>
      <w:bookmarkStart w:id="4137" w:name="_Toc14695"/>
      <w:bookmarkStart w:id="4138" w:name="_Toc2496"/>
      <w:r>
        <w:rPr>
          <w:rFonts w:hint="eastAsia" w:ascii="宋体" w:hAnsi="宋体" w:cs="宋体"/>
          <w:b/>
          <w:bCs/>
          <w:color w:val="auto"/>
          <w:sz w:val="24"/>
          <w:szCs w:val="24"/>
          <w:highlight w:val="none"/>
        </w:rPr>
        <w:t>12.2.3工程计量</w:t>
      </w:r>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除另有规定外，监理人应该根据合同规定，对承包人提出的已完工程量通过计量来核实和确定其价值，而承包人则应该根据此价值按照合同有关规定得到支付。当监理人提出对工程任一部分进行计量核实时，应在合理的时间内通知承包人的项目经理，而该项目经理则应：</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(a)立即参加或派出其合格的代表前往协助监理人从事上述计量核实工程；</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(b)提供所需的一切详细资料。</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承包人不参加或未派上述代表前往，则由监理人所作的或批准的计量应认为是对工程的正确计量。为了对需要采用记录和图纸计量的永久工程进行计量，承包人应在工作过程中准备好该工程的记录和图纸，并提交给监理人，并根据监理人通知的时间与其一起审查有关记录和图纸。如果双方均同意时，则双方应在上述文件上签字。如果承包人对监理人计量核实后的确定不予同意，则承包人应在上述审查后7天之内向监理人提出书面申辩，申明承包人认为有异议的内容。监理人收到上述申辩后，应重新检查对记录和图纸的计量审核，予以确认或修改。如果承包人不出席对上述图纸和记录的审查和确认，则应认为监理人对这些记录和图纸通过计量核实后的确定是正确无误的。</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监理人在组织工程计量时，应及时通知发包人及承包人由三方联测并现场签认。最终以政府相关部门或发包人指定的第三方审定为准。</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4139" w:name="_Toc14495"/>
      <w:bookmarkStart w:id="4140" w:name="_Toc12806"/>
      <w:bookmarkStart w:id="4141" w:name="_Toc30344"/>
      <w:bookmarkStart w:id="4142" w:name="_Toc586"/>
      <w:bookmarkStart w:id="4143" w:name="_Toc6370"/>
      <w:bookmarkStart w:id="4144" w:name="_Toc16482"/>
      <w:bookmarkStart w:id="4145" w:name="_Toc4071"/>
      <w:bookmarkStart w:id="4146" w:name="_Toc19409"/>
      <w:bookmarkStart w:id="4147" w:name="_Toc18480"/>
      <w:bookmarkStart w:id="4148" w:name="_Toc16286"/>
      <w:bookmarkStart w:id="4149" w:name="_Toc30684"/>
      <w:bookmarkStart w:id="4150" w:name="_Toc15514"/>
      <w:bookmarkStart w:id="4151" w:name="_Toc22133"/>
      <w:bookmarkStart w:id="4152" w:name="_Toc8272"/>
      <w:bookmarkStart w:id="4153" w:name="_Toc517530888"/>
      <w:bookmarkStart w:id="4154" w:name="_Toc517532164"/>
      <w:bookmarkStart w:id="4155" w:name="_Toc26415"/>
      <w:bookmarkStart w:id="4156" w:name="_Toc17236"/>
      <w:bookmarkStart w:id="4157" w:name="_Toc3386"/>
      <w:bookmarkStart w:id="4158" w:name="_Toc7123"/>
      <w:r>
        <w:rPr>
          <w:rFonts w:hint="eastAsia" w:ascii="宋体" w:hAnsi="宋体" w:cs="宋体"/>
          <w:b/>
          <w:bCs/>
          <w:color w:val="auto"/>
          <w:sz w:val="24"/>
          <w:szCs w:val="24"/>
          <w:highlight w:val="none"/>
        </w:rPr>
        <w:t>12.2.4计量方法</w:t>
      </w:r>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工程的计量应以工程量清单投标报价规定中计量方法为原则，以净值为准，除非合同另有规定。</w:t>
      </w:r>
    </w:p>
    <w:bookmarkEnd w:id="3927"/>
    <w:bookmarkEnd w:id="3928"/>
    <w:bookmarkEnd w:id="3929"/>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4159" w:name="_Toc351203584"/>
      <w:bookmarkStart w:id="4160" w:name="_Toc296346602"/>
      <w:bookmarkStart w:id="4161" w:name="_Toc296503101"/>
      <w:bookmarkStart w:id="4162" w:name="_Toc27134"/>
      <w:bookmarkStart w:id="4163" w:name="_Toc20203"/>
      <w:bookmarkStart w:id="4164" w:name="_Toc23479"/>
      <w:bookmarkStart w:id="4165" w:name="_Toc31999"/>
      <w:bookmarkStart w:id="4166" w:name="_Toc31539"/>
      <w:bookmarkStart w:id="4167" w:name="_Toc9128"/>
      <w:bookmarkStart w:id="4168" w:name="_Toc6034"/>
      <w:bookmarkStart w:id="4169" w:name="_Toc465237223"/>
      <w:bookmarkStart w:id="4170" w:name="_Toc3569"/>
      <w:bookmarkStart w:id="4171" w:name="_Toc31443"/>
      <w:bookmarkStart w:id="4172" w:name="_Toc15556"/>
      <w:bookmarkStart w:id="4173" w:name="_Toc69114001"/>
      <w:bookmarkStart w:id="4174" w:name="_Toc25262"/>
      <w:bookmarkStart w:id="4175" w:name="_Toc517528715"/>
      <w:bookmarkStart w:id="4176" w:name="_Toc11018"/>
      <w:bookmarkStart w:id="4177" w:name="_Toc465237126"/>
      <w:bookmarkStart w:id="4178" w:name="_Toc517530889"/>
      <w:bookmarkStart w:id="4179" w:name="_Toc9541"/>
      <w:bookmarkStart w:id="4180" w:name="_Toc15270"/>
      <w:bookmarkStart w:id="4181" w:name="_Toc517532165"/>
      <w:bookmarkStart w:id="4182" w:name="_Toc15810"/>
      <w:bookmarkStart w:id="4183" w:name="_Toc6906"/>
      <w:bookmarkStart w:id="4184" w:name="_Toc19212"/>
      <w:bookmarkStart w:id="4185" w:name="_Toc15557"/>
      <w:bookmarkStart w:id="4186" w:name="_Toc337558803"/>
      <w:r>
        <w:rPr>
          <w:rFonts w:hint="eastAsia" w:ascii="宋体" w:hAnsi="宋体" w:cs="宋体"/>
          <w:b/>
          <w:bCs/>
          <w:color w:val="auto"/>
          <w:sz w:val="28"/>
          <w:szCs w:val="28"/>
          <w:highlight w:val="none"/>
        </w:rPr>
        <w:t>12.3工程款</w:t>
      </w:r>
      <w:bookmarkEnd w:id="4159"/>
      <w:bookmarkEnd w:id="4160"/>
      <w:bookmarkEnd w:id="4161"/>
      <w:r>
        <w:rPr>
          <w:rFonts w:hint="eastAsia" w:ascii="宋体" w:hAnsi="宋体" w:cs="宋体"/>
          <w:b/>
          <w:bCs/>
          <w:color w:val="auto"/>
          <w:sz w:val="28"/>
          <w:szCs w:val="28"/>
          <w:highlight w:val="none"/>
        </w:rPr>
        <w:t>的支付</w:t>
      </w:r>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p>
    <w:bookmarkEnd w:id="4186"/>
    <w:p>
      <w:pPr>
        <w:spacing w:line="360" w:lineRule="auto"/>
        <w:ind w:firstLine="420" w:firstLineChars="200"/>
        <w:rPr>
          <w:color w:val="auto"/>
          <w:highlight w:val="none"/>
        </w:rPr>
      </w:pPr>
      <w:bookmarkStart w:id="4187" w:name="_Toc15504"/>
      <w:bookmarkStart w:id="4188" w:name="_Toc517532166"/>
      <w:bookmarkStart w:id="4189" w:name="_Toc25596"/>
      <w:bookmarkStart w:id="4190" w:name="_Toc29577"/>
      <w:bookmarkStart w:id="4191" w:name="_Toc10363"/>
      <w:bookmarkStart w:id="4192" w:name="_Toc15258"/>
      <w:bookmarkStart w:id="4193" w:name="_Toc8793"/>
      <w:bookmarkStart w:id="4194" w:name="_Toc11164"/>
      <w:bookmarkStart w:id="4195" w:name="_Toc30943"/>
      <w:bookmarkStart w:id="4196" w:name="_Toc29518"/>
      <w:bookmarkStart w:id="4197" w:name="_Toc25185"/>
      <w:bookmarkStart w:id="4198" w:name="_Toc22014"/>
      <w:bookmarkStart w:id="4199" w:name="_Toc11436"/>
      <w:bookmarkStart w:id="4200" w:name="_Toc29824"/>
      <w:bookmarkStart w:id="4201" w:name="_Toc24499"/>
      <w:bookmarkStart w:id="4202" w:name="_Toc21334"/>
      <w:bookmarkStart w:id="4203" w:name="_Toc517530890"/>
      <w:bookmarkStart w:id="4204" w:name="_Toc31888"/>
      <w:bookmarkStart w:id="4205" w:name="_Toc4662"/>
      <w:bookmarkStart w:id="4206" w:name="_Toc15118"/>
      <w:bookmarkStart w:id="4207" w:name="_Toc351203586"/>
      <w:bookmarkStart w:id="4208" w:name="_Toc517530899"/>
      <w:bookmarkStart w:id="4209" w:name="_Toc517532175"/>
      <w:bookmarkStart w:id="4210" w:name="_Toc22538"/>
      <w:bookmarkStart w:id="4211" w:name="_Toc465237127"/>
      <w:bookmarkStart w:id="4212" w:name="_Toc10968"/>
      <w:bookmarkStart w:id="4213" w:name="_Toc28245"/>
      <w:bookmarkStart w:id="4214" w:name="_Toc11332"/>
      <w:bookmarkStart w:id="4215" w:name="_Toc517529746"/>
      <w:bookmarkStart w:id="4216" w:name="_Toc9423"/>
      <w:bookmarkStart w:id="4217" w:name="_Toc465237224"/>
      <w:bookmarkStart w:id="4218" w:name="_Toc29643"/>
      <w:bookmarkStart w:id="4219" w:name="_Toc16362"/>
      <w:bookmarkStart w:id="4220" w:name="_Toc1888"/>
      <w:bookmarkStart w:id="4221" w:name="_Toc22181"/>
      <w:bookmarkStart w:id="4222" w:name="_Toc517528716"/>
      <w:bookmarkStart w:id="4223" w:name="_Toc5098"/>
      <w:bookmarkStart w:id="4224" w:name="_Toc8371"/>
      <w:bookmarkStart w:id="4225" w:name="_Toc774"/>
      <w:bookmarkStart w:id="4226" w:name="_Toc24510"/>
      <w:bookmarkStart w:id="4227" w:name="_Toc23659"/>
      <w:bookmarkStart w:id="4228" w:name="_Toc8253"/>
      <w:bookmarkStart w:id="4229" w:name="_Toc32094"/>
      <w:bookmarkStart w:id="4230" w:name="_Toc30668"/>
      <w:bookmarkStart w:id="4231" w:name="_Toc25827"/>
      <w:bookmarkStart w:id="4232" w:name="_Toc296503106"/>
      <w:bookmarkStart w:id="4233" w:name="_Toc296346607"/>
      <w:bookmarkStart w:id="4234" w:name="_Toc322522574"/>
      <w:bookmarkStart w:id="4235" w:name="_Toc337558804"/>
      <w:r>
        <w:rPr>
          <w:color w:val="auto"/>
          <w:highlight w:val="none"/>
        </w:rPr>
        <w:t>发包人和承包人应在专用条款中约定一定比例的工程预付款，用于施工准备，金额一般为合同价款的10～30%。其中施工现场安全文明措施费预付款金额，合同工期在一年以内的，不得低于该费用总额的50%；合同工期在一年以上的（含一年），不得低于该费用总额的30%。</w:t>
      </w:r>
    </w:p>
    <w:p>
      <w:pPr>
        <w:spacing w:line="360" w:lineRule="auto"/>
        <w:ind w:firstLine="420" w:firstLineChars="200"/>
        <w:rPr>
          <w:color w:val="auto"/>
          <w:highlight w:val="none"/>
        </w:rPr>
      </w:pPr>
      <w:r>
        <w:rPr>
          <w:color w:val="auto"/>
          <w:highlight w:val="none"/>
        </w:rPr>
        <w:t>发包人应按专用条款约定的时间和金额向承包人支付工程预付款，预付的时间应不迟于约定的开工日期前7日。发包人不按约定预付的，承包人应在约定预付时间到期后7日内向发包人发出要求预付的通知，发包人收到通知后仍不能按要求预付，承包人可在发出通知14日后停止施工。</w:t>
      </w:r>
    </w:p>
    <w:p>
      <w:pPr>
        <w:spacing w:line="360" w:lineRule="auto"/>
        <w:ind w:firstLine="420" w:firstLineChars="200"/>
        <w:rPr>
          <w:color w:val="auto"/>
          <w:highlight w:val="none"/>
        </w:rPr>
      </w:pPr>
      <w:r>
        <w:rPr>
          <w:color w:val="auto"/>
          <w:highlight w:val="none"/>
        </w:rPr>
        <w:t>发包人和承包人应在专用条款内约定工程预付款扣回的起扣点和扣回比例。在未达到起扣点之前，预付款不予扣回；达到起扣点之后，预付款按约定比例根据工程进度分期从期中支付款中扣回。</w:t>
      </w:r>
    </w:p>
    <w:p>
      <w:pPr>
        <w:spacing w:line="360" w:lineRule="auto"/>
        <w:ind w:firstLine="420" w:firstLineChars="200"/>
        <w:rPr>
          <w:color w:val="auto"/>
          <w:highlight w:val="none"/>
        </w:rPr>
      </w:pPr>
      <w:r>
        <w:rPr>
          <w:color w:val="auto"/>
          <w:highlight w:val="none"/>
        </w:rPr>
        <w:t>发包人和承包人应在专用条款内约定办理期中结算的时间间隔和要求，并按此约定办理期中结算；无时间间隔约定的，则按月办理期中结算。</w:t>
      </w:r>
    </w:p>
    <w:p>
      <w:pPr>
        <w:spacing w:line="360" w:lineRule="auto"/>
        <w:ind w:firstLine="420" w:firstLineChars="200"/>
        <w:rPr>
          <w:color w:val="auto"/>
          <w:highlight w:val="none"/>
        </w:rPr>
      </w:pPr>
      <w:r>
        <w:rPr>
          <w:color w:val="auto"/>
          <w:highlight w:val="none"/>
        </w:rPr>
        <w:t>承包人应按</w:t>
      </w:r>
      <w:r>
        <w:rPr>
          <w:rFonts w:hint="eastAsia"/>
          <w:color w:val="auto"/>
          <w:highlight w:val="none"/>
        </w:rPr>
        <w:t>专用合同条款1</w:t>
      </w:r>
      <w:r>
        <w:rPr>
          <w:color w:val="auto"/>
          <w:highlight w:val="none"/>
        </w:rPr>
        <w:t>2.3约定向</w:t>
      </w:r>
      <w:r>
        <w:rPr>
          <w:rFonts w:hint="eastAsia"/>
          <w:color w:val="auto"/>
          <w:highlight w:val="none"/>
        </w:rPr>
        <w:t>监理人</w:t>
      </w:r>
      <w:r>
        <w:rPr>
          <w:color w:val="auto"/>
          <w:highlight w:val="none"/>
        </w:rPr>
        <w:t>提交由其项目经理签署的期中结算书，期中结算书应包括以下内容：</w:t>
      </w:r>
    </w:p>
    <w:p>
      <w:pPr>
        <w:numPr>
          <w:ilvl w:val="0"/>
          <w:numId w:val="11"/>
        </w:numPr>
        <w:spacing w:line="360" w:lineRule="auto"/>
        <w:ind w:left="0" w:firstLine="420" w:firstLineChars="200"/>
        <w:jc w:val="left"/>
        <w:rPr>
          <w:color w:val="auto"/>
          <w:highlight w:val="none"/>
        </w:rPr>
      </w:pPr>
      <w:r>
        <w:rPr>
          <w:color w:val="auto"/>
          <w:highlight w:val="none"/>
        </w:rPr>
        <w:t>本付款周期已完成工程的价款；</w:t>
      </w:r>
    </w:p>
    <w:p>
      <w:pPr>
        <w:numPr>
          <w:ilvl w:val="0"/>
          <w:numId w:val="11"/>
        </w:numPr>
        <w:spacing w:line="360" w:lineRule="auto"/>
        <w:ind w:left="0" w:firstLine="420" w:firstLineChars="200"/>
        <w:jc w:val="left"/>
        <w:rPr>
          <w:color w:val="auto"/>
          <w:highlight w:val="none"/>
        </w:rPr>
      </w:pPr>
      <w:r>
        <w:rPr>
          <w:color w:val="auto"/>
          <w:highlight w:val="none"/>
        </w:rPr>
        <w:t>累计已完成的工程价款；</w:t>
      </w:r>
    </w:p>
    <w:p>
      <w:pPr>
        <w:numPr>
          <w:ilvl w:val="0"/>
          <w:numId w:val="11"/>
        </w:numPr>
        <w:spacing w:line="360" w:lineRule="auto"/>
        <w:ind w:left="0" w:firstLine="420" w:firstLineChars="200"/>
        <w:jc w:val="left"/>
        <w:rPr>
          <w:color w:val="auto"/>
          <w:highlight w:val="none"/>
        </w:rPr>
      </w:pPr>
      <w:r>
        <w:rPr>
          <w:color w:val="auto"/>
          <w:highlight w:val="none"/>
        </w:rPr>
        <w:t>累计已支付的工程价款；</w:t>
      </w:r>
    </w:p>
    <w:p>
      <w:pPr>
        <w:numPr>
          <w:ilvl w:val="0"/>
          <w:numId w:val="11"/>
        </w:numPr>
        <w:spacing w:line="360" w:lineRule="auto"/>
        <w:ind w:left="0" w:firstLine="420" w:firstLineChars="200"/>
        <w:jc w:val="left"/>
        <w:rPr>
          <w:color w:val="auto"/>
          <w:highlight w:val="none"/>
        </w:rPr>
      </w:pPr>
      <w:r>
        <w:rPr>
          <w:color w:val="auto"/>
          <w:highlight w:val="none"/>
        </w:rPr>
        <w:t>本周期已完成的计日工金额；</w:t>
      </w:r>
    </w:p>
    <w:p>
      <w:pPr>
        <w:numPr>
          <w:ilvl w:val="0"/>
          <w:numId w:val="11"/>
        </w:numPr>
        <w:spacing w:line="360" w:lineRule="auto"/>
        <w:ind w:left="0" w:firstLine="420" w:firstLineChars="200"/>
        <w:jc w:val="left"/>
        <w:rPr>
          <w:color w:val="auto"/>
          <w:highlight w:val="none"/>
        </w:rPr>
      </w:pPr>
      <w:r>
        <w:rPr>
          <w:rFonts w:hint="eastAsia"/>
          <w:color w:val="auto"/>
          <w:highlight w:val="none"/>
        </w:rPr>
        <w:t>本周期应支付的专业工程暂估价价款；</w:t>
      </w:r>
    </w:p>
    <w:p>
      <w:pPr>
        <w:numPr>
          <w:ilvl w:val="0"/>
          <w:numId w:val="11"/>
        </w:numPr>
        <w:spacing w:line="360" w:lineRule="auto"/>
        <w:ind w:left="0" w:firstLine="420" w:firstLineChars="200"/>
        <w:jc w:val="left"/>
        <w:rPr>
          <w:color w:val="auto"/>
          <w:highlight w:val="none"/>
        </w:rPr>
      </w:pPr>
      <w:r>
        <w:rPr>
          <w:rFonts w:hint="eastAsia"/>
          <w:color w:val="auto"/>
          <w:highlight w:val="none"/>
        </w:rPr>
        <w:t>本周期应支付的已进场将用于和安装在永久工程中的材料、设备预付款；</w:t>
      </w:r>
    </w:p>
    <w:p>
      <w:pPr>
        <w:numPr>
          <w:ilvl w:val="0"/>
          <w:numId w:val="11"/>
        </w:numPr>
        <w:spacing w:line="360" w:lineRule="auto"/>
        <w:ind w:left="0" w:firstLine="420" w:firstLineChars="200"/>
        <w:jc w:val="left"/>
        <w:rPr>
          <w:color w:val="auto"/>
          <w:highlight w:val="none"/>
        </w:rPr>
      </w:pPr>
      <w:r>
        <w:rPr>
          <w:rFonts w:hint="eastAsia" w:ascii="宋体" w:hAnsi="宋体" w:cs="宋体"/>
          <w:color w:val="auto"/>
          <w:szCs w:val="21"/>
          <w:highlight w:val="none"/>
        </w:rPr>
        <w:t>本周期应扣留的保留金</w:t>
      </w:r>
      <w:bookmarkStart w:id="4236" w:name="_Hlk66700776"/>
      <w:r>
        <w:rPr>
          <w:rFonts w:hint="eastAsia" w:ascii="宋体" w:hAnsi="宋体" w:cs="宋体"/>
          <w:color w:val="auto"/>
          <w:szCs w:val="21"/>
          <w:highlight w:val="none"/>
        </w:rPr>
        <w:t>和扣回的材料、设备预付款及开工预付款</w:t>
      </w:r>
      <w:bookmarkEnd w:id="4236"/>
      <w:r>
        <w:rPr>
          <w:rFonts w:hint="eastAsia" w:ascii="宋体" w:hAnsi="宋体" w:cs="宋体"/>
          <w:color w:val="auto"/>
          <w:szCs w:val="21"/>
          <w:highlight w:val="none"/>
        </w:rPr>
        <w:t>；</w:t>
      </w:r>
    </w:p>
    <w:p>
      <w:pPr>
        <w:numPr>
          <w:ilvl w:val="0"/>
          <w:numId w:val="11"/>
        </w:numPr>
        <w:spacing w:line="360" w:lineRule="auto"/>
        <w:ind w:left="0" w:firstLine="420" w:firstLineChars="200"/>
        <w:jc w:val="left"/>
        <w:rPr>
          <w:color w:val="auto"/>
          <w:highlight w:val="none"/>
        </w:rPr>
      </w:pPr>
      <w:r>
        <w:rPr>
          <w:color w:val="auto"/>
          <w:highlight w:val="none"/>
        </w:rPr>
        <w:t>应增加和扣减的变更金额；</w:t>
      </w:r>
    </w:p>
    <w:p>
      <w:pPr>
        <w:numPr>
          <w:ilvl w:val="0"/>
          <w:numId w:val="11"/>
        </w:numPr>
        <w:spacing w:line="360" w:lineRule="auto"/>
        <w:ind w:left="0" w:firstLine="420" w:firstLineChars="200"/>
        <w:jc w:val="left"/>
        <w:rPr>
          <w:color w:val="auto"/>
          <w:highlight w:val="none"/>
        </w:rPr>
      </w:pPr>
      <w:r>
        <w:rPr>
          <w:color w:val="auto"/>
          <w:highlight w:val="none"/>
        </w:rPr>
        <w:t>应增加和扣减的索赔金额；</w:t>
      </w:r>
    </w:p>
    <w:p>
      <w:pPr>
        <w:numPr>
          <w:ilvl w:val="0"/>
          <w:numId w:val="11"/>
        </w:numPr>
        <w:spacing w:line="360" w:lineRule="auto"/>
        <w:ind w:left="0" w:firstLine="420" w:firstLineChars="200"/>
        <w:jc w:val="left"/>
        <w:rPr>
          <w:color w:val="auto"/>
          <w:highlight w:val="none"/>
        </w:rPr>
      </w:pPr>
      <w:r>
        <w:rPr>
          <w:color w:val="auto"/>
          <w:highlight w:val="none"/>
        </w:rPr>
        <w:t>应抵扣的工程预付款；</w:t>
      </w:r>
    </w:p>
    <w:p>
      <w:pPr>
        <w:numPr>
          <w:ilvl w:val="0"/>
          <w:numId w:val="11"/>
        </w:numPr>
        <w:spacing w:line="360" w:lineRule="auto"/>
        <w:ind w:left="0" w:firstLine="420" w:firstLineChars="200"/>
        <w:jc w:val="left"/>
        <w:rPr>
          <w:color w:val="auto"/>
          <w:highlight w:val="none"/>
        </w:rPr>
      </w:pPr>
      <w:r>
        <w:rPr>
          <w:color w:val="auto"/>
          <w:highlight w:val="none"/>
        </w:rPr>
        <w:t>应扣减的质量缺陷保证金</w:t>
      </w:r>
      <w:r>
        <w:rPr>
          <w:rFonts w:hint="eastAsia" w:ascii="宋体" w:hAnsi="宋体" w:cs="宋体"/>
          <w:color w:val="auto"/>
          <w:szCs w:val="21"/>
          <w:highlight w:val="none"/>
        </w:rPr>
        <w:t>和扣回的材料、设备预付款及开工预付款</w:t>
      </w:r>
      <w:r>
        <w:rPr>
          <w:color w:val="auto"/>
          <w:highlight w:val="none"/>
        </w:rPr>
        <w:t>；</w:t>
      </w:r>
    </w:p>
    <w:p>
      <w:pPr>
        <w:numPr>
          <w:ilvl w:val="0"/>
          <w:numId w:val="11"/>
        </w:numPr>
        <w:spacing w:line="360" w:lineRule="auto"/>
        <w:ind w:left="0" w:firstLine="420" w:firstLineChars="200"/>
        <w:jc w:val="left"/>
        <w:rPr>
          <w:color w:val="auto"/>
          <w:highlight w:val="none"/>
        </w:rPr>
      </w:pPr>
      <w:r>
        <w:rPr>
          <w:color w:val="auto"/>
          <w:highlight w:val="none"/>
        </w:rPr>
        <w:t>根据合同应增加和扣减的其他金额；</w:t>
      </w:r>
    </w:p>
    <w:p>
      <w:pPr>
        <w:numPr>
          <w:ilvl w:val="0"/>
          <w:numId w:val="11"/>
        </w:numPr>
        <w:spacing w:line="360" w:lineRule="auto"/>
        <w:ind w:left="0" w:firstLine="420" w:firstLineChars="200"/>
        <w:jc w:val="left"/>
        <w:rPr>
          <w:color w:val="auto"/>
          <w:highlight w:val="none"/>
        </w:rPr>
      </w:pPr>
      <w:r>
        <w:rPr>
          <w:color w:val="auto"/>
          <w:highlight w:val="none"/>
        </w:rPr>
        <w:t>本付款周期实际应支付的工程价款。</w:t>
      </w:r>
    </w:p>
    <w:p>
      <w:pPr>
        <w:spacing w:line="360" w:lineRule="auto"/>
        <w:ind w:firstLine="420" w:firstLineChars="200"/>
        <w:rPr>
          <w:color w:val="auto"/>
          <w:highlight w:val="none"/>
        </w:rPr>
      </w:pPr>
      <w:r>
        <w:rPr>
          <w:rFonts w:hint="eastAsia"/>
          <w:color w:val="auto"/>
          <w:highlight w:val="none"/>
        </w:rPr>
        <w:t>监理人</w:t>
      </w:r>
      <w:r>
        <w:rPr>
          <w:color w:val="auto"/>
          <w:highlight w:val="none"/>
        </w:rPr>
        <w:t>应在收到期中结算书后14日内签发期中支付证书，签发时应写明他认为应该到期结算的价款及需要扣留和扣回的价款并报发包人</w:t>
      </w:r>
      <w:r>
        <w:rPr>
          <w:rFonts w:hint="eastAsia"/>
          <w:color w:val="auto"/>
          <w:highlight w:val="none"/>
          <w:lang w:eastAsia="zh-CN"/>
        </w:rPr>
        <w:t>书面</w:t>
      </w:r>
      <w:r>
        <w:rPr>
          <w:color w:val="auto"/>
          <w:highlight w:val="none"/>
        </w:rPr>
        <w:t>批准。如该期应结算的价款经扣留和扣回后款额少于专用条款约定的期中支付的最低金额，则</w:t>
      </w:r>
      <w:r>
        <w:rPr>
          <w:rFonts w:hint="eastAsia"/>
          <w:color w:val="auto"/>
          <w:highlight w:val="none"/>
        </w:rPr>
        <w:t>监理人</w:t>
      </w:r>
      <w:r>
        <w:rPr>
          <w:color w:val="auto"/>
          <w:highlight w:val="none"/>
        </w:rPr>
        <w:t>可不签发支付证书，该期工程价款将按期结转，直到累计应支付的款额达到专用条款约定的期中支付的最低金额为止。累计期中支付金额达到合同价款和追加（减）合同价款总额的90%时暂停支付。</w:t>
      </w:r>
    </w:p>
    <w:p>
      <w:pPr>
        <w:spacing w:line="360" w:lineRule="auto"/>
        <w:ind w:firstLine="420" w:firstLineChars="200"/>
        <w:rPr>
          <w:color w:val="auto"/>
          <w:highlight w:val="none"/>
        </w:rPr>
      </w:pPr>
      <w:r>
        <w:rPr>
          <w:color w:val="auto"/>
          <w:highlight w:val="none"/>
        </w:rPr>
        <w:t>若承包人未按照</w:t>
      </w:r>
      <w:r>
        <w:rPr>
          <w:rFonts w:hint="eastAsia"/>
          <w:color w:val="auto"/>
          <w:highlight w:val="none"/>
        </w:rPr>
        <w:t>专用合同条款12.3</w:t>
      </w:r>
      <w:r>
        <w:rPr>
          <w:color w:val="auto"/>
          <w:highlight w:val="none"/>
        </w:rPr>
        <w:t>约定的时间提交期中结算书，</w:t>
      </w:r>
      <w:r>
        <w:rPr>
          <w:rFonts w:hint="eastAsia"/>
          <w:color w:val="auto"/>
          <w:highlight w:val="none"/>
        </w:rPr>
        <w:t>监理人</w:t>
      </w:r>
      <w:r>
        <w:rPr>
          <w:color w:val="auto"/>
          <w:highlight w:val="none"/>
        </w:rPr>
        <w:t>可自行按照工程实际进度情况编制期中结算书，报发包人</w:t>
      </w:r>
      <w:r>
        <w:rPr>
          <w:rFonts w:hint="eastAsia"/>
          <w:color w:val="auto"/>
          <w:highlight w:val="none"/>
          <w:lang w:eastAsia="zh-CN"/>
        </w:rPr>
        <w:t>书面</w:t>
      </w:r>
      <w:r>
        <w:rPr>
          <w:color w:val="auto"/>
          <w:highlight w:val="none"/>
        </w:rPr>
        <w:t>批准后签发期中支付证书，承包人对此应予以认可。</w:t>
      </w:r>
    </w:p>
    <w:p>
      <w:pPr>
        <w:spacing w:line="360" w:lineRule="auto"/>
        <w:ind w:firstLine="420" w:firstLineChars="200"/>
        <w:rPr>
          <w:color w:val="auto"/>
          <w:highlight w:val="none"/>
        </w:rPr>
      </w:pPr>
      <w:r>
        <w:rPr>
          <w:color w:val="auto"/>
          <w:highlight w:val="none"/>
        </w:rPr>
        <w:t>发包人应在期中支付证书签发之日起7日内将期中支付证书上列明的款项支付给承包人。发包人超过约定的时间不支付，承包人可向发包人发出要求付款的通知。发包人收到通知后仍不能按约定付款，可与承包人协商签订延期付款协议，经承包人同意后可延期支付，发包人应从约定应付之日起向承包人支付应付款的贷款利息。发包人不按约定办理期中支付，双方又未达成延期付款协议，导致施工无法进行，承包人可停止施工，发包人承担违约责任。</w:t>
      </w:r>
    </w:p>
    <w:p>
      <w:pPr>
        <w:pStyle w:val="106"/>
        <w:ind w:firstLine="420"/>
        <w:rPr>
          <w:rFonts w:ascii="Calibri" w:hAnsi="Calibri"/>
          <w:color w:val="auto"/>
          <w:sz w:val="21"/>
          <w:szCs w:val="22"/>
          <w:highlight w:val="none"/>
        </w:rPr>
      </w:pPr>
      <w:r>
        <w:rPr>
          <w:rFonts w:ascii="Calibri" w:hAnsi="Calibri"/>
          <w:color w:val="auto"/>
          <w:sz w:val="21"/>
          <w:szCs w:val="22"/>
          <w:highlight w:val="none"/>
        </w:rPr>
        <w:t>第12.3条中有关工程款支付的文件的编制和审核均须经注册造价工程师签字盖章确认。</w:t>
      </w:r>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r>
        <w:rPr>
          <w:rFonts w:hint="eastAsia" w:ascii="Calibri" w:hAnsi="Calibri"/>
          <w:color w:val="auto"/>
          <w:sz w:val="21"/>
          <w:szCs w:val="22"/>
          <w:highlight w:val="none"/>
        </w:rPr>
        <w:t xml:space="preserve"> </w:t>
      </w:r>
    </w:p>
    <w:p>
      <w:pPr>
        <w:keepNext/>
        <w:keepLines/>
        <w:spacing w:before="156" w:beforeLines="50" w:after="156" w:afterLines="50" w:line="360" w:lineRule="auto"/>
        <w:ind w:firstLine="600" w:firstLineChars="200"/>
        <w:outlineLvl w:val="1"/>
        <w:rPr>
          <w:rFonts w:ascii="宋体" w:hAnsi="宋体" w:cs="宋体"/>
          <w:b/>
          <w:bCs/>
          <w:color w:val="auto"/>
          <w:sz w:val="30"/>
          <w:szCs w:val="30"/>
          <w:highlight w:val="none"/>
        </w:rPr>
      </w:pPr>
      <w:bookmarkStart w:id="4237" w:name="_Toc69114002"/>
      <w:r>
        <w:rPr>
          <w:rFonts w:hint="eastAsia" w:ascii="宋体" w:hAnsi="宋体" w:cs="宋体"/>
          <w:b/>
          <w:bCs/>
          <w:color w:val="auto"/>
          <w:sz w:val="30"/>
          <w:szCs w:val="30"/>
          <w:highlight w:val="none"/>
        </w:rPr>
        <w:t>13.</w:t>
      </w:r>
      <w:bookmarkEnd w:id="4207"/>
      <w:r>
        <w:rPr>
          <w:rFonts w:hint="eastAsia" w:ascii="宋体" w:hAnsi="宋体" w:cs="宋体"/>
          <w:b/>
          <w:bCs/>
          <w:color w:val="auto"/>
          <w:sz w:val="30"/>
          <w:szCs w:val="30"/>
          <w:highlight w:val="none"/>
        </w:rPr>
        <w:t xml:space="preserve"> 竣工验收</w:t>
      </w:r>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7"/>
    </w:p>
    <w:bookmarkEnd w:id="4232"/>
    <w:bookmarkEnd w:id="4233"/>
    <w:bookmarkEnd w:id="4234"/>
    <w:bookmarkEnd w:id="4235"/>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4238" w:name="_Toc12151"/>
      <w:bookmarkStart w:id="4239" w:name="_Toc4220"/>
      <w:bookmarkStart w:id="4240" w:name="_Toc9241"/>
      <w:bookmarkStart w:id="4241" w:name="_Toc9870"/>
      <w:bookmarkStart w:id="4242" w:name="_Toc18324"/>
      <w:bookmarkStart w:id="4243" w:name="_Toc13613"/>
      <w:bookmarkStart w:id="4244" w:name="_Toc517528717"/>
      <w:bookmarkStart w:id="4245" w:name="_Toc18548"/>
      <w:bookmarkStart w:id="4246" w:name="_Toc29312"/>
      <w:bookmarkStart w:id="4247" w:name="_Toc7846"/>
      <w:bookmarkStart w:id="4248" w:name="_Toc29837"/>
      <w:bookmarkStart w:id="4249" w:name="_Toc14214"/>
      <w:bookmarkStart w:id="4250" w:name="_Toc517532176"/>
      <w:bookmarkStart w:id="4251" w:name="_Toc69114003"/>
      <w:bookmarkStart w:id="4252" w:name="_Toc3230"/>
      <w:bookmarkStart w:id="4253" w:name="_Toc21683"/>
      <w:bookmarkStart w:id="4254" w:name="_Toc517530900"/>
      <w:bookmarkStart w:id="4255" w:name="_Toc15855"/>
      <w:bookmarkStart w:id="4256" w:name="_Toc22171"/>
      <w:bookmarkStart w:id="4257" w:name="_Toc27088"/>
      <w:bookmarkStart w:id="4258" w:name="_Toc23428"/>
      <w:bookmarkStart w:id="4259" w:name="_Toc7705"/>
      <w:r>
        <w:rPr>
          <w:rFonts w:hint="eastAsia" w:ascii="宋体" w:hAnsi="宋体" w:cs="宋体"/>
          <w:b/>
          <w:bCs/>
          <w:color w:val="auto"/>
          <w:sz w:val="28"/>
          <w:szCs w:val="28"/>
          <w:highlight w:val="none"/>
        </w:rPr>
        <w:t>13.1交接证书</w:t>
      </w:r>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当本合同工程已经实质上竣工，并合格地通过了按合同规定的各项质量检验，已按规定编制交接竣工图表资料后，承包人可向监理人提出要求竣工验收、发给交接证书的申请，并抄送发包人（如果尚有少量因受季节影响或其他原因不能施工，但并不影响工程使用的某些附属工程或剩余工作尚未全部完成时，需附有在限期内尽快完成这些未完工作的书面保证）。监理人在收到该申请后，应在</w:t>
      </w:r>
      <w:r>
        <w:rPr>
          <w:rFonts w:hint="eastAsia" w:ascii="宋体" w:hAnsi="宋体" w:cs="宋体"/>
          <w:color w:val="auto"/>
          <w:szCs w:val="21"/>
          <w:highlight w:val="none"/>
          <w:u w:val="single"/>
        </w:rPr>
        <w:t>14</w:t>
      </w:r>
      <w:r>
        <w:rPr>
          <w:rFonts w:hint="eastAsia" w:ascii="宋体" w:hAnsi="宋体" w:cs="宋体"/>
          <w:color w:val="auto"/>
          <w:szCs w:val="21"/>
          <w:highlight w:val="none"/>
        </w:rPr>
        <w:t>天内审核并报发包人，发包人在收到该申请后的</w:t>
      </w:r>
      <w:r>
        <w:rPr>
          <w:rFonts w:hint="eastAsia" w:ascii="宋体" w:hAnsi="宋体" w:cs="宋体"/>
          <w:color w:val="auto"/>
          <w:szCs w:val="21"/>
          <w:highlight w:val="none"/>
          <w:u w:val="single"/>
        </w:rPr>
        <w:t>21</w:t>
      </w:r>
      <w:r>
        <w:rPr>
          <w:rFonts w:hint="eastAsia" w:ascii="宋体" w:hAnsi="宋体" w:cs="宋体"/>
          <w:color w:val="auto"/>
          <w:szCs w:val="21"/>
          <w:highlight w:val="none"/>
        </w:rPr>
        <w:t>天内应组织竣工验收。竣工验收由发包人主持，并成立竣工验收委员会，按国家有关工程竣工验收的办法组织竣工验收工作。</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竣工验收委员会可由发包人、监理人、承包人、第三方机构等多单位成员组成，由发包人联合第三方机构联合对工程现场进行初验，初验内容包括但不限于质量、观感、尺寸数据等，并出具初验质量检查报告（初验检查得分不低于</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80 </w:t>
      </w:r>
      <w:r>
        <w:rPr>
          <w:rFonts w:hint="eastAsia" w:ascii="宋体" w:hAnsi="宋体" w:cs="宋体"/>
          <w:color w:val="auto"/>
          <w:szCs w:val="21"/>
          <w:highlight w:val="none"/>
        </w:rPr>
        <w:t>分），承包人按照初验质量检查报告所述问题在规定时限内进行整改（整改闭合率不低于总问题数的</w:t>
      </w:r>
      <w:r>
        <w:rPr>
          <w:rFonts w:ascii="宋体" w:hAnsi="宋体" w:cs="宋体"/>
          <w:color w:val="auto"/>
          <w:szCs w:val="21"/>
          <w:highlight w:val="none"/>
          <w:u w:val="single"/>
        </w:rPr>
        <w:t xml:space="preserve"> 80 </w:t>
      </w:r>
      <w:r>
        <w:rPr>
          <w:rFonts w:hint="eastAsia" w:ascii="宋体" w:hAnsi="宋体" w:cs="宋体"/>
          <w:color w:val="auto"/>
          <w:szCs w:val="21"/>
          <w:highlight w:val="none"/>
        </w:rPr>
        <w:t>%）完成后，发包人对工程项目进行正式竣工验收。</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发包人未能在上述规定的时间内组织竣工验收，则发包人应从规定期限最后一天的次日起承担延期验收的工程照管和养护费用，监理人在与承包人和发包人协商后，应确定将此费用款额加到合同价格上，并通知承包人，抄送发包人。</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经竣工验收认为工程质量合格，发包人应在验收工作完毕后14天内向承包人签发交接证书。证书中写明按合同规定本合同工程的竣工日期（即承包人提出申请竣工验收的日期），同时办理合同工程的移交管养工作。交接证书签发并移交管养后，承包人即不再负责对本工程的照管。</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如果发给交接证书的工程不能立即移交管养时，承包人仍应继续负责工程照管和养护，监理人在与承包人和发包人协商后应确定加到合同价格上的此项费用款额，通知承包人，抄送发包人。</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经竣工验收认为工程质量虽合格，同意验收，但某些工程尚需整修、补修，则应缓发交接证书，限期修好，待整修、补修工作完成，经监理人复查认为达到质量要求后，再发给交接证书，证书上写明的竣工日期仍应为承包人提出申请竣工验收的日期。</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经竣工验收认为工程质量达不到合格标准，则监理人应根据竣工验收小组的意见，在验收工作完毕后7天内向承包人发出不予验收的指令，要求承包人对不合格工程认真返工重做或补救处理。承包人在完成上述不合格工程的修复工作后，应重新提出竣工验收的申请，经竣工验收小组复验认为达到合格标准后才发给交接证书。证书中写明的竣工日期应为承包人重新提出申请竣工验收的日期。计算实际工期时应减去承包人第一次提出申请竣工验收至监理人发出不予验收的指令的时间。</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4260" w:name="_Toc5719"/>
      <w:bookmarkStart w:id="4261" w:name="_Toc25936"/>
      <w:bookmarkStart w:id="4262" w:name="_Toc13524"/>
      <w:bookmarkStart w:id="4263" w:name="_Toc13464"/>
      <w:bookmarkStart w:id="4264" w:name="_Toc22130"/>
      <w:bookmarkStart w:id="4265" w:name="_Toc19653"/>
      <w:bookmarkStart w:id="4266" w:name="_Toc488"/>
      <w:bookmarkStart w:id="4267" w:name="_Toc6478"/>
      <w:bookmarkStart w:id="4268" w:name="_Toc23788"/>
      <w:bookmarkStart w:id="4269" w:name="_Toc517528718"/>
      <w:bookmarkStart w:id="4270" w:name="_Toc18788"/>
      <w:bookmarkStart w:id="4271" w:name="_Toc517532177"/>
      <w:bookmarkStart w:id="4272" w:name="_Toc22769"/>
      <w:bookmarkStart w:id="4273" w:name="_Toc29436"/>
      <w:bookmarkStart w:id="4274" w:name="_Toc517530901"/>
      <w:bookmarkStart w:id="4275" w:name="_Toc8334"/>
      <w:bookmarkStart w:id="4276" w:name="_Toc5726"/>
      <w:bookmarkStart w:id="4277" w:name="_Toc23184"/>
      <w:bookmarkStart w:id="4278" w:name="_Toc21761"/>
      <w:bookmarkStart w:id="4279" w:name="_Toc25087"/>
      <w:bookmarkStart w:id="4280" w:name="_Toc16750"/>
      <w:bookmarkStart w:id="4281" w:name="_Toc69114004"/>
      <w:r>
        <w:rPr>
          <w:rFonts w:hint="eastAsia" w:ascii="宋体" w:hAnsi="宋体" w:cs="宋体"/>
          <w:b/>
          <w:bCs/>
          <w:color w:val="auto"/>
          <w:sz w:val="28"/>
          <w:szCs w:val="28"/>
          <w:highlight w:val="none"/>
        </w:rPr>
        <w:t>13.2区段或单项工程的交工</w:t>
      </w:r>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根据第13.1条规定的程序，承包人可以向监理人就下列情况提出要求竣工验收并发给交接证书的申请：</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(a)合同规定有单独竣工期的某区段或某单项工程；</w:t>
      </w:r>
    </w:p>
    <w:p>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(b)已经竣工且监理人认可的永久工程的任何主要部分（合同另有规定者除外）。</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4282" w:name="_Toc1940"/>
      <w:bookmarkStart w:id="4283" w:name="_Toc4996"/>
      <w:bookmarkStart w:id="4284" w:name="_Toc32113"/>
      <w:bookmarkStart w:id="4285" w:name="_Toc5609"/>
      <w:bookmarkStart w:id="4286" w:name="_Toc31495"/>
      <w:bookmarkStart w:id="4287" w:name="_Toc15643"/>
      <w:bookmarkStart w:id="4288" w:name="_Toc6575"/>
      <w:bookmarkStart w:id="4289" w:name="_Toc517532178"/>
      <w:bookmarkStart w:id="4290" w:name="_Toc21905"/>
      <w:bookmarkStart w:id="4291" w:name="_Toc21735"/>
      <w:bookmarkStart w:id="4292" w:name="_Toc32130"/>
      <w:bookmarkStart w:id="4293" w:name="_Toc12156"/>
      <w:bookmarkStart w:id="4294" w:name="_Toc25736"/>
      <w:bookmarkStart w:id="4295" w:name="_Toc28705"/>
      <w:bookmarkStart w:id="4296" w:name="_Toc23623"/>
      <w:bookmarkStart w:id="4297" w:name="_Toc31557"/>
      <w:bookmarkStart w:id="4298" w:name="_Toc19773"/>
      <w:bookmarkStart w:id="4299" w:name="_Toc517528719"/>
      <w:bookmarkStart w:id="4300" w:name="_Toc28417"/>
      <w:bookmarkStart w:id="4301" w:name="_Toc517530902"/>
      <w:bookmarkStart w:id="4302" w:name="_Toc21899"/>
      <w:bookmarkStart w:id="4303" w:name="_Toc69114005"/>
      <w:r>
        <w:rPr>
          <w:rFonts w:hint="eastAsia" w:ascii="宋体" w:hAnsi="宋体" w:cs="宋体"/>
          <w:b/>
          <w:bCs/>
          <w:color w:val="auto"/>
          <w:sz w:val="28"/>
          <w:szCs w:val="28"/>
          <w:highlight w:val="none"/>
        </w:rPr>
        <w:t>13.3工程移交和档案管理</w:t>
      </w:r>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承包人须将施工过程中形成的即时档案（包括质量文件、施工记录、会议纪要、变更文件等）在3-5天内录入至发包人的项目建设档案管理系统中，档案不齐或不及时录入的，将影响承包人的工程款支付及履约评价等级；</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(b)承包人必须按市城市档案馆的规定及发包人工程档案管理相关规定整理并移交竣工档案后（包括向档案主管部门、发包人及接管单位移交），凭相关工程档案移交签字单方可办理工程结算支付；</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(c)承包人的档案员必须持有市城建档案上岗证；</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d)工程竣工验收合格后承包人必须将工程移交给发包人指定的接管单位，并将办理完毕的工程移交证书移交给发包人。在向发包人指定的接管单位移交钥匙的同时必须办理：①钥匙移交清单；②双方抄好水表电表底数；③列出详细的设备、物件移交清单，标明名称、数量、外观、状态等，办理《钥匙交接清单》《水电表抄表记录》《物业交接清单》《设备移交书》《设备资料移交书》和《设备专用工具和备用件移交书》。</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4304" w:name="_Toc69114006"/>
      <w:r>
        <w:rPr>
          <w:rFonts w:hint="eastAsia" w:ascii="宋体" w:hAnsi="宋体" w:cs="宋体"/>
          <w:b/>
          <w:bCs/>
          <w:color w:val="auto"/>
          <w:sz w:val="28"/>
          <w:szCs w:val="28"/>
          <w:highlight w:val="none"/>
        </w:rPr>
        <w:t>13.</w:t>
      </w:r>
      <w:r>
        <w:rPr>
          <w:rFonts w:ascii="宋体" w:hAnsi="宋体" w:cs="宋体"/>
          <w:b/>
          <w:bCs/>
          <w:color w:val="auto"/>
          <w:sz w:val="28"/>
          <w:szCs w:val="28"/>
          <w:highlight w:val="none"/>
        </w:rPr>
        <w:t>4</w:t>
      </w:r>
      <w:r>
        <w:rPr>
          <w:rFonts w:hint="eastAsia" w:ascii="宋体" w:hAnsi="宋体" w:cs="宋体"/>
          <w:b/>
          <w:bCs/>
          <w:color w:val="auto"/>
          <w:sz w:val="28"/>
          <w:szCs w:val="28"/>
          <w:highlight w:val="none"/>
        </w:rPr>
        <w:t>永久性标牌</w:t>
      </w:r>
      <w:bookmarkEnd w:id="4304"/>
    </w:p>
    <w:p>
      <w:pPr>
        <w:adjustRightInd w:val="0"/>
        <w:snapToGrid w:val="0"/>
        <w:spacing w:line="360" w:lineRule="auto"/>
        <w:ind w:firstLine="420" w:firstLineChars="200"/>
        <w:jc w:val="left"/>
        <w:rPr>
          <w:rFonts w:ascii="宋体" w:hAnsi="宋体" w:cs="宋体"/>
          <w:color w:val="auto"/>
          <w:szCs w:val="21"/>
          <w:highlight w:val="none"/>
          <w:lang w:val="zh-CN"/>
        </w:rPr>
      </w:pPr>
      <w:r>
        <w:rPr>
          <w:rFonts w:hint="eastAsia" w:ascii="宋体" w:hAnsi="宋体" w:cs="宋体"/>
          <w:color w:val="auto"/>
          <w:szCs w:val="21"/>
          <w:highlight w:val="none"/>
          <w:lang w:val="zh-CN"/>
        </w:rPr>
        <w:t>工程竣工验收合格后，发包方应当在建筑物明显部位或施工成果周边明显位置（适用于市政工程）设置永久性标牌，载明建设、勘察、设计、施工、监理单位名称和项目负责人姓名。永久性标牌的具体制作和设置，经发包方书面同意后，具体由承包方实施，费用由发包人承担。</w:t>
      </w:r>
    </w:p>
    <w:p>
      <w:pPr>
        <w:keepNext/>
        <w:keepLines/>
        <w:spacing w:before="156" w:beforeLines="50" w:after="156" w:afterLines="50" w:line="360" w:lineRule="auto"/>
        <w:ind w:firstLine="600" w:firstLineChars="200"/>
        <w:outlineLvl w:val="1"/>
        <w:rPr>
          <w:rFonts w:ascii="宋体" w:hAnsi="宋体" w:cs="宋体"/>
          <w:b/>
          <w:bCs/>
          <w:color w:val="auto"/>
          <w:sz w:val="30"/>
          <w:szCs w:val="30"/>
          <w:highlight w:val="none"/>
        </w:rPr>
      </w:pPr>
      <w:bookmarkStart w:id="4305" w:name="_Toc351203593"/>
      <w:bookmarkStart w:id="4306" w:name="_Toc517528720"/>
      <w:bookmarkStart w:id="4307" w:name="_Toc6637"/>
      <w:bookmarkStart w:id="4308" w:name="_Toc465237225"/>
      <w:bookmarkStart w:id="4309" w:name="_Toc22651"/>
      <w:bookmarkStart w:id="4310" w:name="_Toc380"/>
      <w:bookmarkStart w:id="4311" w:name="_Toc465237128"/>
      <w:bookmarkStart w:id="4312" w:name="_Toc17709"/>
      <w:bookmarkStart w:id="4313" w:name="_Toc21338"/>
      <w:bookmarkStart w:id="4314" w:name="_Toc20732"/>
      <w:bookmarkStart w:id="4315" w:name="_Toc22003"/>
      <w:bookmarkStart w:id="4316" w:name="_Toc3537"/>
      <w:bookmarkStart w:id="4317" w:name="_Toc28086"/>
      <w:bookmarkStart w:id="4318" w:name="_Toc31515"/>
      <w:bookmarkStart w:id="4319" w:name="_Toc19667"/>
      <w:bookmarkStart w:id="4320" w:name="_Toc17123"/>
      <w:bookmarkStart w:id="4321" w:name="_Toc12963"/>
      <w:bookmarkStart w:id="4322" w:name="_Toc517532179"/>
      <w:bookmarkStart w:id="4323" w:name="_Toc12155"/>
      <w:bookmarkStart w:id="4324" w:name="_Toc28933"/>
      <w:bookmarkStart w:id="4325" w:name="_Toc517529747"/>
      <w:bookmarkStart w:id="4326" w:name="_Toc69114007"/>
      <w:bookmarkStart w:id="4327" w:name="_Toc25748"/>
      <w:bookmarkStart w:id="4328" w:name="_Toc24713"/>
      <w:bookmarkStart w:id="4329" w:name="_Toc517530903"/>
      <w:bookmarkStart w:id="4330" w:name="_Toc23259"/>
      <w:bookmarkStart w:id="4331" w:name="_Toc337558810"/>
      <w:bookmarkStart w:id="4332" w:name="_Toc296503113"/>
      <w:bookmarkStart w:id="4333" w:name="_Toc296346614"/>
      <w:r>
        <w:rPr>
          <w:rFonts w:hint="eastAsia" w:ascii="宋体" w:hAnsi="宋体" w:cs="宋体"/>
          <w:b/>
          <w:bCs/>
          <w:color w:val="auto"/>
          <w:sz w:val="30"/>
          <w:szCs w:val="30"/>
          <w:highlight w:val="none"/>
        </w:rPr>
        <w:t>14.</w:t>
      </w:r>
      <w:bookmarkEnd w:id="4305"/>
      <w:r>
        <w:rPr>
          <w:rFonts w:hint="eastAsia" w:ascii="宋体" w:hAnsi="宋体" w:cs="宋体"/>
          <w:b/>
          <w:bCs/>
          <w:color w:val="auto"/>
          <w:sz w:val="30"/>
          <w:szCs w:val="30"/>
          <w:highlight w:val="none"/>
        </w:rPr>
        <w:t xml:space="preserve"> 竣工结算</w:t>
      </w:r>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4334" w:name="_Toc517528721"/>
      <w:bookmarkStart w:id="4335" w:name="_Toc20191"/>
      <w:bookmarkStart w:id="4336" w:name="_Toc10152"/>
      <w:bookmarkStart w:id="4337" w:name="_Toc11084"/>
      <w:bookmarkStart w:id="4338" w:name="_Toc517532180"/>
      <w:bookmarkStart w:id="4339" w:name="_Toc17433"/>
      <w:bookmarkStart w:id="4340" w:name="_Toc11779"/>
      <w:bookmarkStart w:id="4341" w:name="_Toc4789"/>
      <w:bookmarkStart w:id="4342" w:name="_Toc20012"/>
      <w:bookmarkStart w:id="4343" w:name="_Toc10314"/>
      <w:bookmarkStart w:id="4344" w:name="_Toc24973"/>
      <w:bookmarkStart w:id="4345" w:name="_Toc1538"/>
      <w:bookmarkStart w:id="4346" w:name="_Toc69114008"/>
      <w:bookmarkStart w:id="4347" w:name="_Toc23583"/>
      <w:bookmarkStart w:id="4348" w:name="_Toc3461"/>
      <w:bookmarkStart w:id="4349" w:name="_Toc517530904"/>
      <w:bookmarkStart w:id="4350" w:name="_Toc22231"/>
      <w:bookmarkStart w:id="4351" w:name="_Toc23042"/>
      <w:bookmarkStart w:id="4352" w:name="_Toc12389"/>
      <w:bookmarkStart w:id="4353" w:name="_Toc9332"/>
      <w:bookmarkStart w:id="4354" w:name="_Toc17606"/>
      <w:bookmarkStart w:id="4355" w:name="_Toc13883"/>
      <w:r>
        <w:rPr>
          <w:rFonts w:hint="eastAsia" w:ascii="宋体" w:hAnsi="宋体" w:cs="宋体"/>
          <w:b/>
          <w:bCs/>
          <w:color w:val="auto"/>
          <w:sz w:val="28"/>
          <w:szCs w:val="28"/>
          <w:highlight w:val="none"/>
        </w:rPr>
        <w:t>14.1竣工结账单</w:t>
      </w:r>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在合同工程交接证书签发后42天内，承包人应以监理人批准的格式向监理人提交一份竣工结账单，并附上用详细资料说明的证实文件，表明：</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(a)根据合同规定，直到交接证书中写明的竣工日期为止所完成的全部工程的最终价值；</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(b)承包人认为应付给他的进一步的款项；</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(c)承包人认为根据合同到期应付给他的各项款额的估算值。</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上述估算的各项款额应在竣工结账单内分别填报。监理人应根据第12.3.3条规定的核证此支付，并报发包人审批。</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在合同工程通过竣工验收后</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90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内，承包人应按照合同专用条款附件发包人工程结算管理办法及发包人的有关要求编报工程竣工结算。办理竣工结算的有关规定详见发包人工程结算管理办法。若承包人不按上述规定时间报送结算，发包人可对承包人发催报书面通知；在通知规定期限内仍不报送结算的，发包人有权按已有资料或按已付工程款办理结算，并记录承包人不良行为。</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发包人在规定时间对承包人的结算进行审核后报送相关机构审定（审核）的，应视为发包人履行了结算义务。若相关机构审定（审核）逾期的，承包人不得追究发包人责任。</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4356" w:name="_Toc16016"/>
      <w:bookmarkStart w:id="4357" w:name="_Toc69114009"/>
      <w:bookmarkStart w:id="4358" w:name="_Toc5923"/>
      <w:bookmarkStart w:id="4359" w:name="_Toc517530905"/>
      <w:bookmarkStart w:id="4360" w:name="_Toc19631"/>
      <w:bookmarkStart w:id="4361" w:name="_Toc20296"/>
      <w:bookmarkStart w:id="4362" w:name="_Toc517528722"/>
      <w:bookmarkStart w:id="4363" w:name="_Toc517532181"/>
      <w:bookmarkStart w:id="4364" w:name="_Toc16214"/>
      <w:bookmarkStart w:id="4365" w:name="_Toc22263"/>
      <w:bookmarkStart w:id="4366" w:name="_Toc27099"/>
      <w:bookmarkStart w:id="4367" w:name="_Toc5949"/>
      <w:bookmarkStart w:id="4368" w:name="_Toc26483"/>
      <w:bookmarkStart w:id="4369" w:name="_Toc26867"/>
      <w:bookmarkStart w:id="4370" w:name="_Toc27179"/>
      <w:bookmarkStart w:id="4371" w:name="_Toc20965"/>
      <w:bookmarkStart w:id="4372" w:name="_Toc8732"/>
      <w:bookmarkStart w:id="4373" w:name="_Toc15379"/>
      <w:bookmarkStart w:id="4374" w:name="_Toc12090"/>
      <w:bookmarkStart w:id="4375" w:name="_Toc15501"/>
      <w:bookmarkStart w:id="4376" w:name="_Toc5009"/>
      <w:bookmarkStart w:id="4377" w:name="_Toc19681"/>
      <w:r>
        <w:rPr>
          <w:rFonts w:hint="eastAsia" w:ascii="宋体" w:hAnsi="宋体" w:cs="宋体"/>
          <w:b/>
          <w:bCs/>
          <w:color w:val="auto"/>
          <w:sz w:val="28"/>
          <w:szCs w:val="28"/>
          <w:highlight w:val="none"/>
        </w:rPr>
        <w:t>14.2签发履约证书</w:t>
      </w:r>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唯有本条规定的履约证书才能被视为构成本合同工程已经完成的批准文件。</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只有在签发了履约证书，写明承包人实施和完成本合同工程的义务已经完成，并达到符合合同约定的要求时，才能认为本合同已经结束。履约证书应由监理人核签报经发包人</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同意后，由发包人在履约期满后</w:t>
      </w:r>
      <w:r>
        <w:rPr>
          <w:rFonts w:hint="eastAsia" w:ascii="宋体" w:hAnsi="宋体" w:cs="宋体"/>
          <w:color w:val="auto"/>
          <w:szCs w:val="21"/>
          <w:highlight w:val="none"/>
          <w:u w:val="single"/>
        </w:rPr>
        <w:t>21</w:t>
      </w:r>
      <w:r>
        <w:rPr>
          <w:rFonts w:hint="eastAsia" w:ascii="宋体" w:hAnsi="宋体" w:cs="宋体"/>
          <w:color w:val="auto"/>
          <w:szCs w:val="21"/>
          <w:highlight w:val="none"/>
        </w:rPr>
        <w:t>天内发给承包人。</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尽管颁发了履约证书，但承包人和发包人仍应负责履行在履约证书颁发之前按合同规定应予履行的、而在履约证书颁发时尚未完成的义务，本合同对当事人双方应具有约束力。</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4378" w:name="_Toc19611"/>
      <w:bookmarkStart w:id="4379" w:name="_Toc1991"/>
      <w:bookmarkStart w:id="4380" w:name="_Toc11515"/>
      <w:bookmarkStart w:id="4381" w:name="_Toc69114010"/>
      <w:bookmarkStart w:id="4382" w:name="_Toc517532182"/>
      <w:bookmarkStart w:id="4383" w:name="_Toc5897"/>
      <w:bookmarkStart w:id="4384" w:name="_Toc517530906"/>
      <w:bookmarkStart w:id="4385" w:name="_Toc25601"/>
      <w:bookmarkStart w:id="4386" w:name="_Toc9407"/>
      <w:bookmarkStart w:id="4387" w:name="_Toc28478"/>
      <w:bookmarkStart w:id="4388" w:name="_Toc11478"/>
      <w:bookmarkStart w:id="4389" w:name="_Toc26650"/>
      <w:bookmarkStart w:id="4390" w:name="_Toc17178"/>
      <w:bookmarkStart w:id="4391" w:name="_Toc965"/>
      <w:bookmarkStart w:id="4392" w:name="_Toc20475"/>
      <w:bookmarkStart w:id="4393" w:name="_Toc12602"/>
      <w:bookmarkStart w:id="4394" w:name="_Toc517528723"/>
      <w:bookmarkStart w:id="4395" w:name="_Toc14633"/>
      <w:bookmarkStart w:id="4396" w:name="_Toc15530"/>
      <w:bookmarkStart w:id="4397" w:name="_Toc28490"/>
      <w:bookmarkStart w:id="4398" w:name="_Toc15954"/>
      <w:bookmarkStart w:id="4399" w:name="_Toc3376"/>
      <w:r>
        <w:rPr>
          <w:rFonts w:hint="eastAsia" w:ascii="宋体" w:hAnsi="宋体" w:cs="宋体"/>
          <w:b/>
          <w:bCs/>
          <w:color w:val="auto"/>
          <w:sz w:val="28"/>
          <w:szCs w:val="28"/>
          <w:highlight w:val="none"/>
        </w:rPr>
        <w:t>14.3最后结账单</w:t>
      </w:r>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在根据第14.2条规定发出履约证书的</w:t>
      </w:r>
      <w:r>
        <w:rPr>
          <w:rFonts w:hint="eastAsia" w:ascii="宋体" w:hAnsi="宋体" w:cs="宋体"/>
          <w:color w:val="auto"/>
          <w:szCs w:val="21"/>
          <w:highlight w:val="none"/>
          <w:u w:val="single"/>
        </w:rPr>
        <w:t>28</w:t>
      </w:r>
      <w:r>
        <w:rPr>
          <w:rFonts w:hint="eastAsia" w:ascii="宋体" w:hAnsi="宋体" w:cs="宋体"/>
          <w:color w:val="auto"/>
          <w:szCs w:val="21"/>
          <w:highlight w:val="none"/>
        </w:rPr>
        <w:t>天之内，承包人应以监理人批准的格式向监理人提交一份最后结账单草案，并附上详细的证实文件，供监理人审核，表明：</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(a)根据合同规定已经完成的全部工程的价值；</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(b)承包人根据合同规定认为应该付给他的任何进一步的款项。</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监理人不同意或者不核证最后结账单草案的任一部分，承包人应按监理人的合理要求，提交进一步的资料，并按照双方协商的结果对最后结账单草案作出相应的修改，然后由承包人编制，并向监理人提交双方同意的最后结账单。</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4400" w:name="_Toc18662"/>
      <w:bookmarkStart w:id="4401" w:name="_Toc9363"/>
      <w:bookmarkStart w:id="4402" w:name="_Toc517530907"/>
      <w:bookmarkStart w:id="4403" w:name="_Toc69114011"/>
      <w:bookmarkStart w:id="4404" w:name="_Toc15433"/>
      <w:bookmarkStart w:id="4405" w:name="_Toc20951"/>
      <w:bookmarkStart w:id="4406" w:name="_Toc517528724"/>
      <w:bookmarkStart w:id="4407" w:name="_Toc28139"/>
      <w:bookmarkStart w:id="4408" w:name="_Toc30548"/>
      <w:bookmarkStart w:id="4409" w:name="_Toc12719"/>
      <w:bookmarkStart w:id="4410" w:name="_Toc14297"/>
      <w:bookmarkStart w:id="4411" w:name="_Toc24968"/>
      <w:bookmarkStart w:id="4412" w:name="_Toc19759"/>
      <w:bookmarkStart w:id="4413" w:name="_Toc821"/>
      <w:bookmarkStart w:id="4414" w:name="_Toc31275"/>
      <w:bookmarkStart w:id="4415" w:name="_Toc26385"/>
      <w:bookmarkStart w:id="4416" w:name="_Toc1389"/>
      <w:bookmarkStart w:id="4417" w:name="_Toc32734"/>
      <w:bookmarkStart w:id="4418" w:name="_Toc2845"/>
      <w:bookmarkStart w:id="4419" w:name="_Toc517532183"/>
      <w:bookmarkStart w:id="4420" w:name="_Toc26817"/>
      <w:bookmarkStart w:id="4421" w:name="_Toc8624"/>
      <w:r>
        <w:rPr>
          <w:rFonts w:hint="eastAsia" w:ascii="宋体" w:hAnsi="宋体" w:cs="宋体"/>
          <w:b/>
          <w:bCs/>
          <w:color w:val="auto"/>
          <w:sz w:val="28"/>
          <w:szCs w:val="28"/>
          <w:highlight w:val="none"/>
        </w:rPr>
        <w:t>14.4清账单</w:t>
      </w:r>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提交最后结账单时，承包人应给发包人一份书面清账书，并抄送监理人，确认最后结账单中的总金额代表了根据合同规定应付给承包人的全部款项的最后结算。但是该清账书仅在根据第14.6条规定发出的最后支付证书项下的应付款已经支付，和第3.7条所指的履约担保已经退还给承包人之后才生效。</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4422" w:name="_Toc517532184"/>
      <w:bookmarkStart w:id="4423" w:name="_Toc8065"/>
      <w:bookmarkStart w:id="4424" w:name="_Toc31309"/>
      <w:bookmarkStart w:id="4425" w:name="_Toc12774"/>
      <w:bookmarkStart w:id="4426" w:name="_Toc517528725"/>
      <w:bookmarkStart w:id="4427" w:name="_Toc2616"/>
      <w:bookmarkStart w:id="4428" w:name="_Toc2374"/>
      <w:bookmarkStart w:id="4429" w:name="_Toc517530908"/>
      <w:bookmarkStart w:id="4430" w:name="_Toc9178"/>
      <w:bookmarkStart w:id="4431" w:name="_Toc32649"/>
      <w:bookmarkStart w:id="4432" w:name="_Toc3822"/>
      <w:bookmarkStart w:id="4433" w:name="_Toc8554"/>
      <w:bookmarkStart w:id="4434" w:name="_Toc23549"/>
      <w:bookmarkStart w:id="4435" w:name="_Toc69114012"/>
      <w:bookmarkStart w:id="4436" w:name="_Toc1107"/>
      <w:bookmarkStart w:id="4437" w:name="_Toc2482"/>
      <w:bookmarkStart w:id="4438" w:name="_Toc19122"/>
      <w:bookmarkStart w:id="4439" w:name="_Toc2840"/>
      <w:bookmarkStart w:id="4440" w:name="_Toc17714"/>
      <w:bookmarkStart w:id="4441" w:name="_Toc2289"/>
      <w:bookmarkStart w:id="4442" w:name="_Toc16568"/>
      <w:bookmarkStart w:id="4443" w:name="_Toc540"/>
      <w:r>
        <w:rPr>
          <w:rFonts w:hint="eastAsia" w:ascii="宋体" w:hAnsi="宋体" w:cs="宋体"/>
          <w:b/>
          <w:bCs/>
          <w:color w:val="auto"/>
          <w:sz w:val="28"/>
          <w:szCs w:val="28"/>
          <w:highlight w:val="none"/>
        </w:rPr>
        <w:t>14.5甩项竣工协议</w:t>
      </w:r>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发包人要求甩项竣工的，合同当事人应签订甩项竣工协议。在甩项竣工协议中应明确，合同当事人按照第14.1款的约定，对已完合格工程进行结算，并支付相应合同价款。</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4444" w:name="_Toc517530909"/>
      <w:bookmarkStart w:id="4445" w:name="_Toc5402"/>
      <w:bookmarkStart w:id="4446" w:name="_Toc26798"/>
      <w:bookmarkStart w:id="4447" w:name="_Toc517532185"/>
      <w:bookmarkStart w:id="4448" w:name="_Toc517528726"/>
      <w:bookmarkStart w:id="4449" w:name="_Toc69114013"/>
      <w:bookmarkStart w:id="4450" w:name="_Toc15922"/>
      <w:bookmarkStart w:id="4451" w:name="_Toc18841"/>
      <w:bookmarkStart w:id="4452" w:name="_Toc11604"/>
      <w:bookmarkStart w:id="4453" w:name="_Toc9321"/>
      <w:bookmarkStart w:id="4454" w:name="_Toc30801"/>
      <w:bookmarkStart w:id="4455" w:name="_Toc21610"/>
      <w:bookmarkStart w:id="4456" w:name="_Toc17990"/>
      <w:bookmarkStart w:id="4457" w:name="_Toc19361"/>
      <w:bookmarkStart w:id="4458" w:name="_Toc22257"/>
      <w:bookmarkStart w:id="4459" w:name="_Toc11358"/>
      <w:bookmarkStart w:id="4460" w:name="_Toc30449"/>
      <w:bookmarkStart w:id="4461" w:name="_Toc11856"/>
      <w:bookmarkStart w:id="4462" w:name="_Toc11870"/>
      <w:bookmarkStart w:id="4463" w:name="_Toc860"/>
      <w:bookmarkStart w:id="4464" w:name="_Toc31306"/>
      <w:bookmarkStart w:id="4465" w:name="_Toc7912"/>
      <w:r>
        <w:rPr>
          <w:rFonts w:hint="eastAsia" w:ascii="宋体" w:hAnsi="宋体" w:cs="宋体"/>
          <w:b/>
          <w:bCs/>
          <w:color w:val="auto"/>
          <w:sz w:val="28"/>
          <w:szCs w:val="28"/>
          <w:highlight w:val="none"/>
        </w:rPr>
        <w:t>14.6最后支付证书</w:t>
      </w:r>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在最后结账单和清账书收到14天之后，监理人应签发一份最后付支付证书报发包人审批，并抄送给承包人，说明：</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(a)监理人认为根据合同规定的最后应付的款额；</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(b)在对发包人以前所付的全部款额和发包人根据合同规定应得的全部款项予以确认后，发包人欠承包人或承包人欠发包人（视具体情况）的差额（如有）。</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4466" w:name="_Toc14712"/>
      <w:bookmarkStart w:id="4467" w:name="_Toc517528727"/>
      <w:bookmarkStart w:id="4468" w:name="_Toc69114014"/>
      <w:bookmarkStart w:id="4469" w:name="_Toc517532186"/>
      <w:bookmarkStart w:id="4470" w:name="_Toc10355"/>
      <w:bookmarkStart w:id="4471" w:name="_Toc12900"/>
      <w:bookmarkStart w:id="4472" w:name="_Toc517530910"/>
      <w:r>
        <w:rPr>
          <w:rFonts w:hint="eastAsia" w:ascii="宋体" w:hAnsi="宋体" w:cs="宋体"/>
          <w:b/>
          <w:bCs/>
          <w:color w:val="auto"/>
          <w:sz w:val="28"/>
          <w:szCs w:val="28"/>
          <w:highlight w:val="none"/>
        </w:rPr>
        <w:t>14.7发包人责任的终止</w:t>
      </w:r>
      <w:bookmarkEnd w:id="4466"/>
      <w:bookmarkEnd w:id="4467"/>
      <w:bookmarkEnd w:id="4468"/>
      <w:bookmarkEnd w:id="4469"/>
      <w:bookmarkEnd w:id="4470"/>
      <w:bookmarkEnd w:id="4471"/>
      <w:bookmarkEnd w:id="4472"/>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发包人对承包人由于履行合同或工程实施而产生的或与此二者有关的任何问题或事情应不承担任何责任，除非承包人已在最后结账单中列入索赔要求。</w:t>
      </w:r>
    </w:p>
    <w:p>
      <w:pPr>
        <w:spacing w:line="360" w:lineRule="auto"/>
        <w:ind w:firstLine="420" w:firstLineChars="200"/>
        <w:jc w:val="left"/>
        <w:rPr>
          <w:rFonts w:ascii="宋体" w:hAnsi="宋体" w:cs="宋体"/>
          <w:color w:val="auto"/>
          <w:szCs w:val="21"/>
          <w:highlight w:val="none"/>
        </w:rPr>
      </w:pPr>
    </w:p>
    <w:bookmarkEnd w:id="4331"/>
    <w:p>
      <w:pPr>
        <w:keepNext/>
        <w:keepLines/>
        <w:spacing w:before="156" w:beforeLines="50" w:after="156" w:afterLines="50" w:line="360" w:lineRule="auto"/>
        <w:ind w:firstLine="600" w:firstLineChars="200"/>
        <w:outlineLvl w:val="1"/>
        <w:rPr>
          <w:rFonts w:ascii="宋体" w:hAnsi="宋体" w:cs="宋体"/>
          <w:b/>
          <w:bCs/>
          <w:color w:val="auto"/>
          <w:sz w:val="30"/>
          <w:szCs w:val="30"/>
          <w:highlight w:val="none"/>
        </w:rPr>
      </w:pPr>
      <w:bookmarkStart w:id="4473" w:name="_Toc351203598"/>
      <w:bookmarkStart w:id="4474" w:name="_Toc1033"/>
      <w:bookmarkStart w:id="4475" w:name="_Toc30630"/>
      <w:bookmarkStart w:id="4476" w:name="_Toc5450"/>
      <w:bookmarkStart w:id="4477" w:name="_Toc465237129"/>
      <w:bookmarkStart w:id="4478" w:name="_Toc19772"/>
      <w:bookmarkStart w:id="4479" w:name="_Toc517530911"/>
      <w:bookmarkStart w:id="4480" w:name="_Toc10173"/>
      <w:bookmarkStart w:id="4481" w:name="_Toc11133"/>
      <w:bookmarkStart w:id="4482" w:name="_Toc2502"/>
      <w:bookmarkStart w:id="4483" w:name="_Toc26734"/>
      <w:bookmarkStart w:id="4484" w:name="_Toc517532187"/>
      <w:bookmarkStart w:id="4485" w:name="_Toc2099"/>
      <w:bookmarkStart w:id="4486" w:name="_Toc69114015"/>
      <w:bookmarkStart w:id="4487" w:name="_Toc17675"/>
      <w:bookmarkStart w:id="4488" w:name="_Toc12622"/>
      <w:bookmarkStart w:id="4489" w:name="_Toc32631"/>
      <w:bookmarkStart w:id="4490" w:name="_Toc23210"/>
      <w:bookmarkStart w:id="4491" w:name="_Toc465237226"/>
      <w:bookmarkStart w:id="4492" w:name="_Toc517529748"/>
      <w:bookmarkStart w:id="4493" w:name="_Toc517528728"/>
      <w:bookmarkStart w:id="4494" w:name="_Toc5261"/>
      <w:bookmarkStart w:id="4495" w:name="_Toc25414"/>
      <w:bookmarkStart w:id="4496" w:name="_Toc30418"/>
      <w:bookmarkStart w:id="4497" w:name="_Toc25537"/>
      <w:bookmarkStart w:id="4498" w:name="_Toc15201"/>
      <w:bookmarkStart w:id="4499" w:name="_Toc337558815"/>
      <w:r>
        <w:rPr>
          <w:rFonts w:hint="eastAsia" w:ascii="宋体" w:hAnsi="宋体" w:cs="宋体"/>
          <w:b/>
          <w:bCs/>
          <w:color w:val="auto"/>
          <w:sz w:val="30"/>
          <w:szCs w:val="30"/>
          <w:highlight w:val="none"/>
        </w:rPr>
        <w:t>15.</w:t>
      </w:r>
      <w:bookmarkEnd w:id="4473"/>
      <w:r>
        <w:rPr>
          <w:rFonts w:hint="eastAsia" w:ascii="宋体" w:hAnsi="宋体" w:cs="宋体"/>
          <w:b/>
          <w:bCs/>
          <w:color w:val="auto"/>
          <w:sz w:val="30"/>
          <w:szCs w:val="30"/>
          <w:highlight w:val="none"/>
        </w:rPr>
        <w:t xml:space="preserve"> 缺陷责任与保修</w:t>
      </w:r>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4500" w:name="_Toc16317"/>
      <w:bookmarkStart w:id="4501" w:name="_Toc15888"/>
      <w:bookmarkStart w:id="4502" w:name="_Toc18257"/>
      <w:bookmarkStart w:id="4503" w:name="_Toc21657"/>
      <w:bookmarkStart w:id="4504" w:name="_Toc5479"/>
      <w:bookmarkStart w:id="4505" w:name="_Toc22027"/>
      <w:bookmarkStart w:id="4506" w:name="_Toc8284"/>
      <w:bookmarkStart w:id="4507" w:name="_Toc22426"/>
      <w:bookmarkStart w:id="4508" w:name="_Toc18536"/>
      <w:bookmarkStart w:id="4509" w:name="_Toc14861"/>
      <w:bookmarkStart w:id="4510" w:name="_Toc517532188"/>
      <w:bookmarkStart w:id="4511" w:name="_Toc23063"/>
      <w:bookmarkStart w:id="4512" w:name="_Toc10894"/>
      <w:bookmarkStart w:id="4513" w:name="_Toc69114016"/>
      <w:bookmarkStart w:id="4514" w:name="_Toc517528729"/>
      <w:bookmarkStart w:id="4515" w:name="_Toc8616"/>
      <w:bookmarkStart w:id="4516" w:name="_Toc517530912"/>
      <w:bookmarkStart w:id="4517" w:name="_Toc2271"/>
      <w:bookmarkStart w:id="4518" w:name="_Toc15391"/>
      <w:bookmarkStart w:id="4519" w:name="_Toc3327"/>
      <w:bookmarkStart w:id="4520" w:name="_Toc26205"/>
      <w:bookmarkStart w:id="4521" w:name="_Toc6082"/>
      <w:r>
        <w:rPr>
          <w:rFonts w:hint="eastAsia" w:ascii="宋体" w:hAnsi="宋体" w:cs="宋体"/>
          <w:b/>
          <w:bCs/>
          <w:color w:val="auto"/>
          <w:sz w:val="28"/>
          <w:szCs w:val="28"/>
          <w:highlight w:val="none"/>
        </w:rPr>
        <w:t>15.1完成未完工作和修复缺陷</w:t>
      </w:r>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为了在履约期满后承包人能立即将合同工程交给发包人,在履约期满前,由发包人会同监理人及有关部门参加下，对工程进行一次全面检查，使本工程按合同所要求的条件（正常磨损除外），达到发包人和监理人的要求。为此，承包人应：</w:t>
      </w:r>
    </w:p>
    <w:p>
      <w:pPr>
        <w:spacing w:line="360" w:lineRule="auto"/>
        <w:ind w:firstLine="420" w:firstLineChars="200"/>
        <w:jc w:val="left"/>
        <w:rPr>
          <w:rFonts w:ascii="宋体" w:hAnsi="宋体" w:cs="宋体"/>
          <w:color w:val="auto"/>
          <w:spacing w:val="-4"/>
          <w:szCs w:val="21"/>
          <w:highlight w:val="none"/>
        </w:rPr>
      </w:pPr>
      <w:r>
        <w:rPr>
          <w:rFonts w:hint="eastAsia" w:ascii="宋体" w:hAnsi="宋体" w:cs="宋体"/>
          <w:color w:val="auto"/>
          <w:szCs w:val="21"/>
          <w:highlight w:val="none"/>
        </w:rPr>
        <w:t>(a)在履约期内，尽快完成在交接证书中写明的竣工日期之后尚未完成的工作（</w:t>
      </w:r>
      <w:r>
        <w:rPr>
          <w:rFonts w:hint="eastAsia" w:ascii="宋体" w:hAnsi="宋体" w:cs="宋体"/>
          <w:color w:val="auto"/>
          <w:spacing w:val="-4"/>
          <w:szCs w:val="21"/>
          <w:highlight w:val="none"/>
        </w:rPr>
        <w:t>如有），并随时完成对本工程缺陷的修复或监理人指令的修补工作；以及</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(b)在履约期满后的14天内，按照发包人和监理人在履约期满前检查结果而发出的指令，对存在缺陷或其他不合格之处进行修补、重建及修复。</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应根据合同约定完成工程实施过程中及收尾阶段的清洁、现场垃圾清运工作，承包人应履行合同约定的保修义务，若有此类指令，承包人应在接到相关指令或通知之日起在指令或通知要求的时间内派人执行，否则，发包人有权直接委托他人执行，相关费用从工程结算款、质量保证金内扣除或向承包人索赔，承包人不得对该费用提出任何异议。</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4522" w:name="_Toc22095"/>
      <w:bookmarkStart w:id="4523" w:name="_Toc24488"/>
      <w:bookmarkStart w:id="4524" w:name="_Toc6858"/>
      <w:bookmarkStart w:id="4525" w:name="_Toc5512"/>
      <w:bookmarkStart w:id="4526" w:name="_Toc30445"/>
      <w:bookmarkStart w:id="4527" w:name="_Toc517530913"/>
      <w:bookmarkStart w:id="4528" w:name="_Toc29419"/>
      <w:bookmarkStart w:id="4529" w:name="_Toc20958"/>
      <w:bookmarkStart w:id="4530" w:name="_Toc12201"/>
      <w:bookmarkStart w:id="4531" w:name="_Toc2102"/>
      <w:bookmarkStart w:id="4532" w:name="_Toc24952"/>
      <w:bookmarkStart w:id="4533" w:name="_Toc19358"/>
      <w:bookmarkStart w:id="4534" w:name="_Toc16065"/>
      <w:bookmarkStart w:id="4535" w:name="_Toc517528730"/>
      <w:bookmarkStart w:id="4536" w:name="_Toc21428"/>
      <w:bookmarkStart w:id="4537" w:name="_Toc26129"/>
      <w:bookmarkStart w:id="4538" w:name="_Toc22898"/>
      <w:bookmarkStart w:id="4539" w:name="_Toc69114017"/>
      <w:bookmarkStart w:id="4540" w:name="_Toc22298"/>
      <w:bookmarkStart w:id="4541" w:name="_Toc9841"/>
      <w:bookmarkStart w:id="4542" w:name="_Toc517532189"/>
      <w:bookmarkStart w:id="4543" w:name="_Toc14311"/>
      <w:r>
        <w:rPr>
          <w:rFonts w:hint="eastAsia" w:ascii="宋体" w:hAnsi="宋体" w:cs="宋体"/>
          <w:b/>
          <w:bCs/>
          <w:color w:val="auto"/>
          <w:sz w:val="28"/>
          <w:szCs w:val="28"/>
          <w:highlight w:val="none"/>
        </w:rPr>
        <w:t>15.2缺陷的调查</w:t>
      </w:r>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履约期内，如果在本合同工程中出现任何缺陷或其他不合格之处，则监理人可指令承包人，在监理人的指导下调查上述缺陷或其他不合格之处的原因，并将该指令抄送发包人。如果调查结果确定不属于合同项下承包人的责任，则监理人在与发包人和承包人协商后应确定承包人进行上述调查的费用，将此费用加到合同价格上，并通知承包人，抄送发包人。如果调查结果确定是属于承包人的责任所造成，则上述调查的费用应由承包人承担。在此情况下，承包人应根据第15条规定自费修复上述缺陷或其他不合格之处。</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4544" w:name="_Toc30034"/>
      <w:bookmarkStart w:id="4545" w:name="_Toc517530914"/>
      <w:bookmarkStart w:id="4546" w:name="_Toc13307"/>
      <w:bookmarkStart w:id="4547" w:name="_Toc11802"/>
      <w:bookmarkStart w:id="4548" w:name="_Toc6634"/>
      <w:bookmarkStart w:id="4549" w:name="_Toc517532190"/>
      <w:bookmarkStart w:id="4550" w:name="_Toc31772"/>
      <w:bookmarkStart w:id="4551" w:name="_Toc10403"/>
      <w:bookmarkStart w:id="4552" w:name="_Toc4161"/>
      <w:bookmarkStart w:id="4553" w:name="_Toc6960"/>
      <w:bookmarkStart w:id="4554" w:name="_Toc11646"/>
      <w:bookmarkStart w:id="4555" w:name="_Toc810"/>
      <w:bookmarkStart w:id="4556" w:name="_Toc517528731"/>
      <w:bookmarkStart w:id="4557" w:name="_Toc7082"/>
      <w:bookmarkStart w:id="4558" w:name="_Toc69114018"/>
      <w:bookmarkStart w:id="4559" w:name="_Toc2728"/>
      <w:bookmarkStart w:id="4560" w:name="_Toc3908"/>
      <w:bookmarkStart w:id="4561" w:name="_Toc1081"/>
      <w:bookmarkStart w:id="4562" w:name="_Toc555"/>
      <w:bookmarkStart w:id="4563" w:name="_Toc12129"/>
      <w:bookmarkStart w:id="4564" w:name="_Toc23559"/>
      <w:bookmarkStart w:id="4565" w:name="_Toc29923"/>
      <w:r>
        <w:rPr>
          <w:rFonts w:hint="eastAsia" w:ascii="宋体" w:hAnsi="宋体" w:cs="宋体"/>
          <w:b/>
          <w:bCs/>
          <w:color w:val="auto"/>
          <w:sz w:val="28"/>
          <w:szCs w:val="28"/>
          <w:highlight w:val="none"/>
        </w:rPr>
        <w:t>15.3缺陷修复的费用</w:t>
      </w:r>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在缺陷责任期内，下列原因造成的缺陷修复费用应由承包人自行承担：</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(a)承包人所用的材料、设备或操作工艺不符合合同要求；</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(b)承包人负责设计的永久工程，在设计中有错误；</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(c)承包人的疏忽或未遵守本合同中对承包人规定的义务。</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如果监理人指令承包人修复的缺陷是不属于上述原因造成的，则监理人应根据第10条的规定，在与承包人协商并报发包人</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批准后，确定合同价格的增加额，通知承包人，并抄送发包人。</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承包人未能在合理的时间内执行上述指令，则发包人有权雇用其他人从事该项工作并支付报酬。如果监理人认为该项工作根据合同应是承包人自费进行的工作，则监理人在与发包人和承包人适当协商后应确定所有由此造成的或伴随产生的费用，该费用应由承包人负责，发包人可从应退还给承包人的质量保证金中扣除或向承包人索回。监理人应通知承包人，并抄送发包人。</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4566" w:name="_Toc6943"/>
      <w:bookmarkStart w:id="4567" w:name="_Toc13112"/>
      <w:bookmarkStart w:id="4568" w:name="_Toc735"/>
      <w:bookmarkStart w:id="4569" w:name="_Toc17734"/>
      <w:bookmarkStart w:id="4570" w:name="_Toc27845"/>
      <w:bookmarkStart w:id="4571" w:name="_Toc25626"/>
      <w:bookmarkStart w:id="4572" w:name="_Toc517528732"/>
      <w:bookmarkStart w:id="4573" w:name="_Toc15569"/>
      <w:bookmarkStart w:id="4574" w:name="_Toc14459"/>
      <w:bookmarkStart w:id="4575" w:name="_Toc7442"/>
      <w:bookmarkStart w:id="4576" w:name="_Toc517532191"/>
      <w:bookmarkStart w:id="4577" w:name="_Toc30087"/>
      <w:bookmarkStart w:id="4578" w:name="_Toc28142"/>
      <w:bookmarkStart w:id="4579" w:name="_Toc69114019"/>
      <w:bookmarkStart w:id="4580" w:name="_Toc2188"/>
      <w:bookmarkStart w:id="4581" w:name="_Toc15881"/>
      <w:bookmarkStart w:id="4582" w:name="_Toc7962"/>
      <w:bookmarkStart w:id="4583" w:name="_Toc7417"/>
      <w:bookmarkStart w:id="4584" w:name="_Toc1779"/>
      <w:bookmarkStart w:id="4585" w:name="_Toc15218"/>
      <w:bookmarkStart w:id="4586" w:name="_Toc10523"/>
      <w:bookmarkStart w:id="4587" w:name="_Toc517530915"/>
      <w:r>
        <w:rPr>
          <w:rFonts w:hint="eastAsia" w:ascii="宋体" w:hAnsi="宋体" w:cs="宋体"/>
          <w:b/>
          <w:bCs/>
          <w:color w:val="auto"/>
          <w:sz w:val="28"/>
          <w:szCs w:val="28"/>
          <w:highlight w:val="none"/>
        </w:rPr>
        <w:t>15.4履约期满后的缺陷责任</w:t>
      </w:r>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履约期满并不意味着承包人对工程质量缺陷的责任终止。在履约期满后，承包人对工程质量缺陷的修复责任按双方签订的《工程质量保修书》约定保修期限和责任范围承担保修期内的缺陷修复。</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4588" w:name="_Toc7044"/>
      <w:bookmarkStart w:id="4589" w:name="_Toc25386"/>
      <w:bookmarkStart w:id="4590" w:name="_Toc22810"/>
      <w:bookmarkStart w:id="4591" w:name="_Toc22024"/>
      <w:bookmarkStart w:id="4592" w:name="_Toc16693"/>
      <w:bookmarkStart w:id="4593" w:name="_Toc69114020"/>
      <w:bookmarkStart w:id="4594" w:name="_Toc9179"/>
      <w:bookmarkStart w:id="4595" w:name="_Toc517528733"/>
      <w:bookmarkStart w:id="4596" w:name="_Toc517532192"/>
      <w:bookmarkStart w:id="4597" w:name="_Toc1099"/>
      <w:bookmarkStart w:id="4598" w:name="_Toc10779"/>
      <w:bookmarkStart w:id="4599" w:name="_Toc3750"/>
      <w:bookmarkStart w:id="4600" w:name="_Toc26937"/>
      <w:bookmarkStart w:id="4601" w:name="_Toc23426"/>
      <w:bookmarkStart w:id="4602" w:name="_Toc15069"/>
      <w:bookmarkStart w:id="4603" w:name="_Toc26715"/>
      <w:bookmarkStart w:id="4604" w:name="_Toc19769"/>
      <w:bookmarkStart w:id="4605" w:name="_Toc30722"/>
      <w:bookmarkStart w:id="4606" w:name="_Toc29247"/>
      <w:bookmarkStart w:id="4607" w:name="_Toc517530916"/>
      <w:bookmarkStart w:id="4608" w:name="_Toc21216"/>
      <w:bookmarkStart w:id="4609" w:name="_Toc18275"/>
      <w:r>
        <w:rPr>
          <w:rFonts w:hint="eastAsia" w:ascii="宋体" w:hAnsi="宋体" w:cs="宋体"/>
          <w:b/>
          <w:bCs/>
          <w:color w:val="auto"/>
          <w:sz w:val="28"/>
          <w:szCs w:val="28"/>
          <w:highlight w:val="none"/>
        </w:rPr>
        <w:t>15.5质量保证金的扣留</w:t>
      </w:r>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p>
    <w:p>
      <w:pPr>
        <w:tabs>
          <w:tab w:val="left" w:pos="126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质量保证金应按投标书附件中规定的百分数乘以第12.3条(</w:t>
      </w:r>
      <w:r>
        <w:rPr>
          <w:rFonts w:ascii="宋体" w:hAnsi="宋体" w:cs="宋体"/>
          <w:color w:val="auto"/>
          <w:szCs w:val="21"/>
          <w:highlight w:val="none"/>
        </w:rPr>
        <w:t>1</w:t>
      </w: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w:t>
      </w:r>
      <w:r>
        <w:rPr>
          <w:rFonts w:ascii="宋体" w:hAnsi="宋体" w:cs="宋体"/>
          <w:color w:val="auto"/>
          <w:szCs w:val="21"/>
          <w:highlight w:val="none"/>
        </w:rPr>
        <w:t>6</w:t>
      </w:r>
      <w:r>
        <w:rPr>
          <w:rFonts w:hint="eastAsia" w:ascii="宋体" w:hAnsi="宋体" w:cs="宋体"/>
          <w:color w:val="auto"/>
          <w:szCs w:val="21"/>
          <w:highlight w:val="none"/>
        </w:rPr>
        <w:t>)、(</w:t>
      </w:r>
      <w:r>
        <w:rPr>
          <w:rFonts w:ascii="宋体" w:hAnsi="宋体" w:cs="宋体"/>
          <w:color w:val="auto"/>
          <w:szCs w:val="21"/>
          <w:highlight w:val="none"/>
        </w:rPr>
        <w:t>7</w:t>
      </w:r>
      <w:r>
        <w:rPr>
          <w:rFonts w:hint="eastAsia" w:ascii="宋体" w:hAnsi="宋体" w:cs="宋体"/>
          <w:color w:val="auto"/>
          <w:szCs w:val="21"/>
          <w:highlight w:val="none"/>
        </w:rPr>
        <w:t>)、(</w:t>
      </w:r>
      <w:r>
        <w:rPr>
          <w:rFonts w:ascii="宋体" w:hAnsi="宋体" w:cs="宋体"/>
          <w:color w:val="auto"/>
          <w:szCs w:val="21"/>
          <w:highlight w:val="none"/>
        </w:rPr>
        <w:t>9</w:t>
      </w:r>
      <w:r>
        <w:rPr>
          <w:rFonts w:hint="eastAsia" w:ascii="宋体" w:hAnsi="宋体" w:cs="宋体"/>
          <w:color w:val="auto"/>
          <w:szCs w:val="21"/>
          <w:highlight w:val="none"/>
        </w:rPr>
        <w:t>)、(</w:t>
      </w:r>
      <w:r>
        <w:rPr>
          <w:rFonts w:ascii="宋体" w:hAnsi="宋体" w:cs="宋体"/>
          <w:color w:val="auto"/>
          <w:szCs w:val="21"/>
          <w:highlight w:val="none"/>
        </w:rPr>
        <w:t>11</w:t>
      </w:r>
      <w:r>
        <w:rPr>
          <w:rFonts w:hint="eastAsia" w:ascii="宋体" w:hAnsi="宋体" w:cs="宋体"/>
          <w:color w:val="auto"/>
          <w:szCs w:val="21"/>
          <w:highlight w:val="none"/>
        </w:rPr>
        <w:t>)规定承包人应得的款额，从监理人签发的支付证书中每期承包人应获得的付款中扣除。</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4610" w:name="_Toc18811"/>
      <w:bookmarkStart w:id="4611" w:name="_Toc12171"/>
      <w:bookmarkStart w:id="4612" w:name="_Toc7559"/>
      <w:bookmarkStart w:id="4613" w:name="_Toc517532193"/>
      <w:bookmarkStart w:id="4614" w:name="_Toc4691"/>
      <w:bookmarkStart w:id="4615" w:name="_Toc4648"/>
      <w:bookmarkStart w:id="4616" w:name="_Toc19917"/>
      <w:bookmarkStart w:id="4617" w:name="_Toc26068"/>
      <w:bookmarkStart w:id="4618" w:name="_Toc11211"/>
      <w:bookmarkStart w:id="4619" w:name="_Toc517530917"/>
      <w:bookmarkStart w:id="4620" w:name="_Toc25197"/>
      <w:bookmarkStart w:id="4621" w:name="_Toc517528734"/>
      <w:bookmarkStart w:id="4622" w:name="_Toc4647"/>
      <w:bookmarkStart w:id="4623" w:name="_Toc1029"/>
      <w:bookmarkStart w:id="4624" w:name="_Toc26188"/>
      <w:bookmarkStart w:id="4625" w:name="_Toc30642"/>
      <w:bookmarkStart w:id="4626" w:name="_Toc24265"/>
      <w:bookmarkStart w:id="4627" w:name="_Toc69114021"/>
      <w:bookmarkStart w:id="4628" w:name="_Toc12374"/>
      <w:bookmarkStart w:id="4629" w:name="_Toc8344"/>
      <w:bookmarkStart w:id="4630" w:name="_Toc2139"/>
      <w:bookmarkStart w:id="4631" w:name="_Toc5635"/>
      <w:r>
        <w:rPr>
          <w:rFonts w:hint="eastAsia" w:ascii="宋体" w:hAnsi="宋体" w:cs="宋体"/>
          <w:b/>
          <w:bCs/>
          <w:color w:val="auto"/>
          <w:sz w:val="28"/>
          <w:szCs w:val="28"/>
          <w:highlight w:val="none"/>
        </w:rPr>
        <w:t>15.6质量保证金的退还</w:t>
      </w:r>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p>
    <w:p>
      <w:pPr>
        <w:tabs>
          <w:tab w:val="left" w:pos="126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质量保证金由监理人核证在第14.6条中规定的最后支付证书中将质量保证金退还给承包人。但是如果在此时，按第15条的规定尚有遗留工程有待承包人完成，则监理人有权扣发该证，直到该遗留工程全部完成并通过质量验收时为止。</w:t>
      </w:r>
    </w:p>
    <w:bookmarkEnd w:id="4332"/>
    <w:bookmarkEnd w:id="4333"/>
    <w:bookmarkEnd w:id="4499"/>
    <w:p>
      <w:pPr>
        <w:keepNext/>
        <w:keepLines/>
        <w:spacing w:before="156" w:beforeLines="50" w:after="156" w:afterLines="50" w:line="360" w:lineRule="auto"/>
        <w:ind w:firstLine="600" w:firstLineChars="200"/>
        <w:outlineLvl w:val="1"/>
        <w:rPr>
          <w:rFonts w:ascii="宋体" w:hAnsi="宋体" w:cs="宋体"/>
          <w:b/>
          <w:bCs/>
          <w:color w:val="auto"/>
          <w:sz w:val="30"/>
          <w:szCs w:val="30"/>
          <w:highlight w:val="none"/>
        </w:rPr>
      </w:pPr>
      <w:bookmarkStart w:id="4632" w:name="_Toc351203603"/>
      <w:bookmarkStart w:id="4633" w:name="_Toc2429"/>
      <w:bookmarkStart w:id="4634" w:name="_Toc4251"/>
      <w:bookmarkStart w:id="4635" w:name="_Toc6126"/>
      <w:bookmarkStart w:id="4636" w:name="_Toc5689"/>
      <w:bookmarkStart w:id="4637" w:name="_Toc4621"/>
      <w:bookmarkStart w:id="4638" w:name="_Toc5928"/>
      <w:bookmarkStart w:id="4639" w:name="_Toc517529749"/>
      <w:bookmarkStart w:id="4640" w:name="_Toc1284"/>
      <w:bookmarkStart w:id="4641" w:name="_Toc4441"/>
      <w:bookmarkStart w:id="4642" w:name="_Toc69114022"/>
      <w:bookmarkStart w:id="4643" w:name="_Toc31747"/>
      <w:bookmarkStart w:id="4644" w:name="_Toc8754"/>
      <w:bookmarkStart w:id="4645" w:name="_Toc465237227"/>
      <w:bookmarkStart w:id="4646" w:name="_Toc465237130"/>
      <w:bookmarkStart w:id="4647" w:name="_Toc7450"/>
      <w:bookmarkStart w:id="4648" w:name="_Toc25406"/>
      <w:bookmarkStart w:id="4649" w:name="_Toc517530918"/>
      <w:bookmarkStart w:id="4650" w:name="_Toc517528735"/>
      <w:bookmarkStart w:id="4651" w:name="_Toc29096"/>
      <w:bookmarkStart w:id="4652" w:name="_Toc517532194"/>
      <w:bookmarkStart w:id="4653" w:name="_Toc11194"/>
      <w:bookmarkStart w:id="4654" w:name="_Toc6948"/>
      <w:bookmarkStart w:id="4655" w:name="_Toc7172"/>
      <w:bookmarkStart w:id="4656" w:name="_Toc29571"/>
      <w:bookmarkStart w:id="4657" w:name="_Toc2039"/>
      <w:bookmarkStart w:id="4658" w:name="_Toc337558820"/>
      <w:r>
        <w:rPr>
          <w:rFonts w:hint="eastAsia" w:ascii="宋体" w:hAnsi="宋体" w:cs="宋体"/>
          <w:b/>
          <w:bCs/>
          <w:color w:val="auto"/>
          <w:sz w:val="30"/>
          <w:szCs w:val="30"/>
          <w:highlight w:val="none"/>
        </w:rPr>
        <w:t>16.</w:t>
      </w:r>
      <w:bookmarkEnd w:id="4632"/>
      <w:r>
        <w:rPr>
          <w:rFonts w:hint="eastAsia" w:ascii="宋体" w:hAnsi="宋体" w:cs="宋体"/>
          <w:b/>
          <w:bCs/>
          <w:color w:val="auto"/>
          <w:sz w:val="30"/>
          <w:szCs w:val="30"/>
          <w:highlight w:val="none"/>
        </w:rPr>
        <w:t xml:space="preserve"> 违约</w:t>
      </w:r>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p>
    <w:bookmarkEnd w:id="4658"/>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4659" w:name="_Toc30836"/>
      <w:bookmarkStart w:id="4660" w:name="_Toc16109"/>
      <w:bookmarkStart w:id="4661" w:name="_Toc13124"/>
      <w:bookmarkStart w:id="4662" w:name="_Toc25518"/>
      <w:bookmarkStart w:id="4663" w:name="_Toc22650"/>
      <w:bookmarkStart w:id="4664" w:name="_Toc9378"/>
      <w:bookmarkStart w:id="4665" w:name="_Toc517532195"/>
      <w:bookmarkStart w:id="4666" w:name="_Toc17281"/>
      <w:bookmarkStart w:id="4667" w:name="_Toc465237228"/>
      <w:bookmarkStart w:id="4668" w:name="_Toc22150"/>
      <w:bookmarkStart w:id="4669" w:name="_Toc789"/>
      <w:bookmarkStart w:id="4670" w:name="_Toc5810"/>
      <w:bookmarkStart w:id="4671" w:name="_Toc31622"/>
      <w:bookmarkStart w:id="4672" w:name="_Toc10489"/>
      <w:bookmarkStart w:id="4673" w:name="_Toc25778"/>
      <w:bookmarkStart w:id="4674" w:name="_Toc17302"/>
      <w:bookmarkStart w:id="4675" w:name="_Toc8337"/>
      <w:bookmarkStart w:id="4676" w:name="_Toc69114023"/>
      <w:bookmarkStart w:id="4677" w:name="_Toc517530919"/>
      <w:bookmarkStart w:id="4678" w:name="_Toc517528736"/>
      <w:bookmarkStart w:id="4679" w:name="_Toc465237131"/>
      <w:bookmarkStart w:id="4680" w:name="_Toc24551"/>
      <w:bookmarkStart w:id="4681" w:name="_Toc5961"/>
      <w:bookmarkStart w:id="4682" w:name="_Toc16450"/>
      <w:bookmarkStart w:id="4683" w:name="_Toc337558821"/>
      <w:r>
        <w:rPr>
          <w:rFonts w:hint="eastAsia" w:ascii="宋体" w:hAnsi="宋体" w:cs="宋体"/>
          <w:b/>
          <w:bCs/>
          <w:color w:val="auto"/>
          <w:sz w:val="28"/>
          <w:szCs w:val="28"/>
          <w:highlight w:val="none"/>
        </w:rPr>
        <w:t>16.1 发包人违约</w:t>
      </w:r>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4684" w:name="_Toc19309"/>
      <w:bookmarkStart w:id="4685" w:name="_Toc27759"/>
      <w:bookmarkStart w:id="4686" w:name="_Toc517532196"/>
      <w:bookmarkStart w:id="4687" w:name="_Toc19791"/>
      <w:bookmarkStart w:id="4688" w:name="_Toc5332"/>
      <w:bookmarkStart w:id="4689" w:name="_Toc16784"/>
      <w:bookmarkStart w:id="4690" w:name="_Toc18933"/>
      <w:bookmarkStart w:id="4691" w:name="_Toc8418"/>
      <w:bookmarkStart w:id="4692" w:name="_Toc22019"/>
      <w:bookmarkStart w:id="4693" w:name="_Toc27938"/>
      <w:bookmarkStart w:id="4694" w:name="_Toc10260"/>
      <w:bookmarkStart w:id="4695" w:name="_Toc6457"/>
      <w:bookmarkStart w:id="4696" w:name="_Toc8668"/>
      <w:bookmarkStart w:id="4697" w:name="_Toc3735"/>
      <w:bookmarkStart w:id="4698" w:name="_Toc16295"/>
      <w:bookmarkStart w:id="4699" w:name="_Toc12898"/>
      <w:bookmarkStart w:id="4700" w:name="_Toc25540"/>
      <w:bookmarkStart w:id="4701" w:name="_Toc21103"/>
      <w:bookmarkStart w:id="4702" w:name="_Toc517530920"/>
      <w:bookmarkStart w:id="4703" w:name="_Toc5313"/>
      <w:r>
        <w:rPr>
          <w:rFonts w:hint="eastAsia" w:ascii="宋体" w:hAnsi="宋体" w:cs="宋体"/>
          <w:b/>
          <w:bCs/>
          <w:color w:val="auto"/>
          <w:sz w:val="24"/>
          <w:szCs w:val="24"/>
          <w:highlight w:val="none"/>
        </w:rPr>
        <w:t>16.1.1发包人的违约</w:t>
      </w:r>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如果发包人发生下列情况，则承包人有权终止对本合同项下的承包，并通知发包人，抄送监理人，该终止在发出通知</w:t>
      </w:r>
      <w:r>
        <w:rPr>
          <w:rFonts w:hint="eastAsia" w:ascii="宋体" w:hAnsi="宋体" w:cs="宋体"/>
          <w:color w:val="auto"/>
          <w:szCs w:val="21"/>
          <w:highlight w:val="none"/>
          <w:u w:val="single"/>
        </w:rPr>
        <w:t>14</w:t>
      </w:r>
      <w:r>
        <w:rPr>
          <w:rFonts w:hint="eastAsia" w:ascii="宋体" w:hAnsi="宋体" w:cs="宋体"/>
          <w:color w:val="auto"/>
          <w:szCs w:val="21"/>
          <w:highlight w:val="none"/>
        </w:rPr>
        <w:t>天后生效：</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(a)在根据第12.3.8条规定的支付期到期后的</w:t>
      </w:r>
      <w:r>
        <w:rPr>
          <w:rFonts w:hint="eastAsia" w:ascii="宋体" w:hAnsi="宋体" w:cs="宋体"/>
          <w:color w:val="auto"/>
          <w:szCs w:val="21"/>
          <w:highlight w:val="none"/>
          <w:u w:val="single"/>
        </w:rPr>
        <w:t>42</w:t>
      </w:r>
      <w:r>
        <w:rPr>
          <w:rFonts w:hint="eastAsia" w:ascii="宋体" w:hAnsi="宋体" w:cs="宋体"/>
          <w:color w:val="auto"/>
          <w:szCs w:val="21"/>
          <w:highlight w:val="none"/>
        </w:rPr>
        <w:t>天之内，未能通知财政部门向承包人支付根据监理人签发的任何支付证书项下的应付款额（扣除根据合同规定有权扣除的款额后），也未向承包人说明理由；</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(b)干涉、阻挠或拒绝对任何上述证书颁发的所需批准。</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4704" w:name="_Toc18715"/>
      <w:bookmarkStart w:id="4705" w:name="_Toc588"/>
      <w:bookmarkStart w:id="4706" w:name="_Toc5301"/>
      <w:bookmarkStart w:id="4707" w:name="_Toc5829"/>
      <w:bookmarkStart w:id="4708" w:name="_Toc15853"/>
      <w:bookmarkStart w:id="4709" w:name="_Toc16894"/>
      <w:bookmarkStart w:id="4710" w:name="_Toc517532197"/>
      <w:bookmarkStart w:id="4711" w:name="_Toc10829"/>
      <w:bookmarkStart w:id="4712" w:name="_Toc517530921"/>
      <w:bookmarkStart w:id="4713" w:name="_Toc13797"/>
      <w:bookmarkStart w:id="4714" w:name="_Toc2247"/>
      <w:bookmarkStart w:id="4715" w:name="_Toc14035"/>
      <w:bookmarkStart w:id="4716" w:name="_Toc5694"/>
      <w:bookmarkStart w:id="4717" w:name="_Toc11622"/>
      <w:bookmarkStart w:id="4718" w:name="_Toc27142"/>
      <w:bookmarkStart w:id="4719" w:name="_Toc8091"/>
      <w:bookmarkStart w:id="4720" w:name="_Toc27445"/>
      <w:bookmarkStart w:id="4721" w:name="_Toc5789"/>
      <w:bookmarkStart w:id="4722" w:name="_Toc13411"/>
      <w:bookmarkStart w:id="4723" w:name="_Toc7648"/>
      <w:r>
        <w:rPr>
          <w:rFonts w:hint="eastAsia" w:ascii="宋体" w:hAnsi="宋体" w:cs="宋体"/>
          <w:b/>
          <w:bCs/>
          <w:color w:val="auto"/>
          <w:sz w:val="24"/>
          <w:szCs w:val="24"/>
          <w:highlight w:val="none"/>
        </w:rPr>
        <w:t>16.1.2承包人装备的撤离</w:t>
      </w:r>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在第16.1.1条规定的通知满</w:t>
      </w:r>
      <w:r>
        <w:rPr>
          <w:rFonts w:hint="eastAsia" w:ascii="宋体" w:hAnsi="宋体" w:cs="宋体"/>
          <w:color w:val="auto"/>
          <w:szCs w:val="21"/>
          <w:highlight w:val="none"/>
          <w:u w:val="single"/>
        </w:rPr>
        <w:t>14</w:t>
      </w:r>
      <w:r>
        <w:rPr>
          <w:rFonts w:hint="eastAsia" w:ascii="宋体" w:hAnsi="宋体" w:cs="宋体"/>
          <w:color w:val="auto"/>
          <w:szCs w:val="21"/>
          <w:highlight w:val="none"/>
        </w:rPr>
        <w:t>天之后，承包人将不受第8.1.1条规定的约束，以各种合理的运输手段从现场撤离所有其带至现场的承包人装备。</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4724" w:name="_Toc517532198"/>
      <w:bookmarkStart w:id="4725" w:name="_Toc5311"/>
      <w:bookmarkStart w:id="4726" w:name="_Toc9017"/>
      <w:bookmarkStart w:id="4727" w:name="_Toc25887"/>
      <w:bookmarkStart w:id="4728" w:name="_Toc31800"/>
      <w:bookmarkStart w:id="4729" w:name="_Toc517530922"/>
      <w:bookmarkStart w:id="4730" w:name="_Toc32110"/>
      <w:bookmarkStart w:id="4731" w:name="_Toc31464"/>
      <w:bookmarkStart w:id="4732" w:name="_Toc30194"/>
      <w:bookmarkStart w:id="4733" w:name="_Toc13395"/>
      <w:bookmarkStart w:id="4734" w:name="_Toc2695"/>
      <w:bookmarkStart w:id="4735" w:name="_Toc12643"/>
      <w:bookmarkStart w:id="4736" w:name="_Toc8546"/>
      <w:bookmarkStart w:id="4737" w:name="_Toc17661"/>
      <w:bookmarkStart w:id="4738" w:name="_Toc31833"/>
      <w:bookmarkStart w:id="4739" w:name="_Toc4999"/>
      <w:bookmarkStart w:id="4740" w:name="_Toc164"/>
      <w:bookmarkStart w:id="4741" w:name="_Toc12281"/>
      <w:bookmarkStart w:id="4742" w:name="_Toc12238"/>
      <w:bookmarkStart w:id="4743" w:name="_Toc419"/>
      <w:r>
        <w:rPr>
          <w:rFonts w:hint="eastAsia" w:ascii="宋体" w:hAnsi="宋体" w:cs="宋体"/>
          <w:b/>
          <w:bCs/>
          <w:color w:val="auto"/>
          <w:sz w:val="24"/>
          <w:szCs w:val="24"/>
          <w:highlight w:val="none"/>
        </w:rPr>
        <w:t>16.1.3合同终止时的支付</w:t>
      </w:r>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发生上述合同终止，发包人对承包人承担的支付义务，与根据第17条的规定终止合同时所应承担的支付义务相同。但除在第17.7条规定的各项支付之外，发包人还应承担由于该项合同终止而引起的承包人的损失。根据本款规定应支付的款额应由监理人与承包人和发包人协商的确定，并通知承包人，抄送发包人。</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4744" w:name="_Toc2805"/>
      <w:bookmarkStart w:id="4745" w:name="_Toc25146"/>
      <w:bookmarkStart w:id="4746" w:name="_Toc16890"/>
      <w:bookmarkStart w:id="4747" w:name="_Toc517530923"/>
      <w:bookmarkStart w:id="4748" w:name="_Toc24212"/>
      <w:bookmarkStart w:id="4749" w:name="_Toc517532199"/>
      <w:bookmarkStart w:id="4750" w:name="_Toc30905"/>
      <w:bookmarkStart w:id="4751" w:name="_Toc23614"/>
      <w:bookmarkStart w:id="4752" w:name="_Toc5560"/>
      <w:bookmarkStart w:id="4753" w:name="_Toc13488"/>
      <w:bookmarkStart w:id="4754" w:name="_Toc5374"/>
      <w:bookmarkStart w:id="4755" w:name="_Toc2208"/>
      <w:bookmarkStart w:id="4756" w:name="_Toc25316"/>
      <w:bookmarkStart w:id="4757" w:name="_Toc6744"/>
      <w:bookmarkStart w:id="4758" w:name="_Toc19466"/>
      <w:bookmarkStart w:id="4759" w:name="_Toc5602"/>
      <w:bookmarkStart w:id="4760" w:name="_Toc7335"/>
      <w:bookmarkStart w:id="4761" w:name="_Toc18016"/>
      <w:bookmarkStart w:id="4762" w:name="_Toc21325"/>
      <w:bookmarkStart w:id="4763" w:name="_Toc367"/>
      <w:r>
        <w:rPr>
          <w:rFonts w:hint="eastAsia" w:ascii="宋体" w:hAnsi="宋体" w:cs="宋体"/>
          <w:b/>
          <w:bCs/>
          <w:color w:val="auto"/>
          <w:sz w:val="24"/>
          <w:szCs w:val="24"/>
          <w:highlight w:val="none"/>
        </w:rPr>
        <w:t>16.1.4承包人暂停工程的权利</w:t>
      </w:r>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当发包人发生16.1.1条(a)所述违约事件后，在不损害承包人根据第16.1.1条规定有权终止对本合同项下的承包情况下，承包人可提前28天向发包人出通知并抄送监理人，表明承包人也可能暂停工程，或者降低工程进度率。如果承包人根据本款的规定在向发包人发出通知28天后暂停施工，或者降低了工程进度率，因此而受到延误或发生费用，监理人在与承包人和发包人协商后，承包人有权获得：</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(a)根据第7.6条的规定承包人应得的延长工期；</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(b)应该加到合同价格上的上述费用款额。</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并将此决定通知承包人，抄送发包人。</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4764" w:name="_Toc22025"/>
      <w:bookmarkStart w:id="4765" w:name="_Toc24330"/>
      <w:bookmarkStart w:id="4766" w:name="_Toc27863"/>
      <w:bookmarkStart w:id="4767" w:name="_Toc517530924"/>
      <w:bookmarkStart w:id="4768" w:name="_Toc517532200"/>
      <w:bookmarkStart w:id="4769" w:name="_Toc20041"/>
      <w:bookmarkStart w:id="4770" w:name="_Toc7577"/>
      <w:bookmarkStart w:id="4771" w:name="_Toc4126"/>
      <w:bookmarkStart w:id="4772" w:name="_Toc16022"/>
      <w:bookmarkStart w:id="4773" w:name="_Toc19070"/>
      <w:bookmarkStart w:id="4774" w:name="_Toc9903"/>
      <w:bookmarkStart w:id="4775" w:name="_Toc15481"/>
      <w:bookmarkStart w:id="4776" w:name="_Toc19230"/>
      <w:bookmarkStart w:id="4777" w:name="_Toc12803"/>
      <w:bookmarkStart w:id="4778" w:name="_Toc21791"/>
      <w:bookmarkStart w:id="4779" w:name="_Toc26978"/>
      <w:bookmarkStart w:id="4780" w:name="_Toc12482"/>
      <w:bookmarkStart w:id="4781" w:name="_Toc19886"/>
      <w:bookmarkStart w:id="4782" w:name="_Toc21245"/>
      <w:bookmarkStart w:id="4783" w:name="_Toc26438"/>
      <w:r>
        <w:rPr>
          <w:rFonts w:hint="eastAsia" w:ascii="宋体" w:hAnsi="宋体" w:cs="宋体"/>
          <w:b/>
          <w:bCs/>
          <w:color w:val="auto"/>
          <w:sz w:val="24"/>
          <w:szCs w:val="24"/>
          <w:highlight w:val="none"/>
        </w:rPr>
        <w:t>16.1.5工程的复工</w:t>
      </w:r>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当承包人按第16.1.4条规定事先发过通知后，已暂停了工程或降低了工程进度率，而发包人后来又支付了应付款额，在这种情况下，如果终止合同的通知未曾发出，则根据16.1.1条规定的承包人权利应予终止，而承包人应该尽可能快地恢复正常工作。</w:t>
      </w:r>
    </w:p>
    <w:bookmarkEnd w:id="4683"/>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4784" w:name="_Toc12699"/>
      <w:bookmarkStart w:id="4785" w:name="_Toc26888"/>
      <w:bookmarkStart w:id="4786" w:name="_Toc517532201"/>
      <w:bookmarkStart w:id="4787" w:name="_Toc16833"/>
      <w:bookmarkStart w:id="4788" w:name="_Toc69114024"/>
      <w:bookmarkStart w:id="4789" w:name="_Toc25930"/>
      <w:bookmarkStart w:id="4790" w:name="_Toc7158"/>
      <w:bookmarkStart w:id="4791" w:name="_Toc7732"/>
      <w:bookmarkStart w:id="4792" w:name="_Toc28570"/>
      <w:bookmarkStart w:id="4793" w:name="_Toc31830"/>
      <w:bookmarkStart w:id="4794" w:name="_Toc23742"/>
      <w:bookmarkStart w:id="4795" w:name="_Toc465237132"/>
      <w:bookmarkStart w:id="4796" w:name="_Toc31577"/>
      <w:bookmarkStart w:id="4797" w:name="_Toc517528737"/>
      <w:bookmarkStart w:id="4798" w:name="_Toc2974"/>
      <w:bookmarkStart w:id="4799" w:name="_Toc517530925"/>
      <w:bookmarkStart w:id="4800" w:name="_Toc22143"/>
      <w:bookmarkStart w:id="4801" w:name="_Toc13531"/>
      <w:bookmarkStart w:id="4802" w:name="_Toc12771"/>
      <w:bookmarkStart w:id="4803" w:name="_Toc19600"/>
      <w:bookmarkStart w:id="4804" w:name="_Toc14617"/>
      <w:bookmarkStart w:id="4805" w:name="_Toc29792"/>
      <w:bookmarkStart w:id="4806" w:name="_Toc465237229"/>
      <w:bookmarkStart w:id="4807" w:name="_Toc20536"/>
      <w:bookmarkStart w:id="4808" w:name="_Toc296503131"/>
      <w:bookmarkStart w:id="4809" w:name="_Toc337558822"/>
      <w:bookmarkStart w:id="4810" w:name="_Toc296346632"/>
      <w:r>
        <w:rPr>
          <w:rFonts w:hint="eastAsia" w:ascii="宋体" w:hAnsi="宋体" w:cs="宋体"/>
          <w:b/>
          <w:bCs/>
          <w:color w:val="auto"/>
          <w:sz w:val="28"/>
          <w:szCs w:val="28"/>
          <w:highlight w:val="none"/>
        </w:rPr>
        <w:t>16.2 承包人违约</w:t>
      </w:r>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4811" w:name="_Toc22067"/>
      <w:bookmarkStart w:id="4812" w:name="_Toc11822"/>
      <w:bookmarkStart w:id="4813" w:name="_Toc16803"/>
      <w:bookmarkStart w:id="4814" w:name="_Toc13145"/>
      <w:bookmarkStart w:id="4815" w:name="_Toc517532202"/>
      <w:bookmarkStart w:id="4816" w:name="_Toc7780"/>
      <w:bookmarkStart w:id="4817" w:name="_Toc25785"/>
      <w:bookmarkStart w:id="4818" w:name="_Toc28714"/>
      <w:bookmarkStart w:id="4819" w:name="_Toc24421"/>
      <w:bookmarkStart w:id="4820" w:name="_Toc10081"/>
      <w:bookmarkStart w:id="4821" w:name="_Toc14590"/>
      <w:bookmarkStart w:id="4822" w:name="_Toc27679"/>
      <w:bookmarkStart w:id="4823" w:name="_Toc517530926"/>
      <w:bookmarkStart w:id="4824" w:name="_Toc18160"/>
      <w:bookmarkStart w:id="4825" w:name="_Toc11265"/>
      <w:bookmarkStart w:id="4826" w:name="_Toc10436"/>
      <w:bookmarkStart w:id="4827" w:name="_Toc14825"/>
      <w:bookmarkStart w:id="4828" w:name="_Toc18786"/>
      <w:bookmarkStart w:id="4829" w:name="_Toc18032"/>
      <w:bookmarkStart w:id="4830" w:name="_Toc17284"/>
      <w:r>
        <w:rPr>
          <w:rFonts w:hint="eastAsia" w:ascii="宋体" w:hAnsi="宋体" w:cs="宋体"/>
          <w:b/>
          <w:bCs/>
          <w:color w:val="auto"/>
          <w:sz w:val="24"/>
          <w:szCs w:val="24"/>
          <w:highlight w:val="none"/>
        </w:rPr>
        <w:t>16.2.1承包人的违约</w:t>
      </w:r>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从法律上认为承包人已自动申请或强制破产、清算或解散（为合并或改组而进行的自愿清算除外）或无力偿还债务，或承包人已经违反第3.5.1条的规定，或监理人向发包人证明（抄送承包人）认为承包人有下述情况：</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(a)已放弃合同；</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(b)无正当理由而</w:t>
      </w:r>
    </w:p>
    <w:p>
      <w:pPr>
        <w:spacing w:line="360" w:lineRule="auto"/>
        <w:ind w:firstLine="840" w:firstLineChars="400"/>
        <w:jc w:val="left"/>
        <w:rPr>
          <w:rFonts w:ascii="宋体" w:hAnsi="宋体" w:cs="宋体"/>
          <w:color w:val="auto"/>
          <w:szCs w:val="21"/>
          <w:highlight w:val="none"/>
        </w:rPr>
      </w:pPr>
      <w:r>
        <w:rPr>
          <w:rFonts w:hint="eastAsia" w:ascii="宋体" w:hAnsi="宋体" w:cs="宋体"/>
          <w:color w:val="auto"/>
          <w:szCs w:val="21"/>
          <w:highlight w:val="none"/>
        </w:rPr>
        <w:t>①未能根据第7.3条规定开工；</w:t>
      </w:r>
    </w:p>
    <w:p>
      <w:pPr>
        <w:spacing w:line="360" w:lineRule="auto"/>
        <w:ind w:firstLine="840" w:firstLineChars="400"/>
        <w:jc w:val="left"/>
        <w:rPr>
          <w:rFonts w:ascii="宋体" w:hAnsi="宋体" w:cs="宋体"/>
          <w:color w:val="auto"/>
          <w:szCs w:val="21"/>
          <w:highlight w:val="none"/>
        </w:rPr>
      </w:pPr>
      <w:r>
        <w:rPr>
          <w:rFonts w:hint="eastAsia" w:ascii="宋体" w:hAnsi="宋体" w:cs="宋体"/>
          <w:color w:val="auto"/>
          <w:szCs w:val="21"/>
          <w:highlight w:val="none"/>
        </w:rPr>
        <w:t>②在接到第7.6.4、7.6.5条规定的通知后的28天内未继续进行本工程或其任一部分的施工；</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(c)在接到根据第9.2.3条规定发出的指令后的28天内不遵守该通知或指令；</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(d)无视监理人事先的书面警告，忽视履行其合同规定的义务；</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(e)已经违反第3.5条的规定。</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则发包人在向承包人发出书面通知的</w:t>
      </w:r>
      <w:r>
        <w:rPr>
          <w:rFonts w:hint="eastAsia" w:ascii="宋体" w:hAnsi="宋体" w:cs="宋体"/>
          <w:color w:val="auto"/>
          <w:szCs w:val="21"/>
          <w:highlight w:val="none"/>
          <w:u w:val="single"/>
        </w:rPr>
        <w:t>14</w:t>
      </w:r>
      <w:r>
        <w:rPr>
          <w:rFonts w:hint="eastAsia" w:ascii="宋体" w:hAnsi="宋体" w:cs="宋体"/>
          <w:color w:val="auto"/>
          <w:szCs w:val="21"/>
          <w:highlight w:val="none"/>
        </w:rPr>
        <w:t>天之后进驻现场和接管工程，终止其在本合同项下的承包，但不因此解除合同规定的承包人的任何义务和责任，或影响合同赋予发包人或监理人的各种权利或权限，发包人可自行完成该工程，或邀请其他承包人完成该工程。发包人或上述其他承包人为了完成本工程，可以使用他们认为合适数量的承包人装备、临时工程和材料。</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发包人对承包人施工过程中的具体违约行为及其处理在专用条款中明确。</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4831" w:name="_Toc13530"/>
      <w:bookmarkStart w:id="4832" w:name="_Toc17251"/>
      <w:bookmarkStart w:id="4833" w:name="_Toc23446"/>
      <w:bookmarkStart w:id="4834" w:name="_Toc30099"/>
      <w:bookmarkStart w:id="4835" w:name="_Toc517530927"/>
      <w:bookmarkStart w:id="4836" w:name="_Toc23660"/>
      <w:bookmarkStart w:id="4837" w:name="_Toc3279"/>
      <w:bookmarkStart w:id="4838" w:name="_Toc7089"/>
      <w:bookmarkStart w:id="4839" w:name="_Toc9270"/>
      <w:bookmarkStart w:id="4840" w:name="_Toc1301"/>
      <w:bookmarkStart w:id="4841" w:name="_Toc4446"/>
      <w:bookmarkStart w:id="4842" w:name="_Toc517532203"/>
      <w:bookmarkStart w:id="4843" w:name="_Toc20521"/>
      <w:bookmarkStart w:id="4844" w:name="_Toc16914"/>
      <w:bookmarkStart w:id="4845" w:name="_Toc13009"/>
      <w:bookmarkStart w:id="4846" w:name="_Toc10581"/>
      <w:bookmarkStart w:id="4847" w:name="_Toc18286"/>
      <w:bookmarkStart w:id="4848" w:name="_Toc9402"/>
      <w:bookmarkStart w:id="4849" w:name="_Toc29712"/>
      <w:bookmarkStart w:id="4850" w:name="_Toc2938"/>
      <w:r>
        <w:rPr>
          <w:rFonts w:hint="eastAsia" w:ascii="宋体" w:hAnsi="宋体" w:cs="宋体"/>
          <w:b/>
          <w:bCs/>
          <w:color w:val="auto"/>
          <w:sz w:val="24"/>
          <w:szCs w:val="24"/>
          <w:highlight w:val="none"/>
        </w:rPr>
        <w:t>16.2.2合同终止之日的估价</w:t>
      </w:r>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在发包人进行上述进驻和终止合同之后，监理人应尽快地通过与各方协商、调查和询问之后，确定以下事项：</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(a)在上述进驻和终止合同时，承包人根据合同实际完成的工程已经合理地得到的或理应得到的款额（如有）；</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(b)未使用或部分使用过的任何材料、承包人装备和临时工程的价值。</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4851" w:name="_Toc9016"/>
      <w:bookmarkStart w:id="4852" w:name="_Toc11721"/>
      <w:bookmarkStart w:id="4853" w:name="_Toc23371"/>
      <w:bookmarkStart w:id="4854" w:name="_Toc517530928"/>
      <w:bookmarkStart w:id="4855" w:name="_Toc9561"/>
      <w:bookmarkStart w:id="4856" w:name="_Toc3613"/>
      <w:bookmarkStart w:id="4857" w:name="_Toc22062"/>
      <w:bookmarkStart w:id="4858" w:name="_Toc6459"/>
      <w:bookmarkStart w:id="4859" w:name="_Toc5605"/>
      <w:bookmarkStart w:id="4860" w:name="_Toc10686"/>
      <w:bookmarkStart w:id="4861" w:name="_Toc3606"/>
      <w:bookmarkStart w:id="4862" w:name="_Toc5971"/>
      <w:bookmarkStart w:id="4863" w:name="_Toc29737"/>
      <w:bookmarkStart w:id="4864" w:name="_Toc6635"/>
      <w:bookmarkStart w:id="4865" w:name="_Toc517532204"/>
      <w:bookmarkStart w:id="4866" w:name="_Toc12479"/>
      <w:bookmarkStart w:id="4867" w:name="_Toc16918"/>
      <w:bookmarkStart w:id="4868" w:name="_Toc6803"/>
      <w:bookmarkStart w:id="4869" w:name="_Toc31872"/>
      <w:bookmarkStart w:id="4870" w:name="_Toc27204"/>
      <w:r>
        <w:rPr>
          <w:rFonts w:hint="eastAsia" w:ascii="宋体" w:hAnsi="宋体" w:cs="宋体"/>
          <w:b/>
          <w:bCs/>
          <w:color w:val="auto"/>
          <w:sz w:val="24"/>
          <w:szCs w:val="24"/>
          <w:highlight w:val="none"/>
        </w:rPr>
        <w:t>16.2.3合同终止后的支付</w:t>
      </w:r>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如果发包人根据本条规定终止承包人在本合同项下的承包，则：</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(a)发包人暂停向承包人支付任何款额（包括损害赔偿费）；</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(b)在本工程质量保证金返还之前，由监理人查清承包人实施和完成本工程与缺陷修复应结算的费用、竣工拖期损失赔偿金（如有）以及发包人已实际支付给承包人的各项费用，并予以证实。</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监理人查清证实后，承包人仅能得到由监理人证明的原应支付的已完合格工程的款额，并扣除上述应扣款额之后的余额。如果应扣款额超过承包人应得的原应支付的已完工程的款额，则当发包人提出要求时，承包人应将此超出部分款额付给发包人，并应被视为承包人欠发包人而应予偿还的债务。</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4871" w:name="_Toc2243"/>
      <w:bookmarkStart w:id="4872" w:name="_Toc22816"/>
      <w:bookmarkStart w:id="4873" w:name="_Toc10517"/>
      <w:bookmarkStart w:id="4874" w:name="_Toc24158"/>
      <w:bookmarkStart w:id="4875" w:name="_Toc23650"/>
      <w:bookmarkStart w:id="4876" w:name="_Toc18869"/>
      <w:bookmarkStart w:id="4877" w:name="_Toc19152"/>
      <w:bookmarkStart w:id="4878" w:name="_Toc20654"/>
      <w:bookmarkStart w:id="4879" w:name="_Toc517530929"/>
      <w:bookmarkStart w:id="4880" w:name="_Toc26831"/>
      <w:bookmarkStart w:id="4881" w:name="_Toc32190"/>
      <w:bookmarkStart w:id="4882" w:name="_Toc27081"/>
      <w:bookmarkStart w:id="4883" w:name="_Toc15294"/>
      <w:bookmarkStart w:id="4884" w:name="_Toc16242"/>
      <w:bookmarkStart w:id="4885" w:name="_Toc26395"/>
      <w:bookmarkStart w:id="4886" w:name="_Toc517532205"/>
      <w:bookmarkStart w:id="4887" w:name="_Toc13779"/>
      <w:bookmarkStart w:id="4888" w:name="_Toc32084"/>
      <w:bookmarkStart w:id="4889" w:name="_Toc12984"/>
      <w:bookmarkStart w:id="4890" w:name="_Toc20066"/>
      <w:r>
        <w:rPr>
          <w:rFonts w:hint="eastAsia" w:ascii="宋体" w:hAnsi="宋体" w:cs="宋体"/>
          <w:b/>
          <w:bCs/>
          <w:color w:val="auto"/>
          <w:sz w:val="24"/>
          <w:szCs w:val="24"/>
          <w:highlight w:val="none"/>
        </w:rPr>
        <w:t>16.2.4契约利益的转让</w:t>
      </w:r>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除非被法律禁止，在第16.2.1条所指的进驻和终止合同后的</w:t>
      </w:r>
      <w:r>
        <w:rPr>
          <w:rFonts w:hint="eastAsia" w:ascii="宋体" w:hAnsi="宋体" w:cs="宋体"/>
          <w:color w:val="auto"/>
          <w:szCs w:val="21"/>
          <w:highlight w:val="none"/>
          <w:u w:val="single"/>
        </w:rPr>
        <w:t>14</w:t>
      </w:r>
      <w:r>
        <w:rPr>
          <w:rFonts w:hint="eastAsia" w:ascii="宋体" w:hAnsi="宋体" w:cs="宋体"/>
          <w:color w:val="auto"/>
          <w:szCs w:val="21"/>
          <w:highlight w:val="none"/>
        </w:rPr>
        <w:t>天内，如果监理人有指令，承包人应将为本合同工程已经签订的提供任何货物或材料或服务的契约利益，和（或）本合同中任何工程的施工协议的利益转让给发包人。</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4891" w:name="_Toc6043"/>
      <w:bookmarkStart w:id="4892" w:name="_Toc5459"/>
      <w:bookmarkStart w:id="4893" w:name="_Toc517532206"/>
      <w:bookmarkStart w:id="4894" w:name="_Toc16066"/>
      <w:bookmarkStart w:id="4895" w:name="_Toc11800"/>
      <w:bookmarkStart w:id="4896" w:name="_Toc517530930"/>
      <w:bookmarkStart w:id="4897" w:name="_Toc20115"/>
      <w:bookmarkStart w:id="4898" w:name="_Toc24151"/>
      <w:bookmarkStart w:id="4899" w:name="_Toc3636"/>
      <w:bookmarkStart w:id="4900" w:name="_Toc14176"/>
      <w:bookmarkStart w:id="4901" w:name="_Toc10426"/>
      <w:bookmarkStart w:id="4902" w:name="_Toc15013"/>
      <w:bookmarkStart w:id="4903" w:name="_Toc3704"/>
      <w:bookmarkStart w:id="4904" w:name="_Toc23128"/>
      <w:bookmarkStart w:id="4905" w:name="_Toc24710"/>
      <w:bookmarkStart w:id="4906" w:name="_Toc13749"/>
      <w:bookmarkStart w:id="4907" w:name="_Toc15018"/>
      <w:bookmarkStart w:id="4908" w:name="_Toc12672"/>
      <w:bookmarkStart w:id="4909" w:name="_Toc1822"/>
      <w:bookmarkStart w:id="4910" w:name="_Toc24883"/>
      <w:r>
        <w:rPr>
          <w:rFonts w:hint="eastAsia" w:ascii="宋体" w:hAnsi="宋体" w:cs="宋体"/>
          <w:b/>
          <w:bCs/>
          <w:color w:val="auto"/>
          <w:sz w:val="24"/>
          <w:szCs w:val="24"/>
          <w:highlight w:val="none"/>
        </w:rPr>
        <w:t>16.2.5紧急补救工作</w:t>
      </w:r>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无论在工程施工期间或是履约期间，如果由于在工程中或工程的任何部分，或与之有关方面发生事故、失误或其他事件，监理人认为进行补救或其他工作是工程安全的紧急需要，而承包人无能力或不愿意立即进行此类工作时，则发包人有权邀请其他人员实施监理人认为必须做的工作，并支付有关费用。如果监理人认为由发包人按此方式完成的上述工作和补救，是按合同规定应由承包人负责以自费进行的，则因此而引起的或伴随而发生的全部费用，应由监理人在与发包人和承包人适当协商后确定，并由发包人向承包人索回，或由发包人在应付或到期应付给承包人的款项中扣除，监理人应通知承包人，并抄送发包人。但在任何此类紧急事件发生后，监理人应在实际可行的条件下，尽快地通知承包人。</w:t>
      </w:r>
    </w:p>
    <w:bookmarkEnd w:id="4808"/>
    <w:bookmarkEnd w:id="4809"/>
    <w:bookmarkEnd w:id="4810"/>
    <w:p>
      <w:pPr>
        <w:keepNext/>
        <w:keepLines/>
        <w:spacing w:before="156" w:beforeLines="50" w:after="156" w:afterLines="50" w:line="360" w:lineRule="auto"/>
        <w:ind w:firstLine="600" w:firstLineChars="200"/>
        <w:outlineLvl w:val="1"/>
        <w:rPr>
          <w:rFonts w:ascii="宋体" w:hAnsi="宋体" w:cs="宋体"/>
          <w:b/>
          <w:bCs/>
          <w:color w:val="auto"/>
          <w:sz w:val="30"/>
          <w:szCs w:val="30"/>
          <w:highlight w:val="none"/>
        </w:rPr>
      </w:pPr>
      <w:bookmarkStart w:id="4911" w:name="_Toc31627"/>
      <w:bookmarkStart w:id="4912" w:name="_Toc465237133"/>
      <w:bookmarkStart w:id="4913" w:name="_Toc517532207"/>
      <w:bookmarkStart w:id="4914" w:name="_Toc32177"/>
      <w:bookmarkStart w:id="4915" w:name="_Toc27842"/>
      <w:bookmarkStart w:id="4916" w:name="_Toc32122"/>
      <w:bookmarkStart w:id="4917" w:name="_Toc517529750"/>
      <w:bookmarkStart w:id="4918" w:name="_Toc28176"/>
      <w:bookmarkStart w:id="4919" w:name="_Toc11315"/>
      <w:bookmarkStart w:id="4920" w:name="_Toc13766"/>
      <w:bookmarkStart w:id="4921" w:name="_Toc731"/>
      <w:bookmarkStart w:id="4922" w:name="_Toc29009"/>
      <w:bookmarkStart w:id="4923" w:name="_Toc517530931"/>
      <w:bookmarkStart w:id="4924" w:name="_Toc517528738"/>
      <w:bookmarkStart w:id="4925" w:name="_Toc465237230"/>
      <w:bookmarkStart w:id="4926" w:name="_Toc28246"/>
      <w:bookmarkStart w:id="4927" w:name="_Toc21914"/>
      <w:bookmarkStart w:id="4928" w:name="_Toc16808"/>
      <w:bookmarkStart w:id="4929" w:name="_Toc23213"/>
      <w:bookmarkStart w:id="4930" w:name="_Toc4924"/>
      <w:bookmarkStart w:id="4931" w:name="_Toc25677"/>
      <w:bookmarkStart w:id="4932" w:name="_Toc27732"/>
      <w:bookmarkStart w:id="4933" w:name="_Toc69114025"/>
      <w:bookmarkStart w:id="4934" w:name="_Toc21960"/>
      <w:bookmarkStart w:id="4935" w:name="_Toc6171"/>
      <w:bookmarkStart w:id="4936" w:name="_Toc296503116"/>
      <w:bookmarkStart w:id="4937" w:name="_Toc351203607"/>
      <w:bookmarkStart w:id="4938" w:name="_Toc296346617"/>
      <w:bookmarkStart w:id="4939" w:name="_Toc337558823"/>
      <w:r>
        <w:rPr>
          <w:rFonts w:hint="eastAsia" w:ascii="宋体" w:hAnsi="宋体" w:cs="宋体"/>
          <w:b/>
          <w:bCs/>
          <w:color w:val="auto"/>
          <w:sz w:val="30"/>
          <w:szCs w:val="30"/>
          <w:highlight w:val="none"/>
        </w:rPr>
        <w:t>17.特殊风险</w:t>
      </w:r>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4940" w:name="_Toc13865"/>
      <w:bookmarkStart w:id="4941" w:name="_Toc517532208"/>
      <w:bookmarkStart w:id="4942" w:name="_Toc27311"/>
      <w:bookmarkStart w:id="4943" w:name="_Toc21314"/>
      <w:bookmarkStart w:id="4944" w:name="_Toc20822"/>
      <w:bookmarkStart w:id="4945" w:name="_Toc4186"/>
      <w:bookmarkStart w:id="4946" w:name="_Toc17531"/>
      <w:bookmarkStart w:id="4947" w:name="_Toc17765"/>
      <w:bookmarkStart w:id="4948" w:name="_Toc69114026"/>
      <w:bookmarkStart w:id="4949" w:name="_Toc7339"/>
      <w:bookmarkStart w:id="4950" w:name="_Toc6882"/>
      <w:bookmarkStart w:id="4951" w:name="_Toc23869"/>
      <w:bookmarkStart w:id="4952" w:name="_Toc21106"/>
      <w:bookmarkStart w:id="4953" w:name="_Toc517530932"/>
      <w:bookmarkStart w:id="4954" w:name="_Toc19392"/>
      <w:bookmarkStart w:id="4955" w:name="_Toc517528739"/>
      <w:bookmarkStart w:id="4956" w:name="_Toc1324"/>
      <w:bookmarkStart w:id="4957" w:name="_Toc5130"/>
      <w:bookmarkStart w:id="4958" w:name="_Toc22490"/>
      <w:bookmarkStart w:id="4959" w:name="_Toc13933"/>
      <w:bookmarkStart w:id="4960" w:name="_Toc12678"/>
      <w:bookmarkStart w:id="4961" w:name="_Toc28732"/>
      <w:r>
        <w:rPr>
          <w:rFonts w:hint="eastAsia" w:ascii="宋体" w:hAnsi="宋体" w:cs="宋体"/>
          <w:b/>
          <w:bCs/>
          <w:color w:val="auto"/>
          <w:sz w:val="28"/>
          <w:szCs w:val="28"/>
          <w:highlight w:val="none"/>
        </w:rPr>
        <w:t>17.1特殊风险</w:t>
      </w:r>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特殊风险是指：</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(a)第8.2.6条(a)所定义的风险；以及</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(b)在本工程实施现场附近范围内第8.2.6条(b)、(c)、(d)和(g)所定义的风险。</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4962" w:name="_Toc517530933"/>
      <w:bookmarkStart w:id="4963" w:name="_Toc8905"/>
      <w:bookmarkStart w:id="4964" w:name="_Toc16122"/>
      <w:bookmarkStart w:id="4965" w:name="_Toc6096"/>
      <w:bookmarkStart w:id="4966" w:name="_Toc16059"/>
      <w:bookmarkStart w:id="4967" w:name="_Toc1443"/>
      <w:bookmarkStart w:id="4968" w:name="_Toc6239"/>
      <w:bookmarkStart w:id="4969" w:name="_Toc69114027"/>
      <w:bookmarkStart w:id="4970" w:name="_Toc517528740"/>
      <w:bookmarkStart w:id="4971" w:name="_Toc19700"/>
      <w:bookmarkStart w:id="4972" w:name="_Toc19543"/>
      <w:bookmarkStart w:id="4973" w:name="_Toc29453"/>
      <w:bookmarkStart w:id="4974" w:name="_Toc11433"/>
      <w:bookmarkStart w:id="4975" w:name="_Toc517532209"/>
      <w:bookmarkStart w:id="4976" w:name="_Toc5486"/>
      <w:bookmarkStart w:id="4977" w:name="_Toc1528"/>
      <w:bookmarkStart w:id="4978" w:name="_Toc12637"/>
      <w:bookmarkStart w:id="4979" w:name="_Toc9987"/>
      <w:bookmarkStart w:id="4980" w:name="_Toc11876"/>
      <w:bookmarkStart w:id="4981" w:name="_Toc2519"/>
      <w:bookmarkStart w:id="4982" w:name="_Toc25295"/>
      <w:bookmarkStart w:id="4983" w:name="_Toc6549"/>
      <w:r>
        <w:rPr>
          <w:rFonts w:hint="eastAsia" w:ascii="宋体" w:hAnsi="宋体" w:cs="宋体"/>
          <w:b/>
          <w:bCs/>
          <w:color w:val="auto"/>
          <w:sz w:val="28"/>
          <w:szCs w:val="28"/>
          <w:highlight w:val="none"/>
        </w:rPr>
        <w:t>17.2承包人对特殊风险不承担责任</w:t>
      </w:r>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由于第17.1条所指的任何一种特殊风险而发生的以下方面的后果，不论赔偿与否，承包人均不应承担责任：</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(a)本工程的破坏或损失（但在下文所指的任何特殊风险发生之前，按第9.2.3条规定而被宣告为不合格的工程除外）；</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(b)发包人或第三者的财产的破坏或损失；</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(c)人身伤亡。</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4984" w:name="_Toc69114028"/>
      <w:bookmarkStart w:id="4985" w:name="_Toc5131"/>
      <w:bookmarkStart w:id="4986" w:name="_Toc29374"/>
      <w:bookmarkStart w:id="4987" w:name="_Toc26541"/>
      <w:bookmarkStart w:id="4988" w:name="_Toc32235"/>
      <w:bookmarkStart w:id="4989" w:name="_Toc23192"/>
      <w:bookmarkStart w:id="4990" w:name="_Toc5202"/>
      <w:bookmarkStart w:id="4991" w:name="_Toc517530934"/>
      <w:bookmarkStart w:id="4992" w:name="_Toc14389"/>
      <w:bookmarkStart w:id="4993" w:name="_Toc14669"/>
      <w:bookmarkStart w:id="4994" w:name="_Toc31264"/>
      <w:bookmarkStart w:id="4995" w:name="_Toc517532210"/>
      <w:bookmarkStart w:id="4996" w:name="_Toc517528741"/>
      <w:bookmarkStart w:id="4997" w:name="_Toc25539"/>
      <w:bookmarkStart w:id="4998" w:name="_Toc13230"/>
      <w:bookmarkStart w:id="4999" w:name="_Toc4857"/>
      <w:bookmarkStart w:id="5000" w:name="_Toc27358"/>
      <w:bookmarkStart w:id="5001" w:name="_Toc23182"/>
      <w:bookmarkStart w:id="5002" w:name="_Toc22571"/>
      <w:bookmarkStart w:id="5003" w:name="_Toc22911"/>
      <w:bookmarkStart w:id="5004" w:name="_Toc17005"/>
      <w:bookmarkStart w:id="5005" w:name="_Toc5804"/>
      <w:r>
        <w:rPr>
          <w:rFonts w:hint="eastAsia" w:ascii="宋体" w:hAnsi="宋体" w:cs="宋体"/>
          <w:b/>
          <w:bCs/>
          <w:color w:val="auto"/>
          <w:sz w:val="28"/>
          <w:szCs w:val="28"/>
          <w:highlight w:val="none"/>
        </w:rPr>
        <w:t>17.3特殊风险对工程的损害</w:t>
      </w:r>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由于上述特殊风险致使本工程和用于本工程的任何材料、设备在现场或在现场附近或在运往现场途中遭到破坏或损害时，根据合同规定承包人应有权对上述受到破坏或损害的已建的永久工程和材料或设备得到付款，而且还应有权按监理人的要求或为了完成工程所必需的下述工作得到付款，即：修复遭受上述破坏或损害的工程。</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监理人应根据第10条规定在与承包人协商并报发包人</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批准后，确定合同价格的增加额，并通知承包人，抄送发包人。</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5006" w:name="_Toc14510"/>
      <w:bookmarkStart w:id="5007" w:name="_Toc13404"/>
      <w:bookmarkStart w:id="5008" w:name="_Toc7499"/>
      <w:bookmarkStart w:id="5009" w:name="_Toc22790"/>
      <w:bookmarkStart w:id="5010" w:name="_Toc30332"/>
      <w:bookmarkStart w:id="5011" w:name="_Toc31351"/>
      <w:bookmarkStart w:id="5012" w:name="_Toc69114029"/>
      <w:bookmarkStart w:id="5013" w:name="_Toc7822"/>
      <w:bookmarkStart w:id="5014" w:name="_Toc16655"/>
      <w:bookmarkStart w:id="5015" w:name="_Toc517532211"/>
      <w:bookmarkStart w:id="5016" w:name="_Toc3944"/>
      <w:bookmarkStart w:id="5017" w:name="_Toc15193"/>
      <w:bookmarkStart w:id="5018" w:name="_Toc22851"/>
      <w:bookmarkStart w:id="5019" w:name="_Toc31420"/>
      <w:bookmarkStart w:id="5020" w:name="_Toc5038"/>
      <w:bookmarkStart w:id="5021" w:name="_Toc517530935"/>
      <w:bookmarkStart w:id="5022" w:name="_Toc30453"/>
      <w:bookmarkStart w:id="5023" w:name="_Toc11190"/>
      <w:bookmarkStart w:id="5024" w:name="_Toc517528742"/>
      <w:bookmarkStart w:id="5025" w:name="_Toc9444"/>
      <w:bookmarkStart w:id="5026" w:name="_Toc16415"/>
      <w:bookmarkStart w:id="5027" w:name="_Toc18456"/>
      <w:r>
        <w:rPr>
          <w:rFonts w:hint="eastAsia" w:ascii="宋体" w:hAnsi="宋体" w:cs="宋体"/>
          <w:b/>
          <w:bCs/>
          <w:color w:val="auto"/>
          <w:sz w:val="28"/>
          <w:szCs w:val="28"/>
          <w:highlight w:val="none"/>
        </w:rPr>
        <w:t>17.4由特殊风险引起的费用增加</w:t>
      </w:r>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除了根据合同的任何其他条款规定应该得到的付款之外，发包人应偿还承包人在施工方面产生的任何费用（但在任何特殊风险发生之前根据第9.2.3条的规定已宣告为不合格的工程的重建；特殊风险发生时停、窝工或承包人装备损坏或用于本工程的周转材料损坏费用除外），无论这些费用可归因于上述特殊风险，或随其发生，或为其后果，或以任何方式与之有关，但要受到本条下文中关于终止合同有关规定的制约，而承包人一旦知道发生此类费用时，应立即通知监理人。监理人在与承包人协商并经发包人</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批准后，应确定与此有关的应加到合同价格上的费用款额，并通知承包人，抄送发包人。</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5028" w:name="_Toc16767"/>
      <w:bookmarkStart w:id="5029" w:name="_Toc19025"/>
      <w:bookmarkStart w:id="5030" w:name="_Toc18220"/>
      <w:bookmarkStart w:id="5031" w:name="_Toc19382"/>
      <w:bookmarkStart w:id="5032" w:name="_Toc69114030"/>
      <w:bookmarkStart w:id="5033" w:name="_Toc1482"/>
      <w:bookmarkStart w:id="5034" w:name="_Toc16719"/>
      <w:bookmarkStart w:id="5035" w:name="_Toc517530936"/>
      <w:bookmarkStart w:id="5036" w:name="_Toc11583"/>
      <w:bookmarkStart w:id="5037" w:name="_Toc379"/>
      <w:bookmarkStart w:id="5038" w:name="_Toc8823"/>
      <w:bookmarkStart w:id="5039" w:name="_Toc20068"/>
      <w:bookmarkStart w:id="5040" w:name="_Toc21694"/>
      <w:bookmarkStart w:id="5041" w:name="_Toc28222"/>
      <w:bookmarkStart w:id="5042" w:name="_Toc18358"/>
      <w:bookmarkStart w:id="5043" w:name="_Toc16077"/>
      <w:bookmarkStart w:id="5044" w:name="_Toc683"/>
      <w:bookmarkStart w:id="5045" w:name="_Toc16117"/>
      <w:bookmarkStart w:id="5046" w:name="_Toc9553"/>
      <w:bookmarkStart w:id="5047" w:name="_Toc517528743"/>
      <w:bookmarkStart w:id="5048" w:name="_Toc1548"/>
      <w:bookmarkStart w:id="5049" w:name="_Toc517532212"/>
      <w:r>
        <w:rPr>
          <w:rFonts w:hint="eastAsia" w:ascii="宋体" w:hAnsi="宋体" w:cs="宋体"/>
          <w:b/>
          <w:bCs/>
          <w:color w:val="auto"/>
          <w:sz w:val="28"/>
          <w:szCs w:val="28"/>
          <w:highlight w:val="none"/>
        </w:rPr>
        <w:t>17.5由特殊风险而终止合同</w:t>
      </w:r>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合同履行过程中，如果发生上述特殊风险，双方都应始终尽所有合理的努力，使特殊风险对履行合同造成的任何延误减至最小。承包人应继续尽最大努力实施和完成工程，除非此种特殊风险的发生对本工程施工有重大实质性影响，并使合同的继续履行已成为不可能。在这种情况下，发包人有权通知承包人终止合同。一经发出此通知，除按本条规定和行使第20条规定的各方权利外，此合同应告终止，但不损害双方中在该风险发生之前所应有的权利。</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5050" w:name="_Toc17744"/>
      <w:bookmarkStart w:id="5051" w:name="_Toc5395"/>
      <w:bookmarkStart w:id="5052" w:name="_Toc30667"/>
      <w:bookmarkStart w:id="5053" w:name="_Toc517530937"/>
      <w:bookmarkStart w:id="5054" w:name="_Toc24621"/>
      <w:bookmarkStart w:id="5055" w:name="_Toc31295"/>
      <w:bookmarkStart w:id="5056" w:name="_Toc27972"/>
      <w:bookmarkStart w:id="5057" w:name="_Toc894"/>
      <w:bookmarkStart w:id="5058" w:name="_Toc29036"/>
      <w:bookmarkStart w:id="5059" w:name="_Toc26628"/>
      <w:bookmarkStart w:id="5060" w:name="_Toc69114031"/>
      <w:bookmarkStart w:id="5061" w:name="_Toc21617"/>
      <w:bookmarkStart w:id="5062" w:name="_Toc21649"/>
      <w:bookmarkStart w:id="5063" w:name="_Toc19126"/>
      <w:bookmarkStart w:id="5064" w:name="_Toc517528744"/>
      <w:bookmarkStart w:id="5065" w:name="_Toc11584"/>
      <w:bookmarkStart w:id="5066" w:name="_Toc19712"/>
      <w:bookmarkStart w:id="5067" w:name="_Toc517532213"/>
      <w:bookmarkStart w:id="5068" w:name="_Toc27919"/>
      <w:bookmarkStart w:id="5069" w:name="_Toc21182"/>
      <w:bookmarkStart w:id="5070" w:name="_Toc19044"/>
      <w:bookmarkStart w:id="5071" w:name="_Toc5150"/>
      <w:r>
        <w:rPr>
          <w:rFonts w:hint="eastAsia" w:ascii="宋体" w:hAnsi="宋体" w:cs="宋体"/>
          <w:b/>
          <w:bCs/>
          <w:color w:val="auto"/>
          <w:sz w:val="28"/>
          <w:szCs w:val="28"/>
          <w:highlight w:val="none"/>
        </w:rPr>
        <w:t>17.6终止合同时承包人装备的撤离</w:t>
      </w:r>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如果根据第17.5条的规定终止合同，则承包人应尽快地从现场撤离其一切装备，并为其分包人的尽快撤离提供同样的便利。</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5072" w:name="_Toc2122"/>
      <w:bookmarkStart w:id="5073" w:name="_Toc30509"/>
      <w:bookmarkStart w:id="5074" w:name="_Toc6059"/>
      <w:bookmarkStart w:id="5075" w:name="_Toc25284"/>
      <w:bookmarkStart w:id="5076" w:name="_Toc7232"/>
      <w:bookmarkStart w:id="5077" w:name="_Toc4472"/>
      <w:bookmarkStart w:id="5078" w:name="_Toc3867"/>
      <w:bookmarkStart w:id="5079" w:name="_Toc7563"/>
      <w:bookmarkStart w:id="5080" w:name="_Toc12635"/>
      <w:bookmarkStart w:id="5081" w:name="_Toc6120"/>
      <w:bookmarkStart w:id="5082" w:name="_Toc69114032"/>
      <w:bookmarkStart w:id="5083" w:name="_Toc32324"/>
      <w:bookmarkStart w:id="5084" w:name="_Toc30725"/>
      <w:bookmarkStart w:id="5085" w:name="_Toc2490"/>
      <w:bookmarkStart w:id="5086" w:name="_Toc517532214"/>
      <w:bookmarkStart w:id="5087" w:name="_Toc13705"/>
      <w:bookmarkStart w:id="5088" w:name="_Toc14114"/>
      <w:bookmarkStart w:id="5089" w:name="_Toc517530938"/>
      <w:bookmarkStart w:id="5090" w:name="_Toc7397"/>
      <w:bookmarkStart w:id="5091" w:name="_Toc517528745"/>
      <w:bookmarkStart w:id="5092" w:name="_Toc28488"/>
      <w:bookmarkStart w:id="5093" w:name="_Toc25390"/>
      <w:r>
        <w:rPr>
          <w:rFonts w:hint="eastAsia" w:ascii="宋体" w:hAnsi="宋体" w:cs="宋体"/>
          <w:b/>
          <w:bCs/>
          <w:color w:val="auto"/>
          <w:sz w:val="28"/>
          <w:szCs w:val="28"/>
          <w:highlight w:val="none"/>
        </w:rPr>
        <w:t>17.7终止合同的支付</w:t>
      </w:r>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如果合同按前款予以终止，则发包人应向承包人支付在合同终止之日以前已完成的全部工程的费用，其单价和总额价应按合同的规定，并另外支付下述费用：</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(a)有关在工程量清单中所指的任何费用项目的应付款额，只要这些项目中的工作或服务已经进行或履行，以及任何此类项中其工作或服务已经进行或履行了的那部分相应比例的费用；</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(b)已经交付承包人或承包人依法有责任收货的、为本合同工程合理订购的材料、设备或货物的费用，经发包人支付此项费用，该材料、设备或货物即成为发包人的财产；</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(c)作为已合理开支的、确实属于承包人为了完成本合同工程而预期开支的任何款额，而该开支还没有包括在本款提及的各项其他支付之内；</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(d)根据第17.3和17.4条规定应支付的任何附加款额；</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(e)根据第17.6条规定承包人装备的撤离的合理开支部分（应考虑已完成的工程已支付或将支付的费用），以及当承包人提出要求时，将这些装备运回承包人的装备基地，或其他目的地的费用，但不得多索费用。</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除按本款规定应予支付上述费用外，亦应有权要求承包人偿还各项预付款的未扣回余额，以及在合同终止之日，按合同规定应由发包人向承包人收回的任何其他款额。根据本款规定应支付的费额，应由监理人在与承包人协商并报发包人</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批准后确定，然后通知承包人，抄送发包人。</w:t>
      </w:r>
    </w:p>
    <w:bookmarkEnd w:id="4936"/>
    <w:bookmarkEnd w:id="4937"/>
    <w:bookmarkEnd w:id="4938"/>
    <w:bookmarkEnd w:id="4939"/>
    <w:p>
      <w:pPr>
        <w:keepNext/>
        <w:keepLines/>
        <w:spacing w:before="156" w:beforeLines="50" w:after="156" w:afterLines="50" w:line="360" w:lineRule="auto"/>
        <w:ind w:firstLine="600" w:firstLineChars="200"/>
        <w:outlineLvl w:val="1"/>
        <w:rPr>
          <w:rFonts w:ascii="宋体" w:hAnsi="宋体" w:cs="宋体"/>
          <w:b/>
          <w:bCs/>
          <w:color w:val="auto"/>
          <w:sz w:val="30"/>
          <w:szCs w:val="30"/>
          <w:highlight w:val="none"/>
        </w:rPr>
      </w:pPr>
      <w:bookmarkStart w:id="5094" w:name="_Toc351203612"/>
      <w:bookmarkStart w:id="5095" w:name="_Toc6507"/>
      <w:bookmarkStart w:id="5096" w:name="_Toc5363"/>
      <w:bookmarkStart w:id="5097" w:name="_Toc24365"/>
      <w:bookmarkStart w:id="5098" w:name="_Toc8410"/>
      <w:bookmarkStart w:id="5099" w:name="_Toc12856"/>
      <w:bookmarkStart w:id="5100" w:name="_Toc32662"/>
      <w:bookmarkStart w:id="5101" w:name="_Toc69114033"/>
      <w:bookmarkStart w:id="5102" w:name="_Toc12628"/>
      <w:bookmarkStart w:id="5103" w:name="_Toc465237134"/>
      <w:bookmarkStart w:id="5104" w:name="_Toc465237231"/>
      <w:bookmarkStart w:id="5105" w:name="_Toc16051"/>
      <w:bookmarkStart w:id="5106" w:name="_Toc1833"/>
      <w:bookmarkStart w:id="5107" w:name="_Toc1378"/>
      <w:bookmarkStart w:id="5108" w:name="_Toc13868"/>
      <w:bookmarkStart w:id="5109" w:name="_Toc27595"/>
      <w:bookmarkStart w:id="5110" w:name="_Toc517529751"/>
      <w:bookmarkStart w:id="5111" w:name="_Toc21457"/>
      <w:bookmarkStart w:id="5112" w:name="_Toc19500"/>
      <w:bookmarkStart w:id="5113" w:name="_Toc517528746"/>
      <w:bookmarkStart w:id="5114" w:name="_Toc20391"/>
      <w:bookmarkStart w:id="5115" w:name="_Toc517530939"/>
      <w:bookmarkStart w:id="5116" w:name="_Toc517532215"/>
      <w:bookmarkStart w:id="5117" w:name="_Toc30487"/>
      <w:bookmarkStart w:id="5118" w:name="_Toc2960"/>
      <w:bookmarkStart w:id="5119" w:name="_Toc26014"/>
      <w:bookmarkStart w:id="5120" w:name="_Toc337558828"/>
      <w:bookmarkStart w:id="5121" w:name="_Toc296503120"/>
      <w:bookmarkStart w:id="5122" w:name="_Toc296346621"/>
      <w:r>
        <w:rPr>
          <w:rFonts w:hint="eastAsia" w:ascii="宋体" w:hAnsi="宋体" w:cs="宋体"/>
          <w:b/>
          <w:bCs/>
          <w:color w:val="auto"/>
          <w:sz w:val="30"/>
          <w:szCs w:val="30"/>
          <w:highlight w:val="none"/>
        </w:rPr>
        <w:t>18.</w:t>
      </w:r>
      <w:bookmarkEnd w:id="5094"/>
      <w:r>
        <w:rPr>
          <w:rFonts w:hint="eastAsia" w:ascii="宋体" w:hAnsi="宋体" w:cs="宋体"/>
          <w:b/>
          <w:bCs/>
          <w:color w:val="auto"/>
          <w:sz w:val="30"/>
          <w:szCs w:val="30"/>
          <w:highlight w:val="none"/>
        </w:rPr>
        <w:t xml:space="preserve"> 保险</w:t>
      </w:r>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5123" w:name="_Toc18104"/>
      <w:bookmarkStart w:id="5124" w:name="_Toc17797"/>
      <w:bookmarkStart w:id="5125" w:name="_Toc16390"/>
      <w:bookmarkStart w:id="5126" w:name="_Toc12690"/>
      <w:bookmarkStart w:id="5127" w:name="_Toc27905"/>
      <w:bookmarkStart w:id="5128" w:name="_Toc17875"/>
      <w:bookmarkStart w:id="5129" w:name="_Toc23323"/>
      <w:bookmarkStart w:id="5130" w:name="_Toc517528747"/>
      <w:bookmarkStart w:id="5131" w:name="_Toc23975"/>
      <w:bookmarkStart w:id="5132" w:name="_Toc24462"/>
      <w:bookmarkStart w:id="5133" w:name="_Toc517530940"/>
      <w:bookmarkStart w:id="5134" w:name="_Toc19401"/>
      <w:bookmarkStart w:id="5135" w:name="_Toc8941"/>
      <w:bookmarkStart w:id="5136" w:name="_Toc12245"/>
      <w:bookmarkStart w:id="5137" w:name="_Toc517532216"/>
      <w:bookmarkStart w:id="5138" w:name="_Toc31769"/>
      <w:bookmarkStart w:id="5139" w:name="_Toc69114034"/>
      <w:bookmarkStart w:id="5140" w:name="_Toc702"/>
      <w:bookmarkStart w:id="5141" w:name="_Toc12931"/>
      <w:bookmarkStart w:id="5142" w:name="_Toc19269"/>
      <w:bookmarkStart w:id="5143" w:name="_Toc14055"/>
      <w:bookmarkStart w:id="5144" w:name="_Toc28116"/>
      <w:r>
        <w:rPr>
          <w:rFonts w:hint="eastAsia" w:ascii="宋体" w:hAnsi="宋体" w:cs="宋体"/>
          <w:b/>
          <w:bCs/>
          <w:color w:val="auto"/>
          <w:sz w:val="28"/>
          <w:szCs w:val="28"/>
          <w:highlight w:val="none"/>
        </w:rPr>
        <w:t>18.1工程的保险</w:t>
      </w:r>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p>
    <w:p>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在第8.2条规定的承包人和发包人的义务和责任不受约束的条件下，发包人已经以承包人和发包人的联名形式为本合同工程投保工程保险（包括第三者责任保险），其保险金额为本合同工程的概算中的建安费金额。上述保险的责任范围应符合保险公司的有关规定。当工程发生损失或损害时，应第一时间（出险当天）报保险顾问公司，在保险顾问公司指导下向保险公司报案，并同时通知业主代表。承包人应在风险发生后及时向发包人提供损失情况和估价报告，并抄送监理人；如损害继续发生，承包人在递交第一次报告后每7天报告一次，直到损害结束。对于发生保险责任范围内的损失及损害，承包人应及时向保险公司报告和索赔，对于涉及发包人权利的损害，承包人也应按监理人指示，协助发包人做好向保险公司的报告和索赔工作。</w:t>
      </w:r>
    </w:p>
    <w:p>
      <w:pPr>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如保险期限即将结束但工程未完工，承包人须提前二个月以书面形式报告发包人，由发包人与承包人共同商议是否延期投保及延期保费的承担方式。</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5145" w:name="_Toc14074"/>
      <w:bookmarkStart w:id="5146" w:name="_Toc29574"/>
      <w:bookmarkStart w:id="5147" w:name="_Toc27164"/>
      <w:bookmarkStart w:id="5148" w:name="_Toc24099"/>
      <w:bookmarkStart w:id="5149" w:name="_Toc2308"/>
      <w:bookmarkStart w:id="5150" w:name="_Toc20926"/>
      <w:bookmarkStart w:id="5151" w:name="_Toc9155"/>
      <w:bookmarkStart w:id="5152" w:name="_Toc9665"/>
      <w:bookmarkStart w:id="5153" w:name="_Toc69114035"/>
      <w:bookmarkStart w:id="5154" w:name="_Toc18870"/>
      <w:bookmarkStart w:id="5155" w:name="_Toc4269"/>
      <w:bookmarkStart w:id="5156" w:name="_Toc517528748"/>
      <w:bookmarkStart w:id="5157" w:name="_Toc2453"/>
      <w:bookmarkStart w:id="5158" w:name="_Toc9843"/>
      <w:bookmarkStart w:id="5159" w:name="_Toc8709"/>
      <w:bookmarkStart w:id="5160" w:name="_Toc517532217"/>
      <w:bookmarkStart w:id="5161" w:name="_Toc11069"/>
      <w:bookmarkStart w:id="5162" w:name="_Toc32657"/>
      <w:bookmarkStart w:id="5163" w:name="_Toc2218"/>
      <w:bookmarkStart w:id="5164" w:name="_Toc517530941"/>
      <w:r>
        <w:rPr>
          <w:rFonts w:hint="eastAsia" w:ascii="宋体" w:hAnsi="宋体" w:cs="宋体"/>
          <w:b/>
          <w:bCs/>
          <w:color w:val="auto"/>
          <w:sz w:val="28"/>
          <w:szCs w:val="28"/>
          <w:highlight w:val="none"/>
        </w:rPr>
        <w:t>18.2发包人与承包人约定的工程保险事项</w:t>
      </w:r>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p>
    <w:p>
      <w:pPr>
        <w:spacing w:line="360" w:lineRule="auto"/>
        <w:ind w:firstLine="420" w:firstLineChars="200"/>
        <w:jc w:val="left"/>
        <w:rPr>
          <w:rFonts w:ascii="宋体" w:hAnsi="宋体" w:cs="宋体"/>
          <w:bCs/>
          <w:color w:val="auto"/>
          <w:szCs w:val="21"/>
          <w:highlight w:val="none"/>
        </w:rPr>
      </w:pPr>
      <w:r>
        <w:rPr>
          <w:rFonts w:hint="eastAsia" w:ascii="宋体" w:hAnsi="宋体" w:cs="宋体"/>
          <w:color w:val="auto"/>
          <w:szCs w:val="21"/>
          <w:highlight w:val="none"/>
        </w:rPr>
        <w:t>(a)</w:t>
      </w:r>
      <w:r>
        <w:rPr>
          <w:rFonts w:hint="eastAsia" w:ascii="宋体" w:hAnsi="宋体" w:cs="宋体"/>
          <w:color w:val="auto"/>
          <w:szCs w:val="21"/>
          <w:highlight w:val="none"/>
          <w:lang w:val="zh-CN"/>
        </w:rPr>
        <w:t xml:space="preserve">发包人投保内容：建筑工程一切险及安装工程一切险（含第三者责任部分）。  </w:t>
      </w:r>
    </w:p>
    <w:p>
      <w:pPr>
        <w:spacing w:line="360" w:lineRule="auto"/>
        <w:ind w:firstLine="420" w:firstLineChars="200"/>
        <w:jc w:val="left"/>
        <w:rPr>
          <w:rFonts w:ascii="宋体" w:hAnsi="宋体" w:cs="宋体"/>
          <w:color w:val="auto"/>
          <w:szCs w:val="21"/>
          <w:highlight w:val="none"/>
          <w:lang w:val="zh-CN"/>
        </w:rPr>
      </w:pPr>
      <w:r>
        <w:rPr>
          <w:rFonts w:hint="eastAsia" w:ascii="宋体" w:hAnsi="宋体" w:cs="宋体"/>
          <w:color w:val="auto"/>
          <w:szCs w:val="21"/>
          <w:highlight w:val="none"/>
          <w:lang w:val="zh-CN"/>
        </w:rPr>
        <w:t xml:space="preserve">(b)发包人委托承包人办理的保险事项：无论什么原因，若承保工程一旦出险，承包人必须第一时间向监理人、发包人、发包人的保险顾问、承保人报告，对出险现场具有及时抢险、防止风险扩大和临时看管义务，对监理人、发包人或发包人的保险顾问负有配合义务，对于涉及发包人的权利的损害，承包人有义务协助发包人做好向保险公司的索赔工作，若承包人原因造成保险不能索赔或索赔额不足，则由承包人负责赔偿因此造成的一切损失。 </w:t>
      </w:r>
    </w:p>
    <w:p>
      <w:pPr>
        <w:spacing w:line="360" w:lineRule="auto"/>
        <w:ind w:firstLine="420" w:firstLineChars="200"/>
        <w:jc w:val="left"/>
        <w:rPr>
          <w:rFonts w:ascii="宋体" w:hAnsi="宋体" w:cs="宋体"/>
          <w:color w:val="auto"/>
          <w:szCs w:val="21"/>
          <w:highlight w:val="none"/>
          <w:lang w:val="zh-CN"/>
        </w:rPr>
      </w:pPr>
      <w:r>
        <w:rPr>
          <w:rFonts w:hint="eastAsia" w:ascii="宋体" w:hAnsi="宋体" w:cs="宋体"/>
          <w:color w:val="auto"/>
          <w:szCs w:val="21"/>
          <w:highlight w:val="none"/>
          <w:lang w:val="zh-CN"/>
        </w:rPr>
        <w:t>(c)承包人投保内容：承包人必须足额（投保金额应足以现场重置）为从事危险作业的职工办理意外伤害保险（团体意外保险不得低于20万元/人·年），为场地内自有人员的生命财产及施工机械设备办理保险，支付保险费用。承包人还必须严格执行</w:t>
      </w:r>
      <w:r>
        <w:rPr>
          <w:rFonts w:hint="eastAsia" w:ascii="宋体" w:hAnsi="宋体" w:cs="宋体"/>
          <w:color w:val="auto"/>
          <w:kern w:val="0"/>
          <w:szCs w:val="21"/>
          <w:highlight w:val="none"/>
        </w:rPr>
        <w:t>深圳市相关主管部门的规定，</w:t>
      </w:r>
      <w:r>
        <w:rPr>
          <w:rFonts w:hint="eastAsia" w:ascii="宋体" w:hAnsi="宋体" w:cs="宋体"/>
          <w:color w:val="auto"/>
          <w:szCs w:val="21"/>
          <w:highlight w:val="none"/>
          <w:lang w:val="zh-CN"/>
        </w:rPr>
        <w:t>为本企业雇用的从事建筑施工的农民工参加工伤保险。承包人应保证投保标准足够及保险合同持续有效，否则承包人承担由此引起的一切责任和后果。无论该保险能否索赔或足额索赔，承包人均不能因此向发包人提出任何索赔要求。承包人投保的保单应报监理人和发包人备案。承包人必须服从发包人的保险顾问对与保险有关的事务进行的监督和管理。</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5165" w:name="_Toc18052"/>
      <w:bookmarkStart w:id="5166" w:name="_Toc887"/>
      <w:bookmarkStart w:id="5167" w:name="_Toc17739"/>
      <w:bookmarkStart w:id="5168" w:name="_Toc29385"/>
      <w:bookmarkStart w:id="5169" w:name="_Toc69114036"/>
      <w:bookmarkStart w:id="5170" w:name="_Toc6445"/>
      <w:bookmarkStart w:id="5171" w:name="_Toc26418"/>
      <w:bookmarkStart w:id="5172" w:name="_Toc20962"/>
      <w:bookmarkStart w:id="5173" w:name="_Toc29159"/>
      <w:bookmarkStart w:id="5174" w:name="_Toc17712"/>
      <w:bookmarkStart w:id="5175" w:name="_Toc26958"/>
      <w:bookmarkStart w:id="5176" w:name="_Toc21792"/>
      <w:bookmarkStart w:id="5177" w:name="_Toc10696"/>
      <w:bookmarkStart w:id="5178" w:name="_Toc2939"/>
      <w:bookmarkStart w:id="5179" w:name="_Toc28626"/>
      <w:bookmarkStart w:id="5180" w:name="_Toc517528749"/>
      <w:bookmarkStart w:id="5181" w:name="_Toc31915"/>
      <w:bookmarkStart w:id="5182" w:name="_Toc12417"/>
      <w:bookmarkStart w:id="5183" w:name="_Toc25868"/>
      <w:bookmarkStart w:id="5184" w:name="_Toc517532218"/>
      <w:bookmarkStart w:id="5185" w:name="_Toc517530942"/>
      <w:bookmarkStart w:id="5186" w:name="_Toc2871"/>
      <w:r>
        <w:rPr>
          <w:rFonts w:hint="eastAsia" w:ascii="宋体" w:hAnsi="宋体" w:cs="宋体"/>
          <w:b/>
          <w:bCs/>
          <w:color w:val="auto"/>
          <w:sz w:val="28"/>
          <w:szCs w:val="28"/>
          <w:highlight w:val="none"/>
        </w:rPr>
        <w:t>18.3保险范围</w:t>
      </w:r>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第18.1条的保险范围应包括：</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(a)从现场开始工作直至合同工程或其区段或其单项工程（视情况而定）竣工颁发交接证书为止，发包人和承包人遭受的，并由第18.1条所规定的损失或损害；</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(b)由承包人负责的：</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①在保修期内，由发生于保修期开始之前的原因造成的损失和损害；</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②在履行第15条规定的承包人义务而进行的任何作业过程中由他人造成的损失或损害。</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5187" w:name="_Toc517532219"/>
      <w:bookmarkStart w:id="5188" w:name="_Toc15749"/>
      <w:bookmarkStart w:id="5189" w:name="_Toc3361"/>
      <w:bookmarkStart w:id="5190" w:name="_Toc69114037"/>
      <w:bookmarkStart w:id="5191" w:name="_Toc20334"/>
      <w:bookmarkStart w:id="5192" w:name="_Toc194"/>
      <w:bookmarkStart w:id="5193" w:name="_Toc517528750"/>
      <w:bookmarkStart w:id="5194" w:name="_Toc24535"/>
      <w:bookmarkStart w:id="5195" w:name="_Toc19983"/>
      <w:bookmarkStart w:id="5196" w:name="_Toc14815"/>
      <w:bookmarkStart w:id="5197" w:name="_Toc23363"/>
      <w:bookmarkStart w:id="5198" w:name="_Toc517530943"/>
      <w:bookmarkStart w:id="5199" w:name="_Toc26343"/>
      <w:bookmarkStart w:id="5200" w:name="_Toc27005"/>
      <w:bookmarkStart w:id="5201" w:name="_Toc19091"/>
      <w:bookmarkStart w:id="5202" w:name="_Toc3364"/>
      <w:bookmarkStart w:id="5203" w:name="_Toc20112"/>
      <w:bookmarkStart w:id="5204" w:name="_Toc27757"/>
      <w:bookmarkStart w:id="5205" w:name="_Toc28601"/>
      <w:bookmarkStart w:id="5206" w:name="_Toc24544"/>
      <w:bookmarkStart w:id="5207" w:name="_Toc8761"/>
      <w:bookmarkStart w:id="5208" w:name="_Toc28127"/>
      <w:r>
        <w:rPr>
          <w:rFonts w:hint="eastAsia" w:ascii="宋体" w:hAnsi="宋体" w:cs="宋体"/>
          <w:b/>
          <w:bCs/>
          <w:color w:val="auto"/>
          <w:sz w:val="28"/>
          <w:szCs w:val="28"/>
          <w:highlight w:val="none"/>
        </w:rPr>
        <w:t>18.4承包人装备的保险</w:t>
      </w:r>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在第8.2条规定的承包人的义务和责任不受约束的条件下，承包人应给已经运到现场的承包人装备办理保险，其投保金额足以现场重置。此项保险的一切费用由承包人承担并支付。</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5209" w:name="_Toc17506"/>
      <w:bookmarkStart w:id="5210" w:name="_Toc517532220"/>
      <w:bookmarkStart w:id="5211" w:name="_Toc69114038"/>
      <w:bookmarkStart w:id="5212" w:name="_Toc9640"/>
      <w:bookmarkStart w:id="5213" w:name="_Toc17823"/>
      <w:bookmarkStart w:id="5214" w:name="_Toc18878"/>
      <w:bookmarkStart w:id="5215" w:name="_Toc517528751"/>
      <w:bookmarkStart w:id="5216" w:name="_Toc19243"/>
      <w:bookmarkStart w:id="5217" w:name="_Toc30597"/>
      <w:bookmarkStart w:id="5218" w:name="_Toc28789"/>
      <w:bookmarkStart w:id="5219" w:name="_Toc5426"/>
      <w:bookmarkStart w:id="5220" w:name="_Toc974"/>
      <w:bookmarkStart w:id="5221" w:name="_Toc32481"/>
      <w:bookmarkStart w:id="5222" w:name="_Toc31765"/>
      <w:bookmarkStart w:id="5223" w:name="_Toc19244"/>
      <w:bookmarkStart w:id="5224" w:name="_Toc29550"/>
      <w:bookmarkStart w:id="5225" w:name="_Toc11404"/>
      <w:bookmarkStart w:id="5226" w:name="_Toc20621"/>
      <w:bookmarkStart w:id="5227" w:name="_Toc18711"/>
      <w:bookmarkStart w:id="5228" w:name="_Toc517530944"/>
      <w:bookmarkStart w:id="5229" w:name="_Toc21163"/>
      <w:bookmarkStart w:id="5230" w:name="_Toc10555"/>
      <w:r>
        <w:rPr>
          <w:rFonts w:hint="eastAsia" w:ascii="宋体" w:hAnsi="宋体" w:cs="宋体"/>
          <w:b/>
          <w:bCs/>
          <w:color w:val="auto"/>
          <w:sz w:val="28"/>
          <w:szCs w:val="28"/>
          <w:highlight w:val="none"/>
        </w:rPr>
        <w:t>18.5对未能收回偿额的责任</w:t>
      </w:r>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任何不能投保的风险损失或不能从承保人收回的偿额，应根据第8.2.1条对发包人和承包人责任的规定，由发包人或承包人承担。</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5231" w:name="_Toc6965"/>
      <w:bookmarkStart w:id="5232" w:name="_Toc517530945"/>
      <w:bookmarkStart w:id="5233" w:name="_Toc20489"/>
      <w:bookmarkStart w:id="5234" w:name="_Toc19134"/>
      <w:bookmarkStart w:id="5235" w:name="_Toc517528752"/>
      <w:bookmarkStart w:id="5236" w:name="_Toc29276"/>
      <w:bookmarkStart w:id="5237" w:name="_Toc11637"/>
      <w:bookmarkStart w:id="5238" w:name="_Toc29595"/>
      <w:bookmarkStart w:id="5239" w:name="_Toc29832"/>
      <w:bookmarkStart w:id="5240" w:name="_Toc30118"/>
      <w:bookmarkStart w:id="5241" w:name="_Toc20132"/>
      <w:bookmarkStart w:id="5242" w:name="_Toc20164"/>
      <w:bookmarkStart w:id="5243" w:name="_Toc3251"/>
      <w:bookmarkStart w:id="5244" w:name="_Toc21501"/>
      <w:bookmarkStart w:id="5245" w:name="_Toc9136"/>
      <w:bookmarkStart w:id="5246" w:name="_Toc17995"/>
      <w:bookmarkStart w:id="5247" w:name="_Toc30374"/>
      <w:bookmarkStart w:id="5248" w:name="_Toc69114039"/>
      <w:bookmarkStart w:id="5249" w:name="_Toc19738"/>
      <w:bookmarkStart w:id="5250" w:name="_Toc20578"/>
      <w:bookmarkStart w:id="5251" w:name="_Toc3512"/>
      <w:bookmarkStart w:id="5252" w:name="_Toc517532221"/>
      <w:r>
        <w:rPr>
          <w:rFonts w:hint="eastAsia" w:ascii="宋体" w:hAnsi="宋体" w:cs="宋体"/>
          <w:b/>
          <w:bCs/>
          <w:color w:val="auto"/>
          <w:sz w:val="28"/>
          <w:szCs w:val="28"/>
          <w:highlight w:val="none"/>
        </w:rPr>
        <w:t>18.6第三者责任险</w:t>
      </w:r>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p>
    <w:p>
      <w:pPr>
        <w:adjustRightInd w:val="0"/>
        <w:snapToGrid w:val="0"/>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在第6.2条规定的承包人和发包人的义务和责任不受约束的条件下，发包人已经以承包人与发包人的联名形式为本合同工程投保工程保险（其中包括第三者责任险）。第三者责任险是对因履行本合同而造成的任何财产（本工程及承包人的财产除外）的损失或损害，或任何人员（第6.2.3及18.7条规定的情况除外）的死亡或致伤所负的责任进行保险。因此第18.1条的相应规定同样地适用于本款。</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5253" w:name="_Toc14834"/>
      <w:bookmarkStart w:id="5254" w:name="_Toc22706"/>
      <w:bookmarkStart w:id="5255" w:name="_Toc11582"/>
      <w:bookmarkStart w:id="5256" w:name="_Toc14624"/>
      <w:bookmarkStart w:id="5257" w:name="_Toc10287"/>
      <w:bookmarkStart w:id="5258" w:name="_Toc69114040"/>
      <w:bookmarkStart w:id="5259" w:name="_Toc1185"/>
      <w:bookmarkStart w:id="5260" w:name="_Toc18080"/>
      <w:bookmarkStart w:id="5261" w:name="_Toc24208"/>
      <w:bookmarkStart w:id="5262" w:name="_Toc517530946"/>
      <w:bookmarkStart w:id="5263" w:name="_Toc28527"/>
      <w:bookmarkStart w:id="5264" w:name="_Toc8217"/>
      <w:bookmarkStart w:id="5265" w:name="_Toc21298"/>
      <w:bookmarkStart w:id="5266" w:name="_Toc6905"/>
      <w:bookmarkStart w:id="5267" w:name="_Toc30086"/>
      <w:bookmarkStart w:id="5268" w:name="_Toc31907"/>
      <w:bookmarkStart w:id="5269" w:name="_Toc517528753"/>
      <w:bookmarkStart w:id="5270" w:name="_Toc31863"/>
      <w:bookmarkStart w:id="5271" w:name="_Toc17610"/>
      <w:bookmarkStart w:id="5272" w:name="_Toc517532222"/>
      <w:bookmarkStart w:id="5273" w:name="_Toc28105"/>
      <w:bookmarkStart w:id="5274" w:name="_Toc1563"/>
      <w:r>
        <w:rPr>
          <w:rFonts w:hint="eastAsia" w:ascii="宋体" w:hAnsi="宋体" w:cs="宋体"/>
          <w:b/>
          <w:bCs/>
          <w:color w:val="auto"/>
          <w:sz w:val="28"/>
          <w:szCs w:val="28"/>
          <w:highlight w:val="none"/>
        </w:rPr>
        <w:t>18.7职工事故的保险</w:t>
      </w:r>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lang w:val="zh-CN"/>
        </w:rPr>
        <w:t>承包人必须为从事危险作业的职工办理意外伤害保险，支付保险费用。承包人必须严格执行</w:t>
      </w:r>
      <w:r>
        <w:rPr>
          <w:rFonts w:hint="eastAsia" w:ascii="宋体" w:hAnsi="宋体" w:cs="宋体"/>
          <w:color w:val="auto"/>
          <w:szCs w:val="21"/>
          <w:highlight w:val="none"/>
        </w:rPr>
        <w:t>深圳市相关主管部门关于建筑企业参加保险的各项规定</w:t>
      </w:r>
      <w:r>
        <w:rPr>
          <w:rFonts w:hint="eastAsia" w:ascii="宋体" w:hAnsi="宋体" w:cs="宋体"/>
          <w:color w:val="auto"/>
          <w:szCs w:val="21"/>
          <w:highlight w:val="none"/>
          <w:lang w:val="zh-CN"/>
        </w:rPr>
        <w:t>。承包人应保证投保标准足够及保险合同持续有效，否则承包人承担由此引起的一切责任和后果。无论该保险能否索赔或足额索赔，承包人均不能因此向发包人提出任何索赔要求。承包人投保的保单应报监理人和发包人备案。承包人必须服从发包人的保险顾问对与保险有关的事务进行的监督和管理。</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5275" w:name="_Toc517530947"/>
      <w:bookmarkStart w:id="5276" w:name="_Toc20842"/>
      <w:bookmarkStart w:id="5277" w:name="_Toc21918"/>
      <w:bookmarkStart w:id="5278" w:name="_Toc27062"/>
      <w:bookmarkStart w:id="5279" w:name="_Toc14763"/>
      <w:bookmarkStart w:id="5280" w:name="_Toc69114041"/>
      <w:bookmarkStart w:id="5281" w:name="_Toc20642"/>
      <w:bookmarkStart w:id="5282" w:name="_Toc10070"/>
      <w:bookmarkStart w:id="5283" w:name="_Toc517528754"/>
      <w:bookmarkStart w:id="5284" w:name="_Toc21417"/>
      <w:bookmarkStart w:id="5285" w:name="_Toc5215"/>
      <w:bookmarkStart w:id="5286" w:name="_Toc22990"/>
      <w:bookmarkStart w:id="5287" w:name="_Toc32253"/>
      <w:bookmarkStart w:id="5288" w:name="_Toc425"/>
      <w:bookmarkStart w:id="5289" w:name="_Toc29544"/>
      <w:bookmarkStart w:id="5290" w:name="_Toc517532223"/>
      <w:bookmarkStart w:id="5291" w:name="_Toc32158"/>
      <w:bookmarkStart w:id="5292" w:name="_Toc11102"/>
      <w:bookmarkStart w:id="5293" w:name="_Toc32371"/>
      <w:bookmarkStart w:id="5294" w:name="_Toc16207"/>
      <w:bookmarkStart w:id="5295" w:name="_Toc29633"/>
      <w:bookmarkStart w:id="5296" w:name="_Toc18285"/>
      <w:r>
        <w:rPr>
          <w:rFonts w:hint="eastAsia" w:ascii="宋体" w:hAnsi="宋体" w:cs="宋体"/>
          <w:b/>
          <w:bCs/>
          <w:color w:val="auto"/>
          <w:sz w:val="28"/>
          <w:szCs w:val="28"/>
          <w:highlight w:val="none"/>
        </w:rPr>
        <w:t>18.8保险的凭证</w:t>
      </w:r>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p>
    <w:p>
      <w:pPr>
        <w:adjustRightInd w:val="0"/>
        <w:snapToGrid w:val="0"/>
        <w:spacing w:line="360" w:lineRule="auto"/>
        <w:ind w:firstLine="420" w:firstLineChars="200"/>
        <w:jc w:val="left"/>
        <w:rPr>
          <w:rFonts w:ascii="宋体" w:hAnsi="宋体" w:cs="宋体"/>
          <w:color w:val="auto"/>
          <w:szCs w:val="21"/>
          <w:highlight w:val="none"/>
          <w:lang w:val="zh-CN"/>
        </w:rPr>
      </w:pPr>
      <w:r>
        <w:rPr>
          <w:rFonts w:hint="eastAsia" w:ascii="宋体" w:hAnsi="宋体" w:cs="宋体"/>
          <w:color w:val="auto"/>
          <w:szCs w:val="21"/>
          <w:highlight w:val="none"/>
          <w:lang w:val="zh-CN"/>
        </w:rPr>
        <w:t>承包人应在正式施工前向发包人的保险顾问公司索取工程保险合同，并须在保险顾问的安排下进行保险知识培训。</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5297" w:name="_Toc1898"/>
      <w:bookmarkStart w:id="5298" w:name="_Toc6470"/>
      <w:bookmarkStart w:id="5299" w:name="_Toc9605"/>
      <w:bookmarkStart w:id="5300" w:name="_Toc22621"/>
      <w:bookmarkStart w:id="5301" w:name="_Toc25480"/>
      <w:bookmarkStart w:id="5302" w:name="_Toc241"/>
      <w:bookmarkStart w:id="5303" w:name="_Toc1956"/>
      <w:bookmarkStart w:id="5304" w:name="_Toc19296"/>
      <w:bookmarkStart w:id="5305" w:name="_Toc13418"/>
      <w:bookmarkStart w:id="5306" w:name="_Toc7475"/>
      <w:bookmarkStart w:id="5307" w:name="_Toc1491"/>
      <w:bookmarkStart w:id="5308" w:name="_Toc21712"/>
      <w:bookmarkStart w:id="5309" w:name="_Toc52"/>
      <w:bookmarkStart w:id="5310" w:name="_Toc18675"/>
      <w:bookmarkStart w:id="5311" w:name="_Toc16143"/>
      <w:bookmarkStart w:id="5312" w:name="_Toc69114042"/>
      <w:bookmarkStart w:id="5313" w:name="_Toc25672"/>
      <w:bookmarkStart w:id="5314" w:name="_Toc517532224"/>
      <w:bookmarkStart w:id="5315" w:name="_Toc22528"/>
      <w:bookmarkStart w:id="5316" w:name="_Toc517528755"/>
      <w:bookmarkStart w:id="5317" w:name="_Toc517530948"/>
      <w:bookmarkStart w:id="5318" w:name="_Toc22921"/>
      <w:r>
        <w:rPr>
          <w:rFonts w:hint="eastAsia" w:ascii="宋体" w:hAnsi="宋体" w:cs="宋体"/>
          <w:b/>
          <w:bCs/>
          <w:color w:val="auto"/>
          <w:sz w:val="28"/>
          <w:szCs w:val="28"/>
          <w:highlight w:val="none"/>
        </w:rPr>
        <w:t>18.9足够的保险额</w:t>
      </w:r>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当工程施工的性质、规模或计划发生变更时，承包人应及时通知承保人，并在整个期间按合同条款保证足够的保险额。在发生上述通知前，如需对各项保险作任何变动时，承包人应事先与监理人协商并取得发包人</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批准。</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5319" w:name="_Toc5839"/>
      <w:bookmarkStart w:id="5320" w:name="_Toc1151"/>
      <w:bookmarkStart w:id="5321" w:name="_Toc22567"/>
      <w:bookmarkStart w:id="5322" w:name="_Toc6371"/>
      <w:bookmarkStart w:id="5323" w:name="_Toc517528756"/>
      <w:bookmarkStart w:id="5324" w:name="_Toc13372"/>
      <w:bookmarkStart w:id="5325" w:name="_Toc9907"/>
      <w:bookmarkStart w:id="5326" w:name="_Toc16323"/>
      <w:bookmarkStart w:id="5327" w:name="_Toc517532225"/>
      <w:bookmarkStart w:id="5328" w:name="_Toc27292"/>
      <w:bookmarkStart w:id="5329" w:name="_Toc29085"/>
      <w:bookmarkStart w:id="5330" w:name="_Toc6574"/>
      <w:bookmarkStart w:id="5331" w:name="_Toc661"/>
      <w:bookmarkStart w:id="5332" w:name="_Toc19535"/>
      <w:bookmarkStart w:id="5333" w:name="_Toc9612"/>
      <w:bookmarkStart w:id="5334" w:name="_Toc69114043"/>
      <w:bookmarkStart w:id="5335" w:name="_Toc5072"/>
      <w:bookmarkStart w:id="5336" w:name="_Toc2966"/>
      <w:bookmarkStart w:id="5337" w:name="_Toc26352"/>
      <w:bookmarkStart w:id="5338" w:name="_Toc1275"/>
      <w:bookmarkStart w:id="5339" w:name="_Toc8878"/>
      <w:bookmarkStart w:id="5340" w:name="_Toc517530949"/>
      <w:r>
        <w:rPr>
          <w:rFonts w:hint="eastAsia" w:ascii="宋体" w:hAnsi="宋体" w:cs="宋体"/>
          <w:b/>
          <w:bCs/>
          <w:color w:val="auto"/>
          <w:sz w:val="28"/>
          <w:szCs w:val="28"/>
          <w:highlight w:val="none"/>
        </w:rPr>
        <w:t>18.10遵守保险单的条件</w:t>
      </w:r>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p>
    <w:p>
      <w:pPr>
        <w:adjustRightInd w:val="0"/>
        <w:snapToGrid w:val="0"/>
        <w:spacing w:line="360" w:lineRule="auto"/>
        <w:ind w:firstLine="420" w:firstLineChars="200"/>
        <w:jc w:val="left"/>
        <w:rPr>
          <w:rFonts w:ascii="宋体" w:hAnsi="宋体" w:cs="宋体"/>
          <w:color w:val="auto"/>
          <w:szCs w:val="21"/>
          <w:highlight w:val="none"/>
          <w:lang w:val="zh-CN"/>
        </w:rPr>
      </w:pPr>
      <w:r>
        <w:rPr>
          <w:rFonts w:hint="eastAsia" w:ascii="宋体" w:hAnsi="宋体" w:cs="宋体"/>
          <w:color w:val="auto"/>
          <w:szCs w:val="21"/>
          <w:highlight w:val="none"/>
        </w:rPr>
        <w:t>承</w:t>
      </w:r>
      <w:r>
        <w:rPr>
          <w:rFonts w:hint="eastAsia" w:ascii="宋体" w:hAnsi="宋体" w:cs="宋体"/>
          <w:color w:val="auto"/>
          <w:szCs w:val="21"/>
          <w:highlight w:val="none"/>
          <w:lang w:val="zh-CN"/>
        </w:rPr>
        <w:t>包人应对其为本合同工程派遣或雇用的任何人员</w:t>
      </w:r>
      <w:r>
        <w:rPr>
          <w:rFonts w:hint="eastAsia" w:ascii="宋体" w:hAnsi="宋体" w:cs="宋体"/>
          <w:color w:val="auto"/>
          <w:szCs w:val="21"/>
          <w:highlight w:val="none"/>
        </w:rPr>
        <w:t>购买</w:t>
      </w:r>
      <w:r>
        <w:rPr>
          <w:rFonts w:hint="eastAsia" w:ascii="宋体" w:hAnsi="宋体" w:cs="宋体"/>
          <w:color w:val="auto"/>
          <w:szCs w:val="21"/>
          <w:highlight w:val="none"/>
          <w:lang w:val="zh-CN"/>
        </w:rPr>
        <w:t>人身意外保险，并应在全部工作期间持续进行上述保险，同时也应要分包人进行此项保险，该项保险的一切费用应由承包人（或分包人）承担并支付。</w:t>
      </w:r>
    </w:p>
    <w:bookmarkEnd w:id="5120"/>
    <w:bookmarkEnd w:id="5121"/>
    <w:bookmarkEnd w:id="5122"/>
    <w:p>
      <w:pPr>
        <w:keepNext/>
        <w:keepLines/>
        <w:spacing w:before="156" w:beforeLines="50" w:after="156" w:afterLines="50" w:line="360" w:lineRule="auto"/>
        <w:ind w:firstLine="600" w:firstLineChars="200"/>
        <w:outlineLvl w:val="1"/>
        <w:rPr>
          <w:rFonts w:ascii="宋体" w:hAnsi="宋体" w:cs="宋体"/>
          <w:b/>
          <w:bCs/>
          <w:color w:val="auto"/>
          <w:sz w:val="30"/>
          <w:szCs w:val="30"/>
          <w:highlight w:val="none"/>
        </w:rPr>
      </w:pPr>
      <w:bookmarkStart w:id="5341" w:name="_Toc351203620"/>
      <w:bookmarkStart w:id="5342" w:name="_Toc21864"/>
      <w:bookmarkStart w:id="5343" w:name="_Toc11343"/>
      <w:bookmarkStart w:id="5344" w:name="_Toc7818"/>
      <w:bookmarkStart w:id="5345" w:name="_Toc1918"/>
      <w:bookmarkStart w:id="5346" w:name="_Toc1863"/>
      <w:bookmarkStart w:id="5347" w:name="_Toc28122"/>
      <w:bookmarkStart w:id="5348" w:name="_Toc517530950"/>
      <w:bookmarkStart w:id="5349" w:name="_Toc22801"/>
      <w:bookmarkStart w:id="5350" w:name="_Toc19474"/>
      <w:bookmarkStart w:id="5351" w:name="_Toc517528757"/>
      <w:bookmarkStart w:id="5352" w:name="_Toc465237135"/>
      <w:bookmarkStart w:id="5353" w:name="_Toc19590"/>
      <w:bookmarkStart w:id="5354" w:name="_Toc18046"/>
      <w:bookmarkStart w:id="5355" w:name="_Toc517532226"/>
      <w:bookmarkStart w:id="5356" w:name="_Toc465237232"/>
      <w:bookmarkStart w:id="5357" w:name="_Toc14807"/>
      <w:bookmarkStart w:id="5358" w:name="_Toc12452"/>
      <w:bookmarkStart w:id="5359" w:name="_Toc26530"/>
      <w:bookmarkStart w:id="5360" w:name="_Toc18763"/>
      <w:bookmarkStart w:id="5361" w:name="_Toc69114044"/>
      <w:bookmarkStart w:id="5362" w:name="_Toc31249"/>
      <w:bookmarkStart w:id="5363" w:name="_Toc20456"/>
      <w:bookmarkStart w:id="5364" w:name="_Toc4336"/>
      <w:bookmarkStart w:id="5365" w:name="_Toc29700"/>
      <w:bookmarkStart w:id="5366" w:name="_Toc517529752"/>
      <w:bookmarkStart w:id="5367" w:name="_Toc296346641"/>
      <w:bookmarkStart w:id="5368" w:name="_Toc296503140"/>
      <w:bookmarkStart w:id="5369" w:name="_Toc337558835"/>
      <w:r>
        <w:rPr>
          <w:rFonts w:hint="eastAsia" w:ascii="宋体" w:hAnsi="宋体" w:cs="宋体"/>
          <w:b/>
          <w:bCs/>
          <w:color w:val="auto"/>
          <w:sz w:val="30"/>
          <w:szCs w:val="30"/>
          <w:highlight w:val="none"/>
        </w:rPr>
        <w:t>19.</w:t>
      </w:r>
      <w:bookmarkEnd w:id="5341"/>
      <w:r>
        <w:rPr>
          <w:rFonts w:hint="eastAsia" w:ascii="宋体" w:hAnsi="宋体" w:cs="宋体"/>
          <w:b/>
          <w:bCs/>
          <w:color w:val="auto"/>
          <w:sz w:val="30"/>
          <w:szCs w:val="30"/>
          <w:highlight w:val="none"/>
        </w:rPr>
        <w:t xml:space="preserve"> 索赔</w:t>
      </w:r>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5370" w:name="_Toc69114045"/>
      <w:bookmarkStart w:id="5371" w:name="_Toc10258"/>
      <w:bookmarkStart w:id="5372" w:name="_Toc517528758"/>
      <w:bookmarkStart w:id="5373" w:name="_Toc17422"/>
      <w:bookmarkStart w:id="5374" w:name="_Toc8149"/>
      <w:bookmarkStart w:id="5375" w:name="_Toc517532227"/>
      <w:bookmarkStart w:id="5376" w:name="_Toc20863"/>
      <w:bookmarkStart w:id="5377" w:name="_Toc517530951"/>
      <w:bookmarkStart w:id="5378" w:name="_Toc23723"/>
      <w:bookmarkStart w:id="5379" w:name="_Toc23962"/>
      <w:bookmarkStart w:id="5380" w:name="_Toc1183"/>
      <w:bookmarkStart w:id="5381" w:name="_Toc10177"/>
      <w:bookmarkStart w:id="5382" w:name="_Toc26018"/>
      <w:bookmarkStart w:id="5383" w:name="_Toc13156"/>
      <w:bookmarkStart w:id="5384" w:name="_Toc5168"/>
      <w:bookmarkStart w:id="5385" w:name="_Toc17604"/>
      <w:bookmarkStart w:id="5386" w:name="_Toc465237233"/>
      <w:bookmarkStart w:id="5387" w:name="_Toc26769"/>
      <w:bookmarkStart w:id="5388" w:name="_Toc12428"/>
      <w:bookmarkStart w:id="5389" w:name="_Toc5732"/>
      <w:bookmarkStart w:id="5390" w:name="_Toc465237136"/>
      <w:bookmarkStart w:id="5391" w:name="_Toc32189"/>
      <w:bookmarkStart w:id="5392" w:name="_Toc25909"/>
      <w:bookmarkStart w:id="5393" w:name="_Toc28931"/>
      <w:r>
        <w:rPr>
          <w:rFonts w:hint="eastAsia" w:ascii="宋体" w:hAnsi="宋体" w:cs="宋体"/>
          <w:b/>
          <w:bCs/>
          <w:color w:val="auto"/>
          <w:sz w:val="28"/>
          <w:szCs w:val="28"/>
          <w:highlight w:val="none"/>
        </w:rPr>
        <w:t>19.1承包人的索赔</w:t>
      </w:r>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5394" w:name="_Toc6108"/>
      <w:bookmarkStart w:id="5395" w:name="_Toc11248"/>
      <w:bookmarkStart w:id="5396" w:name="_Toc5871"/>
      <w:bookmarkStart w:id="5397" w:name="_Toc11294"/>
      <w:bookmarkStart w:id="5398" w:name="_Toc31896"/>
      <w:bookmarkStart w:id="5399" w:name="_Toc26371"/>
      <w:bookmarkStart w:id="5400" w:name="_Toc517530952"/>
      <w:bookmarkStart w:id="5401" w:name="_Toc20796"/>
      <w:bookmarkStart w:id="5402" w:name="_Toc24771"/>
      <w:bookmarkStart w:id="5403" w:name="_Toc13961"/>
      <w:bookmarkStart w:id="5404" w:name="_Toc6971"/>
      <w:bookmarkStart w:id="5405" w:name="_Toc4810"/>
      <w:bookmarkStart w:id="5406" w:name="_Toc19379"/>
      <w:bookmarkStart w:id="5407" w:name="_Toc14762"/>
      <w:bookmarkStart w:id="5408" w:name="_Toc16554"/>
      <w:bookmarkStart w:id="5409" w:name="_Toc20157"/>
      <w:bookmarkStart w:id="5410" w:name="_Toc4582"/>
      <w:bookmarkStart w:id="5411" w:name="_Toc1703"/>
      <w:bookmarkStart w:id="5412" w:name="_Toc517532228"/>
      <w:bookmarkStart w:id="5413" w:name="_Toc19389"/>
      <w:r>
        <w:rPr>
          <w:rFonts w:hint="eastAsia" w:ascii="宋体" w:hAnsi="宋体" w:cs="宋体"/>
          <w:b/>
          <w:bCs/>
          <w:color w:val="auto"/>
          <w:sz w:val="24"/>
          <w:szCs w:val="24"/>
          <w:highlight w:val="none"/>
        </w:rPr>
        <w:t>19.1.1索赔通知</w:t>
      </w:r>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即使合同有其他规定，如果承包人根据本合同条款任何条款或其他方面要求索取任何附加支付，承包人应在要求索赔的事件首次发生的</w:t>
      </w:r>
      <w:r>
        <w:rPr>
          <w:rFonts w:hint="eastAsia" w:ascii="宋体" w:hAnsi="宋体" w:cs="宋体"/>
          <w:color w:val="auto"/>
          <w:szCs w:val="21"/>
          <w:highlight w:val="none"/>
          <w:u w:val="single"/>
        </w:rPr>
        <w:t>21</w:t>
      </w:r>
      <w:r>
        <w:rPr>
          <w:rFonts w:hint="eastAsia" w:ascii="宋体" w:hAnsi="宋体" w:cs="宋体"/>
          <w:color w:val="auto"/>
          <w:szCs w:val="21"/>
          <w:highlight w:val="none"/>
        </w:rPr>
        <w:t>天之内将索赔的要求书面通知监理人，并抄送发包人。</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5414" w:name="_Toc7200"/>
      <w:bookmarkStart w:id="5415" w:name="_Toc29338"/>
      <w:bookmarkStart w:id="5416" w:name="_Toc21765"/>
      <w:bookmarkStart w:id="5417" w:name="_Toc517530953"/>
      <w:bookmarkStart w:id="5418" w:name="_Toc27092"/>
      <w:bookmarkStart w:id="5419" w:name="_Toc12674"/>
      <w:bookmarkStart w:id="5420" w:name="_Toc517532229"/>
      <w:bookmarkStart w:id="5421" w:name="_Toc29261"/>
      <w:bookmarkStart w:id="5422" w:name="_Toc28965"/>
      <w:bookmarkStart w:id="5423" w:name="_Toc30490"/>
      <w:bookmarkStart w:id="5424" w:name="_Toc10558"/>
      <w:bookmarkStart w:id="5425" w:name="_Toc8483"/>
      <w:bookmarkStart w:id="5426" w:name="_Toc19306"/>
      <w:bookmarkStart w:id="5427" w:name="_Toc32414"/>
      <w:bookmarkStart w:id="5428" w:name="_Toc25411"/>
      <w:bookmarkStart w:id="5429" w:name="_Toc2558"/>
      <w:bookmarkStart w:id="5430" w:name="_Toc2712"/>
      <w:bookmarkStart w:id="5431" w:name="_Toc13287"/>
      <w:bookmarkStart w:id="5432" w:name="_Toc21460"/>
      <w:bookmarkStart w:id="5433" w:name="_Toc25034"/>
      <w:r>
        <w:rPr>
          <w:rFonts w:hint="eastAsia" w:ascii="宋体" w:hAnsi="宋体" w:cs="宋体"/>
          <w:b/>
          <w:bCs/>
          <w:color w:val="auto"/>
          <w:sz w:val="24"/>
          <w:szCs w:val="24"/>
          <w:highlight w:val="none"/>
        </w:rPr>
        <w:t>19.1.2索赔的记录</w:t>
      </w:r>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第19.1.1条所指事件发生时，承包人应保存相关记录，以便合理地证明要申请的索赔。监理人在接到第19.1.1条所述的通知时，不必以承认是否系发包人责任为前提，先应审查这些记录，并可指示承包人进一步作好相关记录，该记录是承包人发出的索赔的重要补充资料。承包人应允许监理人审查根据本款规定而保存的全部记录，并当监理人指令要记录的复制件时，向监理人提交。</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5434" w:name="_Toc14480"/>
      <w:bookmarkStart w:id="5435" w:name="_Toc11226"/>
      <w:bookmarkStart w:id="5436" w:name="_Toc26052"/>
      <w:bookmarkStart w:id="5437" w:name="_Toc20799"/>
      <w:bookmarkStart w:id="5438" w:name="_Toc16511"/>
      <w:bookmarkStart w:id="5439" w:name="_Toc25798"/>
      <w:bookmarkStart w:id="5440" w:name="_Toc8567"/>
      <w:bookmarkStart w:id="5441" w:name="_Toc18740"/>
      <w:bookmarkStart w:id="5442" w:name="_Toc13906"/>
      <w:bookmarkStart w:id="5443" w:name="_Toc19405"/>
      <w:bookmarkStart w:id="5444" w:name="_Toc25231"/>
      <w:bookmarkStart w:id="5445" w:name="_Toc19263"/>
      <w:bookmarkStart w:id="5446" w:name="_Toc7930"/>
      <w:bookmarkStart w:id="5447" w:name="_Toc517530954"/>
      <w:bookmarkStart w:id="5448" w:name="_Toc517532230"/>
      <w:bookmarkStart w:id="5449" w:name="_Toc11058"/>
      <w:bookmarkStart w:id="5450" w:name="_Toc12531"/>
      <w:bookmarkStart w:id="5451" w:name="_Toc19105"/>
      <w:bookmarkStart w:id="5452" w:name="_Toc13333"/>
      <w:bookmarkStart w:id="5453" w:name="_Toc16136"/>
      <w:r>
        <w:rPr>
          <w:rFonts w:hint="eastAsia" w:ascii="宋体" w:hAnsi="宋体" w:cs="宋体"/>
          <w:b/>
          <w:bCs/>
          <w:color w:val="auto"/>
          <w:sz w:val="24"/>
          <w:szCs w:val="24"/>
          <w:highlight w:val="none"/>
        </w:rPr>
        <w:t>19.1.3索赔的证明</w:t>
      </w:r>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在根据第19.1.1条规定发出通知后的</w:t>
      </w:r>
      <w:r>
        <w:rPr>
          <w:rFonts w:hint="eastAsia" w:ascii="宋体" w:hAnsi="宋体" w:cs="宋体"/>
          <w:color w:val="auto"/>
          <w:szCs w:val="21"/>
          <w:highlight w:val="none"/>
          <w:u w:val="single"/>
        </w:rPr>
        <w:t>21</w:t>
      </w:r>
      <w:r>
        <w:rPr>
          <w:rFonts w:hint="eastAsia" w:ascii="宋体" w:hAnsi="宋体" w:cs="宋体"/>
          <w:color w:val="auto"/>
          <w:szCs w:val="21"/>
          <w:highlight w:val="none"/>
        </w:rPr>
        <w:t>天内，或在可能得到监理人同意的另一合理期限之内，承包人应向监理人提交一份说明索赔款额的具体细节账目，并说明索赔所依据的理由。在要求索赔的事件具有持续作用的情况下，上述账目应认为是一笔暂时账目，承包人应在监理人合理要求的间隔时间内，送交后来进一步发生的暂时账目和作为索赔依据的进一步理由。在暂时账目陆续送交监理人的条件下，承包人应该在要求索赔事件终止后</w:t>
      </w:r>
      <w:r>
        <w:rPr>
          <w:rFonts w:hint="eastAsia" w:ascii="宋体" w:hAnsi="宋体" w:cs="宋体"/>
          <w:color w:val="auto"/>
          <w:szCs w:val="21"/>
          <w:highlight w:val="none"/>
          <w:u w:val="single"/>
        </w:rPr>
        <w:t>21</w:t>
      </w:r>
      <w:r>
        <w:rPr>
          <w:rFonts w:hint="eastAsia" w:ascii="宋体" w:hAnsi="宋体" w:cs="宋体"/>
          <w:color w:val="auto"/>
          <w:szCs w:val="21"/>
          <w:highlight w:val="none"/>
        </w:rPr>
        <w:t>天之内送出最后账目。如果监理人有此要求，承包人应将根据本款规定送交监理人的全部账目的复制件送交发包人。</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5454" w:name="_Toc21709"/>
      <w:bookmarkStart w:id="5455" w:name="_Toc11074"/>
      <w:bookmarkStart w:id="5456" w:name="_Toc21782"/>
      <w:bookmarkStart w:id="5457" w:name="_Toc32617"/>
      <w:bookmarkStart w:id="5458" w:name="_Toc16461"/>
      <w:bookmarkStart w:id="5459" w:name="_Toc24962"/>
      <w:bookmarkStart w:id="5460" w:name="_Toc28619"/>
      <w:bookmarkStart w:id="5461" w:name="_Toc17146"/>
      <w:bookmarkStart w:id="5462" w:name="_Toc9838"/>
      <w:bookmarkStart w:id="5463" w:name="_Toc31573"/>
      <w:bookmarkStart w:id="5464" w:name="_Toc517530955"/>
      <w:bookmarkStart w:id="5465" w:name="_Toc16422"/>
      <w:bookmarkStart w:id="5466" w:name="_Toc12596"/>
      <w:bookmarkStart w:id="5467" w:name="_Toc24226"/>
      <w:bookmarkStart w:id="5468" w:name="_Toc24627"/>
      <w:bookmarkStart w:id="5469" w:name="_Toc30949"/>
      <w:bookmarkStart w:id="5470" w:name="_Toc517532231"/>
      <w:bookmarkStart w:id="5471" w:name="_Toc25168"/>
      <w:bookmarkStart w:id="5472" w:name="_Toc14108"/>
      <w:bookmarkStart w:id="5473" w:name="_Toc19617"/>
      <w:r>
        <w:rPr>
          <w:rFonts w:hint="eastAsia" w:ascii="宋体" w:hAnsi="宋体" w:cs="宋体"/>
          <w:b/>
          <w:bCs/>
          <w:color w:val="auto"/>
          <w:sz w:val="24"/>
          <w:szCs w:val="24"/>
          <w:highlight w:val="none"/>
        </w:rPr>
        <w:t>19.1.4索赔限制</w:t>
      </w:r>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如果承包人提出的任何索赔要求未能遵守本条中有关索赔的各项规定，则承包人有权得到的索赔付款不超过监理人或法院（即按第20条指定的对索赔进行评定者）认为可以按当时记录予以核实的款额。</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5474" w:name="_Toc517530956"/>
      <w:bookmarkStart w:id="5475" w:name="_Toc29585"/>
      <w:bookmarkStart w:id="5476" w:name="_Toc26540"/>
      <w:bookmarkStart w:id="5477" w:name="_Toc5176"/>
      <w:bookmarkStart w:id="5478" w:name="_Toc6754"/>
      <w:bookmarkStart w:id="5479" w:name="_Toc31682"/>
      <w:bookmarkStart w:id="5480" w:name="_Toc18211"/>
      <w:bookmarkStart w:id="5481" w:name="_Toc5178"/>
      <w:bookmarkStart w:id="5482" w:name="_Toc27413"/>
      <w:bookmarkStart w:id="5483" w:name="_Toc517532232"/>
      <w:bookmarkStart w:id="5484" w:name="_Toc26106"/>
      <w:bookmarkStart w:id="5485" w:name="_Toc19150"/>
      <w:bookmarkStart w:id="5486" w:name="_Toc26062"/>
      <w:bookmarkStart w:id="5487" w:name="_Toc12204"/>
      <w:bookmarkStart w:id="5488" w:name="_Toc30459"/>
      <w:bookmarkStart w:id="5489" w:name="_Toc671"/>
      <w:bookmarkStart w:id="5490" w:name="_Toc4090"/>
      <w:bookmarkStart w:id="5491" w:name="_Toc13945"/>
      <w:bookmarkStart w:id="5492" w:name="_Toc21893"/>
      <w:bookmarkStart w:id="5493" w:name="_Toc29769"/>
      <w:r>
        <w:rPr>
          <w:rFonts w:hint="eastAsia" w:ascii="宋体" w:hAnsi="宋体" w:cs="宋体"/>
          <w:b/>
          <w:bCs/>
          <w:color w:val="auto"/>
          <w:sz w:val="24"/>
          <w:szCs w:val="24"/>
          <w:highlight w:val="none"/>
        </w:rPr>
        <w:t>19.1.5索赔的支付</w:t>
      </w:r>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监理人应对承包人根据上述各款规定提供的索赔证据和细节账目等有关资料进行审查核实，在与承包人协商并报经发包人</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批准后，确定承包人有权得到的全部或部分的索赔款额，并列入核签的期中支付证书或最后支付证书内予以支付。监理人应将此决定通知承包人，并抄送发包人。</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如果承包人未能在第19.1.1和19.1.3条规定的时间内，将要求索赔的通知和说明索赔款额的具体细节账目与索赔所依据的理由等证实资料交监理人，则监理人事后可不予受理。</w:t>
      </w:r>
    </w:p>
    <w:p>
      <w:pPr>
        <w:keepNext/>
        <w:keepLines/>
        <w:spacing w:before="156" w:beforeLines="50" w:after="156" w:afterLines="50" w:line="360" w:lineRule="auto"/>
        <w:ind w:firstLine="728"/>
        <w:outlineLvl w:val="3"/>
        <w:rPr>
          <w:rFonts w:ascii="宋体" w:hAnsi="宋体" w:cs="宋体"/>
          <w:b/>
          <w:bCs/>
          <w:color w:val="auto"/>
          <w:sz w:val="24"/>
          <w:szCs w:val="24"/>
          <w:highlight w:val="none"/>
        </w:rPr>
      </w:pPr>
      <w:bookmarkStart w:id="5494" w:name="_Toc13208"/>
      <w:bookmarkStart w:id="5495" w:name="_Toc885"/>
      <w:bookmarkStart w:id="5496" w:name="_Toc25208"/>
      <w:bookmarkStart w:id="5497" w:name="_Toc16826"/>
      <w:bookmarkStart w:id="5498" w:name="_Toc7378"/>
      <w:bookmarkStart w:id="5499" w:name="_Toc995"/>
      <w:bookmarkStart w:id="5500" w:name="_Toc19606"/>
      <w:bookmarkStart w:id="5501" w:name="_Toc2628"/>
      <w:bookmarkStart w:id="5502" w:name="_Toc28923"/>
      <w:bookmarkStart w:id="5503" w:name="_Toc28482"/>
      <w:bookmarkStart w:id="5504" w:name="_Toc8531"/>
      <w:bookmarkStart w:id="5505" w:name="_Toc7993"/>
      <w:bookmarkStart w:id="5506" w:name="_Toc517530957"/>
      <w:bookmarkStart w:id="5507" w:name="_Toc517532233"/>
      <w:bookmarkStart w:id="5508" w:name="_Toc32119"/>
      <w:bookmarkStart w:id="5509" w:name="_Toc16659"/>
      <w:bookmarkStart w:id="5510" w:name="_Toc5247"/>
      <w:bookmarkStart w:id="5511" w:name="_Toc30782"/>
      <w:bookmarkStart w:id="5512" w:name="_Toc18231"/>
      <w:bookmarkStart w:id="5513" w:name="_Toc648"/>
      <w:r>
        <w:rPr>
          <w:rFonts w:hint="eastAsia" w:ascii="宋体" w:hAnsi="宋体" w:cs="宋体"/>
          <w:b/>
          <w:bCs/>
          <w:color w:val="auto"/>
          <w:sz w:val="24"/>
          <w:szCs w:val="24"/>
          <w:highlight w:val="none"/>
        </w:rPr>
        <w:t>19.1.6因发包人原因造成的停工</w:t>
      </w:r>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由于发包人原因造成暂时停工持续63天以上的，双方可以按照情势变更原则，协商停工超过63天以上部分的费用补偿（不计停工后63天之内造成的损失，承包人在停工后63天之内遣散人员、承包人装备、临时工程和材料退场等费用不予补偿）。发包人原因造成的停工仅影响本工程的一部分时，发包人仅对受此停工影响工程的部分造成的损失与承包人协商补偿事宜。由于发包人原因造成暂时停工未持续超过63天的，费用不予补偿。</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包人原因导致持续暂时停工情况发生时，承包人应采取有效措施将损失降到最低，否则造成的额外损失由承包人承担，发包人不予补偿。承包人应采取的有效措施包括但不限于遣散不必要的承包人职员和工人、安排不必要的承包人装备、临时工程和材料退场等。承包人的应对措施在征得发包人</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同意后，应及时将暂时停工63天之后涉及费用预算报送发包人，作为双方协商补偿事宜的依据；承包人不执行监理人或发包人指令以降低损失的，由此造成的损失发包人不予补偿。</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承包人不得提出无理高价索赔，不得以此为由暂停不受影响工程的施工，或拒绝执行监理人或发包人的指令，否则发包人可对承包人予以记录不良行为。</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5514" w:name="_Toc7514"/>
      <w:bookmarkStart w:id="5515" w:name="_Toc18413"/>
      <w:bookmarkStart w:id="5516" w:name="_Toc2479"/>
      <w:bookmarkStart w:id="5517" w:name="_Toc19439"/>
      <w:bookmarkStart w:id="5518" w:name="_Toc28202"/>
      <w:bookmarkStart w:id="5519" w:name="_Toc30380"/>
      <w:bookmarkStart w:id="5520" w:name="_Toc465237234"/>
      <w:bookmarkStart w:id="5521" w:name="_Toc20557"/>
      <w:bookmarkStart w:id="5522" w:name="_Toc69114046"/>
      <w:bookmarkStart w:id="5523" w:name="_Toc14157"/>
      <w:bookmarkStart w:id="5524" w:name="_Toc2114"/>
      <w:bookmarkStart w:id="5525" w:name="_Toc11601"/>
      <w:bookmarkStart w:id="5526" w:name="_Toc465237137"/>
      <w:bookmarkStart w:id="5527" w:name="_Toc19197"/>
      <w:bookmarkStart w:id="5528" w:name="_Toc517530958"/>
      <w:bookmarkStart w:id="5529" w:name="_Toc303"/>
      <w:bookmarkStart w:id="5530" w:name="_Toc19492"/>
      <w:bookmarkStart w:id="5531" w:name="_Toc31389"/>
      <w:bookmarkStart w:id="5532" w:name="_Toc31154"/>
      <w:bookmarkStart w:id="5533" w:name="_Toc30105"/>
      <w:bookmarkStart w:id="5534" w:name="_Toc28060"/>
      <w:bookmarkStart w:id="5535" w:name="_Toc24853"/>
      <w:bookmarkStart w:id="5536" w:name="_Toc517532234"/>
      <w:bookmarkStart w:id="5537" w:name="_Toc517528759"/>
      <w:r>
        <w:rPr>
          <w:rFonts w:hint="eastAsia" w:ascii="宋体" w:hAnsi="宋体" w:cs="宋体"/>
          <w:b/>
          <w:bCs/>
          <w:color w:val="auto"/>
          <w:sz w:val="28"/>
          <w:szCs w:val="28"/>
          <w:highlight w:val="none"/>
        </w:rPr>
        <w:t>19.2发包人的索赔</w:t>
      </w:r>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根据本合同的有关规定，发包人如果认为有权得到任何付款和（或）对履约担保期限的任何延长，发包人应在了解引起索赔事项或情况后7天内发出索赔通知，关于履约担保期限延长的通知应在该期限到期前14天内发出。上述通知应详细说明提出索赔依据的合同条款或其他依据，还应说明根据合同发包人有权得到索赔金额和（或）延长期限的事实根据。监理人在充分了解和与发包人或承包人沟通后，合理确定发包人有权得到的由承包人支付的金额（如果有），和（或）延长履约担保的期限（如果有），并有权在当期（或最后）支付证书中作为扣减项进行冲销或扣除，或另外对承包人提出索赔。</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本款的履行不影响发包人对合同其他条款权利的缩小或免除。</w:t>
      </w:r>
    </w:p>
    <w:bookmarkEnd w:id="5367"/>
    <w:bookmarkEnd w:id="5368"/>
    <w:bookmarkEnd w:id="5369"/>
    <w:p>
      <w:pPr>
        <w:keepNext/>
        <w:keepLines/>
        <w:spacing w:before="156" w:beforeLines="50" w:after="156" w:afterLines="50" w:line="360" w:lineRule="auto"/>
        <w:ind w:firstLine="600" w:firstLineChars="200"/>
        <w:outlineLvl w:val="1"/>
        <w:rPr>
          <w:rFonts w:ascii="宋体" w:hAnsi="宋体" w:cs="宋体"/>
          <w:b/>
          <w:bCs/>
          <w:color w:val="auto"/>
          <w:sz w:val="30"/>
          <w:szCs w:val="30"/>
          <w:highlight w:val="none"/>
        </w:rPr>
      </w:pPr>
      <w:bookmarkStart w:id="5538" w:name="_Toc351203626"/>
      <w:bookmarkStart w:id="5539" w:name="_Toc11803"/>
      <w:bookmarkStart w:id="5540" w:name="_Toc22602"/>
      <w:bookmarkStart w:id="5541" w:name="_Toc21992"/>
      <w:bookmarkStart w:id="5542" w:name="_Toc5046"/>
      <w:bookmarkStart w:id="5543" w:name="_Toc465237235"/>
      <w:bookmarkStart w:id="5544" w:name="_Toc4957"/>
      <w:bookmarkStart w:id="5545" w:name="_Toc15976"/>
      <w:bookmarkStart w:id="5546" w:name="_Toc32715"/>
      <w:bookmarkStart w:id="5547" w:name="_Toc27214"/>
      <w:bookmarkStart w:id="5548" w:name="_Toc19133"/>
      <w:bookmarkStart w:id="5549" w:name="_Toc517529753"/>
      <w:bookmarkStart w:id="5550" w:name="_Toc69114047"/>
      <w:bookmarkStart w:id="5551" w:name="_Toc24314"/>
      <w:bookmarkStart w:id="5552" w:name="_Toc465237138"/>
      <w:bookmarkStart w:id="5553" w:name="_Toc10309"/>
      <w:bookmarkStart w:id="5554" w:name="_Toc19499"/>
      <w:bookmarkStart w:id="5555" w:name="_Toc3004"/>
      <w:bookmarkStart w:id="5556" w:name="_Toc2768"/>
      <w:bookmarkStart w:id="5557" w:name="_Toc21670"/>
      <w:bookmarkStart w:id="5558" w:name="_Toc517532235"/>
      <w:bookmarkStart w:id="5559" w:name="_Toc14626"/>
      <w:bookmarkStart w:id="5560" w:name="_Toc1609"/>
      <w:bookmarkStart w:id="5561" w:name="_Toc32757"/>
      <w:bookmarkStart w:id="5562" w:name="_Toc517528760"/>
      <w:bookmarkStart w:id="5563" w:name="_Toc517530959"/>
      <w:bookmarkStart w:id="5564" w:name="_Toc337558840"/>
      <w:bookmarkStart w:id="5565" w:name="_Toc296346647"/>
      <w:bookmarkStart w:id="5566" w:name="_Toc296503146"/>
      <w:r>
        <w:rPr>
          <w:rFonts w:hint="eastAsia" w:ascii="宋体" w:hAnsi="宋体" w:cs="宋体"/>
          <w:b/>
          <w:bCs/>
          <w:color w:val="auto"/>
          <w:sz w:val="30"/>
          <w:szCs w:val="30"/>
          <w:highlight w:val="none"/>
        </w:rPr>
        <w:t>20.</w:t>
      </w:r>
      <w:bookmarkEnd w:id="5538"/>
      <w:r>
        <w:rPr>
          <w:rFonts w:hint="eastAsia" w:ascii="宋体" w:hAnsi="宋体" w:cs="宋体"/>
          <w:b/>
          <w:bCs/>
          <w:color w:val="auto"/>
          <w:sz w:val="30"/>
          <w:szCs w:val="30"/>
          <w:highlight w:val="none"/>
        </w:rPr>
        <w:t xml:space="preserve"> 争议解决</w:t>
      </w:r>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5567" w:name="_Toc12441"/>
      <w:bookmarkStart w:id="5568" w:name="_Toc20171"/>
      <w:bookmarkStart w:id="5569" w:name="_Toc465237236"/>
      <w:bookmarkStart w:id="5570" w:name="_Toc32024"/>
      <w:bookmarkStart w:id="5571" w:name="_Toc16846"/>
      <w:bookmarkStart w:id="5572" w:name="_Toc6133"/>
      <w:bookmarkStart w:id="5573" w:name="_Toc517532236"/>
      <w:bookmarkStart w:id="5574" w:name="_Toc3382"/>
      <w:bookmarkStart w:id="5575" w:name="_Toc32077"/>
      <w:bookmarkStart w:id="5576" w:name="_Toc4130"/>
      <w:bookmarkStart w:id="5577" w:name="_Toc29970"/>
      <w:bookmarkStart w:id="5578" w:name="_Toc19807"/>
      <w:bookmarkStart w:id="5579" w:name="_Toc31231"/>
      <w:bookmarkStart w:id="5580" w:name="_Toc2664"/>
      <w:bookmarkStart w:id="5581" w:name="_Toc517530960"/>
      <w:bookmarkStart w:id="5582" w:name="_Toc8372"/>
      <w:bookmarkStart w:id="5583" w:name="_Toc13201"/>
      <w:bookmarkStart w:id="5584" w:name="_Toc31546"/>
      <w:bookmarkStart w:id="5585" w:name="_Toc27606"/>
      <w:bookmarkStart w:id="5586" w:name="_Toc23804"/>
      <w:bookmarkStart w:id="5587" w:name="_Toc32614"/>
      <w:bookmarkStart w:id="5588" w:name="_Toc69114048"/>
      <w:bookmarkStart w:id="5589" w:name="_Toc517528761"/>
      <w:r>
        <w:rPr>
          <w:rFonts w:hint="eastAsia" w:ascii="宋体" w:hAnsi="宋体" w:cs="宋体"/>
          <w:b/>
          <w:bCs/>
          <w:color w:val="auto"/>
          <w:sz w:val="28"/>
          <w:szCs w:val="28"/>
          <w:highlight w:val="none"/>
        </w:rPr>
        <w:t>20.1监理人的裁定</w:t>
      </w:r>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和发包人因本合同工程产生的任何争端，首先应书面提交监理人解决，并抄送另一方，此提交文件应写明是根据本条规定作出的。监理人在收到该提交件后42天之内应将自己的裁定通知发包人和承包人。此裁定应写明是根据本条规定作出的。</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除非合同已被终止，承包人无论在什么情况下都应尽一切努力继续完成本工程。而且承包人和发包人应使监理人的上述每一项裁定付诸实施，除非到该裁定按第20.2或20.3条规定的方式作出更改。</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监理人已将其对此争端的裁定通知了发包人或承包人，而发包人和承包人在收到该通知之日起的42天当天或之前，任何一方均未向其提出要求按第20.2条双方进行友好协商或通过双方上级主管部门进行调解；或者在上述协商或调解达不成协议后的42天当天或以前，任何一方均未通知另一方提出要求按第20.3条开始起诉的意向，则监理人的上述裁定应是最后的裁定；并对发包人和承包人均有约束力。</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5590" w:name="_Toc11050"/>
      <w:bookmarkStart w:id="5591" w:name="_Toc31299"/>
      <w:bookmarkStart w:id="5592" w:name="_Toc69114049"/>
      <w:bookmarkStart w:id="5593" w:name="_Toc517532237"/>
      <w:bookmarkStart w:id="5594" w:name="_Toc17014"/>
      <w:bookmarkStart w:id="5595" w:name="_Toc465237237"/>
      <w:bookmarkStart w:id="5596" w:name="_Toc517530961"/>
      <w:bookmarkStart w:id="5597" w:name="_Toc3860"/>
      <w:bookmarkStart w:id="5598" w:name="_Toc31940"/>
      <w:bookmarkStart w:id="5599" w:name="_Toc14862"/>
      <w:bookmarkStart w:id="5600" w:name="_Toc14814"/>
      <w:bookmarkStart w:id="5601" w:name="_Toc24874"/>
      <w:bookmarkStart w:id="5602" w:name="_Toc17550"/>
      <w:bookmarkStart w:id="5603" w:name="_Toc27890"/>
      <w:bookmarkStart w:id="5604" w:name="_Toc14632"/>
      <w:bookmarkStart w:id="5605" w:name="_Toc10701"/>
      <w:bookmarkStart w:id="5606" w:name="_Toc19575"/>
      <w:bookmarkStart w:id="5607" w:name="_Toc12414"/>
      <w:bookmarkStart w:id="5608" w:name="_Toc27465"/>
      <w:bookmarkStart w:id="5609" w:name="_Toc30309"/>
      <w:bookmarkStart w:id="5610" w:name="_Toc12755"/>
      <w:bookmarkStart w:id="5611" w:name="_Toc517528762"/>
      <w:bookmarkStart w:id="5612" w:name="_Toc17221"/>
      <w:r>
        <w:rPr>
          <w:rFonts w:hint="eastAsia" w:ascii="宋体" w:hAnsi="宋体" w:cs="宋体"/>
          <w:b/>
          <w:bCs/>
          <w:color w:val="auto"/>
          <w:sz w:val="28"/>
          <w:szCs w:val="28"/>
          <w:highlight w:val="none"/>
        </w:rPr>
        <w:t>20.2友好协商或上级调解</w:t>
      </w:r>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发包人或承包人对监理人的裁定有异议，或如果监理人在收到提交件后42天当天或之前，没有发出自己的裁定通知，则双方可就争端事项进行友好协商或通过双方上级主管部门进行调解。协商或调解应在收到监理人发出的裁定通知或监理发出裁定通知规定的期限到期后的42天内进行。通过协商或调解如能达成书面协议，双方都应执行，对发包人和承包人均有约束力，该协议应送监理人一份。</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5613" w:name="_Toc14613"/>
      <w:bookmarkStart w:id="5614" w:name="_Toc29187"/>
      <w:bookmarkStart w:id="5615" w:name="_Toc2457"/>
      <w:bookmarkStart w:id="5616" w:name="_Toc517532238"/>
      <w:bookmarkStart w:id="5617" w:name="_Toc30273"/>
      <w:bookmarkStart w:id="5618" w:name="_Toc3661"/>
      <w:bookmarkStart w:id="5619" w:name="_Toc23982"/>
      <w:bookmarkStart w:id="5620" w:name="_Toc69114050"/>
      <w:bookmarkStart w:id="5621" w:name="_Toc12589"/>
      <w:bookmarkStart w:id="5622" w:name="_Toc30792"/>
      <w:bookmarkStart w:id="5623" w:name="_Toc517530962"/>
      <w:bookmarkStart w:id="5624" w:name="_Toc23592"/>
      <w:bookmarkStart w:id="5625" w:name="_Toc8222"/>
      <w:bookmarkStart w:id="5626" w:name="_Toc16530"/>
      <w:bookmarkStart w:id="5627" w:name="_Toc32398"/>
      <w:bookmarkStart w:id="5628" w:name="_Toc517528763"/>
      <w:bookmarkStart w:id="5629" w:name="_Toc29735"/>
      <w:bookmarkStart w:id="5630" w:name="_Toc5930"/>
      <w:bookmarkStart w:id="5631" w:name="_Toc20304"/>
      <w:bookmarkStart w:id="5632" w:name="_Toc5617"/>
      <w:bookmarkStart w:id="5633" w:name="_Toc10194"/>
      <w:bookmarkStart w:id="5634" w:name="_Toc465237238"/>
      <w:bookmarkStart w:id="5635" w:name="_Toc28500"/>
      <w:r>
        <w:rPr>
          <w:rFonts w:hint="eastAsia" w:ascii="宋体" w:hAnsi="宋体" w:cs="宋体"/>
          <w:b/>
          <w:bCs/>
          <w:color w:val="auto"/>
          <w:sz w:val="28"/>
          <w:szCs w:val="28"/>
          <w:highlight w:val="none"/>
        </w:rPr>
        <w:t>20.3管辖及法律适用</w:t>
      </w:r>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如果在20.2条规定的期限内，双方进行友好协商或通过上级主管部门进行调解未能达成协议，则发包人或承包人任何一方可以提起诉讼，并在协商或调解达不成协议后的42天当天或以前将其通过诉讼解决纠纷的意向通知另一方，并抄送给监理人。诉讼应由工程所在地的人民法院管辖，并适用中华人民共和国的法律（不包括香港、澳门、台湾地区的法律）。</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诉讼可以在竣工之前或之后进行，但发包人、监理人和承包人各自的义务不得因在工程实施期间进行诉讼而有所改变。如果诉讼是在终止合同的情况下进行，则对合同工程应采用保护措施，措施费由败诉方承担。</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5636" w:name="_Toc517530963"/>
      <w:bookmarkStart w:id="5637" w:name="_Toc69114051"/>
      <w:bookmarkStart w:id="5638" w:name="_Toc13682"/>
      <w:bookmarkStart w:id="5639" w:name="_Toc1587"/>
      <w:bookmarkStart w:id="5640" w:name="_Toc27619"/>
      <w:bookmarkStart w:id="5641" w:name="_Toc28623"/>
      <w:bookmarkStart w:id="5642" w:name="_Toc465237239"/>
      <w:bookmarkStart w:id="5643" w:name="_Toc28575"/>
      <w:bookmarkStart w:id="5644" w:name="_Toc15880"/>
      <w:bookmarkStart w:id="5645" w:name="_Toc23564"/>
      <w:bookmarkStart w:id="5646" w:name="_Toc17516"/>
      <w:bookmarkStart w:id="5647" w:name="_Toc517528764"/>
      <w:bookmarkStart w:id="5648" w:name="_Toc30443"/>
      <w:bookmarkStart w:id="5649" w:name="_Toc7607"/>
      <w:bookmarkStart w:id="5650" w:name="_Toc31778"/>
      <w:bookmarkStart w:id="5651" w:name="_Toc14898"/>
      <w:bookmarkStart w:id="5652" w:name="_Toc10385"/>
      <w:bookmarkStart w:id="5653" w:name="_Toc28189"/>
      <w:bookmarkStart w:id="5654" w:name="_Toc14374"/>
      <w:bookmarkStart w:id="5655" w:name="_Toc517532239"/>
      <w:bookmarkStart w:id="5656" w:name="_Toc11369"/>
      <w:bookmarkStart w:id="5657" w:name="_Toc23015"/>
      <w:bookmarkStart w:id="5658" w:name="_Toc9236"/>
      <w:r>
        <w:rPr>
          <w:rFonts w:hint="eastAsia" w:ascii="宋体" w:hAnsi="宋体" w:cs="宋体"/>
          <w:b/>
          <w:bCs/>
          <w:color w:val="auto"/>
          <w:sz w:val="28"/>
          <w:szCs w:val="28"/>
          <w:highlight w:val="none"/>
        </w:rPr>
        <w:t>20.4未能遵守裁定或协议</w:t>
      </w:r>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第20.1、20.2条规定的期限之内，发包人和承包人都未发出对争端要求开始起诉的通知，且上述有关的裁定或协议已经成为最后的有约束力的情况下，如果任何一方未能遵守这样的裁定或协议，则另一方可在不损害对方可能具有的任何其他权利的情况下，根据第20.3条的规定将未能遵守监理人裁定或不执行双方友好协商或双方上级主管部门调解达成书面协议的事项提交诉讼，在此情况下，第20.1和20.2条的各项规定应不适用于任何这样的提交件。</w:t>
      </w:r>
    </w:p>
    <w:p>
      <w:pPr>
        <w:keepNext/>
        <w:keepLines/>
        <w:spacing w:before="156" w:beforeLines="50" w:after="156" w:afterLines="50" w:line="360" w:lineRule="auto"/>
        <w:ind w:firstLine="562"/>
        <w:outlineLvl w:val="2"/>
        <w:rPr>
          <w:rFonts w:ascii="宋体" w:hAnsi="宋体" w:cs="宋体"/>
          <w:b/>
          <w:bCs/>
          <w:color w:val="auto"/>
          <w:sz w:val="28"/>
          <w:szCs w:val="28"/>
          <w:highlight w:val="none"/>
        </w:rPr>
      </w:pPr>
      <w:bookmarkStart w:id="5659" w:name="_Toc30854"/>
      <w:bookmarkStart w:id="5660" w:name="_Toc2513"/>
      <w:bookmarkStart w:id="5661" w:name="_Toc517528765"/>
      <w:bookmarkStart w:id="5662" w:name="_Toc28314"/>
      <w:bookmarkStart w:id="5663" w:name="_Toc11555"/>
      <w:bookmarkStart w:id="5664" w:name="_Toc27031"/>
      <w:bookmarkStart w:id="5665" w:name="_Toc517532240"/>
      <w:bookmarkStart w:id="5666" w:name="_Toc4961"/>
      <w:bookmarkStart w:id="5667" w:name="_Toc31979"/>
      <w:bookmarkStart w:id="5668" w:name="_Toc1998"/>
      <w:bookmarkStart w:id="5669" w:name="_Toc15348"/>
      <w:bookmarkStart w:id="5670" w:name="_Toc9554"/>
      <w:bookmarkStart w:id="5671" w:name="_Toc465237240"/>
      <w:bookmarkStart w:id="5672" w:name="_Toc200"/>
      <w:bookmarkStart w:id="5673" w:name="_Toc971"/>
      <w:bookmarkStart w:id="5674" w:name="_Toc3957"/>
      <w:bookmarkStart w:id="5675" w:name="_Toc31199"/>
      <w:bookmarkStart w:id="5676" w:name="_Toc10533"/>
      <w:bookmarkStart w:id="5677" w:name="_Toc517530964"/>
      <w:bookmarkStart w:id="5678" w:name="_Toc7014"/>
      <w:bookmarkStart w:id="5679" w:name="_Toc20354"/>
      <w:bookmarkStart w:id="5680" w:name="_Toc69114052"/>
      <w:bookmarkStart w:id="5681" w:name="_Toc16749"/>
      <w:r>
        <w:rPr>
          <w:rFonts w:hint="eastAsia" w:ascii="宋体" w:hAnsi="宋体" w:cs="宋体"/>
          <w:b/>
          <w:bCs/>
          <w:color w:val="auto"/>
          <w:sz w:val="28"/>
          <w:szCs w:val="28"/>
          <w:highlight w:val="none"/>
        </w:rPr>
        <w:t>20.5诉讼费用</w:t>
      </w:r>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p>
    <w:p>
      <w:pPr>
        <w:rPr>
          <w:rFonts w:ascii="宋体" w:hAnsi="宋体" w:cs="宋体"/>
          <w:color w:val="auto"/>
          <w:szCs w:val="21"/>
          <w:highlight w:val="none"/>
        </w:rPr>
        <w:sectPr>
          <w:headerReference r:id="rId7" w:type="default"/>
          <w:pgSz w:w="11906" w:h="16838"/>
          <w:pgMar w:top="1440" w:right="1800" w:bottom="1440" w:left="1800" w:header="851" w:footer="992" w:gutter="0"/>
          <w:cols w:space="720" w:num="1"/>
          <w:docGrid w:type="lines" w:linePitch="312" w:charSpace="0"/>
        </w:sectPr>
      </w:pPr>
      <w:r>
        <w:rPr>
          <w:rFonts w:hint="eastAsia" w:ascii="宋体" w:hAnsi="宋体" w:cs="宋体"/>
          <w:color w:val="auto"/>
          <w:szCs w:val="21"/>
          <w:highlight w:val="none"/>
        </w:rPr>
        <w:t>按第20.3和20.4条规定，任何争端的问题如经法院判决，则其诉讼费用应由败诉方承担；或按法院判决的比例分担。</w:t>
      </w:r>
      <w:bookmarkEnd w:id="5564"/>
      <w:bookmarkEnd w:id="5565"/>
      <w:bookmarkEnd w:id="5566"/>
    </w:p>
    <w:bookmarkEnd w:id="2045"/>
    <w:p>
      <w:pPr>
        <w:keepNext/>
        <w:keepLines/>
        <w:spacing w:line="360" w:lineRule="auto"/>
        <w:ind w:firstLine="2881" w:firstLineChars="900"/>
        <w:outlineLvl w:val="0"/>
        <w:rPr>
          <w:rFonts w:ascii="宋体" w:hAnsi="宋体" w:cs="宋体"/>
          <w:b/>
          <w:bCs/>
          <w:color w:val="auto"/>
          <w:kern w:val="44"/>
          <w:sz w:val="32"/>
          <w:szCs w:val="32"/>
          <w:highlight w:val="none"/>
        </w:rPr>
      </w:pPr>
      <w:bookmarkStart w:id="5682" w:name="_Toc31771"/>
      <w:bookmarkStart w:id="5683" w:name="_Toc23059"/>
      <w:bookmarkStart w:id="5684" w:name="_Toc15999"/>
      <w:bookmarkStart w:id="5685" w:name="_Toc4521"/>
      <w:bookmarkStart w:id="5686" w:name="_Toc19354"/>
      <w:bookmarkStart w:id="5687" w:name="_Toc3316"/>
      <w:bookmarkStart w:id="5688" w:name="_Toc5985"/>
      <w:bookmarkStart w:id="5689" w:name="_Toc7420"/>
      <w:bookmarkStart w:id="5690" w:name="_Toc15910"/>
      <w:bookmarkStart w:id="5691" w:name="_Toc7957"/>
      <w:bookmarkStart w:id="5692" w:name="_Toc69114053"/>
      <w:bookmarkStart w:id="5693" w:name="_Toc31933"/>
      <w:bookmarkStart w:id="5694" w:name="_Toc13614"/>
      <w:bookmarkStart w:id="5695" w:name="_Toc14676"/>
      <w:bookmarkStart w:id="5696" w:name="_Toc21716"/>
      <w:bookmarkStart w:id="5697" w:name="_Toc13222"/>
      <w:bookmarkStart w:id="5698" w:name="_Toc18006"/>
      <w:bookmarkStart w:id="5699" w:name="_Toc19131"/>
      <w:bookmarkStart w:id="5700" w:name="_Toc23803"/>
      <w:r>
        <w:rPr>
          <w:rFonts w:hint="eastAsia" w:ascii="宋体" w:hAnsi="宋体" w:cs="宋体"/>
          <w:b/>
          <w:bCs/>
          <w:color w:val="auto"/>
          <w:kern w:val="44"/>
          <w:sz w:val="32"/>
          <w:szCs w:val="32"/>
          <w:highlight w:val="none"/>
        </w:rPr>
        <w:t>第三部分</w:t>
      </w:r>
      <w:bookmarkStart w:id="5701" w:name="_Toc517529755"/>
      <w:bookmarkStart w:id="5702" w:name="_Toc517532242"/>
      <w:bookmarkStart w:id="5703" w:name="_Toc517530966"/>
      <w:bookmarkStart w:id="5704" w:name="_Toc517528767"/>
      <w:r>
        <w:rPr>
          <w:rFonts w:hint="eastAsia" w:ascii="宋体" w:hAnsi="宋体" w:cs="宋体"/>
          <w:b/>
          <w:bCs/>
          <w:color w:val="auto"/>
          <w:kern w:val="44"/>
          <w:sz w:val="32"/>
          <w:szCs w:val="32"/>
          <w:highlight w:val="none"/>
        </w:rPr>
        <w:t xml:space="preserve"> 专用合同条款</w:t>
      </w:r>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p>
    <w:p>
      <w:pPr>
        <w:keepNext/>
        <w:keepLines/>
        <w:spacing w:before="120" w:beforeLines="50" w:after="120" w:afterLines="50" w:line="360" w:lineRule="auto"/>
        <w:ind w:firstLine="600" w:firstLineChars="200"/>
        <w:outlineLvl w:val="1"/>
        <w:rPr>
          <w:rFonts w:hint="eastAsia" w:ascii="宋体" w:hAnsi="宋体" w:cs="宋体"/>
          <w:b/>
          <w:bCs/>
          <w:color w:val="auto"/>
          <w:sz w:val="30"/>
          <w:szCs w:val="30"/>
          <w:highlight w:val="none"/>
        </w:rPr>
      </w:pPr>
      <w:bookmarkStart w:id="5705" w:name="_Toc517529756"/>
      <w:bookmarkStart w:id="5706" w:name="_Toc69114054"/>
      <w:bookmarkStart w:id="5707" w:name="_Toc1317"/>
      <w:bookmarkStart w:id="5708" w:name="_Toc18047"/>
      <w:bookmarkStart w:id="5709" w:name="_Toc19629"/>
      <w:bookmarkStart w:id="5710" w:name="_Toc517528768"/>
      <w:bookmarkStart w:id="5711" w:name="_Toc22205"/>
      <w:bookmarkStart w:id="5712" w:name="_Toc29394"/>
      <w:bookmarkStart w:id="5713" w:name="_Toc19305"/>
      <w:bookmarkStart w:id="5714" w:name="_Toc28334"/>
      <w:bookmarkStart w:id="5715" w:name="_Toc517530967"/>
      <w:bookmarkStart w:id="5716" w:name="_Toc18256"/>
      <w:bookmarkStart w:id="5717" w:name="_Toc465237242"/>
      <w:bookmarkStart w:id="5718" w:name="_Toc16463"/>
      <w:bookmarkStart w:id="5719" w:name="_Toc27851"/>
      <w:bookmarkStart w:id="5720" w:name="_Toc11531"/>
      <w:bookmarkStart w:id="5721" w:name="_Toc18893"/>
      <w:bookmarkStart w:id="5722" w:name="_Toc32016"/>
      <w:bookmarkStart w:id="5723" w:name="_Toc6972"/>
      <w:bookmarkStart w:id="5724" w:name="_Toc517532243"/>
      <w:bookmarkStart w:id="5725" w:name="_Toc25533"/>
      <w:bookmarkStart w:id="5726" w:name="_Toc465237140"/>
      <w:bookmarkStart w:id="5727" w:name="_Toc3052"/>
      <w:bookmarkStart w:id="5728" w:name="_Toc8658"/>
      <w:bookmarkStart w:id="5729" w:name="_Toc351203633"/>
      <w:bookmarkStart w:id="5730" w:name="_Toc16777"/>
      <w:r>
        <w:rPr>
          <w:rFonts w:hint="eastAsia" w:ascii="宋体" w:hAnsi="宋体" w:cs="宋体"/>
          <w:b/>
          <w:bCs/>
          <w:color w:val="auto"/>
          <w:sz w:val="30"/>
          <w:szCs w:val="30"/>
          <w:highlight w:val="none"/>
        </w:rPr>
        <w:t>1</w:t>
      </w:r>
      <w:bookmarkStart w:id="5731" w:name="_Toc292559361"/>
      <w:bookmarkStart w:id="5732" w:name="_Toc297048342"/>
      <w:bookmarkStart w:id="5733" w:name="_Toc296944495"/>
      <w:bookmarkStart w:id="5734" w:name="_Toc296347155"/>
      <w:bookmarkStart w:id="5735" w:name="_Toc296503156"/>
      <w:bookmarkStart w:id="5736" w:name="_Toc297120456"/>
      <w:bookmarkStart w:id="5737" w:name="_Toc296890984"/>
      <w:bookmarkStart w:id="5738" w:name="_Toc296891196"/>
      <w:bookmarkStart w:id="5739" w:name="_Toc292559866"/>
      <w:bookmarkStart w:id="5740" w:name="_Toc296346657"/>
      <w:r>
        <w:rPr>
          <w:rFonts w:hint="eastAsia" w:ascii="宋体" w:hAnsi="宋体" w:cs="宋体"/>
          <w:b/>
          <w:bCs/>
          <w:color w:val="auto"/>
          <w:sz w:val="30"/>
          <w:szCs w:val="30"/>
          <w:highlight w:val="none"/>
        </w:rPr>
        <w:t>. 一般约定</w:t>
      </w:r>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p>
    <w:bookmarkEnd w:id="5731"/>
    <w:bookmarkEnd w:id="5732"/>
    <w:bookmarkEnd w:id="5733"/>
    <w:bookmarkEnd w:id="5734"/>
    <w:bookmarkEnd w:id="5735"/>
    <w:bookmarkEnd w:id="5736"/>
    <w:bookmarkEnd w:id="5737"/>
    <w:bookmarkEnd w:id="5738"/>
    <w:bookmarkEnd w:id="5739"/>
    <w:bookmarkEnd w:id="5740"/>
    <w:p>
      <w:pPr>
        <w:keepNext/>
        <w:keepLines/>
        <w:spacing w:before="120" w:beforeLines="50" w:after="120" w:afterLines="50" w:line="360" w:lineRule="auto"/>
        <w:ind w:left="562"/>
        <w:outlineLvl w:val="2"/>
        <w:rPr>
          <w:rFonts w:hint="eastAsia" w:ascii="宋体" w:hAnsi="宋体" w:cs="宋体"/>
          <w:b/>
          <w:bCs/>
          <w:color w:val="auto"/>
          <w:sz w:val="28"/>
          <w:szCs w:val="28"/>
          <w:highlight w:val="none"/>
        </w:rPr>
      </w:pPr>
      <w:bookmarkStart w:id="5741" w:name="_Toc23920"/>
      <w:bookmarkStart w:id="5742" w:name="_Toc517528769"/>
      <w:bookmarkStart w:id="5743" w:name="_Toc5618"/>
      <w:bookmarkStart w:id="5744" w:name="_Toc517530968"/>
      <w:bookmarkStart w:id="5745" w:name="_Toc8975"/>
      <w:bookmarkStart w:id="5746" w:name="_Toc30401"/>
      <w:bookmarkStart w:id="5747" w:name="_Toc18433"/>
      <w:bookmarkStart w:id="5748" w:name="_Toc16256"/>
      <w:bookmarkStart w:id="5749" w:name="_Toc16944"/>
      <w:bookmarkStart w:id="5750" w:name="_Toc8800"/>
      <w:bookmarkStart w:id="5751" w:name="_Toc17727"/>
      <w:bookmarkStart w:id="5752" w:name="_Toc517532244"/>
      <w:bookmarkStart w:id="5753" w:name="_Toc69114055"/>
      <w:bookmarkStart w:id="5754" w:name="_Toc2652"/>
      <w:bookmarkStart w:id="5755" w:name="_Toc26482"/>
      <w:bookmarkStart w:id="5756" w:name="_Toc32671"/>
      <w:bookmarkStart w:id="5757" w:name="_Toc1280"/>
      <w:bookmarkStart w:id="5758" w:name="_Toc1987"/>
      <w:bookmarkStart w:id="5759" w:name="_Toc32709"/>
      <w:bookmarkStart w:id="5760" w:name="_Toc3820"/>
      <w:bookmarkStart w:id="5761" w:name="_Toc21725"/>
      <w:bookmarkStart w:id="5762" w:name="_Toc7408"/>
      <w:r>
        <w:rPr>
          <w:rFonts w:hint="eastAsia" w:ascii="宋体" w:hAnsi="宋体" w:cs="宋体"/>
          <w:b/>
          <w:bCs/>
          <w:color w:val="auto"/>
          <w:sz w:val="28"/>
          <w:szCs w:val="28"/>
          <w:highlight w:val="none"/>
        </w:rPr>
        <w:t>1.1 定义</w:t>
      </w:r>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p>
    <w:p>
      <w:pPr>
        <w:spacing w:line="360" w:lineRule="auto"/>
        <w:ind w:firstLine="420" w:firstLineChars="200"/>
        <w:outlineLvl w:val="3"/>
        <w:rPr>
          <w:rFonts w:hint="eastAsia" w:ascii="宋体" w:hAnsi="宋体" w:cs="宋体"/>
          <w:b/>
          <w:bCs/>
          <w:color w:val="auto"/>
          <w:szCs w:val="21"/>
          <w:highlight w:val="none"/>
        </w:rPr>
      </w:pPr>
      <w:bookmarkStart w:id="5763" w:name="_Toc15242"/>
      <w:bookmarkStart w:id="5764" w:name="_Toc17915"/>
      <w:bookmarkStart w:id="5765" w:name="_Toc19381"/>
      <w:bookmarkStart w:id="5766" w:name="_Toc1790"/>
      <w:bookmarkStart w:id="5767" w:name="_Toc5235"/>
      <w:bookmarkStart w:id="5768" w:name="_Toc2897"/>
      <w:bookmarkStart w:id="5769" w:name="_Toc9207"/>
      <w:bookmarkStart w:id="5770" w:name="_Toc22066"/>
      <w:bookmarkStart w:id="5771" w:name="_Toc30290"/>
      <w:bookmarkStart w:id="5772" w:name="_Toc2600"/>
      <w:bookmarkStart w:id="5773" w:name="_Toc26739"/>
      <w:bookmarkStart w:id="5774" w:name="_Toc5408"/>
      <w:bookmarkStart w:id="5775" w:name="_Toc21869"/>
      <w:bookmarkStart w:id="5776" w:name="_Toc29870"/>
      <w:bookmarkStart w:id="5777" w:name="_Toc14016"/>
      <w:bookmarkStart w:id="5778" w:name="_Toc8209"/>
      <w:bookmarkStart w:id="5779" w:name="_Toc517530969"/>
      <w:bookmarkStart w:id="5780" w:name="_Toc31680"/>
      <w:bookmarkStart w:id="5781" w:name="_Toc1120"/>
      <w:bookmarkStart w:id="5782" w:name="_Toc517532245"/>
      <w:r>
        <w:rPr>
          <w:rFonts w:hint="eastAsia" w:ascii="宋体" w:hAnsi="宋体" w:cs="宋体"/>
          <w:b/>
          <w:bCs/>
          <w:color w:val="auto"/>
          <w:szCs w:val="21"/>
          <w:highlight w:val="none"/>
        </w:rPr>
        <w:t>1.1.1合同</w:t>
      </w:r>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p>
    <w:p>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构成合同组成部分的其他文件</w:t>
      </w:r>
      <w:r>
        <w:rPr>
          <w:rFonts w:hint="eastAsia" w:ascii="宋体" w:hAnsi="宋体" w:cs="宋体"/>
          <w:color w:val="auto"/>
          <w:kern w:val="0"/>
          <w:szCs w:val="21"/>
          <w:highlight w:val="none"/>
        </w:rPr>
        <w:t>：</w:t>
      </w:r>
      <w:r>
        <w:rPr>
          <w:rFonts w:hint="eastAsia" w:ascii="宋体" w:hAnsi="宋体" w:cs="宋体"/>
          <w:color w:val="auto"/>
          <w:szCs w:val="21"/>
          <w:highlight w:val="none"/>
          <w:u w:val="single"/>
        </w:rPr>
        <w:t>招标文件及相关的答疑补遗文件、发包人及承包人签订的补充协议、工程会议纪要及备忘录、施工组织设计文件等</w:t>
      </w:r>
      <w:r>
        <w:rPr>
          <w:rFonts w:hint="eastAsia" w:ascii="宋体" w:hAnsi="宋体" w:cs="宋体"/>
          <w:color w:val="auto"/>
          <w:szCs w:val="21"/>
          <w:highlight w:val="none"/>
        </w:rPr>
        <w:t>。</w:t>
      </w:r>
    </w:p>
    <w:p>
      <w:pPr>
        <w:keepNext/>
        <w:keepLines/>
        <w:spacing w:before="120" w:beforeLines="50" w:after="120" w:afterLines="50" w:line="360" w:lineRule="auto"/>
        <w:ind w:left="562"/>
        <w:outlineLvl w:val="2"/>
        <w:rPr>
          <w:rFonts w:hint="eastAsia" w:ascii="宋体" w:hAnsi="宋体" w:cs="宋体"/>
          <w:b/>
          <w:bCs/>
          <w:color w:val="auto"/>
          <w:sz w:val="28"/>
          <w:szCs w:val="28"/>
          <w:highlight w:val="none"/>
        </w:rPr>
      </w:pPr>
      <w:bookmarkStart w:id="5783" w:name="_Toc28874"/>
      <w:bookmarkStart w:id="5784" w:name="_Toc517530970"/>
      <w:bookmarkStart w:id="5785" w:name="_Toc20667"/>
      <w:bookmarkStart w:id="5786" w:name="_Toc31176"/>
      <w:bookmarkStart w:id="5787" w:name="_Toc10543"/>
      <w:bookmarkStart w:id="5788" w:name="_Toc501"/>
      <w:bookmarkStart w:id="5789" w:name="_Toc1980"/>
      <w:bookmarkStart w:id="5790" w:name="_Toc24753"/>
      <w:bookmarkStart w:id="5791" w:name="_Toc30574"/>
      <w:bookmarkStart w:id="5792" w:name="_Toc17300"/>
      <w:bookmarkStart w:id="5793" w:name="_Toc517532246"/>
      <w:bookmarkStart w:id="5794" w:name="_Toc14271"/>
      <w:bookmarkStart w:id="5795" w:name="_Toc11212"/>
      <w:bookmarkStart w:id="5796" w:name="_Toc11308"/>
      <w:bookmarkStart w:id="5797" w:name="_Toc6224"/>
      <w:bookmarkStart w:id="5798" w:name="_Toc4850"/>
      <w:bookmarkStart w:id="5799" w:name="_Toc17585"/>
      <w:bookmarkStart w:id="5800" w:name="_Toc69114056"/>
      <w:bookmarkStart w:id="5801" w:name="_Toc3528"/>
      <w:bookmarkStart w:id="5802" w:name="_Toc517528770"/>
      <w:bookmarkStart w:id="5803" w:name="_Toc14314"/>
      <w:bookmarkStart w:id="5804" w:name="_Toc29424"/>
      <w:r>
        <w:rPr>
          <w:rFonts w:hint="eastAsia" w:ascii="宋体" w:hAnsi="宋体" w:cs="宋体"/>
          <w:b/>
          <w:bCs/>
          <w:color w:val="auto"/>
          <w:sz w:val="28"/>
          <w:szCs w:val="28"/>
          <w:highlight w:val="none"/>
        </w:rPr>
        <w:t>1.3法律和法规</w:t>
      </w:r>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p>
    <w:p>
      <w:pPr>
        <w:autoSpaceDE w:val="0"/>
        <w:autoSpaceDN w:val="0"/>
        <w:adjustRightIn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适用于合同的其他规范性文件：</w:t>
      </w:r>
      <w:r>
        <w:rPr>
          <w:rFonts w:hint="eastAsia" w:ascii="宋体" w:hAnsi="宋体" w:cs="宋体"/>
          <w:color w:val="auto"/>
          <w:kern w:val="0"/>
          <w:szCs w:val="21"/>
          <w:highlight w:val="none"/>
          <w:u w:val="single"/>
        </w:rPr>
        <w:t>《中华人民共和国招标投标法》、《中华人民共和国建筑法》、《中华人民共和国民法典》、《建设工程质量管理条例》、《深圳市建设工程质量管理条例（2003修订）》、《深圳市建设现场文明施工管理办法》、《深圳市员工工资支付条例》、《建设工程安全生产管理条例》、《深圳经济特区政府投资项目审计监督条例（2018修正）》、《深圳经济特区政府投资项目管理条例（2019修正）》以及广东省、深圳市、光明区制定的其他有关建设方面的法律、法规、规章、制度和规范性文件</w:t>
      </w:r>
      <w:r>
        <w:rPr>
          <w:rFonts w:hint="eastAsia" w:ascii="宋体" w:hAnsi="宋体" w:cs="宋体"/>
          <w:color w:val="auto"/>
          <w:szCs w:val="21"/>
          <w:highlight w:val="none"/>
        </w:rPr>
        <w:t>。</w:t>
      </w:r>
      <w:bookmarkStart w:id="5805" w:name="_Toc8903"/>
      <w:bookmarkStart w:id="5806" w:name="_Toc23492"/>
    </w:p>
    <w:p>
      <w:pPr>
        <w:keepNext/>
        <w:keepLines/>
        <w:spacing w:before="120" w:beforeLines="50" w:after="120" w:afterLines="50" w:line="360" w:lineRule="auto"/>
        <w:ind w:left="562"/>
        <w:outlineLvl w:val="2"/>
        <w:rPr>
          <w:rFonts w:hint="eastAsia" w:ascii="宋体" w:hAnsi="宋体" w:cs="宋体"/>
          <w:b/>
          <w:bCs/>
          <w:color w:val="auto"/>
          <w:sz w:val="28"/>
          <w:szCs w:val="28"/>
          <w:highlight w:val="none"/>
        </w:rPr>
      </w:pPr>
      <w:bookmarkStart w:id="5807" w:name="_Toc26408"/>
      <w:bookmarkStart w:id="5808" w:name="_Toc11334"/>
      <w:bookmarkStart w:id="5809" w:name="_Toc69114057"/>
      <w:bookmarkStart w:id="5810" w:name="_Toc20585"/>
      <w:bookmarkStart w:id="5811" w:name="_Toc517532247"/>
      <w:bookmarkStart w:id="5812" w:name="_Toc13816"/>
      <w:bookmarkStart w:id="5813" w:name="_Toc28548"/>
      <w:bookmarkStart w:id="5814" w:name="_Toc12431"/>
      <w:bookmarkStart w:id="5815" w:name="_Toc517530971"/>
      <w:bookmarkStart w:id="5816" w:name="_Toc517528771"/>
      <w:bookmarkStart w:id="5817" w:name="_Toc18183"/>
      <w:bookmarkStart w:id="5818" w:name="_Toc12951"/>
      <w:bookmarkStart w:id="5819" w:name="_Toc457"/>
      <w:r>
        <w:rPr>
          <w:rFonts w:hint="eastAsia" w:ascii="宋体" w:hAnsi="宋体" w:cs="宋体"/>
          <w:b/>
          <w:bCs/>
          <w:color w:val="auto"/>
          <w:sz w:val="28"/>
          <w:szCs w:val="28"/>
          <w:highlight w:val="none"/>
        </w:rPr>
        <w:t>1.4 标准和规范</w:t>
      </w:r>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适用于工程的特别标准或规范：</w:t>
      </w:r>
      <w:r>
        <w:rPr>
          <w:rFonts w:hint="eastAsia" w:ascii="宋体" w:hAnsi="宋体" w:cs="宋体"/>
          <w:color w:val="auto"/>
          <w:szCs w:val="21"/>
          <w:highlight w:val="none"/>
          <w:u w:val="single"/>
        </w:rPr>
        <w:t>所有适用于本工程的最新国家、行业及地方（含广东省、深圳市）标准和规范，以及由发包人制定的相关标准和规范，如上述标准和规范之间存在差异，承包人应按较严格者为准</w:t>
      </w:r>
      <w:r>
        <w:rPr>
          <w:rFonts w:hint="eastAsia" w:ascii="宋体" w:hAnsi="宋体" w:cs="宋体"/>
          <w:color w:val="auto"/>
          <w:szCs w:val="21"/>
          <w:highlight w:val="none"/>
        </w:rPr>
        <w:t>。</w:t>
      </w:r>
    </w:p>
    <w:p>
      <w:pPr>
        <w:keepNext/>
        <w:keepLines/>
        <w:spacing w:before="120" w:beforeLines="50" w:after="120" w:afterLines="50" w:line="360" w:lineRule="auto"/>
        <w:ind w:left="562"/>
        <w:outlineLvl w:val="2"/>
        <w:rPr>
          <w:rFonts w:hint="eastAsia" w:ascii="宋体" w:hAnsi="宋体" w:cs="宋体"/>
          <w:b/>
          <w:bCs/>
          <w:color w:val="auto"/>
          <w:sz w:val="28"/>
          <w:szCs w:val="28"/>
          <w:highlight w:val="none"/>
        </w:rPr>
      </w:pPr>
      <w:bookmarkStart w:id="5820" w:name="_Toc12706"/>
      <w:bookmarkStart w:id="5821" w:name="_Toc16662"/>
      <w:bookmarkStart w:id="5822" w:name="_Toc10883"/>
      <w:bookmarkStart w:id="5823" w:name="_Toc5265"/>
      <w:bookmarkStart w:id="5824" w:name="_Toc18338"/>
      <w:bookmarkStart w:id="5825" w:name="_Toc32047"/>
      <w:bookmarkStart w:id="5826" w:name="_Toc4548"/>
      <w:bookmarkStart w:id="5827" w:name="_Toc12386"/>
      <w:bookmarkStart w:id="5828" w:name="_Toc13723"/>
      <w:bookmarkStart w:id="5829" w:name="_Toc11848"/>
      <w:bookmarkStart w:id="5830" w:name="_Toc517530972"/>
      <w:bookmarkStart w:id="5831" w:name="_Toc5552"/>
      <w:bookmarkStart w:id="5832" w:name="_Toc11173"/>
      <w:bookmarkStart w:id="5833" w:name="_Toc517528772"/>
      <w:bookmarkStart w:id="5834" w:name="_Toc7574"/>
      <w:bookmarkStart w:id="5835" w:name="_Toc22817"/>
      <w:bookmarkStart w:id="5836" w:name="_Toc27536"/>
      <w:bookmarkStart w:id="5837" w:name="_Toc9916"/>
      <w:bookmarkStart w:id="5838" w:name="_Toc9122"/>
      <w:bookmarkStart w:id="5839" w:name="_Toc69114058"/>
      <w:bookmarkStart w:id="5840" w:name="_Toc23441"/>
      <w:bookmarkStart w:id="5841" w:name="_Toc517532248"/>
      <w:r>
        <w:rPr>
          <w:rFonts w:hint="eastAsia" w:ascii="宋体" w:hAnsi="宋体" w:cs="宋体"/>
          <w:b/>
          <w:bCs/>
          <w:color w:val="auto"/>
          <w:sz w:val="28"/>
          <w:szCs w:val="28"/>
          <w:highlight w:val="none"/>
        </w:rPr>
        <w:t>1.7 联络</w:t>
      </w:r>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p>
    <w:p>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发包人和承包人应当在</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天内将与合同有关的通知、批准、证明、证书、指示、指令、要求、请求、同意、意见、确定和决定等书面函件送达对方当事人。</w:t>
      </w:r>
    </w:p>
    <w:p>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发包人接收文件的地点：</w:t>
      </w:r>
      <w:r>
        <w:rPr>
          <w:rFonts w:hint="eastAsia" w:ascii="宋体" w:hAnsi="宋体" w:cs="宋体"/>
          <w:color w:val="auto"/>
          <w:kern w:val="0"/>
          <w:szCs w:val="21"/>
          <w:highlight w:val="none"/>
          <w:u w:val="single"/>
        </w:rPr>
        <w:t xml:space="preserve">                    </w:t>
      </w:r>
      <w:r>
        <w:rPr>
          <w:rFonts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发包人指定的接收人为：</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承包人接收文件的地点：</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承包人指定的接收人为：</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监理人接收文件的地点：</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监理人指定的接收人为：</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pPr>
        <w:keepNext/>
        <w:keepLines/>
        <w:spacing w:before="120" w:beforeLines="50" w:after="120" w:afterLines="50" w:line="360" w:lineRule="auto"/>
        <w:ind w:left="562"/>
        <w:outlineLvl w:val="2"/>
        <w:rPr>
          <w:rFonts w:hint="eastAsia" w:ascii="宋体" w:hAnsi="宋体" w:cs="宋体"/>
          <w:b/>
          <w:bCs/>
          <w:color w:val="auto"/>
          <w:sz w:val="28"/>
          <w:szCs w:val="28"/>
          <w:highlight w:val="none"/>
        </w:rPr>
      </w:pPr>
      <w:bookmarkStart w:id="5842" w:name="_Toc29947"/>
      <w:bookmarkStart w:id="5843" w:name="_Toc30133"/>
      <w:bookmarkStart w:id="5844" w:name="_Toc16768"/>
      <w:bookmarkStart w:id="5845" w:name="_Toc32354"/>
      <w:bookmarkStart w:id="5846" w:name="_Toc29138"/>
      <w:bookmarkStart w:id="5847" w:name="_Toc22348"/>
      <w:bookmarkStart w:id="5848" w:name="_Toc19370"/>
      <w:bookmarkStart w:id="5849" w:name="_Toc517532249"/>
      <w:bookmarkStart w:id="5850" w:name="_Toc69114059"/>
      <w:bookmarkStart w:id="5851" w:name="_Toc6940"/>
      <w:bookmarkStart w:id="5852" w:name="_Toc23420"/>
      <w:bookmarkStart w:id="5853" w:name="_Toc517528773"/>
      <w:bookmarkStart w:id="5854" w:name="_Toc18092"/>
      <w:bookmarkStart w:id="5855" w:name="_Toc3061"/>
      <w:bookmarkStart w:id="5856" w:name="_Toc2985"/>
      <w:bookmarkStart w:id="5857" w:name="_Toc1952"/>
      <w:bookmarkStart w:id="5858" w:name="_Toc16202"/>
      <w:bookmarkStart w:id="5859" w:name="_Toc1621"/>
      <w:bookmarkStart w:id="5860" w:name="_Toc9111"/>
      <w:bookmarkStart w:id="5861" w:name="_Toc9534"/>
      <w:bookmarkStart w:id="5862" w:name="_Toc517530973"/>
      <w:bookmarkStart w:id="5863" w:name="_Toc3650"/>
      <w:r>
        <w:rPr>
          <w:rFonts w:hint="eastAsia" w:ascii="宋体" w:hAnsi="宋体" w:cs="宋体"/>
          <w:b/>
          <w:bCs/>
          <w:color w:val="auto"/>
          <w:sz w:val="28"/>
          <w:szCs w:val="28"/>
          <w:highlight w:val="none"/>
        </w:rPr>
        <w:t>1.11知识产权</w:t>
      </w:r>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p>
    <w:p>
      <w:pPr>
        <w:spacing w:line="360" w:lineRule="auto"/>
        <w:ind w:firstLine="420" w:firstLineChars="200"/>
        <w:rPr>
          <w:rFonts w:ascii="宋体" w:hAnsi="宋体" w:cs="宋体"/>
          <w:color w:val="auto"/>
          <w:kern w:val="0"/>
          <w:szCs w:val="21"/>
          <w:highlight w:val="none"/>
          <w:u w:val="single"/>
        </w:rPr>
      </w:pPr>
      <w:r>
        <w:rPr>
          <w:rFonts w:hint="eastAsia" w:ascii="宋体" w:hAnsi="宋体" w:cs="宋体"/>
          <w:color w:val="auto"/>
          <w:kern w:val="0"/>
          <w:szCs w:val="21"/>
          <w:highlight w:val="none"/>
        </w:rPr>
        <w:t>发包人和承包人有关知识产权保护的特别约定：</w:t>
      </w:r>
      <w:r>
        <w:rPr>
          <w:rFonts w:hint="eastAsia" w:ascii="宋体" w:hAnsi="宋体" w:cs="宋体"/>
          <w:color w:val="auto"/>
          <w:kern w:val="0"/>
          <w:szCs w:val="21"/>
          <w:highlight w:val="none"/>
          <w:u w:val="single"/>
        </w:rPr>
        <w:t>承包人对本工程的专业工程进行深化的图纸，BIM模型，承包人编制的施工组织设计、专项方案、其他过程资料及竣工档案等知识产权归发包人所有。承包人在申报任何奖项之前，须征得发包人同意。</w:t>
      </w:r>
    </w:p>
    <w:p>
      <w:pPr>
        <w:keepNext/>
        <w:keepLines/>
        <w:spacing w:before="120" w:beforeLines="50" w:after="120" w:afterLines="50" w:line="360" w:lineRule="auto"/>
        <w:ind w:firstLine="562"/>
        <w:outlineLvl w:val="2"/>
        <w:rPr>
          <w:rFonts w:hint="eastAsia" w:ascii="宋体" w:hAnsi="宋体" w:cs="宋体"/>
          <w:b/>
          <w:bCs/>
          <w:color w:val="auto"/>
          <w:sz w:val="28"/>
          <w:szCs w:val="28"/>
          <w:highlight w:val="none"/>
        </w:rPr>
      </w:pPr>
      <w:bookmarkStart w:id="5864" w:name="_Toc69114060"/>
      <w:r>
        <w:rPr>
          <w:rFonts w:hint="eastAsia" w:ascii="宋体" w:hAnsi="宋体" w:cs="宋体"/>
          <w:b/>
          <w:bCs/>
          <w:color w:val="auto"/>
          <w:sz w:val="28"/>
          <w:szCs w:val="28"/>
          <w:highlight w:val="none"/>
        </w:rPr>
        <w:t>1.1</w:t>
      </w:r>
      <w:r>
        <w:rPr>
          <w:rFonts w:ascii="宋体" w:hAnsi="宋体" w:cs="宋体"/>
          <w:b/>
          <w:bCs/>
          <w:color w:val="auto"/>
          <w:sz w:val="28"/>
          <w:szCs w:val="28"/>
          <w:highlight w:val="none"/>
        </w:rPr>
        <w:t>2</w:t>
      </w:r>
      <w:r>
        <w:rPr>
          <w:rFonts w:hint="eastAsia" w:ascii="宋体" w:hAnsi="宋体" w:cs="宋体"/>
          <w:b/>
          <w:bCs/>
          <w:color w:val="auto"/>
          <w:sz w:val="28"/>
          <w:szCs w:val="28"/>
          <w:highlight w:val="none"/>
        </w:rPr>
        <w:t xml:space="preserve"> BIM应用</w:t>
      </w:r>
      <w:bookmarkEnd w:id="5864"/>
    </w:p>
    <w:p>
      <w:pPr>
        <w:spacing w:line="360" w:lineRule="auto"/>
        <w:ind w:firstLine="480" w:firstLineChars="200"/>
        <w:rPr>
          <w:rFonts w:hint="eastAsia" w:ascii="宋体" w:hAnsi="宋体"/>
          <w:color w:val="auto"/>
          <w:sz w:val="24"/>
          <w:highlight w:val="none"/>
        </w:rPr>
      </w:pPr>
      <w:r>
        <w:rPr>
          <w:rFonts w:hint="eastAsia" w:ascii="宋体" w:hAnsi="宋体"/>
          <w:color w:val="auto"/>
          <w:sz w:val="24"/>
          <w:szCs w:val="24"/>
          <w:highlight w:val="none"/>
        </w:rPr>
        <w:t>□本工程需BIM应用。关于BIM模型深度、提交BIM应用成果、移交方式及与数字化（信息化）管理平台的融合等约定如下：</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hint="eastAsia" w:ascii="宋体" w:hAnsi="宋体"/>
          <w:bCs/>
          <w:color w:val="auto"/>
          <w:sz w:val="24"/>
          <w:highlight w:val="none"/>
          <w:u w:val="single"/>
        </w:rPr>
        <w:t xml:space="preserve">   </w:t>
      </w:r>
    </w:p>
    <w:p>
      <w:pPr>
        <w:spacing w:line="360" w:lineRule="auto"/>
        <w:rPr>
          <w:rFonts w:hint="eastAsia" w:ascii="宋体" w:hAnsi="宋体"/>
          <w:color w:val="auto"/>
          <w:sz w:val="24"/>
          <w:szCs w:val="24"/>
          <w:highlight w:val="none"/>
        </w:rPr>
      </w:pPr>
      <w:r>
        <w:rPr>
          <w:rFonts w:hint="eastAsia" w:ascii="宋体" w:hAnsi="宋体"/>
          <w:color w:val="auto"/>
          <w:sz w:val="24"/>
          <w:highlight w:val="none"/>
          <w:u w:val="single"/>
        </w:rPr>
        <w:t xml:space="preserve">                                                                    </w:t>
      </w:r>
      <w:r>
        <w:rPr>
          <w:rFonts w:hint="eastAsia" w:ascii="宋体" w:hAnsi="宋体"/>
          <w:bCs/>
          <w:color w:val="auto"/>
          <w:sz w:val="24"/>
          <w:highlight w:val="none"/>
          <w:u w:val="single"/>
        </w:rPr>
        <w:t xml:space="preserve"> </w:t>
      </w:r>
      <w:r>
        <w:rPr>
          <w:rFonts w:ascii="宋体" w:hAnsi="宋体"/>
          <w:color w:val="auto"/>
          <w:sz w:val="24"/>
          <w:szCs w:val="24"/>
          <w:highlight w:val="none"/>
        </w:rPr>
        <w:t>。</w:t>
      </w:r>
    </w:p>
    <w:p>
      <w:pPr>
        <w:spacing w:line="360" w:lineRule="auto"/>
        <w:ind w:firstLine="420" w:firstLineChars="200"/>
        <w:rPr>
          <w:rFonts w:hint="eastAsia" w:ascii="宋体" w:hAnsi="宋体" w:cs="宋体"/>
          <w:color w:val="auto"/>
          <w:kern w:val="0"/>
          <w:szCs w:val="21"/>
          <w:highlight w:val="none"/>
        </w:rPr>
      </w:pPr>
    </w:p>
    <w:p>
      <w:pPr>
        <w:keepNext/>
        <w:keepLines/>
        <w:spacing w:before="120" w:beforeLines="50" w:after="120" w:afterLines="50" w:line="360" w:lineRule="auto"/>
        <w:ind w:firstLine="600" w:firstLineChars="200"/>
        <w:outlineLvl w:val="1"/>
        <w:rPr>
          <w:rFonts w:hint="eastAsia" w:ascii="宋体" w:hAnsi="宋体" w:cs="宋体"/>
          <w:b/>
          <w:bCs/>
          <w:color w:val="auto"/>
          <w:sz w:val="30"/>
          <w:szCs w:val="30"/>
          <w:highlight w:val="none"/>
        </w:rPr>
      </w:pPr>
      <w:bookmarkStart w:id="5865" w:name="_Toc31605"/>
      <w:bookmarkStart w:id="5866" w:name="_Toc69114061"/>
      <w:bookmarkStart w:id="5867" w:name="_Toc465237141"/>
      <w:bookmarkStart w:id="5868" w:name="_Toc14739"/>
      <w:bookmarkStart w:id="5869" w:name="_Toc517532250"/>
      <w:bookmarkStart w:id="5870" w:name="_Toc3998"/>
      <w:bookmarkStart w:id="5871" w:name="_Toc9549"/>
      <w:bookmarkStart w:id="5872" w:name="_Toc30859"/>
      <w:bookmarkStart w:id="5873" w:name="_Toc517530974"/>
      <w:bookmarkStart w:id="5874" w:name="_Toc21781"/>
      <w:bookmarkStart w:id="5875" w:name="_Toc8377"/>
      <w:bookmarkStart w:id="5876" w:name="_Toc351203634"/>
      <w:bookmarkStart w:id="5877" w:name="_Toc26277"/>
      <w:bookmarkStart w:id="5878" w:name="_Toc465237243"/>
      <w:bookmarkStart w:id="5879" w:name="_Toc24098"/>
      <w:bookmarkStart w:id="5880" w:name="_Toc517529757"/>
      <w:bookmarkStart w:id="5881" w:name="_Toc11914"/>
      <w:bookmarkStart w:id="5882" w:name="_Toc9518"/>
      <w:bookmarkStart w:id="5883" w:name="_Toc517528774"/>
      <w:bookmarkStart w:id="5884" w:name="_Toc31399"/>
      <w:bookmarkStart w:id="5885" w:name="_Toc25035"/>
      <w:bookmarkStart w:id="5886" w:name="_Toc4365"/>
      <w:bookmarkStart w:id="5887" w:name="_Toc1186"/>
      <w:bookmarkStart w:id="5888" w:name="_Toc9616"/>
      <w:bookmarkStart w:id="5889" w:name="_Toc25289"/>
      <w:bookmarkStart w:id="5890" w:name="_Toc20682"/>
      <w:r>
        <w:rPr>
          <w:rFonts w:hint="eastAsia" w:ascii="宋体" w:hAnsi="宋体" w:cs="宋体"/>
          <w:b/>
          <w:bCs/>
          <w:color w:val="auto"/>
          <w:sz w:val="30"/>
          <w:szCs w:val="30"/>
          <w:highlight w:val="none"/>
        </w:rPr>
        <w:t>2</w:t>
      </w:r>
      <w:bookmarkStart w:id="5891" w:name="_Toc296944496"/>
      <w:bookmarkStart w:id="5892" w:name="_Toc296891197"/>
      <w:bookmarkStart w:id="5893" w:name="_Toc296890985"/>
      <w:bookmarkStart w:id="5894" w:name="_Toc296347156"/>
      <w:bookmarkStart w:id="5895" w:name="_Toc297120457"/>
      <w:bookmarkStart w:id="5896" w:name="_Toc292559867"/>
      <w:bookmarkStart w:id="5897" w:name="_Toc297048343"/>
      <w:bookmarkStart w:id="5898" w:name="_Toc296346658"/>
      <w:bookmarkStart w:id="5899" w:name="_Toc292559362"/>
      <w:bookmarkStart w:id="5900" w:name="_Toc296503157"/>
      <w:r>
        <w:rPr>
          <w:rFonts w:hint="eastAsia" w:ascii="宋体" w:hAnsi="宋体" w:cs="宋体"/>
          <w:b/>
          <w:bCs/>
          <w:color w:val="auto"/>
          <w:sz w:val="30"/>
          <w:szCs w:val="30"/>
          <w:highlight w:val="none"/>
        </w:rPr>
        <w:t>. 发包人</w:t>
      </w:r>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p>
    <w:bookmarkEnd w:id="5891"/>
    <w:bookmarkEnd w:id="5892"/>
    <w:bookmarkEnd w:id="5893"/>
    <w:bookmarkEnd w:id="5894"/>
    <w:bookmarkEnd w:id="5895"/>
    <w:bookmarkEnd w:id="5896"/>
    <w:bookmarkEnd w:id="5897"/>
    <w:bookmarkEnd w:id="5898"/>
    <w:bookmarkEnd w:id="5899"/>
    <w:bookmarkEnd w:id="5900"/>
    <w:p>
      <w:pPr>
        <w:keepNext/>
        <w:keepLines/>
        <w:spacing w:before="120" w:beforeLines="50" w:after="120" w:afterLines="50" w:line="360" w:lineRule="auto"/>
        <w:ind w:left="562"/>
        <w:outlineLvl w:val="2"/>
        <w:rPr>
          <w:rFonts w:hint="eastAsia" w:ascii="宋体" w:hAnsi="宋体" w:cs="宋体"/>
          <w:b/>
          <w:bCs/>
          <w:color w:val="auto"/>
          <w:sz w:val="28"/>
          <w:szCs w:val="28"/>
          <w:highlight w:val="none"/>
        </w:rPr>
      </w:pPr>
      <w:bookmarkStart w:id="5901" w:name="_Toc29156"/>
      <w:bookmarkStart w:id="5902" w:name="_Toc517528775"/>
      <w:bookmarkStart w:id="5903" w:name="_Toc17793"/>
      <w:bookmarkStart w:id="5904" w:name="_Toc29405"/>
      <w:bookmarkStart w:id="5905" w:name="_Toc465237244"/>
      <w:bookmarkStart w:id="5906" w:name="_Toc9086"/>
      <w:bookmarkStart w:id="5907" w:name="_Toc27138"/>
      <w:bookmarkStart w:id="5908" w:name="_Toc69114062"/>
      <w:bookmarkStart w:id="5909" w:name="_Toc15159"/>
      <w:bookmarkStart w:id="5910" w:name="_Toc465237142"/>
      <w:bookmarkStart w:id="5911" w:name="_Toc16610"/>
      <w:bookmarkStart w:id="5912" w:name="_Toc25199"/>
      <w:bookmarkStart w:id="5913" w:name="_Toc27918"/>
      <w:bookmarkStart w:id="5914" w:name="_Toc25438"/>
      <w:bookmarkStart w:id="5915" w:name="_Toc8721"/>
      <w:bookmarkStart w:id="5916" w:name="_Toc10274"/>
      <w:bookmarkStart w:id="5917" w:name="_Toc517532251"/>
      <w:bookmarkStart w:id="5918" w:name="_Toc8269"/>
      <w:bookmarkStart w:id="5919" w:name="_Toc2574"/>
      <w:bookmarkStart w:id="5920" w:name="_Toc29656"/>
      <w:bookmarkStart w:id="5921" w:name="_Toc27019"/>
      <w:bookmarkStart w:id="5922" w:name="_Toc517530975"/>
      <w:bookmarkStart w:id="5923" w:name="_Toc7105"/>
      <w:bookmarkStart w:id="5924" w:name="_Toc25755"/>
      <w:r>
        <w:rPr>
          <w:rFonts w:hint="eastAsia" w:ascii="宋体" w:hAnsi="宋体" w:cs="宋体"/>
          <w:b/>
          <w:bCs/>
          <w:color w:val="auto"/>
          <w:sz w:val="28"/>
          <w:szCs w:val="28"/>
          <w:highlight w:val="none"/>
        </w:rPr>
        <w:t>2.1项目主任</w:t>
      </w:r>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身份证号：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职    务：</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电子邮箱：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keepNext/>
        <w:keepLines/>
        <w:spacing w:before="120" w:beforeLines="50" w:after="120" w:afterLines="50" w:line="360" w:lineRule="auto"/>
        <w:ind w:left="562"/>
        <w:outlineLvl w:val="2"/>
        <w:rPr>
          <w:rFonts w:hint="eastAsia" w:ascii="宋体" w:hAnsi="宋体" w:cs="宋体"/>
          <w:b/>
          <w:bCs/>
          <w:color w:val="auto"/>
          <w:sz w:val="28"/>
          <w:szCs w:val="28"/>
          <w:highlight w:val="none"/>
        </w:rPr>
      </w:pPr>
      <w:bookmarkStart w:id="5925" w:name="_Toc17215"/>
      <w:bookmarkStart w:id="5926" w:name="_Toc517532252"/>
      <w:bookmarkStart w:id="5927" w:name="_Toc1157"/>
      <w:bookmarkStart w:id="5928" w:name="_Toc20835"/>
      <w:bookmarkStart w:id="5929" w:name="_Toc15568"/>
      <w:bookmarkStart w:id="5930" w:name="_Toc517530976"/>
      <w:bookmarkStart w:id="5931" w:name="_Toc3211"/>
      <w:bookmarkStart w:id="5932" w:name="_Toc517528776"/>
      <w:bookmarkStart w:id="5933" w:name="_Toc69114063"/>
      <w:bookmarkStart w:id="5934" w:name="_Toc14753"/>
      <w:bookmarkStart w:id="5935" w:name="_Toc11512"/>
      <w:r>
        <w:rPr>
          <w:rFonts w:hint="eastAsia" w:ascii="宋体" w:hAnsi="宋体" w:cs="宋体"/>
          <w:b/>
          <w:bCs/>
          <w:color w:val="auto"/>
          <w:sz w:val="28"/>
          <w:szCs w:val="28"/>
          <w:highlight w:val="none"/>
        </w:rPr>
        <w:t>2.6支付担保的提交与退还</w:t>
      </w:r>
      <w:bookmarkEnd w:id="5925"/>
      <w:bookmarkEnd w:id="5926"/>
      <w:bookmarkEnd w:id="5927"/>
      <w:bookmarkEnd w:id="5928"/>
      <w:bookmarkEnd w:id="5929"/>
      <w:bookmarkEnd w:id="5930"/>
      <w:bookmarkEnd w:id="5931"/>
      <w:bookmarkEnd w:id="5932"/>
      <w:bookmarkEnd w:id="5933"/>
      <w:bookmarkEnd w:id="5934"/>
      <w:bookmarkEnd w:id="5935"/>
    </w:p>
    <w:p>
      <w:pPr>
        <w:spacing w:line="360" w:lineRule="auto"/>
        <w:ind w:firstLine="560" w:firstLineChars="200"/>
        <w:jc w:val="left"/>
        <w:rPr>
          <w:rFonts w:hint="eastAsia" w:ascii="宋体" w:hAnsi="宋体" w:cs="宋体"/>
          <w:color w:val="auto"/>
          <w:szCs w:val="21"/>
          <w:highlight w:val="none"/>
        </w:rPr>
      </w:pPr>
      <w:r>
        <w:rPr>
          <w:rFonts w:ascii="Segoe UI Symbol" w:hAnsi="Segoe UI Symbol" w:cs="Segoe UI Symbol"/>
          <w:color w:val="auto"/>
          <w:sz w:val="28"/>
          <w:szCs w:val="28"/>
          <w:highlight w:val="none"/>
        </w:rPr>
        <w:sym w:font="Wingdings" w:char="F0A8"/>
      </w:r>
      <w:r>
        <w:rPr>
          <w:rFonts w:hint="eastAsia" w:ascii="宋体" w:hAnsi="宋体" w:cs="宋体"/>
          <w:color w:val="auto"/>
          <w:szCs w:val="21"/>
          <w:highlight w:val="none"/>
        </w:rPr>
        <w:t>本工程不需要提交支付担保。</w:t>
      </w:r>
    </w:p>
    <w:p>
      <w:pPr>
        <w:spacing w:line="360" w:lineRule="auto"/>
        <w:ind w:firstLine="560" w:firstLineChars="200"/>
        <w:jc w:val="left"/>
        <w:rPr>
          <w:rFonts w:hint="eastAsia" w:ascii="宋体" w:hAnsi="宋体" w:cs="宋体"/>
          <w:color w:val="auto"/>
          <w:szCs w:val="21"/>
          <w:highlight w:val="none"/>
        </w:rPr>
      </w:pPr>
      <w:r>
        <w:rPr>
          <w:rFonts w:ascii="Segoe UI Symbol" w:hAnsi="Segoe UI Symbol" w:cs="Segoe UI Symbol"/>
          <w:color w:val="auto"/>
          <w:sz w:val="28"/>
          <w:szCs w:val="28"/>
          <w:highlight w:val="none"/>
        </w:rPr>
        <w:sym w:font="Wingdings" w:char="F0A8"/>
      </w:r>
      <w:r>
        <w:rPr>
          <w:rFonts w:hint="eastAsia" w:ascii="宋体" w:hAnsi="宋体" w:cs="宋体"/>
          <w:color w:val="auto"/>
          <w:szCs w:val="21"/>
          <w:highlight w:val="none"/>
        </w:rPr>
        <w:t>本工程需要提交支付担保。</w:t>
      </w:r>
      <w:r>
        <w:rPr>
          <w:rFonts w:hint="eastAsia" w:ascii="宋体" w:hAnsi="宋体" w:cs="宋体"/>
          <w:b/>
          <w:bCs/>
          <w:i/>
          <w:iCs/>
          <w:color w:val="auto"/>
          <w:szCs w:val="21"/>
          <w:highlight w:val="none"/>
        </w:rPr>
        <w:t>（提示：根据项目需要勾选）</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发包人在承包人提交履约担保的同时，向承包人提供本工程支付担保。支付担保的金额为合同价的10%。</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支付担保在履约担保有效期满前14天保持有效并可执行。</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支付担保到期后14天内，承包人应退还支付担保。支付担保退还后14天，发包人将按约定时间退还履约担保。支付担保延迟退还时将被视为承包人严重违约，承包人应承担由此对发包人造成的任何损失，并承担相应的责任。</w:t>
      </w:r>
    </w:p>
    <w:p>
      <w:pPr>
        <w:keepNext/>
        <w:keepLines/>
        <w:spacing w:before="120" w:beforeLines="50" w:after="120" w:afterLines="50" w:line="360" w:lineRule="auto"/>
        <w:ind w:left="562"/>
        <w:outlineLvl w:val="2"/>
        <w:rPr>
          <w:rFonts w:hint="eastAsia" w:ascii="宋体" w:hAnsi="宋体" w:cs="宋体"/>
          <w:b/>
          <w:bCs/>
          <w:color w:val="auto"/>
          <w:sz w:val="28"/>
          <w:szCs w:val="28"/>
          <w:highlight w:val="none"/>
        </w:rPr>
      </w:pPr>
      <w:bookmarkStart w:id="5936" w:name="_Toc69114064"/>
      <w:r>
        <w:rPr>
          <w:rFonts w:hint="eastAsia" w:ascii="宋体" w:hAnsi="宋体" w:cs="宋体"/>
          <w:b/>
          <w:bCs/>
          <w:color w:val="auto"/>
          <w:sz w:val="28"/>
          <w:szCs w:val="28"/>
          <w:highlight w:val="none"/>
        </w:rPr>
        <w:t>2.7深化设计</w:t>
      </w:r>
      <w:bookmarkEnd w:id="5936"/>
    </w:p>
    <w:p>
      <w:pPr>
        <w:spacing w:line="360" w:lineRule="auto"/>
        <w:ind w:firstLine="560" w:firstLineChars="200"/>
        <w:jc w:val="left"/>
        <w:rPr>
          <w:rFonts w:hint="eastAsia" w:ascii="宋体" w:hAnsi="宋体" w:cs="宋体"/>
          <w:color w:val="auto"/>
          <w:szCs w:val="21"/>
          <w:highlight w:val="none"/>
        </w:rPr>
      </w:pPr>
      <w:r>
        <w:rPr>
          <w:rFonts w:ascii="Segoe UI Symbol" w:hAnsi="Segoe UI Symbol" w:cs="Segoe UI Symbol"/>
          <w:color w:val="auto"/>
          <w:sz w:val="28"/>
          <w:szCs w:val="28"/>
          <w:highlight w:val="none"/>
        </w:rPr>
        <w:sym w:font="Wingdings" w:char="F0A8"/>
      </w:r>
      <w:r>
        <w:rPr>
          <w:rFonts w:hint="eastAsia" w:ascii="宋体" w:hAnsi="宋体" w:cs="宋体"/>
          <w:color w:val="auto"/>
          <w:szCs w:val="21"/>
          <w:highlight w:val="none"/>
        </w:rPr>
        <w:t>本工程不需要深化。</w:t>
      </w:r>
    </w:p>
    <w:p>
      <w:pPr>
        <w:spacing w:line="360" w:lineRule="auto"/>
        <w:ind w:firstLine="560" w:firstLineChars="200"/>
        <w:jc w:val="left"/>
        <w:rPr>
          <w:rFonts w:hint="eastAsia" w:ascii="宋体" w:hAnsi="宋体" w:cs="宋体"/>
          <w:color w:val="auto"/>
          <w:szCs w:val="21"/>
          <w:highlight w:val="none"/>
        </w:rPr>
      </w:pPr>
      <w:r>
        <w:rPr>
          <w:rFonts w:ascii="Segoe UI Symbol" w:hAnsi="Segoe UI Symbol" w:cs="Segoe UI Symbol"/>
          <w:color w:val="auto"/>
          <w:sz w:val="28"/>
          <w:szCs w:val="28"/>
          <w:highlight w:val="none"/>
        </w:rPr>
        <w:sym w:font="Wingdings" w:char="F0A8"/>
      </w:r>
      <w:r>
        <w:rPr>
          <w:rFonts w:hint="eastAsia" w:ascii="宋体" w:hAnsi="宋体" w:cs="宋体"/>
          <w:color w:val="auto"/>
          <w:szCs w:val="21"/>
          <w:highlight w:val="none"/>
        </w:rPr>
        <w:t>本工程需要深化设计。</w:t>
      </w:r>
      <w:r>
        <w:rPr>
          <w:rFonts w:hint="eastAsia" w:ascii="宋体" w:hAnsi="宋体" w:cs="宋体"/>
          <w:b/>
          <w:bCs/>
          <w:i/>
          <w:iCs/>
          <w:color w:val="auto"/>
          <w:szCs w:val="21"/>
          <w:highlight w:val="none"/>
        </w:rPr>
        <w:t>（提示：根据项目需要勾选）</w:t>
      </w:r>
    </w:p>
    <w:p>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发包人要求的深化设计如下：</w:t>
      </w:r>
      <w:r>
        <w:rPr>
          <w:rFonts w:hint="eastAsia" w:ascii="宋体" w:hAnsi="宋体" w:cs="宋体"/>
          <w:color w:val="auto"/>
          <w:szCs w:val="21"/>
          <w:highlight w:val="none"/>
          <w:u w:val="single"/>
        </w:rPr>
        <w:t>（示例：道路铺装、设备管线、幕墙安装）</w:t>
      </w:r>
      <w:r>
        <w:rPr>
          <w:rFonts w:ascii="宋体" w:hAnsi="宋体" w:cs="宋体"/>
          <w:color w:val="auto"/>
          <w:szCs w:val="21"/>
          <w:highlight w:val="none"/>
          <w:u w:val="single"/>
        </w:rPr>
        <w:t xml:space="preserve">                   </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rPr>
        <w:t>。</w:t>
      </w:r>
    </w:p>
    <w:p>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承包人投标文件中承诺的深化设计如下：</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rPr>
        <w:t>。</w:t>
      </w:r>
    </w:p>
    <w:p>
      <w:pPr>
        <w:keepNext/>
        <w:keepLines/>
        <w:spacing w:before="120" w:beforeLines="50" w:after="120" w:afterLines="50" w:line="360" w:lineRule="auto"/>
        <w:ind w:firstLine="600" w:firstLineChars="200"/>
        <w:outlineLvl w:val="1"/>
        <w:rPr>
          <w:rFonts w:hint="eastAsia" w:ascii="宋体" w:hAnsi="宋体" w:cs="宋体"/>
          <w:b/>
          <w:bCs/>
          <w:color w:val="auto"/>
          <w:sz w:val="30"/>
          <w:szCs w:val="30"/>
          <w:highlight w:val="none"/>
        </w:rPr>
      </w:pPr>
      <w:bookmarkStart w:id="5937" w:name="_Toc2769"/>
      <w:bookmarkStart w:id="5938" w:name="_Toc25967"/>
      <w:bookmarkStart w:id="5939" w:name="_Toc4895"/>
      <w:bookmarkStart w:id="5940" w:name="_Toc465237144"/>
      <w:bookmarkStart w:id="5941" w:name="_Toc3112"/>
      <w:bookmarkStart w:id="5942" w:name="_Toc9373"/>
      <w:bookmarkStart w:id="5943" w:name="_Toc1361"/>
      <w:bookmarkStart w:id="5944" w:name="_Toc517528777"/>
      <w:bookmarkStart w:id="5945" w:name="_Toc16835"/>
      <w:bookmarkStart w:id="5946" w:name="_Toc21813"/>
      <w:bookmarkStart w:id="5947" w:name="_Toc27126"/>
      <w:bookmarkStart w:id="5948" w:name="_Toc1948"/>
      <w:bookmarkStart w:id="5949" w:name="_Toc22152"/>
      <w:bookmarkStart w:id="5950" w:name="_Toc9281"/>
      <w:bookmarkStart w:id="5951" w:name="_Toc351203635"/>
      <w:bookmarkStart w:id="5952" w:name="_Toc12492"/>
      <w:bookmarkStart w:id="5953" w:name="_Toc465237246"/>
      <w:bookmarkStart w:id="5954" w:name="_Toc16285"/>
      <w:bookmarkStart w:id="5955" w:name="_Toc12598"/>
      <w:bookmarkStart w:id="5956" w:name="_Toc517532253"/>
      <w:bookmarkStart w:id="5957" w:name="_Toc69114065"/>
      <w:bookmarkStart w:id="5958" w:name="_Toc7767"/>
      <w:bookmarkStart w:id="5959" w:name="_Toc517530977"/>
      <w:bookmarkStart w:id="5960" w:name="_Toc9386"/>
      <w:bookmarkStart w:id="5961" w:name="_Toc29054"/>
      <w:bookmarkStart w:id="5962" w:name="_Toc517529758"/>
      <w:r>
        <w:rPr>
          <w:rFonts w:hint="eastAsia" w:ascii="宋体" w:hAnsi="宋体" w:cs="宋体"/>
          <w:b/>
          <w:bCs/>
          <w:color w:val="auto"/>
          <w:sz w:val="30"/>
          <w:szCs w:val="30"/>
          <w:highlight w:val="none"/>
        </w:rPr>
        <w:t>3</w:t>
      </w:r>
      <w:bookmarkStart w:id="5963" w:name="_Toc296347157"/>
      <w:bookmarkStart w:id="5964" w:name="_Toc296890986"/>
      <w:bookmarkStart w:id="5965" w:name="_Toc297120458"/>
      <w:bookmarkStart w:id="5966" w:name="_Toc296944497"/>
      <w:bookmarkStart w:id="5967" w:name="_Toc296891198"/>
      <w:bookmarkStart w:id="5968" w:name="_Toc292559363"/>
      <w:bookmarkStart w:id="5969" w:name="_Toc296346659"/>
      <w:bookmarkStart w:id="5970" w:name="_Toc292559868"/>
      <w:bookmarkStart w:id="5971" w:name="_Toc296503158"/>
      <w:bookmarkStart w:id="5972" w:name="_Toc297048344"/>
      <w:r>
        <w:rPr>
          <w:rFonts w:hint="eastAsia" w:ascii="宋体" w:hAnsi="宋体" w:cs="宋体"/>
          <w:b/>
          <w:bCs/>
          <w:color w:val="auto"/>
          <w:sz w:val="30"/>
          <w:szCs w:val="30"/>
          <w:highlight w:val="none"/>
        </w:rPr>
        <w:t>. 承包人</w:t>
      </w:r>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p>
    <w:p>
      <w:pPr>
        <w:keepNext/>
        <w:keepLines/>
        <w:spacing w:before="120" w:beforeLines="50" w:after="120" w:afterLines="50" w:line="360" w:lineRule="auto"/>
        <w:ind w:left="562"/>
        <w:outlineLvl w:val="2"/>
        <w:rPr>
          <w:rFonts w:hint="eastAsia" w:ascii="宋体" w:hAnsi="宋体" w:cs="宋体"/>
          <w:b/>
          <w:bCs/>
          <w:color w:val="auto"/>
          <w:sz w:val="28"/>
          <w:szCs w:val="28"/>
          <w:highlight w:val="none"/>
        </w:rPr>
      </w:pPr>
      <w:bookmarkStart w:id="5973" w:name="_Toc24402"/>
      <w:bookmarkStart w:id="5974" w:name="_Toc7306"/>
      <w:bookmarkStart w:id="5975" w:name="_Toc24112"/>
      <w:bookmarkStart w:id="5976" w:name="_Toc1974"/>
      <w:bookmarkStart w:id="5977" w:name="_Toc517530978"/>
      <w:bookmarkStart w:id="5978" w:name="_Toc19692"/>
      <w:bookmarkStart w:id="5979" w:name="_Toc31487"/>
      <w:bookmarkStart w:id="5980" w:name="_Toc69114066"/>
      <w:bookmarkStart w:id="5981" w:name="_Toc27859"/>
      <w:bookmarkStart w:id="5982" w:name="_Toc517528778"/>
      <w:bookmarkStart w:id="5983" w:name="_Toc517532254"/>
      <w:bookmarkStart w:id="5984" w:name="_Toc18036"/>
      <w:bookmarkStart w:id="5985" w:name="_Toc11776"/>
      <w:bookmarkStart w:id="5986" w:name="_Toc5610"/>
      <w:bookmarkStart w:id="5987" w:name="_Toc32620"/>
      <w:bookmarkStart w:id="5988" w:name="_Toc1013"/>
      <w:bookmarkStart w:id="5989" w:name="_Toc24891"/>
      <w:bookmarkStart w:id="5990" w:name="_Toc8313"/>
      <w:bookmarkStart w:id="5991" w:name="_Toc2570"/>
      <w:bookmarkStart w:id="5992" w:name="_Toc388"/>
      <w:bookmarkStart w:id="5993" w:name="_Toc18113"/>
      <w:bookmarkStart w:id="5994" w:name="_Toc22046"/>
      <w:r>
        <w:rPr>
          <w:rFonts w:hint="eastAsia" w:ascii="宋体" w:hAnsi="宋体" w:cs="宋体"/>
          <w:b/>
          <w:bCs/>
          <w:color w:val="auto"/>
          <w:sz w:val="28"/>
          <w:szCs w:val="28"/>
          <w:highlight w:val="none"/>
        </w:rPr>
        <w:t>3.1 承包人的一般义务</w:t>
      </w:r>
      <w:bookmarkEnd w:id="5973"/>
      <w:bookmarkEnd w:id="5974"/>
      <w:bookmarkEnd w:id="5975"/>
      <w:bookmarkEnd w:id="5976"/>
      <w:bookmarkEnd w:id="5977"/>
      <w:bookmarkEnd w:id="5978"/>
      <w:bookmarkEnd w:id="5979"/>
      <w:bookmarkEnd w:id="5980"/>
      <w:bookmarkEnd w:id="5981"/>
      <w:bookmarkEnd w:id="5982"/>
      <w:bookmarkEnd w:id="5983"/>
      <w:bookmarkEnd w:id="5984"/>
      <w:bookmarkEnd w:id="5985"/>
    </w:p>
    <w:p>
      <w:pPr>
        <w:keepNext/>
        <w:keepLines/>
        <w:spacing w:before="120" w:beforeLines="50" w:after="120" w:afterLines="50" w:line="360" w:lineRule="auto"/>
        <w:ind w:firstLine="728"/>
        <w:outlineLvl w:val="3"/>
        <w:rPr>
          <w:rFonts w:hint="eastAsia" w:ascii="宋体" w:hAnsi="宋体" w:cs="宋体"/>
          <w:b/>
          <w:bCs/>
          <w:color w:val="auto"/>
          <w:sz w:val="24"/>
          <w:szCs w:val="24"/>
          <w:highlight w:val="none"/>
        </w:rPr>
      </w:pPr>
      <w:bookmarkStart w:id="5995" w:name="_Toc26019"/>
      <w:bookmarkStart w:id="5996" w:name="_Toc1836"/>
      <w:bookmarkStart w:id="5997" w:name="_Toc23763"/>
      <w:bookmarkStart w:id="5998" w:name="_Toc24769"/>
      <w:bookmarkStart w:id="5999" w:name="_Toc13054"/>
      <w:bookmarkStart w:id="6000" w:name="_Toc7810"/>
      <w:bookmarkStart w:id="6001" w:name="_Toc25912"/>
      <w:bookmarkStart w:id="6002" w:name="_Toc517532255"/>
      <w:bookmarkStart w:id="6003" w:name="_Toc15746"/>
      <w:bookmarkStart w:id="6004" w:name="_Toc517530979"/>
      <w:bookmarkStart w:id="6005" w:name="_Toc27095"/>
      <w:r>
        <w:rPr>
          <w:rFonts w:hint="eastAsia" w:ascii="宋体" w:hAnsi="宋体" w:cs="宋体"/>
          <w:b/>
          <w:bCs/>
          <w:color w:val="auto"/>
          <w:sz w:val="24"/>
          <w:szCs w:val="24"/>
          <w:highlight w:val="none"/>
        </w:rPr>
        <w:t>3.1.3设计与施工</w:t>
      </w:r>
    </w:p>
    <w:p>
      <w:pPr>
        <w:spacing w:line="360" w:lineRule="auto"/>
        <w:ind w:firstLine="420" w:firstLineChars="200"/>
        <w:rPr>
          <w:rFonts w:ascii="宋体" w:hAnsi="宋体" w:cs="宋体"/>
          <w:color w:val="auto"/>
          <w:szCs w:val="21"/>
          <w:highlight w:val="none"/>
        </w:rPr>
      </w:pPr>
      <w:r>
        <w:rPr>
          <w:rFonts w:hint="eastAsia" w:ascii="宋体" w:hAnsi="宋体" w:cs="宋体"/>
          <w:b/>
          <w:bCs/>
          <w:color w:val="auto"/>
          <w:szCs w:val="21"/>
          <w:highlight w:val="none"/>
        </w:rPr>
        <w:t>（</w:t>
      </w:r>
      <w:r>
        <w:rPr>
          <w:rFonts w:ascii="宋体" w:hAnsi="宋体" w:cs="宋体"/>
          <w:b/>
          <w:bCs/>
          <w:color w:val="auto"/>
          <w:szCs w:val="21"/>
          <w:highlight w:val="none"/>
        </w:rPr>
        <w:t>1</w:t>
      </w:r>
      <w:r>
        <w:rPr>
          <w:rFonts w:hint="eastAsia" w:ascii="宋体" w:hAnsi="宋体" w:cs="宋体"/>
          <w:b/>
          <w:bCs/>
          <w:color w:val="auto"/>
          <w:szCs w:val="21"/>
          <w:highlight w:val="none"/>
        </w:rPr>
        <w:t>）全域景观城市高颜值建设</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工程成果应符合城市高颜值建设、高品质城市风貌的理念。注意工程项目建设与周边景观养护的衔接，如需进行占道挖掘、占用绿化、临时建设等工程，需取得相关部门许可、批准，并确保颜值高标准复原。</w:t>
      </w:r>
    </w:p>
    <w:p>
      <w:pPr>
        <w:spacing w:line="360" w:lineRule="auto"/>
        <w:ind w:firstLine="420" w:firstLineChars="200"/>
        <w:rPr>
          <w:rFonts w:ascii="宋体" w:hAnsi="宋体" w:cs="宋体"/>
          <w:color w:val="auto"/>
          <w:szCs w:val="21"/>
          <w:highlight w:val="none"/>
        </w:rPr>
      </w:pPr>
      <w:r>
        <w:rPr>
          <w:rFonts w:hint="eastAsia" w:ascii="宋体" w:hAnsi="宋体" w:cs="宋体"/>
          <w:b/>
          <w:bCs/>
          <w:color w:val="auto"/>
          <w:szCs w:val="21"/>
          <w:highlight w:val="none"/>
        </w:rPr>
        <w:t>（</w:t>
      </w:r>
      <w:r>
        <w:rPr>
          <w:rFonts w:ascii="宋体" w:hAnsi="宋体" w:cs="宋体"/>
          <w:b/>
          <w:bCs/>
          <w:color w:val="auto"/>
          <w:szCs w:val="21"/>
          <w:highlight w:val="none"/>
        </w:rPr>
        <w:t>2</w:t>
      </w:r>
      <w:r>
        <w:rPr>
          <w:rFonts w:hint="eastAsia" w:ascii="宋体" w:hAnsi="宋体" w:cs="宋体"/>
          <w:b/>
          <w:bCs/>
          <w:color w:val="auto"/>
          <w:szCs w:val="21"/>
          <w:highlight w:val="none"/>
        </w:rPr>
        <w:t>）全过程影像资料记录</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应做好施工全过程影像资料的记录，并向发包人提供施工全过程多媒体汇报资料，特别是关键施工工序的录像资料，制作影像资料的费用已包含在合同价中。承包人出现对工程资料（含影像资料）故意弄虚作假行为时，发包人有权要求承包人支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元/次的违约金并在履约评价表中进行相应扣分。</w:t>
      </w:r>
    </w:p>
    <w:p>
      <w:pPr>
        <w:spacing w:line="360" w:lineRule="auto"/>
        <w:ind w:firstLine="420" w:firstLineChars="200"/>
        <w:rPr>
          <w:rFonts w:ascii="宋体" w:hAnsi="宋体" w:cs="宋体"/>
          <w:b/>
          <w:bCs/>
          <w:color w:val="auto"/>
          <w:szCs w:val="21"/>
          <w:highlight w:val="none"/>
        </w:rPr>
      </w:pPr>
      <w:r>
        <w:rPr>
          <w:rFonts w:hint="eastAsia" w:ascii="宋体" w:hAnsi="宋体" w:cs="宋体"/>
          <w:b/>
          <w:bCs/>
          <w:color w:val="auto"/>
          <w:szCs w:val="21"/>
          <w:highlight w:val="none"/>
        </w:rPr>
        <w:sym w:font="Wingdings" w:char="F0A8"/>
      </w:r>
      <w:r>
        <w:rPr>
          <w:rFonts w:hint="eastAsia" w:ascii="宋体" w:hAnsi="宋体" w:cs="宋体"/>
          <w:b/>
          <w:bCs/>
          <w:color w:val="auto"/>
          <w:szCs w:val="21"/>
          <w:highlight w:val="none"/>
        </w:rPr>
        <w:t>（</w:t>
      </w:r>
      <w:r>
        <w:rPr>
          <w:rFonts w:ascii="宋体" w:hAnsi="宋体" w:cs="宋体"/>
          <w:b/>
          <w:bCs/>
          <w:color w:val="auto"/>
          <w:szCs w:val="21"/>
          <w:highlight w:val="none"/>
        </w:rPr>
        <w:t>3</w:t>
      </w:r>
      <w:r>
        <w:rPr>
          <w:rFonts w:hint="eastAsia" w:ascii="宋体" w:hAnsi="宋体" w:cs="宋体"/>
          <w:b/>
          <w:bCs/>
          <w:color w:val="auto"/>
          <w:szCs w:val="21"/>
          <w:highlight w:val="none"/>
        </w:rPr>
        <w:t>）建筑师（总设计师）负责制</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a</w:t>
      </w:r>
      <w:r>
        <w:rPr>
          <w:rFonts w:ascii="宋体" w:hAnsi="宋体" w:cs="宋体"/>
          <w:color w:val="auto"/>
          <w:szCs w:val="21"/>
          <w:highlight w:val="none"/>
        </w:rPr>
        <w:t>.</w:t>
      </w:r>
      <w:r>
        <w:rPr>
          <w:rFonts w:hint="eastAsia" w:ascii="宋体" w:hAnsi="宋体" w:cs="宋体"/>
          <w:color w:val="auto"/>
          <w:szCs w:val="21"/>
          <w:highlight w:val="none"/>
        </w:rPr>
        <w:t>本项目采用建筑师（总设计师）负责制，建筑师（总设计师）重点及主要工作职责为对本项目全过程进行品质管控。建筑师（总设计师）指本项目领衔设计师及其组建的设计师管理团队，并设立建筑师（总设计师）驻场办公室作为其工作平台。领衔设计师由</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rPr>
        <w:t>担任。建筑师（总设计师）驻场办公室负责人由</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rPr>
        <w:t>担任。</w:t>
      </w:r>
    </w:p>
    <w:p>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b.</w:t>
      </w:r>
      <w:r>
        <w:rPr>
          <w:rFonts w:hint="eastAsia" w:ascii="宋体" w:hAnsi="宋体" w:cs="宋体"/>
          <w:color w:val="auto"/>
          <w:szCs w:val="21"/>
          <w:highlight w:val="none"/>
        </w:rPr>
        <w:t>建筑师（总设计师）依据国家及地方法律、法规、技术规范标准、设计文件（图纸及技术要求文件）、发包人下发适用于本工程的各工程管理办法及本工程合同文件等，开展建筑师（总设计师）负责制各项工作。重点工作内容包含但不限于本工程设计技术精细化交底，主要材料（含原材料、半成品或构配件等）及设备的样品评审、定样与进场前验收，样板工程（含样板段、大样及样板工程）的审核及验收、工程定期巡检、重点分项工程验收、分部工程验收、单位工程验收、竣工验收等，对工程各品质进行严格把关。总设计师具体职责、权利及义务如下：</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a）领衔设计师职责：负责本项目整体质量效果的控制，对重要质量节点和重大设计变更的指导及效果把关；参加重点样板段及大样工程验收及确认；参加重点分部及单位工程验收及确认；参加竣工验收及确认。</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b</w:t>
      </w:r>
      <w:r>
        <w:rPr>
          <w:rFonts w:hint="eastAsia" w:ascii="宋体" w:hAnsi="宋体" w:cs="宋体"/>
          <w:color w:val="auto"/>
          <w:szCs w:val="21"/>
          <w:highlight w:val="none"/>
        </w:rPr>
        <w:t>）建筑师（总设计师）驻场办公室职责：①负责设计技术交底；②负责现场技术问题的解决；③负责组织工程品质管控定期巡检并提交报告；④负责重点、难点及特殊工艺工程工艺要求的现场指导；⑤参与施工招标的评标阶段对材料样板进行定性评审；⑥参与一般性设计变更确认；⑦参与验收； ⑧参与样品、样板段及大样验收及确认；⑨参与材料进场品质验收及确认；⑩参与分部分项及单位工程验收及确认（含过程验收）；</w:t>
      </w:r>
      <w:r>
        <w:rPr>
          <w:rFonts w:ascii="宋体" w:hAnsi="宋体" w:cs="宋体"/>
          <w:color w:val="auto"/>
          <w:szCs w:val="21"/>
          <w:highlight w:val="none"/>
        </w:rPr>
        <w:fldChar w:fldCharType="begin"/>
      </w:r>
      <w:r>
        <w:rPr>
          <w:rFonts w:ascii="宋体" w:hAnsi="宋体" w:cs="宋体"/>
          <w:color w:val="auto"/>
          <w:szCs w:val="21"/>
          <w:highlight w:val="none"/>
        </w:rPr>
        <w:instrText xml:space="preserve"> </w:instrText>
      </w:r>
      <w:r>
        <w:rPr>
          <w:rFonts w:hint="eastAsia" w:ascii="宋体" w:hAnsi="宋体" w:cs="宋体"/>
          <w:color w:val="auto"/>
          <w:szCs w:val="21"/>
          <w:highlight w:val="none"/>
        </w:rPr>
        <w:instrText xml:space="preserve">eq \o\ac(</w:instrText>
      </w:r>
      <w:r>
        <w:rPr>
          <w:rFonts w:hint="eastAsia" w:ascii="宋体" w:hAnsi="宋体" w:cs="宋体"/>
          <w:color w:val="auto"/>
          <w:position w:val="-4"/>
          <w:sz w:val="31"/>
          <w:szCs w:val="21"/>
          <w:highlight w:val="none"/>
        </w:rPr>
        <w:instrText xml:space="preserve">○</w:instrText>
      </w:r>
      <w:r>
        <w:rPr>
          <w:rFonts w:hint="eastAsia" w:ascii="宋体" w:hAnsi="宋体" w:cs="宋体"/>
          <w:color w:val="auto"/>
          <w:szCs w:val="21"/>
          <w:highlight w:val="none"/>
        </w:rPr>
        <w:instrText xml:space="preserve">,11)</w:instrText>
      </w:r>
      <w:r>
        <w:rPr>
          <w:rFonts w:ascii="宋体" w:hAnsi="宋体" w:cs="宋体"/>
          <w:color w:val="auto"/>
          <w:szCs w:val="21"/>
          <w:highlight w:val="none"/>
        </w:rPr>
        <w:fldChar w:fldCharType="end"/>
      </w:r>
      <w:r>
        <w:rPr>
          <w:rFonts w:hint="eastAsia" w:ascii="宋体" w:hAnsi="宋体" w:cs="宋体"/>
          <w:color w:val="auto"/>
          <w:szCs w:val="21"/>
          <w:highlight w:val="none"/>
        </w:rPr>
        <w:t>参与竣工验收；</w:t>
      </w:r>
      <w:r>
        <w:rPr>
          <w:rFonts w:ascii="宋体" w:hAnsi="宋体" w:cs="宋体"/>
          <w:color w:val="auto"/>
          <w:szCs w:val="21"/>
          <w:highlight w:val="none"/>
        </w:rPr>
        <w:fldChar w:fldCharType="begin"/>
      </w:r>
      <w:r>
        <w:rPr>
          <w:rFonts w:ascii="宋体" w:hAnsi="宋体" w:cs="宋体"/>
          <w:color w:val="auto"/>
          <w:szCs w:val="21"/>
          <w:highlight w:val="none"/>
        </w:rPr>
        <w:instrText xml:space="preserve"> </w:instrText>
      </w:r>
      <w:r>
        <w:rPr>
          <w:rFonts w:hint="eastAsia" w:ascii="宋体" w:hAnsi="宋体" w:cs="宋体"/>
          <w:color w:val="auto"/>
          <w:szCs w:val="21"/>
          <w:highlight w:val="none"/>
        </w:rPr>
        <w:instrText xml:space="preserve">eq \o\ac(</w:instrText>
      </w:r>
      <w:r>
        <w:rPr>
          <w:rFonts w:hint="eastAsia" w:ascii="宋体" w:hAnsi="宋体" w:cs="宋体"/>
          <w:color w:val="auto"/>
          <w:position w:val="-4"/>
          <w:sz w:val="31"/>
          <w:szCs w:val="21"/>
          <w:highlight w:val="none"/>
        </w:rPr>
        <w:instrText xml:space="preserve">○</w:instrText>
      </w:r>
      <w:r>
        <w:rPr>
          <w:rFonts w:hint="eastAsia" w:ascii="宋体" w:hAnsi="宋体" w:cs="宋体"/>
          <w:color w:val="auto"/>
          <w:szCs w:val="21"/>
          <w:highlight w:val="none"/>
        </w:rPr>
        <w:instrText xml:space="preserve">,12)</w:instrText>
      </w:r>
      <w:r>
        <w:rPr>
          <w:rFonts w:ascii="宋体" w:hAnsi="宋体" w:cs="宋体"/>
          <w:color w:val="auto"/>
          <w:szCs w:val="21"/>
          <w:highlight w:val="none"/>
        </w:rPr>
        <w:fldChar w:fldCharType="end"/>
      </w:r>
      <w:r>
        <w:rPr>
          <w:rFonts w:hint="eastAsia" w:ascii="宋体" w:hAnsi="宋体" w:cs="宋体"/>
          <w:color w:val="auto"/>
          <w:szCs w:val="21"/>
          <w:highlight w:val="none"/>
        </w:rPr>
        <w:t>参与相关支付的审核。</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c</w:t>
      </w:r>
      <w:r>
        <w:rPr>
          <w:rFonts w:hint="eastAsia" w:ascii="宋体" w:hAnsi="宋体" w:cs="宋体"/>
          <w:color w:val="auto"/>
          <w:szCs w:val="21"/>
          <w:highlight w:val="none"/>
        </w:rPr>
        <w:t>）建筑师（总设计师）权利与义务</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①建筑师（总设计师）对主要材料、设备等品质全面把关，工程材料样品及材料进场前经监理人确认后，报送建筑师（总设计师）驻场办公室，经建筑师（总设计师）审核确认后方可进入下一流程。</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②建筑师（总设计师）对重点分项、分部以上工程品质验收全面把关，相关工程完成后，经监理人确认后，报送建筑师（总设计师）驻场办公室，经建筑师（总设计师）审核确认后方可进入下一流程。</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③对于无法达到设计及本工程品质要求的各材料、设备及工程，建筑师（总设计师）有权要求承包人退货、更换及工程返修、返工。</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④建筑师（总设计师）有权参与相关工程支付审核，承包人发起的工程进度款申请，经监理人审核签认后，报送建筑师（总设计师）驻场办公室，经建筑师（总设计师）签审后方可进入下一步支付审批流程。</w:t>
      </w:r>
    </w:p>
    <w:p>
      <w:pPr>
        <w:spacing w:line="360" w:lineRule="auto"/>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本项目实行</w:t>
      </w:r>
      <w:bookmarkStart w:id="6006" w:name="_Hlk65485440"/>
      <w:r>
        <w:rPr>
          <w:rFonts w:hint="eastAsia" w:ascii="宋体" w:hAnsi="宋体" w:cs="宋体"/>
          <w:b/>
          <w:bCs/>
          <w:color w:val="auto"/>
          <w:szCs w:val="21"/>
          <w:highlight w:val="none"/>
        </w:rPr>
        <w:t>建筑师（总设计师）负责制</w:t>
      </w:r>
      <w:bookmarkEnd w:id="6006"/>
      <w:r>
        <w:rPr>
          <w:rFonts w:hint="eastAsia" w:ascii="宋体" w:hAnsi="宋体" w:cs="宋体"/>
          <w:b/>
          <w:bCs/>
          <w:color w:val="auto"/>
          <w:szCs w:val="21"/>
          <w:highlight w:val="none"/>
        </w:rPr>
        <w:t>，承包人须按要求开展工作，由此产生的费用已包含在合同价中。发包人有新发布该制度的，以新发布的文件为准。</w:t>
      </w:r>
    </w:p>
    <w:p>
      <w:pPr>
        <w:keepNext/>
        <w:keepLines/>
        <w:spacing w:before="120" w:beforeLines="50" w:after="120" w:afterLines="50" w:line="360" w:lineRule="auto"/>
        <w:ind w:left="728"/>
        <w:outlineLvl w:val="3"/>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3.1.6职业健康</w:t>
      </w:r>
      <w:bookmarkEnd w:id="5986"/>
      <w:bookmarkEnd w:id="5987"/>
      <w:bookmarkEnd w:id="5988"/>
      <w:bookmarkEnd w:id="5989"/>
      <w:bookmarkEnd w:id="5990"/>
      <w:bookmarkEnd w:id="5991"/>
      <w:bookmarkEnd w:id="5992"/>
      <w:bookmarkEnd w:id="5995"/>
      <w:bookmarkEnd w:id="5996"/>
      <w:bookmarkEnd w:id="5997"/>
      <w:bookmarkEnd w:id="5998"/>
      <w:bookmarkEnd w:id="5999"/>
      <w:bookmarkEnd w:id="6000"/>
      <w:bookmarkEnd w:id="6001"/>
      <w:bookmarkEnd w:id="6002"/>
      <w:bookmarkEnd w:id="6003"/>
      <w:bookmarkEnd w:id="6004"/>
      <w:bookmarkEnd w:id="6005"/>
    </w:p>
    <w:p>
      <w:pPr>
        <w:spacing w:line="360" w:lineRule="auto"/>
        <w:ind w:firstLine="420" w:firstLineChars="200"/>
        <w:rPr>
          <w:rFonts w:hint="eastAsia" w:ascii="宋体" w:hAnsi="宋体" w:cs="宋体"/>
          <w:b/>
          <w:bCs/>
          <w:color w:val="auto"/>
          <w:szCs w:val="21"/>
          <w:highlight w:val="none"/>
        </w:rPr>
      </w:pPr>
      <w:bookmarkStart w:id="6007" w:name="_Toc28020"/>
      <w:bookmarkStart w:id="6008" w:name="_Toc3399"/>
      <w:bookmarkStart w:id="6009" w:name="_Toc29602"/>
      <w:bookmarkStart w:id="6010" w:name="_Toc7982"/>
      <w:bookmarkStart w:id="6011" w:name="_Toc24325"/>
      <w:bookmarkStart w:id="6012" w:name="_Toc19211"/>
      <w:bookmarkStart w:id="6013" w:name="_Toc24927"/>
      <w:r>
        <w:rPr>
          <w:rFonts w:hint="eastAsia" w:ascii="宋体" w:hAnsi="宋体" w:cs="宋体"/>
          <w:b/>
          <w:bCs/>
          <w:color w:val="auto"/>
          <w:szCs w:val="21"/>
          <w:highlight w:val="none"/>
        </w:rPr>
        <w:t>（1） 生活条件</w:t>
      </w:r>
      <w:bookmarkEnd w:id="5993"/>
      <w:bookmarkEnd w:id="5994"/>
      <w:bookmarkEnd w:id="6007"/>
      <w:bookmarkEnd w:id="6008"/>
      <w:bookmarkEnd w:id="6009"/>
      <w:bookmarkEnd w:id="6010"/>
      <w:bookmarkEnd w:id="6011"/>
      <w:bookmarkEnd w:id="6012"/>
      <w:bookmarkEnd w:id="6013"/>
    </w:p>
    <w:p>
      <w:pPr>
        <w:autoSpaceDE w:val="0"/>
        <w:autoSpaceDN w:val="0"/>
        <w:adjustRightInd w:val="0"/>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承包人应当保证工人宿舍区临建设施符合以下要求：</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（a）承包人工人宿舍区生活用电须采用36V低压直流供电，宿舍设置USB手机等集中充电插座；</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（b）配备空调，空调供电设专线，穿线使用薄壁钢管，插座设置于板房外面；</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（c）生活区分区24小时集中供应热水。</w:t>
      </w:r>
    </w:p>
    <w:bookmarkEnd w:id="5963"/>
    <w:bookmarkEnd w:id="5964"/>
    <w:bookmarkEnd w:id="5965"/>
    <w:bookmarkEnd w:id="5966"/>
    <w:bookmarkEnd w:id="5967"/>
    <w:bookmarkEnd w:id="5968"/>
    <w:bookmarkEnd w:id="5969"/>
    <w:bookmarkEnd w:id="5970"/>
    <w:bookmarkEnd w:id="5971"/>
    <w:bookmarkEnd w:id="5972"/>
    <w:p>
      <w:pPr>
        <w:keepNext/>
        <w:keepLines/>
        <w:spacing w:before="120" w:beforeLines="50" w:after="120" w:afterLines="50" w:line="360" w:lineRule="auto"/>
        <w:ind w:left="562"/>
        <w:outlineLvl w:val="2"/>
        <w:rPr>
          <w:rFonts w:hint="eastAsia" w:ascii="宋体" w:hAnsi="宋体" w:cs="宋体"/>
          <w:b/>
          <w:bCs/>
          <w:color w:val="auto"/>
          <w:sz w:val="28"/>
          <w:szCs w:val="28"/>
          <w:highlight w:val="none"/>
        </w:rPr>
      </w:pPr>
      <w:bookmarkStart w:id="6014" w:name="_Toc465237145"/>
      <w:bookmarkStart w:id="6015" w:name="_Toc30200"/>
      <w:bookmarkStart w:id="6016" w:name="_Toc31774"/>
      <w:bookmarkStart w:id="6017" w:name="_Toc9757"/>
      <w:bookmarkStart w:id="6018" w:name="_Toc8413"/>
      <w:bookmarkStart w:id="6019" w:name="_Toc465237247"/>
      <w:bookmarkStart w:id="6020" w:name="_Toc2790"/>
      <w:bookmarkStart w:id="6021" w:name="_Toc8075"/>
      <w:bookmarkStart w:id="6022" w:name="_Toc722"/>
      <w:bookmarkStart w:id="6023" w:name="_Toc6668"/>
      <w:bookmarkStart w:id="6024" w:name="_Toc24490"/>
      <w:bookmarkStart w:id="6025" w:name="_Toc19509"/>
      <w:bookmarkStart w:id="6026" w:name="_Toc5920"/>
      <w:bookmarkStart w:id="6027" w:name="_Toc517532256"/>
      <w:bookmarkStart w:id="6028" w:name="_Toc3057"/>
      <w:bookmarkStart w:id="6029" w:name="_Toc517530980"/>
      <w:bookmarkStart w:id="6030" w:name="_Toc20254"/>
      <w:bookmarkStart w:id="6031" w:name="_Toc22187"/>
      <w:bookmarkStart w:id="6032" w:name="_Toc7696"/>
      <w:bookmarkStart w:id="6033" w:name="_Toc11039"/>
      <w:bookmarkStart w:id="6034" w:name="_Toc69114067"/>
      <w:bookmarkStart w:id="6035" w:name="_Toc517528779"/>
      <w:bookmarkStart w:id="6036" w:name="_Toc5541"/>
      <w:bookmarkStart w:id="6037" w:name="_Toc8434"/>
      <w:r>
        <w:rPr>
          <w:rFonts w:hint="eastAsia" w:ascii="宋体" w:hAnsi="宋体" w:cs="宋体"/>
          <w:b/>
          <w:bCs/>
          <w:color w:val="auto"/>
          <w:sz w:val="28"/>
          <w:szCs w:val="28"/>
          <w:highlight w:val="none"/>
        </w:rPr>
        <w:t xml:space="preserve">3.2 </w:t>
      </w:r>
      <w:bookmarkEnd w:id="6014"/>
      <w:bookmarkEnd w:id="6015"/>
      <w:bookmarkEnd w:id="6016"/>
      <w:bookmarkEnd w:id="6017"/>
      <w:bookmarkEnd w:id="6018"/>
      <w:bookmarkEnd w:id="6019"/>
      <w:bookmarkEnd w:id="6020"/>
      <w:bookmarkEnd w:id="6021"/>
      <w:bookmarkEnd w:id="6022"/>
      <w:bookmarkEnd w:id="6023"/>
      <w:bookmarkEnd w:id="6024"/>
      <w:r>
        <w:rPr>
          <w:rFonts w:hint="eastAsia" w:ascii="宋体" w:hAnsi="宋体" w:cs="宋体"/>
          <w:b/>
          <w:bCs/>
          <w:color w:val="auto"/>
          <w:sz w:val="28"/>
          <w:szCs w:val="28"/>
          <w:highlight w:val="none"/>
        </w:rPr>
        <w:t>项目经理</w:t>
      </w:r>
      <w:bookmarkEnd w:id="6025"/>
      <w:bookmarkEnd w:id="6026"/>
      <w:bookmarkEnd w:id="6027"/>
      <w:bookmarkEnd w:id="6028"/>
      <w:bookmarkEnd w:id="6029"/>
      <w:bookmarkEnd w:id="6030"/>
      <w:bookmarkEnd w:id="6031"/>
      <w:bookmarkEnd w:id="6032"/>
      <w:bookmarkEnd w:id="6033"/>
      <w:bookmarkEnd w:id="6034"/>
      <w:bookmarkEnd w:id="6035"/>
      <w:bookmarkEnd w:id="6036"/>
      <w:bookmarkEnd w:id="6037"/>
    </w:p>
    <w:p>
      <w:pPr>
        <w:keepNext/>
        <w:keepLines/>
        <w:spacing w:before="120" w:beforeLines="50" w:after="120" w:afterLines="50" w:line="360" w:lineRule="auto"/>
        <w:ind w:firstLine="240" w:firstLineChars="100"/>
        <w:outlineLvl w:val="3"/>
        <w:rPr>
          <w:rFonts w:hint="eastAsia" w:ascii="宋体" w:hAnsi="宋体" w:cs="宋体"/>
          <w:b/>
          <w:bCs/>
          <w:color w:val="auto"/>
          <w:sz w:val="24"/>
          <w:szCs w:val="24"/>
          <w:highlight w:val="none"/>
        </w:rPr>
      </w:pPr>
      <w:bookmarkStart w:id="6038" w:name="_Toc517532257"/>
      <w:bookmarkStart w:id="6039" w:name="_Toc32085"/>
      <w:bookmarkStart w:id="6040" w:name="_Toc31192"/>
      <w:bookmarkStart w:id="6041" w:name="_Toc23244"/>
      <w:bookmarkStart w:id="6042" w:name="_Toc27381"/>
      <w:bookmarkStart w:id="6043" w:name="_Toc4420"/>
      <w:bookmarkStart w:id="6044" w:name="_Toc4746"/>
      <w:bookmarkStart w:id="6045" w:name="_Toc9276"/>
      <w:bookmarkStart w:id="6046" w:name="_Toc7111"/>
      <w:bookmarkStart w:id="6047" w:name="_Toc6016"/>
      <w:bookmarkStart w:id="6048" w:name="_Toc517530981"/>
      <w:bookmarkStart w:id="6049" w:name="_Toc10483"/>
      <w:bookmarkStart w:id="6050" w:name="_Toc26039"/>
      <w:bookmarkStart w:id="6051" w:name="_Toc12573"/>
      <w:bookmarkStart w:id="6052" w:name="_Toc8803"/>
      <w:bookmarkStart w:id="6053" w:name="_Toc11679"/>
      <w:bookmarkStart w:id="6054" w:name="_Toc4967"/>
      <w:bookmarkStart w:id="6055" w:name="_Toc4725"/>
      <w:bookmarkStart w:id="6056" w:name="_Toc13095"/>
      <w:bookmarkStart w:id="6057" w:name="_Toc14835"/>
      <w:r>
        <w:rPr>
          <w:rFonts w:hint="eastAsia" w:ascii="宋体" w:hAnsi="宋体" w:cs="宋体"/>
          <w:b/>
          <w:bCs/>
          <w:color w:val="auto"/>
          <w:sz w:val="24"/>
          <w:szCs w:val="24"/>
          <w:highlight w:val="none"/>
        </w:rPr>
        <w:t>3.2.1项目经理</w:t>
      </w:r>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身份证号：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建造师执业资格等级：</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建造师注册证书号：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建造师执业印章号：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安全生产考核合格证书号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电子邮箱：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本项目中项目经理不得同时担任其他项目的项目经理。</w:t>
      </w:r>
    </w:p>
    <w:p>
      <w:pPr>
        <w:keepNext/>
        <w:keepLines/>
        <w:spacing w:before="120" w:beforeLines="50" w:after="120" w:afterLines="50" w:line="360" w:lineRule="auto"/>
        <w:ind w:firstLine="480" w:firstLineChars="200"/>
        <w:outlineLvl w:val="3"/>
        <w:rPr>
          <w:rFonts w:hint="eastAsia" w:ascii="宋体" w:hAnsi="宋体" w:cs="宋体"/>
          <w:b/>
          <w:bCs/>
          <w:color w:val="auto"/>
          <w:sz w:val="24"/>
          <w:szCs w:val="24"/>
          <w:highlight w:val="none"/>
        </w:rPr>
      </w:pPr>
      <w:bookmarkStart w:id="6058" w:name="_Toc5348"/>
      <w:bookmarkStart w:id="6059" w:name="_Toc25927"/>
      <w:bookmarkStart w:id="6060" w:name="_Toc10170"/>
      <w:bookmarkStart w:id="6061" w:name="_Toc17986"/>
      <w:bookmarkStart w:id="6062" w:name="_Toc30891"/>
      <w:bookmarkStart w:id="6063" w:name="_Toc27133"/>
      <w:bookmarkStart w:id="6064" w:name="_Toc25960"/>
      <w:bookmarkStart w:id="6065" w:name="_Toc16107"/>
      <w:bookmarkStart w:id="6066" w:name="_Toc31844"/>
      <w:bookmarkStart w:id="6067" w:name="_Toc25717"/>
      <w:bookmarkStart w:id="6068" w:name="_Toc20713"/>
      <w:bookmarkStart w:id="6069" w:name="_Toc517530982"/>
      <w:bookmarkStart w:id="6070" w:name="_Toc24431"/>
      <w:bookmarkStart w:id="6071" w:name="_Toc126"/>
      <w:bookmarkStart w:id="6072" w:name="_Toc27323"/>
      <w:bookmarkStart w:id="6073" w:name="_Toc517532258"/>
      <w:bookmarkStart w:id="6074" w:name="_Toc18666"/>
      <w:bookmarkStart w:id="6075" w:name="_Toc28785"/>
      <w:bookmarkStart w:id="6076" w:name="_Toc118"/>
      <w:bookmarkStart w:id="6077" w:name="_Toc13995"/>
      <w:r>
        <w:rPr>
          <w:rFonts w:hint="eastAsia" w:ascii="宋体" w:hAnsi="宋体" w:cs="宋体"/>
          <w:b/>
          <w:bCs/>
          <w:color w:val="auto"/>
          <w:sz w:val="24"/>
          <w:szCs w:val="24"/>
          <w:highlight w:val="none"/>
        </w:rPr>
        <w:t>3.2.3项目经理的更换</w:t>
      </w:r>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p>
    <w:p>
      <w:pPr>
        <w:spacing w:line="360" w:lineRule="auto"/>
        <w:ind w:firstLine="420" w:firstLineChars="200"/>
        <w:rPr>
          <w:rFonts w:ascii="宋体" w:hAnsi="宋体"/>
          <w:bCs/>
          <w:color w:val="auto"/>
          <w:highlight w:val="none"/>
        </w:rPr>
      </w:pPr>
      <w:r>
        <w:rPr>
          <w:rFonts w:hint="eastAsia" w:ascii="宋体" w:hAnsi="宋体"/>
          <w:bCs/>
          <w:color w:val="auto"/>
          <w:highlight w:val="none"/>
        </w:rPr>
        <w:t>项目经理、项目技术负责人、安全主任每月累计打卡不应低于2</w:t>
      </w:r>
      <w:r>
        <w:rPr>
          <w:rFonts w:ascii="宋体" w:hAnsi="宋体"/>
          <w:bCs/>
          <w:color w:val="auto"/>
          <w:highlight w:val="none"/>
        </w:rPr>
        <w:t>2</w:t>
      </w:r>
      <w:r>
        <w:rPr>
          <w:rFonts w:hint="eastAsia" w:ascii="宋体" w:hAnsi="宋体"/>
          <w:bCs/>
          <w:color w:val="auto"/>
          <w:highlight w:val="none"/>
        </w:rPr>
        <w:t>日历天（因个人原因符合国家规定的正常请假除外），详见专用条件附件《发包人项目参建单位人员实名制管理暂行办法》。</w:t>
      </w:r>
    </w:p>
    <w:p>
      <w:pPr>
        <w:spacing w:line="360" w:lineRule="auto"/>
        <w:ind w:firstLine="420" w:firstLineChars="200"/>
        <w:rPr>
          <w:rFonts w:ascii="宋体" w:hAnsi="宋体"/>
          <w:color w:val="auto"/>
          <w:szCs w:val="20"/>
          <w:highlight w:val="none"/>
        </w:rPr>
      </w:pPr>
      <w:r>
        <w:rPr>
          <w:rFonts w:hint="eastAsia" w:ascii="宋体" w:hAnsi="宋体"/>
          <w:bCs/>
          <w:color w:val="auto"/>
          <w:highlight w:val="none"/>
        </w:rPr>
        <w:t>在工程施工期间，需暂时离开工地现场</w:t>
      </w:r>
      <w:r>
        <w:rPr>
          <w:rFonts w:hint="eastAsia" w:ascii="宋体" w:hAnsi="宋体"/>
          <w:bCs/>
          <w:color w:val="auto"/>
          <w:highlight w:val="none"/>
          <w:u w:val="single"/>
        </w:rPr>
        <w:t>不超过</w:t>
      </w:r>
      <w:r>
        <w:rPr>
          <w:rFonts w:ascii="宋体" w:hAnsi="宋体"/>
          <w:bCs/>
          <w:color w:val="auto"/>
          <w:highlight w:val="none"/>
          <w:u w:val="single"/>
        </w:rPr>
        <w:t>2</w:t>
      </w:r>
      <w:r>
        <w:rPr>
          <w:rFonts w:hint="eastAsia" w:ascii="宋体" w:hAnsi="宋体"/>
          <w:bCs/>
          <w:color w:val="auto"/>
          <w:highlight w:val="none"/>
          <w:u w:val="single"/>
        </w:rPr>
        <w:t>天</w:t>
      </w:r>
      <w:r>
        <w:rPr>
          <w:rFonts w:hint="eastAsia" w:ascii="宋体" w:hAnsi="宋体"/>
          <w:bCs/>
          <w:color w:val="auto"/>
          <w:highlight w:val="none"/>
        </w:rPr>
        <w:t>，</w:t>
      </w:r>
      <w:r>
        <w:rPr>
          <w:rFonts w:hint="eastAsia" w:ascii="宋体" w:hAnsi="宋体"/>
          <w:color w:val="auto"/>
          <w:szCs w:val="20"/>
          <w:highlight w:val="none"/>
        </w:rPr>
        <w:t>应事先征得总监理工程师的同意，并指定适合的项目经理、项目技术负责人、安全主任代行其职责，书面通知总监理工程师；若暂时离开现场</w:t>
      </w:r>
      <w:r>
        <w:rPr>
          <w:rFonts w:hint="eastAsia" w:ascii="宋体" w:hAnsi="宋体"/>
          <w:color w:val="auto"/>
          <w:szCs w:val="20"/>
          <w:highlight w:val="none"/>
          <w:u w:val="single"/>
        </w:rPr>
        <w:t xml:space="preserve"> 3 </w:t>
      </w:r>
      <w:r>
        <w:rPr>
          <w:rFonts w:hint="eastAsia" w:ascii="宋体" w:hAnsi="宋体"/>
          <w:color w:val="auto"/>
          <w:szCs w:val="20"/>
          <w:highlight w:val="none"/>
        </w:rPr>
        <w:t>天及以上，则除应事先征得总监理工程师的同意外，还应征得项目主任的同意，并指定适合的项目经理代表、项目技术负责人、安全主任代行其职责，书面通知总监理工程师。</w:t>
      </w:r>
    </w:p>
    <w:p>
      <w:pPr>
        <w:adjustRightInd w:val="0"/>
        <w:snapToGrid w:val="0"/>
        <w:spacing w:line="360" w:lineRule="auto"/>
        <w:ind w:firstLine="420" w:firstLineChars="200"/>
        <w:jc w:val="left"/>
        <w:rPr>
          <w:rFonts w:hint="eastAsia" w:ascii="宋体" w:hAnsi="宋体"/>
          <w:color w:val="auto"/>
          <w:szCs w:val="20"/>
          <w:highlight w:val="none"/>
        </w:rPr>
      </w:pPr>
      <w:r>
        <w:rPr>
          <w:rFonts w:hint="eastAsia" w:ascii="宋体" w:hAnsi="宋体"/>
          <w:color w:val="auto"/>
          <w:szCs w:val="20"/>
          <w:highlight w:val="none"/>
        </w:rPr>
        <w:t>项目经理未经同意离开工地现场时，对承包人处下述额度的违约金：每天</w:t>
      </w:r>
      <w:r>
        <w:rPr>
          <w:rFonts w:hint="eastAsia" w:ascii="宋体" w:hAnsi="宋体"/>
          <w:color w:val="auto"/>
          <w:szCs w:val="20"/>
          <w:highlight w:val="none"/>
          <w:u w:val="single"/>
        </w:rPr>
        <w:t xml:space="preserve"> 1 </w:t>
      </w:r>
      <w:r>
        <w:rPr>
          <w:rFonts w:hint="eastAsia" w:ascii="宋体" w:hAnsi="宋体"/>
          <w:color w:val="auto"/>
          <w:szCs w:val="20"/>
          <w:highlight w:val="none"/>
        </w:rPr>
        <w:t>万元的额度处违约金。当项目经理未经同意离开工地每年（起始月份为施工许可证颁发之月）累计达到</w:t>
      </w:r>
      <w:r>
        <w:rPr>
          <w:rFonts w:hint="eastAsia" w:ascii="宋体" w:hAnsi="宋体"/>
          <w:color w:val="auto"/>
          <w:szCs w:val="20"/>
          <w:highlight w:val="none"/>
          <w:u w:val="single"/>
        </w:rPr>
        <w:t xml:space="preserve"> 20 </w:t>
      </w:r>
      <w:r>
        <w:rPr>
          <w:rFonts w:hint="eastAsia" w:ascii="宋体" w:hAnsi="宋体"/>
          <w:color w:val="auto"/>
          <w:szCs w:val="20"/>
          <w:highlight w:val="none"/>
        </w:rPr>
        <w:t>天的，视为承包人重大违约，发包人可予以记录不良行为，并提请行政主管部门对承包人是否存在转包挂靠情况进行调查。</w:t>
      </w:r>
    </w:p>
    <w:p>
      <w:pPr>
        <w:spacing w:line="360" w:lineRule="auto"/>
        <w:ind w:firstLine="560" w:firstLineChars="200"/>
        <w:jc w:val="left"/>
        <w:rPr>
          <w:rFonts w:hint="eastAsia" w:ascii="宋体" w:hAnsi="宋体"/>
          <w:color w:val="auto"/>
          <w:szCs w:val="20"/>
          <w:highlight w:val="none"/>
        </w:rPr>
      </w:pPr>
      <w:r>
        <w:rPr>
          <w:rFonts w:ascii="Segoe UI Symbol" w:hAnsi="Segoe UI Symbol" w:cs="Segoe UI Symbol"/>
          <w:color w:val="auto"/>
          <w:sz w:val="28"/>
          <w:szCs w:val="28"/>
          <w:highlight w:val="none"/>
        </w:rPr>
        <w:sym w:font="Times New Roman" w:char="0000"/>
      </w:r>
      <w:r>
        <w:rPr>
          <w:rFonts w:ascii="Segoe UI Symbol" w:hAnsi="Segoe UI Symbol" w:cs="Segoe UI Symbol"/>
          <w:color w:val="auto"/>
          <w:sz w:val="28"/>
          <w:szCs w:val="28"/>
          <w:highlight w:val="none"/>
        </w:rPr>
        <w:sym w:font="Wingdings" w:char="F0A8"/>
      </w:r>
      <w:r>
        <w:rPr>
          <w:rFonts w:hint="eastAsia" w:ascii="宋体" w:hAnsi="宋体" w:cs="宋体"/>
          <w:b/>
          <w:bCs/>
          <w:color w:val="auto"/>
          <w:sz w:val="24"/>
          <w:szCs w:val="24"/>
          <w:highlight w:val="none"/>
        </w:rPr>
        <w:t>(1)</w:t>
      </w:r>
      <w:r>
        <w:rPr>
          <w:rFonts w:hint="eastAsia" w:ascii="宋体" w:hAnsi="宋体" w:cs="宋体"/>
          <w:b/>
          <w:bCs/>
          <w:color w:val="auto"/>
          <w:szCs w:val="21"/>
          <w:highlight w:val="none"/>
        </w:rPr>
        <w:t>本项目中项目经理允许更换。</w:t>
      </w:r>
    </w:p>
    <w:p>
      <w:pPr>
        <w:adjustRightInd w:val="0"/>
        <w:snapToGrid w:val="0"/>
        <w:spacing w:line="360" w:lineRule="auto"/>
        <w:ind w:firstLine="420" w:firstLineChars="200"/>
        <w:jc w:val="left"/>
        <w:rPr>
          <w:rFonts w:hint="eastAsia" w:ascii="宋体" w:hAnsi="宋体"/>
          <w:i/>
          <w:iCs/>
          <w:color w:val="auto"/>
          <w:szCs w:val="20"/>
          <w:highlight w:val="none"/>
        </w:rPr>
      </w:pPr>
      <w:r>
        <w:rPr>
          <w:rFonts w:hint="eastAsia" w:ascii="宋体" w:hAnsi="宋体"/>
          <w:color w:val="auto"/>
          <w:szCs w:val="20"/>
          <w:highlight w:val="none"/>
        </w:rPr>
        <w:t>承包人更换项目经理、项目技术负责人、安全主任应取得发包人的书面同意。</w:t>
      </w:r>
    </w:p>
    <w:p>
      <w:pPr>
        <w:adjustRightInd w:val="0"/>
        <w:snapToGrid w:val="0"/>
        <w:spacing w:before="360" w:beforeLines="150" w:line="360" w:lineRule="auto"/>
        <w:ind w:firstLine="560" w:firstLineChars="200"/>
        <w:jc w:val="left"/>
        <w:rPr>
          <w:rFonts w:hint="eastAsia" w:ascii="宋体" w:hAnsi="宋体" w:cs="宋体"/>
          <w:color w:val="auto"/>
          <w:szCs w:val="21"/>
          <w:highlight w:val="none"/>
        </w:rPr>
      </w:pPr>
      <w:r>
        <w:rPr>
          <w:rFonts w:ascii="Segoe UI Symbol" w:hAnsi="Segoe UI Symbol" w:cs="Segoe UI Symbol"/>
          <w:color w:val="auto"/>
          <w:sz w:val="28"/>
          <w:szCs w:val="28"/>
          <w:highlight w:val="none"/>
        </w:rPr>
        <w:sym w:font="Wingdings" w:char="F0A8"/>
      </w:r>
      <w:r>
        <w:rPr>
          <w:rFonts w:hint="eastAsia" w:ascii="宋体" w:hAnsi="宋体" w:cs="宋体"/>
          <w:b/>
          <w:bCs/>
          <w:color w:val="auto"/>
          <w:sz w:val="24"/>
          <w:szCs w:val="24"/>
          <w:highlight w:val="none"/>
        </w:rPr>
        <w:t xml:space="preserve"> (2)</w:t>
      </w:r>
      <w:r>
        <w:rPr>
          <w:rFonts w:hint="eastAsia" w:ascii="宋体" w:hAnsi="宋体" w:cs="宋体"/>
          <w:b/>
          <w:bCs/>
          <w:color w:val="auto"/>
          <w:szCs w:val="21"/>
          <w:highlight w:val="none"/>
        </w:rPr>
        <w:t>本项目中项目经理不允许更换，但下列情形除外：</w:t>
      </w:r>
    </w:p>
    <w:p>
      <w:pPr>
        <w:adjustRightInd w:val="0"/>
        <w:snapToGrid w:val="0"/>
        <w:spacing w:line="360" w:lineRule="auto"/>
        <w:ind w:firstLine="840" w:firstLineChars="400"/>
        <w:jc w:val="left"/>
        <w:rPr>
          <w:rFonts w:hint="eastAsia" w:ascii="宋体" w:hAnsi="宋体"/>
          <w:color w:val="auto"/>
          <w:szCs w:val="20"/>
          <w:highlight w:val="none"/>
        </w:rPr>
      </w:pPr>
      <w:r>
        <w:rPr>
          <w:rFonts w:hint="eastAsia" w:ascii="宋体" w:hAnsi="宋体"/>
          <w:color w:val="auto"/>
          <w:szCs w:val="20"/>
          <w:highlight w:val="none"/>
        </w:rPr>
        <w:t>（a）因重病或者重伤（持有县、区以上医院证明）导致2个月以上不能履行职责的。</w:t>
      </w:r>
    </w:p>
    <w:p>
      <w:pPr>
        <w:adjustRightInd w:val="0"/>
        <w:snapToGrid w:val="0"/>
        <w:spacing w:line="360" w:lineRule="auto"/>
        <w:ind w:firstLine="420" w:firstLineChars="200"/>
        <w:jc w:val="left"/>
        <w:rPr>
          <w:rFonts w:hint="eastAsia" w:ascii="宋体" w:hAnsi="宋体"/>
          <w:color w:val="auto"/>
          <w:szCs w:val="20"/>
          <w:highlight w:val="none"/>
        </w:rPr>
      </w:pPr>
      <w:r>
        <w:rPr>
          <w:rFonts w:hint="eastAsia" w:ascii="宋体" w:hAnsi="宋体"/>
          <w:color w:val="auto"/>
          <w:szCs w:val="20"/>
          <w:highlight w:val="none"/>
        </w:rPr>
        <w:t>　　（b）主动辞职或者调离原任职企业的。</w:t>
      </w:r>
    </w:p>
    <w:p>
      <w:pPr>
        <w:adjustRightInd w:val="0"/>
        <w:snapToGrid w:val="0"/>
        <w:spacing w:line="360" w:lineRule="auto"/>
        <w:ind w:firstLine="840" w:firstLineChars="400"/>
        <w:jc w:val="left"/>
        <w:rPr>
          <w:rFonts w:hint="eastAsia" w:ascii="宋体" w:hAnsi="宋体"/>
          <w:color w:val="auto"/>
          <w:szCs w:val="20"/>
          <w:highlight w:val="none"/>
        </w:rPr>
      </w:pPr>
      <w:r>
        <w:rPr>
          <w:rFonts w:hint="eastAsia" w:ascii="宋体" w:hAnsi="宋体"/>
          <w:color w:val="auto"/>
          <w:szCs w:val="20"/>
          <w:highlight w:val="none"/>
        </w:rPr>
        <w:t>（c）因管理原因发生重大工程质量、生产安全事故，所在单位认为其不称职需要更换的。</w:t>
      </w:r>
    </w:p>
    <w:p>
      <w:pPr>
        <w:adjustRightInd w:val="0"/>
        <w:snapToGrid w:val="0"/>
        <w:spacing w:line="360" w:lineRule="auto"/>
        <w:ind w:firstLine="420" w:firstLineChars="200"/>
        <w:jc w:val="left"/>
        <w:rPr>
          <w:rFonts w:hint="eastAsia" w:ascii="宋体" w:hAnsi="宋体"/>
          <w:color w:val="auto"/>
          <w:szCs w:val="20"/>
          <w:highlight w:val="none"/>
        </w:rPr>
      </w:pPr>
      <w:r>
        <w:rPr>
          <w:rFonts w:hint="eastAsia" w:ascii="宋体" w:hAnsi="宋体"/>
          <w:color w:val="auto"/>
          <w:szCs w:val="20"/>
          <w:highlight w:val="none"/>
        </w:rPr>
        <w:t>　　（d）无能力履行合同的责任和义务，造成严重后果，建设单位要求更换的。</w:t>
      </w:r>
    </w:p>
    <w:p>
      <w:pPr>
        <w:adjustRightInd w:val="0"/>
        <w:snapToGrid w:val="0"/>
        <w:spacing w:line="360" w:lineRule="auto"/>
        <w:ind w:firstLine="420" w:firstLineChars="200"/>
        <w:jc w:val="left"/>
        <w:rPr>
          <w:rFonts w:hint="eastAsia" w:ascii="宋体" w:hAnsi="宋体"/>
          <w:color w:val="auto"/>
          <w:szCs w:val="20"/>
          <w:highlight w:val="none"/>
        </w:rPr>
      </w:pPr>
      <w:r>
        <w:rPr>
          <w:rFonts w:hint="eastAsia" w:ascii="宋体" w:hAnsi="宋体"/>
          <w:color w:val="auto"/>
          <w:szCs w:val="20"/>
          <w:highlight w:val="none"/>
        </w:rPr>
        <w:t>　　（e）因违法被责令停止执业的。</w:t>
      </w:r>
    </w:p>
    <w:p>
      <w:pPr>
        <w:adjustRightInd w:val="0"/>
        <w:snapToGrid w:val="0"/>
        <w:spacing w:line="360" w:lineRule="auto"/>
        <w:ind w:firstLine="420" w:firstLineChars="200"/>
        <w:jc w:val="left"/>
        <w:rPr>
          <w:rFonts w:hint="eastAsia" w:ascii="宋体" w:hAnsi="宋体"/>
          <w:color w:val="auto"/>
          <w:szCs w:val="20"/>
          <w:highlight w:val="none"/>
        </w:rPr>
      </w:pPr>
      <w:r>
        <w:rPr>
          <w:rFonts w:hint="eastAsia" w:ascii="宋体" w:hAnsi="宋体"/>
          <w:color w:val="auto"/>
          <w:szCs w:val="20"/>
          <w:highlight w:val="none"/>
        </w:rPr>
        <w:t>　　（f）因涉嫌犯罪被羁押或者被判处刑罚的。</w:t>
      </w:r>
    </w:p>
    <w:p>
      <w:pPr>
        <w:adjustRightInd w:val="0"/>
        <w:snapToGrid w:val="0"/>
        <w:spacing w:line="360" w:lineRule="auto"/>
        <w:ind w:firstLine="420" w:firstLineChars="200"/>
        <w:jc w:val="left"/>
        <w:rPr>
          <w:rFonts w:hint="eastAsia" w:ascii="宋体" w:hAnsi="宋体"/>
          <w:color w:val="auto"/>
          <w:szCs w:val="20"/>
          <w:highlight w:val="none"/>
        </w:rPr>
      </w:pPr>
      <w:r>
        <w:rPr>
          <w:rFonts w:hint="eastAsia" w:ascii="宋体" w:hAnsi="宋体"/>
          <w:color w:val="auto"/>
          <w:szCs w:val="20"/>
          <w:highlight w:val="none"/>
        </w:rPr>
        <w:t>　　（g）同时参与发包人多个项目投标且在两个以上发包人项目中标的。</w:t>
      </w:r>
    </w:p>
    <w:p>
      <w:pPr>
        <w:adjustRightInd w:val="0"/>
        <w:snapToGrid w:val="0"/>
        <w:spacing w:line="360" w:lineRule="auto"/>
        <w:ind w:firstLine="420" w:firstLineChars="200"/>
        <w:jc w:val="left"/>
        <w:rPr>
          <w:rFonts w:ascii="宋体" w:hAnsi="宋体"/>
          <w:color w:val="auto"/>
          <w:szCs w:val="20"/>
          <w:highlight w:val="none"/>
        </w:rPr>
      </w:pPr>
      <w:r>
        <w:rPr>
          <w:rFonts w:hint="eastAsia" w:ascii="宋体" w:hAnsi="宋体"/>
          <w:color w:val="auto"/>
          <w:szCs w:val="20"/>
          <w:highlight w:val="none"/>
        </w:rPr>
        <w:t>　　（h）死亡的。</w:t>
      </w:r>
    </w:p>
    <w:p>
      <w:pPr>
        <w:adjustRightInd w:val="0"/>
        <w:snapToGrid w:val="0"/>
        <w:spacing w:line="360" w:lineRule="auto"/>
        <w:ind w:firstLine="420" w:firstLineChars="200"/>
        <w:jc w:val="left"/>
        <w:rPr>
          <w:rFonts w:hint="eastAsia" w:ascii="宋体" w:hAnsi="宋体"/>
          <w:color w:val="auto"/>
          <w:szCs w:val="20"/>
          <w:highlight w:val="none"/>
        </w:rPr>
      </w:pPr>
    </w:p>
    <w:p>
      <w:pPr>
        <w:adjustRightInd w:val="0"/>
        <w:snapToGrid w:val="0"/>
        <w:spacing w:line="360" w:lineRule="auto"/>
        <w:ind w:firstLine="420" w:firstLineChars="200"/>
        <w:jc w:val="left"/>
        <w:rPr>
          <w:rFonts w:ascii="宋体" w:hAnsi="宋体"/>
          <w:color w:val="auto"/>
          <w:szCs w:val="20"/>
          <w:highlight w:val="none"/>
        </w:rPr>
      </w:pPr>
      <w:r>
        <w:rPr>
          <w:rFonts w:hint="eastAsia" w:ascii="宋体" w:hAnsi="宋体"/>
          <w:color w:val="auto"/>
          <w:szCs w:val="20"/>
          <w:highlight w:val="none"/>
        </w:rPr>
        <w:t>承包人更换项目经理、项目技术负责人应取得发包人的书面同意。更换后的项目经理的履历、综合素质、能力等须不低于原项目经理水平，且更换项目经理（包括发包人要求更换的），每人每次处合同价</w:t>
      </w:r>
      <w:r>
        <w:rPr>
          <w:rFonts w:ascii="宋体" w:hAnsi="宋体"/>
          <w:color w:val="auto"/>
          <w:szCs w:val="20"/>
          <w:highlight w:val="none"/>
          <w:u w:val="single"/>
        </w:rPr>
        <w:t>0.2%</w:t>
      </w:r>
      <w:r>
        <w:rPr>
          <w:rFonts w:hint="eastAsia" w:ascii="宋体" w:hAnsi="宋体"/>
          <w:color w:val="auto"/>
          <w:szCs w:val="20"/>
          <w:highlight w:val="none"/>
          <w:u w:val="single"/>
        </w:rPr>
        <w:t>且最低5</w:t>
      </w:r>
      <w:r>
        <w:rPr>
          <w:rFonts w:ascii="宋体" w:hAnsi="宋体"/>
          <w:color w:val="auto"/>
          <w:szCs w:val="20"/>
          <w:highlight w:val="none"/>
          <w:u w:val="single"/>
        </w:rPr>
        <w:t>0</w:t>
      </w:r>
      <w:r>
        <w:rPr>
          <w:rFonts w:hint="eastAsia" w:ascii="宋体" w:hAnsi="宋体"/>
          <w:color w:val="auto"/>
          <w:szCs w:val="20"/>
          <w:highlight w:val="none"/>
          <w:u w:val="single"/>
        </w:rPr>
        <w:t>万</w:t>
      </w:r>
      <w:r>
        <w:rPr>
          <w:rFonts w:hint="eastAsia" w:ascii="宋体" w:hAnsi="宋体"/>
          <w:color w:val="auto"/>
          <w:szCs w:val="20"/>
          <w:highlight w:val="none"/>
        </w:rPr>
        <w:t>最高</w:t>
      </w:r>
      <w:r>
        <w:rPr>
          <w:rFonts w:ascii="宋体" w:hAnsi="宋体"/>
          <w:color w:val="auto"/>
          <w:szCs w:val="20"/>
          <w:highlight w:val="none"/>
          <w:u w:val="single"/>
        </w:rPr>
        <w:t>100</w:t>
      </w:r>
      <w:r>
        <w:rPr>
          <w:rFonts w:hint="eastAsia" w:ascii="宋体" w:hAnsi="宋体"/>
          <w:color w:val="auto"/>
          <w:szCs w:val="20"/>
          <w:highlight w:val="none"/>
        </w:rPr>
        <w:t>万元的违约金,上述情形</w:t>
      </w:r>
      <w:r>
        <w:rPr>
          <w:rFonts w:ascii="宋体" w:hAnsi="宋体"/>
          <w:color w:val="auto"/>
          <w:szCs w:val="20"/>
          <w:highlight w:val="none"/>
        </w:rPr>
        <w:t>(a)</w:t>
      </w:r>
      <w:r>
        <w:rPr>
          <w:rFonts w:hint="eastAsia" w:ascii="宋体" w:hAnsi="宋体"/>
          <w:color w:val="auto"/>
          <w:szCs w:val="20"/>
          <w:highlight w:val="none"/>
        </w:rPr>
        <w:t>和</w:t>
      </w:r>
      <w:r>
        <w:rPr>
          <w:rFonts w:ascii="宋体" w:hAnsi="宋体"/>
          <w:color w:val="auto"/>
          <w:szCs w:val="20"/>
          <w:highlight w:val="none"/>
        </w:rPr>
        <w:t>(h)</w:t>
      </w:r>
      <w:r>
        <w:rPr>
          <w:rFonts w:hint="eastAsia" w:ascii="宋体" w:hAnsi="宋体"/>
          <w:color w:val="auto"/>
          <w:szCs w:val="20"/>
          <w:highlight w:val="none"/>
        </w:rPr>
        <w:t>不处以违约金，其余情形均处以违约金。</w:t>
      </w:r>
    </w:p>
    <w:p>
      <w:pPr>
        <w:adjustRightInd w:val="0"/>
        <w:snapToGrid w:val="0"/>
        <w:spacing w:line="360" w:lineRule="auto"/>
        <w:ind w:firstLine="420" w:firstLineChars="200"/>
        <w:jc w:val="left"/>
        <w:rPr>
          <w:rFonts w:hint="eastAsia" w:ascii="宋体" w:hAnsi="宋体"/>
          <w:color w:val="auto"/>
          <w:szCs w:val="20"/>
          <w:highlight w:val="none"/>
        </w:rPr>
      </w:pPr>
      <w:r>
        <w:rPr>
          <w:rFonts w:hint="eastAsia" w:ascii="宋体" w:hAnsi="宋体"/>
          <w:color w:val="auto"/>
          <w:szCs w:val="20"/>
          <w:highlight w:val="none"/>
        </w:rPr>
        <w:t>若经发包人发现承包人提供的要求更换项目经理的材料弄虚作假，按上述标准双倍</w:t>
      </w:r>
      <w:r>
        <w:rPr>
          <w:rFonts w:hint="eastAsia" w:ascii="宋体" w:hAnsi="宋体"/>
          <w:color w:val="auto"/>
          <w:szCs w:val="20"/>
          <w:highlight w:val="none"/>
          <w:lang w:eastAsia="zh-CN"/>
        </w:rPr>
        <w:t>违约金</w:t>
      </w:r>
      <w:r>
        <w:rPr>
          <w:rFonts w:hint="eastAsia" w:ascii="宋体" w:hAnsi="宋体"/>
          <w:color w:val="auto"/>
          <w:szCs w:val="20"/>
          <w:highlight w:val="none"/>
        </w:rPr>
        <w:t>。</w:t>
      </w:r>
    </w:p>
    <w:p>
      <w:pPr>
        <w:keepNext/>
        <w:keepLines/>
        <w:spacing w:before="120" w:beforeLines="50" w:after="120" w:afterLines="50" w:line="360" w:lineRule="auto"/>
        <w:ind w:left="562"/>
        <w:outlineLvl w:val="2"/>
        <w:rPr>
          <w:rFonts w:hint="eastAsia" w:ascii="宋体" w:hAnsi="宋体" w:cs="宋体"/>
          <w:b/>
          <w:bCs/>
          <w:color w:val="auto"/>
          <w:sz w:val="28"/>
          <w:szCs w:val="28"/>
          <w:highlight w:val="none"/>
        </w:rPr>
      </w:pPr>
      <w:bookmarkStart w:id="6078" w:name="_Toc28844"/>
      <w:bookmarkStart w:id="6079" w:name="_Toc517528780"/>
      <w:bookmarkStart w:id="6080" w:name="_Toc20215"/>
      <w:bookmarkStart w:id="6081" w:name="_Toc517530983"/>
      <w:bookmarkStart w:id="6082" w:name="_Toc2069"/>
      <w:bookmarkStart w:id="6083" w:name="_Toc28463"/>
      <w:bookmarkStart w:id="6084" w:name="_Toc5715"/>
      <w:bookmarkStart w:id="6085" w:name="_Toc517532259"/>
      <w:bookmarkStart w:id="6086" w:name="_Toc2001"/>
      <w:bookmarkStart w:id="6087" w:name="_Toc6036"/>
      <w:bookmarkStart w:id="6088" w:name="_Toc69114068"/>
      <w:bookmarkStart w:id="6089" w:name="_Toc24547"/>
      <w:bookmarkStart w:id="6090" w:name="_Toc24720"/>
      <w:r>
        <w:rPr>
          <w:rFonts w:hint="eastAsia" w:ascii="宋体" w:hAnsi="宋体" w:cs="宋体"/>
          <w:b/>
          <w:bCs/>
          <w:color w:val="auto"/>
          <w:sz w:val="28"/>
          <w:szCs w:val="28"/>
          <w:highlight w:val="none"/>
        </w:rPr>
        <w:t>3.3 承包人人员</w:t>
      </w:r>
      <w:bookmarkEnd w:id="6078"/>
      <w:bookmarkEnd w:id="6079"/>
      <w:bookmarkEnd w:id="6080"/>
      <w:bookmarkEnd w:id="6081"/>
      <w:bookmarkEnd w:id="6082"/>
      <w:bookmarkEnd w:id="6083"/>
      <w:bookmarkEnd w:id="6084"/>
      <w:bookmarkEnd w:id="6085"/>
      <w:bookmarkEnd w:id="6086"/>
      <w:bookmarkEnd w:id="6087"/>
      <w:bookmarkEnd w:id="6088"/>
      <w:bookmarkEnd w:id="6089"/>
      <w:bookmarkEnd w:id="6090"/>
    </w:p>
    <w:p>
      <w:pPr>
        <w:keepNext/>
        <w:keepLines/>
        <w:spacing w:before="120" w:beforeLines="50" w:after="120" w:afterLines="50" w:line="360" w:lineRule="auto"/>
        <w:ind w:left="728"/>
        <w:outlineLvl w:val="3"/>
        <w:rPr>
          <w:rFonts w:ascii="宋体" w:hAnsi="宋体" w:cs="宋体"/>
          <w:b/>
          <w:bCs/>
          <w:color w:val="auto"/>
          <w:sz w:val="24"/>
          <w:szCs w:val="24"/>
          <w:highlight w:val="none"/>
        </w:rPr>
      </w:pPr>
      <w:bookmarkStart w:id="6091" w:name="_Toc517532260"/>
      <w:bookmarkStart w:id="6092" w:name="_Toc10323"/>
      <w:bookmarkStart w:id="6093" w:name="_Toc24843"/>
      <w:bookmarkStart w:id="6094" w:name="_Toc5462"/>
      <w:bookmarkStart w:id="6095" w:name="_Toc16709"/>
      <w:bookmarkStart w:id="6096" w:name="_Toc15601"/>
      <w:bookmarkStart w:id="6097" w:name="_Toc31484"/>
      <w:bookmarkStart w:id="6098" w:name="_Toc10405"/>
      <w:bookmarkStart w:id="6099" w:name="_Toc517530984"/>
      <w:bookmarkStart w:id="6100" w:name="_Toc31442"/>
      <w:bookmarkStart w:id="6101" w:name="_Toc14143"/>
      <w:bookmarkStart w:id="6102" w:name="_Toc15259"/>
      <w:bookmarkStart w:id="6103" w:name="_Toc12571"/>
      <w:bookmarkStart w:id="6104" w:name="_Toc6112"/>
      <w:bookmarkStart w:id="6105" w:name="_Toc16246"/>
      <w:bookmarkStart w:id="6106" w:name="_Toc4125"/>
      <w:bookmarkStart w:id="6107" w:name="_Toc10664"/>
      <w:bookmarkStart w:id="6108" w:name="_Toc1470"/>
      <w:bookmarkStart w:id="6109" w:name="_Toc19603"/>
      <w:r>
        <w:rPr>
          <w:rFonts w:hint="eastAsia" w:ascii="宋体" w:hAnsi="宋体" w:cs="宋体"/>
          <w:b/>
          <w:bCs/>
          <w:color w:val="auto"/>
          <w:sz w:val="24"/>
          <w:szCs w:val="24"/>
          <w:highlight w:val="none"/>
        </w:rPr>
        <w:t>3</w:t>
      </w:r>
      <w:r>
        <w:rPr>
          <w:rFonts w:ascii="宋体" w:hAnsi="宋体" w:cs="宋体"/>
          <w:b/>
          <w:bCs/>
          <w:color w:val="auto"/>
          <w:sz w:val="24"/>
          <w:szCs w:val="24"/>
          <w:highlight w:val="none"/>
        </w:rPr>
        <w:t>.3.2</w:t>
      </w:r>
      <w:r>
        <w:rPr>
          <w:rFonts w:hint="eastAsia" w:ascii="宋体" w:hAnsi="宋体" w:cs="宋体"/>
          <w:b/>
          <w:bCs/>
          <w:color w:val="auto"/>
          <w:sz w:val="24"/>
          <w:szCs w:val="24"/>
          <w:highlight w:val="none"/>
        </w:rPr>
        <w:t>承包人人员</w:t>
      </w:r>
    </w:p>
    <w:p>
      <w:pPr>
        <w:keepNext/>
        <w:keepLines/>
        <w:spacing w:before="120" w:beforeLines="50" w:after="120" w:afterLines="50" w:line="360" w:lineRule="auto"/>
        <w:ind w:firstLine="420" w:firstLineChars="200"/>
        <w:rPr>
          <w:rFonts w:hint="eastAsia" w:ascii="宋体" w:hAnsi="宋体" w:cs="宋体"/>
          <w:color w:val="auto"/>
          <w:szCs w:val="21"/>
          <w:highlight w:val="none"/>
        </w:rPr>
      </w:pPr>
      <w:r>
        <w:rPr>
          <w:rFonts w:hint="eastAsia" w:hAnsi="宋体" w:cs="宋体"/>
          <w:color w:val="auto"/>
          <w:szCs w:val="21"/>
          <w:highlight w:val="none"/>
        </w:rPr>
        <w:t>其他主要管理人员（包括技术负责人、安全主任、五大员等，详见专用条款附件《发包人项目参建单位人员实名制管理暂行办法》）须进行考勤打卡，</w:t>
      </w:r>
      <w:r>
        <w:rPr>
          <w:rFonts w:hint="eastAsia" w:ascii="宋体" w:hAnsi="宋体"/>
          <w:bCs/>
          <w:color w:val="auto"/>
          <w:highlight w:val="none"/>
        </w:rPr>
        <w:t>每月累计打卡不应低于2</w:t>
      </w:r>
      <w:r>
        <w:rPr>
          <w:rFonts w:ascii="宋体" w:hAnsi="宋体"/>
          <w:bCs/>
          <w:color w:val="auto"/>
          <w:highlight w:val="none"/>
        </w:rPr>
        <w:t>2</w:t>
      </w:r>
      <w:r>
        <w:rPr>
          <w:rFonts w:hint="eastAsia" w:ascii="宋体" w:hAnsi="宋体"/>
          <w:bCs/>
          <w:color w:val="auto"/>
          <w:highlight w:val="none"/>
        </w:rPr>
        <w:t>日历天（因个人原因符合国家规定的正常请假除外），</w:t>
      </w:r>
      <w:r>
        <w:rPr>
          <w:rFonts w:hint="eastAsia" w:hAnsi="宋体" w:cs="宋体"/>
          <w:color w:val="auto"/>
          <w:szCs w:val="21"/>
          <w:highlight w:val="none"/>
        </w:rPr>
        <w:t>考勤打卡数据由发包人管理，合同期内应每日进行考勤（上午及下午均需打卡签到）。技术负责人及安全主任（除经发包人</w:t>
      </w:r>
      <w:r>
        <w:rPr>
          <w:rFonts w:hint="eastAsia" w:hAnsi="宋体" w:cs="宋体"/>
          <w:color w:val="auto"/>
          <w:szCs w:val="21"/>
          <w:highlight w:val="none"/>
          <w:lang w:eastAsia="zh-CN"/>
        </w:rPr>
        <w:t>书面</w:t>
      </w:r>
      <w:r>
        <w:rPr>
          <w:rFonts w:hint="eastAsia" w:hAnsi="宋体" w:cs="宋体"/>
          <w:color w:val="auto"/>
          <w:szCs w:val="21"/>
          <w:highlight w:val="none"/>
        </w:rPr>
        <w:t>同意外）每缺勤一天，</w:t>
      </w:r>
      <w:r>
        <w:rPr>
          <w:rFonts w:hint="eastAsia" w:hAnsi="宋体" w:cs="宋体"/>
          <w:color w:val="auto"/>
          <w:szCs w:val="21"/>
          <w:highlight w:val="none"/>
          <w:lang w:eastAsia="zh-CN"/>
        </w:rPr>
        <w:t>处违约金</w:t>
      </w:r>
      <w:r>
        <w:rPr>
          <w:rFonts w:hAnsi="宋体" w:cs="宋体"/>
          <w:color w:val="auto"/>
          <w:szCs w:val="21"/>
          <w:highlight w:val="none"/>
          <w:u w:val="single"/>
        </w:rPr>
        <w:t>2000</w:t>
      </w:r>
      <w:r>
        <w:rPr>
          <w:rFonts w:hint="eastAsia" w:hAnsi="宋体" w:cs="宋体"/>
          <w:color w:val="auto"/>
          <w:szCs w:val="21"/>
          <w:highlight w:val="none"/>
        </w:rPr>
        <w:t>元；五大员等（除经发包人</w:t>
      </w:r>
      <w:r>
        <w:rPr>
          <w:rFonts w:hint="eastAsia" w:hAnsi="宋体" w:cs="宋体"/>
          <w:color w:val="auto"/>
          <w:szCs w:val="21"/>
          <w:highlight w:val="none"/>
          <w:lang w:eastAsia="zh-CN"/>
        </w:rPr>
        <w:t>书面</w:t>
      </w:r>
      <w:r>
        <w:rPr>
          <w:rFonts w:hint="eastAsia" w:hAnsi="宋体" w:cs="宋体"/>
          <w:color w:val="auto"/>
          <w:szCs w:val="21"/>
          <w:highlight w:val="none"/>
        </w:rPr>
        <w:t>同意外）每缺勤一天，</w:t>
      </w:r>
      <w:r>
        <w:rPr>
          <w:rFonts w:hint="eastAsia" w:hAnsi="宋体" w:cs="宋体"/>
          <w:color w:val="auto"/>
          <w:szCs w:val="21"/>
          <w:highlight w:val="none"/>
          <w:lang w:eastAsia="zh-CN"/>
        </w:rPr>
        <w:t>处违约金</w:t>
      </w:r>
      <w:r>
        <w:rPr>
          <w:rFonts w:hAnsi="宋体" w:cs="宋体"/>
          <w:color w:val="auto"/>
          <w:szCs w:val="21"/>
          <w:highlight w:val="none"/>
          <w:u w:val="single"/>
        </w:rPr>
        <w:t>500</w:t>
      </w:r>
      <w:r>
        <w:rPr>
          <w:rFonts w:hint="eastAsia" w:hAnsi="宋体" w:cs="宋体"/>
          <w:color w:val="auto"/>
          <w:szCs w:val="21"/>
          <w:highlight w:val="none"/>
        </w:rPr>
        <w:t>元。</w:t>
      </w:r>
    </w:p>
    <w:p>
      <w:pPr>
        <w:keepNext/>
        <w:keepLines/>
        <w:spacing w:before="120" w:beforeLines="50" w:after="120" w:afterLines="50" w:line="360" w:lineRule="auto"/>
        <w:ind w:left="728"/>
        <w:outlineLvl w:val="3"/>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3.3.5劳务工工资</w:t>
      </w:r>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p>
    <w:p>
      <w:pPr>
        <w:adjustRightInd w:val="0"/>
        <w:snapToGrid w:val="0"/>
        <w:spacing w:line="360" w:lineRule="auto"/>
        <w:ind w:firstLine="562"/>
        <w:jc w:val="left"/>
        <w:rPr>
          <w:rFonts w:hint="eastAsia" w:ascii="宋体" w:hAnsi="宋体" w:cs="宋体"/>
          <w:b/>
          <w:bCs/>
          <w:color w:val="auto"/>
          <w:szCs w:val="21"/>
          <w:highlight w:val="none"/>
        </w:rPr>
      </w:pPr>
      <w:r>
        <w:rPr>
          <w:rFonts w:hint="eastAsia" w:ascii="宋体" w:hAnsi="宋体" w:cs="宋体"/>
          <w:b/>
          <w:bCs/>
          <w:color w:val="auto"/>
          <w:szCs w:val="21"/>
          <w:highlight w:val="none"/>
        </w:rPr>
        <w:t>（a）劳务工工资的支付</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承包人必须严格按照国家、省、市等有关规定支付劳务工工资，不得拖欠或克扣。</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承包人应按照国务院颁发的《保障农民工工资支付条例》、《深圳市住建局关于印发全面治理工程建设领域拖欠劳务工工资问题专项治理行动实施方案的通知》（深建市场〔2016〕34号）等文件的要求实行劳务用工实名制、工资分账管理制度及上述文件规定的其他制度。</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具体要求：</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rPr>
        <w:t xml:space="preserve"> 按发包人项目参建单位人员实名制管理办法执行。</w:t>
      </w:r>
      <w:r>
        <w:rPr>
          <w:rFonts w:hint="eastAsia" w:ascii="宋体" w:hAnsi="宋体" w:cs="宋体"/>
          <w:color w:val="auto"/>
          <w:szCs w:val="21"/>
          <w:highlight w:val="none"/>
        </w:rPr>
        <w:t xml:space="preserve">                                              </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 因承包人未能履行上述义务导致的损失由承包人负责，包括但不限于无法办理施工许可证等。</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承包人为履行本条项下义务而发生的费用由承包人承担。承包人并应保证分包人按照前述文件要求实行劳务用工实名制和工资分账管理制度。如因分包人未履行相关义务引发的责任由承包人承担。</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如上述援引的法规、政策等发生变化，应以最新公布的为准。</w:t>
      </w:r>
    </w:p>
    <w:p>
      <w:pPr>
        <w:spacing w:line="360" w:lineRule="auto"/>
        <w:ind w:firstLine="420"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（b）劳务分包工作</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建筑劳务分包工作依法依规开展。</w:t>
      </w:r>
    </w:p>
    <w:p>
      <w:pPr>
        <w:keepNext/>
        <w:keepLines/>
        <w:spacing w:before="120" w:beforeLines="50" w:after="120" w:afterLines="50" w:line="360" w:lineRule="auto"/>
        <w:ind w:left="562"/>
        <w:outlineLvl w:val="2"/>
        <w:rPr>
          <w:rFonts w:hint="eastAsia" w:ascii="宋体" w:hAnsi="宋体" w:cs="宋体"/>
          <w:b/>
          <w:bCs/>
          <w:color w:val="auto"/>
          <w:sz w:val="28"/>
          <w:szCs w:val="28"/>
          <w:highlight w:val="none"/>
        </w:rPr>
      </w:pPr>
      <w:bookmarkStart w:id="6110" w:name="_Toc465237146"/>
      <w:bookmarkStart w:id="6111" w:name="_Toc23017"/>
      <w:bookmarkStart w:id="6112" w:name="_Toc8213"/>
      <w:bookmarkStart w:id="6113" w:name="_Toc26388"/>
      <w:bookmarkStart w:id="6114" w:name="_Toc21396"/>
      <w:bookmarkStart w:id="6115" w:name="_Toc25102"/>
      <w:bookmarkStart w:id="6116" w:name="_Toc14840"/>
      <w:bookmarkStart w:id="6117" w:name="_Toc465237248"/>
      <w:bookmarkStart w:id="6118" w:name="_Toc15044"/>
      <w:bookmarkStart w:id="6119" w:name="_Toc13737"/>
      <w:bookmarkStart w:id="6120" w:name="_Toc15886"/>
      <w:bookmarkStart w:id="6121" w:name="_Toc26456"/>
      <w:bookmarkStart w:id="6122" w:name="_Toc14238"/>
      <w:bookmarkStart w:id="6123" w:name="_Toc69114069"/>
      <w:bookmarkStart w:id="6124" w:name="_Toc27846"/>
      <w:bookmarkStart w:id="6125" w:name="_Toc517528781"/>
      <w:bookmarkStart w:id="6126" w:name="_Toc517530985"/>
      <w:bookmarkStart w:id="6127" w:name="_Toc230"/>
      <w:bookmarkStart w:id="6128" w:name="_Toc30704"/>
      <w:bookmarkStart w:id="6129" w:name="_Toc13179"/>
      <w:bookmarkStart w:id="6130" w:name="_Toc27856"/>
      <w:bookmarkStart w:id="6131" w:name="_Toc1164"/>
      <w:bookmarkStart w:id="6132" w:name="_Toc11209"/>
      <w:bookmarkStart w:id="6133" w:name="_Toc517532261"/>
      <w:r>
        <w:rPr>
          <w:rFonts w:hint="eastAsia" w:ascii="宋体" w:hAnsi="宋体" w:cs="宋体"/>
          <w:b/>
          <w:bCs/>
          <w:color w:val="auto"/>
          <w:sz w:val="28"/>
          <w:szCs w:val="28"/>
          <w:highlight w:val="none"/>
        </w:rPr>
        <w:t>3</w:t>
      </w:r>
      <w:bookmarkStart w:id="6134" w:name="_Toc292559364"/>
      <w:bookmarkStart w:id="6135" w:name="_Toc300934945"/>
      <w:bookmarkStart w:id="6136" w:name="_Toc296891199"/>
      <w:bookmarkStart w:id="6137" w:name="_Toc297048345"/>
      <w:bookmarkStart w:id="6138" w:name="_Toc292559869"/>
      <w:bookmarkStart w:id="6139" w:name="_Toc296346660"/>
      <w:bookmarkStart w:id="6140" w:name="_Toc297216151"/>
      <w:bookmarkStart w:id="6141" w:name="_Toc303539102"/>
      <w:bookmarkStart w:id="6142" w:name="_Toc297120459"/>
      <w:bookmarkStart w:id="6143" w:name="_Toc312677988"/>
      <w:bookmarkStart w:id="6144" w:name="_Toc296347158"/>
      <w:bookmarkStart w:id="6145" w:name="_Toc296503159"/>
      <w:bookmarkStart w:id="6146" w:name="_Toc297123492"/>
      <w:bookmarkStart w:id="6147" w:name="_Toc296890987"/>
      <w:bookmarkStart w:id="6148" w:name="_Toc296944498"/>
      <w:bookmarkStart w:id="6149" w:name="_Toc304295523"/>
      <w:r>
        <w:rPr>
          <w:rFonts w:hint="eastAsia" w:ascii="宋体" w:hAnsi="宋体" w:cs="宋体"/>
          <w:b/>
          <w:bCs/>
          <w:color w:val="auto"/>
          <w:sz w:val="28"/>
          <w:szCs w:val="28"/>
          <w:highlight w:val="none"/>
        </w:rPr>
        <w:t>.5 分包</w:t>
      </w:r>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p>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p>
      <w:pPr>
        <w:keepNext/>
        <w:keepLines/>
        <w:spacing w:before="120" w:beforeLines="50" w:after="120" w:afterLines="50" w:line="360" w:lineRule="auto"/>
        <w:ind w:left="728"/>
        <w:outlineLvl w:val="3"/>
        <w:rPr>
          <w:rFonts w:hint="eastAsia" w:ascii="宋体" w:hAnsi="宋体" w:cs="宋体"/>
          <w:b/>
          <w:bCs/>
          <w:color w:val="auto"/>
          <w:sz w:val="24"/>
          <w:szCs w:val="24"/>
          <w:highlight w:val="none"/>
        </w:rPr>
      </w:pPr>
      <w:bookmarkStart w:id="6150" w:name="_Toc29777"/>
      <w:bookmarkStart w:id="6151" w:name="_Toc26688"/>
      <w:bookmarkStart w:id="6152" w:name="_Toc5203"/>
      <w:bookmarkStart w:id="6153" w:name="_Toc13577"/>
      <w:bookmarkStart w:id="6154" w:name="_Toc517532262"/>
      <w:bookmarkStart w:id="6155" w:name="_Toc14319"/>
      <w:bookmarkStart w:id="6156" w:name="_Toc3124"/>
      <w:bookmarkStart w:id="6157" w:name="_Toc26218"/>
      <w:bookmarkStart w:id="6158" w:name="_Toc31289"/>
      <w:bookmarkStart w:id="6159" w:name="_Toc517530986"/>
      <w:bookmarkStart w:id="6160" w:name="_Toc12747"/>
      <w:bookmarkStart w:id="6161" w:name="_Toc6448"/>
      <w:bookmarkStart w:id="6162" w:name="_Toc25236"/>
      <w:bookmarkStart w:id="6163" w:name="_Toc26421"/>
      <w:bookmarkStart w:id="6164" w:name="_Toc17631"/>
      <w:bookmarkStart w:id="6165" w:name="_Toc25648"/>
      <w:bookmarkStart w:id="6166" w:name="_Toc17292"/>
      <w:bookmarkStart w:id="6167" w:name="_Toc7528"/>
      <w:bookmarkStart w:id="6168" w:name="_Toc13044"/>
      <w:bookmarkStart w:id="6169" w:name="_Toc312677990"/>
      <w:bookmarkStart w:id="6170" w:name="_Toc318581159"/>
      <w:r>
        <w:rPr>
          <w:rFonts w:hint="eastAsia" w:ascii="宋体" w:hAnsi="宋体" w:cs="宋体"/>
          <w:b/>
          <w:bCs/>
          <w:color w:val="auto"/>
          <w:sz w:val="24"/>
          <w:szCs w:val="24"/>
          <w:highlight w:val="none"/>
        </w:rPr>
        <w:t>3.5.1禁止挂靠、转包或违法分包</w:t>
      </w:r>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p>
    <w:p>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允许分包的专业工程包括：</w:t>
      </w:r>
      <w:r>
        <w:rPr>
          <w:rFonts w:hint="eastAsia" w:ascii="宋体" w:hAnsi="宋体" w:cs="宋体"/>
          <w:color w:val="auto"/>
          <w:szCs w:val="21"/>
          <w:highlight w:val="none"/>
          <w:u w:val="single"/>
        </w:rPr>
        <w:t>除主体工程外，其他专业工程均允许分包。</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rPr>
        <w:t>原则上，只允许承包人分包在投标文件分包人表中的专业分包，分包价格须符合投标文件中分包价格控制表的约定，特殊情况下（即：未在投标文件中进行明确），承包人进行其他专业分包前，须书面报送发包人并经发包人书面同意，分包价格参照分包价格控制表的约定。</w:t>
      </w:r>
    </w:p>
    <w:p>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 xml:space="preserve">其他关于分包的约定： </w:t>
      </w:r>
      <w:r>
        <w:rPr>
          <w:rFonts w:hint="eastAsia" w:ascii="宋体" w:hAnsi="宋体" w:cs="宋体"/>
          <w:color w:val="auto"/>
          <w:szCs w:val="21"/>
          <w:highlight w:val="none"/>
          <w:u w:val="single"/>
        </w:rPr>
        <w:t>在进行专业工程分包前，承包人须将拟分包单位的资质、业绩、获奖证明等材料上报发包人及监理审核认可（发包人保留对拟分包单位进行考察的权利，考察费用由承包人支付），并将分包合同呈报发包人备案。</w:t>
      </w:r>
    </w:p>
    <w:p>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u w:val="single"/>
        </w:rPr>
        <w:t>（1）承包人将其承包范围的部分项目分包，不解除合同约定的承包人任何责任和义务。</w:t>
      </w:r>
    </w:p>
    <w:p>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u w:val="single"/>
        </w:rPr>
        <w:t>（</w:t>
      </w:r>
      <w:r>
        <w:rPr>
          <w:rFonts w:ascii="宋体" w:hAnsi="宋体" w:cs="宋体"/>
          <w:color w:val="auto"/>
          <w:szCs w:val="21"/>
          <w:highlight w:val="none"/>
          <w:u w:val="single"/>
        </w:rPr>
        <w:t>2</w:t>
      </w:r>
      <w:r>
        <w:rPr>
          <w:rFonts w:hint="eastAsia" w:ascii="宋体" w:hAnsi="宋体" w:cs="宋体"/>
          <w:color w:val="auto"/>
          <w:szCs w:val="21"/>
          <w:highlight w:val="none"/>
          <w:u w:val="single"/>
        </w:rPr>
        <w:t>）如承包人没有承担本合同中某专业工程的承建资质，承包人必须根据前款的约定将该专业工程进行分包，分包人必须具备承建该专业工程的资质条件。</w:t>
      </w:r>
    </w:p>
    <w:p>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u w:val="single"/>
        </w:rPr>
        <w:t>（3）承包人与分包人应签订分包合同。分包工程价款由承包人与分包人结算。发包人未经承包人同意不得以任何形式向分包人支付各种工程款项。</w:t>
      </w:r>
    </w:p>
    <w:p>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（4）承包人不得将全部工程肢解分包。承包人应禁止分包人将分包工程的任何部分再分包。</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若承包人出现违反上述规定的情形，发包人要求承包人按照合同总价款的2%承担违约金并赔偿由此给发包人造成的损失。必要情况下，发包人有权单方解除本合同。</w:t>
      </w:r>
    </w:p>
    <w:p>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u w:val="single"/>
        </w:rPr>
        <w:t>（5）针对挂靠或转包或违法分包的特别条款：</w:t>
      </w:r>
    </w:p>
    <w:p>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u w:val="single"/>
        </w:rPr>
        <w:t>（a）工程建设过程中发包人检查发现项目经理、技术负责人或安全主任长期不在岗，经发包人调查认为，承包人存在挂靠、转包或违法分包行为时,承包人拒不改正的，发包人有权依据相关法律法规及合同约定单方解除施工合同；没收承包人全部履约保证金；当期工程进度款不予计量和支付，之前每期进度款支付到合格工程量的80%，剩余20%部分不再支付，作为承包人赔偿发包人的相关损失费用；按已支付进度款作为工程结算款办理工程结算；并移送光明区相关行政主管部门处理。承包人及时纠正，承包人应按合同工期继续完成合同约定的施工内容和任务，除在合同工期内交还合同约定的合格产品给发包人外，如承包人给发包人造成损失，其还应向发包人支付工程结算款10％的违约金。</w:t>
      </w:r>
    </w:p>
    <w:p>
      <w:pPr>
        <w:spacing w:line="360" w:lineRule="auto"/>
        <w:ind w:firstLine="420" w:firstLineChars="200"/>
        <w:rPr>
          <w:rFonts w:hint="eastAsia" w:ascii="宋体" w:hAnsi="宋体" w:cs="宋体"/>
          <w:color w:val="auto"/>
          <w:szCs w:val="21"/>
          <w:highlight w:val="none"/>
          <w:u w:val="single"/>
        </w:rPr>
      </w:pPr>
      <w:r>
        <w:rPr>
          <w:rFonts w:ascii="宋体" w:hAnsi="宋体" w:cs="宋体"/>
          <w:color w:val="auto"/>
          <w:szCs w:val="21"/>
          <w:highlight w:val="none"/>
          <w:u w:val="single"/>
        </w:rPr>
        <w:sym w:font="Wingdings" w:char="F0A8"/>
      </w:r>
      <w:r>
        <w:rPr>
          <w:rFonts w:hint="eastAsia" w:ascii="宋体" w:hAnsi="宋体" w:cs="宋体"/>
          <w:color w:val="auto"/>
          <w:szCs w:val="21"/>
          <w:highlight w:val="none"/>
          <w:u w:val="single"/>
        </w:rPr>
        <w:t>（b）对承包人资金监管的要求：承包人应在银行设立工程建设资金专户，并接受发包人监管。在工程建设过程中，其专户存款须能确保工程款的及时支付，并不得用于与本工程无关的经济活动。承包人须按月向发包人提供银行对账单等相关资料，以便检查监督资金到位和使用情况。承包人须按月向发包人提供工程进度款的支付情况说明，对材料供应商或分包商等相关单位的工程进度款支付，不得违约拖欠。承包人应保证在施工管理过程中，不得因与材料供应商、分包商等相关单位之间结算纠纷而影响工程进度和工程质量。（发包人认为承包人中标后，存在转包、挂靠的迹象时，应该按本条执行）</w:t>
      </w:r>
    </w:p>
    <w:p>
      <w:pPr>
        <w:keepNext/>
        <w:keepLines/>
        <w:spacing w:before="120" w:beforeLines="50" w:after="120" w:afterLines="50" w:line="360" w:lineRule="auto"/>
        <w:ind w:left="562"/>
        <w:outlineLvl w:val="2"/>
        <w:rPr>
          <w:rFonts w:hint="eastAsia" w:ascii="宋体" w:hAnsi="宋体" w:cs="宋体"/>
          <w:b/>
          <w:bCs/>
          <w:color w:val="auto"/>
          <w:sz w:val="28"/>
          <w:szCs w:val="28"/>
          <w:highlight w:val="none"/>
        </w:rPr>
      </w:pPr>
      <w:bookmarkStart w:id="6171" w:name="_Toc30680"/>
      <w:bookmarkStart w:id="6172" w:name="_Toc69114070"/>
      <w:bookmarkStart w:id="6173" w:name="_Toc13894"/>
      <w:bookmarkStart w:id="6174" w:name="_Toc22166"/>
      <w:bookmarkStart w:id="6175" w:name="_Toc517530987"/>
      <w:bookmarkStart w:id="6176" w:name="_Toc517528782"/>
      <w:bookmarkStart w:id="6177" w:name="_Toc11135"/>
      <w:bookmarkStart w:id="6178" w:name="_Toc517532263"/>
      <w:bookmarkStart w:id="6179" w:name="_Toc5444"/>
      <w:bookmarkStart w:id="6180" w:name="_Toc12501"/>
      <w:bookmarkStart w:id="6181" w:name="_Toc9912"/>
      <w:bookmarkStart w:id="6182" w:name="_Toc23725"/>
      <w:r>
        <w:rPr>
          <w:rFonts w:hint="eastAsia" w:ascii="宋体" w:hAnsi="宋体" w:cs="宋体"/>
          <w:b/>
          <w:bCs/>
          <w:color w:val="auto"/>
          <w:sz w:val="28"/>
          <w:szCs w:val="28"/>
          <w:highlight w:val="none"/>
        </w:rPr>
        <w:t>3.8 履约担保</w:t>
      </w:r>
      <w:bookmarkEnd w:id="6171"/>
      <w:bookmarkEnd w:id="6172"/>
      <w:bookmarkEnd w:id="6173"/>
      <w:bookmarkEnd w:id="6174"/>
      <w:bookmarkEnd w:id="6175"/>
      <w:bookmarkEnd w:id="6176"/>
      <w:bookmarkEnd w:id="6177"/>
      <w:bookmarkEnd w:id="6178"/>
      <w:bookmarkEnd w:id="6179"/>
      <w:bookmarkEnd w:id="6180"/>
      <w:bookmarkEnd w:id="6181"/>
      <w:bookmarkEnd w:id="6182"/>
    </w:p>
    <w:p>
      <w:pPr>
        <w:keepNext/>
        <w:keepLines/>
        <w:numPr>
          <w:ilvl w:val="0"/>
          <w:numId w:val="12"/>
        </w:numPr>
        <w:spacing w:before="120" w:beforeLines="50" w:after="120" w:afterLines="50" w:line="360" w:lineRule="auto"/>
        <w:ind w:firstLine="725" w:firstLineChars="302"/>
        <w:outlineLvl w:val="3"/>
        <w:rPr>
          <w:rFonts w:hint="eastAsia" w:ascii="宋体" w:hAnsi="宋体" w:cs="宋体"/>
          <w:b/>
          <w:bCs/>
          <w:color w:val="auto"/>
          <w:sz w:val="24"/>
          <w:szCs w:val="24"/>
          <w:highlight w:val="none"/>
        </w:rPr>
      </w:pPr>
      <w:bookmarkStart w:id="6183" w:name="_Toc14883"/>
      <w:bookmarkStart w:id="6184" w:name="_Toc28444"/>
      <w:bookmarkStart w:id="6185" w:name="_Toc517530988"/>
      <w:bookmarkStart w:id="6186" w:name="_Toc4400"/>
      <w:bookmarkStart w:id="6187" w:name="_Toc11459"/>
      <w:bookmarkStart w:id="6188" w:name="_Toc517532264"/>
      <w:bookmarkStart w:id="6189" w:name="_Toc28775"/>
      <w:bookmarkStart w:id="6190" w:name="_Toc24858"/>
      <w:bookmarkStart w:id="6191" w:name="_Toc8171"/>
      <w:bookmarkStart w:id="6192" w:name="_Toc27013"/>
      <w:r>
        <w:rPr>
          <w:rFonts w:hint="eastAsia" w:ascii="宋体" w:hAnsi="宋体" w:cs="宋体"/>
          <w:b/>
          <w:bCs/>
          <w:color w:val="auto"/>
          <w:sz w:val="24"/>
          <w:szCs w:val="24"/>
          <w:highlight w:val="none"/>
        </w:rPr>
        <w:t>3.8.1履约担保金额</w:t>
      </w:r>
      <w:bookmarkEnd w:id="6183"/>
      <w:bookmarkEnd w:id="6184"/>
      <w:bookmarkEnd w:id="6185"/>
      <w:bookmarkEnd w:id="6186"/>
      <w:bookmarkEnd w:id="6187"/>
      <w:bookmarkEnd w:id="6188"/>
      <w:bookmarkEnd w:id="6189"/>
      <w:bookmarkEnd w:id="6190"/>
      <w:bookmarkEnd w:id="6191"/>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本合同项下的履约担保金额为中标合同金额的10%。</w:t>
      </w:r>
    </w:p>
    <w:p>
      <w:pPr>
        <w:spacing w:line="360" w:lineRule="auto"/>
        <w:ind w:firstLine="420" w:firstLineChars="200"/>
        <w:rPr>
          <w:rFonts w:hint="eastAsia" w:ascii="宋体" w:hAnsi="宋体" w:cs="宋体"/>
          <w:color w:val="auto"/>
          <w:szCs w:val="21"/>
          <w:highlight w:val="none"/>
        </w:rPr>
      </w:pPr>
      <w:r>
        <w:rPr>
          <w:rFonts w:hint="eastAsia" w:ascii="宋体" w:hAnsi="宋体" w:cs="宋体"/>
          <w:b/>
          <w:bCs/>
          <w:i/>
          <w:iCs/>
          <w:color w:val="auto"/>
          <w:szCs w:val="21"/>
          <w:highlight w:val="none"/>
        </w:rPr>
        <w:t>（提示：履约担保的金额一般不超过中标价的10%）</w:t>
      </w:r>
    </w:p>
    <w:bookmarkEnd w:id="6192"/>
    <w:p>
      <w:pPr>
        <w:keepNext/>
        <w:keepLines/>
        <w:spacing w:before="120" w:beforeLines="50" w:after="120" w:afterLines="50" w:line="360" w:lineRule="auto"/>
        <w:ind w:left="562"/>
        <w:outlineLvl w:val="2"/>
        <w:rPr>
          <w:rFonts w:hint="eastAsia" w:ascii="宋体" w:hAnsi="宋体" w:cs="宋体"/>
          <w:b/>
          <w:bCs/>
          <w:color w:val="auto"/>
          <w:sz w:val="28"/>
          <w:szCs w:val="28"/>
          <w:highlight w:val="none"/>
        </w:rPr>
      </w:pPr>
      <w:bookmarkStart w:id="6193" w:name="_Toc18372"/>
      <w:bookmarkStart w:id="6194" w:name="_Toc517532265"/>
      <w:bookmarkStart w:id="6195" w:name="_Toc17329"/>
      <w:bookmarkStart w:id="6196" w:name="_Toc517530989"/>
      <w:bookmarkStart w:id="6197" w:name="_Toc69114071"/>
      <w:bookmarkStart w:id="6198" w:name="_Toc20592"/>
      <w:bookmarkStart w:id="6199" w:name="_Toc5937"/>
      <w:bookmarkStart w:id="6200" w:name="_Toc29504"/>
      <w:bookmarkStart w:id="6201" w:name="_Toc11789"/>
      <w:bookmarkStart w:id="6202" w:name="_Toc18486"/>
      <w:bookmarkStart w:id="6203" w:name="_Toc21172"/>
      <w:bookmarkStart w:id="6204" w:name="_Toc517528783"/>
      <w:r>
        <w:rPr>
          <w:rFonts w:hint="eastAsia" w:ascii="宋体" w:hAnsi="宋体" w:cs="宋体"/>
          <w:b/>
          <w:bCs/>
          <w:color w:val="auto"/>
          <w:sz w:val="28"/>
          <w:szCs w:val="28"/>
          <w:highlight w:val="none"/>
        </w:rPr>
        <w:t>3.9 联合体</w:t>
      </w:r>
      <w:bookmarkEnd w:id="6193"/>
      <w:bookmarkEnd w:id="6194"/>
      <w:bookmarkEnd w:id="6195"/>
      <w:bookmarkEnd w:id="6196"/>
      <w:bookmarkEnd w:id="6197"/>
      <w:bookmarkEnd w:id="6198"/>
      <w:bookmarkEnd w:id="6199"/>
      <w:bookmarkEnd w:id="6200"/>
      <w:bookmarkEnd w:id="6201"/>
      <w:bookmarkEnd w:id="6202"/>
      <w:bookmarkEnd w:id="6203"/>
      <w:bookmarkEnd w:id="6204"/>
    </w:p>
    <w:p>
      <w:pPr>
        <w:keepNext/>
        <w:keepLines/>
        <w:numPr>
          <w:ilvl w:val="0"/>
          <w:numId w:val="12"/>
        </w:numPr>
        <w:spacing w:before="120" w:beforeLines="50" w:after="120" w:afterLines="50" w:line="360" w:lineRule="auto"/>
        <w:ind w:firstLine="725" w:firstLineChars="302"/>
        <w:outlineLvl w:val="3"/>
        <w:rPr>
          <w:rFonts w:hint="eastAsia" w:ascii="宋体" w:hAnsi="宋体" w:cs="宋体"/>
          <w:b/>
          <w:bCs/>
          <w:color w:val="auto"/>
          <w:sz w:val="24"/>
          <w:szCs w:val="24"/>
          <w:highlight w:val="none"/>
        </w:rPr>
      </w:pPr>
      <w:bookmarkStart w:id="6205" w:name="_Toc24351"/>
      <w:bookmarkStart w:id="6206" w:name="_Toc11234"/>
      <w:bookmarkStart w:id="6207" w:name="_Toc21674"/>
      <w:bookmarkStart w:id="6208" w:name="_Toc3927"/>
      <w:bookmarkStart w:id="6209" w:name="_Toc13316"/>
      <w:bookmarkStart w:id="6210" w:name="_Toc517532266"/>
      <w:bookmarkStart w:id="6211" w:name="_Toc17984"/>
      <w:bookmarkStart w:id="6212" w:name="_Toc517530990"/>
      <w:bookmarkStart w:id="6213" w:name="_Toc27418"/>
      <w:bookmarkStart w:id="6214" w:name="_Toc24263"/>
      <w:r>
        <w:rPr>
          <w:rFonts w:hint="eastAsia" w:ascii="宋体" w:hAnsi="宋体" w:cs="宋体"/>
          <w:b/>
          <w:bCs/>
          <w:color w:val="auto"/>
          <w:sz w:val="24"/>
          <w:szCs w:val="24"/>
          <w:highlight w:val="none"/>
        </w:rPr>
        <w:t>3.9.3 联合体的支付</w:t>
      </w:r>
      <w:bookmarkEnd w:id="6205"/>
      <w:bookmarkEnd w:id="6206"/>
      <w:bookmarkEnd w:id="6207"/>
      <w:bookmarkEnd w:id="6208"/>
      <w:bookmarkEnd w:id="6209"/>
      <w:bookmarkEnd w:id="6210"/>
      <w:bookmarkEnd w:id="6211"/>
      <w:bookmarkEnd w:id="6212"/>
      <w:bookmarkEnd w:id="6213"/>
      <w:bookmarkEnd w:id="6214"/>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关于联合体付款的特别约定：</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  。</w:t>
      </w:r>
    </w:p>
    <w:bookmarkEnd w:id="6169"/>
    <w:bookmarkEnd w:id="6170"/>
    <w:p>
      <w:pPr>
        <w:keepNext/>
        <w:keepLines/>
        <w:spacing w:before="120" w:beforeLines="50" w:after="120" w:afterLines="50" w:line="360" w:lineRule="auto"/>
        <w:ind w:firstLine="600" w:firstLineChars="200"/>
        <w:outlineLvl w:val="1"/>
        <w:rPr>
          <w:rFonts w:hint="eastAsia" w:ascii="宋体" w:hAnsi="宋体" w:cs="宋体"/>
          <w:b/>
          <w:bCs/>
          <w:color w:val="auto"/>
          <w:sz w:val="30"/>
          <w:szCs w:val="30"/>
          <w:highlight w:val="none"/>
        </w:rPr>
      </w:pPr>
      <w:bookmarkStart w:id="6215" w:name="_Toc17692"/>
      <w:bookmarkStart w:id="6216" w:name="_Toc14169"/>
      <w:bookmarkStart w:id="6217" w:name="_Toc8757"/>
      <w:bookmarkStart w:id="6218" w:name="_Toc3878"/>
      <w:bookmarkStart w:id="6219" w:name="_Toc7800"/>
      <w:bookmarkStart w:id="6220" w:name="_Toc29498"/>
      <w:bookmarkStart w:id="6221" w:name="_Toc4539"/>
      <w:bookmarkStart w:id="6222" w:name="_Toc31576"/>
      <w:bookmarkStart w:id="6223" w:name="_Toc14839"/>
      <w:bookmarkStart w:id="6224" w:name="_Toc20329"/>
      <w:bookmarkStart w:id="6225" w:name="_Toc29974"/>
      <w:bookmarkStart w:id="6226" w:name="_Toc517532267"/>
      <w:bookmarkStart w:id="6227" w:name="_Toc69114072"/>
      <w:bookmarkStart w:id="6228" w:name="_Toc12140"/>
      <w:bookmarkStart w:id="6229" w:name="_Toc517529759"/>
      <w:bookmarkStart w:id="6230" w:name="_Toc517528784"/>
      <w:bookmarkStart w:id="6231" w:name="_Toc465237147"/>
      <w:bookmarkStart w:id="6232" w:name="_Toc4956"/>
      <w:bookmarkStart w:id="6233" w:name="_Toc6027"/>
      <w:bookmarkStart w:id="6234" w:name="_Toc15243"/>
      <w:bookmarkStart w:id="6235" w:name="_Toc15486"/>
      <w:bookmarkStart w:id="6236" w:name="_Toc465237249"/>
      <w:bookmarkStart w:id="6237" w:name="_Toc517530991"/>
      <w:bookmarkStart w:id="6238" w:name="_Toc11153"/>
      <w:bookmarkStart w:id="6239" w:name="_Toc351203636"/>
      <w:bookmarkStart w:id="6240" w:name="_Toc24995"/>
      <w:r>
        <w:rPr>
          <w:rFonts w:hint="eastAsia" w:ascii="宋体" w:hAnsi="宋体" w:cs="宋体"/>
          <w:b/>
          <w:bCs/>
          <w:color w:val="auto"/>
          <w:sz w:val="30"/>
          <w:szCs w:val="30"/>
          <w:highlight w:val="none"/>
        </w:rPr>
        <w:t>4</w:t>
      </w:r>
      <w:bookmarkStart w:id="6241" w:name="_Toc296890990"/>
      <w:bookmarkStart w:id="6242" w:name="_Toc297120462"/>
      <w:bookmarkStart w:id="6243" w:name="_Toc292559366"/>
      <w:bookmarkStart w:id="6244" w:name="_Toc296347161"/>
      <w:bookmarkStart w:id="6245" w:name="_Toc296944501"/>
      <w:bookmarkStart w:id="6246" w:name="_Toc296503162"/>
      <w:bookmarkStart w:id="6247" w:name="_Toc296891202"/>
      <w:bookmarkStart w:id="6248" w:name="_Toc292559871"/>
      <w:bookmarkStart w:id="6249" w:name="_Toc296346663"/>
      <w:bookmarkStart w:id="6250" w:name="_Toc267251413"/>
      <w:bookmarkStart w:id="6251" w:name="_Toc297048348"/>
      <w:r>
        <w:rPr>
          <w:rFonts w:hint="eastAsia" w:ascii="宋体" w:hAnsi="宋体" w:cs="宋体"/>
          <w:b/>
          <w:bCs/>
          <w:color w:val="auto"/>
          <w:sz w:val="30"/>
          <w:szCs w:val="30"/>
          <w:highlight w:val="none"/>
        </w:rPr>
        <w:t>. 监</w:t>
      </w:r>
      <w:bookmarkEnd w:id="6241"/>
      <w:bookmarkEnd w:id="6242"/>
      <w:bookmarkEnd w:id="6243"/>
      <w:bookmarkEnd w:id="6244"/>
      <w:bookmarkEnd w:id="6245"/>
      <w:bookmarkEnd w:id="6246"/>
      <w:bookmarkEnd w:id="6247"/>
      <w:bookmarkEnd w:id="6248"/>
      <w:bookmarkEnd w:id="6249"/>
      <w:bookmarkEnd w:id="6250"/>
      <w:bookmarkEnd w:id="6251"/>
      <w:r>
        <w:rPr>
          <w:rFonts w:hint="eastAsia" w:ascii="宋体" w:hAnsi="宋体" w:cs="宋体"/>
          <w:b/>
          <w:bCs/>
          <w:color w:val="auto"/>
          <w:sz w:val="30"/>
          <w:szCs w:val="30"/>
          <w:highlight w:val="none"/>
        </w:rPr>
        <w:t>理人</w:t>
      </w:r>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p>
    <w:p>
      <w:pPr>
        <w:keepNext/>
        <w:keepLines/>
        <w:spacing w:before="120" w:beforeLines="50" w:after="120" w:afterLines="50" w:line="360" w:lineRule="auto"/>
        <w:ind w:left="562"/>
        <w:outlineLvl w:val="2"/>
        <w:rPr>
          <w:rFonts w:hint="eastAsia" w:ascii="宋体" w:hAnsi="宋体" w:cs="宋体"/>
          <w:b/>
          <w:bCs/>
          <w:color w:val="auto"/>
          <w:sz w:val="28"/>
          <w:szCs w:val="28"/>
          <w:highlight w:val="none"/>
        </w:rPr>
      </w:pPr>
      <w:bookmarkStart w:id="6252" w:name="_Toc31789"/>
      <w:bookmarkStart w:id="6253" w:name="_Toc31303"/>
      <w:bookmarkStart w:id="6254" w:name="_Toc7964"/>
      <w:bookmarkStart w:id="6255" w:name="_Toc23943"/>
      <w:bookmarkStart w:id="6256" w:name="_Toc32762"/>
      <w:bookmarkStart w:id="6257" w:name="_Toc30733"/>
      <w:bookmarkStart w:id="6258" w:name="_Toc32499"/>
      <w:bookmarkStart w:id="6259" w:name="_Toc4097"/>
      <w:bookmarkStart w:id="6260" w:name="_Toc16103"/>
      <w:bookmarkStart w:id="6261" w:name="_Toc17947"/>
      <w:bookmarkStart w:id="6262" w:name="_Toc517532268"/>
      <w:bookmarkStart w:id="6263" w:name="_Toc17368"/>
      <w:bookmarkStart w:id="6264" w:name="_Toc24863"/>
      <w:bookmarkStart w:id="6265" w:name="_Toc517528785"/>
      <w:bookmarkStart w:id="6266" w:name="_Toc517530992"/>
      <w:bookmarkStart w:id="6267" w:name="_Toc29578"/>
      <w:bookmarkStart w:id="6268" w:name="_Toc26035"/>
      <w:bookmarkStart w:id="6269" w:name="_Toc30552"/>
      <w:bookmarkStart w:id="6270" w:name="_Toc69114073"/>
      <w:r>
        <w:rPr>
          <w:rFonts w:hint="eastAsia" w:ascii="宋体" w:hAnsi="宋体" w:cs="宋体"/>
          <w:b/>
          <w:bCs/>
          <w:color w:val="auto"/>
          <w:sz w:val="28"/>
          <w:szCs w:val="28"/>
          <w:highlight w:val="none"/>
        </w:rPr>
        <w:t>4.1 监理人的一般规定</w:t>
      </w:r>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监理人：</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名    称：</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资质类别和等级：</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电子邮箱：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keepNext/>
        <w:keepLines/>
        <w:spacing w:before="120" w:beforeLines="50" w:after="120" w:afterLines="50" w:line="360" w:lineRule="auto"/>
        <w:ind w:left="562"/>
        <w:outlineLvl w:val="2"/>
        <w:rPr>
          <w:rFonts w:hint="eastAsia" w:ascii="宋体" w:hAnsi="宋体" w:cs="宋体"/>
          <w:b/>
          <w:bCs/>
          <w:color w:val="auto"/>
          <w:sz w:val="28"/>
          <w:szCs w:val="28"/>
          <w:highlight w:val="none"/>
        </w:rPr>
      </w:pPr>
      <w:bookmarkStart w:id="6271" w:name="_Toc13122"/>
      <w:bookmarkStart w:id="6272" w:name="_Toc29815"/>
      <w:bookmarkStart w:id="6273" w:name="_Toc23897"/>
      <w:bookmarkStart w:id="6274" w:name="_Toc15873"/>
      <w:bookmarkStart w:id="6275" w:name="_Toc517532269"/>
      <w:bookmarkStart w:id="6276" w:name="_Toc11199"/>
      <w:bookmarkStart w:id="6277" w:name="_Toc2047"/>
      <w:bookmarkStart w:id="6278" w:name="_Toc517530993"/>
      <w:bookmarkStart w:id="6279" w:name="_Toc311"/>
      <w:bookmarkStart w:id="6280" w:name="_Toc3812"/>
      <w:bookmarkStart w:id="6281" w:name="_Toc21084"/>
      <w:bookmarkStart w:id="6282" w:name="_Toc69114074"/>
      <w:bookmarkStart w:id="6283" w:name="_Toc10014"/>
      <w:bookmarkStart w:id="6284" w:name="_Toc7589"/>
      <w:bookmarkStart w:id="6285" w:name="_Toc517528786"/>
      <w:bookmarkStart w:id="6286" w:name="_Toc12008"/>
      <w:bookmarkStart w:id="6287" w:name="_Toc24516"/>
      <w:bookmarkStart w:id="6288" w:name="_Toc10572"/>
      <w:bookmarkStart w:id="6289" w:name="_Toc12882"/>
      <w:r>
        <w:rPr>
          <w:rFonts w:hint="eastAsia" w:ascii="宋体" w:hAnsi="宋体" w:cs="宋体"/>
          <w:b/>
          <w:bCs/>
          <w:color w:val="auto"/>
          <w:sz w:val="28"/>
          <w:szCs w:val="28"/>
          <w:highlight w:val="none"/>
        </w:rPr>
        <w:t>4.2 监理人员</w:t>
      </w:r>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总监理工程师：</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职    务：</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监理人执业资格证书号：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电子邮箱：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keepNext/>
        <w:keepLines/>
        <w:spacing w:before="120" w:beforeLines="50" w:after="120" w:afterLines="50" w:line="360" w:lineRule="auto"/>
        <w:ind w:firstLine="600" w:firstLineChars="200"/>
        <w:outlineLvl w:val="1"/>
        <w:rPr>
          <w:rFonts w:ascii="宋体" w:hAnsi="宋体" w:cs="宋体"/>
          <w:b/>
          <w:bCs/>
          <w:color w:val="auto"/>
          <w:sz w:val="30"/>
          <w:szCs w:val="30"/>
          <w:highlight w:val="none"/>
        </w:rPr>
      </w:pPr>
      <w:bookmarkStart w:id="6290" w:name="_Toc32205"/>
      <w:bookmarkStart w:id="6291" w:name="_Toc9620"/>
      <w:bookmarkStart w:id="6292" w:name="_Toc69114075"/>
      <w:bookmarkStart w:id="6293" w:name="_Toc517529760"/>
      <w:bookmarkStart w:id="6294" w:name="_Toc517530994"/>
      <w:bookmarkStart w:id="6295" w:name="_Toc17849"/>
      <w:bookmarkStart w:id="6296" w:name="_Toc2295"/>
      <w:bookmarkStart w:id="6297" w:name="_Toc25311"/>
      <w:bookmarkStart w:id="6298" w:name="_Toc31971"/>
      <w:bookmarkStart w:id="6299" w:name="_Toc29922"/>
      <w:bookmarkStart w:id="6300" w:name="_Toc517532270"/>
      <w:bookmarkStart w:id="6301" w:name="_Toc14740"/>
      <w:bookmarkStart w:id="6302" w:name="_Toc12301"/>
      <w:bookmarkStart w:id="6303" w:name="_Toc8448"/>
      <w:bookmarkStart w:id="6304" w:name="_Toc27076"/>
      <w:bookmarkStart w:id="6305" w:name="_Toc4455"/>
      <w:bookmarkStart w:id="6306" w:name="_Toc517528787"/>
      <w:bookmarkStart w:id="6307" w:name="_Toc17306"/>
      <w:bookmarkStart w:id="6308" w:name="_Toc10349"/>
      <w:bookmarkStart w:id="6309" w:name="_Toc31868"/>
      <w:r>
        <w:rPr>
          <w:rFonts w:hint="eastAsia" w:ascii="宋体" w:hAnsi="宋体" w:cs="宋体"/>
          <w:b/>
          <w:bCs/>
          <w:color w:val="auto"/>
          <w:sz w:val="30"/>
          <w:szCs w:val="30"/>
          <w:highlight w:val="none"/>
        </w:rPr>
        <w:t>5. 工程质量</w:t>
      </w:r>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p>
    <w:p>
      <w:pPr>
        <w:keepNext/>
        <w:keepLines/>
        <w:spacing w:before="120" w:beforeLines="50" w:after="120" w:afterLines="50" w:line="360" w:lineRule="auto"/>
        <w:ind w:firstLine="562"/>
        <w:outlineLvl w:val="2"/>
        <w:rPr>
          <w:rFonts w:hint="eastAsia" w:ascii="宋体" w:hAnsi="宋体" w:cs="宋体"/>
          <w:b/>
          <w:bCs/>
          <w:color w:val="auto"/>
          <w:sz w:val="28"/>
          <w:szCs w:val="28"/>
          <w:highlight w:val="none"/>
        </w:rPr>
      </w:pPr>
      <w:bookmarkStart w:id="6310" w:name="_Toc69114076"/>
      <w:bookmarkStart w:id="6311" w:name="_Toc531009720"/>
      <w:r>
        <w:rPr>
          <w:rFonts w:hint="eastAsia" w:ascii="宋体" w:hAnsi="宋体" w:cs="宋体"/>
          <w:b/>
          <w:bCs/>
          <w:color w:val="auto"/>
          <w:sz w:val="28"/>
          <w:szCs w:val="28"/>
          <w:highlight w:val="none"/>
        </w:rPr>
        <w:t>5.1质量要求</w:t>
      </w:r>
      <w:bookmarkEnd w:id="6310"/>
    </w:p>
    <w:p>
      <w:pPr>
        <w:spacing w:line="360" w:lineRule="auto"/>
        <w:ind w:firstLine="482"/>
        <w:rPr>
          <w:rFonts w:ascii="宋体" w:hAnsi="宋体"/>
          <w:color w:val="auto"/>
          <w:szCs w:val="20"/>
          <w:highlight w:val="none"/>
          <w:u w:val="single"/>
        </w:rPr>
      </w:pPr>
      <w:r>
        <w:rPr>
          <w:rFonts w:hint="eastAsia" w:ascii="宋体" w:hAnsi="宋体"/>
          <w:color w:val="auto"/>
          <w:szCs w:val="21"/>
          <w:highlight w:val="none"/>
        </w:rPr>
        <w:sym w:font="Wingdings" w:char="F0A8"/>
      </w:r>
      <w:r>
        <w:rPr>
          <w:rFonts w:hint="eastAsia" w:ascii="宋体" w:hAnsi="宋体"/>
          <w:color w:val="auto"/>
          <w:szCs w:val="21"/>
          <w:highlight w:val="none"/>
        </w:rPr>
        <w:t>创优目标：</w:t>
      </w:r>
      <w:r>
        <w:rPr>
          <w:rFonts w:hint="eastAsia" w:ascii="宋体" w:hAnsi="宋体"/>
          <w:color w:val="auto"/>
          <w:szCs w:val="20"/>
          <w:highlight w:val="none"/>
          <w:u w:val="single"/>
        </w:rPr>
        <w:t xml:space="preserve">                 </w:t>
      </w:r>
      <w:r>
        <w:rPr>
          <w:rFonts w:ascii="宋体" w:hAnsi="宋体"/>
          <w:color w:val="auto"/>
          <w:szCs w:val="20"/>
          <w:highlight w:val="none"/>
          <w:u w:val="single"/>
        </w:rPr>
        <w:t xml:space="preserve">                                     </w:t>
      </w:r>
    </w:p>
    <w:p>
      <w:pPr>
        <w:spacing w:line="360" w:lineRule="auto"/>
        <w:ind w:firstLine="482"/>
        <w:rPr>
          <w:rFonts w:ascii="宋体" w:hAnsi="宋体" w:cs="宋体"/>
          <w:color w:val="auto"/>
          <w:szCs w:val="21"/>
          <w:highlight w:val="none"/>
        </w:rPr>
      </w:pPr>
      <w:r>
        <w:rPr>
          <w:rFonts w:hint="eastAsia" w:ascii="宋体" w:hAnsi="宋体" w:cs="宋体"/>
          <w:color w:val="auto"/>
          <w:szCs w:val="21"/>
          <w:highlight w:val="none"/>
        </w:rPr>
        <w:t>若发包人要求该项目创优，承包人应制定创优方案，报发包人审核通过后实施。创优成功，则按照承包人投标报价的措施费计取创优费用，如创优未成功，则不予计取。</w:t>
      </w:r>
    </w:p>
    <w:p>
      <w:pPr>
        <w:spacing w:line="360" w:lineRule="auto"/>
        <w:ind w:firstLine="482"/>
        <w:rPr>
          <w:rFonts w:hint="eastAsia" w:ascii="宋体" w:hAnsi="宋体" w:cs="宋体"/>
          <w:color w:val="auto"/>
          <w:szCs w:val="21"/>
          <w:highlight w:val="none"/>
        </w:rPr>
      </w:pPr>
      <w:r>
        <w:rPr>
          <w:rFonts w:hint="eastAsia" w:ascii="宋体" w:hAnsi="宋体" w:cs="宋体"/>
          <w:color w:val="auto"/>
          <w:szCs w:val="21"/>
          <w:highlight w:val="none"/>
        </w:rPr>
        <w:t>如承包人得到超过创优目标的奖项，则按照下述执行。</w:t>
      </w:r>
    </w:p>
    <w:p>
      <w:pPr>
        <w:spacing w:line="360" w:lineRule="auto"/>
        <w:ind w:firstLine="482"/>
        <w:rPr>
          <w:rFonts w:hint="eastAsia" w:ascii="宋体" w:hAnsi="宋体"/>
          <w:color w:val="auto"/>
          <w:szCs w:val="21"/>
          <w:highlight w:val="none"/>
        </w:rPr>
      </w:pPr>
      <w:r>
        <w:rPr>
          <w:rFonts w:hint="eastAsia" w:ascii="宋体" w:hAnsi="宋体"/>
          <w:color w:val="auto"/>
          <w:szCs w:val="21"/>
          <w:highlight w:val="none"/>
        </w:rPr>
        <w:sym w:font="Times New Roman" w:char="0000"/>
      </w:r>
      <w:r>
        <w:rPr>
          <w:rFonts w:hint="eastAsia" w:ascii="宋体" w:hAnsi="宋体"/>
          <w:color w:val="auto"/>
          <w:szCs w:val="21"/>
          <w:highlight w:val="none"/>
        </w:rPr>
        <w:t>5.1.1创建优质工程项目</w:t>
      </w:r>
    </w:p>
    <w:p>
      <w:pPr>
        <w:widowControl/>
        <w:spacing w:line="360" w:lineRule="auto"/>
        <w:ind w:firstLine="424" w:firstLineChars="202"/>
        <w:rPr>
          <w:rFonts w:ascii="宋体" w:hAnsi="宋体" w:cs="宋体"/>
          <w:color w:val="auto"/>
          <w:kern w:val="0"/>
          <w:szCs w:val="21"/>
          <w:highlight w:val="none"/>
        </w:rPr>
      </w:pPr>
      <w:r>
        <w:rPr>
          <w:rFonts w:hint="eastAsia" w:ascii="宋体" w:hAnsi="宋体" w:cs="宋体"/>
          <w:color w:val="auto"/>
          <w:kern w:val="0"/>
          <w:szCs w:val="21"/>
          <w:highlight w:val="none"/>
        </w:rPr>
        <w:t>奖罚条款：</w:t>
      </w:r>
    </w:p>
    <w:p>
      <w:pPr>
        <w:widowControl/>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工程项目属光明区重点项目，且符合“深圳市优质工程奖”的申报条件，必须获得“深圳市优质工程奖”，获得不奖励，反之，任一满足申报条件的单体如未获得此奖励，则每栋未获奖的单体均处承包人违约金50万元，对于市政项目，如该项目未获奖，处承包人违约金5</w:t>
      </w:r>
      <w:r>
        <w:rPr>
          <w:rFonts w:ascii="宋体" w:hAnsi="宋体" w:cs="宋体"/>
          <w:color w:val="auto"/>
          <w:kern w:val="0"/>
          <w:szCs w:val="21"/>
          <w:highlight w:val="none"/>
        </w:rPr>
        <w:t>0</w:t>
      </w:r>
      <w:r>
        <w:rPr>
          <w:rFonts w:hint="eastAsia" w:ascii="宋体" w:hAnsi="宋体" w:cs="宋体"/>
          <w:color w:val="auto"/>
          <w:kern w:val="0"/>
          <w:szCs w:val="21"/>
          <w:highlight w:val="none"/>
        </w:rPr>
        <w:t>万元。</w:t>
      </w:r>
    </w:p>
    <w:p>
      <w:pPr>
        <w:widowControl/>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2</w:t>
      </w:r>
      <w:r>
        <w:rPr>
          <w:rFonts w:hint="eastAsia" w:ascii="宋体" w:hAnsi="宋体" w:cs="宋体"/>
          <w:color w:val="auto"/>
          <w:kern w:val="0"/>
          <w:szCs w:val="21"/>
          <w:highlight w:val="none"/>
        </w:rPr>
        <w:t>）如再获得“</w:t>
      </w:r>
      <w:r>
        <w:rPr>
          <w:rFonts w:ascii="宋体" w:hAnsi="宋体" w:cs="宋体"/>
          <w:color w:val="auto"/>
          <w:kern w:val="0"/>
          <w:szCs w:val="21"/>
          <w:highlight w:val="none"/>
        </w:rPr>
        <w:t>广东省建设工程优质奖</w:t>
      </w:r>
      <w:r>
        <w:rPr>
          <w:rFonts w:hint="eastAsia" w:ascii="宋体" w:hAnsi="宋体" w:cs="宋体"/>
          <w:color w:val="auto"/>
          <w:kern w:val="0"/>
          <w:szCs w:val="21"/>
          <w:highlight w:val="none"/>
        </w:rPr>
        <w:t>”，奖励100万元，未获得不处承包人违约金，对于市政项目，获得“广东省市政优质样板工程”，奖励100万元，未获得不处承包人违约金。</w:t>
      </w:r>
    </w:p>
    <w:p>
      <w:pPr>
        <w:widowControl/>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rPr>
        <w:t>3</w:t>
      </w:r>
      <w:r>
        <w:rPr>
          <w:rFonts w:hint="eastAsia" w:ascii="宋体" w:hAnsi="宋体" w:cs="宋体"/>
          <w:color w:val="auto"/>
          <w:kern w:val="0"/>
          <w:szCs w:val="21"/>
          <w:highlight w:val="none"/>
        </w:rPr>
        <w:t>）如继续获得“</w:t>
      </w:r>
      <w:r>
        <w:rPr>
          <w:rFonts w:ascii="宋体" w:hAnsi="宋体" w:cs="宋体"/>
          <w:color w:val="auto"/>
          <w:kern w:val="0"/>
          <w:szCs w:val="21"/>
          <w:highlight w:val="none"/>
        </w:rPr>
        <w:t>中国建设工程鲁班奖</w:t>
      </w:r>
      <w:r>
        <w:rPr>
          <w:rFonts w:hint="eastAsia" w:ascii="宋体" w:hAnsi="宋体" w:cs="宋体"/>
          <w:color w:val="auto"/>
          <w:kern w:val="0"/>
          <w:szCs w:val="21"/>
          <w:highlight w:val="none"/>
        </w:rPr>
        <w:t>”</w:t>
      </w:r>
      <w:r>
        <w:rPr>
          <w:rFonts w:ascii="宋体" w:hAnsi="宋体" w:cs="宋体"/>
          <w:color w:val="auto"/>
          <w:kern w:val="0"/>
          <w:szCs w:val="21"/>
          <w:highlight w:val="none"/>
        </w:rPr>
        <w:t>(简称</w:t>
      </w:r>
      <w:r>
        <w:rPr>
          <w:rFonts w:hint="eastAsia" w:ascii="宋体" w:hAnsi="宋体" w:cs="宋体"/>
          <w:color w:val="auto"/>
          <w:kern w:val="0"/>
          <w:szCs w:val="21"/>
          <w:highlight w:val="none"/>
        </w:rPr>
        <w:t>“</w:t>
      </w:r>
      <w:r>
        <w:rPr>
          <w:rFonts w:ascii="宋体" w:hAnsi="宋体" w:cs="宋体"/>
          <w:color w:val="auto"/>
          <w:kern w:val="0"/>
          <w:szCs w:val="21"/>
          <w:highlight w:val="none"/>
        </w:rPr>
        <w:t>鲁班奖</w:t>
      </w:r>
      <w:r>
        <w:rPr>
          <w:rFonts w:hint="eastAsia" w:ascii="宋体" w:hAnsi="宋体" w:cs="宋体"/>
          <w:color w:val="auto"/>
          <w:kern w:val="0"/>
          <w:szCs w:val="21"/>
          <w:highlight w:val="none"/>
        </w:rPr>
        <w:t>”</w:t>
      </w:r>
      <w:r>
        <w:rPr>
          <w:rFonts w:ascii="宋体" w:hAnsi="宋体" w:cs="宋体"/>
          <w:color w:val="auto"/>
          <w:kern w:val="0"/>
          <w:szCs w:val="21"/>
          <w:highlight w:val="none"/>
        </w:rPr>
        <w:t>)</w:t>
      </w:r>
      <w:r>
        <w:rPr>
          <w:rFonts w:hint="eastAsia" w:ascii="宋体" w:hAnsi="宋体" w:cs="宋体"/>
          <w:color w:val="auto"/>
          <w:kern w:val="0"/>
          <w:szCs w:val="21"/>
          <w:highlight w:val="none"/>
        </w:rPr>
        <w:t>，奖励500万元，未获得不处承包人违约金，对于市政项目，获得“中国市政金杯奖”</w:t>
      </w:r>
      <w:r>
        <w:rPr>
          <w:rFonts w:ascii="宋体" w:hAnsi="宋体" w:cs="宋体"/>
          <w:color w:val="auto"/>
          <w:kern w:val="0"/>
          <w:szCs w:val="21"/>
          <w:highlight w:val="none"/>
        </w:rPr>
        <w:t>(简称</w:t>
      </w:r>
      <w:r>
        <w:rPr>
          <w:rFonts w:hint="eastAsia" w:ascii="宋体" w:hAnsi="宋体" w:cs="宋体"/>
          <w:color w:val="auto"/>
          <w:kern w:val="0"/>
          <w:szCs w:val="21"/>
          <w:highlight w:val="none"/>
        </w:rPr>
        <w:t>“金杯</w:t>
      </w:r>
      <w:r>
        <w:rPr>
          <w:rFonts w:ascii="宋体" w:hAnsi="宋体" w:cs="宋体"/>
          <w:color w:val="auto"/>
          <w:kern w:val="0"/>
          <w:szCs w:val="21"/>
          <w:highlight w:val="none"/>
        </w:rPr>
        <w:t>奖</w:t>
      </w:r>
      <w:r>
        <w:rPr>
          <w:rFonts w:hint="eastAsia" w:ascii="宋体" w:hAnsi="宋体" w:cs="宋体"/>
          <w:color w:val="auto"/>
          <w:kern w:val="0"/>
          <w:szCs w:val="21"/>
          <w:highlight w:val="none"/>
        </w:rPr>
        <w:t>”</w:t>
      </w:r>
      <w:r>
        <w:rPr>
          <w:rFonts w:ascii="宋体" w:hAnsi="宋体" w:cs="宋体"/>
          <w:color w:val="auto"/>
          <w:kern w:val="0"/>
          <w:szCs w:val="21"/>
          <w:highlight w:val="none"/>
        </w:rPr>
        <w:t>)</w:t>
      </w:r>
      <w:r>
        <w:rPr>
          <w:rFonts w:hint="eastAsia" w:ascii="宋体" w:hAnsi="宋体" w:cs="宋体"/>
          <w:color w:val="auto"/>
          <w:kern w:val="0"/>
          <w:szCs w:val="21"/>
          <w:highlight w:val="none"/>
        </w:rPr>
        <w:t>，奖励100万元，未获得不处承包人违约金。</w:t>
      </w:r>
    </w:p>
    <w:p>
      <w:pPr>
        <w:widowControl/>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既获得“</w:t>
      </w:r>
      <w:r>
        <w:rPr>
          <w:rFonts w:ascii="宋体" w:hAnsi="宋体" w:cs="宋体"/>
          <w:color w:val="auto"/>
          <w:kern w:val="0"/>
          <w:szCs w:val="21"/>
          <w:highlight w:val="none"/>
        </w:rPr>
        <w:t>广东省建设工程优质奖</w:t>
      </w:r>
      <w:r>
        <w:rPr>
          <w:rFonts w:hint="eastAsia" w:ascii="宋体" w:hAnsi="宋体" w:cs="宋体"/>
          <w:color w:val="auto"/>
          <w:kern w:val="0"/>
          <w:szCs w:val="21"/>
          <w:highlight w:val="none"/>
        </w:rPr>
        <w:t>”，又获得“</w:t>
      </w:r>
      <w:r>
        <w:rPr>
          <w:rFonts w:ascii="宋体" w:hAnsi="宋体" w:cs="宋体"/>
          <w:color w:val="auto"/>
          <w:kern w:val="0"/>
          <w:szCs w:val="21"/>
          <w:highlight w:val="none"/>
        </w:rPr>
        <w:t>中国建设工程鲁班奖</w:t>
      </w:r>
      <w:r>
        <w:rPr>
          <w:rFonts w:hint="eastAsia" w:ascii="宋体" w:hAnsi="宋体" w:cs="宋体"/>
          <w:color w:val="auto"/>
          <w:kern w:val="0"/>
          <w:szCs w:val="21"/>
          <w:highlight w:val="none"/>
        </w:rPr>
        <w:t>”的，累计奖励承包人为5</w:t>
      </w:r>
      <w:r>
        <w:rPr>
          <w:rFonts w:ascii="宋体" w:hAnsi="宋体" w:cs="宋体"/>
          <w:color w:val="auto"/>
          <w:kern w:val="0"/>
          <w:szCs w:val="21"/>
          <w:highlight w:val="none"/>
        </w:rPr>
        <w:t>00</w:t>
      </w:r>
      <w:r>
        <w:rPr>
          <w:rFonts w:hint="eastAsia" w:ascii="宋体" w:hAnsi="宋体" w:cs="宋体"/>
          <w:color w:val="auto"/>
          <w:kern w:val="0"/>
          <w:szCs w:val="21"/>
          <w:highlight w:val="none"/>
        </w:rPr>
        <w:t>万元，既获得“广东省市政优质样板工程”，又获得“中国市政金杯奖”的，累计奖励承包人为5</w:t>
      </w:r>
      <w:r>
        <w:rPr>
          <w:rFonts w:ascii="宋体" w:hAnsi="宋体" w:cs="宋体"/>
          <w:color w:val="auto"/>
          <w:kern w:val="0"/>
          <w:szCs w:val="21"/>
          <w:highlight w:val="none"/>
        </w:rPr>
        <w:t>00</w:t>
      </w:r>
      <w:r>
        <w:rPr>
          <w:rFonts w:hint="eastAsia" w:ascii="宋体" w:hAnsi="宋体" w:cs="宋体"/>
          <w:color w:val="auto"/>
          <w:kern w:val="0"/>
          <w:szCs w:val="21"/>
          <w:highlight w:val="none"/>
        </w:rPr>
        <w:t>万元。</w:t>
      </w:r>
    </w:p>
    <w:p>
      <w:pPr>
        <w:widowControl/>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如项目获得“</w:t>
      </w:r>
      <w:r>
        <w:rPr>
          <w:rFonts w:ascii="宋体" w:hAnsi="宋体" w:cs="宋体"/>
          <w:color w:val="auto"/>
          <w:kern w:val="0"/>
          <w:szCs w:val="21"/>
          <w:highlight w:val="none"/>
        </w:rPr>
        <w:t>中国建设工程鲁班奖</w:t>
      </w:r>
      <w:r>
        <w:rPr>
          <w:rFonts w:hint="eastAsia" w:ascii="宋体" w:hAnsi="宋体" w:cs="宋体"/>
          <w:color w:val="auto"/>
          <w:kern w:val="0"/>
          <w:szCs w:val="21"/>
          <w:highlight w:val="none"/>
        </w:rPr>
        <w:t>”或“中国市政金杯奖”，发包人有权按照深圳市现行建设工程招标投标文件规定，给予承包人投标相应的政策激励。</w:t>
      </w:r>
    </w:p>
    <w:p>
      <w:pPr>
        <w:spacing w:line="360" w:lineRule="auto"/>
        <w:ind w:firstLine="482"/>
        <w:rPr>
          <w:rFonts w:ascii="宋体" w:hAnsi="宋体" w:cs="宋体"/>
          <w:color w:val="auto"/>
          <w:szCs w:val="21"/>
          <w:highlight w:val="none"/>
        </w:rPr>
      </w:pPr>
      <w:r>
        <w:rPr>
          <w:rFonts w:hint="eastAsia" w:ascii="宋体" w:hAnsi="宋体" w:cs="宋体"/>
          <w:color w:val="auto"/>
          <w:szCs w:val="21"/>
          <w:highlight w:val="none"/>
        </w:rPr>
        <w:t>5.1.2</w:t>
      </w:r>
      <w:r>
        <w:rPr>
          <w:rFonts w:hint="eastAsia" w:ascii="宋体" w:hAnsi="宋体"/>
          <w:color w:val="auto"/>
          <w:szCs w:val="21"/>
          <w:highlight w:val="none"/>
        </w:rPr>
        <w:t>预验收</w:t>
      </w:r>
    </w:p>
    <w:p>
      <w:pPr>
        <w:spacing w:line="360" w:lineRule="auto"/>
        <w:ind w:firstLine="482"/>
        <w:rPr>
          <w:rFonts w:hint="eastAsia" w:ascii="宋体" w:hAnsi="宋体"/>
          <w:color w:val="auto"/>
          <w:szCs w:val="21"/>
          <w:highlight w:val="none"/>
        </w:rPr>
      </w:pPr>
      <w:r>
        <w:rPr>
          <w:rFonts w:hint="eastAsia" w:ascii="宋体" w:hAnsi="宋体"/>
          <w:color w:val="auto"/>
          <w:szCs w:val="21"/>
          <w:highlight w:val="none"/>
        </w:rPr>
        <w:sym w:font="Wingdings" w:char="F0A8"/>
      </w:r>
      <w:r>
        <w:rPr>
          <w:rFonts w:hint="eastAsia" w:ascii="宋体" w:hAnsi="宋体"/>
          <w:color w:val="auto"/>
          <w:szCs w:val="21"/>
          <w:highlight w:val="none"/>
        </w:rPr>
        <w:t>预验收结果应达到以下要求：</w:t>
      </w:r>
      <w:r>
        <w:rPr>
          <w:rFonts w:hint="eastAsia" w:ascii="宋体" w:hAnsi="宋体"/>
          <w:color w:val="auto"/>
          <w:szCs w:val="20"/>
          <w:highlight w:val="none"/>
          <w:u w:val="single"/>
        </w:rPr>
        <w:t xml:space="preserve">                 </w:t>
      </w:r>
      <w:r>
        <w:rPr>
          <w:rFonts w:ascii="宋体" w:hAnsi="宋体"/>
          <w:color w:val="auto"/>
          <w:szCs w:val="20"/>
          <w:highlight w:val="none"/>
          <w:u w:val="single"/>
        </w:rPr>
        <w:t xml:space="preserve">                                      </w:t>
      </w:r>
    </w:p>
    <w:p>
      <w:pPr>
        <w:spacing w:line="360" w:lineRule="auto"/>
        <w:rPr>
          <w:rFonts w:ascii="宋体" w:hAnsi="宋体"/>
          <w:color w:val="auto"/>
          <w:szCs w:val="21"/>
          <w:highlight w:val="none"/>
        </w:rPr>
      </w:pPr>
      <w:r>
        <w:rPr>
          <w:rFonts w:hint="eastAsia" w:ascii="宋体" w:hAnsi="宋体"/>
          <w:color w:val="auto"/>
          <w:szCs w:val="20"/>
          <w:highlight w:val="none"/>
          <w:u w:val="single"/>
        </w:rPr>
        <w:t xml:space="preserve">                                                        </w:t>
      </w:r>
      <w:r>
        <w:rPr>
          <w:rFonts w:ascii="宋体" w:hAnsi="宋体"/>
          <w:color w:val="auto"/>
          <w:szCs w:val="20"/>
          <w:highlight w:val="none"/>
          <w:u w:val="single"/>
        </w:rPr>
        <w:t xml:space="preserve">               </w:t>
      </w:r>
      <w:r>
        <w:rPr>
          <w:rFonts w:hint="eastAsia" w:ascii="宋体" w:hAnsi="宋体"/>
          <w:color w:val="auto"/>
          <w:szCs w:val="20"/>
          <w:highlight w:val="none"/>
          <w:u w:val="single"/>
        </w:rPr>
        <w:t xml:space="preserve">             </w:t>
      </w:r>
      <w:r>
        <w:rPr>
          <w:rFonts w:hint="eastAsia" w:ascii="宋体" w:hAnsi="宋体"/>
          <w:bCs/>
          <w:color w:val="auto"/>
          <w:szCs w:val="20"/>
          <w:highlight w:val="none"/>
          <w:u w:val="single"/>
        </w:rPr>
        <w:t xml:space="preserve"> </w:t>
      </w:r>
      <w:r>
        <w:rPr>
          <w:rFonts w:hint="eastAsia" w:ascii="宋体" w:hAnsi="宋体"/>
          <w:color w:val="auto"/>
          <w:szCs w:val="21"/>
          <w:highlight w:val="none"/>
        </w:rPr>
        <w:t>。</w:t>
      </w:r>
    </w:p>
    <w:p>
      <w:pPr>
        <w:spacing w:line="360" w:lineRule="auto"/>
        <w:ind w:firstLine="482"/>
        <w:rPr>
          <w:rFonts w:hint="eastAsia" w:ascii="宋体" w:hAnsi="宋体"/>
          <w:color w:val="auto"/>
          <w:szCs w:val="20"/>
          <w:highlight w:val="none"/>
        </w:rPr>
      </w:pPr>
      <w:r>
        <w:rPr>
          <w:rFonts w:hint="eastAsia" w:ascii="宋体" w:hAnsi="宋体"/>
          <w:color w:val="auto"/>
          <w:szCs w:val="21"/>
          <w:highlight w:val="none"/>
        </w:rPr>
        <w:sym w:font="Wingdings" w:char="F0A8"/>
      </w:r>
      <w:r>
        <w:rPr>
          <w:rFonts w:hint="eastAsia" w:ascii="宋体" w:hAnsi="宋体" w:cs="宋体"/>
          <w:color w:val="auto"/>
          <w:szCs w:val="21"/>
          <w:highlight w:val="none"/>
        </w:rPr>
        <w:t>预验收评价得分不得低于80分，预验收复查问题整改率不得低于80%。否则，须重新进行预验收评价或预验收复查。</w:t>
      </w:r>
    </w:p>
    <w:p>
      <w:pPr>
        <w:keepNext/>
        <w:keepLines/>
        <w:spacing w:before="120" w:beforeLines="50" w:after="120" w:afterLines="50" w:line="360" w:lineRule="auto"/>
        <w:ind w:left="562"/>
        <w:outlineLvl w:val="2"/>
        <w:rPr>
          <w:rFonts w:ascii="宋体" w:hAnsi="宋体" w:cs="宋体"/>
          <w:b/>
          <w:color w:val="auto"/>
          <w:sz w:val="28"/>
          <w:szCs w:val="28"/>
          <w:highlight w:val="none"/>
        </w:rPr>
      </w:pPr>
      <w:bookmarkStart w:id="6312" w:name="_Toc69114077"/>
      <w:r>
        <w:rPr>
          <w:rFonts w:ascii="宋体" w:hAnsi="宋体" w:cs="宋体"/>
          <w:b/>
          <w:color w:val="auto"/>
          <w:sz w:val="28"/>
          <w:szCs w:val="28"/>
          <w:highlight w:val="none"/>
        </w:rPr>
        <w:t>5.</w:t>
      </w:r>
      <w:r>
        <w:rPr>
          <w:rFonts w:hint="eastAsia" w:ascii="宋体" w:hAnsi="宋体" w:cs="宋体"/>
          <w:b/>
          <w:color w:val="auto"/>
          <w:sz w:val="28"/>
          <w:szCs w:val="28"/>
          <w:highlight w:val="none"/>
        </w:rPr>
        <w:t>3</w:t>
      </w:r>
      <w:r>
        <w:rPr>
          <w:rFonts w:ascii="宋体" w:hAnsi="宋体" w:cs="宋体"/>
          <w:b/>
          <w:color w:val="auto"/>
          <w:sz w:val="28"/>
          <w:szCs w:val="28"/>
          <w:highlight w:val="none"/>
        </w:rPr>
        <w:t xml:space="preserve"> </w:t>
      </w:r>
      <w:r>
        <w:rPr>
          <w:rFonts w:ascii="宋体" w:hAnsi="宋体" w:cs="宋体"/>
          <w:b/>
          <w:bCs/>
          <w:color w:val="auto"/>
          <w:sz w:val="28"/>
          <w:szCs w:val="28"/>
          <w:highlight w:val="none"/>
        </w:rPr>
        <w:t>隐蔽工程检查</w:t>
      </w:r>
      <w:bookmarkEnd w:id="6311"/>
      <w:bookmarkEnd w:id="6312"/>
    </w:p>
    <w:p>
      <w:pPr>
        <w:spacing w:line="360" w:lineRule="auto"/>
        <w:ind w:firstLine="482"/>
        <w:rPr>
          <w:rFonts w:hint="eastAsia"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3.2</w:t>
      </w:r>
      <w:r>
        <w:rPr>
          <w:rFonts w:ascii="宋体" w:hAnsi="宋体"/>
          <w:color w:val="auto"/>
          <w:szCs w:val="21"/>
          <w:highlight w:val="none"/>
        </w:rPr>
        <w:t>承包人提前通知监理人隐蔽工程检查的期限的约定：</w:t>
      </w:r>
      <w:r>
        <w:rPr>
          <w:rFonts w:hint="eastAsia" w:ascii="宋体" w:hAnsi="宋体"/>
          <w:color w:val="auto"/>
          <w:szCs w:val="20"/>
          <w:highlight w:val="none"/>
          <w:u w:val="single"/>
        </w:rPr>
        <w:t xml:space="preserve">  </w:t>
      </w:r>
      <w:r>
        <w:rPr>
          <w:rFonts w:ascii="宋体" w:hAnsi="宋体"/>
          <w:color w:val="auto"/>
          <w:szCs w:val="20"/>
          <w:highlight w:val="none"/>
          <w:u w:val="single"/>
        </w:rPr>
        <w:t xml:space="preserve">             </w:t>
      </w:r>
      <w:r>
        <w:rPr>
          <w:rFonts w:hint="eastAsia" w:ascii="宋体" w:hAnsi="宋体"/>
          <w:color w:val="auto"/>
          <w:szCs w:val="20"/>
          <w:highlight w:val="none"/>
          <w:u w:val="single"/>
        </w:rPr>
        <w:t xml:space="preserve">               </w:t>
      </w:r>
    </w:p>
    <w:p>
      <w:pPr>
        <w:spacing w:line="360" w:lineRule="auto"/>
        <w:rPr>
          <w:rFonts w:ascii="宋体" w:hAnsi="宋体"/>
          <w:color w:val="auto"/>
          <w:szCs w:val="20"/>
          <w:highlight w:val="none"/>
        </w:rPr>
      </w:pPr>
      <w:r>
        <w:rPr>
          <w:rFonts w:hint="eastAsia" w:ascii="宋体" w:hAnsi="宋体"/>
          <w:color w:val="auto"/>
          <w:szCs w:val="20"/>
          <w:highlight w:val="none"/>
          <w:u w:val="single"/>
        </w:rPr>
        <w:t xml:space="preserve">                                                            </w:t>
      </w:r>
      <w:r>
        <w:rPr>
          <w:rFonts w:ascii="宋体" w:hAnsi="宋体"/>
          <w:color w:val="auto"/>
          <w:szCs w:val="20"/>
          <w:highlight w:val="none"/>
          <w:u w:val="single"/>
        </w:rPr>
        <w:t xml:space="preserve">               </w:t>
      </w:r>
      <w:r>
        <w:rPr>
          <w:rFonts w:hint="eastAsia" w:ascii="宋体" w:hAnsi="宋体"/>
          <w:color w:val="auto"/>
          <w:szCs w:val="20"/>
          <w:highlight w:val="none"/>
          <w:u w:val="single"/>
        </w:rPr>
        <w:t xml:space="preserve">         </w:t>
      </w:r>
      <w:r>
        <w:rPr>
          <w:rFonts w:hint="eastAsia" w:ascii="宋体" w:hAnsi="宋体"/>
          <w:bCs/>
          <w:color w:val="auto"/>
          <w:szCs w:val="20"/>
          <w:highlight w:val="none"/>
          <w:u w:val="single"/>
        </w:rPr>
        <w:t xml:space="preserve"> </w:t>
      </w:r>
      <w:r>
        <w:rPr>
          <w:rFonts w:hint="eastAsia" w:ascii="宋体" w:hAnsi="宋体"/>
          <w:color w:val="auto"/>
          <w:szCs w:val="21"/>
          <w:highlight w:val="none"/>
        </w:rPr>
        <w:t>。</w:t>
      </w:r>
    </w:p>
    <w:p>
      <w:pPr>
        <w:spacing w:line="360" w:lineRule="auto"/>
        <w:ind w:firstLine="480"/>
        <w:rPr>
          <w:rFonts w:ascii="宋体" w:hAnsi="宋体"/>
          <w:color w:val="auto"/>
          <w:szCs w:val="21"/>
          <w:highlight w:val="none"/>
        </w:rPr>
      </w:pPr>
      <w:r>
        <w:rPr>
          <w:rFonts w:ascii="宋体" w:hAnsi="宋体"/>
          <w:color w:val="auto"/>
          <w:szCs w:val="21"/>
          <w:highlight w:val="none"/>
        </w:rPr>
        <w:t>监理人不能按时进行检查时，应提前</w:t>
      </w:r>
      <w:r>
        <w:rPr>
          <w:rFonts w:ascii="宋体" w:hAnsi="宋体"/>
          <w:color w:val="auto"/>
          <w:szCs w:val="21"/>
          <w:highlight w:val="none"/>
          <w:u w:val="single"/>
        </w:rPr>
        <w:t xml:space="preserve">       </w:t>
      </w:r>
      <w:r>
        <w:rPr>
          <w:rFonts w:ascii="宋体" w:hAnsi="宋体"/>
          <w:color w:val="auto"/>
          <w:szCs w:val="21"/>
          <w:highlight w:val="none"/>
        </w:rPr>
        <w:t>小时提交书面延期要求。</w:t>
      </w:r>
    </w:p>
    <w:p>
      <w:pPr>
        <w:keepNext/>
        <w:keepLines/>
        <w:spacing w:before="120" w:beforeLines="50" w:after="120" w:afterLines="50" w:line="360" w:lineRule="auto"/>
        <w:ind w:firstLine="420" w:firstLineChars="200"/>
        <w:rPr>
          <w:rFonts w:hint="eastAsia" w:ascii="宋体" w:hAnsi="宋体" w:cs="宋体"/>
          <w:b/>
          <w:bCs/>
          <w:color w:val="auto"/>
          <w:sz w:val="24"/>
          <w:szCs w:val="24"/>
          <w:highlight w:val="none"/>
        </w:rPr>
      </w:pPr>
      <w:r>
        <w:rPr>
          <w:rFonts w:ascii="宋体" w:hAnsi="宋体"/>
          <w:color w:val="auto"/>
          <w:szCs w:val="21"/>
          <w:highlight w:val="none"/>
        </w:rPr>
        <w:t>关于延期最长不得超过：</w:t>
      </w:r>
      <w:r>
        <w:rPr>
          <w:rFonts w:ascii="宋体" w:hAnsi="宋体"/>
          <w:color w:val="auto"/>
          <w:szCs w:val="21"/>
          <w:highlight w:val="none"/>
          <w:u w:val="single"/>
        </w:rPr>
        <w:t xml:space="preserve">         </w:t>
      </w:r>
      <w:r>
        <w:rPr>
          <w:rFonts w:ascii="宋体" w:hAnsi="宋体"/>
          <w:color w:val="auto"/>
          <w:szCs w:val="21"/>
          <w:highlight w:val="none"/>
        </w:rPr>
        <w:t>小时。</w:t>
      </w:r>
    </w:p>
    <w:p>
      <w:pPr>
        <w:keepNext/>
        <w:keepLines/>
        <w:spacing w:before="120" w:beforeLines="50" w:after="120" w:afterLines="50" w:line="360" w:lineRule="auto"/>
        <w:ind w:left="562"/>
        <w:outlineLvl w:val="2"/>
        <w:rPr>
          <w:rFonts w:hint="eastAsia" w:ascii="宋体" w:hAnsi="宋体" w:cs="宋体"/>
          <w:b/>
          <w:bCs/>
          <w:color w:val="auto"/>
          <w:sz w:val="28"/>
          <w:szCs w:val="28"/>
          <w:highlight w:val="none"/>
        </w:rPr>
      </w:pPr>
      <w:bookmarkStart w:id="6313" w:name="_Toc11696"/>
      <w:bookmarkStart w:id="6314" w:name="_Toc69114078"/>
      <w:bookmarkStart w:id="6315" w:name="_Toc25955"/>
      <w:bookmarkStart w:id="6316" w:name="_Toc12800"/>
      <w:bookmarkStart w:id="6317" w:name="_Toc9920"/>
      <w:bookmarkStart w:id="6318" w:name="_Toc29709"/>
      <w:bookmarkStart w:id="6319" w:name="_Toc30581"/>
      <w:bookmarkStart w:id="6320" w:name="_Toc28632"/>
      <w:bookmarkStart w:id="6321" w:name="_Toc517532271"/>
      <w:bookmarkStart w:id="6322" w:name="_Toc13440"/>
      <w:bookmarkStart w:id="6323" w:name="_Toc517530995"/>
      <w:bookmarkStart w:id="6324" w:name="_Toc26085"/>
      <w:bookmarkStart w:id="6325" w:name="_Toc517528788"/>
      <w:bookmarkStart w:id="6326" w:name="_Toc9449"/>
      <w:bookmarkStart w:id="6327" w:name="_Toc32586"/>
      <w:bookmarkStart w:id="6328" w:name="_Toc21834"/>
      <w:bookmarkStart w:id="6329" w:name="_Toc29774"/>
      <w:bookmarkStart w:id="6330" w:name="_Toc22862"/>
      <w:bookmarkStart w:id="6331" w:name="_Toc13616"/>
      <w:r>
        <w:rPr>
          <w:rFonts w:ascii="Segoe UI Symbol" w:hAnsi="Segoe UI Symbol" w:cs="Segoe UI Symbol"/>
          <w:color w:val="auto"/>
          <w:sz w:val="28"/>
          <w:szCs w:val="28"/>
          <w:highlight w:val="none"/>
        </w:rPr>
        <w:sym w:font="Wingdings" w:char="F0A8"/>
      </w:r>
      <w:r>
        <w:rPr>
          <w:rFonts w:hint="eastAsia" w:ascii="宋体" w:hAnsi="宋体" w:cs="宋体"/>
          <w:b/>
          <w:bCs/>
          <w:color w:val="auto"/>
          <w:sz w:val="28"/>
          <w:szCs w:val="28"/>
          <w:highlight w:val="none"/>
        </w:rPr>
        <w:t>5.5质量、安全检查</w:t>
      </w:r>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r>
        <w:rPr>
          <w:rFonts w:hint="eastAsia" w:ascii="宋体" w:hAnsi="宋体" w:cs="宋体"/>
          <w:b/>
          <w:bCs/>
          <w:color w:val="auto"/>
          <w:sz w:val="28"/>
          <w:szCs w:val="28"/>
          <w:highlight w:val="none"/>
        </w:rPr>
        <w:t xml:space="preserve"> </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发包人对年度质量安全排名靠前的承包人给予奖励，对年度质量安全排名靠后的承包人承担违约金。年度质量安全排名靠前是指发包人汇总的年度排行榜中，年度质量安全排名在前15%且得分大于85分的（按参与排名承包人数量计算，四舍五入，且不超过3名）；年度质量安全排名靠后是指发包人汇总的年度排行榜中，排名在后15%且得分低于80分的（按参与排名承包人数量计算，四舍五入，且不超过3名）。标准如下：</w:t>
      </w:r>
    </w:p>
    <w:tbl>
      <w:tblPr>
        <w:tblStyle w:val="43"/>
        <w:tblW w:w="84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19"/>
        <w:gridCol w:w="6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1619"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排行榜类别</w:t>
            </w:r>
          </w:p>
        </w:tc>
        <w:tc>
          <w:tcPr>
            <w:tcW w:w="679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奖励或违约金标准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7" w:hRule="atLeast"/>
          <w:jc w:val="center"/>
        </w:trPr>
        <w:tc>
          <w:tcPr>
            <w:tcW w:w="1619"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质量</w:t>
            </w:r>
          </w:p>
        </w:tc>
        <w:tc>
          <w:tcPr>
            <w:tcW w:w="679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签约合同金额≤5000万元，奖励或违约金（合同价的1‰，不超</w:t>
            </w:r>
            <w:r>
              <w:rPr>
                <w:rFonts w:ascii="宋体" w:hAnsi="宋体" w:cs="宋体"/>
                <w:color w:val="auto"/>
                <w:szCs w:val="21"/>
                <w:highlight w:val="none"/>
              </w:rPr>
              <w:t>5</w:t>
            </w:r>
            <w:r>
              <w:rPr>
                <w:rFonts w:hint="eastAsia" w:ascii="宋体" w:hAnsi="宋体" w:cs="宋体"/>
                <w:color w:val="auto"/>
                <w:szCs w:val="21"/>
                <w:highlight w:val="none"/>
              </w:rPr>
              <w:t>万元）；</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5000万元＜签约合同金额≤20000万元，奖励或违约金（合同价的1‰，不超10万元；）</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20000万元＜签约合同金额≤50000万元，奖励或违约金</w:t>
            </w:r>
            <w:r>
              <w:rPr>
                <w:rFonts w:ascii="宋体" w:hAnsi="宋体" w:cs="宋体"/>
                <w:color w:val="auto"/>
                <w:szCs w:val="21"/>
                <w:highlight w:val="none"/>
              </w:rPr>
              <w:t>15</w:t>
            </w:r>
            <w:r>
              <w:rPr>
                <w:rFonts w:hint="eastAsia" w:ascii="宋体" w:hAnsi="宋体" w:cs="宋体"/>
                <w:color w:val="auto"/>
                <w:szCs w:val="21"/>
                <w:highlight w:val="none"/>
              </w:rPr>
              <w:t>万元；</w:t>
            </w:r>
          </w:p>
          <w:p>
            <w:pPr>
              <w:spacing w:line="360" w:lineRule="auto"/>
              <w:rPr>
                <w:rFonts w:ascii="宋体" w:hAnsi="宋体" w:cs="宋体"/>
                <w:color w:val="auto"/>
                <w:szCs w:val="21"/>
                <w:highlight w:val="none"/>
              </w:rPr>
            </w:pPr>
            <w:r>
              <w:rPr>
                <w:rFonts w:hint="eastAsia" w:ascii="宋体" w:hAnsi="宋体" w:cs="宋体"/>
                <w:color w:val="auto"/>
                <w:szCs w:val="21"/>
                <w:highlight w:val="none"/>
              </w:rPr>
              <w:t>50000万元＜签约合同金额，奖励或违约金</w:t>
            </w:r>
            <w:r>
              <w:rPr>
                <w:rFonts w:ascii="宋体" w:hAnsi="宋体" w:cs="宋体"/>
                <w:color w:val="auto"/>
                <w:szCs w:val="21"/>
                <w:highlight w:val="none"/>
              </w:rPr>
              <w:t>20</w:t>
            </w:r>
            <w:r>
              <w:rPr>
                <w:rFonts w:hint="eastAsia" w:ascii="宋体" w:hAnsi="宋体" w:cs="宋体"/>
                <w:color w:val="auto"/>
                <w:szCs w:val="21"/>
                <w:highlight w:val="none"/>
              </w:rPr>
              <w:t>万元。</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以上所有奖励或违约金的5</w:t>
            </w:r>
            <w:r>
              <w:rPr>
                <w:rFonts w:ascii="宋体" w:hAnsi="宋体" w:cs="宋体"/>
                <w:color w:val="auto"/>
                <w:szCs w:val="21"/>
                <w:highlight w:val="none"/>
              </w:rPr>
              <w:t>0%</w:t>
            </w:r>
            <w:r>
              <w:rPr>
                <w:rFonts w:hint="eastAsia" w:ascii="宋体" w:hAnsi="宋体" w:cs="宋体"/>
                <w:color w:val="auto"/>
                <w:szCs w:val="21"/>
                <w:highlight w:val="none"/>
              </w:rPr>
              <w:t>由承包人项目管理团队获得或承担。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4" w:hRule="atLeast"/>
          <w:jc w:val="center"/>
        </w:trPr>
        <w:tc>
          <w:tcPr>
            <w:tcW w:w="1619"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安全文明</w:t>
            </w:r>
          </w:p>
        </w:tc>
        <w:tc>
          <w:tcPr>
            <w:tcW w:w="679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rPr>
                <w:rFonts w:ascii="宋体" w:hAnsi="宋体" w:cs="宋体"/>
                <w:color w:val="auto"/>
                <w:szCs w:val="21"/>
                <w:highlight w:val="none"/>
              </w:rPr>
            </w:pPr>
            <w:r>
              <w:rPr>
                <w:rFonts w:hint="eastAsia" w:ascii="宋体" w:hAnsi="宋体" w:cs="宋体"/>
                <w:color w:val="auto"/>
                <w:szCs w:val="21"/>
                <w:highlight w:val="none"/>
              </w:rPr>
              <w:t>签约合同金额≤5000万元，奖励或违约金（合同价的1‰，不超</w:t>
            </w:r>
            <w:r>
              <w:rPr>
                <w:rFonts w:ascii="宋体" w:hAnsi="宋体" w:cs="宋体"/>
                <w:color w:val="auto"/>
                <w:szCs w:val="21"/>
                <w:highlight w:val="none"/>
              </w:rPr>
              <w:t>5</w:t>
            </w:r>
            <w:r>
              <w:rPr>
                <w:rFonts w:hint="eastAsia" w:ascii="宋体" w:hAnsi="宋体" w:cs="宋体"/>
                <w:color w:val="auto"/>
                <w:szCs w:val="21"/>
                <w:highlight w:val="none"/>
              </w:rPr>
              <w:t>万元）；</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5000万元＜签约合同金额≤20000万元，奖励或违约金（合同价的1‰，不超10万元；）</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20000万元＜签约合同金额≤50000万元，奖励或违约金</w:t>
            </w:r>
            <w:r>
              <w:rPr>
                <w:rFonts w:ascii="宋体" w:hAnsi="宋体" w:cs="宋体"/>
                <w:color w:val="auto"/>
                <w:szCs w:val="21"/>
                <w:highlight w:val="none"/>
              </w:rPr>
              <w:t>15</w:t>
            </w:r>
            <w:r>
              <w:rPr>
                <w:rFonts w:hint="eastAsia" w:ascii="宋体" w:hAnsi="宋体" w:cs="宋体"/>
                <w:color w:val="auto"/>
                <w:szCs w:val="21"/>
                <w:highlight w:val="none"/>
              </w:rPr>
              <w:t>万元；</w:t>
            </w:r>
          </w:p>
          <w:p>
            <w:pPr>
              <w:spacing w:line="360" w:lineRule="auto"/>
              <w:rPr>
                <w:rFonts w:ascii="宋体" w:hAnsi="宋体" w:cs="宋体"/>
                <w:color w:val="auto"/>
                <w:szCs w:val="21"/>
                <w:highlight w:val="none"/>
              </w:rPr>
            </w:pPr>
            <w:r>
              <w:rPr>
                <w:rFonts w:hint="eastAsia" w:ascii="宋体" w:hAnsi="宋体" w:cs="宋体"/>
                <w:color w:val="auto"/>
                <w:szCs w:val="21"/>
                <w:highlight w:val="none"/>
              </w:rPr>
              <w:t>50000万元＜签约合同金额，奖励或违约金</w:t>
            </w:r>
            <w:r>
              <w:rPr>
                <w:rFonts w:ascii="宋体" w:hAnsi="宋体" w:cs="宋体"/>
                <w:color w:val="auto"/>
                <w:szCs w:val="21"/>
                <w:highlight w:val="none"/>
              </w:rPr>
              <w:t>2</w:t>
            </w:r>
            <w:r>
              <w:rPr>
                <w:rFonts w:hint="eastAsia" w:ascii="宋体" w:hAnsi="宋体" w:cs="宋体"/>
                <w:color w:val="auto"/>
                <w:szCs w:val="21"/>
                <w:highlight w:val="none"/>
              </w:rPr>
              <w:t>0万元。</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以上所有奖励或违约金的5</w:t>
            </w:r>
            <w:r>
              <w:rPr>
                <w:rFonts w:ascii="宋体" w:hAnsi="宋体" w:cs="宋体"/>
                <w:color w:val="auto"/>
                <w:szCs w:val="21"/>
                <w:highlight w:val="none"/>
              </w:rPr>
              <w:t>0%</w:t>
            </w:r>
            <w:r>
              <w:rPr>
                <w:rFonts w:hint="eastAsia" w:ascii="宋体" w:hAnsi="宋体" w:cs="宋体"/>
                <w:color w:val="auto"/>
                <w:szCs w:val="21"/>
                <w:highlight w:val="none"/>
              </w:rPr>
              <w:t>由承包人项目管理团队获得或承担。</w:t>
            </w:r>
          </w:p>
        </w:tc>
      </w:tr>
    </w:tbl>
    <w:p>
      <w:pPr>
        <w:keepNext/>
        <w:keepLines/>
        <w:spacing w:before="120" w:beforeLines="50" w:after="120" w:afterLines="50" w:line="360" w:lineRule="auto"/>
        <w:ind w:firstLine="600" w:firstLineChars="200"/>
        <w:outlineLvl w:val="1"/>
        <w:rPr>
          <w:rFonts w:hint="eastAsia" w:ascii="宋体" w:hAnsi="宋体" w:cs="宋体"/>
          <w:b/>
          <w:bCs/>
          <w:color w:val="auto"/>
          <w:sz w:val="30"/>
          <w:szCs w:val="30"/>
          <w:highlight w:val="none"/>
        </w:rPr>
      </w:pPr>
      <w:bookmarkStart w:id="6332" w:name="_Toc517530996"/>
      <w:bookmarkStart w:id="6333" w:name="_Toc17271"/>
      <w:bookmarkStart w:id="6334" w:name="_Toc16445"/>
      <w:bookmarkStart w:id="6335" w:name="_Toc22913"/>
      <w:bookmarkStart w:id="6336" w:name="_Toc10983"/>
      <w:bookmarkStart w:id="6337" w:name="_Toc17470"/>
      <w:bookmarkStart w:id="6338" w:name="_Toc6311"/>
      <w:bookmarkStart w:id="6339" w:name="_Toc517528789"/>
      <w:bookmarkStart w:id="6340" w:name="_Toc30465"/>
      <w:bookmarkStart w:id="6341" w:name="_Toc22682"/>
      <w:bookmarkStart w:id="6342" w:name="_Toc8659"/>
      <w:bookmarkStart w:id="6343" w:name="_Toc517532272"/>
      <w:bookmarkStart w:id="6344" w:name="_Toc21799"/>
      <w:bookmarkStart w:id="6345" w:name="_Toc31618"/>
      <w:bookmarkStart w:id="6346" w:name="_Toc2918"/>
      <w:bookmarkStart w:id="6347" w:name="_Toc69114079"/>
      <w:bookmarkStart w:id="6348" w:name="_Toc29874"/>
      <w:bookmarkStart w:id="6349" w:name="_Toc22023"/>
      <w:bookmarkStart w:id="6350" w:name="_Toc25642"/>
      <w:bookmarkStart w:id="6351" w:name="_Toc517529761"/>
      <w:bookmarkStart w:id="6352" w:name="_Toc351203638"/>
      <w:bookmarkStart w:id="6353" w:name="_Toc465237250"/>
      <w:bookmarkStart w:id="6354" w:name="_Toc26099"/>
      <w:bookmarkStart w:id="6355" w:name="_Toc465237148"/>
      <w:bookmarkStart w:id="6356" w:name="_Toc12746"/>
      <w:bookmarkStart w:id="6357" w:name="_Toc9570"/>
      <w:bookmarkStart w:id="6358" w:name="_Toc297120463"/>
      <w:bookmarkStart w:id="6359" w:name="_Toc292559367"/>
      <w:bookmarkStart w:id="6360" w:name="_Toc296347162"/>
      <w:bookmarkStart w:id="6361" w:name="_Toc296891203"/>
      <w:bookmarkStart w:id="6362" w:name="_Toc296346664"/>
      <w:bookmarkStart w:id="6363" w:name="_Toc296503163"/>
      <w:bookmarkStart w:id="6364" w:name="_Toc292559872"/>
      <w:bookmarkStart w:id="6365" w:name="_Toc296890991"/>
      <w:bookmarkStart w:id="6366" w:name="_Toc297048349"/>
      <w:bookmarkStart w:id="6367" w:name="_Toc296944502"/>
      <w:r>
        <w:rPr>
          <w:rFonts w:hint="eastAsia" w:ascii="宋体" w:hAnsi="宋体" w:cs="宋体"/>
          <w:b/>
          <w:bCs/>
          <w:color w:val="auto"/>
          <w:sz w:val="30"/>
          <w:szCs w:val="30"/>
          <w:highlight w:val="none"/>
        </w:rPr>
        <w:t>6.安全文明施工与环境保护</w:t>
      </w:r>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p>
    <w:bookmarkEnd w:id="6352"/>
    <w:bookmarkEnd w:id="6353"/>
    <w:bookmarkEnd w:id="6354"/>
    <w:bookmarkEnd w:id="6355"/>
    <w:bookmarkEnd w:id="6356"/>
    <w:bookmarkEnd w:id="6357"/>
    <w:p>
      <w:pPr>
        <w:keepNext/>
        <w:keepLines/>
        <w:spacing w:before="120" w:beforeLines="50" w:after="120" w:afterLines="50" w:line="360" w:lineRule="auto"/>
        <w:ind w:left="562"/>
        <w:outlineLvl w:val="2"/>
        <w:rPr>
          <w:rFonts w:hint="eastAsia" w:ascii="宋体" w:hAnsi="宋体" w:cs="宋体"/>
          <w:b/>
          <w:bCs/>
          <w:color w:val="auto"/>
          <w:sz w:val="28"/>
          <w:szCs w:val="28"/>
          <w:highlight w:val="none"/>
        </w:rPr>
      </w:pPr>
      <w:bookmarkStart w:id="6368" w:name="_Toc13405"/>
      <w:bookmarkStart w:id="6369" w:name="_Toc13299"/>
      <w:bookmarkStart w:id="6370" w:name="_Toc69114080"/>
      <w:bookmarkStart w:id="6371" w:name="_Toc517528790"/>
      <w:bookmarkStart w:id="6372" w:name="_Toc16742"/>
      <w:bookmarkStart w:id="6373" w:name="_Toc25366"/>
      <w:bookmarkStart w:id="6374" w:name="_Toc7243"/>
      <w:bookmarkStart w:id="6375" w:name="_Toc21225"/>
      <w:bookmarkStart w:id="6376" w:name="_Toc517530997"/>
      <w:bookmarkStart w:id="6377" w:name="_Toc517532273"/>
      <w:bookmarkStart w:id="6378" w:name="_Toc5496"/>
      <w:bookmarkStart w:id="6379" w:name="_Toc32705"/>
      <w:bookmarkStart w:id="6380" w:name="_Toc30491"/>
      <w:bookmarkStart w:id="6381" w:name="_Toc29625"/>
      <w:bookmarkStart w:id="6382" w:name="_Toc9752"/>
      <w:bookmarkStart w:id="6383" w:name="_Toc12243"/>
      <w:bookmarkStart w:id="6384" w:name="_Toc21045"/>
      <w:bookmarkStart w:id="6385" w:name="_Toc9235"/>
      <w:bookmarkStart w:id="6386" w:name="_Toc15670"/>
      <w:bookmarkStart w:id="6387" w:name="_Toc27056"/>
      <w:bookmarkStart w:id="6388" w:name="_Toc1214"/>
      <w:bookmarkStart w:id="6389" w:name="_Toc12369"/>
      <w:bookmarkStart w:id="6390" w:name="_Toc10448"/>
      <w:r>
        <w:rPr>
          <w:rFonts w:hint="eastAsia" w:ascii="宋体" w:hAnsi="宋体" w:cs="宋体"/>
          <w:b/>
          <w:bCs/>
          <w:color w:val="auto"/>
          <w:sz w:val="28"/>
          <w:szCs w:val="28"/>
          <w:highlight w:val="none"/>
        </w:rPr>
        <w:t>6.1安全文明施工</w:t>
      </w:r>
      <w:bookmarkEnd w:id="6368"/>
      <w:bookmarkEnd w:id="6369"/>
      <w:bookmarkEnd w:id="6370"/>
      <w:bookmarkEnd w:id="6371"/>
      <w:bookmarkEnd w:id="6372"/>
      <w:bookmarkEnd w:id="6373"/>
      <w:bookmarkEnd w:id="6374"/>
      <w:bookmarkEnd w:id="6375"/>
      <w:bookmarkEnd w:id="6376"/>
      <w:bookmarkEnd w:id="6377"/>
      <w:bookmarkEnd w:id="6378"/>
      <w:bookmarkEnd w:id="6379"/>
      <w:bookmarkEnd w:id="6380"/>
    </w:p>
    <w:p>
      <w:pPr>
        <w:spacing w:line="360" w:lineRule="auto"/>
        <w:ind w:firstLine="480" w:firstLineChars="200"/>
        <w:jc w:val="left"/>
        <w:outlineLvl w:val="3"/>
        <w:rPr>
          <w:rFonts w:hint="eastAsia" w:ascii="宋体" w:hAnsi="宋体" w:cs="宋体"/>
          <w:b/>
          <w:bCs/>
          <w:color w:val="auto"/>
          <w:sz w:val="24"/>
          <w:szCs w:val="24"/>
          <w:highlight w:val="none"/>
        </w:rPr>
      </w:pPr>
      <w:bookmarkStart w:id="6391" w:name="_Toc30659"/>
      <w:bookmarkStart w:id="6392" w:name="_Toc517530998"/>
      <w:bookmarkStart w:id="6393" w:name="_Toc517532274"/>
      <w:bookmarkStart w:id="6394" w:name="_Toc17896"/>
      <w:bookmarkStart w:id="6395" w:name="_Toc3263"/>
      <w:bookmarkStart w:id="6396" w:name="_Toc24101"/>
      <w:r>
        <w:rPr>
          <w:rFonts w:hint="eastAsia" w:ascii="宋体" w:hAnsi="宋体" w:cs="宋体"/>
          <w:b/>
          <w:bCs/>
          <w:color w:val="auto"/>
          <w:sz w:val="24"/>
          <w:szCs w:val="24"/>
          <w:highlight w:val="none"/>
        </w:rPr>
        <w:t>6.1.1一般要求</w:t>
      </w:r>
      <w:bookmarkEnd w:id="6391"/>
      <w:bookmarkEnd w:id="6392"/>
      <w:bookmarkEnd w:id="6393"/>
      <w:bookmarkEnd w:id="6394"/>
    </w:p>
    <w:p>
      <w:pPr>
        <w:spacing w:line="360" w:lineRule="auto"/>
        <w:ind w:firstLine="480" w:firstLineChars="200"/>
        <w:jc w:val="left"/>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增加：</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在实施和完成本合同工程及其缺陷修复的整个过程中，承包人应该遵守深圳市相关主管部门的有关规定：</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《深圳市建设工程安全文明施工十项标准（试行）》</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《深圳市建设工程安全文明施工十项禁令》</w:t>
      </w:r>
    </w:p>
    <w:p>
      <w:pPr>
        <w:spacing w:line="360" w:lineRule="auto"/>
        <w:ind w:firstLine="420" w:firstLineChars="200"/>
        <w:jc w:val="left"/>
        <w:rPr>
          <w:rFonts w:hint="eastAsia" w:ascii="宋体" w:hAnsi="宋体" w:cs="宋体"/>
          <w:color w:val="auto"/>
          <w:szCs w:val="21"/>
          <w:highlight w:val="none"/>
          <w:u w:val="single"/>
        </w:rPr>
      </w:pPr>
      <w:r>
        <w:rPr>
          <w:rFonts w:hint="eastAsia" w:ascii="宋体" w:hAnsi="宋体" w:cs="宋体"/>
          <w:color w:val="auto"/>
          <w:szCs w:val="21"/>
          <w:highlight w:val="none"/>
          <w:u w:val="single"/>
        </w:rPr>
        <w:t>《深圳市建设工程现场文明施工管理办法》</w:t>
      </w:r>
    </w:p>
    <w:p>
      <w:pPr>
        <w:spacing w:line="360" w:lineRule="auto"/>
        <w:ind w:firstLine="420" w:firstLineChars="200"/>
        <w:jc w:val="left"/>
        <w:rPr>
          <w:rFonts w:hint="eastAsia" w:ascii="宋体" w:hAnsi="宋体" w:cs="宋体"/>
          <w:color w:val="auto"/>
          <w:szCs w:val="21"/>
          <w:highlight w:val="none"/>
          <w:u w:val="single"/>
        </w:rPr>
      </w:pPr>
      <w:r>
        <w:rPr>
          <w:rFonts w:hint="eastAsia" w:ascii="宋体" w:hAnsi="宋体" w:cs="宋体"/>
          <w:color w:val="auto"/>
          <w:szCs w:val="21"/>
          <w:highlight w:val="none"/>
          <w:u w:val="single"/>
        </w:rPr>
        <w:t>《深圳市建设工程现场文明施工检查评定标准》</w:t>
      </w:r>
    </w:p>
    <w:p>
      <w:pPr>
        <w:spacing w:line="360" w:lineRule="auto"/>
        <w:ind w:firstLine="420" w:firstLineChars="200"/>
        <w:jc w:val="left"/>
        <w:rPr>
          <w:rFonts w:hint="eastAsia" w:ascii="宋体" w:hAnsi="宋体" w:cs="宋体"/>
          <w:color w:val="auto"/>
          <w:szCs w:val="21"/>
          <w:highlight w:val="none"/>
          <w:u w:val="single"/>
        </w:rPr>
      </w:pPr>
      <w:r>
        <w:rPr>
          <w:rFonts w:hint="eastAsia" w:ascii="宋体" w:hAnsi="宋体" w:cs="宋体"/>
          <w:color w:val="auto"/>
          <w:szCs w:val="21"/>
          <w:highlight w:val="none"/>
          <w:u w:val="single"/>
        </w:rPr>
        <w:t>《深圳市建设工程安全文明施工标准》（SJG-46-2018）</w:t>
      </w:r>
    </w:p>
    <w:p>
      <w:pPr>
        <w:spacing w:line="360" w:lineRule="auto"/>
        <w:ind w:firstLine="420" w:firstLineChars="200"/>
        <w:jc w:val="left"/>
        <w:rPr>
          <w:rFonts w:hint="eastAsia" w:ascii="宋体" w:hAnsi="宋体" w:cs="宋体"/>
          <w:color w:val="auto"/>
          <w:szCs w:val="21"/>
          <w:highlight w:val="none"/>
          <w:u w:val="single"/>
        </w:rPr>
      </w:pPr>
      <w:r>
        <w:rPr>
          <w:rFonts w:hint="eastAsia" w:ascii="宋体" w:hAnsi="宋体" w:cs="宋体"/>
          <w:color w:val="auto"/>
          <w:szCs w:val="21"/>
          <w:highlight w:val="none"/>
          <w:u w:val="single"/>
        </w:rPr>
        <w:t>《广东省建设工程施工扬尘污染防治管理办法（试行）》</w:t>
      </w:r>
    </w:p>
    <w:p>
      <w:pPr>
        <w:spacing w:line="360" w:lineRule="auto"/>
        <w:ind w:firstLine="420" w:firstLineChars="200"/>
        <w:jc w:val="left"/>
        <w:rPr>
          <w:rFonts w:hint="eastAsia" w:ascii="宋体" w:hAnsi="宋体" w:cs="宋体"/>
          <w:color w:val="auto"/>
          <w:szCs w:val="21"/>
          <w:highlight w:val="none"/>
          <w:u w:val="single"/>
        </w:rPr>
      </w:pPr>
      <w:r>
        <w:rPr>
          <w:rFonts w:hint="eastAsia" w:ascii="宋体" w:hAnsi="宋体" w:cs="宋体"/>
          <w:color w:val="auto"/>
          <w:szCs w:val="21"/>
          <w:highlight w:val="none"/>
          <w:u w:val="single"/>
        </w:rPr>
        <w:t>《深圳市建设工程扬尘污染防治专项方案》</w:t>
      </w:r>
    </w:p>
    <w:p>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u w:val="single"/>
        </w:rPr>
        <w:t>广东省住房和城乡建设厅、深圳市住房和建设局及发包人印发的其他相关规定及办法</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u w:val="single"/>
        </w:rPr>
        <w:t>总承包单位应对工地的安全文明措施进行标准化管理。</w:t>
      </w:r>
    </w:p>
    <w:p>
      <w:pPr>
        <w:keepNext/>
        <w:keepLines/>
        <w:spacing w:before="120" w:beforeLines="50" w:after="120" w:afterLines="50" w:line="360" w:lineRule="auto"/>
        <w:ind w:left="695"/>
        <w:outlineLvl w:val="3"/>
        <w:rPr>
          <w:rFonts w:hint="eastAsia" w:hAnsi="宋体"/>
          <w:b/>
          <w:bCs/>
          <w:color w:val="auto"/>
          <w:sz w:val="24"/>
          <w:szCs w:val="24"/>
          <w:highlight w:val="none"/>
        </w:rPr>
      </w:pPr>
      <w:r>
        <w:rPr>
          <w:rFonts w:hint="eastAsia" w:hAnsi="宋体"/>
          <w:b/>
          <w:bCs/>
          <w:color w:val="auto"/>
          <w:sz w:val="24"/>
          <w:szCs w:val="24"/>
          <w:highlight w:val="none"/>
        </w:rPr>
        <w:t>6.1.8建立三级安全检查制度</w:t>
      </w:r>
    </w:p>
    <w:p>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承包人应建立三级安全检查制度，每周开展一次自行检查，检查完成后应针对不符合项目进行整改落实，并做好文件归档记录，发包人每月对承包人和监理人的安全检查记录进行检查。</w:t>
      </w:r>
    </w:p>
    <w:p>
      <w:pPr>
        <w:keepNext/>
        <w:keepLines/>
        <w:spacing w:before="120" w:beforeLines="50" w:after="120" w:afterLines="50" w:line="360" w:lineRule="auto"/>
        <w:ind w:left="695"/>
        <w:outlineLvl w:val="3"/>
        <w:rPr>
          <w:rFonts w:hint="eastAsia" w:ascii="宋体" w:hAnsi="宋体" w:cs="宋体"/>
          <w:b/>
          <w:bCs/>
          <w:color w:val="auto"/>
          <w:sz w:val="24"/>
          <w:szCs w:val="24"/>
          <w:highlight w:val="none"/>
        </w:rPr>
      </w:pPr>
      <w:bookmarkStart w:id="6397" w:name="_Toc12392"/>
      <w:bookmarkStart w:id="6398" w:name="_Toc517530999"/>
      <w:bookmarkStart w:id="6399" w:name="_Toc8107"/>
      <w:bookmarkStart w:id="6400" w:name="_Toc21991"/>
      <w:bookmarkStart w:id="6401" w:name="_Toc23838"/>
      <w:bookmarkStart w:id="6402" w:name="_Toc2019"/>
      <w:bookmarkStart w:id="6403" w:name="_Toc6884"/>
      <w:bookmarkStart w:id="6404" w:name="_Toc16477"/>
      <w:bookmarkStart w:id="6405" w:name="_Toc517532275"/>
      <w:r>
        <w:rPr>
          <w:rFonts w:hAnsi="宋体"/>
          <w:color w:val="auto"/>
          <w:sz w:val="23"/>
          <w:szCs w:val="23"/>
          <w:highlight w:val="none"/>
        </w:rPr>
        <w:sym w:font="Wingdings" w:char="F0A8"/>
      </w:r>
      <w:r>
        <w:rPr>
          <w:rFonts w:hint="eastAsia" w:ascii="宋体" w:hAnsi="宋体" w:cs="宋体"/>
          <w:b/>
          <w:bCs/>
          <w:color w:val="auto"/>
          <w:sz w:val="24"/>
          <w:szCs w:val="24"/>
          <w:highlight w:val="none"/>
        </w:rPr>
        <w:t>6.1.</w:t>
      </w:r>
      <w:r>
        <w:rPr>
          <w:rFonts w:ascii="宋体" w:hAnsi="宋体" w:cs="宋体"/>
          <w:b/>
          <w:bCs/>
          <w:color w:val="auto"/>
          <w:sz w:val="24"/>
          <w:szCs w:val="24"/>
          <w:highlight w:val="none"/>
        </w:rPr>
        <w:t>9</w:t>
      </w:r>
      <w:r>
        <w:rPr>
          <w:rFonts w:hint="eastAsia" w:ascii="宋体" w:hAnsi="宋体" w:cs="宋体"/>
          <w:b/>
          <w:bCs/>
          <w:color w:val="auto"/>
          <w:sz w:val="24"/>
          <w:szCs w:val="24"/>
          <w:highlight w:val="none"/>
        </w:rPr>
        <w:t>安全体验馆建设</w:t>
      </w:r>
      <w:bookmarkEnd w:id="6381"/>
      <w:bookmarkEnd w:id="6382"/>
      <w:bookmarkEnd w:id="6383"/>
      <w:bookmarkEnd w:id="6384"/>
      <w:bookmarkEnd w:id="6385"/>
      <w:bookmarkEnd w:id="6386"/>
      <w:bookmarkEnd w:id="6387"/>
      <w:bookmarkEnd w:id="6388"/>
      <w:bookmarkEnd w:id="6389"/>
      <w:bookmarkEnd w:id="6395"/>
      <w:bookmarkEnd w:id="6396"/>
      <w:bookmarkEnd w:id="6397"/>
      <w:bookmarkEnd w:id="6398"/>
      <w:bookmarkEnd w:id="6399"/>
      <w:bookmarkEnd w:id="6400"/>
      <w:bookmarkEnd w:id="6401"/>
      <w:bookmarkEnd w:id="6402"/>
      <w:bookmarkEnd w:id="6403"/>
      <w:bookmarkEnd w:id="6404"/>
      <w:bookmarkEnd w:id="6405"/>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承包人应建设安全体验馆，安全体验馆的建设应满足相关质量安全标准，且必须包括以下内容（但不限于以下内容）:</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安全体验培训区、平衡木体验、移动式操作平台体验、灭火器演示体验、安全带使用体验、梯子体验、钢丝绳作业体验、安全栏杆推倒实验、综合用电体验区、开口部坠落体验、搬运重物体验、防护服培训、安全帽的撞击体验、安全提示标志等。</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（注：招标部分的金额为人民币5亿元及以上的总承包工程可勾选；如项目分标段委托的，由发包人指定标段建设。) </w:t>
      </w:r>
    </w:p>
    <w:p>
      <w:pPr>
        <w:keepNext/>
        <w:keepLines/>
        <w:spacing w:before="120" w:beforeLines="50" w:after="120" w:afterLines="50" w:line="360" w:lineRule="auto"/>
        <w:ind w:left="695"/>
        <w:outlineLvl w:val="3"/>
        <w:rPr>
          <w:rFonts w:hint="eastAsia" w:ascii="宋体" w:hAnsi="宋体" w:cs="宋体"/>
          <w:b/>
          <w:bCs/>
          <w:color w:val="auto"/>
          <w:sz w:val="24"/>
          <w:szCs w:val="24"/>
          <w:highlight w:val="none"/>
        </w:rPr>
      </w:pPr>
      <w:bookmarkStart w:id="6406" w:name="_Toc517531000"/>
      <w:bookmarkStart w:id="6407" w:name="_Toc19348"/>
      <w:bookmarkStart w:id="6408" w:name="_Toc27736"/>
      <w:bookmarkStart w:id="6409" w:name="_Toc14499"/>
      <w:bookmarkStart w:id="6410" w:name="_Toc8323"/>
      <w:bookmarkStart w:id="6411" w:name="_Toc19743"/>
      <w:bookmarkStart w:id="6412" w:name="_Toc2199"/>
      <w:bookmarkStart w:id="6413" w:name="_Toc30144"/>
      <w:bookmarkStart w:id="6414" w:name="_Toc31837"/>
      <w:bookmarkStart w:id="6415" w:name="_Toc13273"/>
      <w:bookmarkStart w:id="6416" w:name="_Toc5847"/>
      <w:bookmarkStart w:id="6417" w:name="_Toc30613"/>
      <w:bookmarkStart w:id="6418" w:name="_Toc10529"/>
      <w:bookmarkStart w:id="6419" w:name="_Toc25442"/>
      <w:bookmarkStart w:id="6420" w:name="_Toc11938"/>
      <w:bookmarkStart w:id="6421" w:name="_Toc19448"/>
      <w:bookmarkStart w:id="6422" w:name="_Toc16421"/>
      <w:bookmarkStart w:id="6423" w:name="_Toc14111"/>
      <w:bookmarkStart w:id="6424" w:name="_Toc517532276"/>
      <w:bookmarkStart w:id="6425" w:name="_Toc27623"/>
      <w:r>
        <w:rPr>
          <w:rFonts w:hAnsi="宋体"/>
          <w:color w:val="auto"/>
          <w:sz w:val="23"/>
          <w:szCs w:val="23"/>
          <w:highlight w:val="none"/>
        </w:rPr>
        <w:sym w:font="Wingdings" w:char="F0A8"/>
      </w:r>
      <w:r>
        <w:rPr>
          <w:rFonts w:hint="eastAsia" w:ascii="宋体" w:hAnsi="宋体" w:cs="宋体"/>
          <w:b/>
          <w:bCs/>
          <w:color w:val="auto"/>
          <w:sz w:val="24"/>
          <w:szCs w:val="24"/>
          <w:highlight w:val="none"/>
        </w:rPr>
        <w:t>6.1.</w:t>
      </w:r>
      <w:r>
        <w:rPr>
          <w:rFonts w:ascii="宋体" w:hAnsi="宋体" w:cs="宋体"/>
          <w:b/>
          <w:bCs/>
          <w:color w:val="auto"/>
          <w:sz w:val="24"/>
          <w:szCs w:val="24"/>
          <w:highlight w:val="none"/>
        </w:rPr>
        <w:t>10</w:t>
      </w:r>
      <w:r>
        <w:rPr>
          <w:rFonts w:hint="eastAsia" w:ascii="宋体" w:hAnsi="宋体" w:cs="宋体"/>
          <w:b/>
          <w:bCs/>
          <w:color w:val="auto"/>
          <w:sz w:val="24"/>
          <w:szCs w:val="24"/>
          <w:highlight w:val="none"/>
        </w:rPr>
        <w:t>外架防护采用金属防护网</w:t>
      </w:r>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承包人须采用金属防护网进行外架防护（图例如下）。</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（注：招标部分的金额为人民币3亿元及以上或8层及以上的房建项目须勾选。）</w:t>
      </w:r>
    </w:p>
    <w:p>
      <w:pPr>
        <w:spacing w:line="360" w:lineRule="auto"/>
        <w:jc w:val="left"/>
        <w:rPr>
          <w:rFonts w:hint="eastAsia" w:ascii="宋体" w:hAnsi="宋体" w:cs="宋体"/>
          <w:color w:val="auto"/>
          <w:szCs w:val="21"/>
          <w:highlight w:val="none"/>
        </w:rPr>
      </w:pPr>
      <w:r>
        <w:rPr>
          <w:rFonts w:ascii="宋体" w:hAnsi="宋体" w:cs="宋体"/>
          <w:color w:val="auto"/>
          <w:szCs w:val="21"/>
          <w:highlight w:val="none"/>
        </w:rPr>
        <w:drawing>
          <wp:inline distT="0" distB="0" distL="114300" distR="114300">
            <wp:extent cx="4780280" cy="3365500"/>
            <wp:effectExtent l="0" t="0" r="1270" b="6350"/>
            <wp:docPr id="5" name="图片 213" descr="说明: DHHIVCJL4CM]G`{]0C)[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3" descr="说明: DHHIVCJL4CM]G`{]0C)[TRI"/>
                    <pic:cNvPicPr>
                      <a:picLocks noChangeAspect="1"/>
                    </pic:cNvPicPr>
                  </pic:nvPicPr>
                  <pic:blipFill>
                    <a:blip r:embed="rId14"/>
                    <a:stretch>
                      <a:fillRect/>
                    </a:stretch>
                  </pic:blipFill>
                  <pic:spPr>
                    <a:xfrm>
                      <a:off x="0" y="0"/>
                      <a:ext cx="4780280" cy="3365500"/>
                    </a:xfrm>
                    <a:prstGeom prst="rect">
                      <a:avLst/>
                    </a:prstGeom>
                    <a:noFill/>
                    <a:ln>
                      <a:noFill/>
                    </a:ln>
                  </pic:spPr>
                </pic:pic>
              </a:graphicData>
            </a:graphic>
          </wp:inline>
        </w:drawing>
      </w:r>
    </w:p>
    <w:p>
      <w:pPr>
        <w:keepNext/>
        <w:keepLines/>
        <w:spacing w:before="120" w:beforeLines="50" w:after="120" w:afterLines="50" w:line="360" w:lineRule="auto"/>
        <w:ind w:left="728"/>
        <w:outlineLvl w:val="3"/>
        <w:rPr>
          <w:rFonts w:hint="eastAsia" w:ascii="宋体" w:hAnsi="宋体" w:cs="宋体"/>
          <w:b/>
          <w:bCs/>
          <w:color w:val="auto"/>
          <w:sz w:val="24"/>
          <w:szCs w:val="24"/>
          <w:highlight w:val="none"/>
        </w:rPr>
      </w:pPr>
      <w:bookmarkStart w:id="6426" w:name="_Toc1655"/>
      <w:bookmarkStart w:id="6427" w:name="_Toc5797"/>
      <w:bookmarkStart w:id="6428" w:name="_Toc6218"/>
      <w:bookmarkStart w:id="6429" w:name="_Toc465237149"/>
      <w:bookmarkStart w:id="6430" w:name="_Toc24266"/>
      <w:bookmarkStart w:id="6431" w:name="_Toc27394"/>
      <w:bookmarkStart w:id="6432" w:name="_Toc22219"/>
      <w:bookmarkStart w:id="6433" w:name="_Toc1014"/>
      <w:bookmarkStart w:id="6434" w:name="_Toc12391"/>
      <w:bookmarkStart w:id="6435" w:name="_Toc23887"/>
      <w:bookmarkStart w:id="6436" w:name="_Toc517532277"/>
      <w:bookmarkStart w:id="6437" w:name="_Toc8492"/>
      <w:bookmarkStart w:id="6438" w:name="_Toc517531001"/>
      <w:bookmarkStart w:id="6439" w:name="_Toc16235"/>
      <w:bookmarkStart w:id="6440" w:name="_Toc15822"/>
      <w:bookmarkStart w:id="6441" w:name="_Toc27618"/>
      <w:bookmarkStart w:id="6442" w:name="_Toc31954"/>
      <w:bookmarkStart w:id="6443" w:name="_Toc4763"/>
      <w:bookmarkStart w:id="6444" w:name="_Toc27563"/>
      <w:bookmarkStart w:id="6445" w:name="_Toc18014"/>
      <w:bookmarkStart w:id="6446" w:name="_Toc3748"/>
      <w:bookmarkStart w:id="6447" w:name="_Toc465237251"/>
      <w:r>
        <w:rPr>
          <w:rFonts w:hint="eastAsia" w:ascii="宋体" w:hAnsi="宋体" w:cs="宋体"/>
          <w:b/>
          <w:bCs/>
          <w:color w:val="auto"/>
          <w:sz w:val="24"/>
          <w:szCs w:val="24"/>
          <w:highlight w:val="none"/>
        </w:rPr>
        <w:t>6.1.1</w:t>
      </w:r>
      <w:r>
        <w:rPr>
          <w:rFonts w:ascii="宋体" w:hAnsi="宋体" w:cs="宋体"/>
          <w:b/>
          <w:bCs/>
          <w:color w:val="auto"/>
          <w:sz w:val="24"/>
          <w:szCs w:val="24"/>
          <w:highlight w:val="none"/>
        </w:rPr>
        <w:t>1</w:t>
      </w:r>
      <w:r>
        <w:rPr>
          <w:rFonts w:hint="eastAsia" w:ascii="宋体" w:hAnsi="宋体" w:cs="宋体"/>
          <w:b/>
          <w:bCs/>
          <w:color w:val="auto"/>
          <w:sz w:val="24"/>
          <w:szCs w:val="24"/>
          <w:highlight w:val="none"/>
        </w:rPr>
        <w:t>安全事故应急预案</w:t>
      </w:r>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p>
    <w:p>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承包人应在合同签订后在发包人给定的时间内编制安全生产安全事故应急预案。</w:t>
      </w:r>
    </w:p>
    <w:p>
      <w:pPr>
        <w:keepNext/>
        <w:keepLines/>
        <w:spacing w:before="120" w:beforeLines="50" w:after="120" w:afterLines="50" w:line="360" w:lineRule="auto"/>
        <w:ind w:left="728"/>
        <w:outlineLvl w:val="3"/>
        <w:rPr>
          <w:rFonts w:hint="eastAsia" w:ascii="宋体" w:hAnsi="宋体" w:cs="宋体"/>
          <w:b/>
          <w:bCs/>
          <w:color w:val="auto"/>
          <w:sz w:val="24"/>
          <w:szCs w:val="24"/>
          <w:highlight w:val="none"/>
        </w:rPr>
      </w:pPr>
      <w:bookmarkStart w:id="6448" w:name="_Toc25893"/>
      <w:bookmarkStart w:id="6449" w:name="_Toc517532278"/>
      <w:bookmarkStart w:id="6450" w:name="_Toc5700"/>
      <w:bookmarkStart w:id="6451" w:name="_Toc18045"/>
      <w:bookmarkStart w:id="6452" w:name="_Toc28963"/>
      <w:bookmarkStart w:id="6453" w:name="_Toc15518"/>
      <w:bookmarkStart w:id="6454" w:name="_Toc23829"/>
      <w:bookmarkStart w:id="6455" w:name="_Toc1403"/>
      <w:bookmarkStart w:id="6456" w:name="_Toc9590"/>
      <w:bookmarkStart w:id="6457" w:name="_Toc517531002"/>
      <w:bookmarkStart w:id="6458" w:name="_Toc1868"/>
      <w:bookmarkStart w:id="6459" w:name="_Toc19469"/>
      <w:bookmarkStart w:id="6460" w:name="_Toc15633"/>
      <w:bookmarkStart w:id="6461" w:name="_Toc10907"/>
      <w:bookmarkStart w:id="6462" w:name="_Toc29492"/>
      <w:bookmarkStart w:id="6463" w:name="_Toc26270"/>
      <w:bookmarkStart w:id="6464" w:name="_Toc12920"/>
      <w:bookmarkStart w:id="6465" w:name="_Toc18503"/>
      <w:bookmarkStart w:id="6466" w:name="_Toc22094"/>
      <w:bookmarkStart w:id="6467" w:name="_Toc25309"/>
      <w:r>
        <w:rPr>
          <w:rFonts w:hAnsi="宋体"/>
          <w:color w:val="auto"/>
          <w:sz w:val="23"/>
          <w:szCs w:val="23"/>
          <w:highlight w:val="none"/>
        </w:rPr>
        <w:sym w:font="Wingdings" w:char="F0A8"/>
      </w:r>
      <w:r>
        <w:rPr>
          <w:rFonts w:hint="eastAsia" w:ascii="宋体" w:hAnsi="宋体" w:cs="宋体"/>
          <w:b/>
          <w:bCs/>
          <w:color w:val="auto"/>
          <w:sz w:val="24"/>
          <w:szCs w:val="24"/>
          <w:highlight w:val="none"/>
        </w:rPr>
        <w:t>6.1.1</w:t>
      </w:r>
      <w:r>
        <w:rPr>
          <w:rFonts w:ascii="宋体" w:hAnsi="宋体" w:cs="宋体"/>
          <w:b/>
          <w:bCs/>
          <w:color w:val="auto"/>
          <w:sz w:val="24"/>
          <w:szCs w:val="24"/>
          <w:highlight w:val="none"/>
        </w:rPr>
        <w:t>2</w:t>
      </w:r>
      <w:r>
        <w:rPr>
          <w:rFonts w:hint="eastAsia" w:ascii="宋体" w:hAnsi="宋体" w:cs="宋体"/>
          <w:b/>
          <w:bCs/>
          <w:color w:val="auto"/>
          <w:sz w:val="24"/>
          <w:szCs w:val="24"/>
          <w:highlight w:val="none"/>
        </w:rPr>
        <w:t>建设单位办公临建要求</w:t>
      </w:r>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承包人应为发包</w:t>
      </w:r>
      <w:r>
        <w:rPr>
          <w:rFonts w:hint="eastAsia" w:ascii="宋体" w:hAnsi="宋体" w:cs="宋体"/>
          <w:bCs/>
          <w:color w:val="auto"/>
          <w:szCs w:val="21"/>
          <w:highlight w:val="none"/>
        </w:rPr>
        <w:t>人</w:t>
      </w:r>
      <w:r>
        <w:rPr>
          <w:rFonts w:hint="eastAsia" w:ascii="宋体" w:hAnsi="宋体" w:cs="宋体"/>
          <w:color w:val="auto"/>
          <w:szCs w:val="21"/>
          <w:highlight w:val="none"/>
        </w:rPr>
        <w:t>提供临时办公用房，要求为（由发包人二选一）：</w:t>
      </w:r>
    </w:p>
    <w:p>
      <w:pPr>
        <w:spacing w:line="360" w:lineRule="auto"/>
        <w:ind w:firstLine="460" w:firstLineChars="200"/>
        <w:rPr>
          <w:rFonts w:hint="eastAsia" w:ascii="宋体" w:hAnsi="宋体" w:cs="宋体"/>
          <w:color w:val="auto"/>
          <w:szCs w:val="21"/>
          <w:highlight w:val="none"/>
        </w:rPr>
      </w:pPr>
      <w:r>
        <w:rPr>
          <w:rFonts w:hAnsi="宋体"/>
          <w:color w:val="auto"/>
          <w:sz w:val="23"/>
          <w:szCs w:val="23"/>
          <w:highlight w:val="none"/>
        </w:rPr>
        <w:sym w:font="Wingdings" w:char="F0A8"/>
      </w:r>
      <w:r>
        <w:rPr>
          <w:color w:val="auto"/>
          <w:highlight w:val="none"/>
        </w:rPr>
        <w:drawing>
          <wp:anchor distT="0" distB="0" distL="114300" distR="114300" simplePos="0" relativeHeight="251659264" behindDoc="0" locked="1" layoutInCell="1" allowOverlap="1">
            <wp:simplePos x="0" y="0"/>
            <wp:positionH relativeFrom="page">
              <wp:posOffset>0</wp:posOffset>
            </wp:positionH>
            <wp:positionV relativeFrom="page">
              <wp:posOffset>0</wp:posOffset>
            </wp:positionV>
            <wp:extent cx="148590" cy="180975"/>
            <wp:effectExtent l="0" t="0" r="3810" b="9525"/>
            <wp:wrapNone/>
            <wp:docPr id="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1"/>
                    <pic:cNvPicPr>
                      <a:picLocks noChangeAspect="1"/>
                    </pic:cNvPicPr>
                  </pic:nvPicPr>
                  <pic:blipFill>
                    <a:blip r:embed="rId15"/>
                    <a:stretch>
                      <a:fillRect/>
                    </a:stretch>
                  </pic:blipFill>
                  <pic:spPr>
                    <a:xfrm>
                      <a:off x="0" y="0"/>
                      <a:ext cx="148590" cy="180975"/>
                    </a:xfrm>
                    <a:prstGeom prst="rect">
                      <a:avLst/>
                    </a:prstGeom>
                    <a:noFill/>
                    <a:ln>
                      <a:noFill/>
                    </a:ln>
                  </pic:spPr>
                </pic:pic>
              </a:graphicData>
            </a:graphic>
          </wp:anchor>
        </w:drawing>
      </w:r>
      <w:r>
        <w:rPr>
          <w:rFonts w:hint="eastAsia" w:ascii="宋体" w:hAnsi="宋体" w:cs="宋体"/>
          <w:color w:val="auto"/>
          <w:szCs w:val="21"/>
          <w:highlight w:val="none"/>
        </w:rPr>
        <w:t>箱式房模块化设计，以集装箱体为基本单元，组合搭设办公及会议用房（参考图例1、2、3）。具体配备数量、</w:t>
      </w:r>
      <w:r>
        <w:rPr>
          <w:rFonts w:hint="eastAsia" w:ascii="宋体" w:hAnsi="宋体" w:cs="宋体"/>
          <w:bCs/>
          <w:color w:val="auto"/>
          <w:szCs w:val="21"/>
          <w:highlight w:val="none"/>
        </w:rPr>
        <w:t>面积</w:t>
      </w:r>
      <w:r>
        <w:rPr>
          <w:rFonts w:hint="eastAsia" w:ascii="宋体" w:hAnsi="宋体" w:cs="宋体"/>
          <w:color w:val="auto"/>
          <w:szCs w:val="21"/>
          <w:highlight w:val="none"/>
        </w:rPr>
        <w:t>等详见招标文件；</w:t>
      </w:r>
    </w:p>
    <w:p>
      <w:pPr>
        <w:spacing w:line="360" w:lineRule="auto"/>
        <w:ind w:firstLine="460" w:firstLineChars="200"/>
        <w:rPr>
          <w:rFonts w:hint="eastAsia" w:ascii="宋体" w:hAnsi="宋体" w:cs="宋体"/>
          <w:color w:val="auto"/>
          <w:szCs w:val="21"/>
          <w:highlight w:val="none"/>
        </w:rPr>
      </w:pPr>
      <w:r>
        <w:rPr>
          <w:rFonts w:hAnsi="宋体"/>
          <w:color w:val="auto"/>
          <w:sz w:val="23"/>
          <w:szCs w:val="23"/>
          <w:highlight w:val="none"/>
        </w:rPr>
        <w:sym w:font="Wingdings" w:char="F0A8"/>
      </w:r>
      <w:r>
        <w:rPr>
          <w:color w:val="auto"/>
          <w:highlight w:val="none"/>
        </w:rPr>
        <w:drawing>
          <wp:anchor distT="0" distB="0" distL="114300" distR="114300" simplePos="0" relativeHeight="251660288" behindDoc="0" locked="1" layoutInCell="1" allowOverlap="1">
            <wp:simplePos x="0" y="0"/>
            <wp:positionH relativeFrom="page">
              <wp:posOffset>0</wp:posOffset>
            </wp:positionH>
            <wp:positionV relativeFrom="page">
              <wp:posOffset>0</wp:posOffset>
            </wp:positionV>
            <wp:extent cx="148590" cy="180975"/>
            <wp:effectExtent l="0" t="0" r="3810" b="9525"/>
            <wp:wrapNone/>
            <wp:docPr id="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2"/>
                    <pic:cNvPicPr>
                      <a:picLocks noChangeAspect="1"/>
                    </pic:cNvPicPr>
                  </pic:nvPicPr>
                  <pic:blipFill>
                    <a:blip r:embed="rId15"/>
                    <a:stretch>
                      <a:fillRect/>
                    </a:stretch>
                  </pic:blipFill>
                  <pic:spPr>
                    <a:xfrm>
                      <a:off x="0" y="0"/>
                      <a:ext cx="148590" cy="180975"/>
                    </a:xfrm>
                    <a:prstGeom prst="rect">
                      <a:avLst/>
                    </a:prstGeom>
                    <a:noFill/>
                    <a:ln>
                      <a:noFill/>
                    </a:ln>
                  </pic:spPr>
                </pic:pic>
              </a:graphicData>
            </a:graphic>
          </wp:anchor>
        </w:drawing>
      </w:r>
      <w:r>
        <w:rPr>
          <w:rFonts w:hint="eastAsia" w:ascii="宋体" w:hAnsi="宋体" w:cs="宋体"/>
          <w:color w:val="auto"/>
          <w:szCs w:val="21"/>
          <w:highlight w:val="none"/>
        </w:rPr>
        <w:t>其他形式</w:t>
      </w:r>
      <w:r>
        <w:rPr>
          <w:rFonts w:hint="eastAsia" w:ascii="宋体" w:hAnsi="宋体" w:cs="宋体"/>
          <w:bCs/>
          <w:color w:val="auto"/>
          <w:szCs w:val="21"/>
          <w:highlight w:val="none"/>
        </w:rPr>
        <w:t>的</w:t>
      </w:r>
      <w:r>
        <w:rPr>
          <w:rFonts w:hint="eastAsia" w:ascii="宋体" w:hAnsi="宋体" w:cs="宋体"/>
          <w:color w:val="auto"/>
          <w:szCs w:val="21"/>
          <w:highlight w:val="none"/>
        </w:rPr>
        <w:t>临时办公用房。具体要求详见招标文件。</w:t>
      </w:r>
    </w:p>
    <w:p>
      <w:pPr>
        <w:adjustRightInd w:val="0"/>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图例1：</w:t>
      </w:r>
    </w:p>
    <w:p>
      <w:pPr>
        <w:adjustRightInd w:val="0"/>
        <w:snapToGrid w:val="0"/>
        <w:spacing w:line="360" w:lineRule="auto"/>
        <w:rPr>
          <w:rFonts w:hint="eastAsia" w:ascii="宋体" w:hAnsi="宋体" w:cs="宋体"/>
          <w:color w:val="auto"/>
          <w:szCs w:val="21"/>
          <w:highlight w:val="none"/>
        </w:rPr>
      </w:pPr>
      <w:r>
        <w:rPr>
          <w:rFonts w:ascii="宋体" w:hAnsi="宋体" w:cs="宋体"/>
          <w:color w:val="auto"/>
          <w:szCs w:val="21"/>
          <w:highlight w:val="none"/>
        </w:rPr>
        <w:drawing>
          <wp:inline distT="0" distB="0" distL="114300" distR="114300">
            <wp:extent cx="5279390" cy="3507740"/>
            <wp:effectExtent l="0" t="0" r="16510" b="16510"/>
            <wp:docPr id="6" name="图片 218" descr="说明: IMG_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8" descr="说明: IMG_0292"/>
                    <pic:cNvPicPr>
                      <a:picLocks noChangeAspect="1"/>
                    </pic:cNvPicPr>
                  </pic:nvPicPr>
                  <pic:blipFill>
                    <a:blip r:embed="rId16"/>
                    <a:stretch>
                      <a:fillRect/>
                    </a:stretch>
                  </pic:blipFill>
                  <pic:spPr>
                    <a:xfrm>
                      <a:off x="0" y="0"/>
                      <a:ext cx="5279390" cy="3507740"/>
                    </a:xfrm>
                    <a:prstGeom prst="rect">
                      <a:avLst/>
                    </a:prstGeom>
                    <a:noFill/>
                    <a:ln>
                      <a:noFill/>
                    </a:ln>
                  </pic:spPr>
                </pic:pic>
              </a:graphicData>
            </a:graphic>
          </wp:inline>
        </w:drawing>
      </w:r>
    </w:p>
    <w:p>
      <w:pPr>
        <w:spacing w:line="360" w:lineRule="auto"/>
        <w:rPr>
          <w:rFonts w:hint="eastAsia" w:ascii="宋体" w:hAnsi="宋体" w:cs="宋体"/>
          <w:color w:val="auto"/>
          <w:szCs w:val="21"/>
          <w:highlight w:val="none"/>
        </w:rPr>
      </w:pP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图例2：</w:t>
      </w:r>
    </w:p>
    <w:p>
      <w:pPr>
        <w:spacing w:line="360" w:lineRule="auto"/>
        <w:rPr>
          <w:rFonts w:hint="eastAsia" w:ascii="宋体" w:hAnsi="宋体" w:cs="宋体"/>
          <w:color w:val="auto"/>
          <w:szCs w:val="21"/>
          <w:highlight w:val="none"/>
        </w:rPr>
      </w:pPr>
      <w:r>
        <w:rPr>
          <w:rFonts w:ascii="宋体" w:hAnsi="宋体" w:cs="宋体"/>
          <w:color w:val="auto"/>
          <w:szCs w:val="21"/>
          <w:highlight w:val="none"/>
        </w:rPr>
        <w:drawing>
          <wp:inline distT="0" distB="0" distL="114300" distR="114300">
            <wp:extent cx="5266690" cy="2967355"/>
            <wp:effectExtent l="0" t="0" r="10160" b="4445"/>
            <wp:docPr id="7" name="图片 219" descr="说明: 73ED2EC93B55EA51D0FC090B1FFC7F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9" descr="说明: 73ED2EC93B55EA51D0FC090B1FFC7F27"/>
                    <pic:cNvPicPr>
                      <a:picLocks noChangeAspect="1"/>
                    </pic:cNvPicPr>
                  </pic:nvPicPr>
                  <pic:blipFill>
                    <a:blip r:embed="rId17"/>
                    <a:stretch>
                      <a:fillRect/>
                    </a:stretch>
                  </pic:blipFill>
                  <pic:spPr>
                    <a:xfrm>
                      <a:off x="0" y="0"/>
                      <a:ext cx="5266690" cy="2967355"/>
                    </a:xfrm>
                    <a:prstGeom prst="rect">
                      <a:avLst/>
                    </a:prstGeom>
                    <a:noFill/>
                    <a:ln>
                      <a:noFill/>
                    </a:ln>
                  </pic:spPr>
                </pic:pic>
              </a:graphicData>
            </a:graphic>
          </wp:inline>
        </w:drawing>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图例3：</w:t>
      </w:r>
    </w:p>
    <w:p>
      <w:pPr>
        <w:adjustRightInd w:val="0"/>
        <w:snapToGrid w:val="0"/>
        <w:spacing w:line="360" w:lineRule="auto"/>
        <w:rPr>
          <w:rFonts w:hint="eastAsia" w:ascii="宋体" w:hAnsi="宋体" w:cs="宋体"/>
          <w:b/>
          <w:color w:val="auto"/>
          <w:szCs w:val="21"/>
          <w:highlight w:val="none"/>
        </w:rPr>
      </w:pPr>
      <w:r>
        <w:rPr>
          <w:rFonts w:ascii="宋体" w:hAnsi="宋体" w:cs="宋体"/>
          <w:b/>
          <w:color w:val="auto"/>
          <w:szCs w:val="21"/>
          <w:highlight w:val="none"/>
        </w:rPr>
        <w:drawing>
          <wp:inline distT="0" distB="0" distL="114300" distR="114300">
            <wp:extent cx="5266690" cy="2967355"/>
            <wp:effectExtent l="0" t="0" r="10160" b="4445"/>
            <wp:docPr id="8" name="图片 220" descr="说明: DCDC98C5109DBF1A830F191180F89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0" descr="说明: DCDC98C5109DBF1A830F191180F89612"/>
                    <pic:cNvPicPr>
                      <a:picLocks noChangeAspect="1"/>
                    </pic:cNvPicPr>
                  </pic:nvPicPr>
                  <pic:blipFill>
                    <a:blip r:embed="rId18"/>
                    <a:stretch>
                      <a:fillRect/>
                    </a:stretch>
                  </pic:blipFill>
                  <pic:spPr>
                    <a:xfrm>
                      <a:off x="0" y="0"/>
                      <a:ext cx="5266690" cy="2967355"/>
                    </a:xfrm>
                    <a:prstGeom prst="rect">
                      <a:avLst/>
                    </a:prstGeom>
                    <a:noFill/>
                    <a:ln>
                      <a:noFill/>
                    </a:ln>
                  </pic:spPr>
                </pic:pic>
              </a:graphicData>
            </a:graphic>
          </wp:inline>
        </w:drawing>
      </w:r>
    </w:p>
    <w:p>
      <w:pPr>
        <w:keepNext/>
        <w:keepLines/>
        <w:spacing w:before="120" w:beforeLines="50" w:after="120" w:afterLines="50" w:line="360" w:lineRule="auto"/>
        <w:ind w:left="695"/>
        <w:outlineLvl w:val="3"/>
        <w:rPr>
          <w:rFonts w:hint="eastAsia" w:ascii="宋体" w:hAnsi="宋体" w:cs="宋体"/>
          <w:b/>
          <w:bCs/>
          <w:color w:val="auto"/>
          <w:sz w:val="24"/>
          <w:szCs w:val="24"/>
          <w:highlight w:val="none"/>
        </w:rPr>
      </w:pPr>
      <w:bookmarkStart w:id="6468" w:name="_Toc22474"/>
      <w:bookmarkStart w:id="6469" w:name="_Toc4909"/>
      <w:bookmarkStart w:id="6470" w:name="_Toc22630"/>
      <w:bookmarkStart w:id="6471" w:name="_Toc11375"/>
      <w:bookmarkStart w:id="6472" w:name="_Toc465237252"/>
      <w:bookmarkStart w:id="6473" w:name="_Toc14803"/>
      <w:bookmarkStart w:id="6474" w:name="_Toc15563"/>
      <w:bookmarkStart w:id="6475" w:name="_Toc18680"/>
      <w:bookmarkStart w:id="6476" w:name="_Toc21388"/>
      <w:bookmarkStart w:id="6477" w:name="_Toc11926"/>
      <w:bookmarkStart w:id="6478" w:name="_Toc7346"/>
      <w:bookmarkStart w:id="6479" w:name="_Toc21077"/>
      <w:bookmarkStart w:id="6480" w:name="_Toc29455"/>
      <w:bookmarkStart w:id="6481" w:name="_Toc465237150"/>
      <w:bookmarkStart w:id="6482" w:name="_Toc517531003"/>
      <w:bookmarkStart w:id="6483" w:name="_Toc1355"/>
      <w:bookmarkStart w:id="6484" w:name="_Toc517532279"/>
      <w:bookmarkStart w:id="6485" w:name="_Toc20880"/>
      <w:bookmarkStart w:id="6486" w:name="_Toc27870"/>
      <w:bookmarkStart w:id="6487" w:name="_Toc14751"/>
      <w:bookmarkStart w:id="6488" w:name="_Toc31313"/>
      <w:bookmarkStart w:id="6489" w:name="_Toc27739"/>
      <w:r>
        <w:rPr>
          <w:rFonts w:hAnsi="宋体"/>
          <w:color w:val="auto"/>
          <w:sz w:val="23"/>
          <w:szCs w:val="23"/>
          <w:highlight w:val="none"/>
        </w:rPr>
        <w:sym w:font="Wingdings" w:char="F0A8"/>
      </w:r>
      <w:r>
        <w:rPr>
          <w:rFonts w:hint="eastAsia" w:ascii="宋体" w:hAnsi="宋体" w:cs="宋体"/>
          <w:b/>
          <w:bCs/>
          <w:color w:val="auto"/>
          <w:sz w:val="24"/>
          <w:szCs w:val="24"/>
          <w:highlight w:val="none"/>
        </w:rPr>
        <w:t>6.1.1</w:t>
      </w:r>
      <w:r>
        <w:rPr>
          <w:rFonts w:ascii="宋体" w:hAnsi="宋体" w:cs="宋体"/>
          <w:b/>
          <w:bCs/>
          <w:color w:val="auto"/>
          <w:sz w:val="24"/>
          <w:szCs w:val="24"/>
          <w:highlight w:val="none"/>
        </w:rPr>
        <w:t>3</w:t>
      </w:r>
      <w:r>
        <w:rPr>
          <w:rFonts w:hint="eastAsia" w:ascii="宋体" w:hAnsi="宋体" w:cs="宋体"/>
          <w:b/>
          <w:bCs/>
          <w:color w:val="auto"/>
          <w:sz w:val="24"/>
          <w:szCs w:val="24"/>
          <w:highlight w:val="none"/>
        </w:rPr>
        <w:t>发包人办公区后勤保障</w:t>
      </w:r>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要求承包人聘请正规保安公司的保安负责施工工地及发包人现场办公场所的保安管理工作，确保现场安全。发包人和承包人办公区分别独立设置，发包人办公区后勤保障工作（保安、清洁卫生、办公室花卉租赁）的相关要求如下，如承包人达不到以下要求，发包人有权自行签订合同，费用从结算款中扣除。</w:t>
      </w:r>
    </w:p>
    <w:p>
      <w:pPr>
        <w:keepNext/>
        <w:keepLines/>
        <w:spacing w:before="120" w:beforeLines="50" w:after="120" w:afterLines="50" w:line="360" w:lineRule="auto"/>
        <w:ind w:firstLine="694" w:firstLineChars="302"/>
        <w:outlineLvl w:val="4"/>
        <w:rPr>
          <w:rFonts w:hint="eastAsia" w:ascii="宋体" w:hAnsi="宋体" w:cs="宋体"/>
          <w:b/>
          <w:bCs/>
          <w:color w:val="auto"/>
          <w:sz w:val="24"/>
          <w:szCs w:val="24"/>
          <w:highlight w:val="none"/>
        </w:rPr>
      </w:pPr>
      <w:bookmarkStart w:id="6490" w:name="_Toc8389"/>
      <w:bookmarkStart w:id="6491" w:name="_Toc517531004"/>
      <w:bookmarkStart w:id="6492" w:name="_Toc517532280"/>
      <w:bookmarkStart w:id="6493" w:name="_Toc32040"/>
      <w:bookmarkStart w:id="6494" w:name="_Toc17062"/>
      <w:bookmarkStart w:id="6495" w:name="_Toc7154"/>
      <w:bookmarkStart w:id="6496" w:name="_Toc1958"/>
      <w:bookmarkStart w:id="6497" w:name="_Toc30930"/>
      <w:bookmarkStart w:id="6498" w:name="_Toc20360"/>
      <w:bookmarkStart w:id="6499" w:name="_Toc19957"/>
      <w:bookmarkStart w:id="6500" w:name="_Toc22398"/>
      <w:r>
        <w:rPr>
          <w:rFonts w:hAnsi="宋体"/>
          <w:color w:val="auto"/>
          <w:sz w:val="23"/>
          <w:szCs w:val="23"/>
          <w:highlight w:val="none"/>
        </w:rPr>
        <w:sym w:font="Wingdings" w:char="F0A8"/>
      </w:r>
      <w:r>
        <w:rPr>
          <w:rFonts w:hint="eastAsia" w:ascii="宋体" w:hAnsi="宋体" w:cs="宋体"/>
          <w:b/>
          <w:bCs/>
          <w:color w:val="auto"/>
          <w:sz w:val="24"/>
          <w:szCs w:val="24"/>
          <w:highlight w:val="none"/>
        </w:rPr>
        <w:t>（1）保安服务</w:t>
      </w:r>
      <w:bookmarkEnd w:id="6490"/>
      <w:bookmarkEnd w:id="6491"/>
      <w:bookmarkEnd w:id="6492"/>
      <w:bookmarkEnd w:id="6493"/>
      <w:bookmarkEnd w:id="6494"/>
      <w:bookmarkEnd w:id="6495"/>
      <w:bookmarkEnd w:id="6496"/>
      <w:bookmarkEnd w:id="6497"/>
      <w:bookmarkEnd w:id="6498"/>
      <w:bookmarkEnd w:id="6499"/>
      <w:bookmarkEnd w:id="6500"/>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承包人应采取相应保卫措施，防止出现相关设施、设备被盗行为，施工工地及发包人办公区须由专业保安公司24小时负责照看，费用已包括在报价中，发包人不再另行支付相关费用。若因承包人原因引起的财产损失，全部由承包人承担。</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a)承包人派驻发包人办公区的保安员依照发包人的规章制度及要求，在不违反国家法律的前提下，维护发包人正常的工作、生产、生活秩序，保护护卫区域内的人员、财产的安全。承包人选派到发包人的保安员，必须具备以下条件：</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①遵纪守法，品行良好，无违法犯罪记录，经政审合格；</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②年龄在18周岁以上，45周岁以下，具有初中毕业以上文化程度；</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③经政审、培训、考核合格，取得深圳市公安局颁发的保安员资格证和上岗证，具备保安专业知识。</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（b）保安员职责</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①保护发包人护卫区域的财产安全，维护护卫区域内的正常秩序；</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②保护好在护卫区域内发生的刑事、治安案件或灾害事故现场，维护现场秩序；</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③把现行违法犯罪嫌疑人扭送到公安机关处理；</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④做好发包人护卫区域内的防火、防盗、防破坏、防治安灾害事故等安全防范工作；</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⑤遵纪守法、文明值勤、优质服务，严格执行发包人及保安公司的各项规章制度，接受发包人领导及主管人员的管理,服从发包人领导的工作安排，全力维护双方的合法权益和声誉。</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（c）发包人的权利和义务</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对违反发包人各项规章制度，不服从管理，工作不尽职责的保安员，发包人有权向承包人提出调换，承包人应在48小时内无条件调换，补充符合发包人要求的保安员。</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（d）承包人的权利和义务</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①负责保安员的招聘、培训、政审、办证、考核及人事档案的管理。</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②负责保安员日常工作的安排与管理、岗位值勤、作风纪律、内务卫生、岗位训练、岗位轮训和保安业务的指导，监督检查和管理工作。</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③负责对保安员的奖励、处罚、请假、辞工、辞退等方面的工作。</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④负责保安员服装、帽子、帽徽、肩章、领带、腰带、胶警棍等装备的配备。因工作需要，保安员需配备的对讲机、雨衣、雨鞋、电筒、大衣等装备也由承包人负责。</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⑤督促教育保安员接受发包人领导及主管人员的工作检查和监督管理。</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⑥协助发包人处理好与当地公安机关的正常工作关系，最大限度地避免发包人利益受到损害。</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⑦承包人负责提供保安员住宿场所及派驻现场保安员的工资、社会保险及其他福利待遇等，发包人不再另行负担任何费用。</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（e）违约责任</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①承包人当班保安员因失职造成发包人财物损失，数额较小的，承包人有责任返还给发包人，情节严重的，损失金额较大、达到立案标准的，送交司法机关追究其法律责任。</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②因发生不可抗拒事件（如地震、战争、灾害等），而给发包人造成损失，承包人不承担任何责任。</w:t>
      </w:r>
    </w:p>
    <w:p>
      <w:pPr>
        <w:keepNext/>
        <w:keepLines/>
        <w:spacing w:before="120" w:beforeLines="50" w:after="120" w:afterLines="50" w:line="360" w:lineRule="auto"/>
        <w:ind w:firstLine="694" w:firstLineChars="302"/>
        <w:outlineLvl w:val="4"/>
        <w:rPr>
          <w:rFonts w:hint="eastAsia" w:ascii="宋体" w:hAnsi="宋体" w:cs="宋体"/>
          <w:b/>
          <w:bCs/>
          <w:color w:val="auto"/>
          <w:sz w:val="24"/>
          <w:szCs w:val="24"/>
          <w:highlight w:val="none"/>
        </w:rPr>
      </w:pPr>
      <w:bookmarkStart w:id="6501" w:name="_Toc19012"/>
      <w:bookmarkStart w:id="6502" w:name="_Toc517531005"/>
      <w:bookmarkStart w:id="6503" w:name="_Toc3280"/>
      <w:bookmarkStart w:id="6504" w:name="_Toc28771"/>
      <w:bookmarkStart w:id="6505" w:name="_Toc7812"/>
      <w:bookmarkStart w:id="6506" w:name="_Toc8931"/>
      <w:bookmarkStart w:id="6507" w:name="_Toc29513"/>
      <w:bookmarkStart w:id="6508" w:name="_Toc3574"/>
      <w:bookmarkStart w:id="6509" w:name="_Toc27101"/>
      <w:bookmarkStart w:id="6510" w:name="_Toc517532281"/>
      <w:bookmarkStart w:id="6511" w:name="_Toc7568"/>
      <w:r>
        <w:rPr>
          <w:rFonts w:hAnsi="宋体"/>
          <w:color w:val="auto"/>
          <w:sz w:val="23"/>
          <w:szCs w:val="23"/>
          <w:highlight w:val="none"/>
        </w:rPr>
        <w:sym w:font="Wingdings" w:char="F0A8"/>
      </w:r>
      <w:r>
        <w:rPr>
          <w:rFonts w:hint="eastAsia" w:ascii="宋体" w:hAnsi="宋体" w:cs="宋体"/>
          <w:b/>
          <w:bCs/>
          <w:color w:val="auto"/>
          <w:sz w:val="24"/>
          <w:szCs w:val="24"/>
          <w:highlight w:val="none"/>
        </w:rPr>
        <w:t>（2）清洁卫生</w:t>
      </w:r>
      <w:bookmarkEnd w:id="6501"/>
      <w:bookmarkEnd w:id="6502"/>
      <w:bookmarkEnd w:id="6503"/>
      <w:bookmarkEnd w:id="6504"/>
      <w:bookmarkEnd w:id="6505"/>
      <w:bookmarkEnd w:id="6506"/>
      <w:bookmarkEnd w:id="6507"/>
      <w:bookmarkEnd w:id="6508"/>
      <w:bookmarkEnd w:id="6509"/>
      <w:bookmarkEnd w:id="6510"/>
      <w:bookmarkEnd w:id="6511"/>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（a）清洁服务范围：</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①现场办公区内所有办公室、会议室及其办公设备、公共通道、院内地坪及其他公共区域及设施的清洁保养；</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②所有卫生间、茶水间的清洁保养；</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③清倒日常生活垃圾，清洁垃圾桶；</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④负责对每天的报纸、杂志的分发，更换饮水机直饮水，管理开水设备杂活。</w:t>
      </w:r>
    </w:p>
    <w:p>
      <w:pPr>
        <w:adjustRightInd w:val="0"/>
        <w:snapToGrid w:val="0"/>
        <w:spacing w:line="360" w:lineRule="auto"/>
        <w:ind w:firstLine="420" w:firstLineChars="200"/>
        <w:jc w:val="center"/>
        <w:rPr>
          <w:rFonts w:hint="eastAsia" w:ascii="宋体" w:hAnsi="宋体" w:cs="宋体"/>
          <w:bCs/>
          <w:color w:val="auto"/>
          <w:szCs w:val="21"/>
          <w:highlight w:val="none"/>
        </w:rPr>
      </w:pPr>
      <w:r>
        <w:rPr>
          <w:rFonts w:hint="eastAsia" w:ascii="宋体" w:hAnsi="宋体" w:cs="宋体"/>
          <w:bCs/>
          <w:color w:val="auto"/>
          <w:szCs w:val="21"/>
          <w:highlight w:val="none"/>
        </w:rPr>
        <w:t>清洁服务范围表</w:t>
      </w:r>
    </w:p>
    <w:tbl>
      <w:tblPr>
        <w:tblStyle w:val="4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741"/>
        <w:gridCol w:w="1772"/>
        <w:gridCol w:w="684"/>
        <w:gridCol w:w="1776"/>
        <w:gridCol w:w="1175"/>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 w:hRule="atLeast"/>
          <w:jc w:val="center"/>
        </w:trPr>
        <w:tc>
          <w:tcPr>
            <w:tcW w:w="2663"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清洁项目</w:t>
            </w:r>
          </w:p>
        </w:tc>
        <w:tc>
          <w:tcPr>
            <w:tcW w:w="2456"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日常作业</w:t>
            </w:r>
          </w:p>
        </w:tc>
        <w:tc>
          <w:tcPr>
            <w:tcW w:w="2951"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定期作业</w:t>
            </w:r>
          </w:p>
        </w:tc>
        <w:tc>
          <w:tcPr>
            <w:tcW w:w="1170"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清洁标准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2663"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bCs/>
                <w:color w:val="auto"/>
                <w:szCs w:val="21"/>
                <w:highlight w:val="none"/>
              </w:rPr>
            </w:pPr>
          </w:p>
        </w:tc>
        <w:tc>
          <w:tcPr>
            <w:tcW w:w="177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每天</w:t>
            </w:r>
          </w:p>
        </w:tc>
        <w:tc>
          <w:tcPr>
            <w:tcW w:w="68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次数</w:t>
            </w:r>
          </w:p>
        </w:tc>
        <w:tc>
          <w:tcPr>
            <w:tcW w:w="17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每月</w:t>
            </w:r>
          </w:p>
        </w:tc>
        <w:tc>
          <w:tcPr>
            <w:tcW w:w="11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每季</w:t>
            </w:r>
          </w:p>
        </w:tc>
        <w:tc>
          <w:tcPr>
            <w:tcW w:w="117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922"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办</w:t>
            </w:r>
          </w:p>
          <w:p>
            <w:pPr>
              <w:adjustRightInd w:val="0"/>
              <w:snapToGrid w:val="0"/>
              <w:spacing w:after="120"/>
              <w:ind w:left="420" w:leftChars="200"/>
              <w:jc w:val="center"/>
              <w:rPr>
                <w:rFonts w:hint="eastAsia" w:ascii="宋体" w:hAnsi="宋体" w:cs="宋体"/>
                <w:bCs/>
                <w:color w:val="auto"/>
                <w:szCs w:val="21"/>
                <w:highlight w:val="none"/>
              </w:rPr>
            </w:pPr>
          </w:p>
          <w:p>
            <w:pPr>
              <w:adjustRightInd w:val="0"/>
              <w:snapToGrid w:val="0"/>
              <w:spacing w:after="120"/>
              <w:ind w:left="420" w:leftChars="200"/>
              <w:jc w:val="center"/>
              <w:rPr>
                <w:rFonts w:hint="eastAsia" w:ascii="宋体" w:hAnsi="宋体" w:cs="宋体"/>
                <w:bCs/>
                <w:color w:val="auto"/>
                <w:szCs w:val="21"/>
                <w:highlight w:val="none"/>
              </w:rPr>
            </w:pPr>
          </w:p>
          <w:p>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公</w:t>
            </w:r>
          </w:p>
          <w:p>
            <w:pPr>
              <w:adjustRightInd w:val="0"/>
              <w:snapToGrid w:val="0"/>
              <w:spacing w:after="120"/>
              <w:ind w:left="420" w:leftChars="200"/>
              <w:jc w:val="center"/>
              <w:rPr>
                <w:rFonts w:hint="eastAsia" w:ascii="宋体" w:hAnsi="宋体" w:cs="宋体"/>
                <w:bCs/>
                <w:color w:val="auto"/>
                <w:szCs w:val="21"/>
                <w:highlight w:val="none"/>
              </w:rPr>
            </w:pPr>
          </w:p>
          <w:p>
            <w:pPr>
              <w:adjustRightInd w:val="0"/>
              <w:snapToGrid w:val="0"/>
              <w:spacing w:after="120"/>
              <w:ind w:left="420" w:leftChars="200"/>
              <w:jc w:val="center"/>
              <w:rPr>
                <w:rFonts w:hint="eastAsia" w:ascii="宋体" w:hAnsi="宋体" w:cs="宋体"/>
                <w:bCs/>
                <w:color w:val="auto"/>
                <w:szCs w:val="21"/>
                <w:highlight w:val="none"/>
              </w:rPr>
            </w:pP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室</w:t>
            </w:r>
          </w:p>
        </w:tc>
        <w:tc>
          <w:tcPr>
            <w:tcW w:w="174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办公室桌椅</w:t>
            </w:r>
          </w:p>
        </w:tc>
        <w:tc>
          <w:tcPr>
            <w:tcW w:w="177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清抹</w:t>
            </w:r>
          </w:p>
        </w:tc>
        <w:tc>
          <w:tcPr>
            <w:tcW w:w="68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420" w:leftChars="200"/>
              <w:jc w:val="center"/>
              <w:rPr>
                <w:rFonts w:ascii="宋体" w:hAnsi="宋体" w:cs="宋体"/>
                <w:bCs/>
                <w:color w:val="auto"/>
                <w:szCs w:val="21"/>
                <w:highlight w:val="none"/>
              </w:rPr>
            </w:pPr>
            <w:r>
              <w:rPr>
                <w:rFonts w:hint="eastAsia" w:ascii="宋体" w:hAnsi="宋体" w:cs="宋体"/>
                <w:bCs/>
                <w:color w:val="auto"/>
                <w:szCs w:val="21"/>
                <w:highlight w:val="none"/>
              </w:rPr>
              <w:t>1</w:t>
            </w:r>
          </w:p>
        </w:tc>
        <w:tc>
          <w:tcPr>
            <w:tcW w:w="17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420" w:leftChars="200"/>
              <w:jc w:val="center"/>
              <w:rPr>
                <w:rFonts w:ascii="宋体" w:hAnsi="宋体" w:cs="宋体"/>
                <w:bCs/>
                <w:color w:val="auto"/>
                <w:szCs w:val="21"/>
                <w:highlight w:val="none"/>
              </w:rPr>
            </w:pPr>
          </w:p>
        </w:tc>
        <w:tc>
          <w:tcPr>
            <w:tcW w:w="11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420" w:leftChars="200"/>
              <w:jc w:val="center"/>
              <w:rPr>
                <w:rFonts w:ascii="宋体" w:hAnsi="宋体" w:cs="宋体"/>
                <w:bCs/>
                <w:color w:val="auto"/>
                <w:szCs w:val="21"/>
                <w:highlight w:val="none"/>
              </w:rPr>
            </w:pPr>
          </w:p>
        </w:tc>
        <w:tc>
          <w:tcPr>
            <w:tcW w:w="117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保持干净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9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bCs/>
                <w:color w:val="auto"/>
                <w:szCs w:val="21"/>
                <w:highlight w:val="none"/>
              </w:rPr>
            </w:pPr>
          </w:p>
        </w:tc>
        <w:tc>
          <w:tcPr>
            <w:tcW w:w="174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隔板</w:t>
            </w:r>
          </w:p>
        </w:tc>
        <w:tc>
          <w:tcPr>
            <w:tcW w:w="177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顶面清抹</w:t>
            </w:r>
          </w:p>
        </w:tc>
        <w:tc>
          <w:tcPr>
            <w:tcW w:w="68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420" w:leftChars="200"/>
              <w:jc w:val="center"/>
              <w:rPr>
                <w:rFonts w:ascii="宋体" w:hAnsi="宋体" w:cs="宋体"/>
                <w:bCs/>
                <w:color w:val="auto"/>
                <w:szCs w:val="21"/>
                <w:highlight w:val="none"/>
              </w:rPr>
            </w:pPr>
            <w:r>
              <w:rPr>
                <w:rFonts w:hint="eastAsia" w:ascii="宋体" w:hAnsi="宋体" w:cs="宋体"/>
                <w:bCs/>
                <w:color w:val="auto"/>
                <w:szCs w:val="21"/>
                <w:highlight w:val="none"/>
              </w:rPr>
              <w:t>1</w:t>
            </w:r>
          </w:p>
        </w:tc>
        <w:tc>
          <w:tcPr>
            <w:tcW w:w="17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420" w:leftChars="200"/>
              <w:jc w:val="center"/>
              <w:rPr>
                <w:rFonts w:ascii="宋体" w:hAnsi="宋体" w:cs="宋体"/>
                <w:bCs/>
                <w:color w:val="auto"/>
                <w:szCs w:val="21"/>
                <w:highlight w:val="none"/>
              </w:rPr>
            </w:pPr>
          </w:p>
        </w:tc>
        <w:tc>
          <w:tcPr>
            <w:tcW w:w="11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420" w:leftChars="200"/>
              <w:jc w:val="center"/>
              <w:rPr>
                <w:rFonts w:ascii="宋体" w:hAnsi="宋体" w:cs="宋体"/>
                <w:bCs/>
                <w:color w:val="auto"/>
                <w:szCs w:val="21"/>
                <w:highlight w:val="none"/>
              </w:rPr>
            </w:pPr>
          </w:p>
        </w:tc>
        <w:tc>
          <w:tcPr>
            <w:tcW w:w="117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无尘无污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9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bCs/>
                <w:color w:val="auto"/>
                <w:szCs w:val="21"/>
                <w:highlight w:val="none"/>
              </w:rPr>
            </w:pPr>
          </w:p>
        </w:tc>
        <w:tc>
          <w:tcPr>
            <w:tcW w:w="174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废纸篓</w:t>
            </w:r>
          </w:p>
        </w:tc>
        <w:tc>
          <w:tcPr>
            <w:tcW w:w="177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清倒垃圾</w:t>
            </w:r>
          </w:p>
        </w:tc>
        <w:tc>
          <w:tcPr>
            <w:tcW w:w="68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420" w:leftChars="200"/>
              <w:jc w:val="center"/>
              <w:rPr>
                <w:rFonts w:ascii="宋体" w:hAnsi="宋体" w:cs="宋体"/>
                <w:bCs/>
                <w:color w:val="auto"/>
                <w:szCs w:val="21"/>
                <w:highlight w:val="none"/>
              </w:rPr>
            </w:pPr>
            <w:r>
              <w:rPr>
                <w:rFonts w:hint="eastAsia" w:ascii="宋体" w:hAnsi="宋体" w:cs="宋体"/>
                <w:bCs/>
                <w:color w:val="auto"/>
                <w:szCs w:val="21"/>
                <w:highlight w:val="none"/>
              </w:rPr>
              <w:t>1</w:t>
            </w:r>
          </w:p>
        </w:tc>
        <w:tc>
          <w:tcPr>
            <w:tcW w:w="17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420" w:leftChars="200"/>
              <w:jc w:val="center"/>
              <w:rPr>
                <w:rFonts w:ascii="宋体" w:hAnsi="宋体" w:cs="宋体"/>
                <w:bCs/>
                <w:color w:val="auto"/>
                <w:szCs w:val="21"/>
                <w:highlight w:val="none"/>
              </w:rPr>
            </w:pPr>
          </w:p>
        </w:tc>
        <w:tc>
          <w:tcPr>
            <w:tcW w:w="11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420" w:leftChars="200"/>
              <w:jc w:val="center"/>
              <w:rPr>
                <w:rFonts w:ascii="宋体" w:hAnsi="宋体" w:cs="宋体"/>
                <w:bCs/>
                <w:color w:val="auto"/>
                <w:szCs w:val="21"/>
                <w:highlight w:val="none"/>
              </w:rPr>
            </w:pPr>
          </w:p>
        </w:tc>
        <w:tc>
          <w:tcPr>
            <w:tcW w:w="117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保持干净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9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bCs/>
                <w:color w:val="auto"/>
                <w:szCs w:val="21"/>
                <w:highlight w:val="none"/>
              </w:rPr>
            </w:pPr>
          </w:p>
        </w:tc>
        <w:tc>
          <w:tcPr>
            <w:tcW w:w="174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门窗</w:t>
            </w:r>
          </w:p>
        </w:tc>
        <w:tc>
          <w:tcPr>
            <w:tcW w:w="177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保洁</w:t>
            </w:r>
          </w:p>
        </w:tc>
        <w:tc>
          <w:tcPr>
            <w:tcW w:w="68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420" w:leftChars="200"/>
              <w:jc w:val="center"/>
              <w:rPr>
                <w:rFonts w:ascii="宋体" w:hAnsi="宋体" w:cs="宋体"/>
                <w:bCs/>
                <w:color w:val="auto"/>
                <w:szCs w:val="21"/>
                <w:highlight w:val="none"/>
              </w:rPr>
            </w:pPr>
            <w:r>
              <w:rPr>
                <w:rFonts w:hint="eastAsia" w:ascii="宋体" w:hAnsi="宋体" w:cs="宋体"/>
                <w:bCs/>
                <w:color w:val="auto"/>
                <w:szCs w:val="21"/>
                <w:highlight w:val="none"/>
              </w:rPr>
              <w:t>1</w:t>
            </w:r>
          </w:p>
        </w:tc>
        <w:tc>
          <w:tcPr>
            <w:tcW w:w="17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420" w:leftChars="200"/>
              <w:jc w:val="center"/>
              <w:rPr>
                <w:rFonts w:ascii="宋体" w:hAnsi="宋体" w:cs="宋体"/>
                <w:bCs/>
                <w:color w:val="auto"/>
                <w:szCs w:val="21"/>
                <w:highlight w:val="none"/>
              </w:rPr>
            </w:pPr>
          </w:p>
        </w:tc>
        <w:tc>
          <w:tcPr>
            <w:tcW w:w="11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420" w:leftChars="200"/>
              <w:jc w:val="center"/>
              <w:rPr>
                <w:rFonts w:ascii="宋体" w:hAnsi="宋体" w:cs="宋体"/>
                <w:bCs/>
                <w:color w:val="auto"/>
                <w:szCs w:val="21"/>
                <w:highlight w:val="none"/>
              </w:rPr>
            </w:pPr>
          </w:p>
        </w:tc>
        <w:tc>
          <w:tcPr>
            <w:tcW w:w="117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无污浊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9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bCs/>
                <w:color w:val="auto"/>
                <w:szCs w:val="21"/>
                <w:highlight w:val="none"/>
              </w:rPr>
            </w:pPr>
          </w:p>
        </w:tc>
        <w:tc>
          <w:tcPr>
            <w:tcW w:w="174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玻璃</w:t>
            </w:r>
          </w:p>
        </w:tc>
        <w:tc>
          <w:tcPr>
            <w:tcW w:w="177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保持清洁</w:t>
            </w:r>
          </w:p>
        </w:tc>
        <w:tc>
          <w:tcPr>
            <w:tcW w:w="68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420" w:leftChars="200"/>
              <w:jc w:val="center"/>
              <w:rPr>
                <w:rFonts w:ascii="宋体" w:hAnsi="宋体" w:cs="宋体"/>
                <w:bCs/>
                <w:color w:val="auto"/>
                <w:szCs w:val="21"/>
                <w:highlight w:val="none"/>
              </w:rPr>
            </w:pPr>
            <w:r>
              <w:rPr>
                <w:rFonts w:hint="eastAsia" w:ascii="宋体" w:hAnsi="宋体" w:cs="宋体"/>
                <w:bCs/>
                <w:color w:val="auto"/>
                <w:szCs w:val="21"/>
                <w:highlight w:val="none"/>
              </w:rPr>
              <w:t>1</w:t>
            </w:r>
          </w:p>
        </w:tc>
        <w:tc>
          <w:tcPr>
            <w:tcW w:w="17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清洁剂清洁1次</w:t>
            </w:r>
          </w:p>
        </w:tc>
        <w:tc>
          <w:tcPr>
            <w:tcW w:w="11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420" w:leftChars="200"/>
              <w:jc w:val="center"/>
              <w:rPr>
                <w:rFonts w:ascii="宋体" w:hAnsi="宋体" w:cs="宋体"/>
                <w:bCs/>
                <w:color w:val="auto"/>
                <w:szCs w:val="21"/>
                <w:highlight w:val="none"/>
              </w:rPr>
            </w:pPr>
          </w:p>
        </w:tc>
        <w:tc>
          <w:tcPr>
            <w:tcW w:w="117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光洁明亮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9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bCs/>
                <w:color w:val="auto"/>
                <w:szCs w:val="21"/>
                <w:highlight w:val="none"/>
              </w:rPr>
            </w:pPr>
          </w:p>
        </w:tc>
        <w:tc>
          <w:tcPr>
            <w:tcW w:w="174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空调机面/百叶</w:t>
            </w:r>
          </w:p>
        </w:tc>
        <w:tc>
          <w:tcPr>
            <w:tcW w:w="177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清抹</w:t>
            </w:r>
          </w:p>
        </w:tc>
        <w:tc>
          <w:tcPr>
            <w:tcW w:w="68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420" w:leftChars="200"/>
              <w:jc w:val="center"/>
              <w:rPr>
                <w:rFonts w:ascii="宋体" w:hAnsi="宋体" w:cs="宋体"/>
                <w:bCs/>
                <w:color w:val="auto"/>
                <w:szCs w:val="21"/>
                <w:highlight w:val="none"/>
              </w:rPr>
            </w:pPr>
            <w:r>
              <w:rPr>
                <w:rFonts w:hint="eastAsia" w:ascii="宋体" w:hAnsi="宋体" w:cs="宋体"/>
                <w:bCs/>
                <w:color w:val="auto"/>
                <w:szCs w:val="21"/>
                <w:highlight w:val="none"/>
              </w:rPr>
              <w:t>1</w:t>
            </w:r>
          </w:p>
        </w:tc>
        <w:tc>
          <w:tcPr>
            <w:tcW w:w="17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清洁剂清洁1次</w:t>
            </w:r>
          </w:p>
        </w:tc>
        <w:tc>
          <w:tcPr>
            <w:tcW w:w="11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420" w:leftChars="200"/>
              <w:jc w:val="center"/>
              <w:rPr>
                <w:rFonts w:ascii="宋体" w:hAnsi="宋体" w:cs="宋体"/>
                <w:bCs/>
                <w:color w:val="auto"/>
                <w:szCs w:val="21"/>
                <w:highlight w:val="none"/>
              </w:rPr>
            </w:pPr>
          </w:p>
        </w:tc>
        <w:tc>
          <w:tcPr>
            <w:tcW w:w="117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无污浊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9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bCs/>
                <w:color w:val="auto"/>
                <w:szCs w:val="21"/>
                <w:highlight w:val="none"/>
              </w:rPr>
            </w:pPr>
          </w:p>
        </w:tc>
        <w:tc>
          <w:tcPr>
            <w:tcW w:w="174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灯管盘</w:t>
            </w:r>
          </w:p>
        </w:tc>
        <w:tc>
          <w:tcPr>
            <w:tcW w:w="177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420" w:leftChars="200"/>
              <w:jc w:val="center"/>
              <w:rPr>
                <w:rFonts w:ascii="宋体" w:hAnsi="宋体" w:cs="宋体"/>
                <w:bCs/>
                <w:color w:val="auto"/>
                <w:szCs w:val="21"/>
                <w:highlight w:val="none"/>
              </w:rPr>
            </w:pPr>
          </w:p>
        </w:tc>
        <w:tc>
          <w:tcPr>
            <w:tcW w:w="68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420" w:leftChars="200"/>
              <w:jc w:val="center"/>
              <w:rPr>
                <w:rFonts w:ascii="宋体" w:hAnsi="宋体" w:cs="宋体"/>
                <w:bCs/>
                <w:color w:val="auto"/>
                <w:szCs w:val="21"/>
                <w:highlight w:val="none"/>
              </w:rPr>
            </w:pPr>
          </w:p>
        </w:tc>
        <w:tc>
          <w:tcPr>
            <w:tcW w:w="17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420" w:leftChars="200"/>
              <w:jc w:val="center"/>
              <w:rPr>
                <w:rFonts w:ascii="宋体" w:hAnsi="宋体" w:cs="宋体"/>
                <w:bCs/>
                <w:color w:val="auto"/>
                <w:szCs w:val="21"/>
                <w:highlight w:val="none"/>
              </w:rPr>
            </w:pPr>
          </w:p>
        </w:tc>
        <w:tc>
          <w:tcPr>
            <w:tcW w:w="11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清洁1次</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无污浊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9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bCs/>
                <w:color w:val="auto"/>
                <w:szCs w:val="21"/>
                <w:highlight w:val="none"/>
              </w:rPr>
            </w:pPr>
          </w:p>
        </w:tc>
        <w:tc>
          <w:tcPr>
            <w:tcW w:w="174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室内地面及走廊</w:t>
            </w:r>
          </w:p>
        </w:tc>
        <w:tc>
          <w:tcPr>
            <w:tcW w:w="177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清拖</w:t>
            </w:r>
          </w:p>
        </w:tc>
        <w:tc>
          <w:tcPr>
            <w:tcW w:w="68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420" w:leftChars="200"/>
              <w:jc w:val="center"/>
              <w:rPr>
                <w:rFonts w:ascii="宋体" w:hAnsi="宋体" w:cs="宋体"/>
                <w:bCs/>
                <w:color w:val="auto"/>
                <w:szCs w:val="21"/>
                <w:highlight w:val="none"/>
              </w:rPr>
            </w:pPr>
            <w:r>
              <w:rPr>
                <w:rFonts w:hint="eastAsia" w:ascii="宋体" w:hAnsi="宋体" w:cs="宋体"/>
                <w:bCs/>
                <w:color w:val="auto"/>
                <w:szCs w:val="21"/>
                <w:highlight w:val="none"/>
              </w:rPr>
              <w:t>1</w:t>
            </w:r>
          </w:p>
        </w:tc>
        <w:tc>
          <w:tcPr>
            <w:tcW w:w="17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清洁1次</w:t>
            </w:r>
          </w:p>
        </w:tc>
        <w:tc>
          <w:tcPr>
            <w:tcW w:w="11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打蜡1次</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无污浊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22"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公共</w:t>
            </w:r>
          </w:p>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区域</w:t>
            </w:r>
          </w:p>
        </w:tc>
        <w:tc>
          <w:tcPr>
            <w:tcW w:w="174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院内地坪</w:t>
            </w:r>
          </w:p>
        </w:tc>
        <w:tc>
          <w:tcPr>
            <w:tcW w:w="177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保持清洁</w:t>
            </w:r>
          </w:p>
        </w:tc>
        <w:tc>
          <w:tcPr>
            <w:tcW w:w="68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420" w:leftChars="200"/>
              <w:jc w:val="center"/>
              <w:rPr>
                <w:rFonts w:ascii="宋体" w:hAnsi="宋体" w:cs="宋体"/>
                <w:bCs/>
                <w:color w:val="auto"/>
                <w:szCs w:val="21"/>
                <w:highlight w:val="none"/>
              </w:rPr>
            </w:pPr>
          </w:p>
        </w:tc>
        <w:tc>
          <w:tcPr>
            <w:tcW w:w="17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420" w:leftChars="200"/>
              <w:jc w:val="center"/>
              <w:rPr>
                <w:rFonts w:ascii="宋体" w:hAnsi="宋体" w:cs="宋体"/>
                <w:bCs/>
                <w:color w:val="auto"/>
                <w:szCs w:val="21"/>
                <w:highlight w:val="none"/>
              </w:rPr>
            </w:pPr>
          </w:p>
        </w:tc>
        <w:tc>
          <w:tcPr>
            <w:tcW w:w="11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420" w:leftChars="200"/>
              <w:jc w:val="center"/>
              <w:rPr>
                <w:rFonts w:ascii="宋体" w:hAnsi="宋体" w:cs="宋体"/>
                <w:bCs/>
                <w:color w:val="auto"/>
                <w:szCs w:val="21"/>
                <w:highlight w:val="none"/>
              </w:rPr>
            </w:pPr>
          </w:p>
        </w:tc>
        <w:tc>
          <w:tcPr>
            <w:tcW w:w="117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保持干净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bCs/>
                <w:color w:val="auto"/>
                <w:szCs w:val="21"/>
                <w:highlight w:val="none"/>
              </w:rPr>
            </w:pPr>
          </w:p>
        </w:tc>
        <w:tc>
          <w:tcPr>
            <w:tcW w:w="174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卫生间、茶水间</w:t>
            </w:r>
          </w:p>
        </w:tc>
        <w:tc>
          <w:tcPr>
            <w:tcW w:w="177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保持清洁</w:t>
            </w:r>
          </w:p>
        </w:tc>
        <w:tc>
          <w:tcPr>
            <w:tcW w:w="68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420" w:leftChars="200"/>
              <w:jc w:val="center"/>
              <w:rPr>
                <w:rFonts w:ascii="宋体" w:hAnsi="宋体" w:cs="宋体"/>
                <w:bCs/>
                <w:color w:val="auto"/>
                <w:szCs w:val="21"/>
                <w:highlight w:val="none"/>
              </w:rPr>
            </w:pPr>
          </w:p>
        </w:tc>
        <w:tc>
          <w:tcPr>
            <w:tcW w:w="17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420" w:leftChars="200"/>
              <w:jc w:val="center"/>
              <w:rPr>
                <w:rFonts w:ascii="宋体" w:hAnsi="宋体" w:cs="宋体"/>
                <w:bCs/>
                <w:color w:val="auto"/>
                <w:szCs w:val="21"/>
                <w:highlight w:val="none"/>
              </w:rPr>
            </w:pPr>
          </w:p>
        </w:tc>
        <w:tc>
          <w:tcPr>
            <w:tcW w:w="11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420" w:leftChars="200"/>
              <w:jc w:val="center"/>
              <w:rPr>
                <w:rFonts w:ascii="宋体" w:hAnsi="宋体" w:cs="宋体"/>
                <w:bCs/>
                <w:color w:val="auto"/>
                <w:szCs w:val="21"/>
                <w:highlight w:val="none"/>
              </w:rPr>
            </w:pPr>
          </w:p>
        </w:tc>
        <w:tc>
          <w:tcPr>
            <w:tcW w:w="117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保持干净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2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bCs/>
                <w:color w:val="auto"/>
                <w:szCs w:val="21"/>
                <w:highlight w:val="none"/>
              </w:rPr>
            </w:pPr>
          </w:p>
        </w:tc>
        <w:tc>
          <w:tcPr>
            <w:tcW w:w="174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垃圾桶</w:t>
            </w:r>
          </w:p>
        </w:tc>
        <w:tc>
          <w:tcPr>
            <w:tcW w:w="177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清倒垃圾</w:t>
            </w:r>
          </w:p>
        </w:tc>
        <w:tc>
          <w:tcPr>
            <w:tcW w:w="684"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420" w:leftChars="200"/>
              <w:jc w:val="center"/>
              <w:rPr>
                <w:rFonts w:ascii="宋体" w:hAnsi="宋体" w:cs="宋体"/>
                <w:bCs/>
                <w:color w:val="auto"/>
                <w:szCs w:val="21"/>
                <w:highlight w:val="none"/>
              </w:rPr>
            </w:pPr>
            <w:r>
              <w:rPr>
                <w:rFonts w:hint="eastAsia" w:ascii="宋体" w:hAnsi="宋体" w:cs="宋体"/>
                <w:bCs/>
                <w:color w:val="auto"/>
                <w:szCs w:val="21"/>
                <w:highlight w:val="none"/>
              </w:rPr>
              <w:t>1</w:t>
            </w:r>
          </w:p>
        </w:tc>
        <w:tc>
          <w:tcPr>
            <w:tcW w:w="1776"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420" w:leftChars="200"/>
              <w:jc w:val="center"/>
              <w:rPr>
                <w:rFonts w:ascii="宋体" w:hAnsi="宋体" w:cs="宋体"/>
                <w:bCs/>
                <w:color w:val="auto"/>
                <w:szCs w:val="21"/>
                <w:highlight w:val="none"/>
              </w:rPr>
            </w:pPr>
          </w:p>
        </w:tc>
        <w:tc>
          <w:tcPr>
            <w:tcW w:w="117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420" w:leftChars="200"/>
              <w:jc w:val="center"/>
              <w:rPr>
                <w:rFonts w:ascii="宋体" w:hAnsi="宋体" w:cs="宋体"/>
                <w:bCs/>
                <w:color w:val="auto"/>
                <w:szCs w:val="21"/>
                <w:highlight w:val="none"/>
              </w:rPr>
            </w:pPr>
          </w:p>
        </w:tc>
        <w:tc>
          <w:tcPr>
            <w:tcW w:w="117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保持干净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2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rPr>
              <w:t>其他</w:t>
            </w:r>
          </w:p>
        </w:tc>
        <w:tc>
          <w:tcPr>
            <w:tcW w:w="8318" w:type="dxa"/>
            <w:gridSpan w:val="6"/>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after="120"/>
              <w:ind w:left="420" w:leftChars="200"/>
              <w:jc w:val="center"/>
              <w:rPr>
                <w:rFonts w:ascii="宋体" w:hAnsi="宋体" w:cs="宋体"/>
                <w:bCs/>
                <w:color w:val="auto"/>
                <w:szCs w:val="21"/>
                <w:highlight w:val="none"/>
              </w:rPr>
            </w:pPr>
            <w:r>
              <w:rPr>
                <w:rFonts w:hint="eastAsia" w:ascii="宋体" w:hAnsi="宋体" w:cs="宋体"/>
                <w:bCs/>
                <w:color w:val="auto"/>
                <w:szCs w:val="21"/>
                <w:highlight w:val="none"/>
              </w:rPr>
              <w:t>发包人临时安排的清洁服务区内的清洁任务</w:t>
            </w:r>
          </w:p>
        </w:tc>
      </w:tr>
    </w:tbl>
    <w:p>
      <w:pPr>
        <w:adjustRightInd w:val="0"/>
        <w:snapToGrid w:val="0"/>
        <w:spacing w:line="360" w:lineRule="auto"/>
        <w:ind w:firstLine="420" w:firstLineChars="200"/>
        <w:jc w:val="center"/>
        <w:rPr>
          <w:rFonts w:hint="eastAsia" w:ascii="宋体" w:hAnsi="宋体" w:cs="宋体"/>
          <w:bCs/>
          <w:color w:val="auto"/>
          <w:szCs w:val="21"/>
          <w:highlight w:val="none"/>
        </w:rPr>
      </w:pP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（b）清洁服务方式：承包人包工包料、包设备、包安全，发包人负责协助承包人开展有关清洁工作，提供清洁作业的水、电及作为存放清洁工具、机械、物料的存放场所。</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（c）约定事项</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①受条件限制，发包人不负担承包人派驻清洁现场清洁工的食宿及其费用；</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②承包人负责派驻清洁现场清洁工的工资、社会保险及其他福利待遇等，发包人不再另行负担任何费用；</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③清洁不合格的，发包人有权要求承包人及时进行整改；</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④对不服从管理的清洁工，发包人有权要求承包人及时更换，承包人在接到发包人更换清洁工的通知后应在24小时内予以响应。</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（d）发包人的权利及义务：</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①负责清洁工日常工作的管理；</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②发包人为清洁工提供工作所必需的用水、用电，并保证其正常供应；</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③对规定范围内的清洁工作进行验收。</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（e）承包人的权利及义务：</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①按规定全面履行上述清洁职责；</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②采取安全可靠的方式进行清洁卫生作业，接受发包人的监督管理；</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③对清洁作业包工、包料，并自行解决作业所需物料、工具、机械设备等；</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④除保证清洁质量达到要求外，还应保证发包人之财产完整不受损。否则，除发包人认为可以接受的理由外，承包人应无条件就其清洁作业所造成的损失给予照价赔偿或修复。</w:t>
      </w:r>
    </w:p>
    <w:p>
      <w:pPr>
        <w:keepNext/>
        <w:keepLines/>
        <w:spacing w:before="120" w:beforeLines="50" w:after="120" w:afterLines="50" w:line="360" w:lineRule="auto"/>
        <w:ind w:firstLine="694" w:firstLineChars="302"/>
        <w:outlineLvl w:val="4"/>
        <w:rPr>
          <w:rFonts w:hint="eastAsia" w:ascii="宋体" w:hAnsi="宋体" w:cs="宋体"/>
          <w:b/>
          <w:bCs/>
          <w:color w:val="auto"/>
          <w:sz w:val="24"/>
          <w:szCs w:val="24"/>
          <w:highlight w:val="none"/>
        </w:rPr>
      </w:pPr>
      <w:bookmarkStart w:id="6512" w:name="_Toc19486"/>
      <w:bookmarkStart w:id="6513" w:name="_Toc22056"/>
      <w:bookmarkStart w:id="6514" w:name="_Toc16563"/>
      <w:bookmarkStart w:id="6515" w:name="_Toc11291"/>
      <w:bookmarkStart w:id="6516" w:name="_Toc6435"/>
      <w:bookmarkStart w:id="6517" w:name="_Toc6063"/>
      <w:bookmarkStart w:id="6518" w:name="_Toc10607"/>
      <w:bookmarkStart w:id="6519" w:name="_Toc26903"/>
      <w:bookmarkStart w:id="6520" w:name="_Toc26805"/>
      <w:bookmarkStart w:id="6521" w:name="_Toc517532282"/>
      <w:bookmarkStart w:id="6522" w:name="_Toc517531006"/>
      <w:r>
        <w:rPr>
          <w:rFonts w:hAnsi="宋体"/>
          <w:color w:val="auto"/>
          <w:sz w:val="23"/>
          <w:szCs w:val="23"/>
          <w:highlight w:val="none"/>
        </w:rPr>
        <w:sym w:font="Wingdings" w:char="F0A8"/>
      </w:r>
      <w:r>
        <w:rPr>
          <w:rFonts w:hint="eastAsia" w:ascii="宋体" w:hAnsi="宋体" w:cs="宋体"/>
          <w:b/>
          <w:bCs/>
          <w:color w:val="auto"/>
          <w:sz w:val="24"/>
          <w:szCs w:val="24"/>
          <w:highlight w:val="none"/>
        </w:rPr>
        <w:t>（3）办公室花卉租赁</w:t>
      </w:r>
      <w:bookmarkEnd w:id="6512"/>
      <w:bookmarkEnd w:id="6513"/>
      <w:bookmarkEnd w:id="6514"/>
      <w:bookmarkEnd w:id="6515"/>
      <w:bookmarkEnd w:id="6516"/>
      <w:bookmarkEnd w:id="6517"/>
      <w:bookmarkEnd w:id="6518"/>
      <w:bookmarkEnd w:id="6519"/>
      <w:bookmarkEnd w:id="6520"/>
      <w:bookmarkEnd w:id="6521"/>
      <w:bookmarkEnd w:id="6522"/>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（a）项目组办公区室内绿化标准：</w:t>
      </w:r>
    </w:p>
    <w:p>
      <w:pPr>
        <w:adjustRightInd w:val="0"/>
        <w:snapToGrid w:val="0"/>
        <w:spacing w:line="360" w:lineRule="auto"/>
        <w:ind w:firstLine="460" w:firstLineChars="200"/>
        <w:jc w:val="left"/>
        <w:rPr>
          <w:rFonts w:hint="eastAsia" w:ascii="宋体" w:hAnsi="宋体" w:cs="宋体"/>
          <w:color w:val="auto"/>
          <w:szCs w:val="21"/>
          <w:highlight w:val="none"/>
        </w:rPr>
      </w:pPr>
      <w:r>
        <w:rPr>
          <w:rFonts w:hAnsi="宋体"/>
          <w:color w:val="auto"/>
          <w:sz w:val="23"/>
          <w:szCs w:val="23"/>
          <w:highlight w:val="none"/>
        </w:rPr>
        <w:sym w:font="Wingdings" w:char="F0A8"/>
      </w:r>
      <w:r>
        <w:rPr>
          <w:rFonts w:hint="eastAsia" w:ascii="宋体" w:hAnsi="宋体" w:cs="宋体"/>
          <w:color w:val="auto"/>
          <w:szCs w:val="21"/>
          <w:highlight w:val="none"/>
        </w:rPr>
        <w:t>①每间会议室内至少摆放4盆绿色植物，会议桌中间摆一排时花；</w:t>
      </w:r>
    </w:p>
    <w:p>
      <w:pPr>
        <w:adjustRightInd w:val="0"/>
        <w:snapToGrid w:val="0"/>
        <w:spacing w:line="360" w:lineRule="auto"/>
        <w:ind w:firstLine="460" w:firstLineChars="200"/>
        <w:jc w:val="left"/>
        <w:rPr>
          <w:rFonts w:hint="eastAsia" w:ascii="宋体" w:hAnsi="宋体" w:cs="宋体"/>
          <w:color w:val="auto"/>
          <w:szCs w:val="21"/>
          <w:highlight w:val="none"/>
        </w:rPr>
      </w:pPr>
      <w:r>
        <w:rPr>
          <w:rFonts w:hAnsi="宋体"/>
          <w:color w:val="auto"/>
          <w:sz w:val="23"/>
          <w:szCs w:val="23"/>
          <w:highlight w:val="none"/>
        </w:rPr>
        <w:sym w:font="Wingdings" w:char="F0A8"/>
      </w:r>
      <w:r>
        <w:rPr>
          <w:rFonts w:hint="eastAsia" w:ascii="宋体" w:hAnsi="宋体" w:cs="宋体"/>
          <w:color w:val="auto"/>
          <w:szCs w:val="21"/>
          <w:highlight w:val="none"/>
        </w:rPr>
        <w:t>②每间办公室至少摆放2盆绿色植物；</w:t>
      </w:r>
    </w:p>
    <w:p>
      <w:pPr>
        <w:adjustRightInd w:val="0"/>
        <w:snapToGrid w:val="0"/>
        <w:spacing w:line="360" w:lineRule="auto"/>
        <w:ind w:firstLine="460" w:firstLineChars="200"/>
        <w:jc w:val="left"/>
        <w:rPr>
          <w:rFonts w:hint="eastAsia" w:ascii="宋体" w:hAnsi="宋体" w:cs="宋体"/>
          <w:color w:val="auto"/>
          <w:szCs w:val="21"/>
          <w:highlight w:val="none"/>
        </w:rPr>
      </w:pPr>
      <w:r>
        <w:rPr>
          <w:rFonts w:hAnsi="宋体"/>
          <w:color w:val="auto"/>
          <w:sz w:val="23"/>
          <w:szCs w:val="23"/>
          <w:highlight w:val="none"/>
        </w:rPr>
        <w:sym w:font="Wingdings" w:char="F0A8"/>
      </w:r>
      <w:r>
        <w:rPr>
          <w:rFonts w:hint="eastAsia" w:ascii="宋体" w:hAnsi="宋体" w:cs="宋体"/>
          <w:color w:val="auto"/>
          <w:szCs w:val="21"/>
          <w:highlight w:val="none"/>
        </w:rPr>
        <w:t>③绿色植物含绿萝、发财树、金钱树、巴西铁树等。</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（b）约定事项：</w:t>
      </w:r>
    </w:p>
    <w:p>
      <w:pPr>
        <w:adjustRightInd w:val="0"/>
        <w:snapToGrid w:val="0"/>
        <w:spacing w:line="360" w:lineRule="auto"/>
        <w:ind w:firstLine="460" w:firstLineChars="200"/>
        <w:jc w:val="left"/>
        <w:rPr>
          <w:rFonts w:hint="eastAsia" w:ascii="宋体" w:hAnsi="宋体" w:cs="宋体"/>
          <w:color w:val="auto"/>
          <w:szCs w:val="21"/>
          <w:highlight w:val="none"/>
        </w:rPr>
      </w:pPr>
      <w:r>
        <w:rPr>
          <w:rFonts w:hAnsi="宋体"/>
          <w:color w:val="auto"/>
          <w:sz w:val="23"/>
          <w:szCs w:val="23"/>
          <w:highlight w:val="none"/>
        </w:rPr>
        <w:sym w:font="Wingdings" w:char="F0A8"/>
      </w:r>
      <w:r>
        <w:rPr>
          <w:rFonts w:hint="eastAsia" w:ascii="宋体" w:hAnsi="宋体" w:cs="宋体"/>
          <w:color w:val="auto"/>
          <w:szCs w:val="21"/>
          <w:highlight w:val="none"/>
        </w:rPr>
        <w:t>①承包人向发包人所提供的花卉，由承包人负责浇水、施肥、修剪等日常管理工作，并根据不同品种及花卉情况随时进行更换，保持所供花卉的新鲜和美观；</w:t>
      </w:r>
    </w:p>
    <w:p>
      <w:pPr>
        <w:adjustRightInd w:val="0"/>
        <w:snapToGrid w:val="0"/>
        <w:spacing w:line="360" w:lineRule="auto"/>
        <w:ind w:firstLine="460" w:firstLineChars="200"/>
        <w:jc w:val="left"/>
        <w:rPr>
          <w:rFonts w:hint="eastAsia" w:ascii="宋体" w:hAnsi="宋体" w:cs="宋体"/>
          <w:color w:val="auto"/>
          <w:szCs w:val="21"/>
          <w:highlight w:val="none"/>
        </w:rPr>
      </w:pPr>
      <w:r>
        <w:rPr>
          <w:rFonts w:hAnsi="宋体"/>
          <w:color w:val="auto"/>
          <w:sz w:val="23"/>
          <w:szCs w:val="23"/>
          <w:highlight w:val="none"/>
        </w:rPr>
        <w:sym w:font="Wingdings" w:char="F0A8"/>
      </w:r>
      <w:r>
        <w:rPr>
          <w:rFonts w:hint="eastAsia" w:ascii="宋体" w:hAnsi="宋体" w:cs="宋体"/>
          <w:color w:val="auto"/>
          <w:szCs w:val="21"/>
          <w:highlight w:val="none"/>
        </w:rPr>
        <w:t>②发包人应为承包人提供管理上的方便。</w:t>
      </w:r>
      <w:bookmarkStart w:id="6523" w:name="_Toc297216155"/>
      <w:bookmarkStart w:id="6524" w:name="_Toc304295527"/>
      <w:bookmarkStart w:id="6525" w:name="_Toc312677997"/>
      <w:bookmarkStart w:id="6526" w:name="_Toc297123496"/>
      <w:bookmarkStart w:id="6527" w:name="_Toc303539106"/>
      <w:bookmarkStart w:id="6528" w:name="_Toc318581164"/>
      <w:bookmarkStart w:id="6529" w:name="_Toc300934949"/>
    </w:p>
    <w:bookmarkEnd w:id="6523"/>
    <w:bookmarkEnd w:id="6524"/>
    <w:bookmarkEnd w:id="6525"/>
    <w:bookmarkEnd w:id="6526"/>
    <w:bookmarkEnd w:id="6527"/>
    <w:bookmarkEnd w:id="6528"/>
    <w:bookmarkEnd w:id="6529"/>
    <w:p>
      <w:pPr>
        <w:keepNext/>
        <w:keepLines/>
        <w:spacing w:before="120" w:beforeLines="50" w:after="120" w:afterLines="50" w:line="360" w:lineRule="auto"/>
        <w:ind w:left="562"/>
        <w:outlineLvl w:val="2"/>
        <w:rPr>
          <w:rFonts w:hint="eastAsia" w:ascii="宋体" w:hAnsi="宋体" w:cs="宋体"/>
          <w:b/>
          <w:bCs/>
          <w:color w:val="auto"/>
          <w:sz w:val="28"/>
          <w:szCs w:val="28"/>
          <w:highlight w:val="none"/>
        </w:rPr>
      </w:pPr>
      <w:bookmarkStart w:id="6530" w:name="_Toc517531007"/>
      <w:bookmarkStart w:id="6531" w:name="_Toc1471"/>
      <w:bookmarkStart w:id="6532" w:name="_Toc21128"/>
      <w:bookmarkStart w:id="6533" w:name="_Toc28009"/>
      <w:bookmarkStart w:id="6534" w:name="_Toc21156"/>
      <w:bookmarkStart w:id="6535" w:name="_Toc517532283"/>
      <w:bookmarkStart w:id="6536" w:name="_Toc8735"/>
      <w:bookmarkStart w:id="6537" w:name="_Toc9705"/>
      <w:bookmarkStart w:id="6538" w:name="_Toc6731"/>
      <w:bookmarkStart w:id="6539" w:name="_Toc517528791"/>
      <w:bookmarkStart w:id="6540" w:name="_Toc69114081"/>
      <w:bookmarkStart w:id="6541" w:name="_Toc14451"/>
      <w:bookmarkStart w:id="6542" w:name="_Toc21883"/>
      <w:r>
        <w:rPr>
          <w:rFonts w:hint="eastAsia" w:ascii="宋体" w:hAnsi="宋体" w:cs="宋体"/>
          <w:b/>
          <w:bCs/>
          <w:color w:val="auto"/>
          <w:sz w:val="28"/>
          <w:szCs w:val="28"/>
          <w:highlight w:val="none"/>
        </w:rPr>
        <w:t>6.3环境保护</w:t>
      </w:r>
      <w:bookmarkEnd w:id="6530"/>
      <w:bookmarkEnd w:id="6531"/>
      <w:bookmarkEnd w:id="6532"/>
      <w:bookmarkEnd w:id="6533"/>
      <w:bookmarkEnd w:id="6534"/>
      <w:bookmarkEnd w:id="6535"/>
      <w:bookmarkEnd w:id="6536"/>
      <w:bookmarkEnd w:id="6537"/>
      <w:bookmarkEnd w:id="6538"/>
      <w:bookmarkEnd w:id="6539"/>
      <w:bookmarkEnd w:id="6540"/>
      <w:bookmarkEnd w:id="6541"/>
      <w:bookmarkEnd w:id="6542"/>
    </w:p>
    <w:p>
      <w:pPr>
        <w:keepNext/>
        <w:keepLines/>
        <w:spacing w:before="120" w:beforeLines="50" w:after="120" w:afterLines="50" w:line="360" w:lineRule="auto"/>
        <w:ind w:left="728"/>
        <w:outlineLvl w:val="3"/>
        <w:rPr>
          <w:rFonts w:hint="eastAsia" w:ascii="宋体" w:hAnsi="宋体" w:cs="宋体"/>
          <w:b/>
          <w:bCs/>
          <w:color w:val="auto"/>
          <w:sz w:val="24"/>
          <w:szCs w:val="24"/>
          <w:highlight w:val="none"/>
        </w:rPr>
      </w:pPr>
      <w:bookmarkStart w:id="6543" w:name="_Toc22595"/>
      <w:bookmarkStart w:id="6544" w:name="_Toc15957"/>
      <w:bookmarkStart w:id="6545" w:name="_Toc8488"/>
      <w:bookmarkStart w:id="6546" w:name="_Toc24587"/>
      <w:bookmarkStart w:id="6547" w:name="_Toc7634"/>
      <w:bookmarkStart w:id="6548" w:name="_Toc517531008"/>
      <w:bookmarkStart w:id="6549" w:name="_Toc2316"/>
      <w:bookmarkStart w:id="6550" w:name="_Toc27070"/>
      <w:bookmarkStart w:id="6551" w:name="_Toc21929"/>
      <w:bookmarkStart w:id="6552" w:name="_Toc517532284"/>
      <w:bookmarkStart w:id="6553" w:name="_Toc9213"/>
      <w:bookmarkStart w:id="6554" w:name="_Toc1263"/>
      <w:bookmarkStart w:id="6555" w:name="_Toc29311"/>
      <w:bookmarkStart w:id="6556" w:name="_Toc16319"/>
      <w:bookmarkStart w:id="6557" w:name="_Toc13853"/>
      <w:bookmarkStart w:id="6558" w:name="_Toc19605"/>
      <w:bookmarkStart w:id="6559" w:name="_Toc23058"/>
      <w:bookmarkStart w:id="6560" w:name="_Toc23789"/>
      <w:r>
        <w:rPr>
          <w:rFonts w:hint="eastAsia" w:ascii="宋体" w:hAnsi="宋体" w:cs="宋体"/>
          <w:b/>
          <w:bCs/>
          <w:color w:val="auto"/>
          <w:sz w:val="24"/>
          <w:szCs w:val="24"/>
          <w:highlight w:val="none"/>
        </w:rPr>
        <w:t>6.3.1扬尘污染防治</w:t>
      </w:r>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p>
    <w:p>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施工总承包工程的特别要求（土建）：</w:t>
      </w:r>
    </w:p>
    <w:p>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依据《深圳市大气环境质量提升计划》、《光明区绿色工地评选实施方案》等相关规定的要求，在建工程项目在推进大气污染防治、改善环境空气质量，促进城市可持续发展方面必须满足以下规定要求：</w:t>
      </w:r>
    </w:p>
    <w:p>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a）要求承包人除落实深圳市规定的“7个100%”扬尘防治要求外，还需按照《深圳市扬尘污染防治管理办法》《深圳市光明区施工工地扬尘防治长效管理工作指引（第二版）》、等相关规定全面落实各项扬尘污染防治措施；</w:t>
      </w:r>
    </w:p>
    <w:p>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b）施工机械必须达到国家第二阶段的排放标准，并符合深圳市在用非道路移动机械用柴油机排放特区技术规范的要求，鼓励使用LNG或电动施工机械。2015年起，全面推行使用加装主动再生式柴油颗粒捕集器的柴油工程机械，工程项目中选用LNG或电动施工机械的比例不低于30%。</w:t>
      </w:r>
    </w:p>
    <w:p>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（c）土石方工地出口必须按规定安装车辆自动喷淋系统，推广利用工地基坑回用废水清洗余泥渣土运输车辆；</w:t>
      </w:r>
    </w:p>
    <w:p>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d）承包人必须设置项目扬尘视频监控设施，建设扬尘视频监控平台，建设用地面积大于5万平方米的房屋建筑工程及房屋拆除工程，在主要施工工地出口、起重机、料堆等易起尘的位置安装视频监控设施，实现重点环节和部位的精细化管理。</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发包人将在项目实施过程中依据扬尘防治的有关要求对承包人进行重点检查，对于出现违反规定的行为,发包人有权采取限期整治、责令停工等措施。同时，对于违反规定的承包人，发包人有权采取记录承包人不良行为、录入企业履约评价档案等违约处理措施。</w:t>
      </w:r>
    </w:p>
    <w:p>
      <w:pPr>
        <w:keepNext/>
        <w:keepLines/>
        <w:spacing w:before="120" w:beforeLines="50" w:after="120" w:afterLines="50" w:line="360" w:lineRule="auto"/>
        <w:ind w:left="728"/>
        <w:outlineLvl w:val="3"/>
        <w:rPr>
          <w:rFonts w:hint="eastAsia" w:ascii="宋体" w:hAnsi="宋体" w:cs="宋体"/>
          <w:b/>
          <w:bCs/>
          <w:color w:val="auto"/>
          <w:sz w:val="24"/>
          <w:szCs w:val="24"/>
          <w:highlight w:val="none"/>
        </w:rPr>
      </w:pPr>
      <w:bookmarkStart w:id="6561" w:name="_Toc8892"/>
      <w:bookmarkStart w:id="6562" w:name="_Toc9923"/>
      <w:bookmarkStart w:id="6563" w:name="_Toc18613"/>
      <w:bookmarkStart w:id="6564" w:name="_Toc1334"/>
      <w:bookmarkStart w:id="6565" w:name="_Toc2040"/>
      <w:bookmarkStart w:id="6566" w:name="_Toc517532285"/>
      <w:bookmarkStart w:id="6567" w:name="_Toc8784"/>
      <w:bookmarkStart w:id="6568" w:name="_Toc6281"/>
      <w:bookmarkStart w:id="6569" w:name="_Toc3912"/>
      <w:bookmarkStart w:id="6570" w:name="_Toc29953"/>
      <w:bookmarkStart w:id="6571" w:name="_Toc517531009"/>
      <w:bookmarkStart w:id="6572" w:name="_Toc9879"/>
      <w:bookmarkStart w:id="6573" w:name="_Toc14152"/>
      <w:bookmarkStart w:id="6574" w:name="_Toc29636"/>
      <w:bookmarkStart w:id="6575" w:name="_Toc16428"/>
      <w:bookmarkStart w:id="6576" w:name="_Toc7542"/>
      <w:bookmarkStart w:id="6577" w:name="_Toc8160"/>
      <w:bookmarkStart w:id="6578" w:name="_Toc21380"/>
      <w:r>
        <w:rPr>
          <w:rFonts w:hint="eastAsia" w:ascii="宋体" w:hAnsi="宋体" w:cs="宋体"/>
          <w:b/>
          <w:bCs/>
          <w:color w:val="auto"/>
          <w:sz w:val="24"/>
          <w:szCs w:val="24"/>
          <w:highlight w:val="none"/>
        </w:rPr>
        <w:t>6.3.3余泥渣土运输的要求</w:t>
      </w:r>
      <w:bookmarkEnd w:id="639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p>
    <w:p>
      <w:pPr>
        <w:keepNext/>
        <w:keepLines/>
        <w:spacing w:before="120" w:beforeLines="50" w:after="120" w:afterLines="50" w:line="360" w:lineRule="auto"/>
        <w:ind w:firstLine="725" w:firstLineChars="302"/>
        <w:outlineLvl w:val="4"/>
        <w:rPr>
          <w:rFonts w:hint="eastAsia" w:ascii="宋体" w:hAnsi="宋体" w:cs="宋体"/>
          <w:b/>
          <w:bCs/>
          <w:color w:val="auto"/>
          <w:sz w:val="24"/>
          <w:szCs w:val="24"/>
          <w:highlight w:val="none"/>
        </w:rPr>
      </w:pPr>
      <w:bookmarkStart w:id="6579" w:name="_Toc21340"/>
      <w:bookmarkStart w:id="6580" w:name="_Toc4505"/>
      <w:bookmarkStart w:id="6581" w:name="_Toc4052"/>
      <w:bookmarkStart w:id="6582" w:name="_Toc28729"/>
      <w:bookmarkStart w:id="6583" w:name="_Toc11267"/>
      <w:bookmarkStart w:id="6584" w:name="_Toc517531010"/>
      <w:bookmarkStart w:id="6585" w:name="_Toc2857"/>
      <w:bookmarkStart w:id="6586" w:name="_Toc23208"/>
      <w:bookmarkStart w:id="6587" w:name="_Toc7719"/>
      <w:bookmarkStart w:id="6588" w:name="_Toc517532286"/>
      <w:r>
        <w:rPr>
          <w:rFonts w:hint="eastAsia" w:ascii="宋体" w:hAnsi="宋体" w:cs="宋体"/>
          <w:b/>
          <w:bCs/>
          <w:color w:val="auto"/>
          <w:sz w:val="24"/>
          <w:szCs w:val="24"/>
          <w:highlight w:val="none"/>
        </w:rPr>
        <w:t>（1）词语定义</w:t>
      </w:r>
      <w:bookmarkEnd w:id="6579"/>
      <w:bookmarkEnd w:id="6580"/>
      <w:bookmarkEnd w:id="6581"/>
      <w:bookmarkEnd w:id="6582"/>
      <w:bookmarkEnd w:id="6583"/>
      <w:bookmarkEnd w:id="6584"/>
      <w:bookmarkEnd w:id="6585"/>
      <w:bookmarkEnd w:id="6586"/>
      <w:bookmarkEnd w:id="6587"/>
      <w:bookmarkEnd w:id="6588"/>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余泥渣土运输车辆（泥头车）：指承担本工程施工现场土石方、部分建筑材料及建筑垃圾运输任务且相关证件齐全的合格车辆。</w:t>
      </w:r>
    </w:p>
    <w:p>
      <w:pPr>
        <w:keepNext/>
        <w:keepLines/>
        <w:spacing w:before="120" w:beforeLines="50" w:after="120" w:afterLines="50" w:line="360" w:lineRule="auto"/>
        <w:ind w:firstLine="725" w:firstLineChars="302"/>
        <w:outlineLvl w:val="4"/>
        <w:rPr>
          <w:rFonts w:hint="eastAsia" w:ascii="宋体" w:hAnsi="宋体" w:cs="宋体"/>
          <w:b/>
          <w:bCs/>
          <w:color w:val="auto"/>
          <w:sz w:val="24"/>
          <w:szCs w:val="24"/>
          <w:highlight w:val="none"/>
        </w:rPr>
      </w:pPr>
      <w:bookmarkStart w:id="6589" w:name="_Toc10493"/>
      <w:bookmarkStart w:id="6590" w:name="_Toc517531011"/>
      <w:bookmarkStart w:id="6591" w:name="_Toc517532287"/>
      <w:bookmarkStart w:id="6592" w:name="_Toc6155"/>
      <w:bookmarkStart w:id="6593" w:name="_Toc30280"/>
      <w:bookmarkStart w:id="6594" w:name="_Toc19864"/>
      <w:bookmarkStart w:id="6595" w:name="_Toc13571"/>
      <w:bookmarkStart w:id="6596" w:name="_Toc17477"/>
      <w:bookmarkStart w:id="6597" w:name="_Toc3080"/>
      <w:bookmarkStart w:id="6598" w:name="_Toc6223"/>
      <w:r>
        <w:rPr>
          <w:rFonts w:hint="eastAsia" w:ascii="宋体" w:hAnsi="宋体" w:cs="宋体"/>
          <w:b/>
          <w:bCs/>
          <w:color w:val="auto"/>
          <w:sz w:val="24"/>
          <w:szCs w:val="24"/>
          <w:highlight w:val="none"/>
        </w:rPr>
        <w:t>（2）证件种类的要求</w:t>
      </w:r>
      <w:bookmarkEnd w:id="6589"/>
      <w:bookmarkEnd w:id="6590"/>
      <w:bookmarkEnd w:id="6591"/>
      <w:bookmarkEnd w:id="6592"/>
      <w:bookmarkEnd w:id="6593"/>
      <w:bookmarkEnd w:id="6594"/>
      <w:bookmarkEnd w:id="6595"/>
      <w:bookmarkEnd w:id="6596"/>
      <w:bookmarkEnd w:id="6597"/>
      <w:bookmarkEnd w:id="6598"/>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承担本合同余泥渣土运输任务的专业运输单位及其营运的余泥渣土运输车辆应当具备相关职能部门核发的下列证件：</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（a）专业运输单位应具备：《道路运输经营许可证》；</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（b）余泥渣土运输车辆应具备：《道路运输许可证》《机动车行驶证》；</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c）因工程客观情况需要，余泥渣土运输车辆需承担建筑垃圾运输任务，应办理《城市建筑垃圾准运证》；以及，余泥渣土运输车辆需行驶市区内禁行路段，还应办理《深圳市余泥渣土运输车辆临时通行证》。在同等情况下，承包人应优先选择具备《深圳市自卸车企业资质达标证书》余泥渣土运输单位。</w:t>
      </w:r>
    </w:p>
    <w:p>
      <w:pPr>
        <w:keepNext/>
        <w:keepLines/>
        <w:spacing w:before="120" w:beforeLines="50" w:after="120" w:afterLines="50" w:line="360" w:lineRule="auto"/>
        <w:ind w:firstLine="725" w:firstLineChars="302"/>
        <w:outlineLvl w:val="4"/>
        <w:rPr>
          <w:rFonts w:hint="eastAsia" w:ascii="宋体" w:hAnsi="宋体" w:cs="宋体"/>
          <w:b/>
          <w:bCs/>
          <w:color w:val="auto"/>
          <w:sz w:val="24"/>
          <w:szCs w:val="24"/>
          <w:highlight w:val="none"/>
        </w:rPr>
      </w:pPr>
      <w:bookmarkStart w:id="6599" w:name="_Toc2136"/>
      <w:bookmarkStart w:id="6600" w:name="_Toc976"/>
      <w:bookmarkStart w:id="6601" w:name="_Toc31737"/>
      <w:bookmarkStart w:id="6602" w:name="_Toc29859"/>
      <w:bookmarkStart w:id="6603" w:name="_Toc517531012"/>
      <w:bookmarkStart w:id="6604" w:name="_Toc14461"/>
      <w:bookmarkStart w:id="6605" w:name="_Toc15824"/>
      <w:bookmarkStart w:id="6606" w:name="_Toc1997"/>
      <w:bookmarkStart w:id="6607" w:name="_Toc21440"/>
      <w:bookmarkStart w:id="6608" w:name="_Toc517532288"/>
      <w:r>
        <w:rPr>
          <w:rFonts w:hint="eastAsia" w:ascii="宋体" w:hAnsi="宋体" w:cs="宋体"/>
          <w:b/>
          <w:bCs/>
          <w:color w:val="auto"/>
          <w:sz w:val="24"/>
          <w:szCs w:val="24"/>
          <w:highlight w:val="none"/>
        </w:rPr>
        <w:t>（3）承包人自行运输或分包</w:t>
      </w:r>
      <w:bookmarkEnd w:id="6599"/>
      <w:bookmarkEnd w:id="6600"/>
      <w:bookmarkEnd w:id="6601"/>
      <w:bookmarkEnd w:id="6602"/>
      <w:bookmarkEnd w:id="6603"/>
      <w:bookmarkEnd w:id="6604"/>
      <w:bookmarkEnd w:id="6605"/>
      <w:bookmarkEnd w:id="6606"/>
      <w:bookmarkEnd w:id="6607"/>
      <w:bookmarkEnd w:id="6608"/>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若承包人具备本条第（2）款规定的前两项证件，可自行组织完成本合同约定的余泥渣土运输任务。若承包人不具备本条第（2）款第一项证件要求，经发包人</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同意，承包人应将余泥渣土运输任务分包给符合本条第（2）款条前两项证件要求的专业运输单位。并且，承包人应将余泥渣土运输分包合同及其他相关资料送发包人和监理人审核。此审核并不免除承包人应承担的本合同义务。</w:t>
      </w:r>
    </w:p>
    <w:p>
      <w:pPr>
        <w:keepNext/>
        <w:keepLines/>
        <w:spacing w:before="120" w:beforeLines="50" w:after="120" w:afterLines="50" w:line="360" w:lineRule="auto"/>
        <w:ind w:firstLine="725" w:firstLineChars="302"/>
        <w:outlineLvl w:val="4"/>
        <w:rPr>
          <w:rFonts w:hint="eastAsia" w:ascii="宋体" w:hAnsi="宋体" w:cs="宋体"/>
          <w:b/>
          <w:bCs/>
          <w:color w:val="auto"/>
          <w:sz w:val="24"/>
          <w:szCs w:val="24"/>
          <w:highlight w:val="none"/>
        </w:rPr>
      </w:pPr>
      <w:bookmarkStart w:id="6609" w:name="_Toc5440"/>
      <w:bookmarkStart w:id="6610" w:name="_Toc517531013"/>
      <w:bookmarkStart w:id="6611" w:name="_Toc29313"/>
      <w:bookmarkStart w:id="6612" w:name="_Toc517532289"/>
      <w:bookmarkStart w:id="6613" w:name="_Toc10737"/>
      <w:bookmarkStart w:id="6614" w:name="_Toc18722"/>
      <w:bookmarkStart w:id="6615" w:name="_Toc24253"/>
      <w:bookmarkStart w:id="6616" w:name="_Toc30447"/>
      <w:bookmarkStart w:id="6617" w:name="_Toc7422"/>
      <w:bookmarkStart w:id="6618" w:name="_Toc21754"/>
      <w:r>
        <w:rPr>
          <w:rFonts w:hint="eastAsia" w:ascii="宋体" w:hAnsi="宋体" w:cs="宋体"/>
          <w:b/>
          <w:bCs/>
          <w:color w:val="auto"/>
          <w:sz w:val="24"/>
          <w:szCs w:val="24"/>
          <w:highlight w:val="none"/>
        </w:rPr>
        <w:t>（4）承包人违约</w:t>
      </w:r>
      <w:bookmarkEnd w:id="6609"/>
      <w:bookmarkEnd w:id="6610"/>
      <w:bookmarkEnd w:id="6611"/>
      <w:bookmarkEnd w:id="6612"/>
      <w:bookmarkEnd w:id="6613"/>
      <w:bookmarkEnd w:id="6614"/>
      <w:bookmarkEnd w:id="6615"/>
      <w:bookmarkEnd w:id="6616"/>
      <w:bookmarkEnd w:id="6617"/>
      <w:bookmarkEnd w:id="6618"/>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若承包人不具备本条第（2）款规定的第一项证件而自行承担余泥渣土运输任务，应承担违约责任。若承包人将余泥渣土运输任务分包给不符合本条第（2）款规定的第一项证件要求的专业运输单位，亦将承担违约责任，向发包人支付</w:t>
      </w:r>
      <w:r>
        <w:rPr>
          <w:rFonts w:hint="eastAsia" w:ascii="宋体" w:hAnsi="宋体" w:cs="宋体"/>
          <w:color w:val="auto"/>
          <w:szCs w:val="21"/>
          <w:highlight w:val="none"/>
          <w:u w:val="single"/>
        </w:rPr>
        <w:t xml:space="preserve"> 5 </w:t>
      </w:r>
      <w:r>
        <w:rPr>
          <w:rFonts w:hint="eastAsia" w:ascii="宋体" w:hAnsi="宋体" w:cs="宋体"/>
          <w:color w:val="auto"/>
          <w:szCs w:val="21"/>
          <w:highlight w:val="none"/>
        </w:rPr>
        <w:t>万元违约金。</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同时，对上述两种违约行为导致的工期延误和（或）招致费用增加，承包人责任自担。</w:t>
      </w:r>
    </w:p>
    <w:p>
      <w:pPr>
        <w:keepNext/>
        <w:keepLines/>
        <w:spacing w:before="120" w:beforeLines="50" w:after="120" w:afterLines="50" w:line="360" w:lineRule="auto"/>
        <w:ind w:firstLine="725" w:firstLineChars="302"/>
        <w:outlineLvl w:val="4"/>
        <w:rPr>
          <w:rFonts w:hint="eastAsia" w:ascii="宋体" w:hAnsi="宋体" w:cs="宋体"/>
          <w:b/>
          <w:bCs/>
          <w:color w:val="auto"/>
          <w:sz w:val="24"/>
          <w:szCs w:val="24"/>
          <w:highlight w:val="none"/>
        </w:rPr>
      </w:pPr>
      <w:bookmarkStart w:id="6619" w:name="_Toc8293"/>
      <w:bookmarkStart w:id="6620" w:name="_Toc26828"/>
      <w:bookmarkStart w:id="6621" w:name="_Toc517531014"/>
      <w:bookmarkStart w:id="6622" w:name="_Toc28294"/>
      <w:bookmarkStart w:id="6623" w:name="_Toc517532290"/>
      <w:bookmarkStart w:id="6624" w:name="_Toc27593"/>
      <w:bookmarkStart w:id="6625" w:name="_Toc4266"/>
      <w:bookmarkStart w:id="6626" w:name="_Toc86"/>
      <w:bookmarkStart w:id="6627" w:name="_Toc8995"/>
      <w:bookmarkStart w:id="6628" w:name="_Toc26177"/>
      <w:r>
        <w:rPr>
          <w:rFonts w:hint="eastAsia" w:ascii="宋体" w:hAnsi="宋体" w:cs="宋体"/>
          <w:b/>
          <w:bCs/>
          <w:color w:val="auto"/>
          <w:sz w:val="24"/>
          <w:szCs w:val="24"/>
          <w:highlight w:val="none"/>
        </w:rPr>
        <w:t>（5）车辆与人员要求</w:t>
      </w:r>
      <w:bookmarkEnd w:id="6619"/>
      <w:bookmarkEnd w:id="6620"/>
      <w:bookmarkEnd w:id="6621"/>
      <w:bookmarkEnd w:id="6622"/>
      <w:bookmarkEnd w:id="6623"/>
      <w:bookmarkEnd w:id="6624"/>
      <w:bookmarkEnd w:id="6625"/>
      <w:bookmarkEnd w:id="6626"/>
      <w:bookmarkEnd w:id="6627"/>
      <w:bookmarkEnd w:id="6628"/>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承担本工程余泥渣土运输任务的车辆证件应当符合本条第（2）款规定的证件要求。车辆应为符合《常用重型货车（泥头车）数据信息对照表》外形数据的重型车辆。在承包人具备营运资格时，其安排的余泥渣土运输车辆的专职司机姓名和对应车牌号码，由承包人在实施前报发包人备案，若项目为重点区域的政府投资项目，承包人应使用纯电动泥头车，禁用燃油泥头车，具体要求见招标文件。</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在承包人不具备营运资格时，承包人和车辆运输分包人应在余泥渣土运输分包合同中明确承担合同约定余泥渣土运输任务的余泥渣土运输车辆和专职司机。</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对上述情形，如需改变已提交的车辆和专职司机名单，承包人或车辆运输分包人应在确定改变前7日将拟改变的名单提交发包人或承包人审核确认。</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若承包人违反上述规定，应承担违约责任；承包人向发包人支付</w:t>
      </w:r>
      <w:r>
        <w:rPr>
          <w:rFonts w:hint="eastAsia" w:ascii="宋体" w:hAnsi="宋体" w:cs="宋体"/>
          <w:color w:val="auto"/>
          <w:szCs w:val="21"/>
          <w:highlight w:val="none"/>
          <w:u w:val="single"/>
        </w:rPr>
        <w:t>5000</w:t>
      </w:r>
      <w:r>
        <w:rPr>
          <w:rFonts w:hint="eastAsia" w:ascii="宋体" w:hAnsi="宋体" w:cs="宋体"/>
          <w:color w:val="auto"/>
          <w:szCs w:val="21"/>
          <w:highlight w:val="none"/>
        </w:rPr>
        <w:t>元/车·次的违约金。</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对于车辆运输分包人违反上述规定，承包人亦应在运输分包合同中约定此违约责任。</w:t>
      </w:r>
    </w:p>
    <w:p>
      <w:pPr>
        <w:keepNext/>
        <w:keepLines/>
        <w:spacing w:before="120" w:beforeLines="50" w:after="120" w:afterLines="50" w:line="360" w:lineRule="auto"/>
        <w:ind w:firstLine="725" w:firstLineChars="302"/>
        <w:outlineLvl w:val="4"/>
        <w:rPr>
          <w:rFonts w:hint="eastAsia" w:ascii="宋体" w:hAnsi="宋体" w:cs="宋体"/>
          <w:b/>
          <w:bCs/>
          <w:color w:val="auto"/>
          <w:sz w:val="24"/>
          <w:szCs w:val="24"/>
          <w:highlight w:val="none"/>
        </w:rPr>
      </w:pPr>
      <w:bookmarkStart w:id="6629" w:name="_Toc31305"/>
      <w:bookmarkStart w:id="6630" w:name="_Toc517532291"/>
      <w:bookmarkStart w:id="6631" w:name="_Toc20056"/>
      <w:bookmarkStart w:id="6632" w:name="_Toc4719"/>
      <w:bookmarkStart w:id="6633" w:name="_Toc9442"/>
      <w:bookmarkStart w:id="6634" w:name="_Toc13401"/>
      <w:bookmarkStart w:id="6635" w:name="_Toc31748"/>
      <w:bookmarkStart w:id="6636" w:name="_Toc28722"/>
      <w:bookmarkStart w:id="6637" w:name="_Toc17756"/>
      <w:bookmarkStart w:id="6638" w:name="_Toc517531015"/>
      <w:r>
        <w:rPr>
          <w:rFonts w:hint="eastAsia" w:ascii="宋体" w:hAnsi="宋体" w:cs="宋体"/>
          <w:b/>
          <w:bCs/>
          <w:color w:val="auto"/>
          <w:sz w:val="24"/>
          <w:szCs w:val="24"/>
          <w:highlight w:val="none"/>
        </w:rPr>
        <w:t>（6）专职检查</w:t>
      </w:r>
      <w:bookmarkEnd w:id="6629"/>
      <w:bookmarkEnd w:id="6630"/>
      <w:bookmarkEnd w:id="6631"/>
      <w:bookmarkEnd w:id="6632"/>
      <w:bookmarkEnd w:id="6633"/>
      <w:bookmarkEnd w:id="6634"/>
      <w:bookmarkEnd w:id="6635"/>
      <w:bookmarkEnd w:id="6636"/>
      <w:bookmarkEnd w:id="6637"/>
      <w:bookmarkEnd w:id="6638"/>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承包人应安排专职检查人员对余泥渣土运输车辆和专职司机依合同约定的内容进行检查。对违反合同约定的检查结果，承包人应责令相关方限期整改。整改期间，整改所涉余泥渣土运输车辆不得承担本工程约定的运输任务。承包人安排的专职检查人员和检查内容，由承包人在实施前报发包人备案。</w:t>
      </w:r>
    </w:p>
    <w:p>
      <w:pPr>
        <w:keepNext/>
        <w:keepLines/>
        <w:spacing w:before="120" w:beforeLines="50" w:after="120" w:afterLines="50" w:line="360" w:lineRule="auto"/>
        <w:ind w:firstLine="725" w:firstLineChars="302"/>
        <w:outlineLvl w:val="4"/>
        <w:rPr>
          <w:rFonts w:hint="eastAsia" w:ascii="宋体" w:hAnsi="宋体" w:cs="宋体"/>
          <w:b/>
          <w:bCs/>
          <w:color w:val="auto"/>
          <w:sz w:val="24"/>
          <w:szCs w:val="24"/>
          <w:highlight w:val="none"/>
        </w:rPr>
      </w:pPr>
      <w:bookmarkStart w:id="6639" w:name="_Toc1477"/>
      <w:bookmarkStart w:id="6640" w:name="_Toc9340"/>
      <w:bookmarkStart w:id="6641" w:name="_Toc29195"/>
      <w:bookmarkStart w:id="6642" w:name="_Toc27162"/>
      <w:bookmarkStart w:id="6643" w:name="_Toc12269"/>
      <w:bookmarkStart w:id="6644" w:name="_Toc3000"/>
      <w:bookmarkStart w:id="6645" w:name="_Toc517532292"/>
      <w:bookmarkStart w:id="6646" w:name="_Toc11675"/>
      <w:bookmarkStart w:id="6647" w:name="_Toc517531016"/>
      <w:bookmarkStart w:id="6648" w:name="_Toc30965"/>
      <w:r>
        <w:rPr>
          <w:rFonts w:hint="eastAsia" w:ascii="宋体" w:hAnsi="宋体" w:cs="宋体"/>
          <w:b/>
          <w:bCs/>
          <w:color w:val="auto"/>
          <w:sz w:val="24"/>
          <w:szCs w:val="24"/>
          <w:highlight w:val="none"/>
        </w:rPr>
        <w:t>（7）安全文明运输</w:t>
      </w:r>
      <w:bookmarkEnd w:id="6639"/>
      <w:bookmarkEnd w:id="6640"/>
      <w:bookmarkEnd w:id="6641"/>
      <w:bookmarkEnd w:id="6642"/>
      <w:bookmarkEnd w:id="6643"/>
      <w:bookmarkEnd w:id="6644"/>
      <w:bookmarkEnd w:id="6645"/>
      <w:bookmarkEnd w:id="6646"/>
      <w:bookmarkEnd w:id="6647"/>
      <w:bookmarkEnd w:id="6648"/>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承包人对余泥渣土运输车辆在离开施工现场前核查是否存在超载、车盖密封不严等违反城市道路管理、环境保护等相关规定及安全隐患的问题。如发现上述问题，承包人应指派本合同本条第（6）款指定的专职检查人员责令相关方采取纠正措施至符合相关规定和（或）合同约定。对存在问题拒不纠正或纠正仍不符合相关规定和（或）合同约定的，该专职检查人员不得放行其离开施工现场，并立即通知项目经理和余泥渣土运输分包人（如有）。</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若承包人对本款发现的问题拒不履行合同义务，承包人向发包人支付违约金</w:t>
      </w:r>
      <w:r>
        <w:rPr>
          <w:rFonts w:hint="eastAsia" w:ascii="宋体" w:hAnsi="宋体" w:cs="宋体"/>
          <w:color w:val="auto"/>
          <w:szCs w:val="21"/>
          <w:highlight w:val="none"/>
          <w:u w:val="single"/>
        </w:rPr>
        <w:t xml:space="preserve"> 5 </w:t>
      </w:r>
      <w:r>
        <w:rPr>
          <w:rFonts w:hint="eastAsia" w:ascii="宋体" w:hAnsi="宋体" w:cs="宋体"/>
          <w:color w:val="auto"/>
          <w:szCs w:val="21"/>
          <w:highlight w:val="none"/>
        </w:rPr>
        <w:t>万元。</w:t>
      </w:r>
    </w:p>
    <w:p>
      <w:pPr>
        <w:keepNext/>
        <w:keepLines/>
        <w:spacing w:before="120" w:beforeLines="50" w:after="120" w:afterLines="50" w:line="360" w:lineRule="auto"/>
        <w:ind w:firstLine="725" w:firstLineChars="302"/>
        <w:outlineLvl w:val="4"/>
        <w:rPr>
          <w:rFonts w:hint="eastAsia" w:ascii="宋体" w:hAnsi="宋体" w:cs="宋体"/>
          <w:b/>
          <w:bCs/>
          <w:color w:val="auto"/>
          <w:sz w:val="24"/>
          <w:szCs w:val="24"/>
          <w:highlight w:val="none"/>
        </w:rPr>
      </w:pPr>
      <w:bookmarkStart w:id="6649" w:name="_Toc21686"/>
      <w:bookmarkStart w:id="6650" w:name="_Toc7534"/>
      <w:bookmarkStart w:id="6651" w:name="_Toc517532293"/>
      <w:bookmarkStart w:id="6652" w:name="_Toc28053"/>
      <w:bookmarkStart w:id="6653" w:name="_Toc16168"/>
      <w:bookmarkStart w:id="6654" w:name="_Toc3952"/>
      <w:bookmarkStart w:id="6655" w:name="_Toc17094"/>
      <w:bookmarkStart w:id="6656" w:name="_Toc517531017"/>
      <w:bookmarkStart w:id="6657" w:name="_Toc24055"/>
      <w:bookmarkStart w:id="6658" w:name="_Toc10960"/>
      <w:r>
        <w:rPr>
          <w:rFonts w:hint="eastAsia" w:ascii="宋体" w:hAnsi="宋体" w:cs="宋体"/>
          <w:b/>
          <w:bCs/>
          <w:color w:val="auto"/>
          <w:sz w:val="24"/>
          <w:szCs w:val="24"/>
          <w:highlight w:val="none"/>
        </w:rPr>
        <w:t>（8）检查纠正责任</w:t>
      </w:r>
      <w:bookmarkEnd w:id="6649"/>
      <w:bookmarkEnd w:id="6650"/>
      <w:bookmarkEnd w:id="6651"/>
      <w:bookmarkEnd w:id="6652"/>
      <w:bookmarkEnd w:id="6653"/>
      <w:bookmarkEnd w:id="6654"/>
      <w:bookmarkEnd w:id="6655"/>
      <w:bookmarkEnd w:id="6656"/>
      <w:bookmarkEnd w:id="6657"/>
      <w:bookmarkEnd w:id="6658"/>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承包人应对本条第（6）款和第（7）款约定的检查纠正工作制定专项工作程序，并监督和督促专职检查人员认真履行合同约定的职责。此项监督和督促并不免除承包人应承担的本合同义务。</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若承包人指定的专职检查人员违反合同约定的检查纠正职责，承包人向发包人支付违约金</w:t>
      </w:r>
      <w:r>
        <w:rPr>
          <w:rFonts w:hint="eastAsia" w:ascii="宋体" w:hAnsi="宋体" w:cs="宋体"/>
          <w:color w:val="auto"/>
          <w:szCs w:val="21"/>
          <w:highlight w:val="none"/>
          <w:u w:val="single"/>
        </w:rPr>
        <w:t xml:space="preserve"> 5 </w:t>
      </w:r>
      <w:r>
        <w:rPr>
          <w:rFonts w:hint="eastAsia" w:ascii="宋体" w:hAnsi="宋体" w:cs="宋体"/>
          <w:color w:val="auto"/>
          <w:szCs w:val="21"/>
          <w:highlight w:val="none"/>
        </w:rPr>
        <w:t>万元。</w:t>
      </w:r>
    </w:p>
    <w:p>
      <w:pPr>
        <w:keepNext/>
        <w:keepLines/>
        <w:spacing w:before="120" w:beforeLines="50" w:after="120" w:afterLines="50" w:line="360" w:lineRule="auto"/>
        <w:ind w:firstLine="725" w:firstLineChars="302"/>
        <w:outlineLvl w:val="4"/>
        <w:rPr>
          <w:rFonts w:hint="eastAsia" w:ascii="宋体" w:hAnsi="宋体" w:cs="宋体"/>
          <w:b/>
          <w:bCs/>
          <w:color w:val="auto"/>
          <w:sz w:val="24"/>
          <w:szCs w:val="24"/>
          <w:highlight w:val="none"/>
        </w:rPr>
      </w:pPr>
      <w:bookmarkStart w:id="6659" w:name="_Toc7805"/>
      <w:bookmarkStart w:id="6660" w:name="_Toc517531018"/>
      <w:bookmarkStart w:id="6661" w:name="_Toc27754"/>
      <w:bookmarkStart w:id="6662" w:name="_Toc2955"/>
      <w:bookmarkStart w:id="6663" w:name="_Toc10103"/>
      <w:bookmarkStart w:id="6664" w:name="_Toc21421"/>
      <w:bookmarkStart w:id="6665" w:name="_Toc464"/>
      <w:bookmarkStart w:id="6666" w:name="_Toc517532294"/>
      <w:bookmarkStart w:id="6667" w:name="_Toc30821"/>
      <w:bookmarkStart w:id="6668" w:name="_Toc11043"/>
      <w:r>
        <w:rPr>
          <w:rFonts w:hint="eastAsia" w:ascii="宋体" w:hAnsi="宋体" w:cs="宋体"/>
          <w:b/>
          <w:bCs/>
          <w:color w:val="auto"/>
          <w:sz w:val="24"/>
          <w:szCs w:val="24"/>
          <w:highlight w:val="none"/>
        </w:rPr>
        <w:t>（9）车辆保险</w:t>
      </w:r>
      <w:bookmarkEnd w:id="6659"/>
      <w:bookmarkEnd w:id="6660"/>
      <w:bookmarkEnd w:id="6661"/>
      <w:bookmarkEnd w:id="6662"/>
      <w:bookmarkEnd w:id="6663"/>
      <w:bookmarkEnd w:id="6664"/>
      <w:bookmarkEnd w:id="6665"/>
      <w:bookmarkEnd w:id="6666"/>
      <w:bookmarkEnd w:id="6667"/>
      <w:bookmarkEnd w:id="6668"/>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第6.3.3条所述的承担工程余泥渣土运输任务的车辆应当向有关保险公司投保，并取得车辆保险单。如因未投保的余泥渣土运输车辆造成第三人财产损失和（或）人身伤亡，余泥渣土运输车辆所属专业运输单位应承担连带责任。</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基于本条第（3）款的约定，承包人和车辆运输分包人应在余泥渣土运输分包合同中明确本条所述的连带责任。</w:t>
      </w:r>
    </w:p>
    <w:p>
      <w:pPr>
        <w:keepNext/>
        <w:keepLines/>
        <w:spacing w:before="120" w:beforeLines="50" w:after="120" w:afterLines="50" w:line="360" w:lineRule="auto"/>
        <w:ind w:firstLine="725" w:firstLineChars="302"/>
        <w:outlineLvl w:val="4"/>
        <w:rPr>
          <w:rFonts w:hint="eastAsia" w:ascii="宋体" w:hAnsi="宋体" w:cs="宋体"/>
          <w:b/>
          <w:bCs/>
          <w:color w:val="auto"/>
          <w:sz w:val="24"/>
          <w:szCs w:val="24"/>
          <w:highlight w:val="none"/>
        </w:rPr>
      </w:pPr>
      <w:bookmarkStart w:id="6669" w:name="_Toc9493"/>
      <w:bookmarkStart w:id="6670" w:name="_Toc20878"/>
      <w:bookmarkStart w:id="6671" w:name="_Toc31152"/>
      <w:bookmarkStart w:id="6672" w:name="_Toc2118"/>
      <w:bookmarkStart w:id="6673" w:name="_Toc13370"/>
      <w:bookmarkStart w:id="6674" w:name="_Toc25396"/>
      <w:bookmarkStart w:id="6675" w:name="_Toc517532295"/>
      <w:bookmarkStart w:id="6676" w:name="_Toc14109"/>
      <w:bookmarkStart w:id="6677" w:name="_Toc6661"/>
      <w:bookmarkStart w:id="6678" w:name="_Toc517531019"/>
      <w:r>
        <w:rPr>
          <w:rFonts w:hint="eastAsia" w:ascii="宋体" w:hAnsi="宋体" w:cs="宋体"/>
          <w:b/>
          <w:bCs/>
          <w:color w:val="auto"/>
          <w:sz w:val="24"/>
          <w:szCs w:val="24"/>
          <w:highlight w:val="none"/>
        </w:rPr>
        <w:t>（10）进一步</w:t>
      </w:r>
      <w:r>
        <w:rPr>
          <w:rFonts w:hint="eastAsia" w:ascii="宋体" w:hAnsi="宋体" w:cs="宋体"/>
          <w:b/>
          <w:bCs/>
          <w:color w:val="auto"/>
          <w:sz w:val="24"/>
          <w:szCs w:val="24"/>
          <w:highlight w:val="none"/>
          <w:lang w:eastAsia="zh-CN"/>
        </w:rPr>
        <w:t>的违约处理</w:t>
      </w:r>
      <w:r>
        <w:rPr>
          <w:rFonts w:hint="eastAsia" w:ascii="宋体" w:hAnsi="宋体" w:cs="宋体"/>
          <w:b/>
          <w:bCs/>
          <w:color w:val="auto"/>
          <w:sz w:val="24"/>
          <w:szCs w:val="24"/>
          <w:highlight w:val="none"/>
        </w:rPr>
        <w:t>措施</w:t>
      </w:r>
      <w:bookmarkEnd w:id="6669"/>
      <w:bookmarkEnd w:id="6670"/>
      <w:bookmarkEnd w:id="6671"/>
      <w:bookmarkEnd w:id="6672"/>
      <w:bookmarkEnd w:id="6673"/>
      <w:bookmarkEnd w:id="6674"/>
      <w:bookmarkEnd w:id="6675"/>
      <w:bookmarkEnd w:id="6676"/>
      <w:bookmarkEnd w:id="6677"/>
      <w:bookmarkEnd w:id="6678"/>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若承包人因违反上述泥头车雇用及运输管理规定给发包人造成损失，除按照上述规定支付违约金外还应向发包人赔偿包括但不限于损害赔偿金、违约金、诉讼费、仲裁费、律师费等损失，情形严重的，除</w:t>
      </w:r>
      <w:r>
        <w:rPr>
          <w:rFonts w:hint="eastAsia" w:ascii="宋体" w:hAnsi="宋体" w:cs="宋体"/>
          <w:color w:val="auto"/>
          <w:szCs w:val="21"/>
          <w:highlight w:val="none"/>
          <w:lang w:eastAsia="zh-CN"/>
        </w:rPr>
        <w:t>承担上述违约责任</w:t>
      </w:r>
      <w:r>
        <w:rPr>
          <w:rFonts w:hint="eastAsia" w:ascii="宋体" w:hAnsi="宋体" w:cs="宋体"/>
          <w:color w:val="auto"/>
          <w:szCs w:val="21"/>
          <w:highlight w:val="none"/>
        </w:rPr>
        <w:t>外，发包人有权解除本工程施工合同</w:t>
      </w:r>
      <w:r>
        <w:rPr>
          <w:rFonts w:hint="eastAsia" w:ascii="宋体" w:hAnsi="宋体" w:cs="宋体"/>
          <w:color w:val="auto"/>
          <w:szCs w:val="21"/>
          <w:highlight w:val="none"/>
          <w:lang w:eastAsia="zh-CN"/>
        </w:rPr>
        <w:t>。</w:t>
      </w:r>
      <w:r>
        <w:rPr>
          <w:rFonts w:hint="eastAsia" w:ascii="宋体" w:hAnsi="宋体" w:cs="宋体"/>
          <w:color w:val="auto"/>
          <w:szCs w:val="21"/>
          <w:highlight w:val="none"/>
        </w:rPr>
        <w:t>承包人近三年内（从截标之日起倒算）曾被发包人履约评价不合格的，发包人有权依法依规拒绝承包人参与投标。</w:t>
      </w:r>
    </w:p>
    <w:p>
      <w:pPr>
        <w:keepNext/>
        <w:keepLines/>
        <w:spacing w:before="120" w:beforeLines="50" w:after="120" w:afterLines="50" w:line="360" w:lineRule="auto"/>
        <w:ind w:firstLine="600" w:firstLineChars="200"/>
        <w:outlineLvl w:val="1"/>
        <w:rPr>
          <w:rFonts w:ascii="宋体" w:hAnsi="宋体" w:cs="宋体"/>
          <w:b/>
          <w:bCs/>
          <w:color w:val="auto"/>
          <w:sz w:val="30"/>
          <w:szCs w:val="30"/>
          <w:highlight w:val="none"/>
        </w:rPr>
      </w:pPr>
      <w:bookmarkStart w:id="6679" w:name="_Toc517531020"/>
      <w:bookmarkStart w:id="6680" w:name="_Toc18019"/>
      <w:bookmarkStart w:id="6681" w:name="_Toc10482"/>
      <w:bookmarkStart w:id="6682" w:name="_Toc517528792"/>
      <w:bookmarkStart w:id="6683" w:name="_Toc31879"/>
      <w:bookmarkStart w:id="6684" w:name="_Toc4099"/>
      <w:bookmarkStart w:id="6685" w:name="_Toc13213"/>
      <w:bookmarkStart w:id="6686" w:name="_Toc3556"/>
      <w:bookmarkStart w:id="6687" w:name="_Toc25223"/>
      <w:bookmarkStart w:id="6688" w:name="_Toc465237151"/>
      <w:bookmarkStart w:id="6689" w:name="_Toc517532296"/>
      <w:bookmarkStart w:id="6690" w:name="_Toc15238"/>
      <w:bookmarkStart w:id="6691" w:name="_Toc6255"/>
      <w:bookmarkStart w:id="6692" w:name="_Toc16163"/>
      <w:bookmarkStart w:id="6693" w:name="_Toc25389"/>
      <w:bookmarkStart w:id="6694" w:name="_Toc29006"/>
      <w:bookmarkStart w:id="6695" w:name="_Toc6401"/>
      <w:bookmarkStart w:id="6696" w:name="_Toc465237253"/>
      <w:bookmarkStart w:id="6697" w:name="_Toc22470"/>
      <w:bookmarkStart w:id="6698" w:name="_Toc69114082"/>
      <w:bookmarkStart w:id="6699" w:name="_Toc351203639"/>
      <w:bookmarkStart w:id="6700" w:name="_Toc28657"/>
      <w:bookmarkStart w:id="6701" w:name="_Toc22709"/>
      <w:bookmarkStart w:id="6702" w:name="_Toc25535"/>
      <w:bookmarkStart w:id="6703" w:name="_Toc517529762"/>
      <w:bookmarkStart w:id="6704" w:name="_Toc9602"/>
      <w:r>
        <w:rPr>
          <w:rFonts w:hint="eastAsia" w:ascii="宋体" w:hAnsi="宋体" w:cs="宋体"/>
          <w:b/>
          <w:bCs/>
          <w:color w:val="auto"/>
          <w:sz w:val="30"/>
          <w:szCs w:val="30"/>
          <w:highlight w:val="none"/>
        </w:rPr>
        <w:t>7. 工期和进度</w:t>
      </w:r>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p>
    <w:p>
      <w:pPr>
        <w:keepNext/>
        <w:keepLines/>
        <w:spacing w:before="120" w:beforeLines="50" w:after="120" w:afterLines="50" w:line="360" w:lineRule="auto"/>
        <w:ind w:left="562"/>
        <w:outlineLvl w:val="2"/>
        <w:rPr>
          <w:rFonts w:ascii="宋体" w:hAnsi="宋体" w:cs="宋体"/>
          <w:b/>
          <w:bCs/>
          <w:color w:val="auto"/>
          <w:sz w:val="28"/>
          <w:szCs w:val="28"/>
          <w:highlight w:val="none"/>
        </w:rPr>
      </w:pPr>
      <w:bookmarkStart w:id="6705" w:name="_Toc69114083"/>
      <w:bookmarkStart w:id="6706" w:name="_Toc29162"/>
      <w:bookmarkStart w:id="6707" w:name="_Toc17822"/>
      <w:bookmarkStart w:id="6708" w:name="_Toc22223"/>
      <w:bookmarkStart w:id="6709" w:name="_Toc465237152"/>
      <w:bookmarkStart w:id="6710" w:name="_Toc14627"/>
      <w:bookmarkStart w:id="6711" w:name="_Toc517528793"/>
      <w:bookmarkStart w:id="6712" w:name="_Toc13740"/>
      <w:bookmarkStart w:id="6713" w:name="_Toc1065"/>
      <w:bookmarkStart w:id="6714" w:name="_Toc10757"/>
      <w:bookmarkStart w:id="6715" w:name="_Toc20257"/>
      <w:bookmarkStart w:id="6716" w:name="_Toc4664"/>
      <w:bookmarkStart w:id="6717" w:name="_Toc465237254"/>
      <w:bookmarkStart w:id="6718" w:name="_Toc26563"/>
      <w:bookmarkStart w:id="6719" w:name="_Toc9649"/>
      <w:bookmarkStart w:id="6720" w:name="_Toc30073"/>
      <w:bookmarkStart w:id="6721" w:name="_Toc4814"/>
      <w:bookmarkStart w:id="6722" w:name="_Toc11285"/>
      <w:bookmarkStart w:id="6723" w:name="_Toc15407"/>
      <w:bookmarkStart w:id="6724" w:name="_Toc1510"/>
      <w:bookmarkStart w:id="6725" w:name="_Toc8243"/>
      <w:bookmarkStart w:id="6726" w:name="_Toc517531021"/>
      <w:bookmarkStart w:id="6727" w:name="_Toc517532297"/>
      <w:bookmarkStart w:id="6728" w:name="_Toc15074"/>
      <w:r>
        <w:rPr>
          <w:rFonts w:hint="eastAsia" w:ascii="宋体" w:hAnsi="宋体" w:cs="宋体"/>
          <w:b/>
          <w:bCs/>
          <w:color w:val="auto"/>
          <w:sz w:val="28"/>
          <w:szCs w:val="28"/>
          <w:highlight w:val="none"/>
        </w:rPr>
        <w:t>7</w:t>
      </w:r>
      <w:r>
        <w:rPr>
          <w:rFonts w:ascii="宋体" w:hAnsi="宋体" w:cs="宋体"/>
          <w:b/>
          <w:bCs/>
          <w:color w:val="auto"/>
          <w:sz w:val="28"/>
          <w:szCs w:val="28"/>
          <w:highlight w:val="none"/>
        </w:rPr>
        <w:t>.1</w:t>
      </w:r>
      <w:r>
        <w:rPr>
          <w:rFonts w:hint="eastAsia" w:ascii="宋体" w:hAnsi="宋体" w:cs="宋体"/>
          <w:b/>
          <w:bCs/>
          <w:color w:val="auto"/>
          <w:sz w:val="28"/>
          <w:szCs w:val="28"/>
          <w:highlight w:val="none"/>
        </w:rPr>
        <w:t>施工进度计划</w:t>
      </w:r>
      <w:bookmarkEnd w:id="6705"/>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本工程项目工期是按照总日历天数（包括法定节假日）计算的承包天数。已充分考虑可能出现的各种规模的下雨、台风、高温天气、停水、停电、节假日（包含五一、十一、元旦、春节等法定长假）、工地及周边环境、劳务市场变化等影响因素，不可抗力除外。</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通用条款第7.</w:t>
      </w:r>
      <w:r>
        <w:rPr>
          <w:rFonts w:ascii="宋体" w:hAnsi="宋体" w:cs="宋体"/>
          <w:color w:val="auto"/>
          <w:szCs w:val="21"/>
          <w:highlight w:val="none"/>
        </w:rPr>
        <w:t>6</w:t>
      </w:r>
      <w:r>
        <w:rPr>
          <w:rFonts w:hint="eastAsia" w:ascii="宋体" w:hAnsi="宋体" w:cs="宋体"/>
          <w:color w:val="auto"/>
          <w:szCs w:val="21"/>
          <w:highlight w:val="none"/>
        </w:rPr>
        <w:t>原因外，承包人不能按时开工的，应当不迟于本合同约定的开工日期前 5 日，以书面形式向发包人提出延期开工的理由和要求。发包人不同意延期要求或承包人未在规定的时间内提出延期开工要求的，工期不顺延。</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单项工程完成时间的约定：</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本工程工期不超过</w:t>
      </w:r>
      <w:r>
        <w:rPr>
          <w:rFonts w:ascii="宋体" w:hAnsi="宋体" w:cs="宋体"/>
          <w:color w:val="auto"/>
          <w:szCs w:val="21"/>
          <w:highlight w:val="none"/>
          <w:u w:val="single"/>
        </w:rPr>
        <w:t xml:space="preserve">     </w:t>
      </w:r>
      <w:r>
        <w:rPr>
          <w:rFonts w:hint="eastAsia" w:ascii="宋体" w:hAnsi="宋体" w:cs="宋体"/>
          <w:color w:val="auto"/>
          <w:szCs w:val="21"/>
          <w:highlight w:val="none"/>
        </w:rPr>
        <w:t>日历天。计划开工时间为</w:t>
      </w:r>
      <w:r>
        <w:rPr>
          <w:rFonts w:ascii="宋体" w:hAnsi="宋体" w:cs="宋体"/>
          <w:color w:val="auto"/>
          <w:szCs w:val="21"/>
          <w:highlight w:val="none"/>
          <w:u w:val="single"/>
        </w:rPr>
        <w:t xml:space="preserve">    </w:t>
      </w:r>
      <w:r>
        <w:rPr>
          <w:rFonts w:hint="eastAsia" w:ascii="宋体" w:hAnsi="宋体" w:cs="宋体"/>
          <w:color w:val="auto"/>
          <w:szCs w:val="21"/>
          <w:highlight w:val="none"/>
        </w:rPr>
        <w:t>年</w:t>
      </w:r>
      <w:r>
        <w:rPr>
          <w:rFonts w:ascii="宋体" w:hAnsi="宋体" w:cs="宋体"/>
          <w:color w:val="auto"/>
          <w:szCs w:val="21"/>
          <w:highlight w:val="none"/>
          <w:u w:val="single"/>
        </w:rPr>
        <w:t xml:space="preserve">   </w:t>
      </w:r>
      <w:r>
        <w:rPr>
          <w:rFonts w:hint="eastAsia" w:ascii="宋体" w:hAnsi="宋体" w:cs="宋体"/>
          <w:color w:val="auto"/>
          <w:szCs w:val="21"/>
          <w:highlight w:val="none"/>
        </w:rPr>
        <w:t>月</w:t>
      </w:r>
      <w:r>
        <w:rPr>
          <w:rFonts w:ascii="宋体" w:hAnsi="宋体" w:cs="宋体"/>
          <w:color w:val="auto"/>
          <w:szCs w:val="21"/>
          <w:highlight w:val="none"/>
          <w:u w:val="single"/>
        </w:rPr>
        <w:t xml:space="preserve">   </w:t>
      </w:r>
      <w:r>
        <w:rPr>
          <w:rFonts w:hint="eastAsia" w:ascii="宋体" w:hAnsi="宋体" w:cs="宋体"/>
          <w:color w:val="auto"/>
          <w:szCs w:val="21"/>
          <w:highlight w:val="none"/>
        </w:rPr>
        <w:t>日（具体以开工令为准），计划竣工时间为</w:t>
      </w:r>
      <w:r>
        <w:rPr>
          <w:rFonts w:ascii="宋体" w:hAnsi="宋体" w:cs="宋体"/>
          <w:color w:val="auto"/>
          <w:szCs w:val="21"/>
          <w:highlight w:val="none"/>
          <w:u w:val="single"/>
        </w:rPr>
        <w:t xml:space="preserve">    </w:t>
      </w:r>
      <w:r>
        <w:rPr>
          <w:rFonts w:hint="eastAsia" w:ascii="宋体" w:hAnsi="宋体" w:cs="宋体"/>
          <w:color w:val="auto"/>
          <w:szCs w:val="21"/>
          <w:highlight w:val="none"/>
        </w:rPr>
        <w:t>年</w:t>
      </w:r>
      <w:r>
        <w:rPr>
          <w:rFonts w:ascii="宋体" w:hAnsi="宋体" w:cs="宋体"/>
          <w:color w:val="auto"/>
          <w:szCs w:val="21"/>
          <w:highlight w:val="none"/>
          <w:u w:val="single"/>
        </w:rPr>
        <w:t xml:space="preserve">   </w:t>
      </w:r>
      <w:r>
        <w:rPr>
          <w:rFonts w:hint="eastAsia" w:ascii="宋体" w:hAnsi="宋体" w:cs="宋体"/>
          <w:color w:val="auto"/>
          <w:szCs w:val="21"/>
          <w:highlight w:val="none"/>
        </w:rPr>
        <w:t>月</w:t>
      </w:r>
      <w:r>
        <w:rPr>
          <w:rFonts w:ascii="宋体" w:hAnsi="宋体" w:cs="宋体"/>
          <w:color w:val="auto"/>
          <w:szCs w:val="21"/>
          <w:highlight w:val="none"/>
          <w:u w:val="single"/>
        </w:rPr>
        <w:t xml:space="preserve">   </w:t>
      </w:r>
      <w:r>
        <w:rPr>
          <w:rFonts w:hint="eastAsia" w:ascii="宋体" w:hAnsi="宋体" w:cs="宋体"/>
          <w:color w:val="auto"/>
          <w:szCs w:val="21"/>
          <w:highlight w:val="none"/>
        </w:rPr>
        <w:t>日。</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节点形象工期要求：</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工期节点一：</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rPr>
        <w:t>部分，发包人在</w:t>
      </w:r>
      <w:r>
        <w:rPr>
          <w:rFonts w:ascii="宋体" w:hAnsi="宋体" w:cs="宋体"/>
          <w:color w:val="auto"/>
          <w:szCs w:val="21"/>
          <w:highlight w:val="none"/>
          <w:u w:val="single"/>
        </w:rPr>
        <w:t xml:space="preserve">    </w:t>
      </w:r>
      <w:r>
        <w:rPr>
          <w:rFonts w:hint="eastAsia" w:ascii="宋体" w:hAnsi="宋体" w:cs="宋体"/>
          <w:color w:val="auto"/>
          <w:szCs w:val="21"/>
          <w:highlight w:val="none"/>
        </w:rPr>
        <w:t>年</w:t>
      </w:r>
      <w:r>
        <w:rPr>
          <w:rFonts w:ascii="宋体" w:hAnsi="宋体" w:cs="宋体"/>
          <w:color w:val="auto"/>
          <w:szCs w:val="21"/>
          <w:highlight w:val="non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rPr>
        <w:t>月</w:t>
      </w:r>
      <w:r>
        <w:rPr>
          <w:rFonts w:ascii="宋体" w:hAnsi="宋体" w:cs="宋体"/>
          <w:color w:val="auto"/>
          <w:szCs w:val="21"/>
          <w:highlight w:val="none"/>
          <w:u w:val="single"/>
        </w:rPr>
        <w:t xml:space="preserve">    </w:t>
      </w:r>
      <w:r>
        <w:rPr>
          <w:rFonts w:hint="eastAsia" w:ascii="宋体" w:hAnsi="宋体" w:cs="宋体"/>
          <w:color w:val="auto"/>
          <w:szCs w:val="21"/>
          <w:highlight w:val="none"/>
        </w:rPr>
        <w:t>日前移交至承包人的场地，</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承包人需在</w:t>
      </w:r>
      <w:r>
        <w:rPr>
          <w:rFonts w:ascii="宋体" w:hAnsi="宋体" w:cs="宋体"/>
          <w:color w:val="auto"/>
          <w:szCs w:val="21"/>
          <w:highlight w:val="none"/>
          <w:u w:val="single"/>
        </w:rPr>
        <w:t xml:space="preserve">      </w:t>
      </w:r>
      <w:r>
        <w:rPr>
          <w:rFonts w:hint="eastAsia" w:ascii="宋体" w:hAnsi="宋体" w:cs="宋体"/>
          <w:color w:val="auto"/>
          <w:szCs w:val="21"/>
          <w:highlight w:val="none"/>
        </w:rPr>
        <w:t>年</w:t>
      </w:r>
      <w:r>
        <w:rPr>
          <w:rFonts w:ascii="宋体" w:hAnsi="宋体" w:cs="宋体"/>
          <w:color w:val="auto"/>
          <w:szCs w:val="21"/>
          <w:highlight w:val="none"/>
          <w:u w:val="single"/>
        </w:rPr>
        <w:t xml:space="preserve">     </w:t>
      </w:r>
      <w:r>
        <w:rPr>
          <w:rFonts w:hint="eastAsia" w:ascii="宋体" w:hAnsi="宋体" w:cs="宋体"/>
          <w:color w:val="auto"/>
          <w:szCs w:val="21"/>
          <w:highlight w:val="none"/>
        </w:rPr>
        <w:t>月</w:t>
      </w:r>
      <w:r>
        <w:rPr>
          <w:rFonts w:ascii="宋体" w:hAnsi="宋体" w:cs="宋体"/>
          <w:color w:val="auto"/>
          <w:szCs w:val="21"/>
          <w:highlight w:val="none"/>
          <w:u w:val="single"/>
        </w:rPr>
        <w:t xml:space="preserve">      </w:t>
      </w:r>
      <w:r>
        <w:rPr>
          <w:rFonts w:hint="eastAsia" w:ascii="宋体" w:hAnsi="宋体" w:cs="宋体"/>
          <w:color w:val="auto"/>
          <w:szCs w:val="21"/>
          <w:highlight w:val="none"/>
        </w:rPr>
        <w:t>日前完成</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rPr>
        <w:t>。</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工期节点二：</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rPr>
        <w:t>部分，发包人在</w:t>
      </w:r>
      <w:r>
        <w:rPr>
          <w:rFonts w:ascii="宋体" w:hAnsi="宋体" w:cs="宋体"/>
          <w:color w:val="auto"/>
          <w:szCs w:val="21"/>
          <w:highlight w:val="none"/>
          <w:u w:val="single"/>
        </w:rPr>
        <w:t xml:space="preserve">    </w:t>
      </w:r>
      <w:r>
        <w:rPr>
          <w:rFonts w:hint="eastAsia" w:ascii="宋体" w:hAnsi="宋体" w:cs="宋体"/>
          <w:color w:val="auto"/>
          <w:szCs w:val="21"/>
          <w:highlight w:val="none"/>
        </w:rPr>
        <w:t>年</w:t>
      </w:r>
      <w:r>
        <w:rPr>
          <w:rFonts w:ascii="宋体" w:hAnsi="宋体" w:cs="宋体"/>
          <w:color w:val="auto"/>
          <w:szCs w:val="21"/>
          <w:highlight w:val="non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rPr>
        <w:t>月</w:t>
      </w:r>
      <w:r>
        <w:rPr>
          <w:rFonts w:ascii="宋体" w:hAnsi="宋体" w:cs="宋体"/>
          <w:color w:val="auto"/>
          <w:szCs w:val="21"/>
          <w:highlight w:val="none"/>
          <w:u w:val="single"/>
        </w:rPr>
        <w:t xml:space="preserve">    </w:t>
      </w:r>
      <w:r>
        <w:rPr>
          <w:rFonts w:hint="eastAsia" w:ascii="宋体" w:hAnsi="宋体" w:cs="宋体"/>
          <w:color w:val="auto"/>
          <w:szCs w:val="21"/>
          <w:highlight w:val="none"/>
        </w:rPr>
        <w:t>日前移交至承包人的场地，</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承包人需在</w:t>
      </w:r>
      <w:r>
        <w:rPr>
          <w:rFonts w:ascii="宋体" w:hAnsi="宋体" w:cs="宋体"/>
          <w:color w:val="auto"/>
          <w:szCs w:val="21"/>
          <w:highlight w:val="none"/>
          <w:u w:val="single"/>
        </w:rPr>
        <w:t xml:space="preserve">      </w:t>
      </w:r>
      <w:r>
        <w:rPr>
          <w:rFonts w:hint="eastAsia" w:ascii="宋体" w:hAnsi="宋体" w:cs="宋体"/>
          <w:color w:val="auto"/>
          <w:szCs w:val="21"/>
          <w:highlight w:val="none"/>
        </w:rPr>
        <w:t>年</w:t>
      </w:r>
      <w:r>
        <w:rPr>
          <w:rFonts w:ascii="宋体" w:hAnsi="宋体" w:cs="宋体"/>
          <w:color w:val="auto"/>
          <w:szCs w:val="21"/>
          <w:highlight w:val="none"/>
          <w:u w:val="single"/>
        </w:rPr>
        <w:t xml:space="preserve">     </w:t>
      </w:r>
      <w:r>
        <w:rPr>
          <w:rFonts w:hint="eastAsia" w:ascii="宋体" w:hAnsi="宋体" w:cs="宋体"/>
          <w:color w:val="auto"/>
          <w:szCs w:val="21"/>
          <w:highlight w:val="none"/>
        </w:rPr>
        <w:t>月</w:t>
      </w:r>
      <w:r>
        <w:rPr>
          <w:rFonts w:ascii="宋体" w:hAnsi="宋体" w:cs="宋体"/>
          <w:color w:val="auto"/>
          <w:szCs w:val="21"/>
          <w:highlight w:val="none"/>
          <w:u w:val="single"/>
        </w:rPr>
        <w:t xml:space="preserve">      </w:t>
      </w:r>
      <w:r>
        <w:rPr>
          <w:rFonts w:hint="eastAsia" w:ascii="宋体" w:hAnsi="宋体" w:cs="宋体"/>
          <w:color w:val="auto"/>
          <w:szCs w:val="21"/>
          <w:highlight w:val="none"/>
        </w:rPr>
        <w:t>日前完成</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rPr>
        <w:t>。</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工期节点</w:t>
      </w:r>
      <w:r>
        <w:rPr>
          <w:rFonts w:ascii="宋体" w:hAnsi="宋体" w:cs="宋体"/>
          <w:color w:val="auto"/>
          <w:szCs w:val="21"/>
          <w:highlight w:val="none"/>
          <w:u w:val="single"/>
        </w:rPr>
        <w:t xml:space="preserve">  </w:t>
      </w:r>
      <w:r>
        <w:rPr>
          <w:rFonts w:hint="eastAsia" w:ascii="宋体" w:hAnsi="宋体" w:cs="宋体"/>
          <w:color w:val="auto"/>
          <w:szCs w:val="21"/>
          <w:highlight w:val="none"/>
        </w:rPr>
        <w:t>：</w:t>
      </w:r>
      <w:r>
        <w:rPr>
          <w:rFonts w:ascii="宋体" w:hAnsi="宋体" w:cs="宋体"/>
          <w:color w:val="auto"/>
          <w:szCs w:val="21"/>
          <w:highlight w:val="none"/>
          <w:u w:val="single"/>
        </w:rPr>
        <w:t xml:space="preserve">                                                                 </w:t>
      </w:r>
      <w:r>
        <w:rPr>
          <w:rFonts w:ascii="宋体" w:hAnsi="宋体" w:cs="宋体"/>
          <w:color w:val="auto"/>
          <w:szCs w:val="21"/>
          <w:highlight w:val="none"/>
        </w:rPr>
        <w:t xml:space="preserve"> </w:t>
      </w:r>
      <w:r>
        <w:rPr>
          <w:rFonts w:hint="eastAsia" w:ascii="宋体" w:hAnsi="宋体" w:cs="宋体"/>
          <w:color w:val="auto"/>
          <w:szCs w:val="21"/>
          <w:highlight w:val="none"/>
        </w:rPr>
        <w:t>。</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最后工期节点：</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rPr>
        <w:t>部分，承包人需在</w:t>
      </w:r>
      <w:r>
        <w:rPr>
          <w:rFonts w:ascii="宋体" w:hAnsi="宋体" w:cs="宋体"/>
          <w:color w:val="auto"/>
          <w:szCs w:val="21"/>
          <w:highlight w:val="none"/>
          <w:u w:val="single"/>
        </w:rPr>
        <w:t xml:space="preserve">    </w:t>
      </w:r>
      <w:r>
        <w:rPr>
          <w:rFonts w:hint="eastAsia" w:ascii="宋体" w:hAnsi="宋体" w:cs="宋体"/>
          <w:color w:val="auto"/>
          <w:szCs w:val="21"/>
          <w:highlight w:val="none"/>
        </w:rPr>
        <w:t>年</w:t>
      </w:r>
      <w:r>
        <w:rPr>
          <w:rFonts w:ascii="宋体" w:hAnsi="宋体" w:cs="宋体"/>
          <w:color w:val="auto"/>
          <w:szCs w:val="21"/>
          <w:highlight w:val="non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rPr>
        <w:t>月</w:t>
      </w:r>
      <w:r>
        <w:rPr>
          <w:rFonts w:ascii="宋体" w:hAnsi="宋体" w:cs="宋体"/>
          <w:color w:val="auto"/>
          <w:szCs w:val="21"/>
          <w:highlight w:val="none"/>
          <w:u w:val="single"/>
        </w:rPr>
        <w:t xml:space="preserve">    </w:t>
      </w:r>
      <w:r>
        <w:rPr>
          <w:rFonts w:hint="eastAsia" w:ascii="宋体" w:hAnsi="宋体" w:cs="宋体"/>
          <w:color w:val="auto"/>
          <w:szCs w:val="21"/>
          <w:highlight w:val="none"/>
        </w:rPr>
        <w:t>日至</w:t>
      </w:r>
      <w:r>
        <w:rPr>
          <w:rFonts w:ascii="宋体" w:hAnsi="宋体" w:cs="宋体"/>
          <w:color w:val="auto"/>
          <w:szCs w:val="21"/>
          <w:highlight w:val="none"/>
          <w:u w:val="single"/>
        </w:rPr>
        <w:t xml:space="preserve">    </w:t>
      </w:r>
      <w:r>
        <w:rPr>
          <w:rFonts w:hint="eastAsia" w:ascii="宋体" w:hAnsi="宋体" w:cs="宋体"/>
          <w:color w:val="auto"/>
          <w:szCs w:val="21"/>
          <w:highlight w:val="none"/>
        </w:rPr>
        <w:t>年</w:t>
      </w:r>
      <w:r>
        <w:rPr>
          <w:rFonts w:ascii="宋体" w:hAnsi="宋体" w:cs="宋体"/>
          <w:color w:val="auto"/>
          <w:szCs w:val="21"/>
          <w:highlight w:val="non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rPr>
        <w:t>月</w:t>
      </w:r>
      <w:r>
        <w:rPr>
          <w:rFonts w:ascii="宋体" w:hAnsi="宋体" w:cs="宋体"/>
          <w:color w:val="auto"/>
          <w:szCs w:val="21"/>
          <w:highlight w:val="none"/>
          <w:u w:val="single"/>
        </w:rPr>
        <w:t xml:space="preserve">    </w:t>
      </w:r>
      <w:r>
        <w:rPr>
          <w:rFonts w:hint="eastAsia" w:ascii="宋体" w:hAnsi="宋体" w:cs="宋体"/>
          <w:color w:val="auto"/>
          <w:szCs w:val="21"/>
          <w:highlight w:val="none"/>
        </w:rPr>
        <w:t>日前所有工程内容并竣工移交至发包人。</w:t>
      </w:r>
    </w:p>
    <w:p>
      <w:pPr>
        <w:keepNext/>
        <w:keepLines/>
        <w:spacing w:before="120" w:beforeLines="50" w:after="120" w:afterLines="50" w:line="360" w:lineRule="auto"/>
        <w:ind w:left="562"/>
        <w:outlineLvl w:val="2"/>
        <w:rPr>
          <w:rFonts w:ascii="宋体" w:hAnsi="宋体" w:cs="宋体"/>
          <w:b/>
          <w:bCs/>
          <w:color w:val="auto"/>
          <w:sz w:val="28"/>
          <w:szCs w:val="28"/>
          <w:highlight w:val="none"/>
        </w:rPr>
      </w:pPr>
      <w:bookmarkStart w:id="6729" w:name="_Toc69114084"/>
      <w:r>
        <w:rPr>
          <w:rFonts w:hint="eastAsia" w:ascii="宋体" w:hAnsi="宋体" w:cs="宋体"/>
          <w:b/>
          <w:bCs/>
          <w:color w:val="auto"/>
          <w:sz w:val="28"/>
          <w:szCs w:val="28"/>
          <w:highlight w:val="none"/>
        </w:rPr>
        <w:t>7.6工期延误</w:t>
      </w:r>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p>
    <w:p>
      <w:pPr>
        <w:keepNext/>
        <w:keepLines/>
        <w:spacing w:before="120" w:beforeLines="50" w:after="120" w:afterLines="50" w:line="360" w:lineRule="auto"/>
        <w:outlineLvl w:val="3"/>
        <w:rPr>
          <w:rFonts w:ascii="宋体" w:hAnsi="宋体" w:cs="宋体"/>
          <w:b/>
          <w:bCs/>
          <w:color w:val="auto"/>
          <w:sz w:val="24"/>
          <w:szCs w:val="24"/>
          <w:highlight w:val="none"/>
        </w:rPr>
      </w:pPr>
      <w:bookmarkStart w:id="6730" w:name="_Toc9697"/>
      <w:bookmarkStart w:id="6731" w:name="_Toc1992"/>
      <w:bookmarkStart w:id="6732" w:name="_Toc15289"/>
      <w:bookmarkStart w:id="6733" w:name="_Toc6876"/>
      <w:bookmarkStart w:id="6734" w:name="_Toc31129"/>
      <w:bookmarkStart w:id="6735" w:name="_Toc32764"/>
      <w:bookmarkStart w:id="6736" w:name="_Toc26773"/>
      <w:bookmarkStart w:id="6737" w:name="_Toc4896"/>
      <w:bookmarkStart w:id="6738" w:name="_Toc11561"/>
      <w:bookmarkStart w:id="6739" w:name="_Toc21026"/>
      <w:bookmarkStart w:id="6740" w:name="_Toc25969"/>
      <w:bookmarkStart w:id="6741" w:name="_Toc8681"/>
      <w:bookmarkStart w:id="6742" w:name="_Toc517531022"/>
      <w:bookmarkStart w:id="6743" w:name="_Toc31200"/>
      <w:bookmarkStart w:id="6744" w:name="_Toc29226"/>
      <w:bookmarkStart w:id="6745" w:name="_Toc15862"/>
      <w:bookmarkStart w:id="6746" w:name="_Toc517532298"/>
      <w:bookmarkStart w:id="6747" w:name="_Toc25956"/>
      <w:bookmarkStart w:id="6748" w:name="_Toc24287"/>
      <w:bookmarkStart w:id="6749" w:name="_Toc23508"/>
      <w:r>
        <w:rPr>
          <w:rFonts w:hint="eastAsia" w:ascii="宋体" w:hAnsi="宋体" w:cs="宋体"/>
          <w:b/>
          <w:bCs/>
          <w:color w:val="auto"/>
          <w:sz w:val="24"/>
          <w:szCs w:val="24"/>
          <w:highlight w:val="none"/>
        </w:rPr>
        <w:t>7.6.1</w:t>
      </w:r>
      <w:bookmarkEnd w:id="6730"/>
      <w:bookmarkEnd w:id="6731"/>
      <w:bookmarkEnd w:id="6732"/>
      <w:bookmarkEnd w:id="6733"/>
      <w:bookmarkEnd w:id="6734"/>
      <w:bookmarkEnd w:id="6735"/>
      <w:bookmarkEnd w:id="6736"/>
      <w:bookmarkEnd w:id="6737"/>
      <w:bookmarkEnd w:id="6738"/>
      <w:r>
        <w:rPr>
          <w:rFonts w:hint="eastAsia" w:ascii="宋体" w:hAnsi="宋体" w:cs="宋体"/>
          <w:b/>
          <w:bCs/>
          <w:color w:val="auto"/>
          <w:sz w:val="24"/>
          <w:szCs w:val="24"/>
          <w:highlight w:val="none"/>
        </w:rPr>
        <w:t>工期的延长</w:t>
      </w:r>
      <w:bookmarkEnd w:id="6739"/>
      <w:bookmarkEnd w:id="6740"/>
      <w:bookmarkEnd w:id="6741"/>
      <w:bookmarkEnd w:id="6742"/>
      <w:bookmarkEnd w:id="6743"/>
      <w:bookmarkEnd w:id="6744"/>
      <w:bookmarkEnd w:id="6745"/>
      <w:bookmarkEnd w:id="6746"/>
      <w:bookmarkEnd w:id="6747"/>
      <w:bookmarkEnd w:id="6748"/>
      <w:bookmarkEnd w:id="6749"/>
    </w:p>
    <w:p>
      <w:pPr>
        <w:adjustRightInd w:val="0"/>
        <w:snapToGrid w:val="0"/>
        <w:spacing w:line="360" w:lineRule="auto"/>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承包人在基础开挖中，发现实际地质情况与有关地质报告严重不符造成施工难度增加的，承包人可提出延长工期的申请，经监理人、发包人</w:t>
      </w:r>
      <w:r>
        <w:rPr>
          <w:rFonts w:hint="eastAsia" w:ascii="宋体" w:hAnsi="宋体" w:cs="宋体"/>
          <w:bCs/>
          <w:color w:val="auto"/>
          <w:szCs w:val="21"/>
          <w:highlight w:val="none"/>
          <w:lang w:eastAsia="zh-CN"/>
        </w:rPr>
        <w:t>书面</w:t>
      </w:r>
      <w:r>
        <w:rPr>
          <w:rFonts w:hint="eastAsia" w:ascii="宋体" w:hAnsi="宋体" w:cs="宋体"/>
          <w:bCs/>
          <w:color w:val="auto"/>
          <w:szCs w:val="21"/>
          <w:highlight w:val="none"/>
        </w:rPr>
        <w:t>批准同意后可延长工期。</w:t>
      </w:r>
    </w:p>
    <w:p>
      <w:pPr>
        <w:adjustRightInd w:val="0"/>
        <w:snapToGrid w:val="0"/>
        <w:spacing w:line="360" w:lineRule="auto"/>
        <w:ind w:firstLine="420" w:firstLineChars="200"/>
        <w:jc w:val="left"/>
        <w:rPr>
          <w:rFonts w:ascii="宋体" w:hAnsi="宋体" w:cs="宋体"/>
          <w:bCs/>
          <w:color w:val="auto"/>
          <w:szCs w:val="21"/>
          <w:highlight w:val="none"/>
          <w:u w:val="single"/>
        </w:rPr>
      </w:pPr>
      <w:r>
        <w:rPr>
          <w:rFonts w:hint="eastAsia" w:ascii="宋体" w:hAnsi="宋体" w:cs="宋体"/>
          <w:bCs/>
          <w:color w:val="auto"/>
          <w:szCs w:val="21"/>
          <w:highlight w:val="none"/>
        </w:rPr>
        <w:t>合同双方关于工期延长的约定：</w:t>
      </w:r>
      <w:r>
        <w:rPr>
          <w:rFonts w:hint="eastAsia" w:ascii="宋体" w:hAnsi="宋体" w:cs="宋体"/>
          <w:bCs/>
          <w:color w:val="auto"/>
          <w:szCs w:val="21"/>
          <w:highlight w:val="none"/>
          <w:u w:val="single"/>
        </w:rPr>
        <w:t>对于规模调整等非承包人原因导致的工期延误，承包人可提出延长工期的申请，经监理人、发包人</w:t>
      </w:r>
      <w:r>
        <w:rPr>
          <w:rFonts w:hint="eastAsia" w:ascii="宋体" w:hAnsi="宋体" w:cs="宋体"/>
          <w:bCs/>
          <w:color w:val="auto"/>
          <w:szCs w:val="21"/>
          <w:highlight w:val="none"/>
          <w:u w:val="single"/>
          <w:lang w:eastAsia="zh-CN"/>
        </w:rPr>
        <w:t>书面</w:t>
      </w:r>
      <w:r>
        <w:rPr>
          <w:rFonts w:hint="eastAsia" w:ascii="宋体" w:hAnsi="宋体" w:cs="宋体"/>
          <w:bCs/>
          <w:color w:val="auto"/>
          <w:szCs w:val="21"/>
          <w:highlight w:val="none"/>
          <w:u w:val="single"/>
        </w:rPr>
        <w:t>批准同意后可延长工期。</w:t>
      </w:r>
    </w:p>
    <w:p>
      <w:pPr>
        <w:keepNext/>
        <w:keepLines/>
        <w:spacing w:before="120" w:beforeLines="50" w:after="120" w:afterLines="50" w:line="360" w:lineRule="auto"/>
        <w:ind w:firstLine="600" w:firstLineChars="200"/>
        <w:outlineLvl w:val="1"/>
        <w:rPr>
          <w:rFonts w:ascii="宋体" w:hAnsi="宋体" w:cs="宋体"/>
          <w:b/>
          <w:bCs/>
          <w:color w:val="auto"/>
          <w:sz w:val="30"/>
          <w:szCs w:val="30"/>
          <w:highlight w:val="none"/>
        </w:rPr>
      </w:pPr>
      <w:bookmarkStart w:id="6750" w:name="_Toc845"/>
      <w:bookmarkStart w:id="6751" w:name="_Toc24871"/>
      <w:bookmarkStart w:id="6752" w:name="_Toc7133"/>
      <w:bookmarkStart w:id="6753" w:name="_Toc31547"/>
      <w:bookmarkStart w:id="6754" w:name="_Toc517532299"/>
      <w:bookmarkStart w:id="6755" w:name="_Toc465237255"/>
      <w:bookmarkStart w:id="6756" w:name="_Toc9316"/>
      <w:bookmarkStart w:id="6757" w:name="_Toc7637"/>
      <w:bookmarkStart w:id="6758" w:name="_Toc14273"/>
      <w:bookmarkStart w:id="6759" w:name="_Toc24909"/>
      <w:bookmarkStart w:id="6760" w:name="_Toc517529763"/>
      <w:bookmarkStart w:id="6761" w:name="_Toc32072"/>
      <w:bookmarkStart w:id="6762" w:name="_Toc24631"/>
      <w:bookmarkStart w:id="6763" w:name="_Toc69114085"/>
      <w:bookmarkStart w:id="6764" w:name="_Toc6864"/>
      <w:bookmarkStart w:id="6765" w:name="_Toc517528794"/>
      <w:bookmarkStart w:id="6766" w:name="_Toc465237153"/>
      <w:bookmarkStart w:id="6767" w:name="_Toc22104"/>
      <w:bookmarkStart w:id="6768" w:name="_Toc20790"/>
      <w:bookmarkStart w:id="6769" w:name="_Toc25349"/>
      <w:bookmarkStart w:id="6770" w:name="_Toc351203640"/>
      <w:bookmarkStart w:id="6771" w:name="_Toc517531023"/>
      <w:bookmarkStart w:id="6772" w:name="_Toc94"/>
      <w:bookmarkStart w:id="6773" w:name="_Toc28415"/>
      <w:bookmarkStart w:id="6774" w:name="_Toc17003"/>
      <w:bookmarkStart w:id="6775" w:name="_Toc12759"/>
      <w:r>
        <w:rPr>
          <w:rFonts w:hint="eastAsia" w:ascii="宋体" w:hAnsi="宋体" w:cs="宋体"/>
          <w:b/>
          <w:bCs/>
          <w:color w:val="auto"/>
          <w:sz w:val="30"/>
          <w:szCs w:val="30"/>
          <w:highlight w:val="none"/>
        </w:rPr>
        <w:t>8. 材料与设备</w:t>
      </w:r>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p>
    <w:p>
      <w:pPr>
        <w:keepNext/>
        <w:keepLines/>
        <w:spacing w:before="120" w:beforeLines="50" w:after="120" w:afterLines="50" w:line="360" w:lineRule="auto"/>
        <w:ind w:left="562"/>
        <w:outlineLvl w:val="2"/>
        <w:rPr>
          <w:rFonts w:ascii="宋体" w:hAnsi="宋体" w:cs="宋体"/>
          <w:b/>
          <w:bCs/>
          <w:color w:val="auto"/>
          <w:sz w:val="28"/>
          <w:szCs w:val="28"/>
          <w:highlight w:val="none"/>
        </w:rPr>
      </w:pPr>
      <w:bookmarkStart w:id="6776" w:name="_Toc19623"/>
      <w:bookmarkStart w:id="6777" w:name="_Toc517528795"/>
      <w:bookmarkStart w:id="6778" w:name="_Toc949"/>
      <w:bookmarkStart w:id="6779" w:name="_Toc465237154"/>
      <w:bookmarkStart w:id="6780" w:name="_Toc1242"/>
      <w:bookmarkStart w:id="6781" w:name="_Toc8122"/>
      <w:bookmarkStart w:id="6782" w:name="_Toc465237256"/>
      <w:bookmarkStart w:id="6783" w:name="_Toc26696"/>
      <w:bookmarkStart w:id="6784" w:name="_Toc19875"/>
      <w:bookmarkStart w:id="6785" w:name="_Toc24015"/>
      <w:bookmarkStart w:id="6786" w:name="_Toc517531024"/>
      <w:bookmarkStart w:id="6787" w:name="_Toc28894"/>
      <w:bookmarkStart w:id="6788" w:name="_Toc4766"/>
      <w:bookmarkStart w:id="6789" w:name="_Toc18673"/>
      <w:bookmarkStart w:id="6790" w:name="_Toc25408"/>
      <w:bookmarkStart w:id="6791" w:name="_Toc517532300"/>
      <w:bookmarkStart w:id="6792" w:name="_Toc13073"/>
      <w:bookmarkStart w:id="6793" w:name="_Toc13257"/>
      <w:bookmarkStart w:id="6794" w:name="_Toc28806"/>
      <w:bookmarkStart w:id="6795" w:name="_Toc27962"/>
      <w:bookmarkStart w:id="6796" w:name="_Toc15872"/>
      <w:bookmarkStart w:id="6797" w:name="_Toc69114086"/>
      <w:bookmarkStart w:id="6798" w:name="_Toc17711"/>
      <w:bookmarkStart w:id="6799" w:name="_Toc16518"/>
      <w:r>
        <w:rPr>
          <w:rFonts w:hint="eastAsia" w:ascii="宋体" w:hAnsi="宋体" w:cs="宋体"/>
          <w:b/>
          <w:bCs/>
          <w:color w:val="auto"/>
          <w:sz w:val="28"/>
          <w:szCs w:val="28"/>
          <w:highlight w:val="none"/>
        </w:rPr>
        <w:t>8.1承包人采购或提供材料与工程设备</w:t>
      </w:r>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p>
    <w:p>
      <w:pPr>
        <w:keepNext/>
        <w:keepLines/>
        <w:spacing w:before="120" w:beforeLines="50" w:after="120" w:afterLines="50" w:line="360" w:lineRule="auto"/>
        <w:outlineLvl w:val="3"/>
        <w:rPr>
          <w:rFonts w:ascii="宋体" w:hAnsi="宋体" w:cs="宋体"/>
          <w:b/>
          <w:bCs/>
          <w:color w:val="auto"/>
          <w:sz w:val="24"/>
          <w:szCs w:val="24"/>
          <w:highlight w:val="none"/>
        </w:rPr>
      </w:pPr>
      <w:bookmarkStart w:id="6800" w:name="_Toc17733"/>
      <w:bookmarkStart w:id="6801" w:name="_Toc23138"/>
      <w:bookmarkStart w:id="6802" w:name="_Toc10631"/>
      <w:bookmarkStart w:id="6803" w:name="_Toc4382"/>
      <w:bookmarkStart w:id="6804" w:name="_Toc19727"/>
      <w:bookmarkStart w:id="6805" w:name="_Toc10628"/>
      <w:bookmarkStart w:id="6806" w:name="_Toc5163"/>
      <w:bookmarkStart w:id="6807" w:name="_Toc23347"/>
      <w:bookmarkStart w:id="6808" w:name="_Toc1039"/>
      <w:bookmarkStart w:id="6809" w:name="_Toc9755"/>
      <w:bookmarkStart w:id="6810" w:name="_Toc21411"/>
      <w:bookmarkStart w:id="6811" w:name="_Toc4790"/>
      <w:bookmarkStart w:id="6812" w:name="_Toc3856"/>
      <w:bookmarkStart w:id="6813" w:name="_Toc517531025"/>
      <w:bookmarkStart w:id="6814" w:name="_Toc21631"/>
      <w:bookmarkStart w:id="6815" w:name="_Toc2073"/>
      <w:bookmarkStart w:id="6816" w:name="_Toc27724"/>
      <w:bookmarkStart w:id="6817" w:name="_Toc15988"/>
      <w:bookmarkStart w:id="6818" w:name="_Toc517532301"/>
      <w:bookmarkStart w:id="6819" w:name="_Toc10120"/>
      <w:r>
        <w:rPr>
          <w:rFonts w:hint="eastAsia" w:ascii="宋体" w:hAnsi="宋体" w:cs="宋体"/>
          <w:b/>
          <w:bCs/>
          <w:color w:val="auto"/>
          <w:sz w:val="24"/>
          <w:szCs w:val="24"/>
          <w:highlight w:val="none"/>
        </w:rPr>
        <w:t>8.1.</w:t>
      </w:r>
      <w:bookmarkEnd w:id="6800"/>
      <w:bookmarkEnd w:id="6801"/>
      <w:bookmarkEnd w:id="6802"/>
      <w:bookmarkEnd w:id="6803"/>
      <w:bookmarkEnd w:id="6804"/>
      <w:bookmarkEnd w:id="6805"/>
      <w:bookmarkEnd w:id="6806"/>
      <w:bookmarkEnd w:id="6807"/>
      <w:bookmarkEnd w:id="6808"/>
      <w:r>
        <w:rPr>
          <w:rFonts w:hint="eastAsia" w:ascii="宋体" w:hAnsi="宋体" w:cs="宋体"/>
          <w:b/>
          <w:bCs/>
          <w:color w:val="auto"/>
          <w:sz w:val="24"/>
          <w:szCs w:val="24"/>
          <w:highlight w:val="none"/>
        </w:rPr>
        <w:t>2材料、设备的品牌</w:t>
      </w:r>
      <w:bookmarkEnd w:id="6809"/>
      <w:bookmarkEnd w:id="6810"/>
      <w:bookmarkEnd w:id="6811"/>
      <w:bookmarkEnd w:id="6812"/>
      <w:bookmarkEnd w:id="6813"/>
      <w:bookmarkEnd w:id="6814"/>
      <w:bookmarkEnd w:id="6815"/>
      <w:bookmarkEnd w:id="6816"/>
      <w:bookmarkEnd w:id="6817"/>
      <w:bookmarkEnd w:id="6818"/>
      <w:bookmarkEnd w:id="6819"/>
    </w:p>
    <w:p>
      <w:pPr>
        <w:adjustRightInd w:val="0"/>
        <w:snapToGrid w:val="0"/>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（1）施工图纸、工程量清单、合同所附技术规范及要求、参考品牌之间的技术规格可能存在差异，在实施过程中按以下原则处理：</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①设有参考品牌的设备，生产厂家的定型规格中不能满足施工图纸、工程量清单、技术要求的，经发包人认可后可采用参考品牌生产厂家规格最接近的产品替代，结算时价格不作调整；</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②当施工图纸、合同所附技术规范及要求相矛盾时，在施工选用时优先将确保工程质量作为前提，由发包人确定最终的选用规格；</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③如最终选用材料设备适用现有工程量清单单价，则按现有工程量清单单价进行计价，如没有可适用的工程量清单单价，则按通用条款10.3条进行定价。</w:t>
      </w:r>
    </w:p>
    <w:p>
      <w:pPr>
        <w:pStyle w:val="106"/>
        <w:ind w:firstLine="480"/>
        <w:rPr>
          <w:rFonts w:hAnsi="宋体" w:cs="宋体"/>
          <w:b/>
          <w:color w:val="auto"/>
          <w:sz w:val="21"/>
          <w:szCs w:val="21"/>
          <w:highlight w:val="none"/>
        </w:rPr>
      </w:pPr>
      <w:r>
        <w:rPr>
          <w:rFonts w:hint="eastAsia" w:hAnsi="宋体" w:cs="宋体"/>
          <w:color w:val="auto"/>
          <w:szCs w:val="21"/>
          <w:highlight w:val="none"/>
        </w:rPr>
        <w:t>（2）</w:t>
      </w:r>
      <w:r>
        <w:rPr>
          <w:rFonts w:hint="eastAsia" w:hAnsi="宋体" w:cs="宋体"/>
          <w:b/>
          <w:color w:val="auto"/>
          <w:sz w:val="21"/>
          <w:szCs w:val="21"/>
          <w:highlight w:val="none"/>
        </w:rPr>
        <w:t>发包人对</w:t>
      </w:r>
      <w:r>
        <w:rPr>
          <w:rFonts w:hAnsi="宋体" w:cs="宋体"/>
          <w:b/>
          <w:color w:val="auto"/>
          <w:sz w:val="21"/>
          <w:szCs w:val="21"/>
          <w:highlight w:val="none"/>
        </w:rPr>
        <w:t>承包人采购材料设备的</w:t>
      </w:r>
      <w:r>
        <w:rPr>
          <w:rFonts w:hint="eastAsia" w:hAnsi="宋体" w:cs="宋体"/>
          <w:b/>
          <w:color w:val="auto"/>
          <w:sz w:val="21"/>
          <w:szCs w:val="21"/>
          <w:highlight w:val="none"/>
        </w:rPr>
        <w:t>特别</w:t>
      </w:r>
      <w:r>
        <w:rPr>
          <w:rFonts w:hAnsi="宋体" w:cs="宋体"/>
          <w:b/>
          <w:color w:val="auto"/>
          <w:sz w:val="21"/>
          <w:szCs w:val="21"/>
          <w:highlight w:val="none"/>
        </w:rPr>
        <w:t>约定：</w:t>
      </w:r>
    </w:p>
    <w:p>
      <w:pPr>
        <w:pStyle w:val="106"/>
        <w:ind w:firstLine="630" w:firstLineChars="300"/>
        <w:rPr>
          <w:rFonts w:hAnsi="宋体" w:cs="宋体"/>
          <w:bCs/>
          <w:color w:val="auto"/>
          <w:sz w:val="21"/>
          <w:szCs w:val="21"/>
          <w:highlight w:val="none"/>
        </w:rPr>
      </w:pPr>
      <w:r>
        <w:rPr>
          <w:rFonts w:hint="eastAsia" w:hAnsi="宋体" w:cs="宋体"/>
          <w:bCs/>
          <w:color w:val="auto"/>
          <w:sz w:val="21"/>
          <w:szCs w:val="21"/>
          <w:highlight w:val="none"/>
        </w:rPr>
        <w:t>①</w:t>
      </w:r>
      <w:r>
        <w:rPr>
          <w:rFonts w:hAnsi="宋体" w:cs="宋体"/>
          <w:bCs/>
          <w:color w:val="auto"/>
          <w:sz w:val="21"/>
          <w:szCs w:val="21"/>
          <w:highlight w:val="none"/>
        </w:rPr>
        <w:t>本工程除了由发包人供应的材料、制品、设备外，其余全部工程的材料、制品均由承包人承担。</w:t>
      </w:r>
    </w:p>
    <w:p>
      <w:pPr>
        <w:pStyle w:val="106"/>
        <w:ind w:firstLine="630" w:firstLineChars="300"/>
        <w:rPr>
          <w:rFonts w:hAnsi="宋体" w:cs="宋体"/>
          <w:bCs/>
          <w:color w:val="auto"/>
          <w:sz w:val="21"/>
          <w:szCs w:val="21"/>
          <w:highlight w:val="none"/>
        </w:rPr>
      </w:pPr>
      <w:r>
        <w:rPr>
          <w:rFonts w:hint="eastAsia" w:hAnsi="宋体" w:cs="宋体"/>
          <w:bCs/>
          <w:color w:val="auto"/>
          <w:sz w:val="21"/>
          <w:szCs w:val="21"/>
          <w:highlight w:val="none"/>
        </w:rPr>
        <w:t>②</w:t>
      </w:r>
      <w:r>
        <w:rPr>
          <w:rFonts w:hAnsi="宋体" w:cs="宋体"/>
          <w:bCs/>
          <w:color w:val="auto"/>
          <w:sz w:val="21"/>
          <w:szCs w:val="21"/>
          <w:highlight w:val="none"/>
        </w:rPr>
        <w:t>承包人负责采购材料的，应按照招标文件有关要求，采购前应取得发包人和</w:t>
      </w:r>
      <w:r>
        <w:rPr>
          <w:rFonts w:hint="eastAsia" w:hAnsi="宋体" w:cs="宋体"/>
          <w:bCs/>
          <w:color w:val="auto"/>
          <w:sz w:val="21"/>
          <w:szCs w:val="21"/>
          <w:highlight w:val="none"/>
        </w:rPr>
        <w:t>监理人</w:t>
      </w:r>
      <w:r>
        <w:rPr>
          <w:rFonts w:hAnsi="宋体" w:cs="宋体"/>
          <w:bCs/>
          <w:color w:val="auto"/>
          <w:sz w:val="21"/>
          <w:szCs w:val="21"/>
          <w:highlight w:val="none"/>
        </w:rPr>
        <w:t>书面同意，并严格按照设计文件和有关标准要求采购，并提供质量合格证书、检验合格证书以及生产商的生产许可有关证件，对材料设备质量负责。未取得发包人和</w:t>
      </w:r>
      <w:r>
        <w:rPr>
          <w:rFonts w:hint="eastAsia" w:hAnsi="宋体" w:cs="宋体"/>
          <w:bCs/>
          <w:color w:val="auto"/>
          <w:sz w:val="21"/>
          <w:szCs w:val="21"/>
          <w:highlight w:val="none"/>
        </w:rPr>
        <w:t>监理人</w:t>
      </w:r>
      <w:r>
        <w:rPr>
          <w:rFonts w:hint="eastAsia" w:hAnsi="宋体" w:cs="宋体"/>
          <w:bCs/>
          <w:color w:val="auto"/>
          <w:sz w:val="21"/>
          <w:szCs w:val="21"/>
          <w:highlight w:val="none"/>
          <w:lang w:eastAsia="zh-CN"/>
        </w:rPr>
        <w:t>书面</w:t>
      </w:r>
      <w:r>
        <w:rPr>
          <w:rFonts w:hAnsi="宋体" w:cs="宋体"/>
          <w:bCs/>
          <w:color w:val="auto"/>
          <w:sz w:val="21"/>
          <w:szCs w:val="21"/>
          <w:highlight w:val="none"/>
        </w:rPr>
        <w:t>批准的，不予计量。</w:t>
      </w:r>
      <w:bookmarkStart w:id="6820" w:name="OLE_LINK20"/>
      <w:r>
        <w:rPr>
          <w:rFonts w:hAnsi="宋体" w:cs="宋体"/>
          <w:bCs/>
          <w:color w:val="auto"/>
          <w:sz w:val="21"/>
          <w:szCs w:val="21"/>
          <w:highlight w:val="none"/>
        </w:rPr>
        <w:t>当招标文件规定材料的品牌及规格或价格时，承包人应选择规定品牌和规格；当承包人选择规定品牌以外产品时，必须报发包人和</w:t>
      </w:r>
      <w:r>
        <w:rPr>
          <w:rFonts w:hint="eastAsia" w:hAnsi="宋体" w:cs="宋体"/>
          <w:bCs/>
          <w:color w:val="auto"/>
          <w:sz w:val="21"/>
          <w:szCs w:val="21"/>
          <w:highlight w:val="none"/>
        </w:rPr>
        <w:t>监理人</w:t>
      </w:r>
      <w:r>
        <w:rPr>
          <w:rFonts w:hint="eastAsia" w:hAnsi="宋体" w:cs="宋体"/>
          <w:bCs/>
          <w:color w:val="auto"/>
          <w:sz w:val="21"/>
          <w:szCs w:val="21"/>
          <w:highlight w:val="none"/>
          <w:lang w:eastAsia="zh-CN"/>
        </w:rPr>
        <w:t>书面</w:t>
      </w:r>
      <w:r>
        <w:rPr>
          <w:rFonts w:hAnsi="宋体" w:cs="宋体"/>
          <w:bCs/>
          <w:color w:val="auto"/>
          <w:sz w:val="21"/>
          <w:szCs w:val="21"/>
          <w:highlight w:val="none"/>
        </w:rPr>
        <w:t>批准，其质量标准不得低于规定品牌，如经批准的材料品牌、规格其价格高于原投标报价，超出部分费用由承包人承担；若批准的品牌价格较原投标报价节省，节省费用归发包人所有。</w:t>
      </w:r>
      <w:bookmarkEnd w:id="6820"/>
      <w:r>
        <w:rPr>
          <w:rFonts w:hAnsi="宋体" w:cs="宋体"/>
          <w:bCs/>
          <w:color w:val="auto"/>
          <w:sz w:val="21"/>
          <w:szCs w:val="21"/>
          <w:highlight w:val="none"/>
        </w:rPr>
        <w:t>发包人的任何批准或不批准皆不会减轻承包单位按合同文件规定应承担的责任，批准应以发包人书面形式发出为准，否则无效。若承包人在未取得发包人和工程师的批准时，擅自采购其他品牌的材料，发包人有权不予支付相应的工程价款；导致供货错误、供货延误、工期拖延、工程质量等责任全部由承包人承担，若造成发包人损失的，承包人应赔偿由此给发包人造成的全部损失。</w:t>
      </w:r>
    </w:p>
    <w:p>
      <w:pPr>
        <w:pStyle w:val="106"/>
        <w:ind w:firstLine="630" w:firstLineChars="300"/>
        <w:rPr>
          <w:rFonts w:hAnsi="宋体" w:cs="宋体"/>
          <w:bCs/>
          <w:color w:val="auto"/>
          <w:sz w:val="21"/>
          <w:szCs w:val="21"/>
          <w:highlight w:val="none"/>
        </w:rPr>
      </w:pPr>
      <w:r>
        <w:rPr>
          <w:rFonts w:hint="eastAsia" w:hAnsi="宋体" w:cs="宋体"/>
          <w:bCs/>
          <w:color w:val="auto"/>
          <w:sz w:val="21"/>
          <w:szCs w:val="21"/>
          <w:highlight w:val="none"/>
        </w:rPr>
        <w:t>③</w:t>
      </w:r>
      <w:r>
        <w:rPr>
          <w:rFonts w:hAnsi="宋体" w:cs="宋体"/>
          <w:bCs/>
          <w:color w:val="auto"/>
          <w:sz w:val="21"/>
          <w:szCs w:val="21"/>
          <w:highlight w:val="none"/>
        </w:rPr>
        <w:t>承包人采购的材料在使用前，</w:t>
      </w:r>
      <w:r>
        <w:rPr>
          <w:rFonts w:hint="eastAsia" w:hAnsi="宋体" w:cs="宋体"/>
          <w:bCs/>
          <w:color w:val="auto"/>
          <w:sz w:val="21"/>
          <w:szCs w:val="21"/>
          <w:highlight w:val="none"/>
        </w:rPr>
        <w:t>发包人</w:t>
      </w:r>
      <w:r>
        <w:rPr>
          <w:rFonts w:hAnsi="宋体" w:cs="宋体"/>
          <w:bCs/>
          <w:color w:val="auto"/>
          <w:sz w:val="21"/>
          <w:szCs w:val="21"/>
          <w:highlight w:val="none"/>
        </w:rPr>
        <w:t>进行检验或试验，不合格的不得使用，</w:t>
      </w:r>
      <w:r>
        <w:rPr>
          <w:rFonts w:hint="eastAsia" w:hAnsi="宋体" w:cs="宋体"/>
          <w:bCs/>
          <w:color w:val="auto"/>
          <w:sz w:val="21"/>
          <w:szCs w:val="21"/>
          <w:highlight w:val="none"/>
        </w:rPr>
        <w:t>合格的</w:t>
      </w:r>
      <w:r>
        <w:rPr>
          <w:rFonts w:hAnsi="宋体" w:cs="宋体"/>
          <w:bCs/>
          <w:color w:val="auto"/>
          <w:sz w:val="21"/>
          <w:szCs w:val="21"/>
          <w:highlight w:val="none"/>
        </w:rPr>
        <w:t>检验或试验费用由</w:t>
      </w:r>
      <w:r>
        <w:rPr>
          <w:rFonts w:hint="eastAsia" w:hAnsi="宋体" w:cs="宋体"/>
          <w:bCs/>
          <w:color w:val="auto"/>
          <w:sz w:val="21"/>
          <w:szCs w:val="21"/>
          <w:highlight w:val="none"/>
        </w:rPr>
        <w:t>发</w:t>
      </w:r>
      <w:r>
        <w:rPr>
          <w:rFonts w:hAnsi="宋体" w:cs="宋体"/>
          <w:bCs/>
          <w:color w:val="auto"/>
          <w:sz w:val="21"/>
          <w:szCs w:val="21"/>
          <w:highlight w:val="none"/>
        </w:rPr>
        <w:t>包人承担</w:t>
      </w:r>
      <w:r>
        <w:rPr>
          <w:rFonts w:hint="eastAsia" w:hAnsi="宋体" w:cs="宋体"/>
          <w:bCs/>
          <w:color w:val="auto"/>
          <w:sz w:val="21"/>
          <w:szCs w:val="21"/>
          <w:highlight w:val="none"/>
        </w:rPr>
        <w:t>，不合格的</w:t>
      </w:r>
      <w:r>
        <w:rPr>
          <w:rFonts w:hAnsi="宋体" w:cs="宋体"/>
          <w:bCs/>
          <w:color w:val="auto"/>
          <w:sz w:val="21"/>
          <w:szCs w:val="21"/>
          <w:highlight w:val="none"/>
        </w:rPr>
        <w:t>检验或试验费用由承包人承担。</w:t>
      </w:r>
      <w:r>
        <w:rPr>
          <w:rFonts w:hint="eastAsia" w:hAnsi="宋体" w:cs="宋体"/>
          <w:bCs/>
          <w:color w:val="auto"/>
          <w:sz w:val="21"/>
          <w:szCs w:val="21"/>
          <w:highlight w:val="none"/>
        </w:rPr>
        <w:t>监理人</w:t>
      </w:r>
      <w:r>
        <w:rPr>
          <w:rFonts w:hAnsi="宋体" w:cs="宋体"/>
          <w:bCs/>
          <w:color w:val="auto"/>
          <w:sz w:val="21"/>
          <w:szCs w:val="21"/>
          <w:highlight w:val="none"/>
        </w:rPr>
        <w:t>对材料的材源及送检质量的认可并不意味着本批材料都已被批准合格，也不应妨碍</w:t>
      </w:r>
      <w:r>
        <w:rPr>
          <w:rFonts w:hint="eastAsia" w:hAnsi="宋体" w:cs="宋体"/>
          <w:bCs/>
          <w:color w:val="auto"/>
          <w:sz w:val="21"/>
          <w:szCs w:val="21"/>
          <w:highlight w:val="none"/>
        </w:rPr>
        <w:t>监理人</w:t>
      </w:r>
      <w:r>
        <w:rPr>
          <w:rFonts w:hAnsi="宋体" w:cs="宋体"/>
          <w:bCs/>
          <w:color w:val="auto"/>
          <w:sz w:val="21"/>
          <w:szCs w:val="21"/>
          <w:highlight w:val="none"/>
        </w:rPr>
        <w:t>在任何时候拒绝采用这类材料。</w:t>
      </w:r>
    </w:p>
    <w:p>
      <w:pPr>
        <w:pStyle w:val="106"/>
        <w:ind w:firstLine="630" w:firstLineChars="300"/>
        <w:rPr>
          <w:rFonts w:hAnsi="宋体" w:cs="宋体"/>
          <w:bCs/>
          <w:color w:val="auto"/>
          <w:sz w:val="21"/>
          <w:szCs w:val="21"/>
          <w:highlight w:val="none"/>
        </w:rPr>
      </w:pPr>
      <w:r>
        <w:rPr>
          <w:rFonts w:hint="eastAsia" w:hAnsi="宋体" w:cs="宋体"/>
          <w:bCs/>
          <w:color w:val="auto"/>
          <w:sz w:val="21"/>
          <w:szCs w:val="21"/>
          <w:highlight w:val="none"/>
        </w:rPr>
        <w:t>④监理人</w:t>
      </w:r>
      <w:r>
        <w:rPr>
          <w:rFonts w:hAnsi="宋体" w:cs="宋体"/>
          <w:bCs/>
          <w:color w:val="auto"/>
          <w:sz w:val="21"/>
          <w:szCs w:val="21"/>
          <w:highlight w:val="none"/>
        </w:rPr>
        <w:t>发现承包人采购并使用不符合设计或标准要求的材料设备的，必须要求承包人负责修复、拆除或重新采购，由此产生的费用，全部由承包人承担，由此延误的工期不予顺延。</w:t>
      </w:r>
    </w:p>
    <w:p>
      <w:pPr>
        <w:pStyle w:val="106"/>
        <w:ind w:firstLine="630" w:firstLineChars="300"/>
        <w:rPr>
          <w:rFonts w:hAnsi="宋体" w:cs="宋体"/>
          <w:bCs/>
          <w:color w:val="auto"/>
          <w:sz w:val="21"/>
          <w:szCs w:val="21"/>
          <w:highlight w:val="none"/>
        </w:rPr>
      </w:pPr>
      <w:r>
        <w:rPr>
          <w:rFonts w:hint="eastAsia" w:hAnsi="宋体" w:cs="宋体"/>
          <w:bCs/>
          <w:color w:val="auto"/>
          <w:sz w:val="21"/>
          <w:szCs w:val="21"/>
          <w:highlight w:val="none"/>
        </w:rPr>
        <w:t>⑤</w:t>
      </w:r>
      <w:r>
        <w:rPr>
          <w:rFonts w:hAnsi="宋体" w:cs="宋体"/>
          <w:bCs/>
          <w:color w:val="auto"/>
          <w:sz w:val="21"/>
          <w:szCs w:val="21"/>
          <w:highlight w:val="none"/>
        </w:rPr>
        <w:t>选择材料供应商时，承包人应提供不少于3家信誉较好的供应商，报</w:t>
      </w:r>
      <w:r>
        <w:rPr>
          <w:rFonts w:hint="eastAsia" w:hAnsi="宋体" w:cs="宋体"/>
          <w:bCs/>
          <w:color w:val="auto"/>
          <w:sz w:val="21"/>
          <w:szCs w:val="21"/>
          <w:highlight w:val="none"/>
        </w:rPr>
        <w:t>监理人</w:t>
      </w:r>
      <w:r>
        <w:rPr>
          <w:rFonts w:hAnsi="宋体" w:cs="宋体"/>
          <w:bCs/>
          <w:color w:val="auto"/>
          <w:sz w:val="21"/>
          <w:szCs w:val="21"/>
          <w:highlight w:val="none"/>
        </w:rPr>
        <w:t>及发包人共同确认后方可采购。</w:t>
      </w:r>
    </w:p>
    <w:p>
      <w:pPr>
        <w:pStyle w:val="106"/>
        <w:ind w:firstLine="630" w:firstLineChars="300"/>
        <w:rPr>
          <w:rFonts w:hAnsi="宋体" w:cs="宋体"/>
          <w:bCs/>
          <w:color w:val="auto"/>
          <w:sz w:val="21"/>
          <w:szCs w:val="21"/>
          <w:highlight w:val="none"/>
        </w:rPr>
      </w:pPr>
      <w:r>
        <w:rPr>
          <w:rFonts w:hint="eastAsia" w:hAnsi="宋体" w:cs="宋体"/>
          <w:bCs/>
          <w:color w:val="auto"/>
          <w:sz w:val="21"/>
          <w:szCs w:val="21"/>
          <w:highlight w:val="none"/>
        </w:rPr>
        <w:t>⑥</w:t>
      </w:r>
      <w:r>
        <w:rPr>
          <w:rFonts w:hAnsi="宋体" w:cs="宋体"/>
          <w:bCs/>
          <w:color w:val="auto"/>
          <w:sz w:val="21"/>
          <w:szCs w:val="21"/>
          <w:highlight w:val="none"/>
        </w:rPr>
        <w:t>材料、设备参考品牌要求：</w:t>
      </w:r>
      <w:bookmarkStart w:id="6821" w:name="OLE_LINK21"/>
      <w:r>
        <w:rPr>
          <w:rFonts w:hAnsi="宋体" w:cs="宋体"/>
          <w:bCs/>
          <w:color w:val="auto"/>
          <w:sz w:val="21"/>
          <w:szCs w:val="21"/>
          <w:highlight w:val="none"/>
        </w:rPr>
        <w:t>当招标文件规定材料的参考品牌及规格时，承包人应当首先选择参考品牌和规格；若招标文件中规定材料的参考品牌及规格全部不满足和确属市场无货或缺货，才能选择招标文件规定材料参考品牌及规格外的产品，当承包人选择规定品牌或规格外的产品时，必须报发包人和监理人</w:t>
      </w:r>
      <w:r>
        <w:rPr>
          <w:rFonts w:hint="eastAsia" w:hAnsi="宋体" w:cs="宋体"/>
          <w:bCs/>
          <w:color w:val="auto"/>
          <w:sz w:val="21"/>
          <w:szCs w:val="21"/>
          <w:highlight w:val="none"/>
          <w:lang w:eastAsia="zh-CN"/>
        </w:rPr>
        <w:t>书面</w:t>
      </w:r>
      <w:r>
        <w:rPr>
          <w:rFonts w:hAnsi="宋体" w:cs="宋体"/>
          <w:bCs/>
          <w:color w:val="auto"/>
          <w:sz w:val="21"/>
          <w:szCs w:val="21"/>
          <w:highlight w:val="none"/>
        </w:rPr>
        <w:t>批准同意，其质量标准不得低于原规定品牌，并应履行相关材料、设备询价手续，如经批准的材料品牌、规格其价格高于原投标报价，超出部分费用由承包人承担；若</w:t>
      </w:r>
      <w:r>
        <w:rPr>
          <w:rFonts w:hint="eastAsia" w:hAnsi="宋体" w:cs="宋体"/>
          <w:bCs/>
          <w:color w:val="auto"/>
          <w:sz w:val="21"/>
          <w:szCs w:val="21"/>
          <w:highlight w:val="none"/>
        </w:rPr>
        <w:t>经同意使用</w:t>
      </w:r>
      <w:r>
        <w:rPr>
          <w:rFonts w:hAnsi="宋体" w:cs="宋体"/>
          <w:bCs/>
          <w:color w:val="auto"/>
          <w:sz w:val="21"/>
          <w:szCs w:val="21"/>
          <w:highlight w:val="none"/>
        </w:rPr>
        <w:t>的品牌价格</w:t>
      </w:r>
      <w:r>
        <w:rPr>
          <w:rFonts w:hint="eastAsia" w:hAnsi="宋体" w:cs="宋体"/>
          <w:bCs/>
          <w:color w:val="auto"/>
          <w:sz w:val="21"/>
          <w:szCs w:val="21"/>
          <w:highlight w:val="none"/>
        </w:rPr>
        <w:t>低于</w:t>
      </w:r>
      <w:r>
        <w:rPr>
          <w:rFonts w:hAnsi="宋体" w:cs="宋体"/>
          <w:bCs/>
          <w:color w:val="auto"/>
          <w:sz w:val="21"/>
          <w:szCs w:val="21"/>
          <w:highlight w:val="none"/>
        </w:rPr>
        <w:t>原投标报价，</w:t>
      </w:r>
      <w:r>
        <w:rPr>
          <w:rFonts w:hint="eastAsia" w:hAnsi="宋体" w:cs="宋体"/>
          <w:bCs/>
          <w:color w:val="auto"/>
          <w:sz w:val="21"/>
          <w:szCs w:val="21"/>
          <w:highlight w:val="none"/>
        </w:rPr>
        <w:t>其中的</w:t>
      </w:r>
      <w:r>
        <w:rPr>
          <w:rFonts w:hAnsi="宋体" w:cs="宋体"/>
          <w:bCs/>
          <w:color w:val="auto"/>
          <w:sz w:val="21"/>
          <w:szCs w:val="21"/>
          <w:highlight w:val="none"/>
        </w:rPr>
        <w:t>节省费用归发包人所有。</w:t>
      </w:r>
      <w:bookmarkEnd w:id="6821"/>
      <w:r>
        <w:rPr>
          <w:rFonts w:hint="eastAsia" w:hAnsi="宋体" w:cs="宋体"/>
          <w:bCs/>
          <w:color w:val="auto"/>
          <w:sz w:val="21"/>
          <w:szCs w:val="21"/>
          <w:highlight w:val="none"/>
        </w:rPr>
        <w:t>发包人的同意以书面形式为准。</w:t>
      </w:r>
    </w:p>
    <w:p>
      <w:pPr>
        <w:pStyle w:val="106"/>
        <w:ind w:firstLine="420"/>
        <w:rPr>
          <w:rFonts w:hAnsi="宋体" w:cs="宋体"/>
          <w:bCs/>
          <w:color w:val="auto"/>
          <w:sz w:val="21"/>
          <w:szCs w:val="21"/>
          <w:highlight w:val="none"/>
        </w:rPr>
      </w:pPr>
      <w:r>
        <w:rPr>
          <w:rFonts w:hAnsi="宋体" w:cs="宋体"/>
          <w:bCs/>
          <w:color w:val="auto"/>
          <w:sz w:val="21"/>
          <w:szCs w:val="21"/>
          <w:highlight w:val="none"/>
        </w:rPr>
        <w:t>《主要材料参考品牌一览表》</w:t>
      </w:r>
      <w:r>
        <w:rPr>
          <w:rFonts w:hint="eastAsia" w:hAnsi="宋体" w:cs="宋体"/>
          <w:bCs/>
          <w:color w:val="auto"/>
          <w:sz w:val="21"/>
          <w:szCs w:val="21"/>
          <w:highlight w:val="none"/>
        </w:rPr>
        <w:t>可参考选用《深圳市建筑工务署材料设备参考品牌库》，也可选用发包人拟定的品牌库，见专用条款附件十一</w:t>
      </w:r>
      <w:r>
        <w:rPr>
          <w:rFonts w:hAnsi="宋体" w:cs="宋体"/>
          <w:bCs/>
          <w:color w:val="auto"/>
          <w:sz w:val="21"/>
          <w:szCs w:val="21"/>
          <w:highlight w:val="none"/>
        </w:rPr>
        <w:t>。</w:t>
      </w:r>
    </w:p>
    <w:p>
      <w:pPr>
        <w:adjustRightInd w:val="0"/>
        <w:snapToGrid w:val="0"/>
        <w:spacing w:line="360" w:lineRule="auto"/>
        <w:ind w:firstLine="420" w:firstLineChars="200"/>
        <w:jc w:val="left"/>
        <w:rPr>
          <w:rFonts w:ascii="宋体" w:hAnsi="宋体" w:cs="宋体"/>
          <w:color w:val="auto"/>
          <w:szCs w:val="21"/>
          <w:highlight w:val="none"/>
        </w:rPr>
      </w:pPr>
    </w:p>
    <w:p>
      <w:pPr>
        <w:keepNext/>
        <w:keepLines/>
        <w:spacing w:before="120" w:beforeLines="50" w:after="120" w:afterLines="50" w:line="360" w:lineRule="auto"/>
        <w:outlineLvl w:val="3"/>
        <w:rPr>
          <w:rFonts w:ascii="宋体" w:hAnsi="宋体" w:cs="宋体"/>
          <w:b/>
          <w:bCs/>
          <w:color w:val="auto"/>
          <w:sz w:val="24"/>
          <w:szCs w:val="24"/>
          <w:highlight w:val="none"/>
        </w:rPr>
      </w:pPr>
      <w:bookmarkStart w:id="6822" w:name="_Toc6791"/>
      <w:bookmarkStart w:id="6823" w:name="_Toc13348"/>
      <w:bookmarkStart w:id="6824" w:name="_Toc19276"/>
      <w:bookmarkStart w:id="6825" w:name="_Toc23586"/>
      <w:bookmarkStart w:id="6826" w:name="_Toc2832"/>
      <w:bookmarkStart w:id="6827" w:name="_Toc8053"/>
      <w:bookmarkStart w:id="6828" w:name="_Toc19984"/>
      <w:bookmarkStart w:id="6829" w:name="_Toc14902"/>
      <w:bookmarkStart w:id="6830" w:name="_Toc18327"/>
      <w:bookmarkStart w:id="6831" w:name="_Toc28375"/>
      <w:bookmarkStart w:id="6832" w:name="_Toc6808"/>
      <w:bookmarkStart w:id="6833" w:name="_Toc73"/>
      <w:bookmarkStart w:id="6834" w:name="_Toc22654"/>
      <w:bookmarkStart w:id="6835" w:name="_Toc517532302"/>
      <w:bookmarkStart w:id="6836" w:name="_Toc15330"/>
      <w:bookmarkStart w:id="6837" w:name="_Toc2192"/>
      <w:bookmarkStart w:id="6838" w:name="_Toc15699"/>
      <w:bookmarkStart w:id="6839" w:name="_Toc517531026"/>
      <w:bookmarkStart w:id="6840" w:name="_Toc6097"/>
      <w:bookmarkStart w:id="6841" w:name="_Toc26351"/>
      <w:r>
        <w:rPr>
          <w:rFonts w:hint="eastAsia" w:ascii="宋体" w:hAnsi="宋体" w:cs="宋体"/>
          <w:b/>
          <w:bCs/>
          <w:color w:val="auto"/>
          <w:sz w:val="24"/>
          <w:szCs w:val="24"/>
          <w:highlight w:val="none"/>
        </w:rPr>
        <w:t>□8.1.5为发包人提供交通设施服务</w:t>
      </w:r>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p>
    <w:p>
      <w:pPr>
        <w:adjustRightInd w:val="0"/>
        <w:snapToGrid w:val="0"/>
        <w:spacing w:line="360" w:lineRule="auto"/>
        <w:ind w:firstLine="570"/>
        <w:jc w:val="left"/>
        <w:rPr>
          <w:rFonts w:ascii="宋体" w:hAnsi="宋体" w:cs="宋体"/>
          <w:color w:val="auto"/>
          <w:szCs w:val="21"/>
          <w:highlight w:val="none"/>
          <w:u w:val="single"/>
        </w:rPr>
      </w:pPr>
      <w:r>
        <w:rPr>
          <w:rFonts w:hint="eastAsia" w:ascii="宋体" w:hAnsi="宋体" w:cs="宋体"/>
          <w:color w:val="auto"/>
          <w:szCs w:val="21"/>
          <w:highlight w:val="none"/>
        </w:rPr>
        <w:t>(a)为解决发包人管理人员前往工程现场的交通问题，由承包人提供车辆供发包人使用，承包人应在合同签订之日起十五天内将车辆交发包人。</w:t>
      </w:r>
    </w:p>
    <w:p>
      <w:pPr>
        <w:adjustRightInd w:val="0"/>
        <w:snapToGrid w:val="0"/>
        <w:spacing w:line="360" w:lineRule="auto"/>
        <w:ind w:firstLine="570"/>
        <w:jc w:val="left"/>
        <w:rPr>
          <w:rFonts w:ascii="宋体" w:hAnsi="宋体" w:cs="宋体"/>
          <w:color w:val="auto"/>
          <w:szCs w:val="21"/>
          <w:highlight w:val="none"/>
        </w:rPr>
      </w:pPr>
      <w:r>
        <w:rPr>
          <w:rFonts w:hint="eastAsia" w:ascii="宋体" w:hAnsi="宋体" w:cs="宋体"/>
          <w:color w:val="auto"/>
          <w:szCs w:val="21"/>
          <w:highlight w:val="none"/>
        </w:rPr>
        <w:t>车辆使用期限为：合同签订之日起</w:t>
      </w:r>
      <w:r>
        <w:rPr>
          <w:rFonts w:ascii="宋体" w:hAnsi="宋体" w:cs="宋体"/>
          <w:color w:val="auto"/>
          <w:szCs w:val="21"/>
          <w:highlight w:val="none"/>
          <w:u w:val="single"/>
        </w:rPr>
        <w:t xml:space="preserve">    </w:t>
      </w:r>
      <w:r>
        <w:rPr>
          <w:rFonts w:hint="eastAsia" w:ascii="宋体" w:hAnsi="宋体" w:cs="宋体"/>
          <w:color w:val="auto"/>
          <w:szCs w:val="21"/>
          <w:highlight w:val="none"/>
        </w:rPr>
        <w:t>天内起至合同工程竣工结算完成后3个月（最长不超过项目竣工后2年）为止，如整项工程的竣工以分段形式及以分段竣工证书确认，使用期以最后的分段竣工证书日期为准。在使用期限内，车辆所有权归承包人，发包人拥有车辆的使用权并承担保管责任；使用期后，车辆将归还予承包人。</w:t>
      </w:r>
    </w:p>
    <w:p>
      <w:pPr>
        <w:adjustRightInd w:val="0"/>
        <w:snapToGrid w:val="0"/>
        <w:spacing w:line="360" w:lineRule="auto"/>
        <w:ind w:firstLine="570"/>
        <w:jc w:val="left"/>
        <w:rPr>
          <w:rFonts w:ascii="宋体" w:hAnsi="宋体" w:cs="宋体"/>
          <w:color w:val="auto"/>
          <w:szCs w:val="21"/>
          <w:highlight w:val="none"/>
        </w:rPr>
      </w:pPr>
      <w:r>
        <w:rPr>
          <w:rFonts w:hint="eastAsia" w:ascii="宋体" w:hAnsi="宋体" w:cs="宋体"/>
          <w:color w:val="auto"/>
          <w:szCs w:val="21"/>
          <w:highlight w:val="none"/>
        </w:rPr>
        <w:t>(b)车辆须符合以下要求：</w:t>
      </w:r>
    </w:p>
    <w:p>
      <w:pPr>
        <w:adjustRightInd w:val="0"/>
        <w:snapToGrid w:val="0"/>
        <w:spacing w:line="360" w:lineRule="auto"/>
        <w:ind w:firstLine="570"/>
        <w:jc w:val="left"/>
        <w:rPr>
          <w:rFonts w:ascii="宋体" w:hAnsi="宋体" w:cs="宋体"/>
          <w:color w:val="auto"/>
          <w:szCs w:val="21"/>
          <w:highlight w:val="none"/>
        </w:rPr>
      </w:pPr>
      <w:r>
        <w:rPr>
          <w:rFonts w:hint="eastAsia" w:ascii="宋体" w:hAnsi="宋体" w:cs="宋体"/>
          <w:color w:val="auto"/>
          <w:szCs w:val="21"/>
          <w:highlight w:val="none"/>
        </w:rPr>
        <w:t>越野车，车况良好；</w:t>
      </w:r>
    </w:p>
    <w:p>
      <w:pPr>
        <w:adjustRightInd w:val="0"/>
        <w:snapToGrid w:val="0"/>
        <w:spacing w:line="360" w:lineRule="auto"/>
        <w:ind w:firstLine="570"/>
        <w:jc w:val="left"/>
        <w:rPr>
          <w:rFonts w:ascii="宋体" w:hAnsi="宋体" w:cs="宋体"/>
          <w:color w:val="auto"/>
          <w:szCs w:val="21"/>
          <w:highlight w:val="none"/>
        </w:rPr>
      </w:pPr>
      <w:r>
        <w:rPr>
          <w:rFonts w:hint="eastAsia" w:ascii="宋体" w:hAnsi="宋体" w:cs="宋体"/>
          <w:color w:val="auto"/>
          <w:szCs w:val="21"/>
          <w:highlight w:val="none"/>
        </w:rPr>
        <w:t>车身价不低于16万元；</w:t>
      </w:r>
    </w:p>
    <w:p>
      <w:pPr>
        <w:adjustRightInd w:val="0"/>
        <w:snapToGrid w:val="0"/>
        <w:spacing w:line="360" w:lineRule="auto"/>
        <w:ind w:firstLine="570"/>
        <w:jc w:val="left"/>
        <w:rPr>
          <w:rFonts w:ascii="宋体" w:hAnsi="宋体" w:cs="宋体"/>
          <w:color w:val="auto"/>
          <w:szCs w:val="21"/>
          <w:highlight w:val="none"/>
        </w:rPr>
      </w:pPr>
      <w:r>
        <w:rPr>
          <w:rFonts w:hint="eastAsia" w:ascii="宋体" w:hAnsi="宋体" w:cs="宋体"/>
          <w:color w:val="auto"/>
          <w:szCs w:val="21"/>
          <w:highlight w:val="none"/>
        </w:rPr>
        <w:t>旧车使用年限不超过2年。</w:t>
      </w:r>
    </w:p>
    <w:p>
      <w:pPr>
        <w:adjustRightInd w:val="0"/>
        <w:snapToGrid w:val="0"/>
        <w:spacing w:line="360" w:lineRule="auto"/>
        <w:ind w:firstLine="570"/>
        <w:jc w:val="left"/>
        <w:rPr>
          <w:rFonts w:ascii="宋体" w:hAnsi="宋体" w:cs="宋体"/>
          <w:color w:val="auto"/>
          <w:szCs w:val="21"/>
          <w:highlight w:val="none"/>
        </w:rPr>
      </w:pPr>
      <w:r>
        <w:rPr>
          <w:rFonts w:hint="eastAsia" w:ascii="宋体" w:hAnsi="宋体" w:cs="宋体"/>
          <w:color w:val="auto"/>
          <w:szCs w:val="21"/>
          <w:highlight w:val="none"/>
        </w:rPr>
        <w:t>(c)车辆牌照及保险：</w:t>
      </w:r>
    </w:p>
    <w:p>
      <w:pPr>
        <w:adjustRightInd w:val="0"/>
        <w:snapToGrid w:val="0"/>
        <w:spacing w:line="360" w:lineRule="auto"/>
        <w:ind w:firstLine="570"/>
        <w:jc w:val="left"/>
        <w:rPr>
          <w:rFonts w:ascii="宋体" w:hAnsi="宋体" w:cs="宋体"/>
          <w:color w:val="auto"/>
          <w:szCs w:val="21"/>
          <w:highlight w:val="none"/>
        </w:rPr>
      </w:pPr>
      <w:r>
        <w:rPr>
          <w:rFonts w:hint="eastAsia" w:ascii="宋体" w:hAnsi="宋体" w:cs="宋体"/>
          <w:color w:val="auto"/>
          <w:szCs w:val="21"/>
          <w:highlight w:val="none"/>
        </w:rPr>
        <w:t>①深圳牌照；</w:t>
      </w:r>
    </w:p>
    <w:p>
      <w:pPr>
        <w:adjustRightInd w:val="0"/>
        <w:snapToGrid w:val="0"/>
        <w:spacing w:line="360" w:lineRule="auto"/>
        <w:ind w:firstLine="570"/>
        <w:jc w:val="left"/>
        <w:rPr>
          <w:rFonts w:ascii="宋体" w:hAnsi="宋体" w:cs="宋体"/>
          <w:color w:val="auto"/>
          <w:szCs w:val="21"/>
          <w:highlight w:val="none"/>
        </w:rPr>
      </w:pPr>
      <w:r>
        <w:rPr>
          <w:rFonts w:hint="eastAsia" w:ascii="宋体" w:hAnsi="宋体" w:cs="宋体"/>
          <w:color w:val="auto"/>
          <w:szCs w:val="21"/>
          <w:highlight w:val="none"/>
        </w:rPr>
        <w:t>②承包方须为该车辆购买全保，同时第三者责任险保额不低于50万元。</w:t>
      </w:r>
    </w:p>
    <w:p>
      <w:pPr>
        <w:adjustRightInd w:val="0"/>
        <w:snapToGrid w:val="0"/>
        <w:spacing w:line="360" w:lineRule="auto"/>
        <w:ind w:firstLine="570"/>
        <w:jc w:val="left"/>
        <w:rPr>
          <w:rFonts w:ascii="宋体" w:hAnsi="宋体" w:cs="宋体"/>
          <w:color w:val="auto"/>
          <w:szCs w:val="21"/>
          <w:highlight w:val="none"/>
        </w:rPr>
      </w:pPr>
      <w:r>
        <w:rPr>
          <w:rFonts w:hint="eastAsia" w:ascii="宋体" w:hAnsi="宋体" w:cs="宋体"/>
          <w:color w:val="auto"/>
          <w:szCs w:val="21"/>
          <w:highlight w:val="none"/>
        </w:rPr>
        <w:t>(d)车辆经费及保养：</w:t>
      </w:r>
    </w:p>
    <w:p>
      <w:pPr>
        <w:adjustRightInd w:val="0"/>
        <w:snapToGrid w:val="0"/>
        <w:spacing w:line="360" w:lineRule="auto"/>
        <w:ind w:firstLine="570"/>
        <w:jc w:val="left"/>
        <w:rPr>
          <w:rFonts w:ascii="宋体" w:hAnsi="宋体" w:cs="宋体"/>
          <w:color w:val="auto"/>
          <w:szCs w:val="21"/>
          <w:highlight w:val="none"/>
        </w:rPr>
      </w:pPr>
      <w:r>
        <w:rPr>
          <w:rFonts w:hint="eastAsia" w:ascii="宋体" w:hAnsi="宋体" w:cs="宋体"/>
          <w:color w:val="auto"/>
          <w:szCs w:val="21"/>
          <w:highlight w:val="none"/>
        </w:rPr>
        <w:t>车辆使用期间的油料、养路费、GPS防盗安装费、服务费、保养及维修费、停车费等其他杂费，由承包人负责。承包人需在收到有效报销凭据后7日内办理报销。</w:t>
      </w:r>
    </w:p>
    <w:p>
      <w:pPr>
        <w:keepNext/>
        <w:keepLines/>
        <w:spacing w:before="120" w:beforeLines="50" w:after="120" w:afterLines="50" w:line="360" w:lineRule="auto"/>
        <w:ind w:left="562"/>
        <w:outlineLvl w:val="2"/>
        <w:rPr>
          <w:rFonts w:ascii="宋体" w:hAnsi="宋体" w:cs="宋体"/>
          <w:b/>
          <w:bCs/>
          <w:color w:val="auto"/>
          <w:sz w:val="28"/>
          <w:szCs w:val="28"/>
          <w:highlight w:val="none"/>
        </w:rPr>
      </w:pPr>
      <w:bookmarkStart w:id="6842" w:name="_Toc32435"/>
      <w:bookmarkStart w:id="6843" w:name="_Toc20538"/>
      <w:bookmarkStart w:id="6844" w:name="_Toc28422"/>
      <w:bookmarkStart w:id="6845" w:name="_Toc517528796"/>
      <w:bookmarkStart w:id="6846" w:name="_Toc10012"/>
      <w:bookmarkStart w:id="6847" w:name="_Toc31053"/>
      <w:bookmarkStart w:id="6848" w:name="_Toc7013"/>
      <w:bookmarkStart w:id="6849" w:name="_Toc31706"/>
      <w:bookmarkStart w:id="6850" w:name="_Toc27021"/>
      <w:bookmarkStart w:id="6851" w:name="_Toc22969"/>
      <w:bookmarkStart w:id="6852" w:name="_Toc517532303"/>
      <w:bookmarkStart w:id="6853" w:name="_Toc2968"/>
      <w:bookmarkStart w:id="6854" w:name="_Toc32027"/>
      <w:bookmarkStart w:id="6855" w:name="_Toc5323"/>
      <w:bookmarkStart w:id="6856" w:name="_Toc22820"/>
      <w:bookmarkStart w:id="6857" w:name="_Toc17202"/>
      <w:bookmarkStart w:id="6858" w:name="_Toc69114087"/>
      <w:bookmarkStart w:id="6859" w:name="_Toc11559"/>
      <w:bookmarkStart w:id="6860" w:name="_Toc465237155"/>
      <w:bookmarkStart w:id="6861" w:name="_Toc25724"/>
      <w:bookmarkStart w:id="6862" w:name="_Toc465237257"/>
      <w:bookmarkStart w:id="6863" w:name="_Toc26479"/>
      <w:bookmarkStart w:id="6864" w:name="_Toc517531027"/>
      <w:bookmarkStart w:id="6865" w:name="_Toc6695"/>
      <w:r>
        <w:rPr>
          <w:rFonts w:hint="eastAsia" w:ascii="宋体" w:hAnsi="宋体" w:cs="宋体"/>
          <w:b/>
          <w:bCs/>
          <w:color w:val="auto"/>
          <w:sz w:val="28"/>
          <w:szCs w:val="28"/>
          <w:highlight w:val="none"/>
        </w:rPr>
        <w:t>8.2材料与工程设备的保管与使用</w:t>
      </w:r>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p>
    <w:p>
      <w:pPr>
        <w:keepNext/>
        <w:keepLines/>
        <w:spacing w:before="120" w:beforeLines="50" w:after="120" w:afterLines="50" w:line="360" w:lineRule="auto"/>
        <w:outlineLvl w:val="3"/>
        <w:rPr>
          <w:rFonts w:ascii="宋体" w:hAnsi="宋体" w:cs="宋体"/>
          <w:b/>
          <w:bCs/>
          <w:color w:val="auto"/>
          <w:sz w:val="24"/>
          <w:szCs w:val="24"/>
          <w:highlight w:val="none"/>
        </w:rPr>
      </w:pPr>
      <w:bookmarkStart w:id="6866" w:name="_Toc20717"/>
      <w:bookmarkStart w:id="6867" w:name="_Toc19889"/>
      <w:bookmarkStart w:id="6868" w:name="_Toc27461"/>
      <w:bookmarkStart w:id="6869" w:name="_Toc2526"/>
      <w:bookmarkStart w:id="6870" w:name="_Toc24517"/>
      <w:bookmarkStart w:id="6871" w:name="_Toc23013"/>
      <w:bookmarkStart w:id="6872" w:name="_Toc7009"/>
      <w:bookmarkStart w:id="6873" w:name="_Toc7984"/>
      <w:bookmarkStart w:id="6874" w:name="_Toc20957"/>
      <w:bookmarkStart w:id="6875" w:name="_Toc21974"/>
      <w:bookmarkStart w:id="6876" w:name="_Toc18442"/>
      <w:bookmarkStart w:id="6877" w:name="_Toc6048"/>
      <w:bookmarkStart w:id="6878" w:name="_Toc2738"/>
      <w:bookmarkStart w:id="6879" w:name="_Toc8663"/>
      <w:bookmarkStart w:id="6880" w:name="_Toc517532304"/>
      <w:bookmarkStart w:id="6881" w:name="_Toc1176"/>
      <w:bookmarkStart w:id="6882" w:name="_Toc2578"/>
      <w:bookmarkStart w:id="6883" w:name="_Toc26851"/>
      <w:bookmarkStart w:id="6884" w:name="_Toc19015"/>
      <w:bookmarkStart w:id="6885" w:name="_Toc517531028"/>
      <w:r>
        <w:rPr>
          <w:rFonts w:ascii="宋体" w:hAnsi="宋体" w:cs="宋体"/>
          <w:b/>
          <w:color w:val="auto"/>
          <w:sz w:val="24"/>
          <w:szCs w:val="24"/>
          <w:highlight w:val="none"/>
        </w:rPr>
        <w:sym w:font="Wingdings" w:char="F0A8"/>
      </w:r>
      <w:r>
        <w:rPr>
          <w:rFonts w:hint="eastAsia" w:ascii="宋体" w:hAnsi="宋体" w:cs="宋体"/>
          <w:b/>
          <w:bCs/>
          <w:color w:val="auto"/>
          <w:sz w:val="24"/>
          <w:szCs w:val="24"/>
          <w:highlight w:val="none"/>
        </w:rPr>
        <w:t>8.2.</w:t>
      </w:r>
      <w:bookmarkEnd w:id="6866"/>
      <w:bookmarkEnd w:id="6867"/>
      <w:bookmarkEnd w:id="6868"/>
      <w:bookmarkEnd w:id="6869"/>
      <w:bookmarkEnd w:id="6870"/>
      <w:bookmarkEnd w:id="6871"/>
      <w:bookmarkEnd w:id="6872"/>
      <w:bookmarkEnd w:id="6873"/>
      <w:bookmarkEnd w:id="6874"/>
      <w:r>
        <w:rPr>
          <w:rFonts w:hint="eastAsia" w:ascii="宋体" w:hAnsi="宋体" w:cs="宋体"/>
          <w:b/>
          <w:bCs/>
          <w:color w:val="auto"/>
          <w:sz w:val="24"/>
          <w:szCs w:val="24"/>
          <w:highlight w:val="none"/>
        </w:rPr>
        <w:t>2承包人在设备、材料管理的责任</w:t>
      </w:r>
      <w:bookmarkEnd w:id="6875"/>
      <w:bookmarkEnd w:id="6876"/>
      <w:bookmarkEnd w:id="6877"/>
      <w:bookmarkEnd w:id="6878"/>
      <w:bookmarkEnd w:id="6879"/>
      <w:bookmarkEnd w:id="6880"/>
      <w:bookmarkEnd w:id="6881"/>
      <w:bookmarkEnd w:id="6882"/>
      <w:bookmarkEnd w:id="6883"/>
      <w:bookmarkEnd w:id="6884"/>
      <w:bookmarkEnd w:id="6885"/>
    </w:p>
    <w:p>
      <w:pPr>
        <w:spacing w:line="360" w:lineRule="auto"/>
        <w:ind w:firstLine="420" w:firstLineChars="200"/>
        <w:rPr>
          <w:rFonts w:ascii="宋体" w:hAnsi="宋体" w:cs="宋体"/>
          <w:color w:val="auto"/>
          <w:szCs w:val="21"/>
          <w:highlight w:val="none"/>
        </w:rPr>
      </w:pPr>
      <w:r>
        <w:rPr>
          <w:rFonts w:hint="eastAsia" w:ascii="宋体" w:hAnsi="宋体" w:cs="宋体"/>
          <w:bCs/>
          <w:color w:val="auto"/>
          <w:kern w:val="0"/>
          <w:szCs w:val="21"/>
          <w:highlight w:val="none"/>
        </w:rPr>
        <w:t>根据工程实际，部分材料或设备（如等）拆除后需要保留利用的，承包人施工时应对材料或设备进行保护性拆除，同时将拆下来的材料或设备采取相应措施妥善保管，保证材料或设备的正常安装和使用。若承包人拆除或保管不当造成损坏引起费用增加，由承包人自行承担。</w:t>
      </w:r>
    </w:p>
    <w:p>
      <w:pPr>
        <w:keepNext/>
        <w:keepLines/>
        <w:spacing w:before="120" w:beforeLines="50" w:after="120" w:afterLines="50" w:line="360" w:lineRule="auto"/>
        <w:ind w:firstLine="600" w:firstLineChars="200"/>
        <w:outlineLvl w:val="1"/>
        <w:rPr>
          <w:rFonts w:ascii="宋体" w:hAnsi="宋体" w:cs="宋体"/>
          <w:b/>
          <w:bCs/>
          <w:color w:val="auto"/>
          <w:sz w:val="30"/>
          <w:szCs w:val="30"/>
          <w:highlight w:val="none"/>
        </w:rPr>
      </w:pPr>
      <w:bookmarkStart w:id="6886" w:name="_Toc302"/>
      <w:bookmarkStart w:id="6887" w:name="_Toc29078"/>
      <w:bookmarkStart w:id="6888" w:name="_Toc517532305"/>
      <w:bookmarkStart w:id="6889" w:name="_Toc851"/>
      <w:bookmarkStart w:id="6890" w:name="_Toc30610"/>
      <w:bookmarkStart w:id="6891" w:name="_Toc30693"/>
      <w:bookmarkStart w:id="6892" w:name="_Toc69114088"/>
      <w:bookmarkStart w:id="6893" w:name="_Toc15688"/>
      <w:bookmarkStart w:id="6894" w:name="_Toc517529764"/>
      <w:bookmarkStart w:id="6895" w:name="_Toc31525"/>
      <w:bookmarkStart w:id="6896" w:name="_Toc23670"/>
      <w:bookmarkStart w:id="6897" w:name="_Toc26962"/>
      <w:bookmarkStart w:id="6898" w:name="_Toc30312"/>
      <w:bookmarkStart w:id="6899" w:name="_Toc20311"/>
      <w:bookmarkStart w:id="6900" w:name="_Toc31195"/>
      <w:bookmarkStart w:id="6901" w:name="_Toc517531029"/>
      <w:bookmarkStart w:id="6902" w:name="_Toc29942"/>
      <w:bookmarkStart w:id="6903" w:name="_Toc517528797"/>
      <w:bookmarkStart w:id="6904" w:name="_Toc6279"/>
      <w:bookmarkStart w:id="6905" w:name="_Toc20281"/>
      <w:bookmarkStart w:id="6906" w:name="_Toc14731"/>
      <w:bookmarkStart w:id="6907" w:name="_Toc465237258"/>
      <w:bookmarkStart w:id="6908" w:name="_Toc24195"/>
      <w:bookmarkStart w:id="6909" w:name="_Toc465237156"/>
      <w:bookmarkStart w:id="6910" w:name="_Toc19061"/>
      <w:bookmarkStart w:id="6911" w:name="_Toc296346669"/>
      <w:bookmarkStart w:id="6912" w:name="_Toc297048354"/>
      <w:bookmarkStart w:id="6913" w:name="_Toc318581173"/>
      <w:bookmarkStart w:id="6914" w:name="_Toc280868656"/>
      <w:bookmarkStart w:id="6915" w:name="_Toc267251424"/>
      <w:bookmarkStart w:id="6916" w:name="_Toc297123528"/>
      <w:bookmarkStart w:id="6917" w:name="_Toc297216187"/>
      <w:bookmarkStart w:id="6918" w:name="_Toc296503168"/>
      <w:bookmarkStart w:id="6919" w:name="_Toc296347167"/>
      <w:bookmarkStart w:id="6920" w:name="_Toc312677494"/>
      <w:bookmarkStart w:id="6921" w:name="_Toc297120468"/>
      <w:bookmarkStart w:id="6922" w:name="_Toc296944507"/>
      <w:bookmarkStart w:id="6923" w:name="_Toc280868655"/>
      <w:bookmarkStart w:id="6924" w:name="_Toc312678020"/>
      <w:bookmarkStart w:id="6925" w:name="_Toc296890996"/>
      <w:bookmarkStart w:id="6926" w:name="_Toc296891208"/>
      <w:bookmarkStart w:id="6927" w:name="_Toc300934980"/>
      <w:bookmarkStart w:id="6928" w:name="_Toc303539137"/>
      <w:bookmarkStart w:id="6929" w:name="_Toc304295557"/>
      <w:r>
        <w:rPr>
          <w:rFonts w:hint="eastAsia" w:ascii="宋体" w:hAnsi="宋体" w:cs="宋体"/>
          <w:b/>
          <w:bCs/>
          <w:color w:val="auto"/>
          <w:sz w:val="30"/>
          <w:szCs w:val="30"/>
          <w:highlight w:val="none"/>
        </w:rPr>
        <w:t>9. 试验与检验</w:t>
      </w:r>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p>
    <w:p>
      <w:pPr>
        <w:keepNext/>
        <w:keepLines/>
        <w:spacing w:before="120" w:beforeLines="50" w:after="120" w:afterLines="50" w:line="360" w:lineRule="auto"/>
        <w:ind w:firstLine="562"/>
        <w:outlineLvl w:val="2"/>
        <w:rPr>
          <w:rFonts w:ascii="宋体" w:hAnsi="宋体" w:cs="宋体"/>
          <w:b/>
          <w:bCs/>
          <w:color w:val="auto"/>
          <w:sz w:val="28"/>
          <w:szCs w:val="28"/>
          <w:highlight w:val="none"/>
        </w:rPr>
      </w:pPr>
      <w:bookmarkStart w:id="6930" w:name="_Toc69114089"/>
      <w:bookmarkStart w:id="6931" w:name="_Toc16930"/>
      <w:bookmarkStart w:id="6932" w:name="_Toc106"/>
      <w:bookmarkStart w:id="6933" w:name="_Toc29494"/>
      <w:bookmarkStart w:id="6934" w:name="_Toc13746"/>
      <w:bookmarkStart w:id="6935" w:name="_Toc11657"/>
      <w:bookmarkStart w:id="6936" w:name="_Toc7629"/>
      <w:bookmarkStart w:id="6937" w:name="_Toc26137"/>
      <w:bookmarkStart w:id="6938" w:name="_Toc32362"/>
      <w:bookmarkStart w:id="6939" w:name="_Toc517528798"/>
      <w:bookmarkStart w:id="6940" w:name="_Toc16601"/>
      <w:bookmarkStart w:id="6941" w:name="_Toc10262"/>
      <w:bookmarkStart w:id="6942" w:name="_Toc2926"/>
      <w:bookmarkStart w:id="6943" w:name="_Toc28366"/>
      <w:bookmarkStart w:id="6944" w:name="_Toc517532306"/>
      <w:bookmarkStart w:id="6945" w:name="_Toc38"/>
      <w:bookmarkStart w:id="6946" w:name="_Toc30908"/>
      <w:bookmarkStart w:id="6947" w:name="_Toc18808"/>
      <w:bookmarkStart w:id="6948" w:name="_Toc517531030"/>
      <w:r>
        <w:rPr>
          <w:rFonts w:hint="eastAsia" w:ascii="宋体" w:hAnsi="宋体" w:cs="宋体"/>
          <w:b/>
          <w:bCs/>
          <w:color w:val="auto"/>
          <w:sz w:val="28"/>
          <w:szCs w:val="28"/>
          <w:highlight w:val="none"/>
        </w:rPr>
        <w:t>9.6检验费用</w:t>
      </w:r>
      <w:bookmarkEnd w:id="6930"/>
    </w:p>
    <w:p>
      <w:pPr>
        <w:keepNext/>
        <w:keepLines/>
        <w:spacing w:before="120" w:beforeLines="50" w:after="120" w:afterLines="50" w:line="360" w:lineRule="auto"/>
        <w:ind w:firstLine="728"/>
        <w:outlineLvl w:val="3"/>
        <w:rPr>
          <w:rFonts w:ascii="宋体" w:hAnsi="宋体" w:cs="宋体"/>
          <w:b/>
          <w:bCs/>
          <w:color w:val="auto"/>
          <w:sz w:val="24"/>
          <w:szCs w:val="24"/>
          <w:highlight w:val="none"/>
        </w:rPr>
      </w:pPr>
      <w:r>
        <w:rPr>
          <w:rFonts w:hint="eastAsia" w:ascii="宋体" w:hAnsi="宋体" w:cs="宋体"/>
          <w:b/>
          <w:bCs/>
          <w:color w:val="auto"/>
          <w:sz w:val="24"/>
          <w:szCs w:val="24"/>
          <w:highlight w:val="none"/>
        </w:rPr>
        <w:t>9.6.1有约定的检验费用</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根据《关于进一步加强深圳市房屋建筑和市政基础设施工程质量检测监管工作的通知》（深建质安〔2019〕83号），发包人委托本项目第三方检测单位，承担按各类验收规范规定的见证送检及专项检测的检测费用；监理人具体负责现场见证送检及专项送检的实施；承包人负责建立标准养护室，按规程制作试块并养护，其他试验样品的取样或提供等，并自行承担相应的费用。</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承包人按相关规定对项目所用材料设备进行自检，由承包人自身或委托检测单位进行自检，自检费用由承包人承担，但自检报告不作为本项目验收依据。</w:t>
      </w:r>
    </w:p>
    <w:p>
      <w:pPr>
        <w:keepNext/>
        <w:keepLines/>
        <w:spacing w:before="120" w:beforeLines="50" w:after="120" w:afterLines="50" w:line="360" w:lineRule="auto"/>
        <w:ind w:firstLine="728"/>
        <w:outlineLvl w:val="3"/>
        <w:rPr>
          <w:rFonts w:ascii="宋体" w:hAnsi="宋体" w:cs="宋体"/>
          <w:b/>
          <w:bCs/>
          <w:color w:val="auto"/>
          <w:sz w:val="24"/>
          <w:szCs w:val="24"/>
          <w:highlight w:val="none"/>
        </w:rPr>
      </w:pPr>
      <w:r>
        <w:rPr>
          <w:rFonts w:hint="eastAsia" w:ascii="宋体" w:hAnsi="宋体" w:cs="宋体"/>
          <w:b/>
          <w:bCs/>
          <w:color w:val="auto"/>
          <w:sz w:val="24"/>
          <w:szCs w:val="24"/>
          <w:highlight w:val="none"/>
        </w:rPr>
        <w:t>9.6.2未约定的检验费用</w:t>
      </w:r>
    </w:p>
    <w:p>
      <w:pPr>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p>
    <w:p>
      <w:pPr>
        <w:keepNext/>
        <w:keepLines/>
        <w:spacing w:before="120" w:beforeLines="50" w:after="120" w:afterLines="50" w:line="360" w:lineRule="auto"/>
        <w:ind w:left="562"/>
        <w:outlineLvl w:val="2"/>
        <w:rPr>
          <w:rFonts w:ascii="宋体" w:hAnsi="宋体" w:cs="宋体"/>
          <w:b/>
          <w:bCs/>
          <w:color w:val="auto"/>
          <w:sz w:val="28"/>
          <w:szCs w:val="28"/>
          <w:highlight w:val="none"/>
        </w:rPr>
      </w:pPr>
      <w:bookmarkStart w:id="6949" w:name="_Toc69114090"/>
      <w:r>
        <w:rPr>
          <w:rFonts w:hint="eastAsia" w:ascii="宋体" w:hAnsi="宋体" w:cs="宋体"/>
          <w:b/>
          <w:bCs/>
          <w:color w:val="auto"/>
          <w:sz w:val="28"/>
          <w:szCs w:val="28"/>
          <w:highlight w:val="none"/>
        </w:rPr>
        <w:t>9.7样品</w:t>
      </w:r>
      <w:bookmarkEnd w:id="6906"/>
      <w:bookmarkEnd w:id="6907"/>
      <w:bookmarkEnd w:id="6908"/>
      <w:bookmarkEnd w:id="6909"/>
      <w:bookmarkEnd w:id="691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p>
    <w:p>
      <w:pPr>
        <w:keepNext/>
        <w:keepLines/>
        <w:spacing w:before="120" w:beforeLines="50" w:after="120" w:afterLines="50" w:line="360" w:lineRule="auto"/>
        <w:outlineLvl w:val="3"/>
        <w:rPr>
          <w:rFonts w:ascii="宋体" w:hAnsi="宋体" w:cs="宋体"/>
          <w:b/>
          <w:bCs/>
          <w:color w:val="auto"/>
          <w:sz w:val="24"/>
          <w:szCs w:val="24"/>
          <w:highlight w:val="none"/>
        </w:rPr>
      </w:pPr>
      <w:bookmarkStart w:id="6950" w:name="_Toc31483"/>
      <w:bookmarkStart w:id="6951" w:name="_Toc4883"/>
      <w:bookmarkStart w:id="6952" w:name="_Toc517531031"/>
      <w:bookmarkStart w:id="6953" w:name="_Toc20604"/>
      <w:bookmarkStart w:id="6954" w:name="_Toc31362"/>
      <w:bookmarkStart w:id="6955" w:name="_Toc30745"/>
      <w:bookmarkStart w:id="6956" w:name="_Toc22799"/>
      <w:bookmarkStart w:id="6957" w:name="_Toc23898"/>
      <w:bookmarkStart w:id="6958" w:name="_Toc22634"/>
      <w:bookmarkStart w:id="6959" w:name="_Toc11093"/>
      <w:bookmarkStart w:id="6960" w:name="_Toc2161"/>
      <w:bookmarkStart w:id="6961" w:name="_Toc5895"/>
      <w:bookmarkStart w:id="6962" w:name="_Toc26367"/>
      <w:bookmarkStart w:id="6963" w:name="_Toc2181"/>
      <w:bookmarkStart w:id="6964" w:name="_Toc27589"/>
      <w:bookmarkStart w:id="6965" w:name="_Toc15591"/>
      <w:bookmarkStart w:id="6966" w:name="_Toc15360"/>
      <w:bookmarkStart w:id="6967" w:name="_Toc517532307"/>
      <w:bookmarkStart w:id="6968" w:name="_Toc2586"/>
      <w:bookmarkStart w:id="6969" w:name="_Toc18592"/>
      <w:r>
        <w:rPr>
          <w:rFonts w:hint="eastAsia" w:ascii="宋体" w:hAnsi="宋体" w:cs="宋体"/>
          <w:b/>
          <w:bCs/>
          <w:color w:val="auto"/>
          <w:sz w:val="24"/>
          <w:szCs w:val="24"/>
          <w:highlight w:val="none"/>
        </w:rPr>
        <w:t>9.7.1施工样板</w:t>
      </w:r>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根据需要，发包人可要求承包人制作施工样板。承包人制作的样板，经发包人检验合格后，由发包人、承包人双方封存。样板作为发包人竣工验收的实物标准。制作样板的全部费用，由承包人承担。</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承包人报价时提供的样板，由发包人、承包人双方封存，作为发包人竣工验收的实物标准。</w:t>
      </w:r>
    </w:p>
    <w:p>
      <w:pPr>
        <w:autoSpaceDE w:val="0"/>
        <w:autoSpaceDN w:val="0"/>
        <w:adjustRightIn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承包人需要使用代用材料时，材料品质和标准、性能不能低于被代用材料，且须经发包人认可后才能使用，超出部分费用由承包人承担。</w:t>
      </w:r>
    </w:p>
    <w:p>
      <w:pPr>
        <w:keepNext/>
        <w:keepLines/>
        <w:spacing w:before="120" w:beforeLines="50" w:after="120" w:afterLines="50" w:line="360" w:lineRule="auto"/>
        <w:outlineLvl w:val="3"/>
        <w:rPr>
          <w:rFonts w:ascii="宋体" w:hAnsi="宋体" w:cs="宋体"/>
          <w:b/>
          <w:bCs/>
          <w:color w:val="auto"/>
          <w:sz w:val="24"/>
          <w:szCs w:val="24"/>
          <w:highlight w:val="none"/>
        </w:rPr>
      </w:pPr>
      <w:bookmarkStart w:id="6970" w:name="_Toc13639"/>
      <w:bookmarkStart w:id="6971" w:name="_Toc24703"/>
      <w:bookmarkStart w:id="6972" w:name="_Toc10857"/>
      <w:bookmarkStart w:id="6973" w:name="_Toc19941"/>
      <w:bookmarkStart w:id="6974" w:name="_Toc15396"/>
      <w:bookmarkStart w:id="6975" w:name="_Toc6184"/>
      <w:bookmarkStart w:id="6976" w:name="_Toc26874"/>
      <w:bookmarkStart w:id="6977" w:name="_Toc23033"/>
      <w:bookmarkStart w:id="6978" w:name="_Toc11658"/>
      <w:bookmarkStart w:id="6979" w:name="_Toc22058"/>
      <w:bookmarkStart w:id="6980" w:name="_Toc6335"/>
      <w:bookmarkStart w:id="6981" w:name="_Toc29803"/>
      <w:bookmarkStart w:id="6982" w:name="_Toc23410"/>
      <w:bookmarkStart w:id="6983" w:name="_Toc9347"/>
      <w:bookmarkStart w:id="6984" w:name="_Toc517532308"/>
      <w:bookmarkStart w:id="6985" w:name="_Toc15675"/>
      <w:bookmarkStart w:id="6986" w:name="_Toc517531032"/>
      <w:bookmarkStart w:id="6987" w:name="_Toc31070"/>
      <w:bookmarkStart w:id="6988" w:name="_Toc1846"/>
      <w:bookmarkStart w:id="6989" w:name="_Toc13146"/>
      <w:r>
        <w:rPr>
          <w:rFonts w:hint="eastAsia" w:ascii="宋体" w:hAnsi="宋体" w:cs="宋体"/>
          <w:b/>
          <w:bCs/>
          <w:color w:val="auto"/>
          <w:sz w:val="24"/>
          <w:szCs w:val="24"/>
          <w:highlight w:val="none"/>
        </w:rPr>
        <w:t>9.7.2样板引路制度</w:t>
      </w:r>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为了保证操作工艺的质量，实施实物质量样板引路的办法：</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质量样板引路方案的制定：开工前，承包人要根据工程的特点、施工难点、工序的重点、防治工程质量通病措施等方面的要求，组织参与编制和实施工程施工组织设计和专项施工方案的相关技术管理人员，研究制订工程质量样板引路的工作方案。工作方案内容应包括：工程概况与特点、需制作实物质量样板的工序和部位（含样板间）、制作实物质量样板的技术要点与具体要求、将质量样板用于指导施工和质量验收的具体安排、相关人员的工作职责以及根据工程项目特点所制订的其他内容。工作方案经承包人有关部门批准和送项目总监理工程师批准后实施，并报送发包人。实行专业分包的，分包企业应在施工总承包企业的指导下，制定相关的工程质量样板引路工作方案，经施工总承包企业同意后送项目总监理工程师审批后实施，并报送发包人。</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(b)制作的实物质量样板应符合有关技术规范和施工图设计文件的要求，质量样板需经承包人相关部门（或委托该工程项目技术负责人）复核确认，发包人和监理人同意后方可用于技术交底、岗前培训和质量验收。</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(c)制作房屋建筑工程实物质量样板的工序、部位</w:t>
      </w:r>
    </w:p>
    <w:p>
      <w:pPr>
        <w:adjustRightInd w:val="0"/>
        <w:snapToGrid w:val="0"/>
        <w:spacing w:line="360" w:lineRule="auto"/>
        <w:ind w:firstLine="460" w:firstLineChars="200"/>
        <w:jc w:val="left"/>
        <w:rPr>
          <w:rFonts w:ascii="宋体" w:hAnsi="宋体" w:cs="宋体"/>
          <w:color w:val="auto"/>
          <w:szCs w:val="21"/>
          <w:highlight w:val="none"/>
        </w:rPr>
      </w:pPr>
      <w:r>
        <w:rPr>
          <w:rFonts w:hint="eastAsia" w:hAnsi="宋体"/>
          <w:color w:val="auto"/>
          <w:sz w:val="23"/>
          <w:szCs w:val="23"/>
          <w:highlight w:val="none"/>
        </w:rPr>
        <w:t>□</w:t>
      </w:r>
      <w:r>
        <w:rPr>
          <w:rFonts w:hint="eastAsia" w:ascii="宋体" w:hAnsi="宋体" w:cs="宋体"/>
          <w:color w:val="auto"/>
          <w:szCs w:val="21"/>
          <w:highlight w:val="none"/>
        </w:rPr>
        <w:t>①混凝土结构工程</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柱、剪力墙、梁、板、楼梯等钢筋的制作、安装、固定；</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受力纵筋连接（焊接、机械连接等）外观质量；</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模板安装中支撑体系、安装和加固方法、防止胀模、漏浆的技术措施；</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模板的垃圾出口孔制作；</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楼面柱根部清除浮浆、凿毛；</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混凝土施工缝、后浇带、楼面收光处理及养护。</w:t>
      </w:r>
    </w:p>
    <w:p>
      <w:pPr>
        <w:adjustRightInd w:val="0"/>
        <w:snapToGrid w:val="0"/>
        <w:spacing w:line="360" w:lineRule="auto"/>
        <w:ind w:firstLine="460" w:firstLineChars="200"/>
        <w:jc w:val="left"/>
        <w:rPr>
          <w:rFonts w:ascii="宋体" w:hAnsi="宋体" w:cs="宋体"/>
          <w:color w:val="auto"/>
          <w:szCs w:val="21"/>
          <w:highlight w:val="none"/>
        </w:rPr>
      </w:pPr>
      <w:r>
        <w:rPr>
          <w:rFonts w:hint="eastAsia" w:hAnsi="宋体"/>
          <w:color w:val="auto"/>
          <w:sz w:val="23"/>
          <w:szCs w:val="23"/>
          <w:highlight w:val="none"/>
        </w:rPr>
        <w:t>□</w:t>
      </w:r>
      <w:r>
        <w:rPr>
          <w:rFonts w:hint="eastAsia" w:ascii="宋体" w:hAnsi="宋体" w:cs="宋体"/>
          <w:color w:val="auto"/>
          <w:szCs w:val="21"/>
          <w:highlight w:val="none"/>
        </w:rPr>
        <w:t>②砌体工程</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有代表性的部位的砌体的砌筑方法；</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有代表性的门窗洞口的处理；</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填充墙底部、顶部的处理；</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构造柱、圈梁、过梁的处理。</w:t>
      </w:r>
    </w:p>
    <w:p>
      <w:pPr>
        <w:adjustRightInd w:val="0"/>
        <w:snapToGrid w:val="0"/>
        <w:spacing w:line="360" w:lineRule="auto"/>
        <w:ind w:firstLine="460" w:firstLineChars="200"/>
        <w:jc w:val="left"/>
        <w:rPr>
          <w:rFonts w:ascii="宋体" w:hAnsi="宋体" w:cs="宋体"/>
          <w:color w:val="auto"/>
          <w:szCs w:val="21"/>
          <w:highlight w:val="none"/>
        </w:rPr>
      </w:pPr>
      <w:r>
        <w:rPr>
          <w:rFonts w:hint="eastAsia" w:hAnsi="宋体"/>
          <w:color w:val="auto"/>
          <w:sz w:val="23"/>
          <w:szCs w:val="23"/>
          <w:highlight w:val="none"/>
        </w:rPr>
        <w:t>□</w:t>
      </w:r>
      <w:r>
        <w:rPr>
          <w:rFonts w:hint="eastAsia" w:ascii="宋体" w:hAnsi="宋体" w:cs="宋体"/>
          <w:color w:val="auto"/>
          <w:szCs w:val="21"/>
          <w:highlight w:val="none"/>
        </w:rPr>
        <w:t>③屋面工程</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屋面防水、隔热；</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屋面排水；</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屋面细部。</w:t>
      </w:r>
    </w:p>
    <w:p>
      <w:pPr>
        <w:adjustRightInd w:val="0"/>
        <w:snapToGrid w:val="0"/>
        <w:spacing w:line="360" w:lineRule="auto"/>
        <w:ind w:firstLine="460" w:firstLineChars="200"/>
        <w:jc w:val="left"/>
        <w:rPr>
          <w:rFonts w:ascii="宋体" w:hAnsi="宋体" w:cs="宋体"/>
          <w:color w:val="auto"/>
          <w:szCs w:val="21"/>
          <w:highlight w:val="none"/>
        </w:rPr>
      </w:pPr>
      <w:r>
        <w:rPr>
          <w:rFonts w:hint="eastAsia" w:hAnsi="宋体"/>
          <w:color w:val="auto"/>
          <w:sz w:val="23"/>
          <w:szCs w:val="23"/>
          <w:highlight w:val="none"/>
        </w:rPr>
        <w:t>□</w:t>
      </w:r>
      <w:r>
        <w:rPr>
          <w:rFonts w:hint="eastAsia" w:ascii="宋体" w:hAnsi="宋体" w:cs="宋体"/>
          <w:color w:val="auto"/>
          <w:szCs w:val="21"/>
          <w:highlight w:val="none"/>
        </w:rPr>
        <w:t>④门窗和幕墙工程</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有代表性的门窗安装；</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门窗洞的细部处理；</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有代表性的幕墙单元安装。</w:t>
      </w:r>
    </w:p>
    <w:p>
      <w:pPr>
        <w:adjustRightInd w:val="0"/>
        <w:snapToGrid w:val="0"/>
        <w:spacing w:line="360" w:lineRule="auto"/>
        <w:ind w:firstLine="460" w:firstLineChars="200"/>
        <w:jc w:val="left"/>
        <w:rPr>
          <w:rFonts w:ascii="宋体" w:hAnsi="宋体" w:cs="宋体"/>
          <w:color w:val="auto"/>
          <w:szCs w:val="21"/>
          <w:highlight w:val="none"/>
        </w:rPr>
      </w:pPr>
      <w:r>
        <w:rPr>
          <w:rFonts w:hint="eastAsia" w:hAnsi="宋体"/>
          <w:color w:val="auto"/>
          <w:sz w:val="23"/>
          <w:szCs w:val="23"/>
          <w:highlight w:val="none"/>
        </w:rPr>
        <w:t>□</w:t>
      </w:r>
      <w:r>
        <w:rPr>
          <w:rFonts w:hint="eastAsia" w:ascii="宋体" w:hAnsi="宋体" w:cs="宋体"/>
          <w:color w:val="auto"/>
          <w:szCs w:val="21"/>
          <w:highlight w:val="none"/>
        </w:rPr>
        <w:t>⑤装饰工程</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外墙防水；</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外墙饰面；</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内墙抹灰；</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内墙饰面砖铺贴；</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天花安装；</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厨、厕间防水；</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有代表性的装饰装修细部。</w:t>
      </w:r>
    </w:p>
    <w:p>
      <w:pPr>
        <w:adjustRightInd w:val="0"/>
        <w:snapToGrid w:val="0"/>
        <w:spacing w:line="360" w:lineRule="auto"/>
        <w:ind w:firstLine="460" w:firstLineChars="200"/>
        <w:jc w:val="left"/>
        <w:rPr>
          <w:rFonts w:ascii="宋体" w:hAnsi="宋体" w:cs="宋体"/>
          <w:color w:val="auto"/>
          <w:szCs w:val="21"/>
          <w:highlight w:val="none"/>
        </w:rPr>
      </w:pPr>
      <w:r>
        <w:rPr>
          <w:rFonts w:hint="eastAsia" w:hAnsi="宋体"/>
          <w:color w:val="auto"/>
          <w:sz w:val="23"/>
          <w:szCs w:val="23"/>
          <w:highlight w:val="none"/>
        </w:rPr>
        <w:t>□</w:t>
      </w:r>
      <w:r>
        <w:rPr>
          <w:rFonts w:hint="eastAsia" w:ascii="宋体" w:hAnsi="宋体" w:cs="宋体"/>
          <w:color w:val="auto"/>
          <w:szCs w:val="21"/>
          <w:highlight w:val="none"/>
        </w:rPr>
        <w:t>⑥建筑节能工程</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有关标准规定需制作样板的部位。</w:t>
      </w:r>
    </w:p>
    <w:p>
      <w:pPr>
        <w:adjustRightInd w:val="0"/>
        <w:snapToGrid w:val="0"/>
        <w:spacing w:line="360" w:lineRule="auto"/>
        <w:ind w:firstLine="460" w:firstLineChars="200"/>
        <w:jc w:val="left"/>
        <w:rPr>
          <w:rFonts w:ascii="宋体" w:hAnsi="宋体" w:cs="宋体"/>
          <w:color w:val="auto"/>
          <w:szCs w:val="21"/>
          <w:highlight w:val="none"/>
        </w:rPr>
      </w:pPr>
      <w:r>
        <w:rPr>
          <w:rFonts w:hint="eastAsia" w:hAnsi="宋体"/>
          <w:color w:val="auto"/>
          <w:sz w:val="23"/>
          <w:szCs w:val="23"/>
          <w:highlight w:val="none"/>
        </w:rPr>
        <w:t>□</w:t>
      </w:r>
      <w:r>
        <w:rPr>
          <w:rFonts w:hint="eastAsia" w:ascii="宋体" w:hAnsi="宋体" w:cs="宋体"/>
          <w:color w:val="auto"/>
          <w:szCs w:val="21"/>
          <w:highlight w:val="none"/>
        </w:rPr>
        <w:t>⑦给排水工程</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穿楼板管道套管安装；</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卫生间给排水支管安装；</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卫生间洁具安装；</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屋面透气管安装；</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管井立管安装。</w:t>
      </w:r>
    </w:p>
    <w:p>
      <w:pPr>
        <w:adjustRightInd w:val="0"/>
        <w:snapToGrid w:val="0"/>
        <w:spacing w:line="360" w:lineRule="auto"/>
        <w:ind w:firstLine="460" w:firstLineChars="200"/>
        <w:jc w:val="left"/>
        <w:rPr>
          <w:rFonts w:ascii="宋体" w:hAnsi="宋体" w:cs="宋体"/>
          <w:color w:val="auto"/>
          <w:szCs w:val="21"/>
          <w:highlight w:val="none"/>
        </w:rPr>
      </w:pPr>
      <w:r>
        <w:rPr>
          <w:rFonts w:hint="eastAsia" w:hAnsi="宋体"/>
          <w:color w:val="auto"/>
          <w:sz w:val="23"/>
          <w:szCs w:val="23"/>
          <w:highlight w:val="none"/>
        </w:rPr>
        <w:t>□</w:t>
      </w:r>
      <w:r>
        <w:rPr>
          <w:rFonts w:hint="eastAsia" w:ascii="宋体" w:hAnsi="宋体" w:cs="宋体"/>
          <w:color w:val="auto"/>
          <w:szCs w:val="21"/>
          <w:highlight w:val="none"/>
        </w:rPr>
        <w:t>⑧建筑电气工程</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成套配电柜、控制柜的安装；</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照明配电箱的安装；</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开关插座、灯具的安装；</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电气、防雷接地；</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线路铺设；</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金属线槽、桥架铺设。</w:t>
      </w:r>
    </w:p>
    <w:p>
      <w:pPr>
        <w:adjustRightInd w:val="0"/>
        <w:snapToGrid w:val="0"/>
        <w:spacing w:line="360" w:lineRule="auto"/>
        <w:ind w:firstLine="460" w:firstLineChars="200"/>
        <w:jc w:val="left"/>
        <w:rPr>
          <w:rFonts w:ascii="宋体" w:hAnsi="宋体" w:cs="宋体"/>
          <w:color w:val="auto"/>
          <w:szCs w:val="21"/>
          <w:highlight w:val="none"/>
        </w:rPr>
      </w:pPr>
      <w:r>
        <w:rPr>
          <w:rFonts w:hint="eastAsia" w:hAnsi="宋体"/>
          <w:color w:val="auto"/>
          <w:sz w:val="23"/>
          <w:szCs w:val="23"/>
          <w:highlight w:val="none"/>
        </w:rPr>
        <w:sym w:font="Wingdings 2" w:char="00A3"/>
      </w:r>
      <w:r>
        <w:rPr>
          <w:rFonts w:hint="eastAsia" w:ascii="宋体" w:hAnsi="宋体" w:cs="宋体"/>
          <w:color w:val="auto"/>
          <w:szCs w:val="21"/>
          <w:highlight w:val="none"/>
        </w:rPr>
        <w:t>⑨通风空调工程</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标准层风管制作安装；</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标准层水管安装；</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风机盘管、风口、风阀、百叶安装；</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风管、水管保温。</w:t>
      </w:r>
    </w:p>
    <w:p>
      <w:pPr>
        <w:adjustRightInd w:val="0"/>
        <w:snapToGrid w:val="0"/>
        <w:spacing w:line="360" w:lineRule="auto"/>
        <w:jc w:val="left"/>
        <w:rPr>
          <w:rFonts w:hint="eastAsia" w:ascii="宋体" w:hAnsi="宋体" w:cs="宋体"/>
          <w:color w:val="auto"/>
          <w:szCs w:val="21"/>
          <w:highlight w:val="none"/>
        </w:rPr>
      </w:pPr>
      <w:r>
        <w:rPr>
          <w:rFonts w:hint="eastAsia" w:hAnsi="宋体"/>
          <w:color w:val="auto"/>
          <w:sz w:val="23"/>
          <w:szCs w:val="23"/>
          <w:highlight w:val="none"/>
        </w:rPr>
        <w:t xml:space="preserve">    </w:t>
      </w:r>
      <w:r>
        <w:rPr>
          <w:rFonts w:hint="eastAsia" w:hAnsi="宋体"/>
          <w:color w:val="auto"/>
          <w:sz w:val="23"/>
          <w:szCs w:val="23"/>
          <w:highlight w:val="none"/>
        </w:rPr>
        <w:sym w:font="Wingdings 2" w:char="00A3"/>
      </w:r>
      <w:r>
        <w:rPr>
          <w:rFonts w:hint="eastAsia" w:hAnsi="宋体"/>
          <w:color w:val="auto"/>
          <w:sz w:val="23"/>
          <w:szCs w:val="23"/>
          <w:highlight w:val="none"/>
        </w:rPr>
        <w:t>其他：</w:t>
      </w:r>
      <w:r>
        <w:rPr>
          <w:rFonts w:hint="eastAsia" w:ascii="宋体" w:hAnsi="宋体" w:cs="宋体"/>
          <w:color w:val="auto"/>
          <w:szCs w:val="21"/>
          <w:highlight w:val="none"/>
          <w:u w:val="single"/>
        </w:rPr>
        <w:t xml:space="preserve">                                                                 </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制作实物质量样板的工序、部位，不限于以上内容，还包括建设单位、施工和监理企业认为需要制作实物质量样板的其他工序、部位。</w:t>
      </w:r>
    </w:p>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p>
      <w:pPr>
        <w:keepNext/>
        <w:keepLines/>
        <w:spacing w:before="120" w:beforeLines="50" w:after="120" w:afterLines="50" w:line="360" w:lineRule="auto"/>
        <w:ind w:firstLine="600" w:firstLineChars="200"/>
        <w:outlineLvl w:val="1"/>
        <w:rPr>
          <w:rFonts w:ascii="宋体" w:hAnsi="宋体" w:cs="宋体"/>
          <w:b/>
          <w:bCs/>
          <w:color w:val="auto"/>
          <w:sz w:val="30"/>
          <w:szCs w:val="30"/>
          <w:highlight w:val="none"/>
        </w:rPr>
      </w:pPr>
      <w:bookmarkStart w:id="6990" w:name="_Toc8858"/>
      <w:bookmarkStart w:id="6991" w:name="_Toc465237259"/>
      <w:bookmarkStart w:id="6992" w:name="_Toc296347192"/>
      <w:bookmarkStart w:id="6993" w:name="_Toc296944532"/>
      <w:bookmarkStart w:id="6994" w:name="_Toc31145"/>
      <w:bookmarkStart w:id="6995" w:name="_Toc69114091"/>
      <w:bookmarkStart w:id="6996" w:name="_Toc13985"/>
      <w:bookmarkStart w:id="6997" w:name="_Toc20238"/>
      <w:bookmarkStart w:id="6998" w:name="_Toc24680"/>
      <w:bookmarkStart w:id="6999" w:name="_Toc12698"/>
      <w:bookmarkStart w:id="7000" w:name="_Toc296891021"/>
      <w:bookmarkStart w:id="7001" w:name="_Toc20246"/>
      <w:bookmarkStart w:id="7002" w:name="_Toc15026"/>
      <w:bookmarkStart w:id="7003" w:name="_Toc30254"/>
      <w:bookmarkStart w:id="7004" w:name="_Toc296346694"/>
      <w:bookmarkStart w:id="7005" w:name="_Toc292559903"/>
      <w:bookmarkStart w:id="7006" w:name="_Toc6935"/>
      <w:bookmarkStart w:id="7007" w:name="_Toc30873"/>
      <w:bookmarkStart w:id="7008" w:name="_Toc304295566"/>
      <w:bookmarkStart w:id="7009" w:name="_Toc465237157"/>
      <w:bookmarkStart w:id="7010" w:name="_Toc26242"/>
      <w:bookmarkStart w:id="7011" w:name="_Toc18371"/>
      <w:bookmarkStart w:id="7012" w:name="_Toc32484"/>
      <w:bookmarkStart w:id="7013" w:name="_Toc134"/>
      <w:bookmarkStart w:id="7014" w:name="_Toc297048379"/>
      <w:bookmarkStart w:id="7015" w:name="_Toc292559398"/>
      <w:bookmarkStart w:id="7016" w:name="_Toc297123540"/>
      <w:bookmarkStart w:id="7017" w:name="_Toc517532309"/>
      <w:bookmarkStart w:id="7018" w:name="_Toc297216199"/>
      <w:bookmarkStart w:id="7019" w:name="_Toc16049"/>
      <w:bookmarkStart w:id="7020" w:name="_Toc303539146"/>
      <w:bookmarkStart w:id="7021" w:name="_Toc351203642"/>
      <w:bookmarkStart w:id="7022" w:name="_Toc909"/>
      <w:bookmarkStart w:id="7023" w:name="_Toc296891233"/>
      <w:bookmarkStart w:id="7024" w:name="_Toc517528799"/>
      <w:bookmarkStart w:id="7025" w:name="_Toc300934989"/>
      <w:bookmarkStart w:id="7026" w:name="_Toc517529765"/>
      <w:bookmarkStart w:id="7027" w:name="_Toc296503193"/>
      <w:bookmarkStart w:id="7028" w:name="_Toc517531033"/>
      <w:bookmarkStart w:id="7029" w:name="_Toc4675"/>
      <w:bookmarkStart w:id="7030" w:name="_Toc297120493"/>
      <w:bookmarkStart w:id="7031" w:name="_Toc312677499"/>
      <w:bookmarkStart w:id="7032" w:name="_Toc312678025"/>
      <w:bookmarkStart w:id="7033" w:name="_Toc267251435"/>
      <w:bookmarkStart w:id="7034" w:name="_Toc267251440"/>
      <w:bookmarkStart w:id="7035" w:name="_Toc267251437"/>
      <w:bookmarkStart w:id="7036" w:name="_Toc267251441"/>
      <w:bookmarkStart w:id="7037" w:name="_Toc267251433"/>
      <w:bookmarkStart w:id="7038" w:name="_Toc267251439"/>
      <w:bookmarkStart w:id="7039" w:name="_Toc267251442"/>
      <w:r>
        <w:rPr>
          <w:rFonts w:hint="eastAsia" w:ascii="宋体" w:hAnsi="宋体" w:cs="宋体"/>
          <w:b/>
          <w:bCs/>
          <w:color w:val="auto"/>
          <w:sz w:val="30"/>
          <w:szCs w:val="30"/>
          <w:highlight w:val="none"/>
        </w:rPr>
        <w:t>10. 变更</w:t>
      </w:r>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p>
    <w:bookmarkEnd w:id="7031"/>
    <w:bookmarkEnd w:id="7032"/>
    <w:p>
      <w:pPr>
        <w:keepNext/>
        <w:keepLines/>
        <w:spacing w:before="120" w:beforeLines="50" w:after="120" w:afterLines="50" w:line="360" w:lineRule="auto"/>
        <w:ind w:left="561"/>
        <w:outlineLvl w:val="2"/>
        <w:rPr>
          <w:rFonts w:ascii="宋体" w:hAnsi="宋体" w:cs="宋体"/>
          <w:b/>
          <w:bCs/>
          <w:color w:val="auto"/>
          <w:sz w:val="28"/>
          <w:szCs w:val="28"/>
          <w:highlight w:val="none"/>
        </w:rPr>
      </w:pPr>
      <w:bookmarkStart w:id="7040" w:name="_Toc25405"/>
      <w:bookmarkStart w:id="7041" w:name="_Toc28566"/>
      <w:bookmarkStart w:id="7042" w:name="_Toc22206"/>
      <w:bookmarkStart w:id="7043" w:name="_Toc3852"/>
      <w:bookmarkStart w:id="7044" w:name="_Toc31980"/>
      <w:bookmarkStart w:id="7045" w:name="_Toc20966"/>
      <w:bookmarkStart w:id="7046" w:name="_Toc19371"/>
      <w:bookmarkStart w:id="7047" w:name="_Toc16121"/>
      <w:bookmarkStart w:id="7048" w:name="_Toc8825"/>
      <w:bookmarkStart w:id="7049" w:name="_Toc517531034"/>
      <w:bookmarkStart w:id="7050" w:name="_Toc174"/>
      <w:bookmarkStart w:id="7051" w:name="_Toc69114092"/>
      <w:bookmarkStart w:id="7052" w:name="_Toc3696"/>
      <w:bookmarkStart w:id="7053" w:name="_Toc25180"/>
      <w:bookmarkStart w:id="7054" w:name="_Toc26462"/>
      <w:bookmarkStart w:id="7055" w:name="_Toc517528800"/>
      <w:bookmarkStart w:id="7056" w:name="_Toc517532310"/>
      <w:bookmarkStart w:id="7057" w:name="_Toc2388"/>
      <w:bookmarkStart w:id="7058" w:name="_Toc4497"/>
      <w:bookmarkStart w:id="7059" w:name="_Toc19431"/>
      <w:bookmarkStart w:id="7060" w:name="_Toc23836"/>
      <w:bookmarkStart w:id="7061" w:name="_Toc3310"/>
      <w:bookmarkStart w:id="7062" w:name="_Toc297216200"/>
      <w:bookmarkStart w:id="7063" w:name="_Toc300934990"/>
      <w:bookmarkStart w:id="7064" w:name="_Toc296891234"/>
      <w:bookmarkStart w:id="7065" w:name="_Toc304295567"/>
      <w:bookmarkStart w:id="7066" w:name="_Toc296347193"/>
      <w:bookmarkStart w:id="7067" w:name="_Toc312678026"/>
      <w:bookmarkStart w:id="7068" w:name="_Toc296346695"/>
      <w:bookmarkStart w:id="7069" w:name="_Toc297123541"/>
      <w:bookmarkStart w:id="7070" w:name="_Toc296503194"/>
      <w:bookmarkStart w:id="7071" w:name="_Toc296944533"/>
      <w:bookmarkStart w:id="7072" w:name="_Toc296891022"/>
      <w:bookmarkStart w:id="7073" w:name="_Toc292559399"/>
      <w:bookmarkStart w:id="7074" w:name="_Toc297120494"/>
      <w:bookmarkStart w:id="7075" w:name="_Toc312677500"/>
      <w:bookmarkStart w:id="7076" w:name="_Toc303539147"/>
      <w:bookmarkStart w:id="7077" w:name="_Toc292559904"/>
      <w:bookmarkStart w:id="7078" w:name="_Toc297048380"/>
      <w:r>
        <w:rPr>
          <w:rFonts w:hint="eastAsia" w:ascii="宋体" w:hAnsi="宋体" w:cs="宋体"/>
          <w:b/>
          <w:bCs/>
          <w:color w:val="auto"/>
          <w:sz w:val="28"/>
          <w:szCs w:val="28"/>
          <w:highlight w:val="none"/>
        </w:rPr>
        <w:sym w:font="Wingdings" w:char="F0A8"/>
      </w:r>
      <w:r>
        <w:rPr>
          <w:rFonts w:hint="eastAsia" w:ascii="宋体" w:hAnsi="宋体" w:cs="宋体"/>
          <w:b/>
          <w:bCs/>
          <w:color w:val="auto"/>
          <w:sz w:val="28"/>
          <w:szCs w:val="28"/>
          <w:highlight w:val="none"/>
        </w:rPr>
        <w:t>10.3变更的估价</w:t>
      </w:r>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对于实际测出的工程量超过招标清单所列数量25%的（工程量清单漏项、新增工程、设计变更等项目的工程量不计入此项），对超出25%以上的工程量承包人可申请重新确定结算价格。重新确定价格的方法：经监理人审核，发包人审批，报相关机构审定（审核），以相关机构审定（审核）的综合单价为基准，下浮投标总价净下浮率后作为合同结算价。</w:t>
      </w:r>
    </w:p>
    <w:p>
      <w:pPr>
        <w:keepNext/>
        <w:keepLines/>
        <w:spacing w:before="120" w:beforeLines="50" w:after="120" w:afterLines="50" w:line="360" w:lineRule="auto"/>
        <w:ind w:firstLine="600" w:firstLineChars="200"/>
        <w:outlineLvl w:val="1"/>
        <w:rPr>
          <w:rFonts w:ascii="宋体" w:hAnsi="宋体" w:cs="宋体"/>
          <w:b/>
          <w:bCs/>
          <w:color w:val="auto"/>
          <w:sz w:val="30"/>
          <w:szCs w:val="30"/>
          <w:highlight w:val="none"/>
        </w:rPr>
      </w:pPr>
      <w:bookmarkStart w:id="7079" w:name="_Toc25913"/>
      <w:bookmarkStart w:id="7080" w:name="_Toc1000"/>
      <w:bookmarkStart w:id="7081" w:name="_Toc19249"/>
      <w:bookmarkStart w:id="7082" w:name="_Toc517528801"/>
      <w:bookmarkStart w:id="7083" w:name="_Toc517531035"/>
      <w:bookmarkStart w:id="7084" w:name="_Toc517532311"/>
      <w:bookmarkStart w:id="7085" w:name="_Toc8904"/>
      <w:bookmarkStart w:id="7086" w:name="_Toc30121"/>
      <w:bookmarkStart w:id="7087" w:name="_Toc517529766"/>
      <w:bookmarkStart w:id="7088" w:name="_Toc69114093"/>
      <w:bookmarkStart w:id="7089" w:name="_Toc30410"/>
      <w:bookmarkStart w:id="7090" w:name="_Toc6704"/>
      <w:bookmarkStart w:id="7091" w:name="_Toc13347"/>
      <w:bookmarkStart w:id="7092" w:name="_Toc14715"/>
      <w:bookmarkStart w:id="7093" w:name="_Toc3009"/>
      <w:bookmarkStart w:id="7094" w:name="_Toc14776"/>
      <w:bookmarkStart w:id="7095" w:name="_Toc26626"/>
      <w:bookmarkStart w:id="7096" w:name="_Toc12862"/>
      <w:bookmarkStart w:id="7097" w:name="_Toc6226"/>
      <w:bookmarkStart w:id="7098" w:name="_Toc1077"/>
      <w:r>
        <w:rPr>
          <w:rFonts w:hint="eastAsia" w:ascii="宋体" w:hAnsi="宋体" w:cs="宋体"/>
          <w:b/>
          <w:bCs/>
          <w:color w:val="auto"/>
          <w:sz w:val="30"/>
          <w:szCs w:val="30"/>
          <w:highlight w:val="none"/>
        </w:rPr>
        <w:t>11. 价格调整</w:t>
      </w:r>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p>
    <w:p>
      <w:pPr>
        <w:keepNext/>
        <w:keepLines/>
        <w:spacing w:before="120" w:beforeLines="50" w:after="120" w:afterLines="50" w:line="360" w:lineRule="auto"/>
        <w:ind w:left="562"/>
        <w:outlineLvl w:val="2"/>
        <w:rPr>
          <w:rFonts w:ascii="宋体" w:hAnsi="宋体" w:cs="宋体"/>
          <w:b/>
          <w:bCs/>
          <w:color w:val="auto"/>
          <w:sz w:val="28"/>
          <w:szCs w:val="28"/>
          <w:highlight w:val="none"/>
        </w:rPr>
      </w:pPr>
      <w:bookmarkStart w:id="7099" w:name="_Toc517531036"/>
      <w:bookmarkStart w:id="7100" w:name="_Toc517528802"/>
      <w:bookmarkStart w:id="7101" w:name="_Toc21263"/>
      <w:bookmarkStart w:id="7102" w:name="_Toc8821"/>
      <w:bookmarkStart w:id="7103" w:name="_Toc2053"/>
      <w:bookmarkStart w:id="7104" w:name="_Toc24283"/>
      <w:bookmarkStart w:id="7105" w:name="_Toc8927"/>
      <w:bookmarkStart w:id="7106" w:name="_Toc69114094"/>
      <w:bookmarkStart w:id="7107" w:name="_Toc10551"/>
      <w:bookmarkStart w:id="7108" w:name="_Toc2215"/>
      <w:bookmarkStart w:id="7109" w:name="_Toc12496"/>
      <w:bookmarkStart w:id="7110" w:name="_Toc2884"/>
      <w:bookmarkStart w:id="7111" w:name="_Toc30469"/>
      <w:bookmarkStart w:id="7112" w:name="_Toc13819"/>
      <w:bookmarkStart w:id="7113" w:name="_Toc21275"/>
      <w:bookmarkStart w:id="7114" w:name="_Toc16546"/>
      <w:bookmarkStart w:id="7115" w:name="_Toc16988"/>
      <w:bookmarkStart w:id="7116" w:name="_Toc19023"/>
      <w:bookmarkStart w:id="7117" w:name="_Toc517532312"/>
      <w:r>
        <w:rPr>
          <w:rFonts w:hint="eastAsia" w:ascii="宋体" w:hAnsi="宋体" w:cs="宋体"/>
          <w:b/>
          <w:bCs/>
          <w:color w:val="auto"/>
          <w:sz w:val="28"/>
          <w:szCs w:val="28"/>
          <w:highlight w:val="none"/>
        </w:rPr>
        <w:t>11.1市场变化引起的费用的增加或减少</w:t>
      </w:r>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p>
    <w:p>
      <w:pPr>
        <w:tabs>
          <w:tab w:val="left" w:pos="1260"/>
        </w:tabs>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sym w:font="Wingdings" w:char="F0A8"/>
      </w:r>
      <w:r>
        <w:rPr>
          <w:rFonts w:hint="eastAsia" w:ascii="宋体" w:hAnsi="宋体" w:cs="宋体"/>
          <w:color w:val="auto"/>
          <w:szCs w:val="21"/>
          <w:highlight w:val="none"/>
        </w:rPr>
        <w:t>承包人在投标时应考虑到在招标期间及合同有效期间内，由于劳务和（或）材料价格的上涨，以及任何其他事项的价格上涨而引起工程施工成本增加的风险，合同价款不会因此而调整（政府有明文规定的除外）。</w:t>
      </w:r>
    </w:p>
    <w:p>
      <w:pPr>
        <w:tabs>
          <w:tab w:val="left" w:pos="945"/>
        </w:tabs>
        <w:adjustRightInd w:val="0"/>
        <w:snapToGrid w:val="0"/>
        <w:spacing w:line="360" w:lineRule="auto"/>
        <w:ind w:firstLine="420" w:firstLineChars="200"/>
        <w:jc w:val="left"/>
        <w:rPr>
          <w:rFonts w:hint="eastAsia" w:ascii="宋体" w:hAnsi="宋体"/>
          <w:color w:val="auto"/>
          <w:highlight w:val="none"/>
        </w:rPr>
      </w:pPr>
      <w:r>
        <w:rPr>
          <w:rFonts w:hint="eastAsia" w:ascii="宋体" w:hAnsi="宋体" w:cs="宋体"/>
          <w:color w:val="auto"/>
          <w:szCs w:val="21"/>
          <w:highlight w:val="none"/>
        </w:rPr>
        <w:sym w:font="Wingdings" w:char="F0A8"/>
      </w:r>
      <w:r>
        <w:rPr>
          <w:rFonts w:hint="eastAsia" w:ascii="宋体" w:hAnsi="宋体" w:cs="宋体"/>
          <w:color w:val="auto"/>
          <w:szCs w:val="21"/>
          <w:highlight w:val="none"/>
        </w:rPr>
        <w:t>本款适用于固定单价合同的调</w:t>
      </w:r>
      <w:r>
        <w:rPr>
          <w:rFonts w:hint="eastAsia" w:ascii="宋体" w:hAnsi="宋体"/>
          <w:color w:val="auto"/>
          <w:szCs w:val="20"/>
          <w:highlight w:val="none"/>
        </w:rPr>
        <w:t>差。在合同履行过程中，</w:t>
      </w:r>
      <w:r>
        <w:rPr>
          <w:rFonts w:hint="eastAsia" w:hAnsi="宋体"/>
          <w:color w:val="auto"/>
          <w:sz w:val="23"/>
          <w:szCs w:val="23"/>
          <w:highlight w:val="none"/>
        </w:rPr>
        <w:t>□</w:t>
      </w:r>
      <w:r>
        <w:rPr>
          <w:rFonts w:hint="eastAsia" w:ascii="宋体" w:hAnsi="宋体"/>
          <w:color w:val="auto"/>
          <w:szCs w:val="20"/>
          <w:highlight w:val="none"/>
        </w:rPr>
        <w:t>人工、</w:t>
      </w:r>
      <w:r>
        <w:rPr>
          <w:rFonts w:hint="eastAsia" w:hAnsi="宋体"/>
          <w:color w:val="auto"/>
          <w:sz w:val="23"/>
          <w:szCs w:val="23"/>
          <w:highlight w:val="none"/>
        </w:rPr>
        <w:t>□</w:t>
      </w:r>
      <w:r>
        <w:rPr>
          <w:rFonts w:hint="eastAsia" w:ascii="宋体" w:hAnsi="宋体"/>
          <w:color w:val="auto"/>
          <w:szCs w:val="20"/>
          <w:highlight w:val="none"/>
        </w:rPr>
        <w:t>结构用钢材、</w:t>
      </w:r>
      <w:r>
        <w:rPr>
          <w:rFonts w:hint="eastAsia" w:hAnsi="宋体"/>
          <w:color w:val="auto"/>
          <w:sz w:val="23"/>
          <w:szCs w:val="23"/>
          <w:highlight w:val="none"/>
        </w:rPr>
        <w:t>□</w:t>
      </w:r>
      <w:r>
        <w:rPr>
          <w:rFonts w:hint="eastAsia" w:ascii="宋体" w:hAnsi="宋体"/>
          <w:color w:val="auto"/>
          <w:szCs w:val="20"/>
          <w:highlight w:val="none"/>
        </w:rPr>
        <w:t>混凝土、</w:t>
      </w:r>
      <w:r>
        <w:rPr>
          <w:rFonts w:hint="eastAsia" w:hAnsi="宋体"/>
          <w:color w:val="auto"/>
          <w:sz w:val="23"/>
          <w:szCs w:val="23"/>
          <w:highlight w:val="none"/>
        </w:rPr>
        <w:t>□</w:t>
      </w:r>
      <w:r>
        <w:rPr>
          <w:rFonts w:hint="eastAsia" w:ascii="宋体" w:hAnsi="宋体"/>
          <w:color w:val="auto"/>
          <w:szCs w:val="20"/>
          <w:highlight w:val="none"/>
        </w:rPr>
        <w:t>沥青混凝土、</w:t>
      </w:r>
      <w:r>
        <w:rPr>
          <w:rFonts w:hint="eastAsia" w:hAnsi="宋体"/>
          <w:color w:val="auto"/>
          <w:sz w:val="23"/>
          <w:szCs w:val="23"/>
          <w:highlight w:val="none"/>
        </w:rPr>
        <w:t>□</w:t>
      </w:r>
      <w:r>
        <w:rPr>
          <w:rFonts w:hint="eastAsia" w:ascii="宋体" w:hAnsi="宋体"/>
          <w:color w:val="auto"/>
          <w:szCs w:val="20"/>
          <w:highlight w:val="none"/>
        </w:rPr>
        <w:t>电</w:t>
      </w:r>
      <w:r>
        <w:rPr>
          <w:rFonts w:hint="eastAsia" w:ascii="宋体" w:hAnsi="宋体"/>
          <w:color w:val="auto"/>
          <w:highlight w:val="none"/>
        </w:rPr>
        <w:t>缆、</w:t>
      </w:r>
      <w:r>
        <w:rPr>
          <w:rFonts w:hint="eastAsia" w:hAnsi="宋体"/>
          <w:color w:val="auto"/>
          <w:sz w:val="23"/>
          <w:szCs w:val="23"/>
          <w:highlight w:val="none"/>
        </w:rPr>
        <w:t>□</w:t>
      </w:r>
      <w:r>
        <w:rPr>
          <w:rFonts w:hint="eastAsia" w:ascii="宋体" w:hAnsi="宋体"/>
          <w:color w:val="auto"/>
          <w:highlight w:val="none"/>
        </w:rPr>
        <w:t>预拌砂浆、</w:t>
      </w:r>
      <w:r>
        <w:rPr>
          <w:rFonts w:hint="eastAsia" w:hAnsi="宋体"/>
          <w:color w:val="auto"/>
          <w:sz w:val="23"/>
          <w:szCs w:val="23"/>
          <w:highlight w:val="none"/>
        </w:rPr>
        <w:t>□</w:t>
      </w:r>
      <w:r>
        <w:rPr>
          <w:rFonts w:hint="eastAsia" w:ascii="宋体" w:hAnsi="宋体"/>
          <w:color w:val="auto"/>
          <w:highlight w:val="none"/>
        </w:rPr>
        <w:t>柴油、</w:t>
      </w:r>
      <w:r>
        <w:rPr>
          <w:rFonts w:hint="eastAsia" w:hAnsi="宋体"/>
          <w:color w:val="auto"/>
          <w:sz w:val="23"/>
          <w:szCs w:val="23"/>
          <w:highlight w:val="none"/>
        </w:rPr>
        <w:t>□</w:t>
      </w:r>
      <w:r>
        <w:rPr>
          <w:rFonts w:hint="eastAsia" w:ascii="宋体" w:hAnsi="宋体"/>
          <w:color w:val="auto"/>
          <w:highlight w:val="none"/>
        </w:rPr>
        <w:t>汽油、</w:t>
      </w:r>
      <w:r>
        <w:rPr>
          <w:rFonts w:hint="eastAsia" w:hAnsi="宋体"/>
          <w:color w:val="auto"/>
          <w:sz w:val="23"/>
          <w:szCs w:val="23"/>
          <w:highlight w:val="none"/>
        </w:rPr>
        <w:t>□</w:t>
      </w:r>
      <w:r>
        <w:rPr>
          <w:rFonts w:hint="eastAsia" w:ascii="宋体" w:hAnsi="宋体"/>
          <w:color w:val="auto"/>
          <w:highlight w:val="none"/>
        </w:rPr>
        <w:t>机械、</w:t>
      </w:r>
      <w:r>
        <w:rPr>
          <w:rFonts w:hint="eastAsia" w:hAnsi="宋体"/>
          <w:color w:val="auto"/>
          <w:sz w:val="23"/>
          <w:szCs w:val="23"/>
          <w:highlight w:val="none"/>
        </w:rPr>
        <w:t>□</w:t>
      </w:r>
      <w:r>
        <w:rPr>
          <w:rFonts w:hint="eastAsia" w:ascii="宋体" w:hAnsi="宋体"/>
          <w:color w:val="auto"/>
          <w:highlight w:val="none"/>
        </w:rPr>
        <w:t>用于本工程的某种材料价格总额达到签约合同价的5</w:t>
      </w:r>
      <w:r>
        <w:rPr>
          <w:rFonts w:ascii="宋体" w:hAnsi="宋体"/>
          <w:color w:val="auto"/>
          <w:highlight w:val="none"/>
        </w:rPr>
        <w:t>%</w:t>
      </w:r>
      <w:r>
        <w:rPr>
          <w:rFonts w:hint="eastAsia" w:ascii="宋体" w:hAnsi="宋体"/>
          <w:color w:val="auto"/>
          <w:highlight w:val="none"/>
        </w:rPr>
        <w:t>及以上的主材价格比截标期信息价格（详见调整公式）涨落超过</w:t>
      </w:r>
      <w:r>
        <w:rPr>
          <w:rFonts w:hint="eastAsia" w:ascii="宋体" w:hAnsi="宋体"/>
          <w:b/>
          <w:color w:val="auto"/>
          <w:highlight w:val="none"/>
          <w:u w:val="single"/>
        </w:rPr>
        <w:t>±5%</w:t>
      </w:r>
      <w:r>
        <w:rPr>
          <w:rFonts w:hint="eastAsia" w:ascii="宋体" w:hAnsi="宋体"/>
          <w:color w:val="auto"/>
          <w:highlight w:val="none"/>
        </w:rPr>
        <w:t>（不含本数）时，其超过部分的人工、材料价格可给予调整。采用施工期信息价或通过市场询价定价的材料，以及措施费中包含的人工、材料，不再进行调差，不适用本款。</w:t>
      </w:r>
    </w:p>
    <w:p>
      <w:pPr>
        <w:tabs>
          <w:tab w:val="left" w:pos="945"/>
        </w:tabs>
        <w:adjustRightInd w:val="0"/>
        <w:snapToGrid w:val="0"/>
        <w:spacing w:line="360" w:lineRule="auto"/>
        <w:ind w:firstLine="420" w:firstLineChars="200"/>
        <w:jc w:val="left"/>
        <w:rPr>
          <w:rFonts w:ascii="宋体" w:hAnsi="宋体"/>
          <w:color w:val="auto"/>
          <w:highlight w:val="none"/>
        </w:rPr>
      </w:pPr>
      <w:r>
        <w:rPr>
          <w:rFonts w:hint="eastAsia" w:ascii="宋体" w:hAnsi="宋体"/>
          <w:color w:val="auto"/>
          <w:highlight w:val="none"/>
        </w:rPr>
        <w:t>工料机调差费用部分应按《深圳市建设工程计价规程》计取规费和税金，不计企业管理费和利润。工料机调差费用应按专用条款的约定进行计算和支付。</w:t>
      </w:r>
    </w:p>
    <w:p>
      <w:pPr>
        <w:tabs>
          <w:tab w:val="left" w:pos="945"/>
        </w:tabs>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olor w:val="auto"/>
          <w:highlight w:val="none"/>
        </w:rPr>
        <w:t>上述人工、材料的调整在与其相关的工程完工后一次性进行。调整的金额经确认后，可在随后及时进行支付。例如：房屋建筑总承包工程在主体结构封顶之后，与钢材、混凝土有关的工程就全部完成，之后不再有工程需要使用钢材、混凝土时，就可进行本合同钢材、混凝土的价格调整并办理支付手续；其他人工、材料的价格调整参照上述方法进行。具体调差公式为：</w:t>
      </w:r>
      <w:r>
        <w:rPr>
          <w:rFonts w:hint="eastAsia" w:ascii="宋体" w:hAnsi="宋体" w:cs="宋体"/>
          <w:b/>
          <w:bCs/>
          <w:color w:val="auto"/>
          <w:sz w:val="28"/>
          <w:szCs w:val="28"/>
          <w:highlight w:val="none"/>
        </w:rPr>
        <w:t xml:space="preserve"> </w:t>
      </w:r>
    </w:p>
    <w:p>
      <w:pPr>
        <w:keepNext/>
        <w:keepLines/>
        <w:spacing w:before="120" w:beforeLines="50" w:after="120" w:afterLines="50" w:line="360" w:lineRule="auto"/>
        <w:outlineLvl w:val="3"/>
        <w:rPr>
          <w:rFonts w:ascii="宋体" w:hAnsi="宋体" w:cs="宋体"/>
          <w:b/>
          <w:bCs/>
          <w:color w:val="auto"/>
          <w:sz w:val="24"/>
          <w:szCs w:val="24"/>
          <w:highlight w:val="none"/>
        </w:rPr>
      </w:pPr>
      <w:bookmarkStart w:id="7118" w:name="_Toc11096"/>
      <w:bookmarkStart w:id="7119" w:name="_Toc30781"/>
      <w:bookmarkStart w:id="7120" w:name="_Toc25982"/>
      <w:bookmarkStart w:id="7121" w:name="_Toc11852"/>
      <w:bookmarkStart w:id="7122" w:name="_Toc9598"/>
      <w:bookmarkStart w:id="7123" w:name="_Toc2803"/>
      <w:bookmarkStart w:id="7124" w:name="_Toc517531037"/>
      <w:bookmarkStart w:id="7125" w:name="_Toc517532313"/>
      <w:bookmarkStart w:id="7126" w:name="_Toc26855"/>
      <w:r>
        <w:rPr>
          <w:rFonts w:hint="eastAsia" w:ascii="宋体" w:hAnsi="宋体" w:cs="宋体"/>
          <w:b/>
          <w:bCs/>
          <w:color w:val="auto"/>
          <w:sz w:val="24"/>
          <w:szCs w:val="24"/>
          <w:highlight w:val="none"/>
        </w:rPr>
        <w:t>11.1.1材料调差方法</w:t>
      </w:r>
      <w:bookmarkEnd w:id="7118"/>
      <w:bookmarkEnd w:id="7119"/>
      <w:bookmarkEnd w:id="7120"/>
      <w:bookmarkEnd w:id="7121"/>
      <w:bookmarkEnd w:id="7122"/>
      <w:bookmarkEnd w:id="7123"/>
      <w:bookmarkEnd w:id="7124"/>
      <w:bookmarkEnd w:id="7125"/>
      <w:bookmarkEnd w:id="7126"/>
    </w:p>
    <w:p>
      <w:pPr>
        <w:tabs>
          <w:tab w:val="left" w:pos="1620"/>
          <w:tab w:val="left" w:pos="2340"/>
        </w:tabs>
        <w:snapToGrid w:val="0"/>
        <w:spacing w:line="360" w:lineRule="auto"/>
        <w:ind w:firstLine="1050" w:firstLineChars="500"/>
        <w:rPr>
          <w:rFonts w:ascii="宋体" w:hAnsi="宋体"/>
          <w:color w:val="auto"/>
          <w:highlight w:val="none"/>
        </w:rPr>
      </w:pPr>
      <w:r>
        <w:rPr>
          <w:rFonts w:hint="eastAsia" w:ascii="宋体" w:hAnsi="宋体"/>
          <w:color w:val="auto"/>
          <w:highlight w:val="none"/>
        </w:rPr>
        <w:t>当</w:t>
      </w:r>
      <w:r>
        <w:rPr>
          <w:rFonts w:ascii="Cambria" w:hAnsi="Cambria"/>
          <w:i/>
          <w:color w:val="auto"/>
          <w:sz w:val="24"/>
          <w:highlight w:val="none"/>
        </w:rPr>
        <w:sym w:font="Symbol" w:char="F060"/>
      </w:r>
      <w:r>
        <w:rPr>
          <w:rFonts w:ascii="Cambria" w:hAnsi="Cambria"/>
          <w:i/>
          <w:color w:val="auto"/>
          <w:sz w:val="24"/>
          <w:highlight w:val="none"/>
        </w:rPr>
        <w:t>P</w:t>
      </w:r>
      <w:r>
        <w:rPr>
          <w:rFonts w:hint="eastAsia" w:ascii="宋体" w:hAnsi="宋体"/>
          <w:color w:val="auto"/>
          <w:sz w:val="24"/>
          <w:highlight w:val="none"/>
        </w:rPr>
        <w:t>＞</w:t>
      </w:r>
      <w:r>
        <w:rPr>
          <w:rFonts w:ascii="Cambria" w:hAnsi="Cambria"/>
          <w:i/>
          <w:color w:val="auto"/>
          <w:sz w:val="24"/>
          <w:highlight w:val="none"/>
        </w:rPr>
        <w:t>P</w:t>
      </w:r>
      <w:r>
        <w:rPr>
          <w:rFonts w:ascii="Cambria" w:hAnsi="Cambria"/>
          <w:i/>
          <w:color w:val="auto"/>
          <w:sz w:val="24"/>
          <w:highlight w:val="none"/>
          <w:vertAlign w:val="subscript"/>
        </w:rPr>
        <w:t>0</w:t>
      </w:r>
      <w:r>
        <w:rPr>
          <w:rFonts w:hint="eastAsia" w:ascii="宋体" w:hAnsi="宋体"/>
          <w:color w:val="auto"/>
          <w:highlight w:val="none"/>
        </w:rPr>
        <w:t>时：</w:t>
      </w:r>
    </w:p>
    <w:p>
      <w:pPr>
        <w:tabs>
          <w:tab w:val="left" w:pos="1620"/>
          <w:tab w:val="left" w:pos="2340"/>
        </w:tabs>
        <w:snapToGrid w:val="0"/>
        <w:spacing w:line="360" w:lineRule="auto"/>
        <w:ind w:firstLine="1200" w:firstLineChars="500"/>
        <w:rPr>
          <w:rFonts w:ascii="宋体" w:hAnsi="宋体"/>
          <w:color w:val="auto"/>
          <w:highlight w:val="none"/>
        </w:rPr>
      </w:pPr>
      <w:r>
        <w:rPr>
          <w:rFonts w:hint="eastAsia" w:ascii="Cambria" w:hAnsi="Cambria"/>
          <w:color w:val="auto"/>
          <w:sz w:val="24"/>
          <w:highlight w:val="none"/>
        </w:rPr>
        <w:t>①</w:t>
      </w:r>
      <w:r>
        <w:rPr>
          <w:rFonts w:ascii="Cambria" w:hAnsi="Cambria"/>
          <w:i/>
          <w:color w:val="auto"/>
          <w:sz w:val="24"/>
          <w:highlight w:val="none"/>
        </w:rPr>
        <w:t>P</w:t>
      </w:r>
      <w:r>
        <w:rPr>
          <w:rFonts w:ascii="Cambria" w:hAnsi="Cambria"/>
          <w:i/>
          <w:color w:val="auto"/>
          <w:sz w:val="24"/>
          <w:highlight w:val="none"/>
          <w:vertAlign w:val="subscript"/>
        </w:rPr>
        <w:t>t</w:t>
      </w:r>
      <w:r>
        <w:rPr>
          <w:rFonts w:hint="eastAsia" w:ascii="Cambria" w:hAnsi="Cambria"/>
          <w:i/>
          <w:color w:val="auto"/>
          <w:sz w:val="24"/>
          <w:highlight w:val="none"/>
        </w:rPr>
        <w:t>＜</w:t>
      </w:r>
      <w:r>
        <w:rPr>
          <w:rFonts w:ascii="Cambria" w:hAnsi="Cambria"/>
          <w:i/>
          <w:color w:val="auto"/>
          <w:sz w:val="24"/>
          <w:highlight w:val="none"/>
        </w:rPr>
        <w:t>P</w:t>
      </w:r>
      <w:r>
        <w:rPr>
          <w:rFonts w:ascii="Cambria" w:hAnsi="Cambria"/>
          <w:i/>
          <w:color w:val="auto"/>
          <w:sz w:val="24"/>
          <w:highlight w:val="none"/>
          <w:vertAlign w:val="subscript"/>
        </w:rPr>
        <w:t>0</w:t>
      </w:r>
      <w:r>
        <w:rPr>
          <w:rFonts w:hint="eastAsia" w:ascii="Cambria" w:hAnsi="Cambria"/>
          <w:i/>
          <w:color w:val="auto"/>
          <w:sz w:val="24"/>
          <w:highlight w:val="none"/>
        </w:rPr>
        <w:t>，</w:t>
      </w:r>
      <w:r>
        <w:rPr>
          <w:rFonts w:hint="eastAsia" w:ascii="宋体" w:hAnsi="宋体"/>
          <w:color w:val="auto"/>
          <w:highlight w:val="none"/>
        </w:rPr>
        <w:t>且</w:t>
      </w:r>
      <w:r>
        <w:rPr>
          <w:rFonts w:ascii="Cambria" w:hAnsi="Cambria"/>
          <w:i/>
          <w:color w:val="auto"/>
          <w:sz w:val="24"/>
          <w:highlight w:val="none"/>
        </w:rPr>
        <w:sym w:font="Symbol" w:char="F060"/>
      </w:r>
      <w:r>
        <w:rPr>
          <w:rFonts w:ascii="Cambria" w:hAnsi="Cambria"/>
          <w:i/>
          <w:color w:val="auto"/>
          <w:sz w:val="24"/>
          <w:highlight w:val="none"/>
        </w:rPr>
        <w:t xml:space="preserve">P </w:t>
      </w:r>
      <w:r>
        <w:rPr>
          <w:rFonts w:hint="eastAsia" w:ascii="宋体" w:hAnsi="宋体"/>
          <w:color w:val="auto"/>
          <w:sz w:val="24"/>
          <w:highlight w:val="none"/>
        </w:rPr>
        <w:t>/</w:t>
      </w:r>
      <w:r>
        <w:rPr>
          <w:rFonts w:ascii="Cambria" w:hAnsi="Cambria"/>
          <w:i/>
          <w:color w:val="auto"/>
          <w:sz w:val="24"/>
          <w:highlight w:val="none"/>
        </w:rPr>
        <w:t>P</w:t>
      </w:r>
      <w:r>
        <w:rPr>
          <w:rFonts w:ascii="Cambria" w:hAnsi="Cambria"/>
          <w:i/>
          <w:color w:val="auto"/>
          <w:sz w:val="24"/>
          <w:highlight w:val="none"/>
          <w:vertAlign w:val="subscript"/>
        </w:rPr>
        <w:t>0</w:t>
      </w:r>
      <w:r>
        <w:rPr>
          <w:rFonts w:hint="eastAsia" w:ascii="宋体" w:hAnsi="宋体"/>
          <w:color w:val="auto"/>
          <w:sz w:val="24"/>
          <w:highlight w:val="none"/>
        </w:rPr>
        <w:t>＞1.05</w:t>
      </w:r>
      <w:r>
        <w:rPr>
          <w:rFonts w:hint="eastAsia" w:ascii="宋体" w:hAnsi="宋体"/>
          <w:color w:val="auto"/>
          <w:highlight w:val="none"/>
        </w:rPr>
        <w:t>，则：</w:t>
      </w:r>
    </w:p>
    <w:p>
      <w:pPr>
        <w:tabs>
          <w:tab w:val="left" w:pos="1620"/>
          <w:tab w:val="left" w:pos="2340"/>
        </w:tabs>
        <w:snapToGrid w:val="0"/>
        <w:spacing w:line="360" w:lineRule="auto"/>
        <w:ind w:firstLine="1200" w:firstLineChars="500"/>
        <w:rPr>
          <w:rFonts w:ascii="宋体" w:hAnsi="宋体"/>
          <w:color w:val="auto"/>
          <w:sz w:val="24"/>
          <w:highlight w:val="none"/>
        </w:rPr>
      </w:pPr>
      <w:r>
        <w:rPr>
          <w:rFonts w:hint="eastAsia" w:ascii="宋体" w:hAnsi="宋体"/>
          <w:color w:val="auto"/>
          <w:sz w:val="24"/>
          <w:highlight w:val="none"/>
        </w:rPr>
        <w:t>C</w:t>
      </w:r>
      <w:r>
        <w:rPr>
          <w:rFonts w:hint="eastAsia" w:ascii="宋体" w:hAnsi="宋体"/>
          <w:color w:val="auto"/>
          <w:sz w:val="24"/>
          <w:highlight w:val="none"/>
          <w:vertAlign w:val="subscript"/>
        </w:rPr>
        <w:t>增</w:t>
      </w:r>
      <w:r>
        <w:rPr>
          <w:rFonts w:hint="eastAsia" w:ascii="宋体" w:hAnsi="宋体"/>
          <w:color w:val="auto"/>
          <w:sz w:val="24"/>
          <w:highlight w:val="none"/>
        </w:rPr>
        <w:t>=</w:t>
      </w:r>
      <w:r>
        <w:rPr>
          <w:rFonts w:ascii="Cambria" w:hAnsi="Cambria"/>
          <w:i/>
          <w:color w:val="auto"/>
          <w:sz w:val="24"/>
          <w:highlight w:val="none"/>
        </w:rPr>
        <w:t>Q</w:t>
      </w:r>
      <w:r>
        <w:rPr>
          <w:rFonts w:hint="eastAsia" w:ascii="宋体" w:hAnsi="宋体"/>
          <w:color w:val="auto"/>
          <w:sz w:val="24"/>
          <w:highlight w:val="none"/>
          <w:vertAlign w:val="subscript"/>
        </w:rPr>
        <w:t>总</w:t>
      </w:r>
      <w:r>
        <w:rPr>
          <w:rFonts w:hint="eastAsia" w:ascii="宋体" w:hAnsi="宋体"/>
          <w:color w:val="auto"/>
          <w:sz w:val="24"/>
          <w:highlight w:val="none"/>
        </w:rPr>
        <w:t>×</w:t>
      </w:r>
      <w:r>
        <w:rPr>
          <w:rFonts w:ascii="Cambria" w:hAnsi="Cambria"/>
          <w:i/>
          <w:color w:val="auto"/>
          <w:sz w:val="24"/>
          <w:highlight w:val="none"/>
        </w:rPr>
        <w:t>P</w:t>
      </w:r>
      <w:r>
        <w:rPr>
          <w:rFonts w:ascii="Cambria" w:hAnsi="Cambria"/>
          <w:i/>
          <w:color w:val="auto"/>
          <w:sz w:val="24"/>
          <w:highlight w:val="none"/>
          <w:vertAlign w:val="subscript"/>
        </w:rPr>
        <w:t>t</w:t>
      </w:r>
      <w:r>
        <w:rPr>
          <w:rFonts w:hint="eastAsia" w:ascii="宋体" w:hAnsi="宋体"/>
          <w:color w:val="auto"/>
          <w:sz w:val="24"/>
          <w:highlight w:val="none"/>
        </w:rPr>
        <w:t>×(</w:t>
      </w:r>
      <w:r>
        <w:rPr>
          <w:rFonts w:ascii="Cambria" w:hAnsi="Cambria"/>
          <w:i/>
          <w:color w:val="auto"/>
          <w:sz w:val="24"/>
          <w:highlight w:val="none"/>
        </w:rPr>
        <w:sym w:font="Symbol" w:char="F060"/>
      </w:r>
      <w:r>
        <w:rPr>
          <w:rFonts w:ascii="Cambria" w:hAnsi="Cambria"/>
          <w:i/>
          <w:color w:val="auto"/>
          <w:sz w:val="24"/>
          <w:highlight w:val="none"/>
        </w:rPr>
        <w:t xml:space="preserve">P </w:t>
      </w:r>
      <w:r>
        <w:rPr>
          <w:rFonts w:hint="eastAsia" w:ascii="宋体" w:hAnsi="宋体"/>
          <w:color w:val="auto"/>
          <w:sz w:val="24"/>
          <w:highlight w:val="none"/>
        </w:rPr>
        <w:t>/</w:t>
      </w:r>
      <w:r>
        <w:rPr>
          <w:rFonts w:ascii="Cambria" w:hAnsi="Cambria"/>
          <w:i/>
          <w:color w:val="auto"/>
          <w:sz w:val="24"/>
          <w:highlight w:val="none"/>
        </w:rPr>
        <w:t>P</w:t>
      </w:r>
      <w:r>
        <w:rPr>
          <w:rFonts w:ascii="Cambria" w:hAnsi="Cambria"/>
          <w:i/>
          <w:color w:val="auto"/>
          <w:sz w:val="24"/>
          <w:highlight w:val="none"/>
          <w:vertAlign w:val="subscript"/>
        </w:rPr>
        <w:t>0</w:t>
      </w:r>
      <w:r>
        <w:rPr>
          <w:rFonts w:hint="eastAsia" w:ascii="宋体" w:hAnsi="宋体"/>
          <w:color w:val="auto"/>
          <w:sz w:val="24"/>
          <w:highlight w:val="none"/>
        </w:rPr>
        <w:t>－1.05)</w:t>
      </w:r>
    </w:p>
    <w:p>
      <w:pPr>
        <w:tabs>
          <w:tab w:val="left" w:pos="1620"/>
          <w:tab w:val="left" w:pos="2340"/>
        </w:tabs>
        <w:snapToGrid w:val="0"/>
        <w:spacing w:line="360" w:lineRule="auto"/>
        <w:ind w:firstLine="1200" w:firstLineChars="500"/>
        <w:rPr>
          <w:rFonts w:ascii="宋体" w:hAnsi="宋体"/>
          <w:color w:val="auto"/>
          <w:highlight w:val="none"/>
        </w:rPr>
      </w:pPr>
      <w:r>
        <w:rPr>
          <w:rFonts w:hint="eastAsia" w:ascii="Cambria" w:hAnsi="Cambria"/>
          <w:color w:val="auto"/>
          <w:sz w:val="24"/>
          <w:highlight w:val="none"/>
        </w:rPr>
        <w:t>②</w:t>
      </w:r>
      <w:r>
        <w:rPr>
          <w:rFonts w:ascii="Cambria" w:hAnsi="Cambria"/>
          <w:i/>
          <w:color w:val="auto"/>
          <w:sz w:val="24"/>
          <w:highlight w:val="none"/>
        </w:rPr>
        <w:t>P</w:t>
      </w:r>
      <w:r>
        <w:rPr>
          <w:rFonts w:ascii="Cambria" w:hAnsi="Cambria"/>
          <w:i/>
          <w:color w:val="auto"/>
          <w:sz w:val="24"/>
          <w:highlight w:val="none"/>
          <w:vertAlign w:val="subscript"/>
        </w:rPr>
        <w:t>t</w:t>
      </w:r>
      <w:r>
        <w:rPr>
          <w:rFonts w:hint="eastAsia" w:ascii="Cambria" w:hAnsi="Cambria"/>
          <w:i/>
          <w:color w:val="auto"/>
          <w:sz w:val="24"/>
          <w:highlight w:val="none"/>
        </w:rPr>
        <w:t>≥</w:t>
      </w:r>
      <w:r>
        <w:rPr>
          <w:rFonts w:ascii="Cambria" w:hAnsi="Cambria"/>
          <w:i/>
          <w:color w:val="auto"/>
          <w:sz w:val="24"/>
          <w:highlight w:val="none"/>
        </w:rPr>
        <w:t>P</w:t>
      </w:r>
      <w:r>
        <w:rPr>
          <w:rFonts w:ascii="Cambria" w:hAnsi="Cambria"/>
          <w:i/>
          <w:color w:val="auto"/>
          <w:sz w:val="24"/>
          <w:highlight w:val="none"/>
          <w:vertAlign w:val="subscript"/>
        </w:rPr>
        <w:t>0</w:t>
      </w:r>
      <w:r>
        <w:rPr>
          <w:rFonts w:hint="eastAsia" w:ascii="宋体" w:hAnsi="宋体"/>
          <w:color w:val="auto"/>
          <w:highlight w:val="none"/>
        </w:rPr>
        <w:t>，且</w:t>
      </w:r>
      <w:r>
        <w:rPr>
          <w:rFonts w:ascii="Cambria" w:hAnsi="Cambria"/>
          <w:i/>
          <w:color w:val="auto"/>
          <w:sz w:val="24"/>
          <w:highlight w:val="none"/>
        </w:rPr>
        <w:sym w:font="Symbol" w:char="F060"/>
      </w:r>
      <w:r>
        <w:rPr>
          <w:rFonts w:ascii="Cambria" w:hAnsi="Cambria"/>
          <w:i/>
          <w:color w:val="auto"/>
          <w:sz w:val="24"/>
          <w:highlight w:val="none"/>
        </w:rPr>
        <w:t xml:space="preserve">P </w:t>
      </w:r>
      <w:r>
        <w:rPr>
          <w:rFonts w:hint="eastAsia" w:ascii="宋体" w:hAnsi="宋体"/>
          <w:color w:val="auto"/>
          <w:sz w:val="24"/>
          <w:highlight w:val="none"/>
        </w:rPr>
        <w:t>/</w:t>
      </w:r>
      <w:r>
        <w:rPr>
          <w:rFonts w:ascii="Cambria" w:hAnsi="Cambria"/>
          <w:i/>
          <w:color w:val="auto"/>
          <w:sz w:val="24"/>
          <w:highlight w:val="none"/>
        </w:rPr>
        <w:t>P</w:t>
      </w:r>
      <w:r>
        <w:rPr>
          <w:rFonts w:ascii="Cambria" w:hAnsi="Cambria"/>
          <w:i/>
          <w:color w:val="auto"/>
          <w:sz w:val="24"/>
          <w:highlight w:val="none"/>
          <w:vertAlign w:val="subscript"/>
        </w:rPr>
        <w:t>t</w:t>
      </w:r>
      <w:r>
        <w:rPr>
          <w:rFonts w:hint="eastAsia" w:ascii="宋体" w:hAnsi="宋体"/>
          <w:color w:val="auto"/>
          <w:sz w:val="24"/>
          <w:highlight w:val="none"/>
        </w:rPr>
        <w:t>＞1.05</w:t>
      </w:r>
      <w:r>
        <w:rPr>
          <w:rFonts w:hint="eastAsia" w:ascii="宋体" w:hAnsi="宋体"/>
          <w:color w:val="auto"/>
          <w:highlight w:val="none"/>
        </w:rPr>
        <w:t>，则：</w:t>
      </w:r>
    </w:p>
    <w:p>
      <w:pPr>
        <w:tabs>
          <w:tab w:val="left" w:pos="1620"/>
          <w:tab w:val="left" w:pos="2340"/>
        </w:tabs>
        <w:snapToGrid w:val="0"/>
        <w:spacing w:line="360" w:lineRule="auto"/>
        <w:ind w:firstLine="1200" w:firstLineChars="500"/>
        <w:rPr>
          <w:rFonts w:ascii="宋体" w:hAnsi="宋体"/>
          <w:color w:val="auto"/>
          <w:sz w:val="24"/>
          <w:highlight w:val="none"/>
        </w:rPr>
      </w:pPr>
      <w:r>
        <w:rPr>
          <w:rFonts w:hint="eastAsia" w:ascii="宋体" w:hAnsi="宋体"/>
          <w:color w:val="auto"/>
          <w:sz w:val="24"/>
          <w:highlight w:val="none"/>
        </w:rPr>
        <w:t>C</w:t>
      </w:r>
      <w:r>
        <w:rPr>
          <w:rFonts w:hint="eastAsia" w:ascii="宋体" w:hAnsi="宋体"/>
          <w:color w:val="auto"/>
          <w:sz w:val="24"/>
          <w:highlight w:val="none"/>
          <w:vertAlign w:val="subscript"/>
        </w:rPr>
        <w:t>增</w:t>
      </w:r>
      <w:r>
        <w:rPr>
          <w:rFonts w:hint="eastAsia" w:ascii="宋体" w:hAnsi="宋体"/>
          <w:color w:val="auto"/>
          <w:sz w:val="24"/>
          <w:highlight w:val="none"/>
        </w:rPr>
        <w:t>=Q</w:t>
      </w:r>
      <w:r>
        <w:rPr>
          <w:rFonts w:hint="eastAsia" w:ascii="宋体" w:hAnsi="宋体"/>
          <w:color w:val="auto"/>
          <w:sz w:val="24"/>
          <w:highlight w:val="none"/>
          <w:vertAlign w:val="subscript"/>
        </w:rPr>
        <w:t>总</w:t>
      </w:r>
      <w:r>
        <w:rPr>
          <w:rFonts w:hint="eastAsia" w:ascii="宋体" w:hAnsi="宋体"/>
          <w:color w:val="auto"/>
          <w:sz w:val="24"/>
          <w:highlight w:val="none"/>
        </w:rPr>
        <w:t>×</w:t>
      </w:r>
      <w:r>
        <w:rPr>
          <w:rFonts w:ascii="Cambria" w:hAnsi="Cambria"/>
          <w:i/>
          <w:color w:val="auto"/>
          <w:sz w:val="24"/>
          <w:highlight w:val="none"/>
        </w:rPr>
        <w:t>P</w:t>
      </w:r>
      <w:r>
        <w:rPr>
          <w:rFonts w:ascii="Cambria" w:hAnsi="Cambria"/>
          <w:i/>
          <w:color w:val="auto"/>
          <w:sz w:val="24"/>
          <w:highlight w:val="none"/>
          <w:vertAlign w:val="subscript"/>
        </w:rPr>
        <w:t>t</w:t>
      </w:r>
      <w:r>
        <w:rPr>
          <w:rFonts w:hint="eastAsia" w:ascii="宋体" w:hAnsi="宋体"/>
          <w:color w:val="auto"/>
          <w:sz w:val="24"/>
          <w:highlight w:val="none"/>
        </w:rPr>
        <w:t>×(</w:t>
      </w:r>
      <w:r>
        <w:rPr>
          <w:rFonts w:ascii="Cambria" w:hAnsi="Cambria"/>
          <w:i/>
          <w:color w:val="auto"/>
          <w:sz w:val="24"/>
          <w:highlight w:val="none"/>
        </w:rPr>
        <w:sym w:font="Symbol" w:char="F060"/>
      </w:r>
      <w:r>
        <w:rPr>
          <w:rFonts w:ascii="Cambria" w:hAnsi="Cambria"/>
          <w:i/>
          <w:color w:val="auto"/>
          <w:sz w:val="24"/>
          <w:highlight w:val="none"/>
        </w:rPr>
        <w:t xml:space="preserve">P </w:t>
      </w:r>
      <w:r>
        <w:rPr>
          <w:rFonts w:hint="eastAsia" w:ascii="宋体" w:hAnsi="宋体"/>
          <w:color w:val="auto"/>
          <w:sz w:val="24"/>
          <w:highlight w:val="none"/>
        </w:rPr>
        <w:t>/</w:t>
      </w:r>
      <w:r>
        <w:rPr>
          <w:rFonts w:ascii="Cambria" w:hAnsi="Cambria"/>
          <w:i/>
          <w:color w:val="auto"/>
          <w:sz w:val="24"/>
          <w:highlight w:val="none"/>
        </w:rPr>
        <w:t>P</w:t>
      </w:r>
      <w:r>
        <w:rPr>
          <w:rFonts w:ascii="Cambria" w:hAnsi="Cambria"/>
          <w:i/>
          <w:color w:val="auto"/>
          <w:sz w:val="24"/>
          <w:highlight w:val="none"/>
          <w:vertAlign w:val="subscript"/>
        </w:rPr>
        <w:t>t</w:t>
      </w:r>
      <w:r>
        <w:rPr>
          <w:rFonts w:hint="eastAsia" w:ascii="宋体" w:hAnsi="宋体"/>
          <w:color w:val="auto"/>
          <w:sz w:val="24"/>
          <w:highlight w:val="none"/>
        </w:rPr>
        <w:t>－1.05)</w:t>
      </w:r>
    </w:p>
    <w:p>
      <w:pPr>
        <w:tabs>
          <w:tab w:val="left" w:pos="1620"/>
          <w:tab w:val="left" w:pos="2340"/>
        </w:tabs>
        <w:snapToGrid w:val="0"/>
        <w:spacing w:before="156" w:line="360" w:lineRule="auto"/>
        <w:ind w:firstLine="1050" w:firstLineChars="500"/>
        <w:rPr>
          <w:rFonts w:ascii="宋体" w:hAnsi="宋体"/>
          <w:color w:val="auto"/>
          <w:highlight w:val="none"/>
        </w:rPr>
      </w:pPr>
      <w:r>
        <w:rPr>
          <w:rFonts w:hint="eastAsia" w:ascii="宋体" w:hAnsi="宋体"/>
          <w:color w:val="auto"/>
          <w:highlight w:val="none"/>
        </w:rPr>
        <w:t>当</w:t>
      </w:r>
      <w:r>
        <w:rPr>
          <w:rFonts w:ascii="Cambria" w:hAnsi="Cambria"/>
          <w:i/>
          <w:color w:val="auto"/>
          <w:sz w:val="24"/>
          <w:highlight w:val="none"/>
        </w:rPr>
        <w:sym w:font="Symbol" w:char="F060"/>
      </w:r>
      <w:r>
        <w:rPr>
          <w:rFonts w:ascii="Cambria" w:hAnsi="Cambria"/>
          <w:i/>
          <w:color w:val="auto"/>
          <w:sz w:val="24"/>
          <w:highlight w:val="none"/>
        </w:rPr>
        <w:t>P</w:t>
      </w:r>
      <w:r>
        <w:rPr>
          <w:rFonts w:hint="eastAsia" w:ascii="Cambria" w:hAnsi="Cambria"/>
          <w:i/>
          <w:color w:val="auto"/>
          <w:sz w:val="24"/>
          <w:highlight w:val="none"/>
        </w:rPr>
        <w:t>＜</w:t>
      </w:r>
      <w:r>
        <w:rPr>
          <w:rFonts w:ascii="Cambria" w:hAnsi="Cambria"/>
          <w:i/>
          <w:color w:val="auto"/>
          <w:sz w:val="24"/>
          <w:highlight w:val="none"/>
        </w:rPr>
        <w:t>P</w:t>
      </w:r>
      <w:r>
        <w:rPr>
          <w:rFonts w:ascii="Cambria" w:hAnsi="Cambria"/>
          <w:i/>
          <w:color w:val="auto"/>
          <w:sz w:val="24"/>
          <w:highlight w:val="none"/>
          <w:vertAlign w:val="subscript"/>
        </w:rPr>
        <w:t>0</w:t>
      </w:r>
      <w:r>
        <w:rPr>
          <w:rFonts w:hint="eastAsia" w:ascii="宋体" w:hAnsi="宋体"/>
          <w:color w:val="auto"/>
          <w:highlight w:val="none"/>
        </w:rPr>
        <w:t>时：</w:t>
      </w:r>
    </w:p>
    <w:p>
      <w:pPr>
        <w:tabs>
          <w:tab w:val="left" w:pos="1620"/>
          <w:tab w:val="left" w:pos="2340"/>
        </w:tabs>
        <w:snapToGrid w:val="0"/>
        <w:spacing w:line="360" w:lineRule="auto"/>
        <w:ind w:firstLine="1200" w:firstLineChars="500"/>
        <w:rPr>
          <w:rFonts w:ascii="宋体" w:hAnsi="宋体"/>
          <w:color w:val="auto"/>
          <w:highlight w:val="none"/>
        </w:rPr>
      </w:pPr>
      <w:r>
        <w:rPr>
          <w:rFonts w:hint="eastAsia" w:ascii="Cambria" w:hAnsi="Cambria"/>
          <w:color w:val="auto"/>
          <w:sz w:val="24"/>
          <w:highlight w:val="none"/>
        </w:rPr>
        <w:t>①</w:t>
      </w:r>
      <w:r>
        <w:rPr>
          <w:rFonts w:ascii="Cambria" w:hAnsi="Cambria"/>
          <w:i/>
          <w:color w:val="auto"/>
          <w:sz w:val="24"/>
          <w:highlight w:val="none"/>
        </w:rPr>
        <w:t>P</w:t>
      </w:r>
      <w:r>
        <w:rPr>
          <w:rFonts w:ascii="Cambria" w:hAnsi="Cambria"/>
          <w:i/>
          <w:color w:val="auto"/>
          <w:sz w:val="24"/>
          <w:highlight w:val="none"/>
          <w:vertAlign w:val="subscript"/>
        </w:rPr>
        <w:t>t</w:t>
      </w:r>
      <w:r>
        <w:rPr>
          <w:rFonts w:hint="eastAsia" w:ascii="Cambria" w:hAnsi="Cambria"/>
          <w:i/>
          <w:color w:val="auto"/>
          <w:sz w:val="24"/>
          <w:highlight w:val="none"/>
        </w:rPr>
        <w:t>＜</w:t>
      </w:r>
      <w:r>
        <w:rPr>
          <w:rFonts w:ascii="Cambria" w:hAnsi="Cambria"/>
          <w:i/>
          <w:color w:val="auto"/>
          <w:sz w:val="24"/>
          <w:highlight w:val="none"/>
        </w:rPr>
        <w:t>P</w:t>
      </w:r>
      <w:r>
        <w:rPr>
          <w:rFonts w:ascii="Cambria" w:hAnsi="Cambria"/>
          <w:i/>
          <w:color w:val="auto"/>
          <w:sz w:val="24"/>
          <w:highlight w:val="none"/>
          <w:vertAlign w:val="subscript"/>
        </w:rPr>
        <w:t>0</w:t>
      </w:r>
      <w:r>
        <w:rPr>
          <w:rFonts w:hint="eastAsia" w:ascii="宋体" w:hAnsi="宋体"/>
          <w:color w:val="auto"/>
          <w:highlight w:val="none"/>
        </w:rPr>
        <w:t>，且</w:t>
      </w:r>
      <w:r>
        <w:rPr>
          <w:rFonts w:ascii="Cambria" w:hAnsi="Cambria"/>
          <w:i/>
          <w:color w:val="auto"/>
          <w:sz w:val="24"/>
          <w:highlight w:val="none"/>
        </w:rPr>
        <w:sym w:font="Symbol" w:char="F060"/>
      </w:r>
      <w:r>
        <w:rPr>
          <w:rFonts w:ascii="Cambria" w:hAnsi="Cambria"/>
          <w:i/>
          <w:color w:val="auto"/>
          <w:sz w:val="24"/>
          <w:highlight w:val="none"/>
        </w:rPr>
        <w:t xml:space="preserve">P </w:t>
      </w:r>
      <w:r>
        <w:rPr>
          <w:rFonts w:hint="eastAsia" w:ascii="宋体" w:hAnsi="宋体"/>
          <w:color w:val="auto"/>
          <w:sz w:val="24"/>
          <w:highlight w:val="none"/>
        </w:rPr>
        <w:t>/</w:t>
      </w:r>
      <w:r>
        <w:rPr>
          <w:rFonts w:ascii="Cambria" w:hAnsi="Cambria"/>
          <w:i/>
          <w:color w:val="auto"/>
          <w:sz w:val="24"/>
          <w:highlight w:val="none"/>
        </w:rPr>
        <w:t>P</w:t>
      </w:r>
      <w:r>
        <w:rPr>
          <w:rFonts w:ascii="Cambria" w:hAnsi="Cambria"/>
          <w:i/>
          <w:color w:val="auto"/>
          <w:sz w:val="24"/>
          <w:highlight w:val="none"/>
          <w:vertAlign w:val="subscript"/>
        </w:rPr>
        <w:t>t</w:t>
      </w:r>
      <w:r>
        <w:rPr>
          <w:rFonts w:hint="eastAsia" w:ascii="Cambria" w:hAnsi="Cambria"/>
          <w:color w:val="auto"/>
          <w:sz w:val="24"/>
          <w:highlight w:val="none"/>
        </w:rPr>
        <w:t>＜</w:t>
      </w:r>
      <w:r>
        <w:rPr>
          <w:rFonts w:hint="eastAsia" w:ascii="宋体" w:hAnsi="宋体"/>
          <w:color w:val="auto"/>
          <w:sz w:val="24"/>
          <w:highlight w:val="none"/>
        </w:rPr>
        <w:t>0.95</w:t>
      </w:r>
      <w:r>
        <w:rPr>
          <w:rFonts w:hint="eastAsia" w:ascii="宋体" w:hAnsi="宋体"/>
          <w:color w:val="auto"/>
          <w:highlight w:val="none"/>
        </w:rPr>
        <w:t>，则：</w:t>
      </w:r>
    </w:p>
    <w:p>
      <w:pPr>
        <w:tabs>
          <w:tab w:val="left" w:pos="1620"/>
          <w:tab w:val="left" w:pos="2340"/>
        </w:tabs>
        <w:snapToGrid w:val="0"/>
        <w:spacing w:line="360" w:lineRule="auto"/>
        <w:ind w:firstLine="1200" w:firstLineChars="500"/>
        <w:rPr>
          <w:rFonts w:ascii="宋体" w:hAnsi="宋体"/>
          <w:color w:val="auto"/>
          <w:sz w:val="24"/>
          <w:highlight w:val="none"/>
        </w:rPr>
      </w:pPr>
      <w:r>
        <w:rPr>
          <w:rFonts w:hint="eastAsia" w:ascii="宋体" w:hAnsi="宋体"/>
          <w:color w:val="auto"/>
          <w:sz w:val="24"/>
          <w:highlight w:val="none"/>
        </w:rPr>
        <w:t>C</w:t>
      </w:r>
      <w:r>
        <w:rPr>
          <w:rFonts w:hint="eastAsia" w:ascii="宋体" w:hAnsi="宋体"/>
          <w:color w:val="auto"/>
          <w:sz w:val="24"/>
          <w:highlight w:val="none"/>
          <w:vertAlign w:val="subscript"/>
        </w:rPr>
        <w:t>减</w:t>
      </w:r>
      <w:r>
        <w:rPr>
          <w:rFonts w:hint="eastAsia" w:ascii="宋体" w:hAnsi="宋体"/>
          <w:color w:val="auto"/>
          <w:sz w:val="24"/>
          <w:highlight w:val="none"/>
        </w:rPr>
        <w:t>=</w:t>
      </w:r>
      <w:r>
        <w:rPr>
          <w:rFonts w:ascii="Cambria" w:hAnsi="Cambria"/>
          <w:i/>
          <w:color w:val="auto"/>
          <w:sz w:val="24"/>
          <w:highlight w:val="none"/>
        </w:rPr>
        <w:t>Q</w:t>
      </w:r>
      <w:r>
        <w:rPr>
          <w:rFonts w:hint="eastAsia" w:ascii="宋体" w:hAnsi="宋体"/>
          <w:color w:val="auto"/>
          <w:sz w:val="24"/>
          <w:highlight w:val="none"/>
          <w:vertAlign w:val="subscript"/>
        </w:rPr>
        <w:t>总</w:t>
      </w:r>
      <w:r>
        <w:rPr>
          <w:rFonts w:hint="eastAsia" w:ascii="宋体" w:hAnsi="宋体"/>
          <w:color w:val="auto"/>
          <w:sz w:val="24"/>
          <w:highlight w:val="none"/>
        </w:rPr>
        <w:t>×</w:t>
      </w:r>
      <w:r>
        <w:rPr>
          <w:rFonts w:ascii="Cambria" w:hAnsi="Cambria"/>
          <w:i/>
          <w:color w:val="auto"/>
          <w:sz w:val="24"/>
          <w:highlight w:val="none"/>
        </w:rPr>
        <w:t>P</w:t>
      </w:r>
      <w:r>
        <w:rPr>
          <w:rFonts w:ascii="Cambria" w:hAnsi="Cambria"/>
          <w:i/>
          <w:color w:val="auto"/>
          <w:sz w:val="24"/>
          <w:highlight w:val="none"/>
          <w:vertAlign w:val="subscript"/>
        </w:rPr>
        <w:t>t</w:t>
      </w:r>
      <w:r>
        <w:rPr>
          <w:rFonts w:hint="eastAsia" w:ascii="宋体" w:hAnsi="宋体"/>
          <w:color w:val="auto"/>
          <w:sz w:val="24"/>
          <w:highlight w:val="none"/>
        </w:rPr>
        <w:t>×(0.95－</w:t>
      </w:r>
      <w:r>
        <w:rPr>
          <w:rFonts w:ascii="Cambria" w:hAnsi="Cambria"/>
          <w:i/>
          <w:color w:val="auto"/>
          <w:sz w:val="24"/>
          <w:highlight w:val="none"/>
        </w:rPr>
        <w:sym w:font="Symbol" w:char="F060"/>
      </w:r>
      <w:r>
        <w:rPr>
          <w:rFonts w:ascii="Cambria" w:hAnsi="Cambria"/>
          <w:i/>
          <w:color w:val="auto"/>
          <w:sz w:val="24"/>
          <w:highlight w:val="none"/>
        </w:rPr>
        <w:t xml:space="preserve">P </w:t>
      </w:r>
      <w:r>
        <w:rPr>
          <w:rFonts w:hint="eastAsia" w:ascii="宋体" w:hAnsi="宋体"/>
          <w:color w:val="auto"/>
          <w:sz w:val="24"/>
          <w:highlight w:val="none"/>
        </w:rPr>
        <w:t>/</w:t>
      </w:r>
      <w:r>
        <w:rPr>
          <w:rFonts w:ascii="Cambria" w:hAnsi="Cambria"/>
          <w:i/>
          <w:color w:val="auto"/>
          <w:sz w:val="24"/>
          <w:highlight w:val="none"/>
        </w:rPr>
        <w:t>P</w:t>
      </w:r>
      <w:r>
        <w:rPr>
          <w:rFonts w:ascii="Cambria" w:hAnsi="Cambria"/>
          <w:i/>
          <w:color w:val="auto"/>
          <w:sz w:val="24"/>
          <w:highlight w:val="none"/>
          <w:vertAlign w:val="subscript"/>
        </w:rPr>
        <w:t>t</w:t>
      </w:r>
      <w:r>
        <w:rPr>
          <w:rFonts w:hint="eastAsia" w:ascii="宋体" w:hAnsi="宋体"/>
          <w:color w:val="auto"/>
          <w:sz w:val="24"/>
          <w:highlight w:val="none"/>
        </w:rPr>
        <w:t>)</w:t>
      </w:r>
    </w:p>
    <w:p>
      <w:pPr>
        <w:tabs>
          <w:tab w:val="left" w:pos="1620"/>
          <w:tab w:val="left" w:pos="2340"/>
        </w:tabs>
        <w:snapToGrid w:val="0"/>
        <w:spacing w:line="360" w:lineRule="auto"/>
        <w:ind w:firstLine="1200" w:firstLineChars="500"/>
        <w:rPr>
          <w:rFonts w:ascii="宋体" w:hAnsi="宋体"/>
          <w:color w:val="auto"/>
          <w:highlight w:val="none"/>
        </w:rPr>
      </w:pPr>
      <w:r>
        <w:rPr>
          <w:rFonts w:hint="eastAsia" w:ascii="Cambria" w:hAnsi="Cambria"/>
          <w:color w:val="auto"/>
          <w:sz w:val="24"/>
          <w:highlight w:val="none"/>
        </w:rPr>
        <w:t>②</w:t>
      </w:r>
      <w:r>
        <w:rPr>
          <w:rFonts w:ascii="Cambria" w:hAnsi="Cambria"/>
          <w:i/>
          <w:color w:val="auto"/>
          <w:sz w:val="24"/>
          <w:highlight w:val="none"/>
        </w:rPr>
        <w:t>P</w:t>
      </w:r>
      <w:r>
        <w:rPr>
          <w:rFonts w:ascii="Cambria" w:hAnsi="Cambria"/>
          <w:i/>
          <w:color w:val="auto"/>
          <w:sz w:val="24"/>
          <w:highlight w:val="none"/>
          <w:vertAlign w:val="subscript"/>
        </w:rPr>
        <w:t>t</w:t>
      </w:r>
      <w:r>
        <w:rPr>
          <w:rFonts w:hint="eastAsia" w:ascii="宋体" w:hAnsi="宋体"/>
          <w:color w:val="auto"/>
          <w:sz w:val="24"/>
          <w:highlight w:val="none"/>
        </w:rPr>
        <w:t>≥</w:t>
      </w:r>
      <w:r>
        <w:rPr>
          <w:rFonts w:ascii="Cambria" w:hAnsi="Cambria"/>
          <w:i/>
          <w:color w:val="auto"/>
          <w:sz w:val="24"/>
          <w:highlight w:val="none"/>
        </w:rPr>
        <w:t>P</w:t>
      </w:r>
      <w:r>
        <w:rPr>
          <w:rFonts w:ascii="Cambria" w:hAnsi="Cambria"/>
          <w:i/>
          <w:color w:val="auto"/>
          <w:sz w:val="24"/>
          <w:highlight w:val="none"/>
          <w:vertAlign w:val="subscript"/>
        </w:rPr>
        <w:t>0</w:t>
      </w:r>
      <w:r>
        <w:rPr>
          <w:rFonts w:hint="eastAsia" w:ascii="宋体" w:hAnsi="宋体"/>
          <w:color w:val="auto"/>
          <w:highlight w:val="none"/>
        </w:rPr>
        <w:t>，且</w:t>
      </w:r>
      <w:r>
        <w:rPr>
          <w:rFonts w:ascii="Cambria" w:hAnsi="Cambria"/>
          <w:i/>
          <w:color w:val="auto"/>
          <w:sz w:val="24"/>
          <w:highlight w:val="none"/>
        </w:rPr>
        <w:sym w:font="Symbol" w:char="F060"/>
      </w:r>
      <w:r>
        <w:rPr>
          <w:rFonts w:ascii="Cambria" w:hAnsi="Cambria"/>
          <w:i/>
          <w:color w:val="auto"/>
          <w:sz w:val="24"/>
          <w:highlight w:val="none"/>
        </w:rPr>
        <w:t>P</w:t>
      </w:r>
      <w:r>
        <w:rPr>
          <w:rFonts w:ascii="Times New Roman" w:hAnsi="Times New Roman"/>
          <w:color w:val="auto"/>
          <w:highlight w:val="none"/>
        </w:rPr>
        <w:t xml:space="preserve"> </w:t>
      </w:r>
      <w:r>
        <w:rPr>
          <w:rFonts w:hint="eastAsia" w:ascii="宋体" w:hAnsi="宋体"/>
          <w:color w:val="auto"/>
          <w:sz w:val="24"/>
          <w:highlight w:val="none"/>
        </w:rPr>
        <w:t>/</w:t>
      </w:r>
      <w:r>
        <w:rPr>
          <w:rFonts w:ascii="Cambria" w:hAnsi="Cambria"/>
          <w:i/>
          <w:color w:val="auto"/>
          <w:sz w:val="24"/>
          <w:highlight w:val="none"/>
        </w:rPr>
        <w:t>P</w:t>
      </w:r>
      <w:r>
        <w:rPr>
          <w:rFonts w:ascii="Cambria" w:hAnsi="Cambria"/>
          <w:i/>
          <w:color w:val="auto"/>
          <w:sz w:val="24"/>
          <w:highlight w:val="none"/>
          <w:vertAlign w:val="subscript"/>
        </w:rPr>
        <w:t>0</w:t>
      </w:r>
      <w:r>
        <w:rPr>
          <w:rFonts w:hint="eastAsia" w:ascii="Cambria" w:hAnsi="Cambria"/>
          <w:color w:val="auto"/>
          <w:sz w:val="24"/>
          <w:highlight w:val="none"/>
        </w:rPr>
        <w:t>＜</w:t>
      </w:r>
      <w:r>
        <w:rPr>
          <w:rFonts w:hint="eastAsia" w:ascii="宋体" w:hAnsi="宋体"/>
          <w:color w:val="auto"/>
          <w:sz w:val="24"/>
          <w:highlight w:val="none"/>
        </w:rPr>
        <w:t>0.95</w:t>
      </w:r>
      <w:r>
        <w:rPr>
          <w:rFonts w:hint="eastAsia" w:ascii="宋体" w:hAnsi="宋体"/>
          <w:color w:val="auto"/>
          <w:highlight w:val="none"/>
        </w:rPr>
        <w:t>，则：</w:t>
      </w:r>
    </w:p>
    <w:p>
      <w:pPr>
        <w:tabs>
          <w:tab w:val="left" w:pos="1620"/>
          <w:tab w:val="left" w:pos="2340"/>
        </w:tabs>
        <w:snapToGrid w:val="0"/>
        <w:spacing w:line="360" w:lineRule="auto"/>
        <w:ind w:firstLine="1200" w:firstLineChars="500"/>
        <w:rPr>
          <w:rFonts w:ascii="宋体" w:hAnsi="宋体"/>
          <w:color w:val="auto"/>
          <w:sz w:val="24"/>
          <w:highlight w:val="none"/>
        </w:rPr>
      </w:pPr>
      <w:r>
        <w:rPr>
          <w:rFonts w:hint="eastAsia" w:ascii="宋体" w:hAnsi="宋体"/>
          <w:color w:val="auto"/>
          <w:sz w:val="24"/>
          <w:highlight w:val="none"/>
        </w:rPr>
        <w:t>C</w:t>
      </w:r>
      <w:r>
        <w:rPr>
          <w:rFonts w:hint="eastAsia" w:ascii="宋体" w:hAnsi="宋体"/>
          <w:color w:val="auto"/>
          <w:sz w:val="24"/>
          <w:highlight w:val="none"/>
          <w:vertAlign w:val="subscript"/>
        </w:rPr>
        <w:t>减</w:t>
      </w:r>
      <w:r>
        <w:rPr>
          <w:rFonts w:hint="eastAsia" w:ascii="宋体" w:hAnsi="宋体"/>
          <w:color w:val="auto"/>
          <w:sz w:val="24"/>
          <w:highlight w:val="none"/>
        </w:rPr>
        <w:t>=</w:t>
      </w:r>
      <w:r>
        <w:rPr>
          <w:rFonts w:ascii="Cambria" w:hAnsi="Cambria"/>
          <w:i/>
          <w:color w:val="auto"/>
          <w:sz w:val="24"/>
          <w:highlight w:val="none"/>
        </w:rPr>
        <w:t>Q</w:t>
      </w:r>
      <w:r>
        <w:rPr>
          <w:rFonts w:hint="eastAsia" w:ascii="宋体" w:hAnsi="宋体"/>
          <w:color w:val="auto"/>
          <w:sz w:val="24"/>
          <w:highlight w:val="none"/>
          <w:vertAlign w:val="subscript"/>
        </w:rPr>
        <w:t>总</w:t>
      </w:r>
      <w:r>
        <w:rPr>
          <w:rFonts w:hint="eastAsia" w:ascii="宋体" w:hAnsi="宋体"/>
          <w:color w:val="auto"/>
          <w:sz w:val="24"/>
          <w:highlight w:val="none"/>
        </w:rPr>
        <w:t>×</w:t>
      </w:r>
      <w:r>
        <w:rPr>
          <w:rFonts w:ascii="Cambria" w:hAnsi="Cambria"/>
          <w:i/>
          <w:color w:val="auto"/>
          <w:sz w:val="24"/>
          <w:highlight w:val="none"/>
        </w:rPr>
        <w:t>P</w:t>
      </w:r>
      <w:r>
        <w:rPr>
          <w:rFonts w:ascii="Cambria" w:hAnsi="Cambria"/>
          <w:i/>
          <w:color w:val="auto"/>
          <w:sz w:val="24"/>
          <w:highlight w:val="none"/>
          <w:vertAlign w:val="subscript"/>
        </w:rPr>
        <w:t>t</w:t>
      </w:r>
      <w:r>
        <w:rPr>
          <w:rFonts w:hint="eastAsia" w:ascii="宋体" w:hAnsi="宋体"/>
          <w:color w:val="auto"/>
          <w:sz w:val="24"/>
          <w:highlight w:val="none"/>
        </w:rPr>
        <w:t>×(0.95－</w:t>
      </w:r>
      <w:r>
        <w:rPr>
          <w:rFonts w:ascii="Cambria" w:hAnsi="Cambria"/>
          <w:i/>
          <w:color w:val="auto"/>
          <w:sz w:val="24"/>
          <w:highlight w:val="none"/>
        </w:rPr>
        <w:sym w:font="Symbol" w:char="F060"/>
      </w:r>
      <w:r>
        <w:rPr>
          <w:rFonts w:ascii="Cambria" w:hAnsi="Cambria"/>
          <w:i/>
          <w:color w:val="auto"/>
          <w:sz w:val="24"/>
          <w:highlight w:val="none"/>
        </w:rPr>
        <w:t xml:space="preserve">P </w:t>
      </w:r>
      <w:r>
        <w:rPr>
          <w:rFonts w:hint="eastAsia" w:ascii="宋体" w:hAnsi="宋体"/>
          <w:color w:val="auto"/>
          <w:sz w:val="24"/>
          <w:highlight w:val="none"/>
        </w:rPr>
        <w:t>/</w:t>
      </w:r>
      <w:r>
        <w:rPr>
          <w:rFonts w:ascii="Cambria" w:hAnsi="Cambria"/>
          <w:i/>
          <w:color w:val="auto"/>
          <w:sz w:val="24"/>
          <w:highlight w:val="none"/>
        </w:rPr>
        <w:t>P</w:t>
      </w:r>
      <w:r>
        <w:rPr>
          <w:rFonts w:ascii="Cambria" w:hAnsi="Cambria"/>
          <w:i/>
          <w:color w:val="auto"/>
          <w:sz w:val="24"/>
          <w:highlight w:val="none"/>
          <w:vertAlign w:val="subscript"/>
        </w:rPr>
        <w:t>0</w:t>
      </w:r>
      <w:r>
        <w:rPr>
          <w:rFonts w:hint="eastAsia" w:ascii="宋体" w:hAnsi="宋体"/>
          <w:color w:val="auto"/>
          <w:sz w:val="24"/>
          <w:highlight w:val="none"/>
        </w:rPr>
        <w:t>)</w:t>
      </w:r>
    </w:p>
    <w:p>
      <w:pPr>
        <w:tabs>
          <w:tab w:val="left" w:pos="1620"/>
          <w:tab w:val="left" w:pos="2340"/>
        </w:tabs>
        <w:spacing w:before="156" w:line="360" w:lineRule="auto"/>
        <w:ind w:left="1260"/>
        <w:rPr>
          <w:rFonts w:ascii="宋体" w:hAnsi="宋体"/>
          <w:color w:val="auto"/>
          <w:highlight w:val="none"/>
        </w:rPr>
      </w:pPr>
      <w:r>
        <w:rPr>
          <w:rFonts w:hint="eastAsia" w:ascii="宋体" w:hAnsi="宋体"/>
          <w:color w:val="auto"/>
          <w:highlight w:val="none"/>
        </w:rPr>
        <w:t>式中：</w:t>
      </w:r>
    </w:p>
    <w:p>
      <w:pPr>
        <w:tabs>
          <w:tab w:val="left" w:pos="1620"/>
          <w:tab w:val="left" w:pos="2340"/>
        </w:tabs>
        <w:snapToGrid w:val="0"/>
        <w:spacing w:line="360" w:lineRule="auto"/>
        <w:ind w:left="1440"/>
        <w:rPr>
          <w:rFonts w:ascii="宋体" w:hAnsi="宋体"/>
          <w:color w:val="auto"/>
          <w:highlight w:val="none"/>
        </w:rPr>
      </w:pPr>
      <w:r>
        <w:rPr>
          <w:rFonts w:hint="eastAsia" w:ascii="宋体" w:hAnsi="宋体"/>
          <w:color w:val="auto"/>
          <w:sz w:val="24"/>
          <w:highlight w:val="none"/>
        </w:rPr>
        <w:t>P</w:t>
      </w:r>
      <w:r>
        <w:rPr>
          <w:rFonts w:hint="eastAsia" w:ascii="宋体" w:hAnsi="宋体"/>
          <w:color w:val="auto"/>
          <w:sz w:val="24"/>
          <w:highlight w:val="none"/>
          <w:vertAlign w:val="subscript"/>
        </w:rPr>
        <w:t>0</w:t>
      </w:r>
      <w:r>
        <w:rPr>
          <w:rFonts w:hint="eastAsia" w:ascii="宋体" w:hAnsi="宋体"/>
          <w:color w:val="auto"/>
          <w:highlight w:val="none"/>
        </w:rPr>
        <w:t>－投标截止日期已出版的最新一期或约定一期《深圳市建设工程价格信息》发布的某材料价格。示例：如《深圳市建设工程价格信息》2015年第6期出版时间是2015年6月5日，投标截止日期如果是2015年6月4日或6月5日，则</w:t>
      </w:r>
      <w:r>
        <w:rPr>
          <w:rFonts w:hint="eastAsia" w:ascii="宋体" w:hAnsi="宋体"/>
          <w:color w:val="auto"/>
          <w:sz w:val="24"/>
          <w:highlight w:val="none"/>
        </w:rPr>
        <w:t>P</w:t>
      </w:r>
      <w:r>
        <w:rPr>
          <w:rFonts w:hint="eastAsia" w:ascii="宋体" w:hAnsi="宋体"/>
          <w:color w:val="auto"/>
          <w:sz w:val="24"/>
          <w:highlight w:val="none"/>
          <w:vertAlign w:val="subscript"/>
        </w:rPr>
        <w:t>0</w:t>
      </w:r>
      <w:r>
        <w:rPr>
          <w:rFonts w:hint="eastAsia" w:ascii="宋体" w:hAnsi="宋体"/>
          <w:color w:val="auto"/>
          <w:highlight w:val="none"/>
        </w:rPr>
        <w:t>对应的信息价是指2015年第5期《深圳市建设工程价格信息》，投标截止日期如果是2015年6月6日，则</w:t>
      </w:r>
      <w:r>
        <w:rPr>
          <w:rFonts w:hint="eastAsia" w:ascii="宋体" w:hAnsi="宋体"/>
          <w:color w:val="auto"/>
          <w:sz w:val="24"/>
          <w:highlight w:val="none"/>
        </w:rPr>
        <w:t>P</w:t>
      </w:r>
      <w:r>
        <w:rPr>
          <w:rFonts w:hint="eastAsia" w:ascii="宋体" w:hAnsi="宋体"/>
          <w:color w:val="auto"/>
          <w:sz w:val="24"/>
          <w:highlight w:val="none"/>
          <w:vertAlign w:val="subscript"/>
        </w:rPr>
        <w:t>0</w:t>
      </w:r>
      <w:r>
        <w:rPr>
          <w:rFonts w:hint="eastAsia" w:ascii="宋体" w:hAnsi="宋体"/>
          <w:color w:val="auto"/>
          <w:highlight w:val="none"/>
        </w:rPr>
        <w:t>对应的信息价是指2015年第6期《深圳市建设工程价格信息》。</w:t>
      </w:r>
    </w:p>
    <w:p>
      <w:pPr>
        <w:tabs>
          <w:tab w:val="left" w:pos="1620"/>
          <w:tab w:val="left" w:pos="2340"/>
        </w:tabs>
        <w:snapToGrid w:val="0"/>
        <w:spacing w:line="360" w:lineRule="auto"/>
        <w:ind w:left="1440"/>
        <w:rPr>
          <w:rFonts w:ascii="宋体" w:hAnsi="宋体"/>
          <w:color w:val="auto"/>
          <w:highlight w:val="none"/>
        </w:rPr>
      </w:pPr>
      <w:r>
        <w:rPr>
          <w:rFonts w:hint="eastAsia" w:ascii="宋体" w:hAnsi="宋体"/>
          <w:color w:val="auto"/>
          <w:sz w:val="24"/>
          <w:highlight w:val="none"/>
        </w:rPr>
        <w:t>P</w:t>
      </w:r>
      <w:r>
        <w:rPr>
          <w:rFonts w:hint="eastAsia" w:ascii="宋体" w:hAnsi="宋体"/>
          <w:color w:val="auto"/>
          <w:sz w:val="24"/>
          <w:highlight w:val="none"/>
          <w:vertAlign w:val="subscript"/>
        </w:rPr>
        <w:t>t</w:t>
      </w:r>
      <w:r>
        <w:rPr>
          <w:rFonts w:hint="eastAsia" w:ascii="宋体" w:hAnsi="宋体"/>
          <w:color w:val="auto"/>
          <w:highlight w:val="none"/>
        </w:rPr>
        <w:t>－承包人投标文件商务标书中某材料的投标单价，如投标报价中无法确认某材料的单价时，则P</w:t>
      </w:r>
      <w:r>
        <w:rPr>
          <w:rFonts w:hint="eastAsia" w:ascii="宋体" w:hAnsi="宋体"/>
          <w:color w:val="auto"/>
          <w:highlight w:val="none"/>
          <w:vertAlign w:val="subscript"/>
        </w:rPr>
        <w:t>t</w:t>
      </w:r>
      <w:r>
        <w:rPr>
          <w:rFonts w:hint="eastAsia" w:ascii="宋体" w:hAnsi="宋体"/>
          <w:color w:val="auto"/>
          <w:highlight w:val="none"/>
        </w:rPr>
        <w:t>取值为P</w:t>
      </w:r>
      <w:r>
        <w:rPr>
          <w:rFonts w:hint="eastAsia" w:ascii="宋体" w:hAnsi="宋体"/>
          <w:color w:val="auto"/>
          <w:highlight w:val="none"/>
          <w:vertAlign w:val="subscript"/>
        </w:rPr>
        <w:t>0</w:t>
      </w:r>
      <w:r>
        <w:rPr>
          <w:rFonts w:hint="eastAsia" w:ascii="宋体" w:hAnsi="宋体"/>
          <w:color w:val="auto"/>
          <w:sz w:val="24"/>
          <w:highlight w:val="none"/>
        </w:rPr>
        <w:t>×</w:t>
      </w:r>
      <w:r>
        <w:rPr>
          <w:rFonts w:hint="eastAsia" w:ascii="宋体" w:hAnsi="宋体"/>
          <w:color w:val="auto"/>
          <w:highlight w:val="none"/>
        </w:rPr>
        <w:t>（1-投标总价净下浮率）；</w:t>
      </w:r>
    </w:p>
    <w:p>
      <w:pPr>
        <w:tabs>
          <w:tab w:val="left" w:pos="1620"/>
          <w:tab w:val="left" w:pos="2340"/>
        </w:tabs>
        <w:snapToGrid w:val="0"/>
        <w:spacing w:line="360" w:lineRule="auto"/>
        <w:ind w:left="1440"/>
        <w:rPr>
          <w:rFonts w:ascii="宋体" w:hAnsi="宋体"/>
          <w:color w:val="auto"/>
          <w:highlight w:val="none"/>
        </w:rPr>
      </w:pPr>
      <w:r>
        <w:rPr>
          <w:rFonts w:hint="eastAsia" w:ascii="宋体" w:hAnsi="宋体"/>
          <w:color w:val="auto"/>
          <w:sz w:val="24"/>
          <w:highlight w:val="none"/>
        </w:rPr>
        <w:t>C</w:t>
      </w:r>
      <w:r>
        <w:rPr>
          <w:rFonts w:hint="eastAsia" w:ascii="宋体" w:hAnsi="宋体"/>
          <w:color w:val="auto"/>
          <w:sz w:val="24"/>
          <w:highlight w:val="none"/>
          <w:vertAlign w:val="subscript"/>
        </w:rPr>
        <w:t>增</w:t>
      </w:r>
      <w:r>
        <w:rPr>
          <w:rFonts w:hint="eastAsia" w:ascii="宋体" w:hAnsi="宋体"/>
          <w:color w:val="auto"/>
          <w:highlight w:val="none"/>
        </w:rPr>
        <w:t>－调增合同价格；</w:t>
      </w:r>
    </w:p>
    <w:p>
      <w:pPr>
        <w:tabs>
          <w:tab w:val="left" w:pos="1620"/>
          <w:tab w:val="left" w:pos="2340"/>
        </w:tabs>
        <w:snapToGrid w:val="0"/>
        <w:spacing w:line="360" w:lineRule="auto"/>
        <w:ind w:left="1440"/>
        <w:rPr>
          <w:rFonts w:ascii="宋体" w:hAnsi="宋体"/>
          <w:color w:val="auto"/>
          <w:highlight w:val="none"/>
        </w:rPr>
      </w:pPr>
      <w:r>
        <w:rPr>
          <w:rFonts w:hint="eastAsia" w:ascii="宋体" w:hAnsi="宋体"/>
          <w:color w:val="auto"/>
          <w:sz w:val="24"/>
          <w:highlight w:val="none"/>
        </w:rPr>
        <w:t>C</w:t>
      </w:r>
      <w:r>
        <w:rPr>
          <w:rFonts w:hint="eastAsia" w:ascii="宋体" w:hAnsi="宋体"/>
          <w:color w:val="auto"/>
          <w:sz w:val="24"/>
          <w:highlight w:val="none"/>
          <w:vertAlign w:val="subscript"/>
        </w:rPr>
        <w:t>减</w:t>
      </w:r>
      <w:r>
        <w:rPr>
          <w:rFonts w:hint="eastAsia" w:ascii="宋体" w:hAnsi="宋体"/>
          <w:color w:val="auto"/>
          <w:highlight w:val="none"/>
        </w:rPr>
        <w:t>－调减合同价格；</w:t>
      </w:r>
    </w:p>
    <w:p>
      <w:pPr>
        <w:tabs>
          <w:tab w:val="left" w:pos="1620"/>
          <w:tab w:val="left" w:pos="2340"/>
        </w:tabs>
        <w:snapToGrid w:val="0"/>
        <w:spacing w:line="360" w:lineRule="auto"/>
        <w:ind w:left="1440"/>
        <w:rPr>
          <w:rFonts w:ascii="宋体" w:hAnsi="宋体"/>
          <w:color w:val="auto"/>
          <w:highlight w:val="none"/>
        </w:rPr>
      </w:pPr>
      <w:r>
        <w:rPr>
          <w:rFonts w:hint="eastAsia" w:ascii="宋体" w:hAnsi="宋体"/>
          <w:color w:val="auto"/>
          <w:sz w:val="24"/>
          <w:highlight w:val="none"/>
        </w:rPr>
        <w:t>Q</w:t>
      </w:r>
      <w:r>
        <w:rPr>
          <w:rFonts w:hint="eastAsia" w:ascii="宋体" w:hAnsi="宋体"/>
          <w:color w:val="auto"/>
          <w:sz w:val="24"/>
          <w:highlight w:val="none"/>
          <w:vertAlign w:val="subscript"/>
        </w:rPr>
        <w:t>总</w:t>
      </w:r>
      <w:r>
        <w:rPr>
          <w:rFonts w:hint="eastAsia" w:ascii="宋体" w:hAnsi="宋体"/>
          <w:color w:val="auto"/>
          <w:highlight w:val="none"/>
        </w:rPr>
        <w:t>－本工程某材料根据图纸计算并考虑投标报价中材料消耗量之后的总工程量。</w:t>
      </w:r>
    </w:p>
    <w:p>
      <w:pPr>
        <w:tabs>
          <w:tab w:val="left" w:pos="1620"/>
          <w:tab w:val="left" w:pos="2340"/>
        </w:tabs>
        <w:snapToGrid w:val="0"/>
        <w:spacing w:before="120" w:beforeLines="50" w:line="360" w:lineRule="auto"/>
        <w:ind w:firstLine="1050" w:firstLineChars="500"/>
        <w:rPr>
          <w:rFonts w:ascii="宋体" w:hAnsi="宋体"/>
          <w:color w:val="auto"/>
          <w:kern w:val="0"/>
          <w:highlight w:val="none"/>
        </w:rPr>
      </w:pPr>
      <w:r>
        <w:rPr>
          <w:rFonts w:ascii="Times New Roman" w:hAnsi="Times New Roman"/>
          <w:color w:val="auto"/>
          <w:highlight w:val="none"/>
        </w:rPr>
        <w:t xml:space="preserve">   </w:t>
      </w:r>
      <w:r>
        <w:rPr>
          <w:rFonts w:ascii="Cambria" w:hAnsi="Cambria"/>
          <w:i/>
          <w:color w:val="auto"/>
          <w:sz w:val="24"/>
          <w:highlight w:val="none"/>
        </w:rPr>
        <w:sym w:font="Symbol" w:char="F060"/>
      </w:r>
      <w:r>
        <w:rPr>
          <w:rFonts w:ascii="Cambria" w:hAnsi="Cambria"/>
          <w:i/>
          <w:color w:val="auto"/>
          <w:sz w:val="24"/>
          <w:highlight w:val="none"/>
        </w:rPr>
        <w:t>P</w:t>
      </w:r>
      <w:r>
        <w:rPr>
          <w:rFonts w:hint="eastAsia" w:ascii="宋体" w:hAnsi="宋体"/>
          <w:color w:val="auto"/>
          <w:highlight w:val="none"/>
        </w:rPr>
        <w:t>－</w:t>
      </w:r>
      <w:r>
        <w:rPr>
          <w:rFonts w:hint="eastAsia" w:ascii="Times New Roman" w:hAnsi="Times New Roman"/>
          <w:color w:val="auto"/>
          <w:highlight w:val="none"/>
        </w:rPr>
        <w:t>计算方式如下（或按另行约定的方法）：</w:t>
      </w:r>
    </w:p>
    <w:p>
      <w:pPr>
        <w:tabs>
          <w:tab w:val="left" w:pos="1620"/>
          <w:tab w:val="left" w:pos="2340"/>
        </w:tabs>
        <w:snapToGrid w:val="0"/>
        <w:spacing w:before="120" w:beforeLines="50" w:line="360" w:lineRule="auto"/>
        <w:ind w:firstLine="1200" w:firstLineChars="500"/>
        <w:rPr>
          <w:rFonts w:ascii="宋体" w:hAnsi="宋体"/>
          <w:color w:val="auto"/>
          <w:kern w:val="0"/>
          <w:highlight w:val="none"/>
        </w:rPr>
      </w:pPr>
      <w:r>
        <w:rPr>
          <w:rFonts w:hint="eastAsia" w:ascii="Cambria" w:hAnsi="Cambria"/>
          <w:color w:val="auto"/>
          <w:sz w:val="24"/>
          <w:highlight w:val="none"/>
        </w:rPr>
        <w:sym w:font="Wingdings" w:char="F0A8"/>
      </w:r>
      <w:r>
        <w:rPr>
          <w:rFonts w:hint="eastAsia" w:ascii="Cambria" w:hAnsi="Cambria"/>
          <w:color w:val="auto"/>
          <w:sz w:val="24"/>
          <w:highlight w:val="none"/>
        </w:rPr>
        <w:t>①</w:t>
      </w:r>
      <w:r>
        <w:rPr>
          <w:rFonts w:hint="eastAsia" w:ascii="宋体" w:hAnsi="宋体"/>
          <w:color w:val="auto"/>
          <w:kern w:val="0"/>
          <w:highlight w:val="none"/>
        </w:rPr>
        <w:t>加权平均法：</w:t>
      </w:r>
    </w:p>
    <w:p>
      <w:pPr>
        <w:snapToGrid w:val="0"/>
        <w:spacing w:line="360" w:lineRule="auto"/>
        <w:ind w:left="1440"/>
        <w:rPr>
          <w:rFonts w:ascii="宋体" w:hAnsi="宋体"/>
          <w:color w:val="auto"/>
          <w:kern w:val="0"/>
          <w:highlight w:val="none"/>
        </w:rPr>
      </w:pPr>
      <w:r>
        <w:rPr>
          <w:rFonts w:ascii="Cambria" w:hAnsi="Cambria"/>
          <w:i/>
          <w:color w:val="auto"/>
          <w:sz w:val="24"/>
          <w:highlight w:val="none"/>
        </w:rPr>
        <w:sym w:font="Symbol" w:char="F060"/>
      </w:r>
      <w:r>
        <w:rPr>
          <w:rFonts w:ascii="Cambria" w:hAnsi="Cambria"/>
          <w:i/>
          <w:color w:val="auto"/>
          <w:sz w:val="24"/>
          <w:highlight w:val="none"/>
        </w:rPr>
        <w:t>P</w:t>
      </w:r>
      <w:r>
        <w:rPr>
          <w:rFonts w:ascii="Times New Roman" w:hAnsi="Times New Roman"/>
          <w:color w:val="auto"/>
          <w:highlight w:val="none"/>
        </w:rPr>
        <w:t xml:space="preserve"> </w:t>
      </w:r>
      <w:r>
        <w:rPr>
          <w:rFonts w:hint="eastAsia" w:ascii="宋体" w:hAnsi="宋体"/>
          <w:color w:val="auto"/>
          <w:sz w:val="24"/>
          <w:highlight w:val="none"/>
        </w:rPr>
        <w:t>-</w:t>
      </w:r>
      <w:r>
        <w:rPr>
          <w:rFonts w:hint="eastAsia" w:ascii="宋体" w:hAnsi="宋体"/>
          <w:color w:val="auto"/>
          <w:highlight w:val="none"/>
        </w:rPr>
        <w:t>施工期加权平均价格，即</w:t>
      </w:r>
      <w:r>
        <w:rPr>
          <w:rFonts w:hint="eastAsia" w:ascii="宋体" w:hAnsi="宋体"/>
          <w:color w:val="auto"/>
          <w:sz w:val="24"/>
          <w:highlight w:val="none"/>
        </w:rPr>
        <w:t>∑(Q</w:t>
      </w:r>
      <w:r>
        <w:rPr>
          <w:rFonts w:hint="eastAsia" w:ascii="宋体" w:hAnsi="宋体"/>
          <w:color w:val="auto"/>
          <w:sz w:val="24"/>
          <w:highlight w:val="none"/>
          <w:vertAlign w:val="subscript"/>
        </w:rPr>
        <w:t>i</w:t>
      </w:r>
      <w:r>
        <w:rPr>
          <w:rFonts w:hint="eastAsia" w:ascii="宋体" w:hAnsi="宋体"/>
          <w:color w:val="auto"/>
          <w:sz w:val="24"/>
          <w:highlight w:val="none"/>
        </w:rPr>
        <w:t>×P</w:t>
      </w:r>
      <w:r>
        <w:rPr>
          <w:rFonts w:hint="eastAsia" w:ascii="宋体" w:hAnsi="宋体"/>
          <w:color w:val="auto"/>
          <w:sz w:val="24"/>
          <w:highlight w:val="none"/>
          <w:vertAlign w:val="subscript"/>
        </w:rPr>
        <w:t>i</w:t>
      </w:r>
      <w:r>
        <w:rPr>
          <w:rFonts w:hint="eastAsia" w:ascii="宋体" w:hAnsi="宋体"/>
          <w:color w:val="auto"/>
          <w:sz w:val="24"/>
          <w:highlight w:val="none"/>
        </w:rPr>
        <w:t>)/Q</w:t>
      </w:r>
      <w:r>
        <w:rPr>
          <w:rFonts w:hint="eastAsia" w:ascii="宋体" w:hAnsi="宋体"/>
          <w:color w:val="auto"/>
          <w:sz w:val="24"/>
          <w:highlight w:val="none"/>
          <w:vertAlign w:val="subscript"/>
        </w:rPr>
        <w:t>总</w:t>
      </w:r>
      <w:r>
        <w:rPr>
          <w:rFonts w:hint="eastAsia" w:ascii="宋体" w:hAnsi="宋体"/>
          <w:color w:val="auto"/>
          <w:sz w:val="24"/>
          <w:highlight w:val="none"/>
        </w:rPr>
        <w:t>，其中Q</w:t>
      </w:r>
      <w:r>
        <w:rPr>
          <w:rFonts w:hint="eastAsia" w:ascii="宋体" w:hAnsi="宋体"/>
          <w:color w:val="auto"/>
          <w:sz w:val="24"/>
          <w:highlight w:val="none"/>
          <w:vertAlign w:val="subscript"/>
        </w:rPr>
        <w:t>i</w:t>
      </w:r>
      <w:r>
        <w:rPr>
          <w:rFonts w:hint="eastAsia" w:ascii="宋体" w:hAnsi="宋体"/>
          <w:color w:val="auto"/>
          <w:highlight w:val="none"/>
        </w:rPr>
        <w:t>为施工期第i个月某材料用量，该用量为当月已计量工程中，某材料根据图纸计算并考虑投标报价中材料消耗量之后的工程量；</w:t>
      </w:r>
      <w:r>
        <w:rPr>
          <w:rFonts w:hint="eastAsia" w:ascii="宋体" w:hAnsi="宋体"/>
          <w:color w:val="auto"/>
          <w:sz w:val="24"/>
          <w:highlight w:val="none"/>
        </w:rPr>
        <w:t>P</w:t>
      </w:r>
      <w:r>
        <w:rPr>
          <w:rFonts w:hint="eastAsia" w:ascii="宋体" w:hAnsi="宋体"/>
          <w:color w:val="auto"/>
          <w:sz w:val="24"/>
          <w:highlight w:val="none"/>
          <w:vertAlign w:val="subscript"/>
        </w:rPr>
        <w:t>i</w:t>
      </w:r>
      <w:r>
        <w:rPr>
          <w:rFonts w:hint="eastAsia" w:ascii="宋体" w:hAnsi="宋体"/>
          <w:color w:val="auto"/>
          <w:highlight w:val="none"/>
        </w:rPr>
        <w:t>为施工期第i个月当期《深圳市建设工程价格信息》发布的某材料价格。例如施工期第i个月是2015年7月，则对应《深圳市建设工程价格信息》2015年第7期。</w:t>
      </w:r>
    </w:p>
    <w:p>
      <w:pPr>
        <w:tabs>
          <w:tab w:val="left" w:pos="1620"/>
          <w:tab w:val="left" w:pos="2340"/>
        </w:tabs>
        <w:snapToGrid w:val="0"/>
        <w:spacing w:before="120" w:beforeLines="50" w:line="360" w:lineRule="auto"/>
        <w:ind w:firstLine="1200" w:firstLineChars="500"/>
        <w:rPr>
          <w:rFonts w:ascii="宋体" w:hAnsi="宋体"/>
          <w:color w:val="auto"/>
          <w:highlight w:val="none"/>
        </w:rPr>
      </w:pPr>
      <w:r>
        <w:rPr>
          <w:rFonts w:hint="eastAsia" w:ascii="Cambria" w:hAnsi="Cambria"/>
          <w:color w:val="auto"/>
          <w:sz w:val="24"/>
          <w:highlight w:val="none"/>
        </w:rPr>
        <w:sym w:font="Wingdings" w:char="F0A8"/>
      </w:r>
      <w:r>
        <w:rPr>
          <w:rFonts w:hint="eastAsia" w:ascii="Cambria" w:hAnsi="Cambria"/>
          <w:color w:val="auto"/>
          <w:sz w:val="24"/>
          <w:highlight w:val="none"/>
        </w:rPr>
        <w:t>②</w:t>
      </w:r>
      <w:r>
        <w:rPr>
          <w:rFonts w:hint="eastAsia" w:ascii="宋体" w:hAnsi="宋体"/>
          <w:color w:val="auto"/>
          <w:highlight w:val="none"/>
        </w:rPr>
        <w:t>算术平均法：</w:t>
      </w:r>
    </w:p>
    <w:p>
      <w:pPr>
        <w:snapToGrid w:val="0"/>
        <w:spacing w:line="360" w:lineRule="auto"/>
        <w:ind w:left="1440"/>
        <w:rPr>
          <w:rFonts w:ascii="宋体" w:hAnsi="宋体"/>
          <w:color w:val="auto"/>
          <w:highlight w:val="none"/>
        </w:rPr>
      </w:pPr>
      <w:r>
        <w:rPr>
          <w:rFonts w:ascii="Cambria" w:hAnsi="Cambria"/>
          <w:i/>
          <w:color w:val="auto"/>
          <w:sz w:val="24"/>
          <w:highlight w:val="none"/>
        </w:rPr>
        <w:sym w:font="Symbol" w:char="F060"/>
      </w:r>
      <w:r>
        <w:rPr>
          <w:rFonts w:ascii="Cambria" w:hAnsi="Cambria"/>
          <w:i/>
          <w:color w:val="auto"/>
          <w:sz w:val="24"/>
          <w:highlight w:val="none"/>
        </w:rPr>
        <w:t>P</w:t>
      </w:r>
      <w:r>
        <w:rPr>
          <w:rFonts w:ascii="Times New Roman" w:hAnsi="Times New Roman"/>
          <w:color w:val="auto"/>
          <w:highlight w:val="none"/>
        </w:rPr>
        <w:t xml:space="preserve"> </w:t>
      </w:r>
      <w:r>
        <w:rPr>
          <w:rFonts w:hint="eastAsia" w:ascii="宋体" w:hAnsi="宋体"/>
          <w:color w:val="auto"/>
          <w:sz w:val="24"/>
          <w:highlight w:val="none"/>
        </w:rPr>
        <w:t>-</w:t>
      </w:r>
      <w:r>
        <w:rPr>
          <w:rFonts w:hint="eastAsia" w:ascii="宋体" w:hAnsi="宋体"/>
          <w:color w:val="auto"/>
          <w:highlight w:val="none"/>
        </w:rPr>
        <w:t>本工程有某材料投入月份对应《深圳市建设工程价格信息》发布某材料价格的算术平均值。例如有某材料投入月份是指2015年5至7月，则对应《深圳市建设工程价格信息》2015年第5至7期价格信息之和除以3。</w:t>
      </w:r>
    </w:p>
    <w:p>
      <w:pPr>
        <w:keepNext/>
        <w:keepLines/>
        <w:spacing w:before="120" w:beforeLines="50" w:after="120" w:afterLines="50" w:line="360" w:lineRule="auto"/>
        <w:outlineLvl w:val="3"/>
        <w:rPr>
          <w:rFonts w:ascii="宋体" w:hAnsi="宋体" w:cs="宋体"/>
          <w:b/>
          <w:bCs/>
          <w:color w:val="auto"/>
          <w:sz w:val="24"/>
          <w:szCs w:val="24"/>
          <w:highlight w:val="none"/>
        </w:rPr>
      </w:pPr>
      <w:bookmarkStart w:id="7127" w:name="_Toc27156"/>
      <w:bookmarkStart w:id="7128" w:name="_Toc15953"/>
      <w:bookmarkStart w:id="7129" w:name="_Toc517532314"/>
      <w:bookmarkStart w:id="7130" w:name="_Toc517531038"/>
      <w:bookmarkStart w:id="7131" w:name="_Toc9880"/>
      <w:bookmarkStart w:id="7132" w:name="_Toc7106"/>
      <w:bookmarkStart w:id="7133" w:name="_Toc10236"/>
      <w:bookmarkStart w:id="7134" w:name="_Toc21637"/>
      <w:bookmarkStart w:id="7135" w:name="_Toc22242"/>
      <w:r>
        <w:rPr>
          <w:rFonts w:hint="eastAsia" w:ascii="宋体" w:hAnsi="宋体" w:cs="宋体"/>
          <w:b/>
          <w:bCs/>
          <w:color w:val="auto"/>
          <w:sz w:val="24"/>
          <w:szCs w:val="24"/>
          <w:highlight w:val="none"/>
        </w:rPr>
        <w:t>11.1.2人工、机械使用调差方法</w:t>
      </w:r>
      <w:bookmarkEnd w:id="7127"/>
      <w:bookmarkEnd w:id="7128"/>
      <w:bookmarkEnd w:id="7129"/>
      <w:bookmarkEnd w:id="7130"/>
      <w:bookmarkEnd w:id="7131"/>
      <w:bookmarkEnd w:id="7132"/>
      <w:bookmarkEnd w:id="7133"/>
      <w:bookmarkEnd w:id="7134"/>
      <w:bookmarkEnd w:id="7135"/>
    </w:p>
    <w:p>
      <w:pPr>
        <w:tabs>
          <w:tab w:val="left" w:pos="1620"/>
          <w:tab w:val="left" w:pos="2340"/>
        </w:tabs>
        <w:spacing w:before="156" w:after="156" w:line="360" w:lineRule="auto"/>
        <w:ind w:left="899"/>
        <w:jc w:val="left"/>
        <w:rPr>
          <w:rFonts w:ascii="宋体" w:hAnsi="宋体"/>
          <w:color w:val="auto"/>
          <w:kern w:val="0"/>
          <w:highlight w:val="none"/>
        </w:rPr>
      </w:pPr>
      <w:r>
        <w:rPr>
          <w:rFonts w:hint="eastAsia" w:ascii="宋体" w:hAnsi="宋体"/>
          <w:color w:val="auto"/>
          <w:kern w:val="0"/>
          <w:highlight w:val="none"/>
        </w:rPr>
        <w:t>⑴用于本工程的机械使用发生价格波动时，按照11.1.1款调差公式，将公式中的材料价格替换为机械使用价格，调整合同价格。</w:t>
      </w:r>
    </w:p>
    <w:p>
      <w:pPr>
        <w:tabs>
          <w:tab w:val="left" w:pos="1620"/>
          <w:tab w:val="left" w:pos="2340"/>
        </w:tabs>
        <w:spacing w:before="156" w:after="156" w:line="360" w:lineRule="auto"/>
        <w:ind w:left="899"/>
        <w:jc w:val="left"/>
        <w:rPr>
          <w:rFonts w:ascii="宋体" w:hAnsi="宋体"/>
          <w:color w:val="auto"/>
          <w:kern w:val="0"/>
          <w:highlight w:val="none"/>
        </w:rPr>
      </w:pPr>
      <w:r>
        <w:rPr>
          <w:rFonts w:hint="eastAsia" w:ascii="宋体" w:hAnsi="宋体" w:cs="宋体"/>
          <w:color w:val="auto"/>
          <w:szCs w:val="21"/>
          <w:highlight w:val="none"/>
        </w:rPr>
        <w:sym w:font="Wingdings 2" w:char="00A3"/>
      </w:r>
      <w:r>
        <w:rPr>
          <w:rFonts w:hint="eastAsia" w:ascii="宋体" w:hAnsi="宋体"/>
          <w:color w:val="auto"/>
          <w:kern w:val="0"/>
          <w:highlight w:val="none"/>
        </w:rPr>
        <w:t>⑵用于本工程的人工发生价格波动时，调差方式：</w:t>
      </w:r>
    </w:p>
    <w:p>
      <w:pPr>
        <w:tabs>
          <w:tab w:val="left" w:pos="1620"/>
          <w:tab w:val="left" w:pos="2340"/>
        </w:tabs>
        <w:spacing w:before="156" w:after="156" w:line="360" w:lineRule="auto"/>
        <w:ind w:left="899"/>
        <w:jc w:val="left"/>
        <w:rPr>
          <w:rFonts w:ascii="宋体" w:hAnsi="宋体"/>
          <w:color w:val="auto"/>
          <w:kern w:val="0"/>
          <w:highlight w:val="none"/>
        </w:rPr>
      </w:pPr>
      <w:r>
        <w:rPr>
          <w:rFonts w:hint="eastAsia" w:ascii="宋体" w:hAnsi="宋体"/>
          <w:color w:val="auto"/>
          <w:kern w:val="0"/>
          <w:highlight w:val="none"/>
        </w:rPr>
        <w:t>①按照11.1.1款调差公式，将公式中的材料价格替换为人工价格，即</w:t>
      </w:r>
      <w:r>
        <w:rPr>
          <w:rFonts w:hint="eastAsia" w:ascii="宋体" w:hAnsi="宋体"/>
          <w:color w:val="auto"/>
          <w:sz w:val="24"/>
          <w:highlight w:val="none"/>
        </w:rPr>
        <w:t>P</w:t>
      </w:r>
      <w:r>
        <w:rPr>
          <w:rFonts w:hint="eastAsia" w:ascii="宋体" w:hAnsi="宋体"/>
          <w:color w:val="auto"/>
          <w:sz w:val="24"/>
          <w:highlight w:val="none"/>
          <w:vertAlign w:val="subscript"/>
        </w:rPr>
        <w:t>0</w:t>
      </w:r>
      <w:r>
        <w:rPr>
          <w:rFonts w:hint="eastAsia" w:ascii="宋体" w:hAnsi="宋体"/>
          <w:color w:val="auto"/>
          <w:sz w:val="24"/>
          <w:highlight w:val="none"/>
        </w:rPr>
        <w:t>、P</w:t>
      </w:r>
      <w:r>
        <w:rPr>
          <w:rFonts w:hint="eastAsia" w:ascii="宋体" w:hAnsi="宋体"/>
          <w:color w:val="auto"/>
          <w:sz w:val="24"/>
          <w:highlight w:val="none"/>
          <w:vertAlign w:val="subscript"/>
        </w:rPr>
        <w:t>i</w:t>
      </w:r>
      <w:r>
        <w:rPr>
          <w:rFonts w:hint="eastAsia" w:ascii="宋体" w:hAnsi="宋体"/>
          <w:color w:val="auto"/>
          <w:kern w:val="0"/>
          <w:highlight w:val="none"/>
        </w:rPr>
        <w:t>分别为投标截止日期、施工期第i个月《深圳建设工程价格信息》发布的某人工工日单价</w:t>
      </w:r>
      <w:r>
        <w:rPr>
          <w:rFonts w:hint="eastAsia" w:ascii="宋体" w:hAnsi="宋体"/>
          <w:color w:val="auto"/>
          <w:highlight w:val="none"/>
        </w:rPr>
        <w:t>，</w:t>
      </w:r>
      <w:r>
        <w:rPr>
          <w:rFonts w:hint="eastAsia" w:ascii="宋体" w:hAnsi="宋体"/>
          <w:color w:val="auto"/>
          <w:kern w:val="0"/>
          <w:highlight w:val="none"/>
        </w:rPr>
        <w:t>调整合同价格。</w:t>
      </w:r>
    </w:p>
    <w:p>
      <w:pPr>
        <w:tabs>
          <w:tab w:val="left" w:pos="1620"/>
          <w:tab w:val="left" w:pos="2340"/>
        </w:tabs>
        <w:spacing w:before="156" w:after="156" w:line="360" w:lineRule="auto"/>
        <w:ind w:left="899"/>
        <w:jc w:val="left"/>
        <w:rPr>
          <w:rFonts w:ascii="宋体" w:hAnsi="宋体"/>
          <w:color w:val="auto"/>
          <w:kern w:val="0"/>
          <w:highlight w:val="none"/>
        </w:rPr>
      </w:pPr>
      <w:r>
        <w:rPr>
          <w:rFonts w:hint="eastAsia" w:ascii="宋体" w:hAnsi="宋体"/>
          <w:color w:val="auto"/>
          <w:kern w:val="0"/>
          <w:highlight w:val="none"/>
        </w:rPr>
        <w:t>或</w:t>
      </w:r>
    </w:p>
    <w:p>
      <w:pPr>
        <w:snapToGrid w:val="0"/>
        <w:spacing w:line="360" w:lineRule="auto"/>
        <w:ind w:firstLine="945" w:firstLineChars="450"/>
        <w:rPr>
          <w:color w:val="auto"/>
          <w:highlight w:val="none"/>
        </w:rPr>
      </w:pPr>
      <w:r>
        <w:rPr>
          <w:rFonts w:hint="eastAsia" w:ascii="宋体" w:hAnsi="宋体" w:cs="宋体"/>
          <w:color w:val="auto"/>
          <w:szCs w:val="21"/>
          <w:highlight w:val="none"/>
        </w:rPr>
        <w:sym w:font="Wingdings 2" w:char="00A3"/>
      </w:r>
      <w:r>
        <w:rPr>
          <w:rFonts w:hint="eastAsia" w:ascii="宋体" w:hAnsi="宋体"/>
          <w:color w:val="auto"/>
          <w:szCs w:val="21"/>
          <w:highlight w:val="none"/>
        </w:rPr>
        <w:t>②按照人工费指数调差：</w:t>
      </w:r>
    </w:p>
    <w:p>
      <w:pPr>
        <w:snapToGrid w:val="0"/>
        <w:spacing w:line="360" w:lineRule="auto"/>
        <w:ind w:firstLine="945" w:firstLineChars="450"/>
        <w:rPr>
          <w:rFonts w:ascii="宋体" w:hAnsi="宋体"/>
          <w:color w:val="auto"/>
          <w:szCs w:val="21"/>
          <w:highlight w:val="none"/>
        </w:rPr>
      </w:pPr>
      <w:r>
        <w:rPr>
          <w:rFonts w:hint="eastAsia" w:ascii="宋体" w:hAnsi="宋体"/>
          <w:color w:val="auto"/>
          <w:szCs w:val="21"/>
          <w:highlight w:val="none"/>
        </w:rPr>
        <w:t>当</w:t>
      </w:r>
      <w:r>
        <w:rPr>
          <w:rFonts w:ascii="宋体" w:hAnsi="宋体"/>
          <w:color w:val="auto"/>
          <w:szCs w:val="21"/>
          <w:highlight w:val="none"/>
        </w:rPr>
        <w:sym w:font="Symbol" w:char="F060"/>
      </w:r>
      <w:r>
        <w:rPr>
          <w:rFonts w:ascii="Cambria" w:hAnsi="Cambria"/>
          <w:i/>
          <w:color w:val="auto"/>
          <w:szCs w:val="21"/>
          <w:highlight w:val="none"/>
        </w:rPr>
        <w:t xml:space="preserve">I </w:t>
      </w:r>
      <w:r>
        <w:rPr>
          <w:rFonts w:hint="eastAsia" w:ascii="宋体" w:hAnsi="宋体"/>
          <w:color w:val="auto"/>
          <w:szCs w:val="21"/>
          <w:highlight w:val="none"/>
        </w:rPr>
        <w:t>/I</w:t>
      </w:r>
      <w:r>
        <w:rPr>
          <w:rFonts w:hint="eastAsia" w:ascii="宋体" w:hAnsi="宋体"/>
          <w:color w:val="auto"/>
          <w:szCs w:val="21"/>
          <w:highlight w:val="none"/>
          <w:vertAlign w:val="subscript"/>
        </w:rPr>
        <w:t>o</w:t>
      </w:r>
      <w:r>
        <w:rPr>
          <w:rFonts w:hint="eastAsia" w:ascii="宋体" w:hAnsi="宋体"/>
          <w:color w:val="auto"/>
          <w:szCs w:val="21"/>
          <w:highlight w:val="none"/>
        </w:rPr>
        <w:t>﹥1.05时，则：C</w:t>
      </w:r>
      <w:r>
        <w:rPr>
          <w:rFonts w:hint="eastAsia" w:ascii="宋体" w:hAnsi="宋体"/>
          <w:color w:val="auto"/>
          <w:szCs w:val="21"/>
          <w:highlight w:val="none"/>
          <w:vertAlign w:val="subscript"/>
        </w:rPr>
        <w:t>增</w:t>
      </w:r>
      <w:r>
        <w:rPr>
          <w:rFonts w:hint="eastAsia" w:ascii="宋体" w:hAnsi="宋体"/>
          <w:color w:val="auto"/>
          <w:szCs w:val="21"/>
          <w:highlight w:val="none"/>
        </w:rPr>
        <w:t>=L</w:t>
      </w:r>
      <w:r>
        <w:rPr>
          <w:rFonts w:hint="eastAsia" w:ascii="宋体" w:hAnsi="宋体"/>
          <w:color w:val="auto"/>
          <w:szCs w:val="21"/>
          <w:highlight w:val="none"/>
          <w:vertAlign w:val="subscript"/>
        </w:rPr>
        <w:t>总</w:t>
      </w:r>
      <w:r>
        <w:rPr>
          <w:rFonts w:hint="eastAsia" w:ascii="宋体" w:hAnsi="宋体"/>
          <w:color w:val="auto"/>
          <w:szCs w:val="21"/>
          <w:highlight w:val="none"/>
        </w:rPr>
        <w:t>×(</w:t>
      </w:r>
      <w:r>
        <w:rPr>
          <w:rFonts w:ascii="宋体" w:hAnsi="宋体"/>
          <w:color w:val="auto"/>
          <w:szCs w:val="21"/>
          <w:highlight w:val="none"/>
        </w:rPr>
        <w:sym w:font="Symbol" w:char="F060"/>
      </w:r>
      <w:r>
        <w:rPr>
          <w:rFonts w:ascii="Cambria" w:hAnsi="Cambria"/>
          <w:i/>
          <w:color w:val="auto"/>
          <w:szCs w:val="21"/>
          <w:highlight w:val="none"/>
        </w:rPr>
        <w:t xml:space="preserve">I </w:t>
      </w:r>
      <w:r>
        <w:rPr>
          <w:rFonts w:hint="eastAsia" w:ascii="宋体" w:hAnsi="宋体"/>
          <w:color w:val="auto"/>
          <w:szCs w:val="21"/>
          <w:highlight w:val="none"/>
        </w:rPr>
        <w:t>/I</w:t>
      </w:r>
      <w:r>
        <w:rPr>
          <w:rFonts w:hint="eastAsia" w:ascii="宋体" w:hAnsi="宋体"/>
          <w:color w:val="auto"/>
          <w:szCs w:val="21"/>
          <w:highlight w:val="none"/>
          <w:vertAlign w:val="subscript"/>
        </w:rPr>
        <w:t>o</w:t>
      </w:r>
      <w:r>
        <w:rPr>
          <w:rFonts w:hint="eastAsia" w:ascii="宋体" w:hAnsi="宋体"/>
          <w:color w:val="auto"/>
          <w:szCs w:val="21"/>
          <w:highlight w:val="none"/>
        </w:rPr>
        <w:t>-1.05)；</w:t>
      </w:r>
    </w:p>
    <w:p>
      <w:pPr>
        <w:snapToGrid w:val="0"/>
        <w:spacing w:line="360" w:lineRule="auto"/>
        <w:ind w:firstLine="945" w:firstLineChars="450"/>
        <w:rPr>
          <w:rFonts w:ascii="宋体" w:hAnsi="宋体"/>
          <w:color w:val="auto"/>
          <w:szCs w:val="21"/>
          <w:highlight w:val="none"/>
        </w:rPr>
      </w:pPr>
      <w:r>
        <w:rPr>
          <w:rFonts w:hint="eastAsia" w:ascii="宋体" w:hAnsi="宋体"/>
          <w:color w:val="auto"/>
          <w:szCs w:val="21"/>
          <w:highlight w:val="none"/>
        </w:rPr>
        <w:t>当</w:t>
      </w:r>
      <w:r>
        <w:rPr>
          <w:rFonts w:ascii="宋体" w:hAnsi="宋体"/>
          <w:color w:val="auto"/>
          <w:szCs w:val="21"/>
          <w:highlight w:val="none"/>
        </w:rPr>
        <w:sym w:font="Symbol" w:char="F060"/>
      </w:r>
      <w:r>
        <w:rPr>
          <w:rFonts w:ascii="Cambria" w:hAnsi="Cambria"/>
          <w:i/>
          <w:color w:val="auto"/>
          <w:szCs w:val="21"/>
          <w:highlight w:val="none"/>
        </w:rPr>
        <w:t xml:space="preserve">I </w:t>
      </w:r>
      <w:r>
        <w:rPr>
          <w:rFonts w:hint="eastAsia" w:ascii="宋体" w:hAnsi="宋体"/>
          <w:color w:val="auto"/>
          <w:szCs w:val="21"/>
          <w:highlight w:val="none"/>
        </w:rPr>
        <w:t>/I</w:t>
      </w:r>
      <w:r>
        <w:rPr>
          <w:rFonts w:hint="eastAsia" w:ascii="宋体" w:hAnsi="宋体"/>
          <w:color w:val="auto"/>
          <w:szCs w:val="21"/>
          <w:highlight w:val="none"/>
          <w:vertAlign w:val="subscript"/>
        </w:rPr>
        <w:t>o</w:t>
      </w:r>
      <w:r>
        <w:rPr>
          <w:rFonts w:hint="eastAsia" w:ascii="宋体" w:hAnsi="宋体"/>
          <w:color w:val="auto"/>
          <w:szCs w:val="21"/>
          <w:highlight w:val="none"/>
        </w:rPr>
        <w:t>﹤0.95时，则：C</w:t>
      </w:r>
      <w:r>
        <w:rPr>
          <w:rFonts w:hint="eastAsia" w:ascii="宋体" w:hAnsi="宋体"/>
          <w:color w:val="auto"/>
          <w:szCs w:val="21"/>
          <w:highlight w:val="none"/>
          <w:vertAlign w:val="subscript"/>
        </w:rPr>
        <w:t>减</w:t>
      </w:r>
      <w:r>
        <w:rPr>
          <w:rFonts w:hint="eastAsia" w:ascii="宋体" w:hAnsi="宋体"/>
          <w:color w:val="auto"/>
          <w:szCs w:val="21"/>
          <w:highlight w:val="none"/>
        </w:rPr>
        <w:t>=L</w:t>
      </w:r>
      <w:r>
        <w:rPr>
          <w:rFonts w:hint="eastAsia" w:ascii="宋体" w:hAnsi="宋体"/>
          <w:color w:val="auto"/>
          <w:szCs w:val="21"/>
          <w:highlight w:val="none"/>
          <w:vertAlign w:val="subscript"/>
        </w:rPr>
        <w:t>总</w:t>
      </w:r>
      <w:r>
        <w:rPr>
          <w:rFonts w:hint="eastAsia" w:ascii="宋体" w:hAnsi="宋体"/>
          <w:color w:val="auto"/>
          <w:szCs w:val="21"/>
          <w:highlight w:val="none"/>
        </w:rPr>
        <w:t>×(0.95-</w:t>
      </w:r>
      <w:r>
        <w:rPr>
          <w:rFonts w:ascii="宋体" w:hAnsi="宋体"/>
          <w:color w:val="auto"/>
          <w:szCs w:val="21"/>
          <w:highlight w:val="none"/>
        </w:rPr>
        <w:sym w:font="Symbol" w:char="F060"/>
      </w:r>
      <w:r>
        <w:rPr>
          <w:rFonts w:ascii="Cambria" w:hAnsi="Cambria"/>
          <w:i/>
          <w:color w:val="auto"/>
          <w:szCs w:val="21"/>
          <w:highlight w:val="none"/>
        </w:rPr>
        <w:t xml:space="preserve">I </w:t>
      </w:r>
      <w:r>
        <w:rPr>
          <w:rFonts w:hint="eastAsia" w:ascii="宋体" w:hAnsi="宋体"/>
          <w:color w:val="auto"/>
          <w:szCs w:val="21"/>
          <w:highlight w:val="none"/>
        </w:rPr>
        <w:t>/I</w:t>
      </w:r>
      <w:r>
        <w:rPr>
          <w:rFonts w:hint="eastAsia" w:ascii="宋体" w:hAnsi="宋体"/>
          <w:color w:val="auto"/>
          <w:szCs w:val="21"/>
          <w:highlight w:val="none"/>
          <w:vertAlign w:val="subscript"/>
        </w:rPr>
        <w:t>o</w:t>
      </w:r>
      <w:r>
        <w:rPr>
          <w:rFonts w:hint="eastAsia" w:ascii="宋体" w:hAnsi="宋体"/>
          <w:color w:val="auto"/>
          <w:szCs w:val="21"/>
          <w:highlight w:val="none"/>
        </w:rPr>
        <w:t>)</w:t>
      </w:r>
    </w:p>
    <w:p>
      <w:pPr>
        <w:spacing w:line="360" w:lineRule="auto"/>
        <w:ind w:firstLine="945" w:firstLineChars="450"/>
        <w:rPr>
          <w:rFonts w:ascii="宋体" w:hAnsi="宋体"/>
          <w:color w:val="auto"/>
          <w:szCs w:val="21"/>
          <w:highlight w:val="none"/>
        </w:rPr>
      </w:pPr>
      <w:r>
        <w:rPr>
          <w:rFonts w:hint="eastAsia" w:ascii="宋体" w:hAnsi="宋体"/>
          <w:color w:val="auto"/>
          <w:szCs w:val="21"/>
          <w:highlight w:val="none"/>
        </w:rPr>
        <w:t>式中：</w:t>
      </w:r>
    </w:p>
    <w:p>
      <w:pPr>
        <w:snapToGrid w:val="0"/>
        <w:spacing w:line="360" w:lineRule="auto"/>
        <w:ind w:left="1050" w:leftChars="500"/>
        <w:rPr>
          <w:rFonts w:ascii="宋体" w:hAnsi="宋体"/>
          <w:color w:val="auto"/>
          <w:highlight w:val="none"/>
        </w:rPr>
      </w:pPr>
      <w:r>
        <w:rPr>
          <w:rFonts w:ascii="宋体" w:hAnsi="宋体"/>
          <w:color w:val="auto"/>
          <w:szCs w:val="21"/>
          <w:highlight w:val="none"/>
        </w:rPr>
        <w:sym w:font="Symbol" w:char="F060"/>
      </w:r>
      <w:r>
        <w:rPr>
          <w:rFonts w:ascii="Cambria" w:hAnsi="Cambria"/>
          <w:i/>
          <w:color w:val="auto"/>
          <w:szCs w:val="21"/>
          <w:highlight w:val="none"/>
        </w:rPr>
        <w:t xml:space="preserve">I </w:t>
      </w:r>
      <w:r>
        <w:rPr>
          <w:rFonts w:ascii="Times New Roman" w:hAnsi="Times New Roman"/>
          <w:color w:val="auto"/>
          <w:highlight w:val="none"/>
        </w:rPr>
        <w:fldChar w:fldCharType="begin"/>
      </w:r>
      <w:r>
        <w:rPr>
          <w:rFonts w:hint="eastAsia" w:ascii="宋体" w:hAnsi="宋体"/>
          <w:color w:val="auto"/>
          <w:sz w:val="24"/>
          <w:highlight w:val="none"/>
        </w:rPr>
        <w:instrText xml:space="preserve"> QUOTE </w:instrText>
      </w:r>
      <w:r>
        <w:rPr>
          <w:rFonts w:ascii="Times New Roman" w:hAnsi="Times New Roman"/>
          <w:color w:val="auto"/>
          <w:position w:val="-5"/>
          <w:highlight w:val="none"/>
        </w:rPr>
        <w:drawing>
          <wp:inline distT="0" distB="0" distL="114300" distR="114300">
            <wp:extent cx="97155" cy="200660"/>
            <wp:effectExtent l="0" t="0" r="17145" b="6985"/>
            <wp:docPr id="9"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5"/>
                    <pic:cNvPicPr>
                      <a:picLocks noChangeAspect="1"/>
                    </pic:cNvPicPr>
                  </pic:nvPicPr>
                  <pic:blipFill>
                    <a:blip r:embed="rId19">
                      <a:clrChange>
                        <a:clrFrom>
                          <a:srgbClr val="FFFFFF"/>
                        </a:clrFrom>
                        <a:clrTo>
                          <a:srgbClr val="FFFFFF">
                            <a:alpha val="0"/>
                          </a:srgbClr>
                        </a:clrTo>
                      </a:clrChange>
                    </a:blip>
                    <a:stretch>
                      <a:fillRect/>
                    </a:stretch>
                  </pic:blipFill>
                  <pic:spPr>
                    <a:xfrm>
                      <a:off x="0" y="0"/>
                      <a:ext cx="97155" cy="200660"/>
                    </a:xfrm>
                    <a:prstGeom prst="rect">
                      <a:avLst/>
                    </a:prstGeom>
                    <a:noFill/>
                    <a:ln>
                      <a:noFill/>
                    </a:ln>
                  </pic:spPr>
                </pic:pic>
              </a:graphicData>
            </a:graphic>
          </wp:inline>
        </w:drawing>
      </w:r>
      <w:r>
        <w:rPr>
          <w:rFonts w:hint="eastAsia" w:ascii="宋体" w:hAnsi="宋体"/>
          <w:color w:val="auto"/>
          <w:sz w:val="24"/>
          <w:highlight w:val="none"/>
        </w:rPr>
        <w:instrText xml:space="preserve"> </w:instrText>
      </w:r>
      <w:r>
        <w:rPr>
          <w:rFonts w:ascii="宋体" w:hAnsi="宋体"/>
          <w:color w:val="auto"/>
          <w:sz w:val="24"/>
          <w:highlight w:val="none"/>
        </w:rPr>
        <w:instrText xml:space="preserve"> \* MERGEFORMAT </w:instrText>
      </w:r>
      <w:r>
        <w:rPr>
          <w:rFonts w:ascii="Times New Roman" w:hAnsi="Times New Roman"/>
          <w:color w:val="auto"/>
          <w:highlight w:val="none"/>
        </w:rPr>
        <w:fldChar w:fldCharType="end"/>
      </w:r>
      <w:r>
        <w:rPr>
          <w:rFonts w:hint="eastAsia" w:ascii="宋体" w:hAnsi="宋体"/>
          <w:color w:val="auto"/>
          <w:sz w:val="24"/>
          <w:highlight w:val="none"/>
        </w:rPr>
        <w:t>-</w:t>
      </w:r>
      <w:r>
        <w:rPr>
          <w:rFonts w:hint="eastAsia" w:ascii="宋体" w:hAnsi="宋体"/>
          <w:color w:val="auto"/>
          <w:highlight w:val="none"/>
        </w:rPr>
        <w:t>施工期平均人工费指数（即</w:t>
      </w:r>
      <w:r>
        <w:rPr>
          <w:rFonts w:hint="eastAsia" w:ascii="宋体" w:hAnsi="宋体"/>
          <w:color w:val="auto"/>
          <w:sz w:val="24"/>
          <w:highlight w:val="none"/>
        </w:rPr>
        <w:t>∑</w:t>
      </w:r>
      <w:r>
        <w:rPr>
          <w:rFonts w:hint="eastAsia" w:ascii="宋体" w:hAnsi="宋体"/>
          <w:color w:val="auto"/>
          <w:szCs w:val="21"/>
          <w:highlight w:val="none"/>
        </w:rPr>
        <w:t>(L</w:t>
      </w:r>
      <w:r>
        <w:rPr>
          <w:rFonts w:hint="eastAsia" w:ascii="宋体" w:hAnsi="宋体"/>
          <w:color w:val="auto"/>
          <w:szCs w:val="21"/>
          <w:highlight w:val="none"/>
          <w:vertAlign w:val="subscript"/>
        </w:rPr>
        <w:t>i</w:t>
      </w:r>
      <w:r>
        <w:rPr>
          <w:rFonts w:hint="eastAsia" w:ascii="宋体" w:hAnsi="宋体"/>
          <w:color w:val="auto"/>
          <w:szCs w:val="21"/>
          <w:highlight w:val="none"/>
        </w:rPr>
        <w:t>×I</w:t>
      </w:r>
      <w:r>
        <w:rPr>
          <w:rFonts w:hint="eastAsia" w:ascii="宋体" w:hAnsi="宋体"/>
          <w:color w:val="auto"/>
          <w:szCs w:val="21"/>
          <w:highlight w:val="none"/>
          <w:vertAlign w:val="subscript"/>
        </w:rPr>
        <w:t>i</w:t>
      </w:r>
      <w:r>
        <w:rPr>
          <w:rFonts w:hint="eastAsia" w:ascii="宋体" w:hAnsi="宋体"/>
          <w:color w:val="auto"/>
          <w:szCs w:val="21"/>
          <w:highlight w:val="none"/>
        </w:rPr>
        <w:t>)/L</w:t>
      </w:r>
      <w:r>
        <w:rPr>
          <w:rFonts w:hint="eastAsia" w:ascii="宋体" w:hAnsi="宋体"/>
          <w:color w:val="auto"/>
          <w:szCs w:val="21"/>
          <w:highlight w:val="none"/>
          <w:vertAlign w:val="subscript"/>
        </w:rPr>
        <w:t>总</w:t>
      </w:r>
      <w:r>
        <w:rPr>
          <w:rFonts w:hint="eastAsia" w:ascii="宋体" w:hAnsi="宋体"/>
          <w:color w:val="auto"/>
          <w:szCs w:val="21"/>
          <w:highlight w:val="none"/>
        </w:rPr>
        <w:t>，L</w:t>
      </w:r>
      <w:r>
        <w:rPr>
          <w:rFonts w:hint="eastAsia" w:ascii="宋体" w:hAnsi="宋体"/>
          <w:color w:val="auto"/>
          <w:szCs w:val="21"/>
          <w:highlight w:val="none"/>
          <w:vertAlign w:val="subscript"/>
        </w:rPr>
        <w:t>i</w:t>
      </w:r>
      <w:r>
        <w:rPr>
          <w:rFonts w:hint="eastAsia" w:ascii="宋体" w:hAnsi="宋体"/>
          <w:color w:val="auto"/>
          <w:szCs w:val="21"/>
          <w:highlight w:val="none"/>
        </w:rPr>
        <w:t>为施工期第i个月某工种人工费（调差前）</w:t>
      </w:r>
      <w:r>
        <w:rPr>
          <w:rFonts w:hint="eastAsia" w:ascii="宋体" w:hAnsi="宋体"/>
          <w:color w:val="auto"/>
          <w:sz w:val="24"/>
          <w:highlight w:val="none"/>
        </w:rPr>
        <w:t>，</w:t>
      </w:r>
      <w:r>
        <w:rPr>
          <w:rFonts w:hint="eastAsia" w:ascii="宋体" w:hAnsi="宋体"/>
          <w:color w:val="auto"/>
          <w:szCs w:val="21"/>
          <w:highlight w:val="none"/>
        </w:rPr>
        <w:t>I</w:t>
      </w:r>
      <w:r>
        <w:rPr>
          <w:rFonts w:hint="eastAsia" w:ascii="宋体" w:hAnsi="宋体"/>
          <w:color w:val="auto"/>
          <w:szCs w:val="21"/>
          <w:highlight w:val="none"/>
          <w:vertAlign w:val="subscript"/>
        </w:rPr>
        <w:t>i</w:t>
      </w:r>
      <w:r>
        <w:rPr>
          <w:rFonts w:hint="eastAsia" w:ascii="宋体" w:hAnsi="宋体"/>
          <w:color w:val="auto"/>
          <w:szCs w:val="21"/>
          <w:highlight w:val="none"/>
        </w:rPr>
        <w:t>为施工期第i个月当期《深圳市建设工程价格信息》发布的某工种人工费指数</w:t>
      </w:r>
      <w:r>
        <w:rPr>
          <w:rFonts w:hint="eastAsia" w:ascii="宋体" w:hAnsi="宋体"/>
          <w:color w:val="auto"/>
          <w:highlight w:val="none"/>
        </w:rPr>
        <w:t>）；</w:t>
      </w:r>
    </w:p>
    <w:p>
      <w:pPr>
        <w:spacing w:line="360" w:lineRule="auto"/>
        <w:ind w:left="1050" w:leftChars="500"/>
        <w:rPr>
          <w:rFonts w:ascii="宋体" w:hAnsi="宋体"/>
          <w:color w:val="auto"/>
          <w:szCs w:val="21"/>
          <w:highlight w:val="none"/>
        </w:rPr>
      </w:pPr>
      <w:r>
        <w:rPr>
          <w:rFonts w:hint="eastAsia" w:ascii="宋体" w:hAnsi="宋体"/>
          <w:color w:val="auto"/>
          <w:szCs w:val="21"/>
          <w:highlight w:val="none"/>
        </w:rPr>
        <w:t>I</w:t>
      </w:r>
      <w:r>
        <w:rPr>
          <w:rFonts w:hint="eastAsia" w:ascii="宋体" w:hAnsi="宋体"/>
          <w:color w:val="auto"/>
          <w:szCs w:val="21"/>
          <w:highlight w:val="none"/>
          <w:vertAlign w:val="subscript"/>
        </w:rPr>
        <w:t>o</w:t>
      </w:r>
      <w:r>
        <w:rPr>
          <w:rFonts w:hint="eastAsia" w:ascii="宋体" w:hAnsi="宋体"/>
          <w:color w:val="auto"/>
          <w:szCs w:val="21"/>
          <w:highlight w:val="none"/>
        </w:rPr>
        <w:t>─投标截止日期已出版的最新一期或</w:t>
      </w:r>
      <w:r>
        <w:rPr>
          <w:rFonts w:hint="eastAsia" w:ascii="宋体" w:hAnsi="宋体"/>
          <w:b/>
          <w:i/>
          <w:color w:val="auto"/>
          <w:szCs w:val="21"/>
          <w:highlight w:val="none"/>
        </w:rPr>
        <w:t>专用条款</w:t>
      </w:r>
      <w:r>
        <w:rPr>
          <w:rFonts w:hint="eastAsia" w:ascii="宋体" w:hAnsi="宋体"/>
          <w:color w:val="auto"/>
          <w:szCs w:val="21"/>
          <w:highlight w:val="none"/>
        </w:rPr>
        <w:t>约定的一期《深圳市建设工程价格信息》发布的某工种人工费指数；</w:t>
      </w:r>
    </w:p>
    <w:p>
      <w:pPr>
        <w:spacing w:line="360" w:lineRule="auto"/>
        <w:ind w:firstLine="1050" w:firstLineChars="500"/>
        <w:rPr>
          <w:rFonts w:ascii="宋体" w:hAnsi="宋体"/>
          <w:color w:val="auto"/>
          <w:szCs w:val="21"/>
          <w:highlight w:val="none"/>
        </w:rPr>
      </w:pPr>
      <w:r>
        <w:rPr>
          <w:rFonts w:hint="eastAsia" w:ascii="宋体" w:hAnsi="宋体"/>
          <w:color w:val="auto"/>
          <w:szCs w:val="21"/>
          <w:highlight w:val="none"/>
        </w:rPr>
        <w:t>C</w:t>
      </w:r>
      <w:r>
        <w:rPr>
          <w:rFonts w:hint="eastAsia" w:ascii="宋体" w:hAnsi="宋体"/>
          <w:color w:val="auto"/>
          <w:szCs w:val="21"/>
          <w:highlight w:val="none"/>
          <w:vertAlign w:val="subscript"/>
        </w:rPr>
        <w:t>增</w:t>
      </w:r>
      <w:r>
        <w:rPr>
          <w:rFonts w:hint="eastAsia" w:ascii="宋体" w:hAnsi="宋体"/>
          <w:color w:val="auto"/>
          <w:szCs w:val="21"/>
          <w:highlight w:val="none"/>
        </w:rPr>
        <w:t>─调增合同价格；</w:t>
      </w:r>
    </w:p>
    <w:p>
      <w:pPr>
        <w:spacing w:line="360" w:lineRule="auto"/>
        <w:ind w:firstLine="1050" w:firstLineChars="500"/>
        <w:rPr>
          <w:rFonts w:ascii="宋体" w:hAnsi="宋体"/>
          <w:color w:val="auto"/>
          <w:szCs w:val="21"/>
          <w:highlight w:val="none"/>
        </w:rPr>
      </w:pPr>
      <w:r>
        <w:rPr>
          <w:rFonts w:hint="eastAsia" w:ascii="宋体" w:hAnsi="宋体"/>
          <w:color w:val="auto"/>
          <w:szCs w:val="21"/>
          <w:highlight w:val="none"/>
        </w:rPr>
        <w:t>C</w:t>
      </w:r>
      <w:r>
        <w:rPr>
          <w:rFonts w:hint="eastAsia" w:ascii="宋体" w:hAnsi="宋体"/>
          <w:color w:val="auto"/>
          <w:szCs w:val="21"/>
          <w:highlight w:val="none"/>
          <w:vertAlign w:val="subscript"/>
        </w:rPr>
        <w:t>减</w:t>
      </w:r>
      <w:r>
        <w:rPr>
          <w:rFonts w:hint="eastAsia" w:ascii="宋体" w:hAnsi="宋体"/>
          <w:color w:val="auto"/>
          <w:szCs w:val="21"/>
          <w:highlight w:val="none"/>
        </w:rPr>
        <w:t>─调减合同价格；</w:t>
      </w:r>
    </w:p>
    <w:p>
      <w:pPr>
        <w:tabs>
          <w:tab w:val="left" w:pos="1620"/>
          <w:tab w:val="left" w:pos="2340"/>
        </w:tabs>
        <w:spacing w:after="156" w:line="360" w:lineRule="auto"/>
        <w:ind w:firstLine="1050" w:firstLineChars="500"/>
        <w:jc w:val="left"/>
        <w:rPr>
          <w:rFonts w:ascii="宋体" w:hAnsi="宋体"/>
          <w:color w:val="auto"/>
          <w:kern w:val="0"/>
          <w:highlight w:val="none"/>
        </w:rPr>
      </w:pPr>
      <w:r>
        <w:rPr>
          <w:rFonts w:hint="eastAsia" w:ascii="宋体" w:hAnsi="宋体"/>
          <w:color w:val="auto"/>
          <w:szCs w:val="21"/>
          <w:highlight w:val="none"/>
        </w:rPr>
        <w:t>L</w:t>
      </w:r>
      <w:r>
        <w:rPr>
          <w:rFonts w:hint="eastAsia" w:ascii="宋体" w:hAnsi="宋体"/>
          <w:color w:val="auto"/>
          <w:szCs w:val="21"/>
          <w:highlight w:val="none"/>
          <w:vertAlign w:val="subscript"/>
        </w:rPr>
        <w:t>总</w:t>
      </w:r>
      <w:r>
        <w:rPr>
          <w:rFonts w:hint="eastAsia" w:ascii="宋体" w:hAnsi="宋体"/>
          <w:color w:val="auto"/>
          <w:szCs w:val="21"/>
          <w:highlight w:val="none"/>
        </w:rPr>
        <w:t>─承包人投标文件商务标书中某工种总人工费。</w:t>
      </w:r>
    </w:p>
    <w:p>
      <w:pPr>
        <w:keepNext/>
        <w:keepLines/>
        <w:spacing w:before="120" w:beforeLines="50" w:after="120" w:afterLines="50" w:line="360" w:lineRule="auto"/>
        <w:ind w:left="562"/>
        <w:outlineLvl w:val="2"/>
        <w:rPr>
          <w:rFonts w:ascii="宋体" w:hAnsi="宋体" w:cs="宋体"/>
          <w:b/>
          <w:bCs/>
          <w:color w:val="auto"/>
          <w:sz w:val="28"/>
          <w:szCs w:val="28"/>
          <w:highlight w:val="none"/>
        </w:rPr>
      </w:pPr>
      <w:bookmarkStart w:id="7136" w:name="_1678016788"/>
      <w:bookmarkEnd w:id="7136"/>
      <w:bookmarkStart w:id="7137" w:name="_Toc6493"/>
      <w:bookmarkStart w:id="7138" w:name="_Toc15860"/>
      <w:bookmarkStart w:id="7139" w:name="_Toc31350"/>
      <w:bookmarkStart w:id="7140" w:name="_Toc839"/>
      <w:bookmarkStart w:id="7141" w:name="_Toc517532316"/>
      <w:bookmarkStart w:id="7142" w:name="_Toc3407"/>
      <w:bookmarkStart w:id="7143" w:name="_Toc17115"/>
      <w:bookmarkStart w:id="7144" w:name="_Toc517531040"/>
      <w:bookmarkStart w:id="7145" w:name="_Toc15728"/>
      <w:bookmarkStart w:id="7146" w:name="_Toc69114095"/>
      <w:bookmarkStart w:id="7147" w:name="_Toc517528804"/>
      <w:bookmarkStart w:id="7148" w:name="_Toc6759"/>
      <w:r>
        <w:rPr>
          <w:rFonts w:hint="eastAsia" w:ascii="宋体" w:hAnsi="宋体" w:cs="宋体"/>
          <w:b/>
          <w:bCs/>
          <w:color w:val="auto"/>
          <w:sz w:val="28"/>
          <w:szCs w:val="28"/>
          <w:highlight w:val="none"/>
        </w:rPr>
        <w:t>11.3合同价格的调整方式</w:t>
      </w:r>
      <w:bookmarkEnd w:id="7137"/>
      <w:bookmarkEnd w:id="7138"/>
      <w:bookmarkEnd w:id="7139"/>
      <w:bookmarkEnd w:id="7140"/>
      <w:bookmarkEnd w:id="7141"/>
      <w:bookmarkEnd w:id="7142"/>
      <w:bookmarkEnd w:id="7143"/>
      <w:bookmarkEnd w:id="7144"/>
      <w:bookmarkEnd w:id="7145"/>
      <w:bookmarkEnd w:id="7146"/>
      <w:bookmarkEnd w:id="7147"/>
      <w:bookmarkEnd w:id="7148"/>
    </w:p>
    <w:p>
      <w:pPr>
        <w:adjustRightInd w:val="0"/>
        <w:snapToGrid w:val="0"/>
        <w:spacing w:line="360" w:lineRule="auto"/>
        <w:ind w:firstLine="428" w:firstLineChars="200"/>
        <w:jc w:val="left"/>
        <w:rPr>
          <w:rFonts w:ascii="宋体" w:hAnsi="宋体" w:cs="宋体"/>
          <w:bCs/>
          <w:color w:val="auto"/>
          <w:spacing w:val="2"/>
          <w:szCs w:val="21"/>
          <w:highlight w:val="none"/>
        </w:rPr>
      </w:pPr>
      <w:r>
        <w:rPr>
          <w:rFonts w:hint="eastAsia" w:ascii="宋体" w:hAnsi="宋体" w:cs="宋体"/>
          <w:bCs/>
          <w:color w:val="auto"/>
          <w:spacing w:val="2"/>
          <w:szCs w:val="21"/>
          <w:highlight w:val="none"/>
        </w:rPr>
        <w:t>固定单价合同中包含的分项固定合价工程存在下列情况的，还应从固定合价中扣减相应的价款：</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（a）发包人取消的发包内容；</w:t>
      </w:r>
    </w:p>
    <w:p>
      <w:pPr>
        <w:adjustRightInd w:val="0"/>
        <w:snapToGrid w:val="0"/>
        <w:spacing w:line="360" w:lineRule="auto"/>
        <w:ind w:firstLine="420" w:firstLineChars="200"/>
        <w:jc w:val="left"/>
        <w:rPr>
          <w:rFonts w:ascii="宋体" w:hAnsi="宋体" w:cs="宋体"/>
          <w:color w:val="auto"/>
          <w:szCs w:val="21"/>
          <w:highlight w:val="none"/>
        </w:rPr>
      </w:pPr>
      <w:bookmarkStart w:id="7149" w:name="_1678016790"/>
      <w:bookmarkEnd w:id="7149"/>
      <w:r>
        <w:rPr>
          <w:rFonts w:hint="eastAsia" w:ascii="宋体" w:hAnsi="宋体" w:cs="宋体"/>
          <w:color w:val="auto"/>
          <w:szCs w:val="21"/>
          <w:highlight w:val="none"/>
        </w:rPr>
        <w:sym w:font="Wingdings 2" w:char="00A3"/>
      </w:r>
      <w:r>
        <w:rPr>
          <w:rFonts w:hint="eastAsia" w:ascii="宋体" w:hAnsi="宋体" w:cs="宋体"/>
          <w:color w:val="auto"/>
          <w:szCs w:val="21"/>
          <w:highlight w:val="none"/>
        </w:rPr>
        <w:t>（b）设计变更减少的承包内容；</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（c）承包人未按招标文件或招标图纸完成相应承包内容。</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固定单价合同中包含的分项固定合价工程的调价原则：</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（a）深化设计不予调价；</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（b）优化设计不予调价；</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（c）增加或减少承包范围的予以调价；</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（d）发包人确认的设计变更予以调价；</w:t>
      </w:r>
    </w:p>
    <w:p>
      <w:pPr>
        <w:adjustRightInd w:val="0"/>
        <w:snapToGrid w:val="0"/>
        <w:spacing w:line="360" w:lineRule="auto"/>
        <w:ind w:firstLine="630" w:firstLineChars="300"/>
        <w:jc w:val="left"/>
        <w:rPr>
          <w:rFonts w:ascii="宋体" w:hAnsi="宋体" w:cs="宋体"/>
          <w:color w:val="auto"/>
          <w:szCs w:val="21"/>
          <w:highlight w:val="none"/>
        </w:rPr>
      </w:pPr>
      <w:r>
        <w:rPr>
          <w:rFonts w:hint="eastAsia" w:ascii="宋体" w:hAnsi="宋体" w:cs="宋体"/>
          <w:color w:val="auto"/>
          <w:szCs w:val="21"/>
          <w:highlight w:val="none"/>
        </w:rPr>
        <w:t>（c）、（d）款扣减项目执行投标报价，增加项目价格执行10.3条。</w:t>
      </w:r>
    </w:p>
    <w:p>
      <w:pPr>
        <w:keepNext/>
        <w:keepLines/>
        <w:spacing w:before="120" w:beforeLines="50" w:after="120" w:afterLines="50" w:line="360" w:lineRule="auto"/>
        <w:ind w:left="562"/>
        <w:outlineLvl w:val="2"/>
        <w:rPr>
          <w:rFonts w:ascii="宋体" w:hAnsi="宋体" w:cs="宋体"/>
          <w:b/>
          <w:bCs/>
          <w:color w:val="auto"/>
          <w:sz w:val="28"/>
          <w:szCs w:val="28"/>
          <w:highlight w:val="none"/>
        </w:rPr>
      </w:pPr>
      <w:bookmarkStart w:id="7150" w:name="_1677240871"/>
      <w:bookmarkEnd w:id="7150"/>
      <w:bookmarkStart w:id="7151" w:name="_Toc21937"/>
      <w:bookmarkStart w:id="7152" w:name="_Toc6099"/>
      <w:bookmarkStart w:id="7153" w:name="_Toc28553"/>
      <w:bookmarkStart w:id="7154" w:name="_Toc12433"/>
      <w:bookmarkStart w:id="7155" w:name="_Toc21540"/>
      <w:bookmarkStart w:id="7156" w:name="_Toc517532317"/>
      <w:bookmarkStart w:id="7157" w:name="_Toc517531041"/>
      <w:bookmarkStart w:id="7158" w:name="_Toc3200"/>
      <w:bookmarkStart w:id="7159" w:name="_Toc23322"/>
      <w:bookmarkStart w:id="7160" w:name="_Toc17601"/>
      <w:bookmarkStart w:id="7161" w:name="_Toc3989"/>
      <w:bookmarkStart w:id="7162" w:name="_Toc69114096"/>
      <w:bookmarkStart w:id="7163" w:name="_Toc4329"/>
      <w:bookmarkStart w:id="7164" w:name="_Toc28522"/>
      <w:bookmarkStart w:id="7165" w:name="_Toc517528805"/>
      <w:bookmarkStart w:id="7166" w:name="_Toc23147"/>
      <w:bookmarkStart w:id="7167" w:name="_Toc12916"/>
      <w:bookmarkStart w:id="7168" w:name="_Toc65938869"/>
      <w:bookmarkStart w:id="7169" w:name="_Toc27924"/>
      <w:bookmarkStart w:id="7170" w:name="_Toc19071"/>
      <w:r>
        <w:rPr>
          <w:rFonts w:hint="eastAsia" w:ascii="宋体" w:hAnsi="宋体" w:cs="宋体"/>
          <w:color w:val="auto"/>
          <w:szCs w:val="21"/>
          <w:highlight w:val="none"/>
        </w:rPr>
        <w:sym w:font="Wingdings" w:char="F0A8"/>
      </w:r>
      <w:r>
        <w:rPr>
          <w:rFonts w:hint="eastAsia" w:ascii="宋体" w:hAnsi="宋体" w:cs="宋体"/>
          <w:b/>
          <w:bCs/>
          <w:color w:val="auto"/>
          <w:sz w:val="28"/>
          <w:szCs w:val="28"/>
          <w:highlight w:val="none"/>
        </w:rPr>
        <w:t>11.4不平衡报价的调整</w:t>
      </w:r>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p>
    <w:p>
      <w:pPr>
        <w:adjustRightInd w:val="0"/>
        <w:snapToGrid w:val="0"/>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在工程实施的整个过程中，发包人均可依据投标人须知的规定对承包人不平衡报价进行调整。特别约定：</w:t>
      </w:r>
      <w:r>
        <w:rPr>
          <w:rFonts w:hint="eastAsia" w:ascii="宋体" w:hAnsi="宋体" w:cs="宋体"/>
          <w:color w:val="auto"/>
          <w:szCs w:val="21"/>
          <w:highlight w:val="none"/>
          <w:u w:val="single"/>
        </w:rPr>
        <w:t xml:space="preserve">                                            。</w:t>
      </w:r>
    </w:p>
    <w:p>
      <w:pPr>
        <w:keepNext/>
        <w:keepLines/>
        <w:spacing w:before="120" w:beforeLines="50" w:after="120" w:afterLines="50" w:line="360" w:lineRule="auto"/>
        <w:ind w:left="562"/>
        <w:outlineLvl w:val="2"/>
        <w:rPr>
          <w:rFonts w:ascii="宋体" w:hAnsi="宋体" w:cs="宋体"/>
          <w:b/>
          <w:bCs/>
          <w:color w:val="auto"/>
          <w:sz w:val="28"/>
          <w:szCs w:val="28"/>
          <w:highlight w:val="none"/>
        </w:rPr>
      </w:pPr>
      <w:bookmarkStart w:id="7171" w:name="_Toc6153"/>
      <w:bookmarkStart w:id="7172" w:name="_Toc29210"/>
      <w:bookmarkStart w:id="7173" w:name="_Toc23199"/>
      <w:bookmarkStart w:id="7174" w:name="_Toc15195"/>
      <w:bookmarkStart w:id="7175" w:name="_Toc23748"/>
      <w:bookmarkStart w:id="7176" w:name="_Toc13030"/>
      <w:bookmarkStart w:id="7177" w:name="_Toc15250"/>
      <w:bookmarkStart w:id="7178" w:name="_Toc31450"/>
      <w:bookmarkStart w:id="7179" w:name="_Toc22825"/>
      <w:bookmarkStart w:id="7180" w:name="_Toc69114097"/>
      <w:bookmarkStart w:id="7181" w:name="_Toc29793"/>
      <w:bookmarkStart w:id="7182" w:name="_Toc517532318"/>
      <w:bookmarkStart w:id="7183" w:name="_Toc517528806"/>
      <w:bookmarkStart w:id="7184" w:name="_Toc8750"/>
      <w:bookmarkStart w:id="7185" w:name="_Toc517531042"/>
      <w:bookmarkStart w:id="7186" w:name="_Toc14352"/>
      <w:bookmarkStart w:id="7187" w:name="_Toc11756"/>
      <w:bookmarkStart w:id="7188" w:name="_Toc15372"/>
      <w:bookmarkStart w:id="7189" w:name="_Toc14700"/>
      <w:r>
        <w:rPr>
          <w:rFonts w:hint="eastAsia" w:ascii="宋体" w:hAnsi="宋体" w:cs="宋体"/>
          <w:b/>
          <w:bCs/>
          <w:color w:val="auto"/>
          <w:sz w:val="28"/>
          <w:szCs w:val="28"/>
          <w:highlight w:val="none"/>
        </w:rPr>
        <w:t>11.5措施费的调整</w:t>
      </w:r>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发生下列情形之一的，其措施费可根据实际情况由承包人提出申请，报发包人确认批准并经相关机构审定（审核）后予以适当调整：</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(a)承包范围以外的新增工程；</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w:t>
      </w:r>
      <w:r>
        <w:rPr>
          <w:rFonts w:ascii="宋体" w:hAnsi="宋体" w:cs="宋体"/>
          <w:color w:val="auto"/>
          <w:szCs w:val="21"/>
          <w:highlight w:val="none"/>
        </w:rPr>
        <w:t>b</w:t>
      </w:r>
      <w:r>
        <w:rPr>
          <w:rFonts w:hint="eastAsia" w:ascii="宋体" w:hAnsi="宋体" w:cs="宋体"/>
          <w:color w:val="auto"/>
          <w:szCs w:val="21"/>
          <w:highlight w:val="none"/>
        </w:rPr>
        <w:t>)暂估价工程；</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(d)经发包人（技术委员会）批准的重大设计变更且需要增加措施费用的；</w:t>
      </w:r>
    </w:p>
    <w:p>
      <w:pPr>
        <w:adjustRightInd w:val="0"/>
        <w:snapToGrid w:val="0"/>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 xml:space="preserve">    重大设计变更是指：</w:t>
      </w:r>
      <w:r>
        <w:rPr>
          <w:rFonts w:hint="eastAsia" w:ascii="宋体" w:hAnsi="宋体" w:cs="宋体"/>
          <w:color w:val="auto"/>
          <w:szCs w:val="21"/>
          <w:highlight w:val="none"/>
          <w:u w:val="single"/>
        </w:rPr>
        <w:t xml:space="preserve">                                          。</w:t>
      </w:r>
    </w:p>
    <w:p>
      <w:pPr>
        <w:spacing w:line="360" w:lineRule="auto"/>
        <w:ind w:firstLine="420" w:firstLineChars="200"/>
        <w:rPr>
          <w:rFonts w:ascii="宋体" w:hAnsi="宋体" w:cs="宋体"/>
          <w:color w:val="auto"/>
          <w:szCs w:val="21"/>
          <w:highlight w:val="none"/>
        </w:rPr>
      </w:pPr>
      <w:bookmarkStart w:id="7190" w:name="_1677658291"/>
      <w:bookmarkEnd w:id="7190"/>
      <w:r>
        <w:rPr>
          <w:rFonts w:hint="eastAsia" w:ascii="宋体" w:hAnsi="宋体" w:cs="宋体"/>
          <w:color w:val="auto"/>
          <w:szCs w:val="21"/>
          <w:highlight w:val="none"/>
        </w:rPr>
        <w:sym w:font="Wingdings 2" w:char="00A3"/>
      </w:r>
      <w:r>
        <w:rPr>
          <w:rFonts w:hint="eastAsia" w:ascii="宋体" w:hAnsi="宋体" w:cs="宋体"/>
          <w:color w:val="auto"/>
          <w:szCs w:val="21"/>
          <w:highlight w:val="none"/>
        </w:rPr>
        <w:t>(</w:t>
      </w:r>
      <w:r>
        <w:rPr>
          <w:rFonts w:ascii="宋体" w:hAnsi="宋体" w:cs="宋体"/>
          <w:color w:val="auto"/>
          <w:szCs w:val="21"/>
          <w:highlight w:val="none"/>
        </w:rPr>
        <w:t>c</w:t>
      </w:r>
      <w:r>
        <w:rPr>
          <w:rFonts w:hint="eastAsia" w:ascii="宋体" w:hAnsi="宋体" w:cs="宋体"/>
          <w:color w:val="auto"/>
          <w:szCs w:val="21"/>
          <w:highlight w:val="none"/>
        </w:rPr>
        <w:t>)现场存在混凝土构件模板支撑高度超过8m，或搭设跨度超过18m的高大模板支撑系统（支架），且支撑系统（支架）方案经相关单位审批及专家论证。</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w:t>
      </w:r>
      <w:r>
        <w:rPr>
          <w:rFonts w:ascii="宋体" w:hAnsi="宋体" w:cs="宋体"/>
          <w:color w:val="auto"/>
          <w:szCs w:val="21"/>
          <w:highlight w:val="none"/>
        </w:rPr>
        <w:t>d</w:t>
      </w:r>
      <w:r>
        <w:rPr>
          <w:rFonts w:hint="eastAsia" w:ascii="宋体" w:hAnsi="宋体" w:cs="宋体"/>
          <w:color w:val="auto"/>
          <w:szCs w:val="21"/>
          <w:highlight w:val="none"/>
        </w:rPr>
        <w:t>)工程变更引起的安全文明措施费（按现行安全文明措施费率计取）；</w:t>
      </w:r>
    </w:p>
    <w:p>
      <w:pPr>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w:t>
      </w:r>
      <w:r>
        <w:rPr>
          <w:rFonts w:ascii="宋体" w:hAnsi="宋体" w:cs="宋体"/>
          <w:color w:val="auto"/>
          <w:szCs w:val="21"/>
          <w:highlight w:val="none"/>
        </w:rPr>
        <w:t>e</w:t>
      </w:r>
      <w:r>
        <w:rPr>
          <w:rFonts w:hint="eastAsia" w:ascii="宋体" w:hAnsi="宋体" w:cs="宋体"/>
          <w:color w:val="auto"/>
          <w:szCs w:val="21"/>
          <w:highlight w:val="none"/>
        </w:rPr>
        <w:t>)单列的安全文明措施费（包括围挡、场地硬化）；</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w:t>
      </w:r>
      <w:r>
        <w:rPr>
          <w:rFonts w:ascii="宋体" w:hAnsi="宋体" w:cs="宋体"/>
          <w:color w:val="auto"/>
          <w:szCs w:val="21"/>
          <w:highlight w:val="none"/>
        </w:rPr>
        <w:t>f</w:t>
      </w:r>
      <w:r>
        <w:rPr>
          <w:rFonts w:hint="eastAsia" w:ascii="宋体" w:hAnsi="宋体" w:cs="宋体"/>
          <w:color w:val="auto"/>
          <w:szCs w:val="21"/>
          <w:highlight w:val="none"/>
        </w:rPr>
        <w:t>)经政府部门批准的交通疏解方案（列入措施费部分）；</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w:t>
      </w:r>
      <w:r>
        <w:rPr>
          <w:rFonts w:ascii="宋体" w:hAnsi="宋体" w:cs="宋体"/>
          <w:color w:val="auto"/>
          <w:szCs w:val="21"/>
          <w:highlight w:val="none"/>
        </w:rPr>
        <w:t>g</w:t>
      </w:r>
      <w:r>
        <w:rPr>
          <w:rFonts w:hint="eastAsia" w:ascii="宋体" w:hAnsi="宋体" w:cs="宋体"/>
          <w:color w:val="auto"/>
          <w:szCs w:val="21"/>
          <w:highlight w:val="none"/>
        </w:rPr>
        <w:t>)非承包人原因引起的非正常施工措施及费用。</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w:t>
      </w:r>
      <w:r>
        <w:rPr>
          <w:rFonts w:ascii="宋体" w:hAnsi="宋体" w:cs="宋体"/>
          <w:color w:val="auto"/>
          <w:szCs w:val="21"/>
          <w:highlight w:val="none"/>
        </w:rPr>
        <w:t>h</w:t>
      </w:r>
      <w:r>
        <w:rPr>
          <w:rFonts w:hint="eastAsia" w:ascii="宋体" w:hAnsi="宋体" w:cs="宋体"/>
          <w:color w:val="auto"/>
          <w:szCs w:val="21"/>
          <w:highlight w:val="none"/>
        </w:rPr>
        <w:t>)其他：</w:t>
      </w:r>
      <w:r>
        <w:rPr>
          <w:rFonts w:hint="eastAsia" w:ascii="宋体" w:hAnsi="宋体" w:cs="宋体"/>
          <w:color w:val="auto"/>
          <w:szCs w:val="21"/>
          <w:highlight w:val="none"/>
          <w:u w:val="single"/>
        </w:rPr>
        <w:t xml:space="preserve">                            。</w:t>
      </w:r>
    </w:p>
    <w:p>
      <w:pPr>
        <w:spacing w:line="360" w:lineRule="auto"/>
        <w:ind w:firstLine="630" w:firstLineChars="300"/>
        <w:rPr>
          <w:rFonts w:ascii="宋体" w:hAnsi="宋体" w:cs="宋体"/>
          <w:color w:val="auto"/>
          <w:szCs w:val="21"/>
          <w:highlight w:val="none"/>
        </w:rPr>
      </w:pPr>
      <w:r>
        <w:rPr>
          <w:rFonts w:hint="eastAsia" w:ascii="宋体" w:hAnsi="宋体" w:cs="宋体"/>
          <w:color w:val="auto"/>
          <w:szCs w:val="21"/>
          <w:highlight w:val="none"/>
        </w:rPr>
        <w:t>上述情形以外的措施费，原则上按中标清单包干计取，结算时不再调整。</w:t>
      </w:r>
    </w:p>
    <w:bookmarkEnd w:id="7033"/>
    <w:bookmarkEnd w:id="7034"/>
    <w:bookmarkEnd w:id="7035"/>
    <w:bookmarkEnd w:id="7036"/>
    <w:bookmarkEnd w:id="7037"/>
    <w:bookmarkEnd w:id="7038"/>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p>
      <w:pPr>
        <w:keepNext/>
        <w:keepLines/>
        <w:spacing w:before="120" w:beforeLines="50" w:after="120" w:afterLines="50" w:line="360" w:lineRule="auto"/>
        <w:ind w:firstLine="600" w:firstLineChars="200"/>
        <w:outlineLvl w:val="1"/>
        <w:rPr>
          <w:rFonts w:ascii="宋体" w:hAnsi="宋体" w:cs="宋体"/>
          <w:b/>
          <w:bCs/>
          <w:color w:val="auto"/>
          <w:sz w:val="30"/>
          <w:szCs w:val="30"/>
          <w:highlight w:val="none"/>
        </w:rPr>
      </w:pPr>
      <w:bookmarkStart w:id="7191" w:name="_Toc296503205"/>
      <w:bookmarkStart w:id="7192" w:name="_Toc292559410"/>
      <w:bookmarkStart w:id="7193" w:name="_Toc296346706"/>
      <w:bookmarkStart w:id="7194" w:name="_Toc297120505"/>
      <w:bookmarkStart w:id="7195" w:name="_Toc296891033"/>
      <w:bookmarkStart w:id="7196" w:name="_Toc292559915"/>
      <w:bookmarkStart w:id="7197" w:name="_Toc297048391"/>
      <w:bookmarkStart w:id="7198" w:name="_Toc296944544"/>
      <w:bookmarkStart w:id="7199" w:name="_Toc296891245"/>
      <w:bookmarkStart w:id="7200" w:name="_Toc296347204"/>
      <w:bookmarkStart w:id="7201" w:name="_Toc31928"/>
      <w:bookmarkStart w:id="7202" w:name="_Toc12593"/>
      <w:bookmarkStart w:id="7203" w:name="_Toc517531043"/>
      <w:bookmarkStart w:id="7204" w:name="_Toc11376"/>
      <w:bookmarkStart w:id="7205" w:name="_Toc9698"/>
      <w:bookmarkStart w:id="7206" w:name="_Toc22694"/>
      <w:bookmarkStart w:id="7207" w:name="_Toc517532319"/>
      <w:bookmarkStart w:id="7208" w:name="_Toc517528807"/>
      <w:bookmarkStart w:id="7209" w:name="_Toc31593"/>
      <w:bookmarkStart w:id="7210" w:name="_Toc13911"/>
      <w:bookmarkStart w:id="7211" w:name="_Toc12092"/>
      <w:bookmarkStart w:id="7212" w:name="_Toc351203644"/>
      <w:bookmarkStart w:id="7213" w:name="_Toc517529767"/>
      <w:bookmarkStart w:id="7214" w:name="_Toc21866"/>
      <w:bookmarkStart w:id="7215" w:name="_Toc465237260"/>
      <w:bookmarkStart w:id="7216" w:name="_Toc69114098"/>
      <w:bookmarkStart w:id="7217" w:name="_Toc29421"/>
      <w:bookmarkStart w:id="7218" w:name="_Toc13217"/>
      <w:bookmarkStart w:id="7219" w:name="_Toc15235"/>
      <w:bookmarkStart w:id="7220" w:name="_Toc20571"/>
      <w:bookmarkStart w:id="7221" w:name="_Toc12287"/>
      <w:bookmarkStart w:id="7222" w:name="_Toc16986"/>
      <w:bookmarkStart w:id="7223" w:name="_Toc465237158"/>
      <w:bookmarkStart w:id="7224" w:name="_Toc7423"/>
      <w:bookmarkStart w:id="7225" w:name="_Toc8487"/>
      <w:bookmarkStart w:id="7226" w:name="_Toc26582"/>
      <w:bookmarkStart w:id="7227" w:name="_Toc303539159"/>
      <w:bookmarkStart w:id="7228" w:name="_Toc312678040"/>
      <w:bookmarkStart w:id="7229" w:name="_Toc297123552"/>
      <w:bookmarkStart w:id="7230" w:name="_Toc304295579"/>
      <w:bookmarkStart w:id="7231" w:name="_Toc297216211"/>
      <w:bookmarkStart w:id="7232" w:name="_Toc300935002"/>
      <w:r>
        <w:rPr>
          <w:rFonts w:hint="eastAsia" w:ascii="宋体" w:hAnsi="宋体" w:cs="宋体"/>
          <w:b/>
          <w:bCs/>
          <w:color w:val="auto"/>
          <w:sz w:val="30"/>
          <w:szCs w:val="30"/>
          <w:highlight w:val="none"/>
        </w:rPr>
        <w:t xml:space="preserve">12. </w:t>
      </w:r>
      <w:bookmarkEnd w:id="7191"/>
      <w:bookmarkEnd w:id="7192"/>
      <w:bookmarkEnd w:id="7193"/>
      <w:bookmarkEnd w:id="7194"/>
      <w:bookmarkEnd w:id="7195"/>
      <w:bookmarkEnd w:id="7196"/>
      <w:bookmarkEnd w:id="7197"/>
      <w:bookmarkEnd w:id="7198"/>
      <w:bookmarkEnd w:id="7199"/>
      <w:bookmarkEnd w:id="7200"/>
      <w:r>
        <w:rPr>
          <w:rFonts w:hint="eastAsia" w:ascii="宋体" w:hAnsi="宋体" w:cs="宋体"/>
          <w:b/>
          <w:bCs/>
          <w:color w:val="auto"/>
          <w:sz w:val="30"/>
          <w:szCs w:val="30"/>
          <w:highlight w:val="none"/>
        </w:rPr>
        <w:t>合同价格、计量与支付</w:t>
      </w:r>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p>
    <w:bookmarkEnd w:id="7227"/>
    <w:bookmarkEnd w:id="7228"/>
    <w:bookmarkEnd w:id="7229"/>
    <w:bookmarkEnd w:id="7230"/>
    <w:bookmarkEnd w:id="7231"/>
    <w:bookmarkEnd w:id="7232"/>
    <w:p>
      <w:pPr>
        <w:keepNext/>
        <w:keepLines/>
        <w:spacing w:before="120" w:beforeLines="50" w:after="120" w:afterLines="50" w:line="360" w:lineRule="auto"/>
        <w:ind w:left="562"/>
        <w:outlineLvl w:val="2"/>
        <w:rPr>
          <w:rFonts w:ascii="宋体" w:hAnsi="宋体" w:cs="宋体"/>
          <w:b/>
          <w:bCs/>
          <w:color w:val="auto"/>
          <w:sz w:val="28"/>
          <w:szCs w:val="28"/>
          <w:highlight w:val="none"/>
        </w:rPr>
      </w:pPr>
      <w:bookmarkStart w:id="7233" w:name="_Toc517532320"/>
      <w:bookmarkStart w:id="7234" w:name="_Toc982"/>
      <w:bookmarkStart w:id="7235" w:name="_Toc31906"/>
      <w:bookmarkStart w:id="7236" w:name="_Toc69114099"/>
      <w:bookmarkStart w:id="7237" w:name="_Toc517531044"/>
      <w:bookmarkStart w:id="7238" w:name="_Toc10357"/>
      <w:bookmarkStart w:id="7239" w:name="_Toc32654"/>
      <w:bookmarkStart w:id="7240" w:name="_Toc517528808"/>
      <w:bookmarkStart w:id="7241" w:name="_Toc20021"/>
      <w:bookmarkStart w:id="7242" w:name="_Toc24269"/>
      <w:bookmarkStart w:id="7243" w:name="_Toc3553"/>
      <w:bookmarkStart w:id="7244" w:name="_Toc32724"/>
      <w:bookmarkStart w:id="7245" w:name="_Toc16717"/>
      <w:bookmarkStart w:id="7246" w:name="_Toc465237262"/>
      <w:bookmarkStart w:id="7247" w:name="_Toc18965"/>
      <w:bookmarkStart w:id="7248" w:name="_Toc23365"/>
      <w:bookmarkStart w:id="7249" w:name="_Toc20747"/>
      <w:bookmarkStart w:id="7250" w:name="_Toc8266"/>
      <w:bookmarkStart w:id="7251" w:name="_Toc12816"/>
      <w:bookmarkStart w:id="7252" w:name="_Toc25086"/>
      <w:bookmarkStart w:id="7253" w:name="_Toc19878"/>
      <w:bookmarkStart w:id="7254" w:name="_Toc28936"/>
      <w:bookmarkStart w:id="7255" w:name="_Toc465237160"/>
      <w:bookmarkStart w:id="7256" w:name="_Toc8097"/>
      <w:r>
        <w:rPr>
          <w:rFonts w:hint="eastAsia" w:ascii="宋体" w:hAnsi="宋体" w:cs="宋体"/>
          <w:b/>
          <w:bCs/>
          <w:color w:val="auto"/>
          <w:sz w:val="28"/>
          <w:szCs w:val="28"/>
          <w:highlight w:val="none"/>
        </w:rPr>
        <w:t>12.1 合同价格和费用</w:t>
      </w:r>
      <w:bookmarkEnd w:id="7233"/>
      <w:bookmarkEnd w:id="7234"/>
      <w:bookmarkEnd w:id="7235"/>
      <w:bookmarkEnd w:id="7236"/>
      <w:bookmarkEnd w:id="7237"/>
      <w:bookmarkEnd w:id="7238"/>
      <w:bookmarkEnd w:id="7239"/>
      <w:bookmarkEnd w:id="7240"/>
      <w:bookmarkEnd w:id="7241"/>
      <w:bookmarkEnd w:id="7242"/>
      <w:bookmarkEnd w:id="7243"/>
    </w:p>
    <w:p>
      <w:pPr>
        <w:keepNext/>
        <w:keepLines/>
        <w:spacing w:before="120" w:beforeLines="50" w:after="120" w:afterLines="50" w:line="360" w:lineRule="auto"/>
        <w:ind w:left="728"/>
        <w:outlineLvl w:val="3"/>
        <w:rPr>
          <w:rFonts w:ascii="宋体" w:hAnsi="宋体" w:cs="宋体"/>
          <w:b/>
          <w:bCs/>
          <w:color w:val="auto"/>
          <w:sz w:val="24"/>
          <w:szCs w:val="24"/>
          <w:highlight w:val="none"/>
        </w:rPr>
      </w:pPr>
      <w:bookmarkStart w:id="7257" w:name="_Toc30162"/>
      <w:bookmarkStart w:id="7258" w:name="_Toc31820"/>
      <w:bookmarkStart w:id="7259" w:name="_Toc17261"/>
      <w:bookmarkStart w:id="7260" w:name="_Toc517531045"/>
      <w:bookmarkStart w:id="7261" w:name="_Toc14223"/>
      <w:bookmarkStart w:id="7262" w:name="_Toc21688"/>
      <w:bookmarkStart w:id="7263" w:name="_Toc10742"/>
      <w:bookmarkStart w:id="7264" w:name="_Toc7303"/>
      <w:bookmarkStart w:id="7265" w:name="_Toc517532321"/>
      <w:r>
        <w:rPr>
          <w:rFonts w:hint="eastAsia" w:ascii="宋体" w:hAnsi="宋体" w:cs="宋体"/>
          <w:b/>
          <w:bCs/>
          <w:color w:val="auto"/>
          <w:sz w:val="24"/>
          <w:szCs w:val="24"/>
          <w:highlight w:val="none"/>
        </w:rPr>
        <w:t>12.1.4材料设备暂估价的最后确定</w:t>
      </w:r>
      <w:bookmarkEnd w:id="7257"/>
      <w:bookmarkEnd w:id="7258"/>
      <w:bookmarkEnd w:id="7259"/>
      <w:bookmarkEnd w:id="7260"/>
      <w:bookmarkEnd w:id="7261"/>
      <w:bookmarkEnd w:id="7262"/>
      <w:bookmarkEnd w:id="7263"/>
      <w:bookmarkEnd w:id="7264"/>
      <w:bookmarkEnd w:id="7265"/>
    </w:p>
    <w:p>
      <w:pPr>
        <w:spacing w:line="360" w:lineRule="auto"/>
        <w:ind w:firstLine="428" w:firstLineChars="200"/>
        <w:rPr>
          <w:rFonts w:ascii="宋体" w:hAnsi="宋体" w:cs="宋体"/>
          <w:color w:val="auto"/>
          <w:spacing w:val="2"/>
          <w:szCs w:val="21"/>
          <w:highlight w:val="none"/>
        </w:rPr>
      </w:pPr>
      <w:r>
        <w:rPr>
          <w:rFonts w:hint="eastAsia" w:ascii="宋体" w:hAnsi="宋体" w:cs="宋体"/>
          <w:color w:val="auto"/>
          <w:spacing w:val="2"/>
          <w:szCs w:val="21"/>
          <w:highlight w:val="none"/>
        </w:rPr>
        <w:t>深圳市相关主管部门的规定有：</w:t>
      </w:r>
    </w:p>
    <w:p>
      <w:pPr>
        <w:spacing w:line="360" w:lineRule="auto"/>
        <w:ind w:firstLine="856" w:firstLineChars="400"/>
        <w:rPr>
          <w:rFonts w:ascii="宋体" w:hAnsi="宋体" w:cs="宋体"/>
          <w:color w:val="auto"/>
          <w:spacing w:val="2"/>
          <w:szCs w:val="21"/>
          <w:highlight w:val="none"/>
        </w:rPr>
      </w:pPr>
      <w:r>
        <w:rPr>
          <w:rFonts w:hint="eastAsia" w:ascii="宋体" w:hAnsi="宋体" w:cs="宋体"/>
          <w:color w:val="auto"/>
          <w:spacing w:val="2"/>
          <w:szCs w:val="21"/>
          <w:highlight w:val="none"/>
        </w:rPr>
        <w:t>《深圳市建设工程造价管理规定》</w:t>
      </w:r>
    </w:p>
    <w:p>
      <w:pPr>
        <w:spacing w:line="360" w:lineRule="auto"/>
        <w:ind w:firstLine="856" w:firstLineChars="400"/>
        <w:rPr>
          <w:rFonts w:ascii="宋体" w:hAnsi="宋体" w:cs="宋体"/>
          <w:color w:val="auto"/>
          <w:spacing w:val="2"/>
          <w:szCs w:val="21"/>
          <w:highlight w:val="none"/>
        </w:rPr>
      </w:pPr>
      <w:r>
        <w:rPr>
          <w:rFonts w:hint="eastAsia" w:ascii="宋体" w:hAnsi="宋体" w:cs="宋体"/>
          <w:color w:val="auto"/>
          <w:spacing w:val="2"/>
          <w:szCs w:val="21"/>
          <w:highlight w:val="none"/>
        </w:rPr>
        <w:t>《深圳市建设工程材料设备询价采购办法》</w:t>
      </w:r>
    </w:p>
    <w:p>
      <w:pPr>
        <w:spacing w:line="360" w:lineRule="auto"/>
        <w:rPr>
          <w:rFonts w:ascii="宋体" w:hAnsi="宋体" w:cs="宋体"/>
          <w:color w:val="auto"/>
          <w:spacing w:val="2"/>
          <w:szCs w:val="21"/>
          <w:highlight w:val="none"/>
          <w:u w:val="single"/>
        </w:rPr>
      </w:pPr>
      <w:r>
        <w:rPr>
          <w:rFonts w:hint="eastAsia" w:ascii="宋体" w:hAnsi="宋体" w:cs="宋体"/>
          <w:color w:val="auto"/>
          <w:spacing w:val="2"/>
          <w:szCs w:val="21"/>
          <w:highlight w:val="none"/>
        </w:rPr>
        <w:t xml:space="preserve">       </w:t>
      </w:r>
      <w:r>
        <w:rPr>
          <w:rFonts w:ascii="宋体" w:hAnsi="宋体" w:cs="宋体"/>
          <w:color w:val="auto"/>
          <w:spacing w:val="2"/>
          <w:szCs w:val="21"/>
          <w:highlight w:val="none"/>
        </w:rPr>
        <w:t xml:space="preserve"> </w:t>
      </w:r>
      <w:r>
        <w:rPr>
          <w:rFonts w:hint="eastAsia" w:ascii="宋体" w:hAnsi="宋体" w:cs="宋体"/>
          <w:color w:val="auto"/>
          <w:spacing w:val="2"/>
          <w:szCs w:val="21"/>
          <w:highlight w:val="none"/>
          <w:u w:val="single"/>
        </w:rPr>
        <w:t>《深圳市建设工程计价费率标准（2018）》</w:t>
      </w:r>
    </w:p>
    <w:p>
      <w:pPr>
        <w:spacing w:line="360" w:lineRule="auto"/>
        <w:ind w:firstLine="856" w:firstLineChars="400"/>
        <w:rPr>
          <w:rFonts w:ascii="宋体" w:hAnsi="宋体" w:cs="宋体"/>
          <w:color w:val="auto"/>
          <w:spacing w:val="2"/>
          <w:szCs w:val="21"/>
          <w:highlight w:val="none"/>
          <w:u w:val="single"/>
        </w:rPr>
      </w:pPr>
      <w:r>
        <w:rPr>
          <w:rFonts w:hint="eastAsia" w:ascii="宋体" w:hAnsi="宋体" w:cs="宋体"/>
          <w:color w:val="auto"/>
          <w:spacing w:val="2"/>
          <w:szCs w:val="21"/>
          <w:highlight w:val="none"/>
          <w:u w:val="single"/>
        </w:rPr>
        <w:t>《深圳市建筑工程消耗量定额（2016）》</w:t>
      </w:r>
    </w:p>
    <w:p>
      <w:pPr>
        <w:spacing w:line="360" w:lineRule="auto"/>
        <w:ind w:firstLine="856" w:firstLineChars="400"/>
        <w:rPr>
          <w:rFonts w:ascii="宋体" w:hAnsi="宋体" w:cs="宋体"/>
          <w:color w:val="auto"/>
          <w:spacing w:val="2"/>
          <w:szCs w:val="21"/>
          <w:highlight w:val="none"/>
          <w:u w:val="single"/>
        </w:rPr>
      </w:pPr>
      <w:r>
        <w:rPr>
          <w:rFonts w:hint="eastAsia" w:ascii="宋体" w:hAnsi="宋体" w:cs="宋体"/>
          <w:color w:val="auto"/>
          <w:spacing w:val="2"/>
          <w:szCs w:val="21"/>
          <w:highlight w:val="none"/>
          <w:u w:val="single"/>
        </w:rPr>
        <w:t>《深圳市安装工程消耗量标准（20</w:t>
      </w:r>
      <w:r>
        <w:rPr>
          <w:rFonts w:ascii="宋体" w:hAnsi="宋体" w:cs="宋体"/>
          <w:color w:val="auto"/>
          <w:spacing w:val="2"/>
          <w:szCs w:val="21"/>
          <w:highlight w:val="none"/>
          <w:u w:val="single"/>
        </w:rPr>
        <w:t>20</w:t>
      </w:r>
      <w:r>
        <w:rPr>
          <w:rFonts w:hint="eastAsia" w:ascii="宋体" w:hAnsi="宋体" w:cs="宋体"/>
          <w:color w:val="auto"/>
          <w:spacing w:val="2"/>
          <w:szCs w:val="21"/>
          <w:highlight w:val="none"/>
          <w:u w:val="single"/>
        </w:rPr>
        <w:t>）》</w:t>
      </w:r>
    </w:p>
    <w:p>
      <w:pPr>
        <w:spacing w:line="360" w:lineRule="auto"/>
        <w:ind w:firstLine="856" w:firstLineChars="400"/>
        <w:rPr>
          <w:rFonts w:ascii="宋体" w:hAnsi="宋体" w:cs="宋体"/>
          <w:color w:val="auto"/>
          <w:spacing w:val="2"/>
          <w:szCs w:val="21"/>
          <w:highlight w:val="none"/>
          <w:u w:val="single"/>
        </w:rPr>
      </w:pPr>
      <w:r>
        <w:rPr>
          <w:rFonts w:hint="eastAsia" w:ascii="宋体" w:hAnsi="宋体" w:cs="宋体"/>
          <w:color w:val="auto"/>
          <w:spacing w:val="2"/>
          <w:szCs w:val="21"/>
          <w:highlight w:val="none"/>
          <w:u w:val="single"/>
        </w:rPr>
        <w:t>《深圳市市政工程消耗量定额（2017）》</w:t>
      </w:r>
    </w:p>
    <w:p>
      <w:pPr>
        <w:spacing w:line="360" w:lineRule="auto"/>
        <w:ind w:firstLine="856" w:firstLineChars="400"/>
        <w:rPr>
          <w:rFonts w:ascii="宋体" w:hAnsi="宋体" w:cs="宋体"/>
          <w:color w:val="auto"/>
          <w:spacing w:val="2"/>
          <w:szCs w:val="21"/>
          <w:highlight w:val="none"/>
          <w:u w:val="single"/>
        </w:rPr>
      </w:pPr>
      <w:r>
        <w:rPr>
          <w:rFonts w:hint="eastAsia" w:ascii="宋体" w:hAnsi="宋体" w:cs="宋体"/>
          <w:color w:val="auto"/>
          <w:spacing w:val="2"/>
          <w:szCs w:val="21"/>
          <w:highlight w:val="none"/>
          <w:u w:val="single"/>
        </w:rPr>
        <w:t>《深圳市装配式建筑工程消耗量定额（2016）》</w:t>
      </w:r>
    </w:p>
    <w:p>
      <w:pPr>
        <w:spacing w:line="360" w:lineRule="auto"/>
        <w:ind w:firstLine="856" w:firstLineChars="400"/>
        <w:rPr>
          <w:rFonts w:ascii="宋体" w:hAnsi="宋体" w:cs="宋体"/>
          <w:color w:val="auto"/>
          <w:spacing w:val="2"/>
          <w:szCs w:val="21"/>
          <w:highlight w:val="none"/>
          <w:u w:val="single"/>
        </w:rPr>
      </w:pPr>
      <w:r>
        <w:rPr>
          <w:rFonts w:hint="eastAsia" w:ascii="宋体" w:hAnsi="宋体" w:cs="宋体"/>
          <w:color w:val="auto"/>
          <w:spacing w:val="2"/>
          <w:szCs w:val="21"/>
          <w:highlight w:val="none"/>
          <w:u w:val="single"/>
        </w:rPr>
        <w:t>《深圳市装饰工程消耗量定额（2</w:t>
      </w:r>
      <w:r>
        <w:rPr>
          <w:rFonts w:ascii="宋体" w:hAnsi="宋体" w:cs="宋体"/>
          <w:color w:val="auto"/>
          <w:spacing w:val="2"/>
          <w:szCs w:val="21"/>
          <w:highlight w:val="none"/>
          <w:u w:val="single"/>
        </w:rPr>
        <w:t>020</w:t>
      </w:r>
      <w:r>
        <w:rPr>
          <w:rFonts w:hint="eastAsia" w:ascii="宋体" w:hAnsi="宋体" w:cs="宋体"/>
          <w:color w:val="auto"/>
          <w:spacing w:val="2"/>
          <w:szCs w:val="21"/>
          <w:highlight w:val="none"/>
          <w:u w:val="single"/>
        </w:rPr>
        <w:t>）》</w:t>
      </w:r>
    </w:p>
    <w:p>
      <w:pPr>
        <w:spacing w:line="360" w:lineRule="auto"/>
        <w:ind w:firstLine="856" w:firstLineChars="400"/>
        <w:rPr>
          <w:rFonts w:ascii="宋体" w:hAnsi="宋体" w:cs="宋体"/>
          <w:color w:val="auto"/>
          <w:spacing w:val="2"/>
          <w:szCs w:val="21"/>
          <w:highlight w:val="none"/>
          <w:u w:val="single"/>
        </w:rPr>
      </w:pPr>
      <w:r>
        <w:rPr>
          <w:rFonts w:hint="eastAsia" w:ascii="宋体" w:hAnsi="宋体" w:cs="宋体"/>
          <w:color w:val="auto"/>
          <w:spacing w:val="2"/>
          <w:szCs w:val="21"/>
          <w:highlight w:val="none"/>
          <w:u w:val="single"/>
        </w:rPr>
        <w:t>《深圳市园林建筑绿化工程消耗量定额（2</w:t>
      </w:r>
      <w:r>
        <w:rPr>
          <w:rFonts w:ascii="宋体" w:hAnsi="宋体" w:cs="宋体"/>
          <w:color w:val="auto"/>
          <w:spacing w:val="2"/>
          <w:szCs w:val="21"/>
          <w:highlight w:val="none"/>
          <w:u w:val="single"/>
        </w:rPr>
        <w:t>017</w:t>
      </w:r>
      <w:r>
        <w:rPr>
          <w:rFonts w:hint="eastAsia" w:ascii="宋体" w:hAnsi="宋体" w:cs="宋体"/>
          <w:color w:val="auto"/>
          <w:spacing w:val="2"/>
          <w:szCs w:val="21"/>
          <w:highlight w:val="none"/>
          <w:u w:val="single"/>
        </w:rPr>
        <w:t>）》</w:t>
      </w:r>
    </w:p>
    <w:p>
      <w:pPr>
        <w:spacing w:line="360" w:lineRule="auto"/>
        <w:ind w:firstLine="856" w:firstLineChars="400"/>
        <w:rPr>
          <w:rFonts w:hint="eastAsia" w:ascii="宋体" w:hAnsi="宋体" w:cs="宋体"/>
          <w:color w:val="auto"/>
          <w:spacing w:val="2"/>
          <w:szCs w:val="21"/>
          <w:highlight w:val="none"/>
          <w:u w:val="single"/>
        </w:rPr>
      </w:pPr>
      <w:r>
        <w:rPr>
          <w:rFonts w:hint="eastAsia" w:ascii="宋体" w:hAnsi="宋体" w:cs="宋体"/>
          <w:color w:val="auto"/>
          <w:spacing w:val="2"/>
          <w:szCs w:val="21"/>
          <w:highlight w:val="none"/>
          <w:u w:val="single"/>
        </w:rPr>
        <w:t>以及其他深圳市现行定额。</w:t>
      </w:r>
    </w:p>
    <w:p>
      <w:pPr>
        <w:keepNext/>
        <w:keepLines/>
        <w:spacing w:before="120" w:beforeLines="50" w:after="120" w:afterLines="50" w:line="360" w:lineRule="auto"/>
        <w:ind w:left="562"/>
        <w:outlineLvl w:val="2"/>
        <w:rPr>
          <w:rFonts w:ascii="宋体" w:hAnsi="宋体" w:cs="宋体"/>
          <w:b/>
          <w:bCs/>
          <w:color w:val="auto"/>
          <w:sz w:val="28"/>
          <w:szCs w:val="28"/>
          <w:highlight w:val="none"/>
        </w:rPr>
      </w:pPr>
      <w:bookmarkStart w:id="7266" w:name="_Toc517528809"/>
      <w:bookmarkStart w:id="7267" w:name="_Toc29523"/>
      <w:bookmarkStart w:id="7268" w:name="_Toc517531046"/>
      <w:bookmarkStart w:id="7269" w:name="_Toc28149"/>
      <w:bookmarkStart w:id="7270" w:name="_Toc8717"/>
      <w:bookmarkStart w:id="7271" w:name="_Toc31114"/>
      <w:bookmarkStart w:id="7272" w:name="_Toc4615"/>
      <w:bookmarkStart w:id="7273" w:name="_Toc517532322"/>
      <w:bookmarkStart w:id="7274" w:name="_Toc69114100"/>
      <w:bookmarkStart w:id="7275" w:name="_Toc14170"/>
      <w:bookmarkStart w:id="7276" w:name="_Toc2469"/>
      <w:r>
        <w:rPr>
          <w:rFonts w:hint="eastAsia" w:ascii="宋体" w:hAnsi="宋体" w:cs="宋体"/>
          <w:b/>
          <w:bCs/>
          <w:color w:val="auto"/>
          <w:sz w:val="28"/>
          <w:szCs w:val="28"/>
          <w:highlight w:val="none"/>
        </w:rPr>
        <w:t>12.3工程款支付</w:t>
      </w:r>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66"/>
      <w:bookmarkEnd w:id="7267"/>
      <w:bookmarkEnd w:id="7268"/>
      <w:bookmarkEnd w:id="7269"/>
      <w:bookmarkEnd w:id="7270"/>
      <w:bookmarkEnd w:id="7271"/>
      <w:bookmarkEnd w:id="7272"/>
      <w:bookmarkEnd w:id="7273"/>
      <w:bookmarkEnd w:id="7274"/>
      <w:bookmarkEnd w:id="7275"/>
      <w:bookmarkEnd w:id="7276"/>
    </w:p>
    <w:p>
      <w:pPr>
        <w:keepNext/>
        <w:keepLines/>
        <w:spacing w:before="120" w:beforeLines="50" w:after="120" w:afterLines="50" w:line="360" w:lineRule="auto"/>
        <w:outlineLvl w:val="3"/>
        <w:rPr>
          <w:rFonts w:ascii="宋体" w:hAnsi="宋体" w:cs="宋体"/>
          <w:b/>
          <w:bCs/>
          <w:color w:val="auto"/>
          <w:sz w:val="24"/>
          <w:szCs w:val="24"/>
          <w:highlight w:val="none"/>
        </w:rPr>
      </w:pPr>
      <w:bookmarkStart w:id="7277" w:name="_1677658294"/>
      <w:bookmarkEnd w:id="7277"/>
      <w:bookmarkStart w:id="7278" w:name="_Toc9558"/>
      <w:bookmarkStart w:id="7279" w:name="_Toc18244"/>
      <w:bookmarkStart w:id="7280" w:name="_Toc29015"/>
      <w:bookmarkStart w:id="7281" w:name="_Toc3970"/>
      <w:bookmarkStart w:id="7282" w:name="_Toc517532323"/>
      <w:bookmarkStart w:id="7283" w:name="_Toc11577"/>
      <w:bookmarkStart w:id="7284" w:name="_Toc6264"/>
      <w:bookmarkStart w:id="7285" w:name="_Toc517531047"/>
      <w:bookmarkStart w:id="7286" w:name="_Toc2292"/>
      <w:bookmarkStart w:id="7287" w:name="_Toc24482"/>
      <w:bookmarkStart w:id="7288" w:name="_Toc23529"/>
      <w:bookmarkStart w:id="7289" w:name="_Toc11059"/>
      <w:bookmarkStart w:id="7290" w:name="_Toc17794"/>
      <w:bookmarkStart w:id="7291" w:name="_Toc29780"/>
      <w:bookmarkStart w:id="7292" w:name="_Toc21554"/>
      <w:bookmarkStart w:id="7293" w:name="_Toc7056"/>
      <w:bookmarkStart w:id="7294" w:name="_Toc7605"/>
      <w:bookmarkStart w:id="7295" w:name="_Toc6767"/>
      <w:bookmarkStart w:id="7296" w:name="_Toc23639"/>
      <w:bookmarkStart w:id="7297" w:name="_Toc26693"/>
      <w:r>
        <w:rPr>
          <w:rFonts w:hint="eastAsia" w:ascii="宋体" w:hAnsi="宋体" w:cs="宋体"/>
          <w:color w:val="auto"/>
          <w:szCs w:val="21"/>
          <w:highlight w:val="none"/>
        </w:rPr>
        <w:sym w:font="Wingdings 2" w:char="00A3"/>
      </w:r>
      <w:r>
        <w:rPr>
          <w:rFonts w:ascii="宋体" w:hAnsi="宋体" w:cs="宋体"/>
          <w:b/>
          <w:bCs/>
          <w:color w:val="auto"/>
          <w:sz w:val="24"/>
          <w:szCs w:val="24"/>
          <w:highlight w:val="none"/>
        </w:rPr>
        <w:t>12</w:t>
      </w:r>
      <w:r>
        <w:rPr>
          <w:rFonts w:hint="eastAsia" w:ascii="宋体" w:hAnsi="宋体" w:cs="宋体"/>
          <w:b/>
          <w:bCs/>
          <w:color w:val="auto"/>
          <w:sz w:val="24"/>
          <w:szCs w:val="24"/>
          <w:highlight w:val="none"/>
        </w:rPr>
        <w:t>.3.1供应商货款支付</w:t>
      </w:r>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p>
    <w:p>
      <w:pPr>
        <w:pStyle w:val="106"/>
        <w:ind w:firstLine="428"/>
        <w:rPr>
          <w:rFonts w:hAnsi="宋体" w:cs="宋体"/>
          <w:color w:val="auto"/>
          <w:spacing w:val="2"/>
          <w:sz w:val="21"/>
          <w:szCs w:val="21"/>
          <w:highlight w:val="none"/>
        </w:rPr>
      </w:pPr>
      <w:r>
        <w:rPr>
          <w:rFonts w:hint="eastAsia" w:hAnsi="宋体" w:cs="宋体"/>
          <w:color w:val="auto"/>
          <w:spacing w:val="2"/>
          <w:sz w:val="21"/>
          <w:szCs w:val="21"/>
          <w:highlight w:val="none"/>
        </w:rPr>
        <w:t>承包人不得拖欠材料设备供应商的货款。承包人收到含有材料设备款的工程进度款后，未按其与材料设备供应商签订合同约定的期限支付应付货款的，发包人有权暂停支付承包人应收款项，直至承包人纠正为止；同时发包人有权代替承包人直接支付其应付货款，承包人不得对此提出异议。此外，发包人可根据承包人拖欠货款的情节轻重，在履约评价中予以记录，或直接记录承包人的不良行为记录，承包人近三年内（从截标之日起倒算）曾被发包人履约评价不合格的，发包人有权依法依规拒绝承包人参与投标。</w:t>
      </w:r>
    </w:p>
    <w:p>
      <w:pPr>
        <w:keepNext/>
        <w:keepLines/>
        <w:spacing w:before="120" w:beforeLines="50" w:after="120" w:afterLines="50" w:line="360" w:lineRule="auto"/>
        <w:outlineLvl w:val="3"/>
        <w:rPr>
          <w:rFonts w:ascii="宋体" w:hAnsi="宋体" w:cs="宋体"/>
          <w:b/>
          <w:bCs/>
          <w:color w:val="auto"/>
          <w:sz w:val="24"/>
          <w:szCs w:val="24"/>
          <w:highlight w:val="none"/>
        </w:rPr>
      </w:pPr>
      <w:r>
        <w:rPr>
          <w:rFonts w:hint="eastAsia" w:ascii="宋体" w:hAnsi="宋体" w:cs="宋体"/>
          <w:color w:val="auto"/>
          <w:szCs w:val="21"/>
          <w:highlight w:val="none"/>
        </w:rPr>
        <w:sym w:font="Wingdings 2" w:char="00A3"/>
      </w:r>
      <w:r>
        <w:rPr>
          <w:rFonts w:hint="eastAsia" w:ascii="宋体" w:hAnsi="宋体" w:cs="宋体"/>
          <w:b/>
          <w:bCs/>
          <w:color w:val="auto"/>
          <w:sz w:val="24"/>
          <w:szCs w:val="24"/>
          <w:highlight w:val="none"/>
        </w:rPr>
        <w:t>12.3.</w:t>
      </w:r>
      <w:r>
        <w:rPr>
          <w:rFonts w:ascii="宋体" w:hAnsi="宋体" w:cs="宋体"/>
          <w:b/>
          <w:bCs/>
          <w:color w:val="auto"/>
          <w:sz w:val="24"/>
          <w:szCs w:val="24"/>
          <w:highlight w:val="none"/>
        </w:rPr>
        <w:t>2</w:t>
      </w:r>
      <w:r>
        <w:rPr>
          <w:rFonts w:hint="eastAsia" w:ascii="宋体" w:hAnsi="宋体" w:cs="宋体"/>
          <w:b/>
          <w:bCs/>
          <w:color w:val="auto"/>
          <w:sz w:val="24"/>
          <w:szCs w:val="24"/>
          <w:highlight w:val="none"/>
        </w:rPr>
        <w:t>预付款支付及扣回</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本工程开工预付款为合同价(不含暂列金额和奖励金）的</w:t>
      </w:r>
      <w:r>
        <w:rPr>
          <w:rFonts w:hint="eastAsia" w:ascii="宋体" w:hAnsi="宋体"/>
          <w:color w:val="auto"/>
          <w:szCs w:val="21"/>
          <w:highlight w:val="none"/>
          <w:u w:val="single"/>
        </w:rPr>
        <w:t xml:space="preserve">  </w:t>
      </w:r>
      <w:r>
        <w:rPr>
          <w:rFonts w:hint="eastAsia" w:ascii="宋体" w:hAnsi="宋体"/>
          <w:color w:val="auto"/>
          <w:szCs w:val="21"/>
          <w:highlight w:val="none"/>
        </w:rPr>
        <w:t>%即</w:t>
      </w:r>
      <w:r>
        <w:rPr>
          <w:rFonts w:hint="eastAsia" w:ascii="宋体" w:hAnsi="宋体"/>
          <w:color w:val="auto"/>
          <w:szCs w:val="21"/>
          <w:highlight w:val="none"/>
          <w:u w:val="single"/>
        </w:rPr>
        <w:t xml:space="preserve">      </w:t>
      </w:r>
      <w:r>
        <w:rPr>
          <w:rFonts w:hint="eastAsia" w:ascii="宋体" w:hAnsi="宋体"/>
          <w:color w:val="auto"/>
          <w:szCs w:val="21"/>
          <w:highlight w:val="none"/>
        </w:rPr>
        <w:t>万元（人民币）。在本合同协议书生效后，承包人应按照合同约定提交与预付款等额的开工预付款担保，预付款担保的形式见协议书附件三；监理人签发开工预付款证明书作为预付款请款资料之一，发包人办理支付手续并提交给相关付款部门。</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开工预付款在期中支付证书的累计支付金额达到合同价的</w:t>
      </w:r>
      <w:r>
        <w:rPr>
          <w:rFonts w:hint="eastAsia" w:ascii="宋体" w:hAnsi="宋体"/>
          <w:color w:val="auto"/>
          <w:szCs w:val="21"/>
          <w:highlight w:val="none"/>
          <w:u w:val="single"/>
        </w:rPr>
        <w:t>35</w:t>
      </w:r>
      <w:r>
        <w:rPr>
          <w:rFonts w:hint="eastAsia" w:ascii="宋体" w:hAnsi="宋体"/>
          <w:color w:val="auto"/>
          <w:szCs w:val="21"/>
          <w:highlight w:val="none"/>
        </w:rPr>
        <w:t>%（不含预付款）之后，开始按工程进度以固定比例（即每完成合同价的</w:t>
      </w:r>
      <w:r>
        <w:rPr>
          <w:rFonts w:hint="eastAsia" w:ascii="宋体" w:hAnsi="宋体"/>
          <w:color w:val="auto"/>
          <w:szCs w:val="21"/>
          <w:highlight w:val="none"/>
          <w:u w:val="single"/>
        </w:rPr>
        <w:t>1</w:t>
      </w:r>
      <w:r>
        <w:rPr>
          <w:rFonts w:hint="eastAsia" w:ascii="宋体" w:hAnsi="宋体"/>
          <w:color w:val="auto"/>
          <w:szCs w:val="21"/>
          <w:highlight w:val="none"/>
        </w:rPr>
        <w:t>%，扣回开工预付款的</w:t>
      </w:r>
      <w:r>
        <w:rPr>
          <w:rFonts w:hint="eastAsia" w:ascii="宋体" w:hAnsi="宋体"/>
          <w:color w:val="auto"/>
          <w:szCs w:val="21"/>
          <w:highlight w:val="none"/>
          <w:u w:val="single"/>
        </w:rPr>
        <w:t>2</w:t>
      </w:r>
      <w:r>
        <w:rPr>
          <w:rFonts w:hint="eastAsia" w:ascii="宋体" w:hAnsi="宋体"/>
          <w:color w:val="auto"/>
          <w:szCs w:val="21"/>
          <w:highlight w:val="none"/>
        </w:rPr>
        <w:t>%）分期从各月的期中支付证书中扣回，全部金额在期中支付证书的累计支付金额达到合同价的</w:t>
      </w:r>
      <w:r>
        <w:rPr>
          <w:rFonts w:hint="eastAsia" w:ascii="宋体" w:hAnsi="宋体"/>
          <w:color w:val="auto"/>
          <w:szCs w:val="21"/>
          <w:highlight w:val="none"/>
          <w:u w:val="single"/>
        </w:rPr>
        <w:t>85</w:t>
      </w:r>
      <w:r>
        <w:rPr>
          <w:rFonts w:hint="eastAsia" w:ascii="宋体" w:hAnsi="宋体"/>
          <w:color w:val="auto"/>
          <w:szCs w:val="21"/>
          <w:highlight w:val="none"/>
        </w:rPr>
        <w:t>%时扣完。</w:t>
      </w:r>
    </w:p>
    <w:p>
      <w:pPr>
        <w:keepNext/>
        <w:keepLines/>
        <w:spacing w:before="120" w:beforeLines="50" w:after="120" w:afterLines="50" w:line="360" w:lineRule="auto"/>
        <w:outlineLvl w:val="3"/>
        <w:rPr>
          <w:rFonts w:ascii="宋体" w:hAnsi="宋体" w:cs="宋体"/>
          <w:b/>
          <w:bCs/>
          <w:color w:val="auto"/>
          <w:sz w:val="24"/>
          <w:szCs w:val="24"/>
          <w:highlight w:val="none"/>
        </w:rPr>
      </w:pPr>
      <w:r>
        <w:rPr>
          <w:rFonts w:hint="eastAsia" w:ascii="宋体" w:hAnsi="宋体" w:cs="宋体"/>
          <w:b/>
          <w:bCs/>
          <w:color w:val="auto"/>
          <w:sz w:val="24"/>
          <w:szCs w:val="24"/>
          <w:highlight w:val="none"/>
        </w:rPr>
        <w:t>12.3.</w:t>
      </w:r>
      <w:r>
        <w:rPr>
          <w:rFonts w:ascii="宋体" w:hAnsi="宋体" w:cs="宋体"/>
          <w:b/>
          <w:bCs/>
          <w:color w:val="auto"/>
          <w:sz w:val="24"/>
          <w:szCs w:val="24"/>
          <w:highlight w:val="none"/>
        </w:rPr>
        <w:t>3</w:t>
      </w:r>
      <w:r>
        <w:rPr>
          <w:rFonts w:hint="eastAsia" w:ascii="宋体" w:hAnsi="宋体" w:cs="宋体"/>
          <w:b/>
          <w:bCs/>
          <w:color w:val="auto"/>
          <w:sz w:val="24"/>
          <w:szCs w:val="24"/>
          <w:highlight w:val="none"/>
        </w:rPr>
        <w:t>期中支付</w:t>
      </w:r>
    </w:p>
    <w:p>
      <w:pPr>
        <w:spacing w:line="360" w:lineRule="auto"/>
        <w:ind w:firstLine="420"/>
        <w:rPr>
          <w:rFonts w:hint="eastAsia" w:ascii="宋体" w:hAnsi="宋体"/>
          <w:color w:val="auto"/>
          <w:szCs w:val="21"/>
          <w:highlight w:val="none"/>
        </w:rPr>
      </w:pPr>
      <w:r>
        <w:rPr>
          <w:rFonts w:hint="eastAsia" w:ascii="宋体" w:hAnsi="宋体"/>
          <w:color w:val="auto"/>
          <w:szCs w:val="21"/>
          <w:highlight w:val="none"/>
        </w:rPr>
        <w:t>进度款的支付需依据监理人签发的期中支付证书办理支付手续并提交相关付款部门，累计月支付金额达到合同价(不含奖励金）85%时暂停支付。工程竣工验收后，且承包人按照合同要求提供竣工结算资料并经发包人委托的造价咨询机构初审后，如发包人认为不存在超付风险，付至合同价(不含奖励金）的</w:t>
      </w:r>
      <w:r>
        <w:rPr>
          <w:rFonts w:ascii="宋体" w:hAnsi="宋体"/>
          <w:color w:val="auto"/>
          <w:szCs w:val="21"/>
          <w:highlight w:val="none"/>
          <w:u w:val="single"/>
        </w:rPr>
        <w:t xml:space="preserve">    </w:t>
      </w:r>
      <w:r>
        <w:rPr>
          <w:rFonts w:hint="eastAsia" w:ascii="宋体" w:hAnsi="宋体"/>
          <w:color w:val="auto"/>
          <w:szCs w:val="21"/>
          <w:highlight w:val="none"/>
        </w:rPr>
        <w:t>%【通常可设置为60%-70%】。</w:t>
      </w:r>
    </w:p>
    <w:p>
      <w:pPr>
        <w:spacing w:line="360" w:lineRule="auto"/>
        <w:ind w:firstLine="420"/>
        <w:rPr>
          <w:rFonts w:ascii="宋体" w:hAnsi="宋体"/>
          <w:color w:val="auto"/>
          <w:szCs w:val="21"/>
          <w:highlight w:val="none"/>
        </w:rPr>
      </w:pPr>
      <w:r>
        <w:rPr>
          <w:rFonts w:hint="eastAsia" w:ascii="宋体" w:hAnsi="宋体"/>
          <w:color w:val="auto"/>
          <w:szCs w:val="21"/>
          <w:highlight w:val="none"/>
        </w:rPr>
        <w:t>工程竣工结算后，支付到审定工程结算总额的97%，留下3%的保证金。</w:t>
      </w:r>
    </w:p>
    <w:p>
      <w:pPr>
        <w:spacing w:line="360" w:lineRule="auto"/>
        <w:ind w:firstLine="480"/>
        <w:rPr>
          <w:rFonts w:ascii="宋体" w:hAnsi="宋体"/>
          <w:color w:val="auto"/>
          <w:szCs w:val="21"/>
          <w:highlight w:val="none"/>
        </w:rPr>
      </w:pPr>
      <w:r>
        <w:rPr>
          <w:rFonts w:hint="eastAsia" w:ascii="宋体" w:hAnsi="宋体"/>
          <w:color w:val="auto"/>
          <w:szCs w:val="21"/>
          <w:highlight w:val="none"/>
        </w:rPr>
        <w:t>保证金待保修期满</w:t>
      </w:r>
      <w:r>
        <w:rPr>
          <w:rFonts w:hint="eastAsia" w:ascii="宋体" w:hAnsi="宋体"/>
          <w:color w:val="auto"/>
          <w:szCs w:val="21"/>
          <w:highlight w:val="none"/>
          <w:u w:val="single"/>
        </w:rPr>
        <w:t xml:space="preserve">    </w:t>
      </w:r>
      <w:r>
        <w:rPr>
          <w:rFonts w:hint="eastAsia" w:ascii="宋体" w:hAnsi="宋体"/>
          <w:color w:val="auto"/>
          <w:szCs w:val="21"/>
          <w:highlight w:val="none"/>
        </w:rPr>
        <w:t>年且无任何质量问题时，在经监理人核证的最后支付证书中退还给承包人。</w:t>
      </w:r>
    </w:p>
    <w:p>
      <w:pPr>
        <w:keepNext/>
        <w:keepLines/>
        <w:spacing w:before="120" w:beforeLines="50" w:after="120" w:afterLines="50" w:line="360" w:lineRule="auto"/>
        <w:outlineLvl w:val="3"/>
        <w:rPr>
          <w:rFonts w:ascii="宋体" w:hAnsi="宋体" w:cs="宋体"/>
          <w:b/>
          <w:bCs/>
          <w:color w:val="auto"/>
          <w:sz w:val="24"/>
          <w:szCs w:val="24"/>
          <w:highlight w:val="none"/>
        </w:rPr>
      </w:pPr>
      <w:r>
        <w:rPr>
          <w:rFonts w:hint="eastAsia" w:ascii="宋体" w:hAnsi="宋体" w:cs="宋体"/>
          <w:b/>
          <w:bCs/>
          <w:color w:val="auto"/>
          <w:sz w:val="24"/>
          <w:szCs w:val="24"/>
          <w:highlight w:val="none"/>
        </w:rPr>
        <w:t>1</w:t>
      </w:r>
      <w:r>
        <w:rPr>
          <w:rFonts w:ascii="宋体" w:hAnsi="宋体" w:cs="宋体"/>
          <w:b/>
          <w:bCs/>
          <w:color w:val="auto"/>
          <w:sz w:val="24"/>
          <w:szCs w:val="24"/>
          <w:highlight w:val="none"/>
        </w:rPr>
        <w:t>2</w:t>
      </w:r>
      <w:r>
        <w:rPr>
          <w:rFonts w:hint="eastAsia" w:ascii="宋体" w:hAnsi="宋体" w:cs="宋体"/>
          <w:b/>
          <w:bCs/>
          <w:color w:val="auto"/>
          <w:sz w:val="24"/>
          <w:szCs w:val="24"/>
          <w:highlight w:val="none"/>
        </w:rPr>
        <w:t>.3.</w:t>
      </w:r>
      <w:r>
        <w:rPr>
          <w:rFonts w:ascii="宋体" w:hAnsi="宋体" w:cs="宋体"/>
          <w:b/>
          <w:bCs/>
          <w:color w:val="auto"/>
          <w:sz w:val="24"/>
          <w:szCs w:val="24"/>
          <w:highlight w:val="none"/>
        </w:rPr>
        <w:t>4</w:t>
      </w:r>
      <w:r>
        <w:rPr>
          <w:rFonts w:hint="eastAsia" w:ascii="宋体" w:hAnsi="宋体" w:cs="宋体"/>
          <w:b/>
          <w:bCs/>
          <w:color w:val="auto"/>
          <w:sz w:val="24"/>
          <w:szCs w:val="24"/>
          <w:highlight w:val="none"/>
        </w:rPr>
        <w:t>其他费用的支付</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（1）“措施项目清单计价表”中的措施费用（安全文明施工措施费除外）经工程师和发包人审核后根据实际完成内容随分部分项工程进度款支付，累计支付达到该清单总金额的85 %后暂停支付。</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（2）设计变更、工程变更，变更费用经发包人确认后，随月进度款支付，支付比例同月进度款，工程变更价款、材料调差（若有）的支付至发包人审批金额的</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olor w:val="auto"/>
          <w:szCs w:val="21"/>
          <w:highlight w:val="none"/>
          <w:u w:val="single"/>
        </w:rPr>
        <w:t>【通常可设置为60%-70%】</w:t>
      </w:r>
      <w:r>
        <w:rPr>
          <w:rFonts w:hint="eastAsia" w:ascii="宋体" w:hAnsi="宋体" w:cs="宋体"/>
          <w:color w:val="auto"/>
          <w:szCs w:val="21"/>
          <w:highlight w:val="none"/>
        </w:rPr>
        <w:t>时停止支付。</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（3）洽商、索赔费用经发包人确认后，随月进度款支付，支付至发包人审批金额的</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olor w:val="auto"/>
          <w:szCs w:val="21"/>
          <w:highlight w:val="none"/>
          <w:u w:val="single"/>
        </w:rPr>
        <w:t>【通常可设置为60%-70%】</w:t>
      </w:r>
      <w:r>
        <w:rPr>
          <w:rFonts w:hint="eastAsia" w:ascii="宋体" w:hAnsi="宋体" w:cs="宋体"/>
          <w:color w:val="auto"/>
          <w:szCs w:val="21"/>
          <w:highlight w:val="none"/>
        </w:rPr>
        <w:t>。</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（4）发包人有权在期中支付款项中直接扣除承包人的违约金、罚款及其它应扣款项。</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（5）规费和税金按投标文件所报费率随工程进度款按月支付。</w:t>
      </w:r>
    </w:p>
    <w:p>
      <w:pPr>
        <w:keepNext/>
        <w:keepLines/>
        <w:spacing w:before="120" w:beforeLines="50" w:after="120" w:afterLines="50" w:line="360" w:lineRule="auto"/>
        <w:outlineLvl w:val="3"/>
        <w:rPr>
          <w:rFonts w:ascii="宋体" w:hAnsi="宋体" w:cs="宋体"/>
          <w:b/>
          <w:bCs/>
          <w:color w:val="auto"/>
          <w:sz w:val="24"/>
          <w:szCs w:val="24"/>
          <w:highlight w:val="none"/>
        </w:rPr>
      </w:pPr>
      <w:r>
        <w:rPr>
          <w:rFonts w:hint="eastAsia" w:ascii="宋体" w:hAnsi="宋体" w:cs="宋体"/>
          <w:b/>
          <w:bCs/>
          <w:color w:val="auto"/>
          <w:sz w:val="24"/>
          <w:szCs w:val="24"/>
          <w:highlight w:val="none"/>
        </w:rPr>
        <w:t>1</w:t>
      </w:r>
      <w:r>
        <w:rPr>
          <w:rFonts w:ascii="宋体" w:hAnsi="宋体" w:cs="宋体"/>
          <w:b/>
          <w:bCs/>
          <w:color w:val="auto"/>
          <w:sz w:val="24"/>
          <w:szCs w:val="24"/>
          <w:highlight w:val="none"/>
        </w:rPr>
        <w:t>2</w:t>
      </w:r>
      <w:r>
        <w:rPr>
          <w:rFonts w:hint="eastAsia" w:ascii="宋体" w:hAnsi="宋体" w:cs="宋体"/>
          <w:b/>
          <w:bCs/>
          <w:color w:val="auto"/>
          <w:sz w:val="24"/>
          <w:szCs w:val="24"/>
          <w:highlight w:val="none"/>
        </w:rPr>
        <w:t>.3.</w:t>
      </w:r>
      <w:r>
        <w:rPr>
          <w:rFonts w:ascii="宋体" w:hAnsi="宋体" w:cs="宋体"/>
          <w:b/>
          <w:bCs/>
          <w:color w:val="auto"/>
          <w:sz w:val="24"/>
          <w:szCs w:val="24"/>
          <w:highlight w:val="none"/>
        </w:rPr>
        <w:t>5安全文明施工措施费</w:t>
      </w:r>
      <w:r>
        <w:rPr>
          <w:rFonts w:hint="eastAsia" w:ascii="宋体" w:hAnsi="宋体" w:cs="宋体"/>
          <w:b/>
          <w:bCs/>
          <w:color w:val="auto"/>
          <w:sz w:val="24"/>
          <w:szCs w:val="24"/>
          <w:highlight w:val="none"/>
        </w:rPr>
        <w:t>的支付</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发包人在本项目开工后的2</w:t>
      </w:r>
      <w:r>
        <w:rPr>
          <w:rFonts w:ascii="宋体" w:hAnsi="宋体" w:cs="宋体"/>
          <w:color w:val="auto"/>
          <w:szCs w:val="21"/>
          <w:highlight w:val="none"/>
        </w:rPr>
        <w:t>8</w:t>
      </w:r>
      <w:r>
        <w:rPr>
          <w:rFonts w:hint="eastAsia" w:ascii="宋体" w:hAnsi="宋体" w:cs="宋体"/>
          <w:color w:val="auto"/>
          <w:szCs w:val="21"/>
          <w:highlight w:val="none"/>
        </w:rPr>
        <w:t>天内预付不低于当年施工进度计划的安全文明施工措施费总额的6</w:t>
      </w:r>
      <w:r>
        <w:rPr>
          <w:rFonts w:ascii="宋体" w:hAnsi="宋体" w:cs="宋体"/>
          <w:color w:val="auto"/>
          <w:szCs w:val="21"/>
          <w:highlight w:val="none"/>
        </w:rPr>
        <w:t>0%</w:t>
      </w:r>
      <w:r>
        <w:rPr>
          <w:rFonts w:hint="eastAsia" w:ascii="宋体" w:hAnsi="宋体" w:cs="宋体"/>
          <w:color w:val="auto"/>
          <w:szCs w:val="21"/>
          <w:highlight w:val="none"/>
        </w:rPr>
        <w:t>，其余部分按照提前安排的原则进行分解，与进度款同期支付。</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发包人要求承包人对安全文明施工措施费专款专用。</w:t>
      </w:r>
    </w:p>
    <w:p>
      <w:pPr>
        <w:keepNext/>
        <w:keepLines/>
        <w:spacing w:before="120" w:beforeLines="50" w:after="120" w:afterLines="50" w:line="360" w:lineRule="auto"/>
        <w:outlineLvl w:val="3"/>
        <w:rPr>
          <w:rFonts w:ascii="宋体" w:hAnsi="宋体" w:cs="宋体"/>
          <w:b/>
          <w:bCs/>
          <w:color w:val="auto"/>
          <w:sz w:val="24"/>
          <w:szCs w:val="24"/>
          <w:highlight w:val="none"/>
        </w:rPr>
      </w:pPr>
      <w:r>
        <w:rPr>
          <w:rFonts w:hint="eastAsia" w:ascii="宋体" w:hAnsi="宋体" w:cs="宋体"/>
          <w:b/>
          <w:bCs/>
          <w:color w:val="auto"/>
          <w:sz w:val="24"/>
          <w:szCs w:val="24"/>
          <w:highlight w:val="none"/>
        </w:rPr>
        <w:t>1</w:t>
      </w:r>
      <w:r>
        <w:rPr>
          <w:rFonts w:ascii="宋体" w:hAnsi="宋体" w:cs="宋体"/>
          <w:b/>
          <w:bCs/>
          <w:color w:val="auto"/>
          <w:sz w:val="24"/>
          <w:szCs w:val="24"/>
          <w:highlight w:val="none"/>
        </w:rPr>
        <w:t>2</w:t>
      </w:r>
      <w:r>
        <w:rPr>
          <w:rFonts w:hint="eastAsia" w:ascii="宋体" w:hAnsi="宋体" w:cs="宋体"/>
          <w:b/>
          <w:bCs/>
          <w:color w:val="auto"/>
          <w:sz w:val="24"/>
          <w:szCs w:val="24"/>
          <w:highlight w:val="none"/>
        </w:rPr>
        <w:t>.3.6奖励金支付</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承包人获得专用条款5.1及5.3中规定的奖励时，奖励金与进度款同期支付。</w:t>
      </w:r>
    </w:p>
    <w:p>
      <w:pPr>
        <w:spacing w:line="360" w:lineRule="auto"/>
        <w:ind w:firstLine="420" w:firstLineChars="200"/>
        <w:rPr>
          <w:rFonts w:ascii="宋体" w:hAnsi="宋体" w:cs="宋体"/>
          <w:color w:val="auto"/>
          <w:szCs w:val="21"/>
          <w:highlight w:val="none"/>
        </w:rPr>
      </w:pPr>
    </w:p>
    <w:p>
      <w:pPr>
        <w:keepNext/>
        <w:keepLines/>
        <w:spacing w:before="120" w:beforeLines="50" w:after="120" w:afterLines="50" w:line="360" w:lineRule="auto"/>
        <w:outlineLvl w:val="3"/>
        <w:rPr>
          <w:rFonts w:ascii="宋体" w:hAnsi="宋体" w:cs="宋体"/>
          <w:b/>
          <w:bCs/>
          <w:color w:val="auto"/>
          <w:sz w:val="24"/>
          <w:szCs w:val="24"/>
          <w:highlight w:val="none"/>
        </w:rPr>
      </w:pPr>
      <w:r>
        <w:rPr>
          <w:rFonts w:ascii="宋体" w:hAnsi="宋体" w:cs="宋体"/>
          <w:b/>
          <w:bCs/>
          <w:color w:val="auto"/>
          <w:sz w:val="24"/>
          <w:szCs w:val="24"/>
          <w:highlight w:val="none"/>
        </w:rPr>
        <w:t>12.</w:t>
      </w:r>
      <w:r>
        <w:rPr>
          <w:rFonts w:hint="eastAsia" w:ascii="宋体" w:hAnsi="宋体" w:cs="宋体"/>
          <w:b/>
          <w:bCs/>
          <w:color w:val="auto"/>
          <w:sz w:val="24"/>
          <w:szCs w:val="24"/>
          <w:highlight w:val="none"/>
        </w:rPr>
        <w:t>3.7期中支付的最低金额</w:t>
      </w:r>
    </w:p>
    <w:p>
      <w:pPr>
        <w:pStyle w:val="106"/>
        <w:ind w:firstLine="420"/>
        <w:rPr>
          <w:color w:val="auto"/>
          <w:sz w:val="21"/>
          <w:szCs w:val="21"/>
          <w:highlight w:val="none"/>
        </w:rPr>
      </w:pPr>
      <w:r>
        <w:rPr>
          <w:rFonts w:hint="eastAsia"/>
          <w:color w:val="auto"/>
          <w:sz w:val="21"/>
          <w:szCs w:val="21"/>
          <w:highlight w:val="none"/>
        </w:rPr>
        <w:t>期中支付的最低金额：</w:t>
      </w:r>
      <w:r>
        <w:rPr>
          <w:color w:val="auto"/>
          <w:sz w:val="21"/>
          <w:szCs w:val="21"/>
          <w:highlight w:val="none"/>
          <w:u w:val="single"/>
        </w:rPr>
        <w:t xml:space="preserve">    </w:t>
      </w:r>
      <w:r>
        <w:rPr>
          <w:rFonts w:hint="eastAsia"/>
          <w:color w:val="auto"/>
          <w:sz w:val="21"/>
          <w:szCs w:val="21"/>
          <w:highlight w:val="none"/>
        </w:rPr>
        <w:t>万元，当期未计量的工程量并入下一期符合期中支付约定的进度款中进行计量、支付。期中支付款数额以万元为最后一位，其尾数金额向下一期累计。</w:t>
      </w:r>
    </w:p>
    <w:p>
      <w:pPr>
        <w:keepNext/>
        <w:keepLines/>
        <w:spacing w:before="120" w:beforeLines="50" w:after="120" w:afterLines="50" w:line="360" w:lineRule="auto"/>
        <w:outlineLvl w:val="3"/>
        <w:rPr>
          <w:rFonts w:ascii="宋体" w:hAnsi="宋体" w:cs="宋体"/>
          <w:b/>
          <w:bCs/>
          <w:color w:val="auto"/>
          <w:sz w:val="24"/>
          <w:szCs w:val="24"/>
          <w:highlight w:val="none"/>
        </w:rPr>
      </w:pPr>
      <w:r>
        <w:rPr>
          <w:rFonts w:ascii="宋体" w:hAnsi="宋体" w:cs="宋体"/>
          <w:b/>
          <w:bCs/>
          <w:color w:val="auto"/>
          <w:sz w:val="24"/>
          <w:szCs w:val="24"/>
          <w:highlight w:val="none"/>
        </w:rPr>
        <w:t>12.</w:t>
      </w:r>
      <w:r>
        <w:rPr>
          <w:rFonts w:hint="eastAsia" w:ascii="宋体" w:hAnsi="宋体" w:cs="宋体"/>
          <w:b/>
          <w:bCs/>
          <w:color w:val="auto"/>
          <w:sz w:val="24"/>
          <w:szCs w:val="24"/>
          <w:highlight w:val="none"/>
        </w:rPr>
        <w:t>3.8承包人发票要求</w:t>
      </w:r>
    </w:p>
    <w:p>
      <w:pPr>
        <w:pStyle w:val="106"/>
        <w:ind w:firstLine="420"/>
        <w:rPr>
          <w:color w:val="auto"/>
          <w:sz w:val="21"/>
          <w:szCs w:val="21"/>
          <w:highlight w:val="none"/>
        </w:rPr>
      </w:pPr>
      <w:r>
        <w:rPr>
          <w:rFonts w:hint="eastAsia"/>
          <w:color w:val="auto"/>
          <w:sz w:val="21"/>
          <w:szCs w:val="21"/>
          <w:highlight w:val="none"/>
        </w:rPr>
        <w:t>应当在发包人每次付款前，向发包人提供合格、有效的增值税发票，不得使用假发票、套开发票，否则承包人无条件更换发票，并承担票面金额10%违约金，由此引起发包人的损失的，还应承担双倍金额赔偿。同时，发包人将对承包人当季度履约评价不合格。若承包人未在本条款约定的时间内向发包人提供规定的发票，发包人付款的期限应当无条件顺延，发包人并不承担由此造成的任何责任和损失。</w:t>
      </w:r>
    </w:p>
    <w:p>
      <w:pPr>
        <w:keepNext/>
        <w:keepLines/>
        <w:spacing w:before="120" w:beforeLines="50" w:after="120" w:afterLines="50" w:line="360" w:lineRule="auto"/>
        <w:outlineLvl w:val="3"/>
        <w:rPr>
          <w:rFonts w:ascii="宋体" w:hAnsi="宋体" w:cs="宋体"/>
          <w:b/>
          <w:bCs/>
          <w:color w:val="auto"/>
          <w:sz w:val="24"/>
          <w:szCs w:val="24"/>
          <w:highlight w:val="none"/>
        </w:rPr>
      </w:pPr>
      <w:r>
        <w:rPr>
          <w:rFonts w:ascii="宋体" w:hAnsi="宋体" w:cs="宋体"/>
          <w:b/>
          <w:bCs/>
          <w:color w:val="auto"/>
          <w:sz w:val="24"/>
          <w:szCs w:val="24"/>
          <w:highlight w:val="none"/>
        </w:rPr>
        <w:t>12.</w:t>
      </w:r>
      <w:r>
        <w:rPr>
          <w:rFonts w:hint="eastAsia" w:ascii="宋体" w:hAnsi="宋体" w:cs="宋体"/>
          <w:b/>
          <w:bCs/>
          <w:color w:val="auto"/>
          <w:sz w:val="24"/>
          <w:szCs w:val="24"/>
          <w:highlight w:val="none"/>
        </w:rPr>
        <w:t>3.9承包人现场勘察要求</w:t>
      </w:r>
    </w:p>
    <w:p>
      <w:pPr>
        <w:pStyle w:val="106"/>
        <w:ind w:firstLine="420"/>
        <w:rPr>
          <w:color w:val="auto"/>
          <w:sz w:val="21"/>
          <w:szCs w:val="21"/>
          <w:highlight w:val="none"/>
        </w:rPr>
      </w:pPr>
      <w:r>
        <w:rPr>
          <w:rFonts w:hint="eastAsia"/>
          <w:color w:val="auto"/>
          <w:sz w:val="21"/>
          <w:szCs w:val="21"/>
          <w:highlight w:val="none"/>
        </w:rPr>
        <w:t>承包人应该对现场详细勘察，充分了解已完成的安全防护栏和施工围挡的状况，在进场后对安全防护栏和施工围挡进行维护、修整，必要时进行重新搭设，确保项目安全文明施工达到招标文件的要求，承包人在竣工验收当月申请工程款时，必须先结清该工程用水用电费用（含正式电），并提供供电部门相关证明。否则，发包人有权拒绝支付当月工程款。</w:t>
      </w:r>
    </w:p>
    <w:p>
      <w:pPr>
        <w:keepNext/>
        <w:keepLines/>
        <w:spacing w:before="120" w:beforeLines="50" w:after="120" w:afterLines="50" w:line="360" w:lineRule="auto"/>
        <w:outlineLvl w:val="3"/>
        <w:rPr>
          <w:rFonts w:ascii="宋体" w:hAnsi="宋体" w:cs="宋体"/>
          <w:b/>
          <w:bCs/>
          <w:color w:val="auto"/>
          <w:sz w:val="24"/>
          <w:szCs w:val="24"/>
          <w:highlight w:val="none"/>
        </w:rPr>
      </w:pPr>
      <w:r>
        <w:rPr>
          <w:rFonts w:ascii="宋体" w:hAnsi="宋体" w:cs="宋体"/>
          <w:b/>
          <w:bCs/>
          <w:color w:val="auto"/>
          <w:sz w:val="24"/>
          <w:szCs w:val="24"/>
          <w:highlight w:val="none"/>
        </w:rPr>
        <w:t>12.</w:t>
      </w:r>
      <w:r>
        <w:rPr>
          <w:rFonts w:hint="eastAsia" w:ascii="宋体" w:hAnsi="宋体" w:cs="宋体"/>
          <w:b/>
          <w:bCs/>
          <w:color w:val="auto"/>
          <w:sz w:val="24"/>
          <w:szCs w:val="24"/>
          <w:highlight w:val="none"/>
        </w:rPr>
        <w:t>3.10收款账户</w:t>
      </w:r>
    </w:p>
    <w:p>
      <w:pPr>
        <w:pStyle w:val="106"/>
        <w:ind w:left="420" w:firstLine="0" w:firstLineChars="0"/>
        <w:rPr>
          <w:rFonts w:hint="eastAsia"/>
          <w:color w:val="auto"/>
          <w:sz w:val="21"/>
          <w:szCs w:val="21"/>
          <w:highlight w:val="none"/>
        </w:rPr>
      </w:pPr>
      <w:r>
        <w:rPr>
          <w:rFonts w:hint="eastAsia"/>
          <w:color w:val="auto"/>
          <w:sz w:val="21"/>
          <w:szCs w:val="21"/>
          <w:highlight w:val="none"/>
        </w:rPr>
        <w:t>发包人将合同价款支付至下述承包人帐户。（不含农民工工资）</w:t>
      </w:r>
    </w:p>
    <w:p>
      <w:pPr>
        <w:pStyle w:val="106"/>
        <w:ind w:left="420" w:firstLine="0" w:firstLineChars="0"/>
        <w:rPr>
          <w:color w:val="auto"/>
          <w:sz w:val="21"/>
          <w:szCs w:val="21"/>
          <w:highlight w:val="none"/>
        </w:rPr>
      </w:pPr>
      <w:r>
        <w:rPr>
          <w:rFonts w:hint="eastAsia"/>
          <w:color w:val="auto"/>
          <w:sz w:val="21"/>
          <w:szCs w:val="21"/>
          <w:highlight w:val="none"/>
        </w:rPr>
        <w:t>户名：</w:t>
      </w:r>
      <w:r>
        <w:rPr>
          <w:rFonts w:hint="eastAsia"/>
          <w:color w:val="auto"/>
          <w:kern w:val="0"/>
          <w:sz w:val="21"/>
          <w:szCs w:val="21"/>
          <w:highlight w:val="none"/>
          <w:u w:val="single"/>
        </w:rPr>
        <w:t xml:space="preserve"> </w:t>
      </w:r>
      <w:r>
        <w:rPr>
          <w:color w:val="auto"/>
          <w:kern w:val="0"/>
          <w:sz w:val="21"/>
          <w:szCs w:val="21"/>
          <w:highlight w:val="none"/>
          <w:u w:val="single"/>
        </w:rPr>
        <w:t xml:space="preserve">        </w:t>
      </w:r>
    </w:p>
    <w:p>
      <w:pPr>
        <w:pStyle w:val="106"/>
        <w:ind w:left="420" w:firstLine="0" w:firstLineChars="0"/>
        <w:rPr>
          <w:color w:val="auto"/>
          <w:sz w:val="21"/>
          <w:szCs w:val="21"/>
          <w:highlight w:val="none"/>
        </w:rPr>
      </w:pPr>
      <w:r>
        <w:rPr>
          <w:rFonts w:hint="eastAsia"/>
          <w:color w:val="auto"/>
          <w:sz w:val="21"/>
          <w:szCs w:val="21"/>
          <w:highlight w:val="none"/>
        </w:rPr>
        <w:t>开户行：</w:t>
      </w:r>
      <w:r>
        <w:rPr>
          <w:rFonts w:hint="eastAsia"/>
          <w:color w:val="auto"/>
          <w:kern w:val="0"/>
          <w:sz w:val="21"/>
          <w:szCs w:val="21"/>
          <w:highlight w:val="none"/>
          <w:u w:val="single"/>
        </w:rPr>
        <w:t xml:space="preserve"> </w:t>
      </w:r>
      <w:r>
        <w:rPr>
          <w:color w:val="auto"/>
          <w:kern w:val="0"/>
          <w:sz w:val="21"/>
          <w:szCs w:val="21"/>
          <w:highlight w:val="none"/>
          <w:u w:val="single"/>
        </w:rPr>
        <w:t xml:space="preserve">          </w:t>
      </w:r>
    </w:p>
    <w:p>
      <w:pPr>
        <w:pStyle w:val="106"/>
        <w:ind w:left="420" w:firstLine="0" w:firstLineChars="0"/>
        <w:rPr>
          <w:color w:val="auto"/>
          <w:kern w:val="0"/>
          <w:sz w:val="21"/>
          <w:szCs w:val="21"/>
          <w:highlight w:val="none"/>
          <w:u w:val="single"/>
        </w:rPr>
      </w:pPr>
      <w:r>
        <w:rPr>
          <w:rFonts w:hint="eastAsia"/>
          <w:color w:val="auto"/>
          <w:sz w:val="21"/>
          <w:szCs w:val="21"/>
          <w:highlight w:val="none"/>
        </w:rPr>
        <w:t>账号：</w:t>
      </w:r>
      <w:r>
        <w:rPr>
          <w:color w:val="auto"/>
          <w:kern w:val="0"/>
          <w:sz w:val="21"/>
          <w:szCs w:val="21"/>
          <w:highlight w:val="none"/>
          <w:u w:val="single"/>
        </w:rPr>
        <w:t xml:space="preserve">                </w:t>
      </w:r>
    </w:p>
    <w:p>
      <w:pPr>
        <w:pStyle w:val="106"/>
        <w:ind w:left="420" w:firstLine="0" w:firstLineChars="0"/>
        <w:rPr>
          <w:color w:val="auto"/>
          <w:kern w:val="0"/>
          <w:sz w:val="21"/>
          <w:szCs w:val="21"/>
          <w:highlight w:val="none"/>
        </w:rPr>
      </w:pPr>
      <w:r>
        <w:rPr>
          <w:rFonts w:hint="eastAsia"/>
          <w:color w:val="auto"/>
          <w:kern w:val="0"/>
          <w:sz w:val="21"/>
          <w:szCs w:val="21"/>
          <w:highlight w:val="none"/>
        </w:rPr>
        <w:t>本项目实行分账制，农民工工资支付至开工后由承包人为本项目开设的农民工工资专用账户内。</w:t>
      </w:r>
    </w:p>
    <w:p>
      <w:pPr>
        <w:keepNext/>
        <w:keepLines/>
        <w:spacing w:before="120" w:beforeLines="50" w:after="120" w:afterLines="50" w:line="360" w:lineRule="auto"/>
        <w:ind w:firstLine="600" w:firstLineChars="200"/>
        <w:outlineLvl w:val="1"/>
        <w:rPr>
          <w:rFonts w:ascii="宋体" w:hAnsi="宋体" w:cs="宋体"/>
          <w:b/>
          <w:bCs/>
          <w:color w:val="auto"/>
          <w:sz w:val="30"/>
          <w:szCs w:val="30"/>
          <w:highlight w:val="none"/>
        </w:rPr>
      </w:pPr>
      <w:bookmarkStart w:id="7298" w:name="_Toc3763"/>
      <w:bookmarkStart w:id="7299" w:name="_Toc22388"/>
      <w:bookmarkStart w:id="7300" w:name="_Toc26512"/>
      <w:bookmarkStart w:id="7301" w:name="_Toc16024"/>
      <w:bookmarkStart w:id="7302" w:name="_Toc26332"/>
      <w:bookmarkStart w:id="7303" w:name="_Toc6028"/>
      <w:bookmarkStart w:id="7304" w:name="_Toc25647"/>
      <w:bookmarkStart w:id="7305" w:name="_Toc23641"/>
      <w:bookmarkStart w:id="7306" w:name="_Toc13925"/>
      <w:bookmarkStart w:id="7307" w:name="_Toc517528810"/>
      <w:bookmarkStart w:id="7308" w:name="_Toc12808"/>
      <w:bookmarkStart w:id="7309" w:name="_Toc20250"/>
      <w:bookmarkStart w:id="7310" w:name="_Toc517532324"/>
      <w:bookmarkStart w:id="7311" w:name="_Toc517531048"/>
      <w:bookmarkStart w:id="7312" w:name="_Toc69114101"/>
      <w:bookmarkStart w:id="7313" w:name="_Toc24353"/>
      <w:bookmarkStart w:id="7314" w:name="_Toc23581"/>
      <w:bookmarkStart w:id="7315" w:name="_Toc18872"/>
      <w:bookmarkStart w:id="7316" w:name="_Toc517529768"/>
      <w:bookmarkStart w:id="7317" w:name="_Toc1714"/>
      <w:r>
        <w:rPr>
          <w:rFonts w:hint="eastAsia" w:ascii="宋体" w:hAnsi="宋体" w:cs="宋体"/>
          <w:b/>
          <w:bCs/>
          <w:color w:val="auto"/>
          <w:sz w:val="30"/>
          <w:szCs w:val="30"/>
          <w:highlight w:val="none"/>
        </w:rPr>
        <w:t>13.竣工验收</w:t>
      </w:r>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p>
    <w:p>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特别约定：</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keepNext/>
        <w:keepLines/>
        <w:spacing w:before="120" w:beforeLines="50" w:after="120" w:afterLines="50" w:line="360" w:lineRule="auto"/>
        <w:ind w:firstLine="600" w:firstLineChars="200"/>
        <w:outlineLvl w:val="1"/>
        <w:rPr>
          <w:rFonts w:ascii="宋体" w:hAnsi="宋体" w:cs="宋体"/>
          <w:b/>
          <w:bCs/>
          <w:color w:val="auto"/>
          <w:sz w:val="30"/>
          <w:szCs w:val="30"/>
          <w:highlight w:val="none"/>
        </w:rPr>
      </w:pPr>
      <w:bookmarkStart w:id="7318" w:name="_Toc517532325"/>
      <w:bookmarkStart w:id="7319" w:name="_Toc1328"/>
      <w:bookmarkStart w:id="7320" w:name="_Toc17630"/>
      <w:bookmarkStart w:id="7321" w:name="_Toc517529769"/>
      <w:bookmarkStart w:id="7322" w:name="_Toc26619"/>
      <w:bookmarkStart w:id="7323" w:name="_Toc10034"/>
      <w:bookmarkStart w:id="7324" w:name="_Toc17596"/>
      <w:bookmarkStart w:id="7325" w:name="_Toc10069"/>
      <w:bookmarkStart w:id="7326" w:name="_Toc4221"/>
      <w:bookmarkStart w:id="7327" w:name="_Toc29540"/>
      <w:bookmarkStart w:id="7328" w:name="_Toc23879"/>
      <w:bookmarkStart w:id="7329" w:name="_Toc1159"/>
      <w:bookmarkStart w:id="7330" w:name="_Toc517528811"/>
      <w:bookmarkStart w:id="7331" w:name="_Toc69114102"/>
      <w:bookmarkStart w:id="7332" w:name="_Toc517531049"/>
      <w:bookmarkStart w:id="7333" w:name="_Toc23135"/>
      <w:bookmarkStart w:id="7334" w:name="_Toc12224"/>
      <w:bookmarkStart w:id="7335" w:name="_Toc4787"/>
      <w:bookmarkStart w:id="7336" w:name="_Toc21665"/>
      <w:bookmarkStart w:id="7337" w:name="_Toc3425"/>
      <w:r>
        <w:rPr>
          <w:rFonts w:hint="eastAsia" w:ascii="宋体" w:hAnsi="宋体" w:cs="宋体"/>
          <w:b/>
          <w:bCs/>
          <w:color w:val="auto"/>
          <w:sz w:val="30"/>
          <w:szCs w:val="30"/>
          <w:highlight w:val="none"/>
        </w:rPr>
        <w:t>14.竣工结算</w:t>
      </w:r>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特别约定：</w:t>
      </w:r>
      <w:r>
        <w:rPr>
          <w:rFonts w:hint="eastAsia" w:ascii="宋体" w:hAnsi="宋体" w:cs="宋体"/>
          <w:color w:val="auto"/>
          <w:szCs w:val="21"/>
          <w:highlight w:val="none"/>
          <w:u w:val="single"/>
        </w:rPr>
        <w:t>承包人还需遵守合同专用条款附件《工程结算管理办法》</w:t>
      </w:r>
      <w:r>
        <w:rPr>
          <w:rFonts w:hint="eastAsia" w:ascii="宋体" w:hAnsi="宋体" w:cs="宋体"/>
          <w:color w:val="auto"/>
          <w:szCs w:val="21"/>
          <w:highlight w:val="none"/>
        </w:rPr>
        <w:t>。</w:t>
      </w:r>
    </w:p>
    <w:p>
      <w:pPr>
        <w:keepNext/>
        <w:keepLines/>
        <w:spacing w:before="120" w:beforeLines="50" w:after="120" w:afterLines="50" w:line="360" w:lineRule="auto"/>
        <w:ind w:firstLine="600" w:firstLineChars="200"/>
        <w:outlineLvl w:val="1"/>
        <w:rPr>
          <w:rFonts w:ascii="宋体" w:hAnsi="宋体" w:cs="宋体"/>
          <w:b/>
          <w:bCs/>
          <w:color w:val="auto"/>
          <w:sz w:val="30"/>
          <w:szCs w:val="30"/>
          <w:highlight w:val="none"/>
        </w:rPr>
      </w:pPr>
      <w:bookmarkStart w:id="7338" w:name="_Toc16279"/>
      <w:bookmarkStart w:id="7339" w:name="_Toc15799"/>
      <w:bookmarkStart w:id="7340" w:name="_Toc16354"/>
      <w:bookmarkStart w:id="7341" w:name="_Toc13579"/>
      <w:bookmarkStart w:id="7342" w:name="_Toc31235"/>
      <w:bookmarkStart w:id="7343" w:name="_Toc9194"/>
      <w:bookmarkStart w:id="7344" w:name="_Toc24452"/>
      <w:bookmarkStart w:id="7345" w:name="_Toc28708"/>
      <w:bookmarkStart w:id="7346" w:name="_Toc11994"/>
      <w:bookmarkStart w:id="7347" w:name="_Toc27951"/>
      <w:bookmarkStart w:id="7348" w:name="_Toc8101"/>
      <w:bookmarkStart w:id="7349" w:name="_Toc7699"/>
      <w:bookmarkStart w:id="7350" w:name="_Toc30352"/>
      <w:bookmarkStart w:id="7351" w:name="_Toc2131"/>
      <w:bookmarkStart w:id="7352" w:name="_Toc517528812"/>
      <w:bookmarkStart w:id="7353" w:name="_Toc517529770"/>
      <w:bookmarkStart w:id="7354" w:name="_Toc517531050"/>
      <w:bookmarkStart w:id="7355" w:name="_Toc69114103"/>
      <w:bookmarkStart w:id="7356" w:name="_Toc517532326"/>
      <w:bookmarkStart w:id="7357" w:name="_Toc29160"/>
      <w:bookmarkStart w:id="7358" w:name="_Toc30123"/>
      <w:r>
        <w:rPr>
          <w:rFonts w:hint="eastAsia" w:ascii="宋体" w:hAnsi="宋体" w:cs="宋体"/>
          <w:b/>
          <w:bCs/>
          <w:color w:val="auto"/>
          <w:sz w:val="30"/>
          <w:szCs w:val="30"/>
          <w:highlight w:val="none"/>
        </w:rPr>
        <w:t>15. 缺陷责任与保修</w:t>
      </w:r>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p>
    <w:p>
      <w:pPr>
        <w:keepNext/>
        <w:keepLines/>
        <w:spacing w:before="120" w:beforeLines="50" w:after="120" w:afterLines="50" w:line="360" w:lineRule="auto"/>
        <w:ind w:left="562"/>
        <w:outlineLvl w:val="2"/>
        <w:rPr>
          <w:rFonts w:ascii="宋体" w:hAnsi="宋体" w:cs="宋体"/>
          <w:b/>
          <w:bCs/>
          <w:color w:val="auto"/>
          <w:sz w:val="28"/>
          <w:szCs w:val="28"/>
          <w:highlight w:val="none"/>
        </w:rPr>
      </w:pPr>
      <w:bookmarkStart w:id="7359" w:name="_Toc17360"/>
      <w:bookmarkStart w:id="7360" w:name="_Toc27346"/>
      <w:bookmarkStart w:id="7361" w:name="_Toc4132"/>
      <w:bookmarkStart w:id="7362" w:name="_Toc22725"/>
      <w:bookmarkStart w:id="7363" w:name="_Toc24105"/>
      <w:bookmarkStart w:id="7364" w:name="_Toc517532327"/>
      <w:bookmarkStart w:id="7365" w:name="_Toc13516"/>
      <w:bookmarkStart w:id="7366" w:name="_Toc517531051"/>
      <w:bookmarkStart w:id="7367" w:name="_Toc6023"/>
      <w:bookmarkStart w:id="7368" w:name="_Toc10593"/>
      <w:bookmarkStart w:id="7369" w:name="_Toc17626"/>
      <w:bookmarkStart w:id="7370" w:name="_Toc15792"/>
      <w:bookmarkStart w:id="7371" w:name="_Toc69114104"/>
      <w:bookmarkStart w:id="7372" w:name="_Toc23405"/>
      <w:bookmarkStart w:id="7373" w:name="_Toc517528813"/>
      <w:bookmarkStart w:id="7374" w:name="_Toc30343"/>
      <w:bookmarkStart w:id="7375" w:name="_Toc13955"/>
      <w:bookmarkStart w:id="7376" w:name="_Toc13813"/>
      <w:bookmarkStart w:id="7377" w:name="_Toc17142"/>
      <w:bookmarkStart w:id="7378" w:name="_Toc20721"/>
      <w:r>
        <w:rPr>
          <w:rFonts w:hint="eastAsia" w:ascii="宋体" w:hAnsi="宋体" w:cs="宋体"/>
          <w:b/>
          <w:bCs/>
          <w:color w:val="auto"/>
          <w:sz w:val="28"/>
          <w:szCs w:val="28"/>
          <w:highlight w:val="none"/>
        </w:rPr>
        <w:t>15.3缺陷修复的费用</w:t>
      </w:r>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p>
    <w:p>
      <w:pPr>
        <w:spacing w:line="360" w:lineRule="auto"/>
        <w:ind w:firstLine="420" w:firstLineChars="200"/>
        <w:rPr>
          <w:rFonts w:ascii="宋体" w:hAnsi="宋体" w:cs="宋体"/>
          <w:b/>
          <w:bCs/>
          <w:color w:val="auto"/>
          <w:szCs w:val="21"/>
          <w:highlight w:val="none"/>
        </w:rPr>
      </w:pPr>
      <w:r>
        <w:rPr>
          <w:rFonts w:hint="eastAsia" w:ascii="宋体" w:hAnsi="宋体" w:cs="宋体"/>
          <w:b/>
          <w:bCs/>
          <w:color w:val="auto"/>
          <w:szCs w:val="21"/>
          <w:highlight w:val="none"/>
        </w:rPr>
        <w:t>（1）保修</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（a）承包人须与发包人签署《工程质量保修书》。承包人须编写《使用手册》，对使用单位（包括使用单位的物业管理人员，下同）进行培训，并做好培训记录。</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b）承包人应建立健全工程质量保修制度，明确保修责任人和联系人，制定质量保修方案，在竣工验收前报发包人和使用单位。保修责任人和联系人必须为承包人正式员工，提供承包人固定电话和责任人、联系人移动电话。变更责任人和联系人时，须经发包人</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批准，并及时书面告知使用单位。</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（c）在竣工移交后半年内，承包人应安排保修负责人常驻项目，及时处理发现的质量缺陷。主要质量缺陷处理完毕，经发包人和使用单位同意后，上述常驻人员方可撤离项目。</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（d）保修常驻人员撤离项目后，承包人必须在监理人组织下至少每季度进行一次质量回访工作。</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e）发现质量缺陷，承包人应自接到保修通知书后3日内到达现场核查情况、开展保修工作。一般问题5日内处理完毕，复杂问题根据实际情况提出保修方案和修复期限，报发包人、监理人和使用单位认可后实施。若此类缺陷或损害不能在现场迅速修复时，经发包人</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同意，承包人可将有缺陷或损害的永久设备移出现场进行修理。发包人可要求承包人以该部分的重置费用提供履约保证的款额或提供其他发包人接受的保证。质量保修完成后，由监理人组织验收。验收合格后承包人填写《质量缺陷处理备案表》一式四联，第一联交使用单位，第二联交监理人，第三联交发包人，第四联自行留底。</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（f）发生涉及结构安全或者严重影响使用功能的紧急抢修事故，承包人接到电话通知后，应当立即到达现场抢修。</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（g）承包人自接到保修通知书后5日内未达到现场或维修两次仍未解决问题的，可由发包人另行委托单位进行保修，费用从质量保证金中扣除。此种情况并不免除承包人的保修责任。</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（h）为了提高保修效率，经双方协商一致，承包人可以支付一定的费用，将常见、多发质量缺陷委托使用单位保修，双方签订协议，报发包人备案。</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（i）保修期内质量缺陷原则上由承包人负责修复，承包人不实施修复的，经发包人</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批准，可以采用其他保修模式，但并不免除承包人的保修责任。其他保修模式按优先顺序排列如下：</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①承包人同使用单位签订委托保修合同后，委托使用单位自行组织实施保修，保修费用经双方协商后一次性支付给使用单位。委托保修合同须报发包人备案。</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②承包人同发包人另行委托的保修工程实施单位签订委托保修合同后，委托发包人另行委托保修工程实施单位负责缺陷修复，费用按实报实销的原则从质量保证金中扣除。</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③承包人同发包人签订委托保修合同后，自愿放弃质量保证金，委托发包人另行委托保修工程实施单位实施保修工作。</w:t>
      </w:r>
    </w:p>
    <w:p>
      <w:pPr>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（j）除(i)款规定的情形外，承包人不及时履行保修义务或履行保修义务不力的，给予警告；警告无效的，予以记录不良行为。</w:t>
      </w:r>
    </w:p>
    <w:p>
      <w:pPr>
        <w:keepNext/>
        <w:keepLines/>
        <w:spacing w:before="120" w:beforeLines="50" w:after="120" w:afterLines="50" w:line="360" w:lineRule="auto"/>
        <w:ind w:firstLine="600" w:firstLineChars="200"/>
        <w:outlineLvl w:val="1"/>
        <w:rPr>
          <w:rFonts w:ascii="宋体" w:hAnsi="宋体" w:cs="宋体"/>
          <w:b/>
          <w:bCs/>
          <w:color w:val="auto"/>
          <w:sz w:val="30"/>
          <w:szCs w:val="30"/>
          <w:highlight w:val="none"/>
        </w:rPr>
      </w:pPr>
      <w:bookmarkStart w:id="7379" w:name="_Toc32365"/>
      <w:bookmarkStart w:id="7380" w:name="_Toc22975"/>
      <w:bookmarkStart w:id="7381" w:name="_Toc28505"/>
      <w:bookmarkStart w:id="7382" w:name="_Toc23280"/>
      <w:bookmarkStart w:id="7383" w:name="_Toc32512"/>
      <w:bookmarkStart w:id="7384" w:name="_Toc3032"/>
      <w:bookmarkStart w:id="7385" w:name="_Toc24656"/>
      <w:bookmarkStart w:id="7386" w:name="_Toc517531052"/>
      <w:bookmarkStart w:id="7387" w:name="_Toc7733"/>
      <w:bookmarkStart w:id="7388" w:name="_Toc29264"/>
      <w:bookmarkStart w:id="7389" w:name="_Toc517528814"/>
      <w:bookmarkStart w:id="7390" w:name="_Toc517532328"/>
      <w:bookmarkStart w:id="7391" w:name="_Toc17572"/>
      <w:bookmarkStart w:id="7392" w:name="_Toc19835"/>
      <w:bookmarkStart w:id="7393" w:name="_Toc517529771"/>
      <w:bookmarkStart w:id="7394" w:name="_Toc4255"/>
      <w:bookmarkStart w:id="7395" w:name="_Toc4424"/>
      <w:bookmarkStart w:id="7396" w:name="_Toc16676"/>
      <w:bookmarkStart w:id="7397" w:name="_Toc11783"/>
      <w:bookmarkStart w:id="7398" w:name="_Toc69114105"/>
      <w:r>
        <w:rPr>
          <w:rFonts w:hint="eastAsia" w:ascii="宋体" w:hAnsi="宋体" w:cs="宋体"/>
          <w:b/>
          <w:bCs/>
          <w:color w:val="auto"/>
          <w:sz w:val="30"/>
          <w:szCs w:val="30"/>
          <w:highlight w:val="none"/>
        </w:rPr>
        <w:t>16.违约</w:t>
      </w:r>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p>
    <w:p>
      <w:pPr>
        <w:keepNext/>
        <w:keepLines/>
        <w:spacing w:before="120" w:beforeLines="50" w:after="120" w:afterLines="50" w:line="360" w:lineRule="auto"/>
        <w:ind w:firstLine="728"/>
        <w:outlineLvl w:val="3"/>
        <w:rPr>
          <w:rFonts w:ascii="宋体" w:hAnsi="宋体" w:cs="宋体"/>
          <w:b/>
          <w:bCs/>
          <w:color w:val="auto"/>
          <w:sz w:val="24"/>
          <w:szCs w:val="24"/>
          <w:highlight w:val="none"/>
        </w:rPr>
      </w:pPr>
      <w:r>
        <w:rPr>
          <w:rFonts w:hint="eastAsia" w:ascii="宋体" w:hAnsi="宋体" w:cs="宋体"/>
          <w:b/>
          <w:bCs/>
          <w:color w:val="auto"/>
          <w:sz w:val="24"/>
          <w:szCs w:val="24"/>
          <w:highlight w:val="none"/>
        </w:rPr>
        <w:t>16.2.1承包人的违约</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特别约定：</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w:t>
      </w:r>
      <w:r>
        <w:rPr>
          <w:rFonts w:hint="eastAsia" w:ascii="宋体" w:hAnsi="宋体" w:cs="宋体"/>
          <w:color w:val="auto"/>
          <w:szCs w:val="21"/>
          <w:highlight w:val="none"/>
        </w:rPr>
        <w:t>因发包人原因导致的深化设计变更，造成的额外费用由发包人全部承担；超标准设计等非发包人原因导致的承包人违反合同的，由承包人承担超额费用，并承担违约金</w:t>
      </w:r>
      <w:r>
        <w:rPr>
          <w:rFonts w:ascii="宋体" w:hAnsi="宋体" w:cs="宋体"/>
          <w:color w:val="auto"/>
          <w:szCs w:val="21"/>
          <w:highlight w:val="none"/>
        </w:rPr>
        <w:t>20000</w:t>
      </w:r>
      <w:r>
        <w:rPr>
          <w:rFonts w:hint="eastAsia" w:ascii="宋体" w:hAnsi="宋体" w:cs="宋体"/>
          <w:color w:val="auto"/>
          <w:szCs w:val="21"/>
          <w:highlight w:val="none"/>
        </w:rPr>
        <w:t>元。</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s="宋体"/>
          <w:color w:val="auto"/>
          <w:szCs w:val="21"/>
          <w:highlight w:val="none"/>
        </w:rPr>
        <w:t>承包人未按照本合同</w:t>
      </w:r>
      <w:r>
        <w:rPr>
          <w:rFonts w:ascii="宋体" w:hAnsi="宋体"/>
          <w:color w:val="auto"/>
          <w:kern w:val="0"/>
          <w:szCs w:val="24"/>
          <w:highlight w:val="none"/>
        </w:rPr>
        <w:t>约定使用</w:t>
      </w:r>
      <w:r>
        <w:rPr>
          <w:rFonts w:hint="eastAsia" w:ascii="宋体" w:hAnsi="宋体"/>
          <w:color w:val="auto"/>
          <w:kern w:val="0"/>
          <w:szCs w:val="24"/>
          <w:highlight w:val="none"/>
        </w:rPr>
        <w:t>已承诺的优秀工法和新技术、新工艺、</w:t>
      </w:r>
      <w:r>
        <w:rPr>
          <w:rFonts w:ascii="宋体" w:hAnsi="宋体"/>
          <w:color w:val="auto"/>
          <w:kern w:val="0"/>
          <w:szCs w:val="24"/>
          <w:highlight w:val="none"/>
        </w:rPr>
        <w:t>新设备、新材料</w:t>
      </w:r>
      <w:r>
        <w:rPr>
          <w:rFonts w:hint="eastAsia" w:ascii="宋体" w:hAnsi="宋体"/>
          <w:color w:val="auto"/>
          <w:kern w:val="0"/>
          <w:szCs w:val="24"/>
          <w:highlight w:val="none"/>
        </w:rPr>
        <w:t>的，发包人除有权根据实际评估结果，从合同款“其他”项目中扣除相关费用外，还可由承包人承担违约金</w:t>
      </w:r>
      <w:r>
        <w:rPr>
          <w:rFonts w:ascii="宋体" w:hAnsi="宋体" w:cs="宋体"/>
          <w:color w:val="auto"/>
          <w:szCs w:val="21"/>
          <w:highlight w:val="none"/>
        </w:rPr>
        <w:t>20000</w:t>
      </w:r>
      <w:r>
        <w:rPr>
          <w:rFonts w:hint="eastAsia" w:ascii="宋体" w:hAnsi="宋体" w:cs="宋体"/>
          <w:color w:val="auto"/>
          <w:szCs w:val="21"/>
          <w:highlight w:val="none"/>
        </w:rPr>
        <w:t>元。</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w:t>
      </w:r>
      <w:r>
        <w:rPr>
          <w:rFonts w:hint="eastAsia" w:ascii="宋体" w:hAnsi="宋体" w:cs="宋体"/>
          <w:color w:val="auto"/>
          <w:szCs w:val="21"/>
          <w:highlight w:val="none"/>
        </w:rPr>
        <w:t>承包人未按合同约定进行隐蔽工程检查验收，承包人应承担违约金</w:t>
      </w:r>
      <w:r>
        <w:rPr>
          <w:rFonts w:ascii="宋体" w:hAnsi="宋体" w:cs="宋体"/>
          <w:color w:val="auto"/>
          <w:szCs w:val="21"/>
          <w:highlight w:val="none"/>
        </w:rPr>
        <w:t>10000</w:t>
      </w:r>
      <w:r>
        <w:rPr>
          <w:rFonts w:hint="eastAsia" w:ascii="宋体" w:hAnsi="宋体" w:cs="宋体"/>
          <w:color w:val="auto"/>
          <w:szCs w:val="21"/>
          <w:highlight w:val="none"/>
        </w:rPr>
        <w:t>元/次。</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w:t>
      </w:r>
      <w:r>
        <w:rPr>
          <w:rFonts w:hint="eastAsia" w:ascii="宋体" w:hAnsi="宋体" w:cs="宋体"/>
          <w:color w:val="auto"/>
          <w:szCs w:val="21"/>
          <w:highlight w:val="none"/>
        </w:rPr>
        <w:t>承包人违反预验收“双80”制度，按照</w:t>
      </w:r>
      <w:r>
        <w:rPr>
          <w:rFonts w:hint="eastAsia"/>
          <w:color w:val="auto"/>
          <w:highlight w:val="none"/>
        </w:rPr>
        <w:t>工程质量巡查制度中的</w:t>
      </w:r>
      <w:r>
        <w:rPr>
          <w:rFonts w:hint="eastAsia" w:ascii="宋体" w:hAnsi="宋体" w:cs="宋体"/>
          <w:color w:val="auto"/>
          <w:szCs w:val="21"/>
          <w:highlight w:val="none"/>
        </w:rPr>
        <w:t>标准承担违约责任。</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w:t>
      </w:r>
      <w:r>
        <w:rPr>
          <w:rFonts w:hint="eastAsia" w:ascii="宋体" w:hAnsi="宋体" w:cs="宋体"/>
          <w:color w:val="auto"/>
          <w:szCs w:val="21"/>
          <w:highlight w:val="none"/>
        </w:rPr>
        <w:t>承包人未按要求建立三级安全检查制度，发包人有权停工，由此造成的误工等损失由承包人承担；承包人对于安全检查问题整改未落实，承包人应承担违约金</w:t>
      </w:r>
      <w:r>
        <w:rPr>
          <w:rFonts w:ascii="宋体" w:hAnsi="宋体" w:cs="宋体"/>
          <w:color w:val="auto"/>
          <w:szCs w:val="21"/>
          <w:highlight w:val="none"/>
        </w:rPr>
        <w:t>10000</w:t>
      </w:r>
      <w:r>
        <w:rPr>
          <w:rFonts w:hint="eastAsia" w:ascii="宋体" w:hAnsi="宋体" w:cs="宋体"/>
          <w:color w:val="auto"/>
          <w:szCs w:val="21"/>
          <w:highlight w:val="none"/>
        </w:rPr>
        <w:t>元/次。</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w:t>
      </w:r>
      <w:r>
        <w:rPr>
          <w:rFonts w:ascii="宋体" w:hAnsi="宋体" w:cs="宋体"/>
          <w:color w:val="auto"/>
          <w:szCs w:val="21"/>
          <w:highlight w:val="none"/>
        </w:rPr>
        <w:t>.</w:t>
      </w:r>
      <w:r>
        <w:rPr>
          <w:rFonts w:hint="eastAsia" w:ascii="宋体" w:hAnsi="宋体" w:cs="宋体"/>
          <w:color w:val="auto"/>
          <w:szCs w:val="21"/>
          <w:highlight w:val="none"/>
        </w:rPr>
        <w:t>工程竣工验收合格后，承包人未按要求设置永久性标志牌或设置不符合要求而不改正的，承包人应承担违约金</w:t>
      </w:r>
      <w:r>
        <w:rPr>
          <w:rFonts w:ascii="宋体" w:hAnsi="宋体" w:cs="宋体"/>
          <w:color w:val="auto"/>
          <w:szCs w:val="21"/>
          <w:highlight w:val="none"/>
        </w:rPr>
        <w:t>20000</w:t>
      </w:r>
      <w:r>
        <w:rPr>
          <w:rFonts w:hint="eastAsia" w:ascii="宋体" w:hAnsi="宋体" w:cs="宋体"/>
          <w:color w:val="auto"/>
          <w:szCs w:val="21"/>
          <w:highlight w:val="none"/>
        </w:rPr>
        <w:t>元。</w:t>
      </w:r>
    </w:p>
    <w:p>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承包人在本工程实施期间，务必严格落实行业主管理部门、发包人相关规定和要求，包括但不限于排水、排污、施工噪音控制、土方处置、扬尘治理、交通疏解、安全文明施工标准、项目经理履职、质量标准等，如承包人违反相关规定，被行政主管部门或发包人处停工整改情形的，承包人应承担违约金20000元</w:t>
      </w:r>
      <w:r>
        <w:rPr>
          <w:rFonts w:ascii="宋体" w:hAnsi="宋体" w:cs="宋体"/>
          <w:color w:val="auto"/>
          <w:szCs w:val="21"/>
          <w:highlight w:val="none"/>
        </w:rPr>
        <w:t>/</w:t>
      </w:r>
      <w:r>
        <w:rPr>
          <w:rFonts w:hint="eastAsia" w:ascii="宋体" w:hAnsi="宋体" w:cs="宋体"/>
          <w:color w:val="auto"/>
          <w:szCs w:val="21"/>
          <w:highlight w:val="none"/>
        </w:rPr>
        <w:t>次，被通报批评、无正当理由不按期完成限期整改和督办事项等情形的，承包人应承担违约</w:t>
      </w:r>
      <w:r>
        <w:rPr>
          <w:rFonts w:ascii="宋体" w:hAnsi="宋体" w:cs="宋体"/>
          <w:color w:val="auto"/>
          <w:szCs w:val="21"/>
          <w:highlight w:val="none"/>
        </w:rPr>
        <w:t>1</w:t>
      </w:r>
      <w:r>
        <w:rPr>
          <w:rFonts w:hint="eastAsia" w:ascii="宋体" w:hAnsi="宋体" w:cs="宋体"/>
          <w:color w:val="auto"/>
          <w:szCs w:val="21"/>
          <w:highlight w:val="none"/>
        </w:rPr>
        <w:t>0000元/次。详见本条</w:t>
      </w:r>
      <w:r>
        <w:rPr>
          <w:rFonts w:hint="eastAsia" w:ascii="宋体" w:hAnsi="宋体" w:cs="宋体"/>
          <w:b/>
          <w:color w:val="auto"/>
          <w:szCs w:val="21"/>
          <w:highlight w:val="none"/>
          <w:u w:val="single"/>
        </w:rPr>
        <w:t>第</w:t>
      </w:r>
      <w:r>
        <w:rPr>
          <w:rFonts w:ascii="宋体" w:hAnsi="宋体" w:cs="宋体"/>
          <w:b/>
          <w:color w:val="auto"/>
          <w:szCs w:val="21"/>
          <w:highlight w:val="none"/>
          <w:u w:val="single"/>
        </w:rPr>
        <w:t>9</w:t>
      </w:r>
      <w:r>
        <w:rPr>
          <w:rFonts w:hint="eastAsia" w:ascii="宋体" w:hAnsi="宋体" w:cs="宋体"/>
          <w:b/>
          <w:color w:val="auto"/>
          <w:szCs w:val="21"/>
          <w:highlight w:val="none"/>
          <w:u w:val="single"/>
        </w:rPr>
        <w:t>款：</w:t>
      </w:r>
      <w:r>
        <w:rPr>
          <w:rFonts w:ascii="宋体" w:hAnsi="宋体" w:cs="宋体"/>
          <w:b/>
          <w:color w:val="auto"/>
          <w:szCs w:val="21"/>
          <w:highlight w:val="none"/>
          <w:u w:val="single"/>
        </w:rPr>
        <w:t>承包人违约认定及处理细则</w:t>
      </w:r>
      <w:r>
        <w:rPr>
          <w:rFonts w:hint="eastAsia" w:ascii="宋体" w:hAnsi="宋体" w:cs="宋体"/>
          <w:b/>
          <w:color w:val="auto"/>
          <w:szCs w:val="21"/>
          <w:highlight w:val="none"/>
          <w:u w:val="single"/>
        </w:rPr>
        <w:t>。</w:t>
      </w:r>
    </w:p>
    <w:p>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8.</w:t>
      </w:r>
      <w:r>
        <w:rPr>
          <w:rFonts w:hint="eastAsia" w:ascii="宋体" w:hAnsi="宋体" w:cs="宋体"/>
          <w:color w:val="auto"/>
          <w:szCs w:val="21"/>
          <w:highlight w:val="none"/>
        </w:rPr>
        <w:t>承包人应服从监理人管理，不得无故拒绝、拖延执行监理人指令。监理人通知单载明整改、落实期限的，承包人应于该期限届满前完成整改、落实，并回复监理人核查；监理人通知单未载明整改、落实期限的，承包人应于收到监理人通知单之日起7日内完成整改、落实，并回复监理人核查；承包人无法在上述期限届满前完成整改、落实时，应将具体理由、整改（落实）计划、临时措施等书面报告监理人批准。承包人未按本款约定的期限完成整改、落实的，也未征得监理人</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批准的，承包人应承担违约金</w:t>
      </w:r>
      <w:r>
        <w:rPr>
          <w:rFonts w:ascii="宋体" w:hAnsi="宋体" w:cs="宋体"/>
          <w:color w:val="auto"/>
          <w:szCs w:val="21"/>
          <w:highlight w:val="none"/>
        </w:rPr>
        <w:t>5</w:t>
      </w:r>
      <w:r>
        <w:rPr>
          <w:rFonts w:hint="eastAsia" w:ascii="宋体" w:hAnsi="宋体" w:cs="宋体"/>
          <w:color w:val="auto"/>
          <w:szCs w:val="21"/>
          <w:highlight w:val="none"/>
        </w:rPr>
        <w:t>000元/次。详见本条</w:t>
      </w:r>
      <w:r>
        <w:rPr>
          <w:rFonts w:hint="eastAsia" w:ascii="宋体" w:hAnsi="宋体" w:cs="宋体"/>
          <w:b/>
          <w:color w:val="auto"/>
          <w:szCs w:val="21"/>
          <w:highlight w:val="none"/>
          <w:u w:val="single"/>
        </w:rPr>
        <w:t>第</w:t>
      </w:r>
      <w:r>
        <w:rPr>
          <w:rFonts w:ascii="宋体" w:hAnsi="宋体" w:cs="宋体"/>
          <w:b/>
          <w:color w:val="auto"/>
          <w:szCs w:val="21"/>
          <w:highlight w:val="none"/>
          <w:u w:val="single"/>
        </w:rPr>
        <w:t>9</w:t>
      </w:r>
      <w:r>
        <w:rPr>
          <w:rFonts w:hint="eastAsia" w:ascii="宋体" w:hAnsi="宋体" w:cs="宋体"/>
          <w:b/>
          <w:color w:val="auto"/>
          <w:szCs w:val="21"/>
          <w:highlight w:val="none"/>
          <w:u w:val="single"/>
        </w:rPr>
        <w:t>款：</w:t>
      </w:r>
      <w:r>
        <w:rPr>
          <w:rFonts w:ascii="宋体" w:hAnsi="宋体" w:cs="宋体"/>
          <w:b/>
          <w:color w:val="auto"/>
          <w:szCs w:val="21"/>
          <w:highlight w:val="none"/>
          <w:u w:val="single"/>
        </w:rPr>
        <w:t>承包人违约认定及处理细则</w:t>
      </w:r>
      <w:r>
        <w:rPr>
          <w:rFonts w:hint="eastAsia" w:ascii="宋体" w:hAnsi="宋体" w:cs="宋体"/>
          <w:b/>
          <w:color w:val="auto"/>
          <w:szCs w:val="21"/>
          <w:highlight w:val="none"/>
          <w:u w:val="single"/>
        </w:rPr>
        <w:t>。</w:t>
      </w:r>
    </w:p>
    <w:p>
      <w:pPr>
        <w:spacing w:line="360" w:lineRule="auto"/>
        <w:ind w:firstLine="420" w:firstLineChars="200"/>
        <w:rPr>
          <w:rFonts w:ascii="宋体" w:hAnsi="宋体" w:cs="宋体"/>
          <w:b/>
          <w:color w:val="auto"/>
          <w:szCs w:val="21"/>
          <w:highlight w:val="none"/>
        </w:rPr>
      </w:pPr>
      <w:r>
        <w:rPr>
          <w:rFonts w:ascii="宋体" w:hAnsi="宋体" w:cs="宋体"/>
          <w:b/>
          <w:color w:val="auto"/>
          <w:szCs w:val="21"/>
          <w:highlight w:val="none"/>
        </w:rPr>
        <w:t>9</w:t>
      </w:r>
      <w:r>
        <w:rPr>
          <w:rFonts w:hint="eastAsia" w:ascii="宋体" w:hAnsi="宋体" w:cs="宋体"/>
          <w:b/>
          <w:color w:val="auto"/>
          <w:szCs w:val="21"/>
          <w:highlight w:val="none"/>
        </w:rPr>
        <w:t>．承包人违约认定及处理细则：</w:t>
      </w:r>
    </w:p>
    <w:tbl>
      <w:tblPr>
        <w:tblStyle w:val="43"/>
        <w:tblW w:w="90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76"/>
        <w:gridCol w:w="26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6376" w:type="dxa"/>
            <w:noWrap w:val="0"/>
            <w:vAlign w:val="center"/>
          </w:tcPr>
          <w:p>
            <w:pPr>
              <w:jc w:val="center"/>
              <w:rPr>
                <w:rFonts w:ascii="宋体" w:hAnsi="宋体"/>
                <w:b/>
                <w:color w:val="auto"/>
                <w:sz w:val="20"/>
                <w:szCs w:val="20"/>
                <w:highlight w:val="none"/>
              </w:rPr>
            </w:pPr>
            <w:r>
              <w:rPr>
                <w:rFonts w:ascii="宋体" w:hAnsi="宋体"/>
                <w:b/>
                <w:color w:val="auto"/>
                <w:sz w:val="20"/>
                <w:szCs w:val="20"/>
                <w:highlight w:val="none"/>
              </w:rPr>
              <w:t>违约情形认定标准</w:t>
            </w:r>
          </w:p>
        </w:tc>
        <w:tc>
          <w:tcPr>
            <w:tcW w:w="2688" w:type="dxa"/>
            <w:noWrap w:val="0"/>
            <w:vAlign w:val="center"/>
          </w:tcPr>
          <w:p>
            <w:pPr>
              <w:jc w:val="center"/>
              <w:rPr>
                <w:rFonts w:ascii="宋体" w:hAnsi="宋体"/>
                <w:b/>
                <w:color w:val="auto"/>
                <w:sz w:val="20"/>
                <w:szCs w:val="20"/>
                <w:highlight w:val="none"/>
              </w:rPr>
            </w:pPr>
            <w:r>
              <w:rPr>
                <w:rFonts w:ascii="宋体" w:hAnsi="宋体"/>
                <w:b/>
                <w:color w:val="auto"/>
                <w:sz w:val="20"/>
                <w:szCs w:val="20"/>
                <w:highlight w:val="none"/>
              </w:rPr>
              <w:t>违约金标准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jc w:val="center"/>
        </w:trPr>
        <w:tc>
          <w:tcPr>
            <w:tcW w:w="6376" w:type="dxa"/>
            <w:noWrap w:val="0"/>
            <w:vAlign w:val="center"/>
          </w:tcPr>
          <w:p>
            <w:pPr>
              <w:pStyle w:val="141"/>
              <w:numPr>
                <w:ilvl w:val="0"/>
                <w:numId w:val="13"/>
              </w:numPr>
              <w:ind w:left="400" w:hanging="400" w:hangingChars="200"/>
              <w:rPr>
                <w:rFonts w:ascii="宋体" w:hAnsi="宋体"/>
                <w:color w:val="auto"/>
                <w:sz w:val="20"/>
                <w:szCs w:val="20"/>
                <w:highlight w:val="none"/>
              </w:rPr>
            </w:pPr>
            <w:r>
              <w:rPr>
                <w:rFonts w:hint="eastAsia" w:ascii="宋体" w:hAnsi="宋体"/>
                <w:color w:val="auto"/>
                <w:sz w:val="20"/>
                <w:szCs w:val="20"/>
                <w:highlight w:val="none"/>
              </w:rPr>
              <w:t>承包人原因被行政主管部门处停工、通报或警示等行政处罚。</w:t>
            </w:r>
          </w:p>
        </w:tc>
        <w:tc>
          <w:tcPr>
            <w:tcW w:w="2688" w:type="dxa"/>
            <w:noWrap w:val="0"/>
            <w:vAlign w:val="center"/>
          </w:tcPr>
          <w:p>
            <w:pPr>
              <w:jc w:val="right"/>
              <w:rPr>
                <w:rFonts w:ascii="宋体" w:hAnsi="宋体"/>
                <w:color w:val="auto"/>
                <w:sz w:val="20"/>
                <w:szCs w:val="20"/>
                <w:highlight w:val="none"/>
              </w:rPr>
            </w:pPr>
            <w:r>
              <w:rPr>
                <w:rFonts w:hint="eastAsia" w:ascii="宋体" w:hAnsi="宋体"/>
                <w:color w:val="auto"/>
                <w:sz w:val="20"/>
                <w:szCs w:val="20"/>
                <w:highlight w:val="none"/>
              </w:rPr>
              <w:t>20000元/次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jc w:val="center"/>
        </w:trPr>
        <w:tc>
          <w:tcPr>
            <w:tcW w:w="6376" w:type="dxa"/>
            <w:noWrap w:val="0"/>
            <w:vAlign w:val="center"/>
          </w:tcPr>
          <w:p>
            <w:pPr>
              <w:pStyle w:val="141"/>
              <w:numPr>
                <w:ilvl w:val="0"/>
                <w:numId w:val="13"/>
              </w:numPr>
              <w:ind w:left="400" w:hanging="400" w:hangingChars="200"/>
              <w:rPr>
                <w:rFonts w:ascii="宋体" w:hAnsi="宋体"/>
                <w:color w:val="auto"/>
                <w:sz w:val="20"/>
                <w:szCs w:val="20"/>
                <w:highlight w:val="none"/>
              </w:rPr>
            </w:pPr>
            <w:r>
              <w:rPr>
                <w:rFonts w:ascii="宋体" w:hAnsi="宋体" w:cs="宋体"/>
                <w:color w:val="auto"/>
                <w:sz w:val="20"/>
                <w:szCs w:val="20"/>
                <w:highlight w:val="none"/>
              </w:rPr>
              <w:t>施工企业未落实工程安全小组日检，</w:t>
            </w:r>
            <w:r>
              <w:rPr>
                <w:rFonts w:hint="eastAsia" w:ascii="宋体" w:hAnsi="宋体" w:cs="宋体"/>
                <w:color w:val="auto"/>
                <w:sz w:val="20"/>
                <w:szCs w:val="20"/>
                <w:highlight w:val="none"/>
              </w:rPr>
              <w:t>1周内缺1次（不含）及以上。</w:t>
            </w:r>
          </w:p>
        </w:tc>
        <w:tc>
          <w:tcPr>
            <w:tcW w:w="2688" w:type="dxa"/>
            <w:noWrap w:val="0"/>
            <w:vAlign w:val="center"/>
          </w:tcPr>
          <w:p>
            <w:pPr>
              <w:jc w:val="right"/>
              <w:rPr>
                <w:rFonts w:ascii="宋体" w:hAnsi="宋体"/>
                <w:color w:val="auto"/>
                <w:sz w:val="20"/>
                <w:szCs w:val="20"/>
                <w:highlight w:val="none"/>
              </w:rPr>
            </w:pPr>
            <w:r>
              <w:rPr>
                <w:rFonts w:hint="eastAsia" w:ascii="宋体" w:hAnsi="宋体"/>
                <w:color w:val="auto"/>
                <w:sz w:val="20"/>
                <w:szCs w:val="20"/>
                <w:highlight w:val="none"/>
              </w:rPr>
              <w:t>1000元/次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jc w:val="center"/>
        </w:trPr>
        <w:tc>
          <w:tcPr>
            <w:tcW w:w="6376" w:type="dxa"/>
            <w:noWrap w:val="0"/>
            <w:vAlign w:val="center"/>
          </w:tcPr>
          <w:p>
            <w:pPr>
              <w:pStyle w:val="141"/>
              <w:numPr>
                <w:ilvl w:val="0"/>
                <w:numId w:val="13"/>
              </w:numPr>
              <w:ind w:left="400" w:hanging="400" w:hangingChars="200"/>
              <w:rPr>
                <w:rFonts w:ascii="宋体" w:hAnsi="宋体" w:cs="宋体"/>
                <w:color w:val="auto"/>
                <w:sz w:val="20"/>
                <w:szCs w:val="20"/>
                <w:highlight w:val="none"/>
              </w:rPr>
            </w:pPr>
            <w:r>
              <w:rPr>
                <w:rFonts w:ascii="宋体" w:hAnsi="宋体" w:cs="宋体"/>
                <w:color w:val="auto"/>
                <w:sz w:val="20"/>
                <w:szCs w:val="20"/>
                <w:highlight w:val="none"/>
              </w:rPr>
              <w:t>施工企业未落实项目部安全周检。</w:t>
            </w:r>
          </w:p>
        </w:tc>
        <w:tc>
          <w:tcPr>
            <w:tcW w:w="2688" w:type="dxa"/>
            <w:noWrap w:val="0"/>
            <w:vAlign w:val="center"/>
          </w:tcPr>
          <w:p>
            <w:pPr>
              <w:jc w:val="right"/>
              <w:rPr>
                <w:rFonts w:ascii="宋体" w:hAnsi="宋体"/>
                <w:color w:val="auto"/>
                <w:sz w:val="20"/>
                <w:szCs w:val="20"/>
                <w:highlight w:val="none"/>
              </w:rPr>
            </w:pPr>
            <w:r>
              <w:rPr>
                <w:rFonts w:hint="eastAsia" w:ascii="宋体" w:hAnsi="宋体"/>
                <w:color w:val="auto"/>
                <w:sz w:val="20"/>
                <w:szCs w:val="20"/>
                <w:highlight w:val="none"/>
              </w:rPr>
              <w:t>5000元/次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6376" w:type="dxa"/>
            <w:noWrap w:val="0"/>
            <w:vAlign w:val="center"/>
          </w:tcPr>
          <w:p>
            <w:pPr>
              <w:pStyle w:val="141"/>
              <w:numPr>
                <w:ilvl w:val="0"/>
                <w:numId w:val="13"/>
              </w:numPr>
              <w:ind w:left="400" w:hanging="400" w:hangingChars="200"/>
              <w:rPr>
                <w:rFonts w:ascii="宋体" w:hAnsi="宋体" w:cs="宋体"/>
                <w:color w:val="auto"/>
                <w:sz w:val="20"/>
                <w:szCs w:val="20"/>
                <w:highlight w:val="none"/>
              </w:rPr>
            </w:pPr>
            <w:r>
              <w:rPr>
                <w:rFonts w:ascii="宋体" w:hAnsi="宋体" w:cs="宋体"/>
                <w:color w:val="auto"/>
                <w:sz w:val="20"/>
                <w:szCs w:val="20"/>
                <w:highlight w:val="none"/>
              </w:rPr>
              <w:t>施工企业未落实施工企业月检。</w:t>
            </w:r>
          </w:p>
        </w:tc>
        <w:tc>
          <w:tcPr>
            <w:tcW w:w="2688" w:type="dxa"/>
            <w:noWrap w:val="0"/>
            <w:vAlign w:val="center"/>
          </w:tcPr>
          <w:p>
            <w:pPr>
              <w:jc w:val="right"/>
              <w:rPr>
                <w:rFonts w:ascii="宋体" w:hAnsi="宋体"/>
                <w:color w:val="auto"/>
                <w:sz w:val="20"/>
                <w:szCs w:val="20"/>
                <w:highlight w:val="none"/>
              </w:rPr>
            </w:pPr>
            <w:r>
              <w:rPr>
                <w:rFonts w:hint="eastAsia" w:ascii="宋体" w:hAnsi="宋体"/>
                <w:color w:val="auto"/>
                <w:sz w:val="20"/>
                <w:szCs w:val="20"/>
                <w:highlight w:val="none"/>
              </w:rPr>
              <w:t>10000元/次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atLeast"/>
          <w:jc w:val="center"/>
        </w:trPr>
        <w:tc>
          <w:tcPr>
            <w:tcW w:w="6376" w:type="dxa"/>
            <w:noWrap w:val="0"/>
            <w:vAlign w:val="center"/>
          </w:tcPr>
          <w:p>
            <w:pPr>
              <w:pStyle w:val="141"/>
              <w:numPr>
                <w:ilvl w:val="0"/>
                <w:numId w:val="13"/>
              </w:numPr>
              <w:ind w:left="400" w:hanging="400" w:hangingChars="200"/>
              <w:rPr>
                <w:rFonts w:ascii="宋体" w:hAnsi="宋体"/>
                <w:color w:val="auto"/>
                <w:sz w:val="20"/>
                <w:szCs w:val="20"/>
                <w:highlight w:val="none"/>
              </w:rPr>
            </w:pPr>
            <w:r>
              <w:rPr>
                <w:rFonts w:ascii="宋体" w:hAnsi="宋体" w:cs="宋体"/>
                <w:color w:val="auto"/>
                <w:sz w:val="20"/>
                <w:szCs w:val="20"/>
                <w:highlight w:val="none"/>
              </w:rPr>
              <w:t>工程安全小组日检结论与现场严重不符、检查资料弄虚作假。</w:t>
            </w:r>
          </w:p>
        </w:tc>
        <w:tc>
          <w:tcPr>
            <w:tcW w:w="2688" w:type="dxa"/>
            <w:noWrap w:val="0"/>
            <w:vAlign w:val="center"/>
          </w:tcPr>
          <w:p>
            <w:pPr>
              <w:jc w:val="right"/>
              <w:rPr>
                <w:rFonts w:ascii="宋体" w:hAnsi="宋体"/>
                <w:color w:val="auto"/>
                <w:sz w:val="20"/>
                <w:szCs w:val="20"/>
                <w:highlight w:val="none"/>
              </w:rPr>
            </w:pPr>
            <w:r>
              <w:rPr>
                <w:rFonts w:hint="eastAsia" w:ascii="宋体" w:hAnsi="宋体"/>
                <w:color w:val="auto"/>
                <w:sz w:val="20"/>
                <w:szCs w:val="20"/>
                <w:highlight w:val="none"/>
              </w:rPr>
              <w:t>1000元/次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7" w:hRule="atLeast"/>
          <w:jc w:val="center"/>
        </w:trPr>
        <w:tc>
          <w:tcPr>
            <w:tcW w:w="6376" w:type="dxa"/>
            <w:noWrap w:val="0"/>
            <w:vAlign w:val="center"/>
          </w:tcPr>
          <w:p>
            <w:pPr>
              <w:pStyle w:val="141"/>
              <w:numPr>
                <w:ilvl w:val="0"/>
                <w:numId w:val="13"/>
              </w:numPr>
              <w:ind w:left="400" w:hanging="400" w:hangingChars="200"/>
              <w:rPr>
                <w:rFonts w:ascii="宋体" w:hAnsi="宋体"/>
                <w:color w:val="auto"/>
                <w:sz w:val="20"/>
                <w:szCs w:val="20"/>
                <w:highlight w:val="none"/>
              </w:rPr>
            </w:pPr>
            <w:r>
              <w:rPr>
                <w:rFonts w:ascii="宋体" w:hAnsi="宋体"/>
                <w:color w:val="auto"/>
                <w:sz w:val="20"/>
                <w:szCs w:val="20"/>
                <w:highlight w:val="none"/>
              </w:rPr>
              <w:t>专职安全生产管理人员配备不符合要求，未按照监理人书面指令限期整改到位。</w:t>
            </w:r>
          </w:p>
        </w:tc>
        <w:tc>
          <w:tcPr>
            <w:tcW w:w="2688" w:type="dxa"/>
            <w:noWrap w:val="0"/>
            <w:vAlign w:val="center"/>
          </w:tcPr>
          <w:p>
            <w:pPr>
              <w:jc w:val="right"/>
              <w:rPr>
                <w:rFonts w:ascii="宋体" w:hAnsi="宋体"/>
                <w:color w:val="auto"/>
                <w:sz w:val="20"/>
                <w:szCs w:val="20"/>
                <w:highlight w:val="none"/>
              </w:rPr>
            </w:pPr>
            <w:r>
              <w:rPr>
                <w:rFonts w:hint="eastAsia" w:ascii="宋体" w:hAnsi="宋体"/>
                <w:color w:val="auto"/>
                <w:sz w:val="20"/>
                <w:szCs w:val="20"/>
                <w:highlight w:val="none"/>
              </w:rPr>
              <w:t>5000元+1000元/人•次•天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6376" w:type="dxa"/>
            <w:noWrap w:val="0"/>
            <w:vAlign w:val="center"/>
          </w:tcPr>
          <w:p>
            <w:pPr>
              <w:pStyle w:val="141"/>
              <w:numPr>
                <w:ilvl w:val="0"/>
                <w:numId w:val="13"/>
              </w:numPr>
              <w:ind w:left="400" w:hanging="400" w:hangingChars="200"/>
              <w:rPr>
                <w:rFonts w:ascii="宋体" w:hAnsi="宋体"/>
                <w:color w:val="auto"/>
                <w:sz w:val="20"/>
                <w:szCs w:val="20"/>
                <w:highlight w:val="none"/>
              </w:rPr>
            </w:pPr>
            <w:r>
              <w:rPr>
                <w:rFonts w:ascii="宋体" w:hAnsi="宋体"/>
                <w:color w:val="auto"/>
                <w:sz w:val="20"/>
                <w:szCs w:val="20"/>
                <w:highlight w:val="none"/>
              </w:rPr>
              <w:t>未按照</w:t>
            </w:r>
            <w:r>
              <w:rPr>
                <w:rFonts w:hint="eastAsia" w:ascii="宋体" w:hAnsi="宋体"/>
                <w:color w:val="auto"/>
                <w:sz w:val="20"/>
                <w:szCs w:val="20"/>
                <w:highlight w:val="none"/>
              </w:rPr>
              <w:t>编审、论证、交底危大工程专项施工方案，擅自组织施工。</w:t>
            </w:r>
          </w:p>
        </w:tc>
        <w:tc>
          <w:tcPr>
            <w:tcW w:w="2688" w:type="dxa"/>
            <w:noWrap w:val="0"/>
            <w:vAlign w:val="center"/>
          </w:tcPr>
          <w:p>
            <w:pPr>
              <w:jc w:val="right"/>
              <w:rPr>
                <w:rFonts w:ascii="宋体" w:hAnsi="宋体"/>
                <w:color w:val="auto"/>
                <w:sz w:val="20"/>
                <w:szCs w:val="20"/>
                <w:highlight w:val="none"/>
              </w:rPr>
            </w:pPr>
            <w:r>
              <w:rPr>
                <w:rFonts w:hint="eastAsia" w:ascii="宋体" w:hAnsi="宋体"/>
                <w:color w:val="auto"/>
                <w:sz w:val="20"/>
                <w:szCs w:val="20"/>
                <w:highlight w:val="none"/>
              </w:rPr>
              <w:t>20000元/项•次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8" w:hRule="atLeast"/>
          <w:jc w:val="center"/>
        </w:trPr>
        <w:tc>
          <w:tcPr>
            <w:tcW w:w="6376" w:type="dxa"/>
            <w:noWrap w:val="0"/>
            <w:vAlign w:val="center"/>
          </w:tcPr>
          <w:p>
            <w:pPr>
              <w:pStyle w:val="141"/>
              <w:numPr>
                <w:ilvl w:val="0"/>
                <w:numId w:val="13"/>
              </w:numPr>
              <w:ind w:left="400" w:hanging="400" w:hangingChars="200"/>
              <w:rPr>
                <w:rFonts w:ascii="宋体" w:hAnsi="宋体"/>
                <w:color w:val="auto"/>
                <w:sz w:val="20"/>
                <w:szCs w:val="20"/>
                <w:highlight w:val="none"/>
              </w:rPr>
            </w:pPr>
            <w:r>
              <w:rPr>
                <w:rFonts w:ascii="宋体" w:hAnsi="宋体"/>
                <w:color w:val="auto"/>
                <w:sz w:val="20"/>
                <w:szCs w:val="20"/>
                <w:highlight w:val="none"/>
              </w:rPr>
              <w:t>危大工程未按专项方案组织施工，未按照监理人书面指令限期整改到位，直至停工整改。</w:t>
            </w:r>
          </w:p>
        </w:tc>
        <w:tc>
          <w:tcPr>
            <w:tcW w:w="2688" w:type="dxa"/>
            <w:noWrap w:val="0"/>
            <w:vAlign w:val="center"/>
          </w:tcPr>
          <w:p>
            <w:pPr>
              <w:jc w:val="right"/>
              <w:rPr>
                <w:rFonts w:ascii="宋体" w:hAnsi="宋体"/>
                <w:color w:val="auto"/>
                <w:sz w:val="20"/>
                <w:szCs w:val="20"/>
                <w:highlight w:val="none"/>
              </w:rPr>
            </w:pPr>
            <w:r>
              <w:rPr>
                <w:rFonts w:hint="eastAsia" w:ascii="宋体" w:hAnsi="宋体"/>
                <w:color w:val="auto"/>
                <w:sz w:val="20"/>
                <w:szCs w:val="20"/>
                <w:highlight w:val="none"/>
              </w:rPr>
              <w:t>10000元+2000元/项•次•天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6376" w:type="dxa"/>
            <w:noWrap w:val="0"/>
            <w:vAlign w:val="center"/>
          </w:tcPr>
          <w:p>
            <w:pPr>
              <w:pStyle w:val="141"/>
              <w:numPr>
                <w:ilvl w:val="0"/>
                <w:numId w:val="13"/>
              </w:numPr>
              <w:ind w:left="400" w:hanging="400" w:hangingChars="200"/>
              <w:rPr>
                <w:rFonts w:ascii="宋体" w:hAnsi="宋体"/>
                <w:color w:val="auto"/>
                <w:sz w:val="20"/>
                <w:szCs w:val="20"/>
                <w:highlight w:val="none"/>
              </w:rPr>
            </w:pPr>
            <w:r>
              <w:rPr>
                <w:rFonts w:hint="eastAsia" w:ascii="宋体" w:hAnsi="宋体"/>
                <w:color w:val="auto"/>
                <w:sz w:val="20"/>
                <w:szCs w:val="20"/>
                <w:highlight w:val="none"/>
              </w:rPr>
              <w:t>危大工程未经监理人组织验收合格，擅自进行下一道工序施工。</w:t>
            </w:r>
          </w:p>
        </w:tc>
        <w:tc>
          <w:tcPr>
            <w:tcW w:w="2688" w:type="dxa"/>
            <w:noWrap w:val="0"/>
            <w:vAlign w:val="center"/>
          </w:tcPr>
          <w:p>
            <w:pPr>
              <w:jc w:val="right"/>
              <w:rPr>
                <w:rFonts w:ascii="宋体" w:hAnsi="宋体"/>
                <w:color w:val="auto"/>
                <w:sz w:val="20"/>
                <w:szCs w:val="20"/>
                <w:highlight w:val="none"/>
              </w:rPr>
            </w:pPr>
            <w:r>
              <w:rPr>
                <w:rFonts w:hint="eastAsia" w:ascii="宋体" w:hAnsi="宋体"/>
                <w:color w:val="auto"/>
                <w:sz w:val="20"/>
                <w:szCs w:val="20"/>
                <w:highlight w:val="none"/>
              </w:rPr>
              <w:t>20000元/次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6376" w:type="dxa"/>
            <w:noWrap w:val="0"/>
            <w:vAlign w:val="center"/>
          </w:tcPr>
          <w:p>
            <w:pPr>
              <w:pStyle w:val="141"/>
              <w:numPr>
                <w:ilvl w:val="0"/>
                <w:numId w:val="13"/>
              </w:numPr>
              <w:ind w:left="400" w:hanging="400" w:hangingChars="200"/>
              <w:rPr>
                <w:rFonts w:ascii="宋体" w:hAnsi="宋体"/>
                <w:color w:val="auto"/>
                <w:sz w:val="20"/>
                <w:szCs w:val="20"/>
                <w:highlight w:val="none"/>
              </w:rPr>
            </w:pPr>
            <w:r>
              <w:rPr>
                <w:rFonts w:hint="eastAsia" w:ascii="宋体" w:hAnsi="宋体"/>
                <w:color w:val="auto"/>
                <w:sz w:val="20"/>
                <w:szCs w:val="20"/>
                <w:highlight w:val="none"/>
              </w:rPr>
              <w:t>塔吊安装、顶升或附墙作业未落实拆装令。</w:t>
            </w:r>
          </w:p>
        </w:tc>
        <w:tc>
          <w:tcPr>
            <w:tcW w:w="2688" w:type="dxa"/>
            <w:noWrap w:val="0"/>
            <w:vAlign w:val="center"/>
          </w:tcPr>
          <w:p>
            <w:pPr>
              <w:jc w:val="right"/>
              <w:rPr>
                <w:rFonts w:ascii="宋体" w:hAnsi="宋体"/>
                <w:color w:val="auto"/>
                <w:sz w:val="20"/>
                <w:szCs w:val="20"/>
                <w:highlight w:val="none"/>
              </w:rPr>
            </w:pPr>
            <w:r>
              <w:rPr>
                <w:rFonts w:hint="eastAsia" w:ascii="宋体" w:hAnsi="宋体"/>
                <w:color w:val="auto"/>
                <w:sz w:val="20"/>
                <w:szCs w:val="20"/>
                <w:highlight w:val="none"/>
              </w:rPr>
              <w:t>20000元/项•次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2" w:hRule="atLeast"/>
          <w:jc w:val="center"/>
        </w:trPr>
        <w:tc>
          <w:tcPr>
            <w:tcW w:w="6376" w:type="dxa"/>
            <w:noWrap w:val="0"/>
            <w:vAlign w:val="center"/>
          </w:tcPr>
          <w:p>
            <w:pPr>
              <w:pStyle w:val="141"/>
              <w:numPr>
                <w:ilvl w:val="0"/>
                <w:numId w:val="13"/>
              </w:numPr>
              <w:ind w:left="400" w:hanging="400" w:hangingChars="200"/>
              <w:rPr>
                <w:rFonts w:ascii="宋体" w:hAnsi="宋体"/>
                <w:color w:val="auto"/>
                <w:sz w:val="20"/>
                <w:szCs w:val="20"/>
                <w:highlight w:val="none"/>
              </w:rPr>
            </w:pPr>
            <w:r>
              <w:rPr>
                <w:rFonts w:hint="eastAsia" w:ascii="宋体" w:hAnsi="宋体"/>
                <w:color w:val="auto"/>
                <w:sz w:val="20"/>
                <w:szCs w:val="20"/>
                <w:highlight w:val="none"/>
              </w:rPr>
              <w:t>塔吊安装、顶升或附墙作业前未通知监理旁站；作业过程中承包人和安拆单位安全生产管理人员未同时在岗；不服从旁站人员制止违章作业行为。</w:t>
            </w:r>
          </w:p>
        </w:tc>
        <w:tc>
          <w:tcPr>
            <w:tcW w:w="2688" w:type="dxa"/>
            <w:noWrap w:val="0"/>
            <w:vAlign w:val="center"/>
          </w:tcPr>
          <w:p>
            <w:pPr>
              <w:jc w:val="right"/>
              <w:rPr>
                <w:rFonts w:ascii="宋体" w:hAnsi="宋体"/>
                <w:color w:val="auto"/>
                <w:sz w:val="20"/>
                <w:szCs w:val="20"/>
                <w:highlight w:val="none"/>
              </w:rPr>
            </w:pPr>
            <w:r>
              <w:rPr>
                <w:rFonts w:hint="eastAsia" w:ascii="宋体" w:hAnsi="宋体"/>
                <w:color w:val="auto"/>
                <w:sz w:val="20"/>
                <w:szCs w:val="20"/>
                <w:highlight w:val="none"/>
              </w:rPr>
              <w:t>1000元+500元/次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atLeast"/>
          <w:jc w:val="center"/>
        </w:trPr>
        <w:tc>
          <w:tcPr>
            <w:tcW w:w="6376" w:type="dxa"/>
            <w:noWrap w:val="0"/>
            <w:vAlign w:val="center"/>
          </w:tcPr>
          <w:p>
            <w:pPr>
              <w:pStyle w:val="141"/>
              <w:numPr>
                <w:ilvl w:val="0"/>
                <w:numId w:val="13"/>
              </w:numPr>
              <w:ind w:left="400" w:hanging="400" w:hangingChars="200"/>
              <w:rPr>
                <w:rFonts w:ascii="宋体" w:hAnsi="宋体"/>
                <w:color w:val="auto"/>
                <w:sz w:val="20"/>
                <w:szCs w:val="20"/>
                <w:highlight w:val="none"/>
              </w:rPr>
            </w:pPr>
            <w:r>
              <w:rPr>
                <w:rFonts w:hint="eastAsia" w:ascii="宋体" w:hAnsi="宋体"/>
                <w:color w:val="auto"/>
                <w:sz w:val="20"/>
                <w:szCs w:val="20"/>
                <w:highlight w:val="none"/>
              </w:rPr>
              <w:t>施工电梯防坠器超过标定期限；未按规定进行防坠落实验。</w:t>
            </w:r>
          </w:p>
        </w:tc>
        <w:tc>
          <w:tcPr>
            <w:tcW w:w="2688" w:type="dxa"/>
            <w:noWrap w:val="0"/>
            <w:vAlign w:val="center"/>
          </w:tcPr>
          <w:p>
            <w:pPr>
              <w:jc w:val="right"/>
              <w:rPr>
                <w:rFonts w:ascii="宋体" w:hAnsi="宋体"/>
                <w:color w:val="auto"/>
                <w:sz w:val="20"/>
                <w:szCs w:val="20"/>
                <w:highlight w:val="none"/>
              </w:rPr>
            </w:pPr>
            <w:r>
              <w:rPr>
                <w:rFonts w:hint="eastAsia" w:ascii="宋体" w:hAnsi="宋体"/>
                <w:color w:val="auto"/>
                <w:sz w:val="20"/>
                <w:szCs w:val="20"/>
                <w:highlight w:val="none"/>
              </w:rPr>
              <w:t>1000元+500元/台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7" w:hRule="atLeast"/>
          <w:jc w:val="center"/>
        </w:trPr>
        <w:tc>
          <w:tcPr>
            <w:tcW w:w="6376" w:type="dxa"/>
            <w:noWrap w:val="0"/>
            <w:vAlign w:val="center"/>
          </w:tcPr>
          <w:p>
            <w:pPr>
              <w:pStyle w:val="141"/>
              <w:numPr>
                <w:ilvl w:val="0"/>
                <w:numId w:val="13"/>
              </w:numPr>
              <w:ind w:left="400" w:hanging="400" w:hangingChars="200"/>
              <w:rPr>
                <w:rFonts w:ascii="宋体" w:hAnsi="宋体"/>
                <w:color w:val="auto"/>
                <w:sz w:val="20"/>
                <w:szCs w:val="20"/>
                <w:highlight w:val="none"/>
              </w:rPr>
            </w:pPr>
            <w:r>
              <w:rPr>
                <w:rFonts w:hint="eastAsia" w:ascii="宋体" w:hAnsi="宋体"/>
                <w:color w:val="auto"/>
                <w:sz w:val="20"/>
                <w:szCs w:val="20"/>
                <w:highlight w:val="none"/>
              </w:rPr>
              <w:t>特种作业人员：未持证上岗或上岗证过期失效；上岗前未进行三级安全教育或安全教育学时不达标；上岗前未进行安全技术交底或交底内容与其工种不符的。</w:t>
            </w:r>
          </w:p>
        </w:tc>
        <w:tc>
          <w:tcPr>
            <w:tcW w:w="2688" w:type="dxa"/>
            <w:noWrap w:val="0"/>
            <w:vAlign w:val="center"/>
          </w:tcPr>
          <w:p>
            <w:pPr>
              <w:jc w:val="right"/>
              <w:rPr>
                <w:rFonts w:ascii="宋体" w:hAnsi="宋体"/>
                <w:color w:val="auto"/>
                <w:sz w:val="20"/>
                <w:szCs w:val="20"/>
                <w:highlight w:val="none"/>
              </w:rPr>
            </w:pPr>
            <w:r>
              <w:rPr>
                <w:rFonts w:hint="eastAsia" w:ascii="宋体" w:hAnsi="宋体"/>
                <w:color w:val="auto"/>
                <w:sz w:val="20"/>
                <w:szCs w:val="20"/>
                <w:highlight w:val="none"/>
              </w:rPr>
              <w:t>1000元+200元/人•次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jc w:val="center"/>
        </w:trPr>
        <w:tc>
          <w:tcPr>
            <w:tcW w:w="6376" w:type="dxa"/>
            <w:noWrap w:val="0"/>
            <w:vAlign w:val="center"/>
          </w:tcPr>
          <w:p>
            <w:pPr>
              <w:pStyle w:val="141"/>
              <w:numPr>
                <w:ilvl w:val="0"/>
                <w:numId w:val="13"/>
              </w:numPr>
              <w:ind w:left="400" w:hanging="400" w:hangingChars="200"/>
              <w:rPr>
                <w:rFonts w:ascii="宋体" w:hAnsi="宋体"/>
                <w:color w:val="auto"/>
                <w:sz w:val="20"/>
                <w:szCs w:val="20"/>
                <w:highlight w:val="none"/>
              </w:rPr>
            </w:pPr>
            <w:r>
              <w:rPr>
                <w:rFonts w:hint="eastAsia" w:ascii="宋体" w:hAnsi="宋体"/>
                <w:color w:val="auto"/>
                <w:sz w:val="20"/>
                <w:szCs w:val="20"/>
                <w:highlight w:val="none"/>
              </w:rPr>
              <w:t>移动操作平台、高处作业吊篮、悬挑式物料平台未经监理人组织验收，擅自投入使用。</w:t>
            </w:r>
          </w:p>
        </w:tc>
        <w:tc>
          <w:tcPr>
            <w:tcW w:w="2688" w:type="dxa"/>
            <w:noWrap w:val="0"/>
            <w:vAlign w:val="center"/>
          </w:tcPr>
          <w:p>
            <w:pPr>
              <w:jc w:val="right"/>
              <w:rPr>
                <w:rFonts w:ascii="宋体" w:hAnsi="宋体"/>
                <w:color w:val="auto"/>
                <w:sz w:val="20"/>
                <w:szCs w:val="20"/>
                <w:highlight w:val="none"/>
              </w:rPr>
            </w:pPr>
            <w:r>
              <w:rPr>
                <w:rFonts w:hint="eastAsia" w:ascii="宋体" w:hAnsi="宋体"/>
                <w:color w:val="auto"/>
                <w:sz w:val="20"/>
                <w:szCs w:val="20"/>
                <w:highlight w:val="none"/>
              </w:rPr>
              <w:t>10000元/处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6376" w:type="dxa"/>
            <w:noWrap w:val="0"/>
            <w:vAlign w:val="center"/>
          </w:tcPr>
          <w:p>
            <w:pPr>
              <w:pStyle w:val="141"/>
              <w:numPr>
                <w:ilvl w:val="0"/>
                <w:numId w:val="13"/>
              </w:numPr>
              <w:ind w:left="400" w:hanging="400" w:hangingChars="200"/>
              <w:rPr>
                <w:rFonts w:ascii="宋体" w:hAnsi="宋体"/>
                <w:color w:val="auto"/>
                <w:sz w:val="20"/>
                <w:szCs w:val="20"/>
                <w:highlight w:val="none"/>
              </w:rPr>
            </w:pPr>
            <w:r>
              <w:rPr>
                <w:rFonts w:hint="eastAsia" w:ascii="宋体" w:hAnsi="宋体"/>
                <w:color w:val="auto"/>
                <w:sz w:val="20"/>
                <w:szCs w:val="20"/>
                <w:highlight w:val="none"/>
              </w:rPr>
              <w:t>工人宿舍使用220V用电插座，空调插座未使用限流器，未限期整改。</w:t>
            </w:r>
          </w:p>
        </w:tc>
        <w:tc>
          <w:tcPr>
            <w:tcW w:w="2688" w:type="dxa"/>
            <w:noWrap w:val="0"/>
            <w:vAlign w:val="center"/>
          </w:tcPr>
          <w:p>
            <w:pPr>
              <w:jc w:val="right"/>
              <w:rPr>
                <w:rFonts w:ascii="宋体" w:hAnsi="宋体"/>
                <w:color w:val="auto"/>
                <w:sz w:val="20"/>
                <w:szCs w:val="20"/>
                <w:highlight w:val="none"/>
              </w:rPr>
            </w:pPr>
            <w:r>
              <w:rPr>
                <w:rFonts w:hint="eastAsia" w:ascii="宋体" w:hAnsi="宋体"/>
                <w:color w:val="auto"/>
                <w:sz w:val="20"/>
                <w:szCs w:val="20"/>
                <w:highlight w:val="none"/>
              </w:rPr>
              <w:t>1000元+50元/点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6376" w:type="dxa"/>
            <w:noWrap w:val="0"/>
            <w:vAlign w:val="center"/>
          </w:tcPr>
          <w:p>
            <w:pPr>
              <w:pStyle w:val="141"/>
              <w:numPr>
                <w:ilvl w:val="0"/>
                <w:numId w:val="13"/>
              </w:numPr>
              <w:ind w:left="400" w:hanging="400" w:hangingChars="200"/>
              <w:rPr>
                <w:rFonts w:ascii="宋体" w:hAnsi="宋体"/>
                <w:color w:val="auto"/>
                <w:sz w:val="20"/>
                <w:szCs w:val="20"/>
                <w:highlight w:val="none"/>
              </w:rPr>
            </w:pPr>
            <w:r>
              <w:rPr>
                <w:rFonts w:hint="eastAsia" w:ascii="宋体" w:hAnsi="宋体"/>
                <w:color w:val="auto"/>
                <w:sz w:val="20"/>
                <w:szCs w:val="20"/>
                <w:highlight w:val="none"/>
              </w:rPr>
              <w:t>未按规定办理动火作业审批，未按要求动火作业。</w:t>
            </w:r>
          </w:p>
        </w:tc>
        <w:tc>
          <w:tcPr>
            <w:tcW w:w="2688" w:type="dxa"/>
            <w:noWrap w:val="0"/>
            <w:vAlign w:val="center"/>
          </w:tcPr>
          <w:p>
            <w:pPr>
              <w:jc w:val="right"/>
              <w:rPr>
                <w:rFonts w:ascii="宋体" w:hAnsi="宋体"/>
                <w:color w:val="auto"/>
                <w:sz w:val="20"/>
                <w:szCs w:val="20"/>
                <w:highlight w:val="none"/>
              </w:rPr>
            </w:pPr>
            <w:r>
              <w:rPr>
                <w:rFonts w:hint="eastAsia" w:ascii="宋体" w:hAnsi="宋体"/>
                <w:color w:val="auto"/>
                <w:sz w:val="20"/>
                <w:szCs w:val="20"/>
                <w:highlight w:val="none"/>
              </w:rPr>
              <w:t>5000元+500元/次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376" w:type="dxa"/>
            <w:noWrap w:val="0"/>
            <w:vAlign w:val="center"/>
          </w:tcPr>
          <w:p>
            <w:pPr>
              <w:pStyle w:val="141"/>
              <w:numPr>
                <w:ilvl w:val="0"/>
                <w:numId w:val="13"/>
              </w:numPr>
              <w:ind w:left="400" w:hanging="400" w:hangingChars="200"/>
              <w:rPr>
                <w:rFonts w:ascii="宋体" w:hAnsi="宋体"/>
                <w:color w:val="auto"/>
                <w:sz w:val="20"/>
                <w:szCs w:val="20"/>
                <w:highlight w:val="none"/>
              </w:rPr>
            </w:pPr>
            <w:r>
              <w:rPr>
                <w:rFonts w:hint="eastAsia" w:ascii="宋体" w:hAnsi="宋体"/>
                <w:color w:val="auto"/>
                <w:sz w:val="20"/>
                <w:szCs w:val="20"/>
                <w:highlight w:val="none"/>
              </w:rPr>
              <w:t>安全网燃烧性能不符合要求，或办公区、生活区板房使用材料燃烧性能等级不符合要求，未限期清理出现场。</w:t>
            </w:r>
          </w:p>
        </w:tc>
        <w:tc>
          <w:tcPr>
            <w:tcW w:w="2688" w:type="dxa"/>
            <w:noWrap w:val="0"/>
            <w:vAlign w:val="center"/>
          </w:tcPr>
          <w:p>
            <w:pPr>
              <w:jc w:val="right"/>
              <w:rPr>
                <w:rFonts w:ascii="宋体" w:hAnsi="宋体"/>
                <w:color w:val="auto"/>
                <w:sz w:val="20"/>
                <w:szCs w:val="20"/>
                <w:highlight w:val="none"/>
              </w:rPr>
            </w:pPr>
            <w:r>
              <w:rPr>
                <w:rFonts w:hint="eastAsia" w:ascii="宋体" w:hAnsi="宋体"/>
                <w:color w:val="auto"/>
                <w:sz w:val="20"/>
                <w:szCs w:val="20"/>
                <w:highlight w:val="none"/>
              </w:rPr>
              <w:t>10000元+500元/天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5" w:hRule="atLeast"/>
          <w:jc w:val="center"/>
        </w:trPr>
        <w:tc>
          <w:tcPr>
            <w:tcW w:w="6376" w:type="dxa"/>
            <w:noWrap w:val="0"/>
            <w:vAlign w:val="center"/>
          </w:tcPr>
          <w:p>
            <w:pPr>
              <w:pStyle w:val="141"/>
              <w:numPr>
                <w:ilvl w:val="0"/>
                <w:numId w:val="13"/>
              </w:numPr>
              <w:ind w:left="400" w:hanging="400" w:hangingChars="200"/>
              <w:rPr>
                <w:rFonts w:ascii="宋体" w:hAnsi="宋体"/>
                <w:color w:val="auto"/>
                <w:sz w:val="20"/>
                <w:szCs w:val="20"/>
                <w:highlight w:val="none"/>
              </w:rPr>
            </w:pPr>
            <w:r>
              <w:rPr>
                <w:rFonts w:hint="eastAsia" w:ascii="宋体" w:hAnsi="宋体"/>
                <w:color w:val="auto"/>
                <w:sz w:val="20"/>
                <w:szCs w:val="20"/>
                <w:highlight w:val="none"/>
              </w:rPr>
              <w:t>混凝土外观缺陷未编制修复技术方案，擅自实施修复；或未按照修复技术方案实施。</w:t>
            </w:r>
          </w:p>
        </w:tc>
        <w:tc>
          <w:tcPr>
            <w:tcW w:w="2688" w:type="dxa"/>
            <w:noWrap w:val="0"/>
            <w:vAlign w:val="center"/>
          </w:tcPr>
          <w:p>
            <w:pPr>
              <w:jc w:val="right"/>
              <w:rPr>
                <w:rFonts w:ascii="宋体" w:hAnsi="宋体"/>
                <w:color w:val="auto"/>
                <w:sz w:val="20"/>
                <w:szCs w:val="20"/>
                <w:highlight w:val="none"/>
              </w:rPr>
            </w:pPr>
            <w:r>
              <w:rPr>
                <w:rFonts w:hint="eastAsia" w:ascii="宋体" w:hAnsi="宋体"/>
                <w:color w:val="auto"/>
                <w:sz w:val="20"/>
                <w:szCs w:val="20"/>
                <w:highlight w:val="none"/>
              </w:rPr>
              <w:t>1000元+500元/构件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6" w:hRule="atLeast"/>
          <w:jc w:val="center"/>
        </w:trPr>
        <w:tc>
          <w:tcPr>
            <w:tcW w:w="6376" w:type="dxa"/>
            <w:noWrap w:val="0"/>
            <w:vAlign w:val="center"/>
          </w:tcPr>
          <w:p>
            <w:pPr>
              <w:pStyle w:val="141"/>
              <w:numPr>
                <w:ilvl w:val="0"/>
                <w:numId w:val="13"/>
              </w:numPr>
              <w:ind w:left="400" w:hanging="400" w:hangingChars="200"/>
              <w:rPr>
                <w:rFonts w:ascii="宋体" w:hAnsi="宋体"/>
                <w:color w:val="auto"/>
                <w:sz w:val="20"/>
                <w:szCs w:val="20"/>
                <w:highlight w:val="none"/>
              </w:rPr>
            </w:pPr>
            <w:r>
              <w:rPr>
                <w:rFonts w:hint="eastAsia" w:ascii="宋体" w:hAnsi="宋体"/>
                <w:color w:val="auto"/>
                <w:sz w:val="20"/>
                <w:szCs w:val="20"/>
                <w:highlight w:val="none"/>
              </w:rPr>
              <w:t>监理人通知单回复延误，监理人通知单载明的整改时限，未注明整改时限的应于监理人通知单发出后7日内完成整改，监理人</w:t>
            </w:r>
            <w:r>
              <w:rPr>
                <w:rFonts w:hint="eastAsia" w:ascii="宋体" w:hAnsi="宋体"/>
                <w:color w:val="auto"/>
                <w:sz w:val="20"/>
                <w:szCs w:val="20"/>
                <w:highlight w:val="none"/>
                <w:lang w:eastAsia="zh-CN"/>
              </w:rPr>
              <w:t>书面</w:t>
            </w:r>
            <w:r>
              <w:rPr>
                <w:rFonts w:hint="eastAsia" w:ascii="宋体" w:hAnsi="宋体"/>
                <w:color w:val="auto"/>
                <w:sz w:val="20"/>
                <w:szCs w:val="20"/>
                <w:highlight w:val="none"/>
              </w:rPr>
              <w:t>批准延长整改时限的除外。</w:t>
            </w:r>
          </w:p>
        </w:tc>
        <w:tc>
          <w:tcPr>
            <w:tcW w:w="2688" w:type="dxa"/>
            <w:noWrap w:val="0"/>
            <w:vAlign w:val="center"/>
          </w:tcPr>
          <w:p>
            <w:pPr>
              <w:jc w:val="right"/>
              <w:rPr>
                <w:rFonts w:ascii="宋体" w:hAnsi="宋体"/>
                <w:color w:val="auto"/>
                <w:sz w:val="20"/>
                <w:szCs w:val="20"/>
                <w:highlight w:val="none"/>
              </w:rPr>
            </w:pPr>
            <w:r>
              <w:rPr>
                <w:rFonts w:hint="eastAsia" w:ascii="宋体" w:hAnsi="宋体"/>
                <w:color w:val="auto"/>
                <w:sz w:val="20"/>
                <w:szCs w:val="20"/>
                <w:highlight w:val="none"/>
              </w:rPr>
              <w:t>1000元+500元/天</w:t>
            </w:r>
          </w:p>
        </w:tc>
      </w:tr>
    </w:tbl>
    <w:p>
      <w:pPr>
        <w:overflowPunct w:val="0"/>
        <w:adjustRightInd w:val="0"/>
        <w:snapToGrid w:val="0"/>
        <w:spacing w:line="360" w:lineRule="auto"/>
        <w:ind w:firstLine="420" w:firstLineChars="200"/>
        <w:rPr>
          <w:rFonts w:ascii="宋体" w:hAnsi="宋体" w:cs="宋体"/>
          <w:color w:val="auto"/>
          <w:szCs w:val="21"/>
          <w:highlight w:val="none"/>
        </w:rPr>
      </w:pPr>
    </w:p>
    <w:p>
      <w:pPr>
        <w:overflowPunct w:val="0"/>
        <w:adjustRightInd w:val="0"/>
        <w:snapToGrid w:val="0"/>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10</w:t>
      </w:r>
      <w:r>
        <w:rPr>
          <w:rFonts w:hint="eastAsia" w:ascii="宋体" w:hAnsi="宋体" w:cs="宋体"/>
          <w:color w:val="auto"/>
          <w:szCs w:val="21"/>
          <w:highlight w:val="none"/>
        </w:rPr>
        <w:t>．承包人申报商务文件（含工程变更）的时效须符合以下约定，未按约定的期限申报，也未及时书面报告监理工程师不能按期申报的原因的，发包人将向承包人发出书面催告，经2次书面催告后仍未按要求申报的，则视为承包人违约，发包人按照以下标准从承包人当期进度款中扣除违约金，并按约定的方式处理：</w:t>
      </w:r>
    </w:p>
    <w:p>
      <w:pPr>
        <w:overflowPunct w:val="0"/>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承包人收到发包人（含监理人、造价工程师）发出的变更意向（包括工程联系单等），未按照变更意向中载明的期限（变更意向中未载明期限的，为5天）提交工程洽商或工程联系单，自第2份书面催告通知发出之日起按照1000元+500元/天的标准扣除违约金；</w:t>
      </w:r>
    </w:p>
    <w:p>
      <w:pPr>
        <w:overflowPunct w:val="0"/>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发包人（含监理人、工程咨询等）组织完成工程变更洽商，承包人未根据工程洽商会会议议定的期限（会议纪要中未载明期限的，为5天）提交正式《工程变更洽商记录》和《变更估价表》，自第2份书面催告通知发出之日起至催告通知载明的期限止，按照1000元+500元/天的标准扣除违约金；承包人未按照第2份书面催告通知载明的期限提交的，费用增加的，视为该项变更不发生费用调整，费用减少的，由造价咨询单位计算后从承包人当期进度款中扣除；</w:t>
      </w:r>
    </w:p>
    <w:p>
      <w:pPr>
        <w:overflowPunct w:val="0"/>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承包人务必及时申报办理签证（包括签证计量），签证事项发生时未办理签证，擅自组织实施造成无法办理签证或影响签证准确性的，签证内容中依据（数据）缺失无法计量计价的，该项签证视为不涉及费用调整；</w:t>
      </w:r>
    </w:p>
    <w:p>
      <w:pPr>
        <w:overflowPunct w:val="0"/>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承包人未在工程变更或签证实施完成并经监理人验收合格后14天内申报工程变更或签证费用，自第2份书面催告通知发出之日起至催告通知载明的期限止，按照1000元+500元/天的标准扣除违约金；承包人未按照第2份书面催告通知载明的期限提交的，费用增加的，视为该项变更不发生费用调整，费用减少的，由造价咨询单位计算后从承包人当期进度款中扣除；</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1.</w:t>
      </w:r>
      <w:r>
        <w:rPr>
          <w:rFonts w:hint="eastAsia"/>
          <w:color w:val="auto"/>
          <w:highlight w:val="none"/>
        </w:rPr>
        <w:t xml:space="preserve"> 承包人出现发包人《</w:t>
      </w:r>
      <w:r>
        <w:rPr>
          <w:rFonts w:hint="eastAsia" w:ascii="宋体" w:hAnsi="宋体" w:cs="宋体"/>
          <w:color w:val="auto"/>
          <w:szCs w:val="21"/>
          <w:highlight w:val="none"/>
        </w:rPr>
        <w:t>工程质量及安全生产管理违约金规定》中的质量、安全违规行为，</w:t>
      </w:r>
      <w:r>
        <w:rPr>
          <w:rFonts w:hint="eastAsia"/>
          <w:color w:val="auto"/>
          <w:highlight w:val="none"/>
        </w:rPr>
        <w:t>承包人</w:t>
      </w:r>
      <w:r>
        <w:rPr>
          <w:rFonts w:hint="eastAsia" w:ascii="宋体" w:hAnsi="宋体" w:cs="宋体"/>
          <w:color w:val="auto"/>
          <w:szCs w:val="21"/>
          <w:highlight w:val="none"/>
        </w:rPr>
        <w:t>按规定承担违约金。</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2.</w:t>
      </w:r>
      <w:r>
        <w:rPr>
          <w:rFonts w:hint="eastAsia" w:ascii="宋体" w:hAnsi="宋体" w:cs="宋体"/>
          <w:color w:val="auto"/>
          <w:szCs w:val="21"/>
          <w:highlight w:val="none"/>
        </w:rPr>
        <w:t>上述1</w:t>
      </w:r>
      <w:r>
        <w:rPr>
          <w:rFonts w:ascii="宋体" w:hAnsi="宋体" w:cs="宋体"/>
          <w:color w:val="auto"/>
          <w:szCs w:val="21"/>
          <w:highlight w:val="none"/>
        </w:rPr>
        <w:t>-10</w:t>
      </w:r>
      <w:r>
        <w:rPr>
          <w:rFonts w:hint="eastAsia" w:ascii="宋体" w:hAnsi="宋体" w:cs="宋体"/>
          <w:color w:val="auto"/>
          <w:szCs w:val="21"/>
          <w:highlight w:val="none"/>
        </w:rPr>
        <w:t>款与第1</w:t>
      </w:r>
      <w:r>
        <w:rPr>
          <w:rFonts w:ascii="宋体" w:hAnsi="宋体" w:cs="宋体"/>
          <w:color w:val="auto"/>
          <w:szCs w:val="21"/>
          <w:highlight w:val="none"/>
        </w:rPr>
        <w:t>1</w:t>
      </w:r>
      <w:r>
        <w:rPr>
          <w:rFonts w:hint="eastAsia" w:ascii="宋体" w:hAnsi="宋体" w:cs="宋体"/>
          <w:color w:val="auto"/>
          <w:szCs w:val="21"/>
          <w:highlight w:val="none"/>
        </w:rPr>
        <w:t>款有冲突的，按照较重违约金标准进行处理。出现上述1</w:t>
      </w:r>
      <w:r>
        <w:rPr>
          <w:rFonts w:ascii="宋体" w:hAnsi="宋体" w:cs="宋体"/>
          <w:color w:val="auto"/>
          <w:szCs w:val="21"/>
          <w:highlight w:val="none"/>
        </w:rPr>
        <w:t>-11</w:t>
      </w:r>
      <w:r>
        <w:rPr>
          <w:rFonts w:hint="eastAsia" w:ascii="宋体" w:hAnsi="宋体" w:cs="宋体"/>
          <w:color w:val="auto"/>
          <w:szCs w:val="21"/>
          <w:highlight w:val="none"/>
        </w:rPr>
        <w:t>条，发包人已确定给承包人处以违约金，发包人在对承包人当季履约评价时作出不利于承包人考虑。</w:t>
      </w:r>
    </w:p>
    <w:p>
      <w:pPr>
        <w:keepNext/>
        <w:keepLines/>
        <w:spacing w:before="120" w:beforeLines="50" w:after="120" w:afterLines="50" w:line="360" w:lineRule="auto"/>
        <w:ind w:firstLine="600" w:firstLineChars="200"/>
        <w:outlineLvl w:val="1"/>
        <w:rPr>
          <w:rFonts w:ascii="宋体" w:hAnsi="宋体" w:cs="宋体"/>
          <w:b/>
          <w:bCs/>
          <w:color w:val="auto"/>
          <w:sz w:val="30"/>
          <w:szCs w:val="30"/>
          <w:highlight w:val="none"/>
        </w:rPr>
      </w:pPr>
      <w:bookmarkStart w:id="7399" w:name="_Toc23171"/>
      <w:bookmarkStart w:id="7400" w:name="_Toc17229"/>
      <w:bookmarkStart w:id="7401" w:name="_Toc27072"/>
      <w:bookmarkStart w:id="7402" w:name="_Toc19560"/>
      <w:bookmarkStart w:id="7403" w:name="_Toc69114106"/>
      <w:bookmarkStart w:id="7404" w:name="_Toc6383"/>
      <w:bookmarkStart w:id="7405" w:name="_Toc17371"/>
      <w:bookmarkStart w:id="7406" w:name="_Toc15409"/>
      <w:bookmarkStart w:id="7407" w:name="_Toc27373"/>
      <w:bookmarkStart w:id="7408" w:name="_Toc16142"/>
      <w:bookmarkStart w:id="7409" w:name="_Toc517532329"/>
      <w:bookmarkStart w:id="7410" w:name="_Toc27556"/>
      <w:bookmarkStart w:id="7411" w:name="_Toc17679"/>
      <w:bookmarkStart w:id="7412" w:name="_Toc12174"/>
      <w:bookmarkStart w:id="7413" w:name="_Toc12952"/>
      <w:bookmarkStart w:id="7414" w:name="_Toc2958"/>
      <w:bookmarkStart w:id="7415" w:name="_Toc517531053"/>
      <w:bookmarkStart w:id="7416" w:name="_Toc517528815"/>
      <w:bookmarkStart w:id="7417" w:name="_Toc23238"/>
      <w:bookmarkStart w:id="7418" w:name="_Toc517529772"/>
      <w:r>
        <w:rPr>
          <w:rFonts w:hint="eastAsia" w:ascii="宋体" w:hAnsi="宋体" w:cs="宋体"/>
          <w:b/>
          <w:bCs/>
          <w:color w:val="auto"/>
          <w:sz w:val="30"/>
          <w:szCs w:val="30"/>
          <w:highlight w:val="none"/>
        </w:rPr>
        <w:t>17.特殊风险</w:t>
      </w:r>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特别约定：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bookmarkEnd w:id="7039"/>
    <w:p>
      <w:pPr>
        <w:keepNext/>
        <w:keepLines/>
        <w:spacing w:before="120" w:beforeLines="50" w:after="120" w:afterLines="50" w:line="360" w:lineRule="auto"/>
        <w:ind w:firstLine="600" w:firstLineChars="200"/>
        <w:outlineLvl w:val="1"/>
        <w:rPr>
          <w:rFonts w:ascii="宋体" w:hAnsi="宋体" w:cs="宋体"/>
          <w:b/>
          <w:bCs/>
          <w:color w:val="auto"/>
          <w:sz w:val="30"/>
          <w:szCs w:val="30"/>
          <w:highlight w:val="none"/>
        </w:rPr>
      </w:pPr>
      <w:bookmarkStart w:id="7419" w:name="_Toc351203650"/>
      <w:bookmarkStart w:id="7420" w:name="_Toc567"/>
      <w:bookmarkStart w:id="7421" w:name="_Toc517528816"/>
      <w:bookmarkStart w:id="7422" w:name="_Toc16654"/>
      <w:bookmarkStart w:id="7423" w:name="_Toc15541"/>
      <w:bookmarkStart w:id="7424" w:name="_Toc19855"/>
      <w:bookmarkStart w:id="7425" w:name="_Toc465237263"/>
      <w:bookmarkStart w:id="7426" w:name="_Toc465237161"/>
      <w:bookmarkStart w:id="7427" w:name="_Toc25216"/>
      <w:bookmarkStart w:id="7428" w:name="_Toc6576"/>
      <w:bookmarkStart w:id="7429" w:name="_Toc29631"/>
      <w:bookmarkStart w:id="7430" w:name="_Toc5469"/>
      <w:bookmarkStart w:id="7431" w:name="_Toc11992"/>
      <w:bookmarkStart w:id="7432" w:name="_Toc22818"/>
      <w:bookmarkStart w:id="7433" w:name="_Toc23864"/>
      <w:bookmarkStart w:id="7434" w:name="_Toc517529773"/>
      <w:bookmarkStart w:id="7435" w:name="_Toc517532330"/>
      <w:bookmarkStart w:id="7436" w:name="_Toc20363"/>
      <w:bookmarkStart w:id="7437" w:name="_Toc2197"/>
      <w:bookmarkStart w:id="7438" w:name="_Toc29393"/>
      <w:bookmarkStart w:id="7439" w:name="_Toc18772"/>
      <w:bookmarkStart w:id="7440" w:name="_Toc686"/>
      <w:bookmarkStart w:id="7441" w:name="_Toc15921"/>
      <w:bookmarkStart w:id="7442" w:name="_Toc31237"/>
      <w:bookmarkStart w:id="7443" w:name="_Toc69114107"/>
      <w:bookmarkStart w:id="7444" w:name="_Toc517531054"/>
      <w:bookmarkStart w:id="7445" w:name="_Toc280868718"/>
      <w:bookmarkStart w:id="7446" w:name="_Toc267251499"/>
      <w:bookmarkStart w:id="7447" w:name="_Toc267251508"/>
      <w:bookmarkStart w:id="7448" w:name="_Toc267251511"/>
      <w:bookmarkStart w:id="7449" w:name="_Toc267251496"/>
      <w:bookmarkStart w:id="7450" w:name="_Toc267251515"/>
      <w:bookmarkStart w:id="7451" w:name="_Toc267251514"/>
      <w:bookmarkStart w:id="7452" w:name="_Toc267251495"/>
      <w:bookmarkStart w:id="7453" w:name="_Toc267251504"/>
      <w:bookmarkStart w:id="7454" w:name="_Toc267251503"/>
      <w:bookmarkStart w:id="7455" w:name="_Toc267251492"/>
      <w:bookmarkStart w:id="7456" w:name="_Toc267251507"/>
      <w:bookmarkStart w:id="7457" w:name="_Toc267251502"/>
      <w:bookmarkStart w:id="7458" w:name="_Toc267251513"/>
      <w:bookmarkStart w:id="7459" w:name="_Toc267251506"/>
      <w:bookmarkStart w:id="7460" w:name="_Toc267251494"/>
      <w:bookmarkStart w:id="7461" w:name="_Toc267251493"/>
      <w:bookmarkStart w:id="7462" w:name="_Toc267251498"/>
      <w:bookmarkStart w:id="7463" w:name="_Toc267251501"/>
      <w:bookmarkStart w:id="7464" w:name="_Toc267251497"/>
      <w:bookmarkStart w:id="7465" w:name="_Toc267251510"/>
      <w:bookmarkStart w:id="7466" w:name="_Toc267251491"/>
      <w:bookmarkStart w:id="7467" w:name="_Toc267251509"/>
      <w:r>
        <w:rPr>
          <w:rFonts w:hint="eastAsia" w:ascii="宋体" w:hAnsi="宋体" w:cs="宋体"/>
          <w:b/>
          <w:bCs/>
          <w:color w:val="auto"/>
          <w:sz w:val="30"/>
          <w:szCs w:val="30"/>
          <w:highlight w:val="none"/>
        </w:rPr>
        <w:t>18. 保险</w:t>
      </w:r>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p>
    <w:bookmarkEnd w:id="7445"/>
    <w:p>
      <w:pPr>
        <w:keepNext/>
        <w:keepLines/>
        <w:spacing w:before="120" w:beforeLines="50" w:after="120" w:afterLines="50" w:line="360" w:lineRule="auto"/>
        <w:ind w:left="562"/>
        <w:outlineLvl w:val="2"/>
        <w:rPr>
          <w:rFonts w:ascii="宋体" w:hAnsi="宋体" w:cs="宋体"/>
          <w:b/>
          <w:bCs/>
          <w:color w:val="auto"/>
          <w:sz w:val="28"/>
          <w:szCs w:val="28"/>
          <w:highlight w:val="none"/>
        </w:rPr>
      </w:pPr>
      <w:bookmarkStart w:id="7468" w:name="_Toc21941"/>
      <w:bookmarkStart w:id="7469" w:name="_Toc7124"/>
      <w:bookmarkStart w:id="7470" w:name="_Toc4309"/>
      <w:bookmarkStart w:id="7471" w:name="_Toc4262"/>
      <w:bookmarkStart w:id="7472" w:name="_Toc28803"/>
      <w:bookmarkStart w:id="7473" w:name="_Toc31262"/>
      <w:bookmarkStart w:id="7474" w:name="_Toc29039"/>
      <w:bookmarkStart w:id="7475" w:name="_Toc32456"/>
      <w:bookmarkStart w:id="7476" w:name="_Toc20545"/>
      <w:bookmarkStart w:id="7477" w:name="_Toc27104"/>
      <w:bookmarkStart w:id="7478" w:name="_Toc20036"/>
      <w:bookmarkStart w:id="7479" w:name="_Toc517528817"/>
      <w:bookmarkStart w:id="7480" w:name="_Toc29058"/>
      <w:bookmarkStart w:id="7481" w:name="_Toc69114108"/>
      <w:bookmarkStart w:id="7482" w:name="_Toc13664"/>
      <w:bookmarkStart w:id="7483" w:name="_Toc18633"/>
      <w:bookmarkStart w:id="7484" w:name="_Toc517531055"/>
      <w:bookmarkStart w:id="7485" w:name="_Toc4523"/>
      <w:bookmarkStart w:id="7486" w:name="_Toc517532331"/>
      <w:bookmarkStart w:id="7487" w:name="_Toc13274"/>
      <w:bookmarkStart w:id="7488" w:name="_Toc21880"/>
      <w:bookmarkStart w:id="7489" w:name="_Toc13767"/>
      <w:r>
        <w:rPr>
          <w:rFonts w:hint="eastAsia" w:ascii="宋体" w:hAnsi="宋体" w:cs="宋体"/>
          <w:b/>
          <w:bCs/>
          <w:color w:val="auto"/>
          <w:sz w:val="28"/>
          <w:szCs w:val="28"/>
          <w:highlight w:val="none"/>
        </w:rPr>
        <w:t>18.1</w:t>
      </w:r>
      <w:bookmarkEnd w:id="7468"/>
      <w:bookmarkEnd w:id="7469"/>
      <w:bookmarkEnd w:id="7470"/>
      <w:r>
        <w:rPr>
          <w:rFonts w:hint="eastAsia" w:ascii="宋体" w:hAnsi="宋体" w:cs="宋体"/>
          <w:b/>
          <w:bCs/>
          <w:color w:val="auto"/>
          <w:sz w:val="28"/>
          <w:szCs w:val="28"/>
          <w:highlight w:val="none"/>
        </w:rPr>
        <w:t>工程的保险</w:t>
      </w:r>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在第8.2.1条规定的承包人和发包人的义务和责任不受约束的条件下，承包人应以承包人和发包人的联名形式为本合同工程投保建筑工程一切险，其保险金额（保险限额）应为本合同工程的全部重置成本费用，以补偿由于补救损失或破坏而招致的费用，包括业务费和工程任何部分的拆迁费以及运走任何性质的渣土的费用。上述保险的责任范围应符合保险公司的有关规定。当工程发生第8.2条所述损失或损害时，承包人应在风险发生后及时向发包人提供损失情况和估价报告，并抄送监理人；如损害继续发生，承包人在递交第一次报告后每</w:t>
      </w:r>
      <w:r>
        <w:rPr>
          <w:rFonts w:hint="eastAsia" w:ascii="宋体" w:hAnsi="宋体" w:cs="宋体"/>
          <w:color w:val="auto"/>
          <w:szCs w:val="21"/>
          <w:highlight w:val="none"/>
          <w:u w:val="single"/>
        </w:rPr>
        <w:t>7</w:t>
      </w:r>
      <w:r>
        <w:rPr>
          <w:rFonts w:hint="eastAsia" w:ascii="宋体" w:hAnsi="宋体" w:cs="宋体"/>
          <w:color w:val="auto"/>
          <w:szCs w:val="21"/>
          <w:highlight w:val="none"/>
        </w:rPr>
        <w:t>天报告一次，直到损害结束。对于涉及到承包人自身权利的损害，承包人应及时向保险公司报告和索赔，对于涉及发包人权利的损害，承包人也应按监理人指示，协助发包人做好向保险公司的报告和索赔工作。</w:t>
      </w:r>
    </w:p>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p>
      <w:pPr>
        <w:keepNext/>
        <w:keepLines/>
        <w:spacing w:before="120" w:beforeLines="50" w:after="120" w:afterLines="50" w:line="360" w:lineRule="auto"/>
        <w:ind w:firstLine="600" w:firstLineChars="200"/>
        <w:outlineLvl w:val="1"/>
        <w:rPr>
          <w:rFonts w:ascii="宋体" w:hAnsi="宋体" w:cs="宋体"/>
          <w:b/>
          <w:bCs/>
          <w:color w:val="auto"/>
          <w:sz w:val="30"/>
          <w:szCs w:val="30"/>
          <w:highlight w:val="none"/>
        </w:rPr>
      </w:pPr>
      <w:bookmarkStart w:id="7490" w:name="_Toc18604"/>
      <w:bookmarkStart w:id="7491" w:name="_Toc25096"/>
      <w:bookmarkStart w:id="7492" w:name="_Toc23389"/>
      <w:bookmarkStart w:id="7493" w:name="_Toc3293"/>
      <w:bookmarkStart w:id="7494" w:name="_Toc12641"/>
      <w:bookmarkStart w:id="7495" w:name="_Toc24017"/>
      <w:bookmarkStart w:id="7496" w:name="_Toc15202"/>
      <w:bookmarkStart w:id="7497" w:name="_Toc517528818"/>
      <w:bookmarkStart w:id="7498" w:name="_Toc19055"/>
      <w:bookmarkStart w:id="7499" w:name="_Toc16343"/>
      <w:bookmarkStart w:id="7500" w:name="_Toc11831"/>
      <w:bookmarkStart w:id="7501" w:name="_Toc517529774"/>
      <w:bookmarkStart w:id="7502" w:name="_Toc517532332"/>
      <w:bookmarkStart w:id="7503" w:name="_Toc15184"/>
      <w:bookmarkStart w:id="7504" w:name="_Toc13186"/>
      <w:bookmarkStart w:id="7505" w:name="_Toc14905"/>
      <w:bookmarkStart w:id="7506" w:name="_Toc14001"/>
      <w:bookmarkStart w:id="7507" w:name="_Toc21006"/>
      <w:bookmarkStart w:id="7508" w:name="_Toc69114109"/>
      <w:bookmarkStart w:id="7509" w:name="_Toc517531056"/>
      <w:r>
        <w:rPr>
          <w:rFonts w:hint="eastAsia" w:ascii="宋体" w:hAnsi="宋体" w:cs="宋体"/>
          <w:b/>
          <w:bCs/>
          <w:color w:val="auto"/>
          <w:sz w:val="30"/>
          <w:szCs w:val="30"/>
          <w:highlight w:val="none"/>
        </w:rPr>
        <w:t>19.索赔</w:t>
      </w:r>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特别约定：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keepNext/>
        <w:keepLines/>
        <w:spacing w:before="120" w:beforeLines="50" w:after="120" w:afterLines="50" w:line="360" w:lineRule="auto"/>
        <w:ind w:firstLine="600" w:firstLineChars="200"/>
        <w:outlineLvl w:val="1"/>
        <w:rPr>
          <w:rFonts w:ascii="宋体" w:hAnsi="宋体" w:cs="宋体"/>
          <w:b/>
          <w:bCs/>
          <w:color w:val="auto"/>
          <w:sz w:val="30"/>
          <w:szCs w:val="30"/>
          <w:highlight w:val="none"/>
        </w:rPr>
      </w:pPr>
      <w:bookmarkStart w:id="7510" w:name="_Toc17749"/>
      <w:bookmarkStart w:id="7511" w:name="_Toc9103"/>
      <w:bookmarkStart w:id="7512" w:name="_Toc21378"/>
      <w:bookmarkStart w:id="7513" w:name="_Toc22712"/>
      <w:bookmarkStart w:id="7514" w:name="_Toc1625"/>
      <w:bookmarkStart w:id="7515" w:name="_Toc8132"/>
      <w:bookmarkStart w:id="7516" w:name="_Toc30062"/>
      <w:bookmarkStart w:id="7517" w:name="_Toc517532333"/>
      <w:bookmarkStart w:id="7518" w:name="_Toc9267"/>
      <w:bookmarkStart w:id="7519" w:name="_Toc517528819"/>
      <w:bookmarkStart w:id="7520" w:name="_Toc12828"/>
      <w:bookmarkStart w:id="7521" w:name="_Toc9921"/>
      <w:bookmarkStart w:id="7522" w:name="_Toc30507"/>
      <w:bookmarkStart w:id="7523" w:name="_Toc14080"/>
      <w:bookmarkStart w:id="7524" w:name="_Toc17966"/>
      <w:bookmarkStart w:id="7525" w:name="_Toc517531057"/>
      <w:bookmarkStart w:id="7526" w:name="_Toc13680"/>
      <w:bookmarkStart w:id="7527" w:name="_Toc517529775"/>
      <w:bookmarkStart w:id="7528" w:name="_Toc18342"/>
      <w:bookmarkStart w:id="7529" w:name="_Toc69114110"/>
      <w:r>
        <w:rPr>
          <w:rFonts w:hint="eastAsia" w:ascii="宋体" w:hAnsi="宋体" w:cs="宋体"/>
          <w:b/>
          <w:bCs/>
          <w:color w:val="auto"/>
          <w:sz w:val="30"/>
          <w:szCs w:val="30"/>
          <w:highlight w:val="none"/>
        </w:rPr>
        <w:t>20. 争议解决</w:t>
      </w:r>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特别约定：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pacing w:line="360" w:lineRule="auto"/>
        <w:jc w:val="left"/>
        <w:rPr>
          <w:rFonts w:ascii="宋体" w:hAnsi="宋体" w:cs="宋体"/>
          <w:color w:val="auto"/>
          <w:szCs w:val="21"/>
          <w:highlight w:val="none"/>
        </w:rPr>
      </w:pPr>
    </w:p>
    <w:p>
      <w:pPr>
        <w:keepNext/>
        <w:keepLines/>
        <w:spacing w:before="120" w:beforeLines="50" w:after="120" w:afterLines="50" w:line="360" w:lineRule="auto"/>
        <w:ind w:firstLine="600" w:firstLineChars="200"/>
        <w:outlineLvl w:val="1"/>
        <w:rPr>
          <w:rFonts w:ascii="宋体" w:hAnsi="宋体" w:cs="宋体"/>
          <w:b/>
          <w:bCs/>
          <w:color w:val="auto"/>
          <w:sz w:val="30"/>
          <w:szCs w:val="30"/>
          <w:highlight w:val="none"/>
        </w:rPr>
      </w:pPr>
      <w:bookmarkStart w:id="7530" w:name="_Toc69114111"/>
      <w:r>
        <w:rPr>
          <w:rFonts w:hint="eastAsia" w:ascii="宋体" w:hAnsi="宋体" w:cs="宋体"/>
          <w:b/>
          <w:bCs/>
          <w:color w:val="auto"/>
          <w:sz w:val="30"/>
          <w:szCs w:val="30"/>
          <w:highlight w:val="none"/>
        </w:rPr>
        <w:t>2</w:t>
      </w:r>
      <w:r>
        <w:rPr>
          <w:rFonts w:ascii="宋体" w:hAnsi="宋体" w:cs="宋体"/>
          <w:b/>
          <w:bCs/>
          <w:color w:val="auto"/>
          <w:sz w:val="30"/>
          <w:szCs w:val="30"/>
          <w:highlight w:val="none"/>
        </w:rPr>
        <w:t>1</w:t>
      </w:r>
      <w:r>
        <w:rPr>
          <w:rFonts w:hint="eastAsia" w:ascii="宋体" w:hAnsi="宋体" w:cs="宋体"/>
          <w:b/>
          <w:bCs/>
          <w:color w:val="auto"/>
          <w:sz w:val="30"/>
          <w:szCs w:val="30"/>
          <w:highlight w:val="none"/>
        </w:rPr>
        <w:t>. 合同专用条款附件</w:t>
      </w:r>
      <w:bookmarkEnd w:id="7530"/>
    </w:p>
    <w:p>
      <w:pPr>
        <w:pStyle w:val="159"/>
        <w:spacing w:after="200" w:line="440" w:lineRule="exact"/>
        <w:outlineLvl w:val="2"/>
        <w:rPr>
          <w:rFonts w:ascii="宋体" w:hAnsi="宋体" w:cs="宋体"/>
          <w:b/>
          <w:bCs/>
          <w:color w:val="auto"/>
          <w:sz w:val="24"/>
          <w:highlight w:val="none"/>
        </w:rPr>
      </w:pPr>
      <w:bookmarkStart w:id="7531" w:name="_Toc69114112"/>
      <w:r>
        <w:rPr>
          <w:rFonts w:hint="eastAsia" w:ascii="宋体" w:hAnsi="宋体" w:cs="宋体"/>
          <w:b/>
          <w:bCs/>
          <w:color w:val="auto"/>
          <w:sz w:val="24"/>
          <w:highlight w:val="none"/>
        </w:rPr>
        <w:t>附件1：制度清单</w:t>
      </w:r>
      <w:bookmarkEnd w:id="7531"/>
    </w:p>
    <w:p>
      <w:pPr>
        <w:spacing w:line="360" w:lineRule="auto"/>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合同专用条款附件（包括但不限于）</w:t>
      </w:r>
    </w:p>
    <w:tbl>
      <w:tblPr>
        <w:tblStyle w:val="43"/>
        <w:tblW w:w="9240" w:type="dxa"/>
        <w:tblInd w:w="0" w:type="dxa"/>
        <w:tblLayout w:type="fixed"/>
        <w:tblCellMar>
          <w:top w:w="0" w:type="dxa"/>
          <w:left w:w="0" w:type="dxa"/>
          <w:bottom w:w="0" w:type="dxa"/>
          <w:right w:w="0" w:type="dxa"/>
        </w:tblCellMar>
      </w:tblPr>
      <w:tblGrid>
        <w:gridCol w:w="840"/>
        <w:gridCol w:w="8400"/>
      </w:tblGrid>
      <w:tr>
        <w:tblPrEx>
          <w:tblCellMar>
            <w:top w:w="0" w:type="dxa"/>
            <w:left w:w="0" w:type="dxa"/>
            <w:bottom w:w="0" w:type="dxa"/>
            <w:right w:w="0" w:type="dxa"/>
          </w:tblCellMar>
        </w:tblPrEx>
        <w:trPr>
          <w:trHeight w:val="560" w:hRule="atLeast"/>
        </w:trPr>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8"/>
                <w:szCs w:val="28"/>
                <w:highlight w:val="none"/>
              </w:rPr>
            </w:pPr>
            <w:r>
              <w:rPr>
                <w:rFonts w:hint="eastAsia" w:ascii="宋体" w:hAnsi="宋体" w:cs="宋体"/>
                <w:color w:val="auto"/>
                <w:kern w:val="0"/>
                <w:sz w:val="28"/>
                <w:szCs w:val="28"/>
                <w:highlight w:val="none"/>
                <w:lang w:bidi="ar"/>
              </w:rPr>
              <w:t>序号</w:t>
            </w:r>
          </w:p>
        </w:tc>
        <w:tc>
          <w:tcPr>
            <w:tcW w:w="8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8"/>
                <w:szCs w:val="28"/>
                <w:highlight w:val="none"/>
              </w:rPr>
            </w:pPr>
            <w:r>
              <w:rPr>
                <w:rFonts w:hint="eastAsia" w:ascii="宋体" w:hAnsi="宋体" w:cs="宋体"/>
                <w:color w:val="auto"/>
                <w:kern w:val="0"/>
                <w:sz w:val="28"/>
                <w:szCs w:val="28"/>
                <w:highlight w:val="none"/>
                <w:lang w:bidi="ar"/>
              </w:rPr>
              <w:t>文件名称</w:t>
            </w:r>
          </w:p>
        </w:tc>
      </w:tr>
      <w:tr>
        <w:tblPrEx>
          <w:tblCellMar>
            <w:top w:w="0" w:type="dxa"/>
            <w:left w:w="0" w:type="dxa"/>
            <w:bottom w:w="0" w:type="dxa"/>
            <w:right w:w="0" w:type="dxa"/>
          </w:tblCellMar>
        </w:tblPrEx>
        <w:trPr>
          <w:trHeight w:val="560" w:hRule="atLeast"/>
        </w:trPr>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8"/>
                <w:szCs w:val="28"/>
                <w:highlight w:val="none"/>
              </w:rPr>
            </w:pPr>
            <w:r>
              <w:rPr>
                <w:rFonts w:hint="eastAsia" w:ascii="宋体" w:hAnsi="宋体" w:cs="宋体"/>
                <w:color w:val="auto"/>
                <w:kern w:val="0"/>
                <w:sz w:val="28"/>
                <w:szCs w:val="28"/>
                <w:highlight w:val="none"/>
                <w:lang w:bidi="ar"/>
              </w:rPr>
              <w:t>1</w:t>
            </w:r>
          </w:p>
        </w:tc>
        <w:tc>
          <w:tcPr>
            <w:tcW w:w="8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auto"/>
                <w:sz w:val="28"/>
                <w:szCs w:val="28"/>
                <w:highlight w:val="none"/>
              </w:rPr>
            </w:pPr>
            <w:r>
              <w:rPr>
                <w:rFonts w:hint="eastAsia" w:ascii="宋体" w:hAnsi="宋体" w:cs="宋体"/>
                <w:color w:val="auto"/>
                <w:kern w:val="0"/>
                <w:sz w:val="28"/>
                <w:szCs w:val="28"/>
                <w:highlight w:val="none"/>
                <w:lang w:bidi="ar"/>
              </w:rPr>
              <w:t>《工程结算管理办法》</w:t>
            </w:r>
          </w:p>
        </w:tc>
      </w:tr>
      <w:tr>
        <w:tblPrEx>
          <w:tblCellMar>
            <w:top w:w="0" w:type="dxa"/>
            <w:left w:w="0" w:type="dxa"/>
            <w:bottom w:w="0" w:type="dxa"/>
            <w:right w:w="0" w:type="dxa"/>
          </w:tblCellMar>
        </w:tblPrEx>
        <w:trPr>
          <w:trHeight w:val="560" w:hRule="atLeast"/>
        </w:trPr>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8"/>
                <w:szCs w:val="28"/>
                <w:highlight w:val="none"/>
              </w:rPr>
            </w:pPr>
            <w:r>
              <w:rPr>
                <w:rFonts w:hint="eastAsia" w:ascii="宋体" w:hAnsi="宋体" w:cs="宋体"/>
                <w:color w:val="auto"/>
                <w:kern w:val="0"/>
                <w:sz w:val="28"/>
                <w:szCs w:val="28"/>
                <w:highlight w:val="none"/>
                <w:lang w:bidi="ar"/>
              </w:rPr>
              <w:t>2</w:t>
            </w:r>
          </w:p>
        </w:tc>
        <w:tc>
          <w:tcPr>
            <w:tcW w:w="8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auto"/>
                <w:sz w:val="28"/>
                <w:szCs w:val="28"/>
                <w:highlight w:val="none"/>
              </w:rPr>
            </w:pPr>
            <w:r>
              <w:rPr>
                <w:rFonts w:hint="eastAsia" w:ascii="宋体" w:hAnsi="宋体" w:cs="宋体"/>
                <w:color w:val="auto"/>
                <w:kern w:val="0"/>
                <w:sz w:val="28"/>
                <w:szCs w:val="28"/>
                <w:highlight w:val="none"/>
                <w:lang w:bidi="ar"/>
              </w:rPr>
              <w:t>《工程计量支付管理办法》</w:t>
            </w:r>
          </w:p>
        </w:tc>
      </w:tr>
      <w:tr>
        <w:tblPrEx>
          <w:tblCellMar>
            <w:top w:w="0" w:type="dxa"/>
            <w:left w:w="0" w:type="dxa"/>
            <w:bottom w:w="0" w:type="dxa"/>
            <w:right w:w="0" w:type="dxa"/>
          </w:tblCellMar>
        </w:tblPrEx>
        <w:trPr>
          <w:trHeight w:val="560" w:hRule="atLeast"/>
        </w:trPr>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8"/>
                <w:szCs w:val="28"/>
                <w:highlight w:val="none"/>
              </w:rPr>
            </w:pPr>
            <w:r>
              <w:rPr>
                <w:rFonts w:hint="eastAsia" w:ascii="宋体" w:hAnsi="宋体" w:cs="宋体"/>
                <w:color w:val="auto"/>
                <w:kern w:val="0"/>
                <w:sz w:val="28"/>
                <w:szCs w:val="28"/>
                <w:highlight w:val="none"/>
                <w:lang w:bidi="ar"/>
              </w:rPr>
              <w:t>3</w:t>
            </w:r>
          </w:p>
        </w:tc>
        <w:tc>
          <w:tcPr>
            <w:tcW w:w="8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auto"/>
                <w:sz w:val="28"/>
                <w:szCs w:val="28"/>
                <w:highlight w:val="none"/>
              </w:rPr>
            </w:pPr>
            <w:r>
              <w:rPr>
                <w:rFonts w:hint="eastAsia" w:ascii="宋体" w:hAnsi="宋体" w:cs="宋体"/>
                <w:color w:val="auto"/>
                <w:kern w:val="0"/>
                <w:sz w:val="28"/>
                <w:szCs w:val="28"/>
                <w:highlight w:val="none"/>
                <w:lang w:bidi="ar"/>
              </w:rPr>
              <w:t>《合同履约评价管理办法》</w:t>
            </w:r>
          </w:p>
        </w:tc>
      </w:tr>
      <w:tr>
        <w:tblPrEx>
          <w:tblCellMar>
            <w:top w:w="0" w:type="dxa"/>
            <w:left w:w="0" w:type="dxa"/>
            <w:bottom w:w="0" w:type="dxa"/>
            <w:right w:w="0" w:type="dxa"/>
          </w:tblCellMar>
        </w:tblPrEx>
        <w:trPr>
          <w:trHeight w:val="560" w:hRule="atLeast"/>
        </w:trPr>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8"/>
                <w:szCs w:val="28"/>
                <w:highlight w:val="none"/>
              </w:rPr>
            </w:pPr>
            <w:r>
              <w:rPr>
                <w:rFonts w:hint="eastAsia" w:ascii="宋体" w:hAnsi="宋体" w:cs="宋体"/>
                <w:color w:val="auto"/>
                <w:kern w:val="0"/>
                <w:sz w:val="28"/>
                <w:szCs w:val="28"/>
                <w:highlight w:val="none"/>
                <w:lang w:bidi="ar"/>
              </w:rPr>
              <w:t>4</w:t>
            </w:r>
          </w:p>
        </w:tc>
        <w:tc>
          <w:tcPr>
            <w:tcW w:w="8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auto"/>
                <w:sz w:val="28"/>
                <w:szCs w:val="28"/>
                <w:highlight w:val="none"/>
              </w:rPr>
            </w:pPr>
            <w:r>
              <w:rPr>
                <w:rFonts w:hint="eastAsia" w:ascii="宋体" w:hAnsi="宋体" w:cs="宋体"/>
                <w:color w:val="auto"/>
                <w:kern w:val="0"/>
                <w:sz w:val="28"/>
                <w:szCs w:val="28"/>
                <w:highlight w:val="none"/>
                <w:lang w:bidi="ar"/>
              </w:rPr>
              <w:t>《履约评价管理办法附表》</w:t>
            </w:r>
          </w:p>
        </w:tc>
      </w:tr>
      <w:tr>
        <w:tblPrEx>
          <w:tblCellMar>
            <w:top w:w="0" w:type="dxa"/>
            <w:left w:w="0" w:type="dxa"/>
            <w:bottom w:w="0" w:type="dxa"/>
            <w:right w:w="0" w:type="dxa"/>
          </w:tblCellMar>
        </w:tblPrEx>
        <w:trPr>
          <w:trHeight w:val="560" w:hRule="atLeast"/>
        </w:trPr>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8"/>
                <w:szCs w:val="28"/>
                <w:highlight w:val="none"/>
              </w:rPr>
            </w:pPr>
            <w:r>
              <w:rPr>
                <w:rFonts w:hint="eastAsia" w:ascii="宋体" w:hAnsi="宋体" w:cs="宋体"/>
                <w:color w:val="auto"/>
                <w:kern w:val="0"/>
                <w:sz w:val="28"/>
                <w:szCs w:val="28"/>
                <w:highlight w:val="none"/>
                <w:lang w:bidi="ar"/>
              </w:rPr>
              <w:t>5</w:t>
            </w:r>
          </w:p>
        </w:tc>
        <w:tc>
          <w:tcPr>
            <w:tcW w:w="8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auto"/>
                <w:sz w:val="28"/>
                <w:szCs w:val="28"/>
                <w:highlight w:val="none"/>
              </w:rPr>
            </w:pPr>
            <w:r>
              <w:rPr>
                <w:rFonts w:hint="eastAsia" w:ascii="宋体" w:hAnsi="宋体" w:cs="宋体"/>
                <w:color w:val="auto"/>
                <w:kern w:val="0"/>
                <w:sz w:val="28"/>
                <w:szCs w:val="28"/>
                <w:highlight w:val="none"/>
                <w:lang w:bidi="ar"/>
              </w:rPr>
              <w:t>《项目参建单位人员实名制管理办法》</w:t>
            </w:r>
          </w:p>
        </w:tc>
      </w:tr>
      <w:tr>
        <w:tblPrEx>
          <w:tblCellMar>
            <w:top w:w="0" w:type="dxa"/>
            <w:left w:w="0" w:type="dxa"/>
            <w:bottom w:w="0" w:type="dxa"/>
            <w:right w:w="0" w:type="dxa"/>
          </w:tblCellMar>
        </w:tblPrEx>
        <w:trPr>
          <w:trHeight w:val="560" w:hRule="atLeast"/>
        </w:trPr>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8"/>
                <w:szCs w:val="28"/>
                <w:highlight w:val="none"/>
              </w:rPr>
            </w:pPr>
            <w:r>
              <w:rPr>
                <w:rFonts w:hint="eastAsia" w:ascii="宋体" w:hAnsi="宋体" w:cs="宋体"/>
                <w:color w:val="auto"/>
                <w:kern w:val="0"/>
                <w:sz w:val="28"/>
                <w:szCs w:val="28"/>
                <w:highlight w:val="none"/>
                <w:lang w:bidi="ar"/>
              </w:rPr>
              <w:t>6</w:t>
            </w:r>
          </w:p>
        </w:tc>
        <w:tc>
          <w:tcPr>
            <w:tcW w:w="8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auto"/>
                <w:sz w:val="28"/>
                <w:szCs w:val="28"/>
                <w:highlight w:val="none"/>
              </w:rPr>
            </w:pPr>
            <w:r>
              <w:rPr>
                <w:rFonts w:hint="eastAsia" w:ascii="宋体" w:hAnsi="宋体" w:cs="宋体"/>
                <w:color w:val="auto"/>
                <w:kern w:val="0"/>
                <w:sz w:val="28"/>
                <w:szCs w:val="28"/>
                <w:highlight w:val="none"/>
                <w:lang w:bidi="ar"/>
              </w:rPr>
              <w:t>《不良行为记录处理办法》</w:t>
            </w:r>
          </w:p>
        </w:tc>
      </w:tr>
      <w:tr>
        <w:tblPrEx>
          <w:tblCellMar>
            <w:top w:w="0" w:type="dxa"/>
            <w:left w:w="0" w:type="dxa"/>
            <w:bottom w:w="0" w:type="dxa"/>
            <w:right w:w="0" w:type="dxa"/>
          </w:tblCellMar>
        </w:tblPrEx>
        <w:trPr>
          <w:trHeight w:val="560" w:hRule="atLeast"/>
        </w:trPr>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8"/>
                <w:szCs w:val="28"/>
                <w:highlight w:val="none"/>
              </w:rPr>
            </w:pPr>
            <w:r>
              <w:rPr>
                <w:rFonts w:hint="eastAsia" w:ascii="宋体" w:hAnsi="宋体" w:cs="宋体"/>
                <w:color w:val="auto"/>
                <w:kern w:val="0"/>
                <w:sz w:val="28"/>
                <w:szCs w:val="28"/>
                <w:highlight w:val="none"/>
                <w:lang w:bidi="ar"/>
              </w:rPr>
              <w:t>7</w:t>
            </w:r>
          </w:p>
        </w:tc>
        <w:tc>
          <w:tcPr>
            <w:tcW w:w="8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auto"/>
                <w:sz w:val="28"/>
                <w:szCs w:val="28"/>
                <w:highlight w:val="none"/>
              </w:rPr>
            </w:pPr>
            <w:r>
              <w:rPr>
                <w:rFonts w:hint="eastAsia" w:ascii="宋体" w:hAnsi="宋体" w:cs="宋体"/>
                <w:color w:val="auto"/>
                <w:kern w:val="0"/>
                <w:sz w:val="28"/>
                <w:szCs w:val="28"/>
                <w:highlight w:val="none"/>
                <w:lang w:bidi="ar"/>
              </w:rPr>
              <w:t>《深圳市建筑工务署材料设备参考品牌》最新版本</w:t>
            </w:r>
          </w:p>
        </w:tc>
      </w:tr>
      <w:tr>
        <w:tblPrEx>
          <w:tblCellMar>
            <w:top w:w="0" w:type="dxa"/>
            <w:left w:w="0" w:type="dxa"/>
            <w:bottom w:w="0" w:type="dxa"/>
            <w:right w:w="0" w:type="dxa"/>
          </w:tblCellMar>
        </w:tblPrEx>
        <w:trPr>
          <w:trHeight w:val="560" w:hRule="atLeast"/>
        </w:trPr>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8"/>
                <w:szCs w:val="28"/>
                <w:highlight w:val="none"/>
              </w:rPr>
            </w:pPr>
            <w:r>
              <w:rPr>
                <w:rFonts w:hint="eastAsia" w:ascii="宋体" w:hAnsi="宋体" w:cs="宋体"/>
                <w:color w:val="auto"/>
                <w:kern w:val="0"/>
                <w:sz w:val="28"/>
                <w:szCs w:val="28"/>
                <w:highlight w:val="none"/>
                <w:lang w:bidi="ar"/>
              </w:rPr>
              <w:t>8</w:t>
            </w:r>
          </w:p>
        </w:tc>
        <w:tc>
          <w:tcPr>
            <w:tcW w:w="8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auto"/>
                <w:sz w:val="28"/>
                <w:szCs w:val="28"/>
                <w:highlight w:val="none"/>
              </w:rPr>
            </w:pPr>
            <w:r>
              <w:rPr>
                <w:rFonts w:hint="eastAsia" w:ascii="宋体" w:hAnsi="宋体" w:cs="宋体"/>
                <w:color w:val="auto"/>
                <w:kern w:val="0"/>
                <w:sz w:val="28"/>
                <w:szCs w:val="28"/>
                <w:highlight w:val="none"/>
                <w:lang w:bidi="ar"/>
              </w:rPr>
              <w:t>《工程质量及安全生产管理违约金规定》</w:t>
            </w:r>
          </w:p>
        </w:tc>
      </w:tr>
      <w:tr>
        <w:tblPrEx>
          <w:tblCellMar>
            <w:top w:w="0" w:type="dxa"/>
            <w:left w:w="0" w:type="dxa"/>
            <w:bottom w:w="0" w:type="dxa"/>
            <w:right w:w="0" w:type="dxa"/>
          </w:tblCellMar>
        </w:tblPrEx>
        <w:trPr>
          <w:trHeight w:val="560" w:hRule="atLeast"/>
        </w:trPr>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8"/>
                <w:szCs w:val="28"/>
                <w:highlight w:val="none"/>
              </w:rPr>
            </w:pPr>
            <w:r>
              <w:rPr>
                <w:rFonts w:hint="eastAsia" w:ascii="宋体" w:hAnsi="宋体" w:cs="宋体"/>
                <w:color w:val="auto"/>
                <w:kern w:val="0"/>
                <w:sz w:val="28"/>
                <w:szCs w:val="28"/>
                <w:highlight w:val="none"/>
                <w:lang w:bidi="ar"/>
              </w:rPr>
              <w:t>9</w:t>
            </w:r>
          </w:p>
        </w:tc>
        <w:tc>
          <w:tcPr>
            <w:tcW w:w="8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auto"/>
                <w:sz w:val="28"/>
                <w:szCs w:val="28"/>
                <w:highlight w:val="none"/>
              </w:rPr>
            </w:pPr>
            <w:r>
              <w:rPr>
                <w:rFonts w:hint="eastAsia" w:ascii="宋体" w:hAnsi="宋体" w:cs="宋体"/>
                <w:color w:val="auto"/>
                <w:kern w:val="0"/>
                <w:sz w:val="28"/>
                <w:szCs w:val="28"/>
                <w:highlight w:val="none"/>
                <w:lang w:bidi="ar"/>
              </w:rPr>
              <w:t>《技术标准及要求》</w:t>
            </w:r>
          </w:p>
        </w:tc>
      </w:tr>
      <w:tr>
        <w:tblPrEx>
          <w:tblCellMar>
            <w:top w:w="0" w:type="dxa"/>
            <w:left w:w="0" w:type="dxa"/>
            <w:bottom w:w="0" w:type="dxa"/>
            <w:right w:w="0" w:type="dxa"/>
          </w:tblCellMar>
        </w:tblPrEx>
        <w:trPr>
          <w:trHeight w:val="560" w:hRule="atLeast"/>
        </w:trPr>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8"/>
                <w:szCs w:val="28"/>
                <w:highlight w:val="none"/>
              </w:rPr>
            </w:pPr>
            <w:r>
              <w:rPr>
                <w:rFonts w:hint="eastAsia" w:ascii="宋体" w:hAnsi="宋体" w:cs="宋体"/>
                <w:color w:val="auto"/>
                <w:kern w:val="0"/>
                <w:sz w:val="28"/>
                <w:szCs w:val="28"/>
                <w:highlight w:val="none"/>
                <w:lang w:bidi="ar"/>
              </w:rPr>
              <w:t>10</w:t>
            </w:r>
          </w:p>
        </w:tc>
        <w:tc>
          <w:tcPr>
            <w:tcW w:w="8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auto"/>
                <w:sz w:val="28"/>
                <w:szCs w:val="28"/>
                <w:highlight w:val="none"/>
              </w:rPr>
            </w:pPr>
            <w:r>
              <w:rPr>
                <w:rFonts w:hint="eastAsia" w:ascii="宋体" w:hAnsi="宋体" w:cs="宋体"/>
                <w:color w:val="auto"/>
                <w:kern w:val="0"/>
                <w:sz w:val="28"/>
                <w:szCs w:val="28"/>
                <w:highlight w:val="none"/>
                <w:lang w:bidi="ar"/>
              </w:rPr>
              <w:t>《工程变更管理办法》</w:t>
            </w:r>
          </w:p>
        </w:tc>
      </w:tr>
      <w:tr>
        <w:tblPrEx>
          <w:tblCellMar>
            <w:top w:w="0" w:type="dxa"/>
            <w:left w:w="0" w:type="dxa"/>
            <w:bottom w:w="0" w:type="dxa"/>
            <w:right w:w="0" w:type="dxa"/>
          </w:tblCellMar>
        </w:tblPrEx>
        <w:trPr>
          <w:trHeight w:val="560" w:hRule="atLeast"/>
        </w:trPr>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8"/>
                <w:szCs w:val="28"/>
                <w:highlight w:val="none"/>
              </w:rPr>
            </w:pPr>
            <w:r>
              <w:rPr>
                <w:rFonts w:hint="eastAsia" w:ascii="宋体" w:hAnsi="宋体" w:cs="宋体"/>
                <w:color w:val="auto"/>
                <w:kern w:val="0"/>
                <w:sz w:val="28"/>
                <w:szCs w:val="28"/>
                <w:highlight w:val="none"/>
                <w:lang w:bidi="ar"/>
              </w:rPr>
              <w:t>11</w:t>
            </w:r>
          </w:p>
        </w:tc>
        <w:tc>
          <w:tcPr>
            <w:tcW w:w="8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auto"/>
                <w:sz w:val="28"/>
                <w:szCs w:val="28"/>
                <w:highlight w:val="none"/>
              </w:rPr>
            </w:pPr>
            <w:r>
              <w:rPr>
                <w:rFonts w:hint="eastAsia" w:ascii="宋体" w:hAnsi="宋体" w:cs="宋体"/>
                <w:color w:val="auto"/>
                <w:kern w:val="0"/>
                <w:sz w:val="28"/>
                <w:szCs w:val="28"/>
                <w:highlight w:val="none"/>
                <w:lang w:bidi="ar"/>
              </w:rPr>
              <w:t>《五方询价管理办法》</w:t>
            </w:r>
          </w:p>
        </w:tc>
      </w:tr>
      <w:tr>
        <w:tblPrEx>
          <w:tblCellMar>
            <w:top w:w="0" w:type="dxa"/>
            <w:left w:w="0" w:type="dxa"/>
            <w:bottom w:w="0" w:type="dxa"/>
            <w:right w:w="0" w:type="dxa"/>
          </w:tblCellMar>
        </w:tblPrEx>
        <w:trPr>
          <w:trHeight w:val="560" w:hRule="atLeast"/>
        </w:trPr>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auto"/>
                <w:sz w:val="28"/>
                <w:szCs w:val="28"/>
                <w:highlight w:val="none"/>
              </w:rPr>
            </w:pPr>
            <w:r>
              <w:rPr>
                <w:rFonts w:hint="eastAsia" w:ascii="宋体" w:hAnsi="宋体" w:cs="宋体"/>
                <w:color w:val="auto"/>
                <w:kern w:val="0"/>
                <w:sz w:val="28"/>
                <w:szCs w:val="28"/>
                <w:highlight w:val="none"/>
                <w:lang w:bidi="ar"/>
              </w:rPr>
              <w:t>12</w:t>
            </w:r>
          </w:p>
        </w:tc>
        <w:tc>
          <w:tcPr>
            <w:tcW w:w="8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auto"/>
                <w:sz w:val="28"/>
                <w:szCs w:val="28"/>
                <w:highlight w:val="none"/>
              </w:rPr>
            </w:pPr>
            <w:r>
              <w:rPr>
                <w:rFonts w:hint="eastAsia" w:ascii="宋体" w:hAnsi="宋体" w:cs="宋体"/>
                <w:color w:val="auto"/>
                <w:kern w:val="0"/>
                <w:sz w:val="28"/>
                <w:szCs w:val="28"/>
                <w:highlight w:val="none"/>
                <w:lang w:bidi="ar"/>
              </w:rPr>
              <w:t>《发包人拟定的品牌库》</w:t>
            </w:r>
          </w:p>
        </w:tc>
      </w:tr>
      <w:tr>
        <w:tblPrEx>
          <w:tblCellMar>
            <w:top w:w="0" w:type="dxa"/>
            <w:left w:w="0" w:type="dxa"/>
            <w:bottom w:w="0" w:type="dxa"/>
            <w:right w:w="0" w:type="dxa"/>
          </w:tblCellMar>
        </w:tblPrEx>
        <w:trPr>
          <w:trHeight w:val="560" w:hRule="atLeast"/>
        </w:trPr>
        <w:tc>
          <w:tcPr>
            <w:tcW w:w="8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hAnsi="宋体" w:cs="宋体"/>
                <w:color w:val="auto"/>
                <w:kern w:val="0"/>
                <w:sz w:val="28"/>
                <w:szCs w:val="28"/>
                <w:highlight w:val="none"/>
                <w:lang w:bidi="ar"/>
              </w:rPr>
            </w:pPr>
            <w:r>
              <w:rPr>
                <w:rFonts w:hint="eastAsia" w:ascii="宋体" w:hAnsi="宋体" w:cs="宋体"/>
                <w:color w:val="auto"/>
                <w:kern w:val="0"/>
                <w:sz w:val="28"/>
                <w:szCs w:val="28"/>
                <w:highlight w:val="none"/>
                <w:lang w:bidi="ar"/>
              </w:rPr>
              <w:t>13</w:t>
            </w:r>
          </w:p>
        </w:tc>
        <w:tc>
          <w:tcPr>
            <w:tcW w:w="8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hint="eastAsia" w:ascii="宋体" w:hAnsi="宋体" w:cs="宋体"/>
                <w:color w:val="auto"/>
                <w:kern w:val="0"/>
                <w:sz w:val="28"/>
                <w:szCs w:val="28"/>
                <w:highlight w:val="none"/>
                <w:lang w:bidi="ar"/>
              </w:rPr>
            </w:pPr>
            <w:r>
              <w:rPr>
                <w:rFonts w:hint="eastAsia" w:ascii="宋体" w:hAnsi="宋体" w:cs="宋体"/>
                <w:color w:val="auto"/>
                <w:kern w:val="0"/>
                <w:sz w:val="28"/>
                <w:szCs w:val="28"/>
                <w:highlight w:val="none"/>
                <w:lang w:bidi="ar"/>
              </w:rPr>
              <w:t>《工程质量检测管理办法》</w:t>
            </w:r>
          </w:p>
        </w:tc>
      </w:tr>
    </w:tbl>
    <w:p>
      <w:pPr>
        <w:adjustRightInd w:val="0"/>
        <w:snapToGrid w:val="0"/>
        <w:spacing w:line="360" w:lineRule="auto"/>
        <w:jc w:val="left"/>
        <w:rPr>
          <w:rFonts w:hint="eastAsia" w:ascii="宋体" w:hAnsi="宋体"/>
          <w:b/>
          <w:bCs/>
          <w:color w:val="auto"/>
          <w:sz w:val="24"/>
          <w:highlight w:val="none"/>
        </w:rPr>
      </w:pPr>
    </w:p>
    <w:p>
      <w:pPr>
        <w:adjustRightInd w:val="0"/>
        <w:snapToGrid w:val="0"/>
        <w:spacing w:line="360" w:lineRule="auto"/>
        <w:jc w:val="left"/>
        <w:rPr>
          <w:rFonts w:hint="eastAsia" w:ascii="宋体" w:hAnsi="宋体"/>
          <w:b/>
          <w:bCs/>
          <w:color w:val="auto"/>
          <w:sz w:val="24"/>
          <w:highlight w:val="none"/>
        </w:rPr>
      </w:pPr>
      <w:r>
        <w:rPr>
          <w:rFonts w:hint="eastAsia" w:ascii="宋体" w:hAnsi="宋体"/>
          <w:b/>
          <w:bCs/>
          <w:color w:val="auto"/>
          <w:sz w:val="24"/>
          <w:highlight w:val="none"/>
        </w:rPr>
        <w:t>说明：</w:t>
      </w:r>
    </w:p>
    <w:p>
      <w:pPr>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1、上述表格中的各项办法发包人有更新的，按更新后的执行。</w:t>
      </w:r>
    </w:p>
    <w:p>
      <w:pPr>
        <w:spacing w:line="360" w:lineRule="auto"/>
        <w:ind w:firstLine="480" w:firstLineChars="200"/>
        <w:jc w:val="left"/>
        <w:rPr>
          <w:rFonts w:hint="eastAsia" w:ascii="宋体" w:hAnsi="宋体" w:cs="宋体"/>
          <w:b/>
          <w:bCs/>
          <w:color w:val="auto"/>
          <w:sz w:val="30"/>
          <w:szCs w:val="30"/>
          <w:highlight w:val="none"/>
        </w:rPr>
      </w:pPr>
      <w:r>
        <w:rPr>
          <w:rFonts w:hint="eastAsia" w:ascii="宋体" w:hAnsi="宋体"/>
          <w:color w:val="auto"/>
          <w:sz w:val="24"/>
          <w:highlight w:val="none"/>
        </w:rPr>
        <w:t>2、上述表格中的各项办法作为专用条款中提及的相关部分的补充，承包人在合同履行期间应遵守。如有矛盾之处，以专用条款为准。</w:t>
      </w:r>
    </w:p>
    <w:bookmarkEnd w:id="6358"/>
    <w:bookmarkEnd w:id="6359"/>
    <w:bookmarkEnd w:id="6360"/>
    <w:bookmarkEnd w:id="6361"/>
    <w:bookmarkEnd w:id="6362"/>
    <w:bookmarkEnd w:id="6363"/>
    <w:bookmarkEnd w:id="6364"/>
    <w:bookmarkEnd w:id="6365"/>
    <w:bookmarkEnd w:id="6366"/>
    <w:bookmarkEnd w:id="6367"/>
    <w:p>
      <w:pPr>
        <w:spacing w:line="360" w:lineRule="auto"/>
        <w:ind w:firstLine="924" w:firstLineChars="200"/>
        <w:jc w:val="left"/>
        <w:rPr>
          <w:rFonts w:hint="eastAsia" w:ascii="黑体" w:eastAsia="黑体"/>
          <w:b/>
          <w:color w:val="auto"/>
          <w:sz w:val="46"/>
          <w:szCs w:val="46"/>
          <w:highlight w:val="none"/>
        </w:rPr>
        <w:sectPr>
          <w:footerReference r:id="rId11" w:type="first"/>
          <w:headerReference r:id="rId8" w:type="default"/>
          <w:footerReference r:id="rId9" w:type="default"/>
          <w:footerReference r:id="rId10" w:type="even"/>
          <w:pgSz w:w="11907" w:h="16840"/>
          <w:pgMar w:top="1418" w:right="1418" w:bottom="1418" w:left="1418" w:header="851" w:footer="992" w:gutter="0"/>
          <w:cols w:space="720" w:num="1"/>
          <w:docGrid w:linePitch="312" w:charSpace="0"/>
        </w:sectPr>
      </w:pPr>
      <w:bookmarkStart w:id="7532" w:name="_Toc517531058"/>
      <w:bookmarkStart w:id="7533" w:name="_Toc517528820"/>
      <w:bookmarkStart w:id="7534" w:name="_Toc517532334"/>
      <w:bookmarkStart w:id="7535" w:name="_Toc517529776"/>
      <w:bookmarkStart w:id="7536" w:name="_Toc405968566"/>
      <w:bookmarkStart w:id="7537" w:name="Bookmark40"/>
    </w:p>
    <w:bookmarkEnd w:id="7532"/>
    <w:bookmarkEnd w:id="7533"/>
    <w:bookmarkEnd w:id="7534"/>
    <w:bookmarkEnd w:id="7535"/>
    <w:bookmarkEnd w:id="7536"/>
    <w:bookmarkEnd w:id="7537"/>
    <w:p>
      <w:pPr>
        <w:pStyle w:val="159"/>
        <w:spacing w:after="200" w:line="440" w:lineRule="exact"/>
        <w:outlineLvl w:val="2"/>
        <w:rPr>
          <w:rFonts w:ascii="宋体" w:hAnsi="宋体" w:cs="宋体"/>
          <w:b/>
          <w:bCs/>
          <w:color w:val="auto"/>
          <w:sz w:val="24"/>
          <w:highlight w:val="none"/>
        </w:rPr>
      </w:pPr>
      <w:bookmarkStart w:id="7538" w:name="_Toc69114113"/>
      <w:r>
        <w:rPr>
          <w:rFonts w:hint="eastAsia" w:ascii="宋体" w:hAnsi="宋体" w:cs="宋体"/>
          <w:b/>
          <w:bCs/>
          <w:color w:val="auto"/>
          <w:sz w:val="24"/>
          <w:highlight w:val="none"/>
        </w:rPr>
        <w:t>附件</w:t>
      </w:r>
      <w:r>
        <w:rPr>
          <w:rFonts w:ascii="宋体" w:hAnsi="宋体" w:cs="宋体"/>
          <w:b/>
          <w:bCs/>
          <w:color w:val="auto"/>
          <w:sz w:val="24"/>
          <w:highlight w:val="none"/>
        </w:rPr>
        <w:t>2</w:t>
      </w:r>
      <w:r>
        <w:rPr>
          <w:rFonts w:hint="eastAsia" w:ascii="宋体" w:hAnsi="宋体" w:cs="宋体"/>
          <w:b/>
          <w:bCs/>
          <w:color w:val="auto"/>
          <w:sz w:val="24"/>
          <w:highlight w:val="none"/>
        </w:rPr>
        <w:t>：工程质量及安全生产管理违约金规定</w:t>
      </w:r>
      <w:bookmarkEnd w:id="7538"/>
    </w:p>
    <w:p>
      <w:pPr>
        <w:pStyle w:val="83"/>
        <w:spacing w:after="200" w:line="440" w:lineRule="exact"/>
        <w:jc w:val="center"/>
        <w:rPr>
          <w:rFonts w:ascii="仿宋_GB2312" w:hAnsi="Times New Roman" w:eastAsia="仿宋_GB2312"/>
          <w:b/>
          <w:bCs/>
          <w:color w:val="auto"/>
          <w:sz w:val="32"/>
          <w:szCs w:val="32"/>
          <w:highlight w:val="none"/>
        </w:rPr>
      </w:pPr>
      <w:r>
        <w:rPr>
          <w:rFonts w:hint="eastAsia" w:ascii="仿宋_GB2312" w:hAnsi="Times New Roman" w:eastAsia="仿宋_GB2312"/>
          <w:b/>
          <w:bCs/>
          <w:color w:val="auto"/>
          <w:sz w:val="32"/>
          <w:szCs w:val="32"/>
          <w:highlight w:val="none"/>
        </w:rPr>
        <w:t>施工单位质量责任违约金标准一览表</w:t>
      </w:r>
    </w:p>
    <w:tbl>
      <w:tblPr>
        <w:tblStyle w:val="43"/>
        <w:tblW w:w="1406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8"/>
        <w:gridCol w:w="988"/>
        <w:gridCol w:w="1843"/>
        <w:gridCol w:w="9072"/>
        <w:gridCol w:w="14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noWrap w:val="0"/>
            <w:vAlign w:val="center"/>
          </w:tcPr>
          <w:p>
            <w:pPr>
              <w:pStyle w:val="83"/>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序号</w:t>
            </w:r>
          </w:p>
        </w:tc>
        <w:tc>
          <w:tcPr>
            <w:tcW w:w="2831" w:type="dxa"/>
            <w:gridSpan w:val="2"/>
            <w:noWrap w:val="0"/>
            <w:vAlign w:val="center"/>
          </w:tcPr>
          <w:p>
            <w:pPr>
              <w:pStyle w:val="83"/>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检查项目</w:t>
            </w:r>
          </w:p>
        </w:tc>
        <w:tc>
          <w:tcPr>
            <w:tcW w:w="9072" w:type="dxa"/>
            <w:noWrap w:val="0"/>
            <w:vAlign w:val="center"/>
          </w:tcPr>
          <w:p>
            <w:pPr>
              <w:pStyle w:val="83"/>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质量违规行为</w:t>
            </w:r>
          </w:p>
        </w:tc>
        <w:tc>
          <w:tcPr>
            <w:tcW w:w="1423" w:type="dxa"/>
            <w:noWrap w:val="0"/>
            <w:vAlign w:val="center"/>
          </w:tcPr>
          <w:p>
            <w:pPr>
              <w:pStyle w:val="83"/>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违约金</w:t>
            </w:r>
          </w:p>
          <w:p>
            <w:pPr>
              <w:pStyle w:val="83"/>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w:t>
            </w:r>
            <w:r>
              <w:rPr>
                <w:rFonts w:hint="eastAsia" w:ascii="仿宋_GB2312" w:eastAsia="仿宋_GB2312"/>
                <w:color w:val="auto"/>
                <w:szCs w:val="21"/>
                <w:highlight w:val="none"/>
              </w:rPr>
              <w:t>元/条.人.处)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ascii="仿宋_GB2312" w:hAnsi="宋体" w:eastAsia="仿宋_GB2312" w:cs="宋体"/>
                <w:color w:val="auto"/>
                <w:szCs w:val="21"/>
                <w:highlight w:val="none"/>
              </w:rPr>
              <w:t>1</w:t>
            </w:r>
          </w:p>
        </w:tc>
        <w:tc>
          <w:tcPr>
            <w:tcW w:w="988"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地基与基础</w:t>
            </w: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土方</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1.1.1土方开挖后基槽尺寸、标高、放坡系数不符合图纸设计及规范要求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1.1.2土方回填前未对基底进行清理及压实</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1.1.3土方未分层回填</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1.1.4基坑内未设置排水沟、排水不通畅</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桩基、地基处理</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1.1.5存在漏桩、少桩现象</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1.1.6桩位、垂直度偏差不符合规范要求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1.1.7静压桩焊接质量不符合规范要求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1.1.8静压桩成桩压力、标高未达到设计要求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1.1.9混凝土灌注桩、人工挖孔桩钢筋笼焊接质量不符合要求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1.1.10混凝土灌注桩施工不符合要求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color w:val="auto"/>
                <w:szCs w:val="21"/>
                <w:highlight w:val="none"/>
              </w:rPr>
            </w:pPr>
            <w:r>
              <w:rPr>
                <w:rFonts w:hint="eastAsia"/>
                <w:color w:val="auto"/>
                <w:szCs w:val="21"/>
                <w:highlight w:val="none"/>
              </w:rPr>
              <w:t xml:space="preserve">1.1.11  </w:t>
            </w:r>
            <w:r>
              <w:rPr>
                <w:color w:val="auto"/>
                <w:szCs w:val="21"/>
                <w:highlight w:val="none"/>
              </w:rPr>
              <w:t>CFG</w:t>
            </w:r>
            <w:r>
              <w:rPr>
                <w:rFonts w:hint="eastAsia" w:ascii="仿宋_GB2312" w:eastAsia="仿宋_GB2312"/>
                <w:color w:val="auto"/>
                <w:szCs w:val="21"/>
                <w:highlight w:val="none"/>
              </w:rPr>
              <w:t>桩砼浇筑时桩头提升量和砼浇筑量不一致</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地下防水</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1.1.12  基础防水细部构造不符合要求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1.1.13橡胶止水带或钢板止水带设置不符合要求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ascii="仿宋_GB2312" w:hAnsi="宋体" w:eastAsia="仿宋_GB2312" w:cs="宋体"/>
                <w:color w:val="auto"/>
                <w:szCs w:val="21"/>
                <w:highlight w:val="none"/>
              </w:rPr>
              <w:t>2</w:t>
            </w:r>
          </w:p>
        </w:tc>
        <w:tc>
          <w:tcPr>
            <w:tcW w:w="988"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主体结构</w:t>
            </w: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模板</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1.2.1模板内积水、垃圾、杂物未清理完毕</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1.2.2模板未涂刷脱模剂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1.2.3模板截面尺寸不符合设计要求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1.2.4未达拆模强度擅自拆模</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1.2.5模板存在破损、拼缝不严的现象</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钢筋</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1.2.6现场使用的钢筋品牌、规格、型号与招标文件、国家标准及设计要求不符</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1.2.7钢筋下料长度与规范及设计要求不符</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1.2.8钢筋连接不符合规范标准</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1.2.9钢筋安装与规范图集及设计要求不符</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混凝土</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1.2.10施工缝留置位置不符合规范要求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1.2.11砼浇筑完毕后未进行有效养护</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现浇结构</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1.2.12受力构件存在胀、缩模、蜂窝、麻面、孔洞、露筋、裂缝等缺陷</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1.2.13抗渗混凝土存在渗漏现象</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1.2.14现浇结构尺寸偏差不符合规范要求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1.2.15混凝土保护层厚度不符合规范要求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砌体结构</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1.2.16砌体结构原材及相关材料不符合要求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1.2.17砌筑现场未使用预拌砂浆</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1.2.18墙体砌筑施工方法及相关构造要求不符合规范及设计要求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1.2.19砌体一般尺寸偏差不符合规范及设计要求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钢结构</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1.2.20钢结构焊接及连接不符合规范及设计要求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1.2.21钢零件及钢部件加工不符合规范及设计要求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1.2.22钢构件组装、预拼装不符合规范及设计要求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1.2.23钢结构涂装工程不符合规范及设计要求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ascii="仿宋_GB2312" w:hAnsi="宋体" w:eastAsia="仿宋_GB2312" w:cs="宋体"/>
                <w:color w:val="auto"/>
                <w:szCs w:val="21"/>
                <w:highlight w:val="none"/>
              </w:rPr>
              <w:t>3</w:t>
            </w:r>
          </w:p>
        </w:tc>
        <w:tc>
          <w:tcPr>
            <w:tcW w:w="988"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建筑装饰</w:t>
            </w:r>
          </w:p>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装修</w:t>
            </w: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地面、墙面</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1.3.1地面、墙面面层与基层粘结不牢固，存在空鼓面积超过规范要求的现象</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1.3.2地面、墙面存在开裂、渗水、起砂等现象</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抹灰</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1.3.3不同材料交界面抹灰时未张贴加强网，加强网搭接及宽度不符合规范要求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1.3.4抹灰表面允许偏差超出规范要求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1.3.5分格缝设置不符合规范要求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1.3.6有排水要求的部位未按规范及设计要求设置滴水（槽）</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1.3.7各抹灰层之间及抹灰层与基底之间存在脱层、空鼓、裂缝、色差等现象</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门窗</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1.3.8门窗洞口预留尺寸不符合图纸设计及规范要求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1.3.9门窗安装施工顺序及安装方法不符合规范要求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1.3.10门窗与墙体间隙之间未填嵌密实，塑料门窗填缝未采用密闭胶封闭</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1.3.11玻璃安装方法不符合设计及规范要求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1.3.12门窗淋水试验不满足规范要求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1.3.13特种门的安装方法不符合规范及设计要求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吊顶</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1.3.14吊顶及相关构配件不符合规范及设计要求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1.3.15吊杆、龙骨的材质、规格、安装间距及连接方式不符合相关规范及设计要求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1.3.16吊顶工程中相关构配件未按照规范及设计要求进行防火、防腐、防锈处理</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饰面板（砖）</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1.3.17饰面板（砖）的规格、颜色和性能不符合规范及设计要求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1.3.18饰面板安装工程的预埋件、连接件的数量、规格、位置、连接方法、防腐处理不符合设计及规范要求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1.3.19饰面板（砖）安装不牢固、存在空鼓面积超出规范要求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1.3.20饰面板（砖）表面存在色差、裂缝</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1.3.21有排水要求的部位未设置滴水线（槽），泛水坡度不符合设计要求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幕墙</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1.3.22幕墙所使用的各种材料、配件不满足国家标准规范及设计要求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1.3.23未对后置预埋件的拉拔强度进行检测</w:t>
            </w:r>
            <w:r>
              <w:rPr>
                <w:rFonts w:eastAsia="仿宋_GB2312"/>
                <w:color w:val="auto"/>
                <w:szCs w:val="21"/>
                <w:highlight w:val="none"/>
              </w:rPr>
              <w:t>,</w:t>
            </w:r>
            <w:r>
              <w:rPr>
                <w:rFonts w:hint="eastAsia" w:ascii="仿宋_GB2312" w:eastAsia="仿宋_GB2312"/>
                <w:color w:val="auto"/>
                <w:szCs w:val="21"/>
                <w:highlight w:val="none"/>
              </w:rPr>
              <w:t>检测不合格</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1.3.24立杆及主要受力构件材料壁厚、规格、颜色和性能不符合设计要求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1.3.25幕墙制作安装不符合设计及规范要求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1.3.26幕墙连接预埋件数量、规格、位置、防腐处理不符合设计及规范要求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1.3.27各种受力构件之间的连接不符合设计及规范要求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1.3.28所使用的结构密封材料不符合要求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1.3.29幕墙表面平整度、色差、划伤范围不符合设计及规范要求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涂饰</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1.3.30进行涂饰前未涂刷抗碱封闭底漆</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1.3.31基层腻子存在不平整、风化、起皮、脱落等现象</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1.3.32厨房、卫生间墙面未使用耐水腻子</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1.3.33涂料面层有风化、脱落、裂缝、色差等现象</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ascii="仿宋_GB2312" w:hAnsi="宋体" w:eastAsia="仿宋_GB2312" w:cs="宋体"/>
                <w:color w:val="auto"/>
                <w:szCs w:val="21"/>
                <w:highlight w:val="none"/>
              </w:rPr>
              <w:t>4</w:t>
            </w:r>
          </w:p>
        </w:tc>
        <w:tc>
          <w:tcPr>
            <w:tcW w:w="988"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建筑屋面</w:t>
            </w: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找平层</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1.4.1找平层所使用的材料不满足规范及设计要求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1.4.2找平层尺寸不满足设计及规范要求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1.4.3找平层施工细部构造不符合规范要求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1.4.4找平层分格缝设置不满足规范及设计要求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卷材防水层</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1.4.5卷材防水材料不满足规范及设计要求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1.4.6卷材铺设前未进行基面处理</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1.4.7基层界面剂涂刷不均匀</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1.4.8卷材铺贴方向、施工方法不符合规范要求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1.4.9卷材层存在空鼓、开裂、脱落等现象</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1.4.10屋面淋水或蓄水试验不满足要求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1.4.11天沟、檐沟、檐口等细部未按规范施工</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1.4.12女儿墙高度、透气管安装高度不符合规范及设计要求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涂膜防水层</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1.4.13涂膜防水材料不满足国家标准规范及设计要求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1.4.14涂膜防水层有渗漏或积水现象</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1.4.15涂膜防水层在天沟、阴阳角等细部构造不符合规范及设计要求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1.4.16涂膜防水层厚度不符合设计要求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ascii="仿宋_GB2312" w:hAnsi="宋体" w:eastAsia="仿宋_GB2312" w:cs="宋体"/>
                <w:color w:val="auto"/>
                <w:szCs w:val="21"/>
                <w:highlight w:val="none"/>
              </w:rPr>
              <w:t>5</w:t>
            </w:r>
          </w:p>
        </w:tc>
        <w:tc>
          <w:tcPr>
            <w:tcW w:w="988"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安装工程</w:t>
            </w: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建筑给水、排水</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1.5.1给水管道原材及配件与招标文件及设计要求不相符</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1.5.2室内给水管道试压不符合规范及设计要求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1.5.3给水管道安装与连接不符合规范及设计要求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1.5.4隐蔽或埋地排水管道未在隐蔽前做灌水试验</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1.5.5排水塑料管道在楼板下未设防火圈或防火套管</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1.5.6消防水管保温施工不符合规范及设计要求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1.5.7自动喷水灭火系统安装不符合规范及设计要求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1.5.8消防给水池、消防水箱、消防水泵等防火设备安装不符合规范及设计要求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1.5.9室内消火栓系统及相关构件安装不符合规范及设计要求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1.5.10气体灭火系统及配件安装不满足规范及设计要求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通风与空调</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1.5.11风管原材及配件不满足规范及设计要求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1.5.12防火风管的本体、框架与固定材料、密封垫料不是不燃材料</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1.5.13风管制作、安装不符合设计及规范要求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1.5.14镀锌钢板及各类有保护层的钢板、法兰连接方法不符合规范要求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1.5.15防火卷帘安装不符合规范及设计要求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1.5.16通风设备安装不符合规范及设计要求，通风系统试验不符合规范及设计要求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建筑电气</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1.5.17主要设备、材料、成品及半成品与招标文件和设计要求不相符</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1.5.18电缆、电线穿管的安装不符合规范及设计要求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1.5.19电气设备安装不符合规范及设计要求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1.5.20接地线互相连接方式不符合规范及设计要求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1.5.21金属电缆桥架、线槽等部位未进行接地连接</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1.5.22电缆桥架安装、铺设不符合要求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1.5.23穿越不同防火分区的桥架未进行防火分隔</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1.5.24室外埋地电缆导管埋深不符合规范及设计要求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1.5.25插座接线、安装高度不符合要求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1.5.26插座不符合规范及设计要求、盖板固定不牢固</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1.5.27电线未按规范要求进行复试合格</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1.5.28避雷装置不满足要求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1.5.29火灾自动报警系统及相关配件安装不符合规范及设计要求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1.5.30火灾应急照明灯安装不符合规范及设计要求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1.5.31照明开关安装位置不符合规范及设计要求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1.5.32人防工程中所涉及的密闭穿墙短管的制作及安装不符合规范及设计要求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1.5.33电气系统试验不符合规范及设计要求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卫生器具安装</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1.5.34卫生器具及配件不符合规范及设计要求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1.5.35卫生器具安装不符合规范及设计标准</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1.5.36与排水横管连接的各卫生器具的受水口和立管未采取可靠的固定措施</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1.5.37管道与楼板的结合部位有渗漏</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电梯安装</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1.5.38电梯安装前土建交接检验未符合设计及规范要求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1.5.39电梯安装方法不符合规范及设计要求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1.5.40电梯投入使用前未经过检测、检测结果不合格</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ascii="仿宋_GB2312" w:hAnsi="宋体" w:eastAsia="仿宋_GB2312" w:cs="宋体"/>
                <w:color w:val="auto"/>
                <w:szCs w:val="21"/>
                <w:highlight w:val="none"/>
              </w:rPr>
              <w:t>6</w:t>
            </w:r>
          </w:p>
        </w:tc>
        <w:tc>
          <w:tcPr>
            <w:tcW w:w="988"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建筑节能</w:t>
            </w: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墙体、屋面、门窗、地面节能工程</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1.6.1建筑节能工程施工前未进行样板制作、样板未验收</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1.6.2建筑节能材料不符合规范及设计要求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1.6.3保温材料的厚度不符合设计要求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1.6.4建筑节能施工方法不满足规范就设计要求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1.6.5建筑节能材料采用预埋或后置锚固件固定时，不符合规范及设计要求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1.6.6建筑节能的板缝处理、构造节点及嵌缝做法等细部构造不符合设计及规范要求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1.6.7热桥部位未按设计要求采取隔断热桥措施</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1.6.8消防水管保温施工不符合规范及设计要求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1.6.9表层砂浆抹压不密实</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幕墙节能工程</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1.6.10建筑节能工程的饰面层渗漏</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1.6.11幕墙节能材料及相关构配件不符合设计及规范要求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1.6.12幕墙节能工程使用的保温材料厚度不符合规范及设计要求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1.6.13保温材料在安装过程中未按照规范及设计要求采取防潮、防水等保护措施</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1.6.14幕墙工程热桥部位的隔断热桥措施不符合规范及设计要求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1.6.15伸缩缝、沉降缝、抗震缝的保温或密封做法不符合规范及设计要求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1.6.16保温层所使用的材料不符合设计及规范要求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1.6.17建筑节能工程的饰面层渗漏</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ascii="仿宋_GB2312" w:hAnsi="宋体" w:eastAsia="仿宋_GB2312" w:cs="宋体"/>
                <w:color w:val="auto"/>
                <w:szCs w:val="21"/>
                <w:highlight w:val="none"/>
              </w:rPr>
              <w:t>7</w:t>
            </w:r>
          </w:p>
        </w:tc>
        <w:tc>
          <w:tcPr>
            <w:tcW w:w="988"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绿化工程</w:t>
            </w: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换填</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1.7.1泥炭土未履行进场报验程序</w:t>
            </w:r>
            <w:r>
              <w:rPr>
                <w:rFonts w:ascii="仿宋_GB2312" w:eastAsia="仿宋_GB2312"/>
                <w:color w:val="auto"/>
                <w:szCs w:val="21"/>
                <w:highlight w:val="none"/>
              </w:rPr>
              <w:t>,</w:t>
            </w:r>
            <w:r>
              <w:rPr>
                <w:rFonts w:hint="eastAsia" w:ascii="仿宋_GB2312" w:eastAsia="仿宋_GB2312"/>
                <w:color w:val="auto"/>
                <w:szCs w:val="21"/>
                <w:highlight w:val="none"/>
              </w:rPr>
              <w:t>并验收合格</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1.7.2未按设计要求进行泥炭土掺加与拌合</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1.7.3土壤换填深度不符合设计要求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1.7.4种植土内碎石、石灰土块、砼块等建筑垃圾未清理干净</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1.7.5种植土土块粒径不符合设计与规范要求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1.7.6草坪栽植土中未按绿化施工导则要求掺合</w:t>
            </w:r>
            <w:r>
              <w:rPr>
                <w:rFonts w:eastAsia="仿宋_GB2312"/>
                <w:color w:val="auto"/>
                <w:szCs w:val="21"/>
                <w:highlight w:val="none"/>
              </w:rPr>
              <w:t>10%</w:t>
            </w:r>
            <w:r>
              <w:rPr>
                <w:rFonts w:hint="eastAsia" w:ascii="仿宋_GB2312" w:eastAsia="仿宋_GB2312"/>
                <w:color w:val="auto"/>
                <w:szCs w:val="21"/>
                <w:highlight w:val="none"/>
              </w:rPr>
              <w:t>粗砂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1.7.7未提供种植土理化性能指标试验报告</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树形、树种、规格、质量</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1.7.8苗木规格、树型不符合规范与设计要求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1.7.9未按要求对苗木断枝、截口进行处理</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1.7.10苗木土球不符合设计与规范要求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1.7.11苗木存在病虫害现象</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1.7.12苗木存在树皮破损、主干（枝）截断现象</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1.7.13苗木规格、树型不符合规范与设计要求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种植、支撑</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1.7.14进场苗木未验收合格，验收手续不齐全</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1.7.15苗木栽植作业工艺不符合绿化导则要求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1.7.16苗木种植未去除土球包装物</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1.7.17未按设计要求设置苗木支撑，苗木出现倒伏现象</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1.7.18苗木栽植后未及时浇定根水</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1.7.19乔木、灌木、地被栽植密度不符合设计要求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树池（穴）</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1.7.20树穴开挖及回填不符合设计或导则要求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1.7.21行道树通气排水管规格及设置方式不符合设计要求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养护、成活率</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1.7.22苗木成活率不符合规范要求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1.7.23未及时清除杂草、除虫、浇水</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ascii="仿宋_GB2312" w:hAnsi="宋体" w:eastAsia="仿宋_GB2312" w:cs="宋体"/>
                <w:color w:val="auto"/>
                <w:szCs w:val="21"/>
                <w:highlight w:val="none"/>
              </w:rPr>
              <w:t>8</w:t>
            </w:r>
          </w:p>
        </w:tc>
        <w:tc>
          <w:tcPr>
            <w:tcW w:w="988"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室外工程</w:t>
            </w: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照明工程</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1.8.1灯杆灯具原材及半成品未履行进场报验程序</w:t>
            </w:r>
            <w:r>
              <w:rPr>
                <w:rFonts w:ascii="仿宋_GB2312" w:eastAsia="仿宋_GB2312"/>
                <w:color w:val="auto"/>
                <w:szCs w:val="21"/>
                <w:highlight w:val="none"/>
              </w:rPr>
              <w:t>,</w:t>
            </w:r>
            <w:r>
              <w:rPr>
                <w:rFonts w:hint="eastAsia" w:ascii="仿宋_GB2312" w:eastAsia="仿宋_GB2312"/>
                <w:color w:val="auto"/>
                <w:szCs w:val="21"/>
                <w:highlight w:val="none"/>
              </w:rPr>
              <w:t>验收不合格</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1.8.2路灯杆件基础施工不符合设计要求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1.8.3路灯管道埋深不符合设计要求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1.8.4路灯管道、电缆材质或规格不符合设计要求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1.8.5路灯杆件材质、壁厚、防腐不符合设计要求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1.8.6路灯灯具材质、规格不符合设计要求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1.8.7路灯杆件安装不符合设计或规范要求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1.8.8路灯配电柜材料、安装不符合设计要求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交通工程</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1.8.9杆件原材及半成品未履行进场报验程序，并验收合格</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1.8.10标志标牌基础施工不符合设计要求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1.8.11热熔材料、玻璃珠、掺加料不符合设计或规范要求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1.8.12标线厚度、尺寸不符合设计（规范）要求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1.8.13标志标牌几何尺寸、杆件及标牌面壁厚不符合要求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1.8.14标志标牌反光材料不符合规范要求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1.8.15标志标牌安装（含位置）不符合要求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1.8.16护栏材质、规格不符合设计要求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1.8.17底座尺寸、重量不符合要求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信号监控</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1.8.18管道、杆件、信号机、电缆线、摄像设备等各类器材不符合设计要求，不履行进场报验程序，并验收合格</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1.8.19管井砌筑、杆件基础、线圈施工不符合设计要求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1.8.20监控管道埋深不符合设计（或规范）要求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1.8.21系统功能软件不符合设计要求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人行道、侧石等</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1.8.22原材料未履行进场报验程序，并验收合格</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1.8.23人行道施工质量不符合设计要求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1.8.24侧石安装施工质量不符合设计要求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浆砌护坡、挡墙</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1.8.25原材料未履行进场报验程序，并验收合格</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1.8.26地基承载力、标高不符合设计及规范要求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1.8.27砌筑工艺不符合规范要求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1.8.28实体几何尺寸不符合设计要求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1.8.29预埋件未按设计要求设置</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1.8.30变形缝设置不否符合设计与规范要求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1.8.31养护不及时、到位</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供水工程</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1.8.32沟槽尺寸、基础垫层不符合要求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1.8.33管道及构配件不符合采购要求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1.8.34检查井砌筑不按规范施工</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ascii="仿宋_GB2312" w:hAnsi="宋体" w:eastAsia="仿宋_GB2312" w:cs="宋体"/>
                <w:color w:val="auto"/>
                <w:szCs w:val="21"/>
                <w:highlight w:val="none"/>
              </w:rPr>
              <w:t>9</w:t>
            </w:r>
          </w:p>
        </w:tc>
        <w:tc>
          <w:tcPr>
            <w:tcW w:w="988"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道路、排水工程</w:t>
            </w: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路基</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1.9.1路基填料、换填深度不满足规范及设计要求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1.9.2路床中线标高、横坡、平整度不满足设计规范要求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1.9.3下承层质量不满足规范要求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1.9.4路基压实度、路床顶弯沉值不满足规范要求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1.9.5石灰土灰剂量不满足设计要求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1.9.6填料粒径不合格、拌合不均匀、级配不合格</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1.9.7松铺厚度、压实厚度不符合设计要求，灰土有夹层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1.9.8路床未设置排水设施</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1.9.9外观质量不合格</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1.9.10路基养护不及时、到位</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道路基层</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1.9.11基层材料不满足规范及设计要求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1.9.12基层中线标高、横坡、平整度不满足设计规范要求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1.9.13未按规范及设计要求进行试验段施工</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1.9.14水稳层取芯厚度、芯样完整性及强度不合格</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1.9.15下承层质量不满足规范要求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1.9.16压实度、无侧限抗压强度不满足规范要求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1.9.17无机结合料剂量不满足设计要求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1.9.18粒径不合格、拌合是否均匀</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1.9.19松铺厚度、压实厚度不符合设计要求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1.9.20外观质量不合格</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1.9.21路面基层未及时养护</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道路面层</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1.9.22沥青面层原材料及混合料不满足设计要求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1.9.23未按规范及设计要求进行试验段施工</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1.9.24面层中线标高、横坡、平整度不满足设计规范要求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1.9.25混合料抽提、筛分不满足配合比</w:t>
            </w:r>
            <w:r>
              <w:rPr>
                <w:rFonts w:ascii="仿宋_GB2312" w:eastAsia="仿宋_GB2312"/>
                <w:color w:val="auto"/>
                <w:szCs w:val="21"/>
                <w:highlight w:val="none"/>
              </w:rPr>
              <w:t>;</w:t>
            </w:r>
            <w:r>
              <w:rPr>
                <w:rFonts w:hint="eastAsia" w:ascii="仿宋_GB2312" w:eastAsia="仿宋_GB2312"/>
                <w:color w:val="auto"/>
                <w:szCs w:val="21"/>
                <w:highlight w:val="none"/>
              </w:rPr>
              <w:t>马歇尔试验、车辙试验不满足设计要求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1.9.26沥青外观质量不符合规范要求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1.9.27沥青混凝土摊铺碾压温度不符合规范要求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1.9.28封层、透层、粘层不合格</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1.9.29下层未清理干净</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1.9.30松铺厚度、压实度不符合设计要求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1.9.31施工机械不满足现场施工要求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1.9.32成品保护不到位</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排水工程</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1.9.33沟槽开挖尺寸、沟槽底标高不符合设计要求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1.9.34检查井井盖座材质、重量、尺寸不符合要求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1.9.35回填材料及质量不符合设计要求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1.9.36未按设计要求设置管道基础</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1.9.37管道铺设、管道接口连接不符合规范要求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1.9.38沟槽地基承载力不满足设计、规范要求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1.9.39材料进场未按规定要求报验</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1.9.40检查井尺寸不符合设计要求，未设置插筋、未抹面、井盖板未座浆、井口与管道接合处未采用混凝土包封</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1.9.41顶管工作井钢筋制安、圈梁设置、支垫布置不符合设计要求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1.9.42沉井下沉倾斜</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1.9.43沉井封底厚度不符合设计要求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1.9.44未按设计要求设置管道防腐层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1.9.45管道闭水试验不符合规范要求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箱涵</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1.9.46箱涵槽底地基承载力不满足设计、规范要求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1.9.47钢筋制安不符合设计要求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1.9.48钢筋、混凝土原材不符合设计要求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1.9.49箱涵止水带规格及设置不符合设计规范要求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1.9.50构筑物结构尺寸不符合设计要求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1.9.51回填材料及质量不符合设计要求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供电排管</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1.9.52沟槽宽度、基础垫层不符合设计要求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1.9.53管材品牌不符合采购范围要求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1.9.54管材壁厚不符合设计要求，钢筋型号不符合设计要求，进场材料未报验</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1.9.55缺少管枕、管枕不闭合；管口接头处未设置橡胶圈</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1.9.56包封砼已浇筑排管与工井连接处不按设计要求设置钢筋网片、砼未振捣</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1.9.57工井墙体未设置拉结筋，外观质量不符合规范要求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ascii="仿宋_GB2312" w:hAnsi="宋体" w:eastAsia="仿宋_GB2312" w:cs="宋体"/>
                <w:color w:val="auto"/>
                <w:szCs w:val="21"/>
                <w:highlight w:val="none"/>
              </w:rPr>
              <w:t>10</w:t>
            </w:r>
          </w:p>
        </w:tc>
        <w:tc>
          <w:tcPr>
            <w:tcW w:w="988"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桥梁、隧道工程</w:t>
            </w: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钢筋（含预应力筋）</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1.10.1钢筋原材料质量不合格，进场后保护措施不到位</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1.10.2钢筋制作尺寸、规格与图纸不相符，安装位置、型式、数量与图纸不相符</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1.10.3钢筋焊接、机械连接质量不合格，搭接长度、接头设置位置不符合规范要求，预留钢筋长度不符合设计要求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1.10.4预应力筋张拉顺序、预应力筋张拉方法及工序、预应力筋及锚具保护、压浆材料及压浆工序，压浆饱满度不符合规范</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1.10.4原材、成品及半成品检测频率，检测结果不符合规范要求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砼</w:t>
            </w:r>
            <w:r>
              <w:rPr>
                <w:rFonts w:ascii="仿宋_GB2312" w:hAnsi="宋体" w:eastAsia="仿宋_GB2312" w:cs="宋体"/>
                <w:color w:val="auto"/>
                <w:szCs w:val="21"/>
                <w:highlight w:val="none"/>
              </w:rPr>
              <w:t>\</w:t>
            </w:r>
            <w:r>
              <w:rPr>
                <w:rFonts w:hint="eastAsia" w:ascii="仿宋_GB2312" w:hAnsi="宋体" w:eastAsia="仿宋_GB2312" w:cs="宋体"/>
                <w:color w:val="auto"/>
                <w:szCs w:val="21"/>
                <w:highlight w:val="none"/>
              </w:rPr>
              <w:t>砂浆</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1.10.5拌合使用原材及外加剂质量不合格，坍落度不符合设计要求，砼拌合不均匀</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1.10.6不按行业主管部门要求使用预拌砂浆</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1.10.7浇筑方法不正确，浇筑、振捣不及时，砼不密实，过振，泌水未及时排除，砼下落高度过大，砼浇筑前新老砼接触面未凿毛、清理，仓内未清理干净，未洒水湿润</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1.10.8养护保温、保湿措施不满足要求，砼、砂浆表面是否干燥，养护时间是否符合要求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1.10.9表面是否缺棱掉角、平整，存在杂物、冷缝、泛砂、蜂窝、麻面、露筋、裂纹、空洞、松散现象，涨模，外观颜色不一致</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1.10.10原材料检测不合格，频率不满足要求，试块检测不合格、及时，频率不符合规范要求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1.10.11结构尺寸不符合设计要求，结构位置不与设计相符，不存在偏位现象</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模板（含底模，台座）</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1.10.12破损、错台、翘边，模板表面不清理干净，未涂刷脱模剂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1.10.13模板接缝间隙存在过大、错缝，安装、支撑不牢固，模板结构尺寸、安装位置与设计不相符</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1.10.14台座底模不坚固，有沉降，台座表面不光滑平整，模板不按设计要求设置起拱</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1.10.15模板拆除过早，拆除时砼表面缺棱掉角</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支座</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1.10.16支座规格、型号、安装位置、高程不符合设计要求；张拉前解除连接件</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1.10.17进场后未采取有效保护措施，支座安装后被污染</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1.10.18支座进场后未检测，并检测合格</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防水、止水</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1.10.19原材料进场未报验，并验收合格；规格型号不符合设计要求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1.10.20基底处理，施工工艺，涂装厚度、安装位置、搭接头方式及位置不符合规范或设计要求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1.10.21原材、成品及半成品存放不符合规范要求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桩基</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1.10.22护筒材料的选择、埋设定位不满足工程需要</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1.10.23钻机选择，钻机安装及钻进方式不满足工程需要</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1.10.24泥浆配合比的配置确定，钻进过程泥浆性能的检测，不满足工程需要</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1.10.25清孔方式，二次清孔，沉渣控制不在规范要求范围内</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1.10.26钢筋笼规格、尺寸、定位筋安装不符合设计要求；钢筋笼接长不符合规范及设计要求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1.10.27导管安装前不进行闭水性检测，导管安装深度、浇注砼埋管深度不符合规范要求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1.10.28砼浇筑不正常，浇筑记录情况不完整准确，桩基未检测合格</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钢结构</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1.10.29原材料的规格与设计不符，构配件外表的处理情况不否合格，施工过程操作控制及外观质量不合格</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1.10.30已完工序的验收、成品检测不符合规范及设计要求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回填</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1.10.31基坑、沟槽、台背回填材料、质量不满足设计要求</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restart"/>
            <w:noWrap w:val="0"/>
            <w:vAlign w:val="center"/>
          </w:tcPr>
          <w:p>
            <w:pPr>
              <w:pStyle w:val="83"/>
              <w:spacing w:after="200" w:line="440" w:lineRule="exact"/>
              <w:jc w:val="center"/>
              <w:rPr>
                <w:rFonts w:ascii="仿宋_GB2312" w:hAnsi="宋体" w:eastAsia="仿宋_GB2312" w:cs="宋体"/>
                <w:color w:val="auto"/>
                <w:szCs w:val="21"/>
                <w:highlight w:val="none"/>
              </w:rPr>
            </w:pPr>
            <w:r>
              <w:rPr>
                <w:rFonts w:hint="eastAsia" w:ascii="仿宋_GB2312" w:hAnsi="宋体" w:eastAsia="仿宋_GB2312" w:cs="宋体"/>
                <w:color w:val="auto"/>
                <w:szCs w:val="21"/>
                <w:highlight w:val="none"/>
              </w:rPr>
              <w:t>桥面</w:t>
            </w: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1.10.32铺装前下层未清理干净，桥面防水、铺装层厚度、配筋、预埋件设置、混凝土强度不符合设计要求，砼表面有裂纹</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1.10.33沥青面层厚度、材料、摊铺温度不符合设计要求；机械设备不满足施工需要；施工工艺不规范</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1.10.34材料及设备进场未报验复检，并检测验收合格</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1.10.35伸缩装置安装时焊接质量和焊接长度不符合设计规范要求，焊缝不牢固；伸缩缝规格型号与设计不符；伸缩缝安装后不平整、跳车</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1.10.36栏杆和防撞、隔离设施线性不流畅、平顺，防撞墩与预埋件、预埋筋连接不牢固，材料规格型号与设计不符</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1.10.37花盆挂架材料焊接质量，防腐措施不合格</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1.10.38隔声屏障材质与设计不符，安装不牢固</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3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88"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1843" w:type="dxa"/>
            <w:vMerge w:val="continue"/>
            <w:noWrap w:val="0"/>
            <w:vAlign w:val="center"/>
          </w:tcPr>
          <w:p>
            <w:pPr>
              <w:pStyle w:val="83"/>
              <w:spacing w:after="200" w:line="440" w:lineRule="exact"/>
              <w:jc w:val="center"/>
              <w:rPr>
                <w:rFonts w:ascii="仿宋_GB2312" w:hAnsi="宋体" w:eastAsia="仿宋_GB2312" w:cs="宋体"/>
                <w:color w:val="auto"/>
                <w:szCs w:val="21"/>
                <w:highlight w:val="none"/>
              </w:rPr>
            </w:pPr>
          </w:p>
        </w:tc>
        <w:tc>
          <w:tcPr>
            <w:tcW w:w="9072" w:type="dxa"/>
            <w:noWrap w:val="0"/>
            <w:vAlign w:val="center"/>
          </w:tcPr>
          <w:p>
            <w:pPr>
              <w:pStyle w:val="83"/>
              <w:spacing w:after="200" w:line="440" w:lineRule="exact"/>
              <w:rPr>
                <w:rFonts w:ascii="仿宋_GB2312" w:hAnsi="宋体" w:eastAsia="仿宋_GB2312" w:cs="宋体"/>
                <w:color w:val="auto"/>
                <w:szCs w:val="21"/>
                <w:highlight w:val="none"/>
              </w:rPr>
            </w:pPr>
            <w:r>
              <w:rPr>
                <w:rFonts w:hint="eastAsia" w:ascii="仿宋_GB2312" w:eastAsia="仿宋_GB2312"/>
                <w:color w:val="auto"/>
                <w:szCs w:val="21"/>
                <w:highlight w:val="none"/>
              </w:rPr>
              <w:t>1.10.39排水管材规格与型号不符合设计，接口安装质量不合格</w:t>
            </w:r>
          </w:p>
        </w:tc>
        <w:tc>
          <w:tcPr>
            <w:tcW w:w="1423" w:type="dxa"/>
            <w:noWrap w:val="0"/>
            <w:vAlign w:val="center"/>
          </w:tcPr>
          <w:p>
            <w:pPr>
              <w:pStyle w:val="83"/>
              <w:spacing w:after="200" w:line="440" w:lineRule="exact"/>
              <w:jc w:val="center"/>
              <w:rPr>
                <w:color w:val="auto"/>
                <w:szCs w:val="21"/>
                <w:highlight w:val="none"/>
              </w:rPr>
            </w:pPr>
            <w:r>
              <w:rPr>
                <w:color w:val="auto"/>
                <w:szCs w:val="21"/>
                <w:highlight w:val="none"/>
              </w:rPr>
              <w:t>5000</w:t>
            </w:r>
          </w:p>
        </w:tc>
      </w:tr>
    </w:tbl>
    <w:p>
      <w:pPr>
        <w:pStyle w:val="100"/>
        <w:spacing w:after="200" w:line="440" w:lineRule="exact"/>
        <w:rPr>
          <w:rFonts w:ascii="仿宋_GB2312" w:eastAsia="仿宋_GB2312"/>
          <w:b/>
          <w:bCs/>
          <w:color w:val="auto"/>
          <w:sz w:val="32"/>
          <w:szCs w:val="32"/>
          <w:highlight w:val="none"/>
        </w:rPr>
      </w:pPr>
    </w:p>
    <w:p>
      <w:pPr>
        <w:pStyle w:val="83"/>
        <w:spacing w:after="200" w:line="440" w:lineRule="exact"/>
        <w:ind w:firstLine="4176" w:firstLineChars="1300"/>
        <w:rPr>
          <w:rFonts w:ascii="仿宋_GB2312" w:eastAsia="仿宋_GB2312"/>
          <w:b/>
          <w:bCs/>
          <w:color w:val="auto"/>
          <w:sz w:val="32"/>
          <w:szCs w:val="32"/>
          <w:highlight w:val="none"/>
        </w:rPr>
      </w:pPr>
      <w:r>
        <w:rPr>
          <w:rFonts w:hint="eastAsia" w:ascii="仿宋_GB2312" w:eastAsia="仿宋_GB2312"/>
          <w:b/>
          <w:bCs/>
          <w:color w:val="auto"/>
          <w:sz w:val="32"/>
          <w:szCs w:val="32"/>
          <w:highlight w:val="none"/>
        </w:rPr>
        <w:t>施工单位质量责任（黄色警示）违约金标准</w:t>
      </w:r>
    </w:p>
    <w:tbl>
      <w:tblPr>
        <w:tblStyle w:val="43"/>
        <w:tblW w:w="1398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01"/>
        <w:gridCol w:w="11276"/>
        <w:gridCol w:w="19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1" w:type="dxa"/>
            <w:noWrap w:val="0"/>
            <w:vAlign w:val="center"/>
          </w:tcPr>
          <w:p>
            <w:pPr>
              <w:pStyle w:val="83"/>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序号</w:t>
            </w:r>
          </w:p>
        </w:tc>
        <w:tc>
          <w:tcPr>
            <w:tcW w:w="11276" w:type="dxa"/>
            <w:noWrap w:val="0"/>
            <w:vAlign w:val="center"/>
          </w:tcPr>
          <w:p>
            <w:pPr>
              <w:pStyle w:val="83"/>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质量违规行为</w:t>
            </w:r>
          </w:p>
        </w:tc>
        <w:tc>
          <w:tcPr>
            <w:tcW w:w="1907" w:type="dxa"/>
            <w:noWrap w:val="0"/>
            <w:vAlign w:val="center"/>
          </w:tcPr>
          <w:p>
            <w:pPr>
              <w:pStyle w:val="83"/>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违约金</w:t>
            </w:r>
          </w:p>
          <w:p>
            <w:pPr>
              <w:pStyle w:val="83"/>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w:t>
            </w:r>
            <w:r>
              <w:rPr>
                <w:rFonts w:hint="eastAsia" w:ascii="仿宋_GB2312" w:eastAsia="仿宋_GB2312"/>
                <w:color w:val="auto"/>
                <w:szCs w:val="21"/>
                <w:highlight w:val="none"/>
              </w:rPr>
              <w:t>元/条.人.处)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1" w:type="dxa"/>
            <w:noWrap w:val="0"/>
            <w:vAlign w:val="center"/>
          </w:tcPr>
          <w:p>
            <w:pPr>
              <w:pStyle w:val="83"/>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2.</w:t>
            </w:r>
            <w:r>
              <w:rPr>
                <w:rFonts w:ascii="仿宋_GB2312" w:eastAsia="仿宋_GB2312"/>
                <w:color w:val="auto"/>
                <w:szCs w:val="21"/>
                <w:highlight w:val="none"/>
              </w:rPr>
              <w:t>1</w:t>
            </w:r>
          </w:p>
        </w:tc>
        <w:tc>
          <w:tcPr>
            <w:tcW w:w="11276" w:type="dxa"/>
            <w:noWrap w:val="0"/>
            <w:vAlign w:val="center"/>
          </w:tcPr>
          <w:p>
            <w:pPr>
              <w:pStyle w:val="83"/>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项目经理、项目技术负责人、专职质量管理人员配备不符合合同要求的。</w:t>
            </w:r>
          </w:p>
        </w:tc>
        <w:tc>
          <w:tcPr>
            <w:tcW w:w="1907" w:type="dxa"/>
            <w:noWrap w:val="0"/>
            <w:vAlign w:val="center"/>
          </w:tcPr>
          <w:p>
            <w:pPr>
              <w:pStyle w:val="83"/>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1" w:type="dxa"/>
            <w:noWrap w:val="0"/>
            <w:vAlign w:val="center"/>
          </w:tcPr>
          <w:p>
            <w:pPr>
              <w:pStyle w:val="83"/>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2.</w:t>
            </w:r>
            <w:r>
              <w:rPr>
                <w:rFonts w:ascii="仿宋_GB2312" w:eastAsia="仿宋_GB2312"/>
                <w:color w:val="auto"/>
                <w:szCs w:val="21"/>
                <w:highlight w:val="none"/>
              </w:rPr>
              <w:t>2</w:t>
            </w:r>
          </w:p>
        </w:tc>
        <w:tc>
          <w:tcPr>
            <w:tcW w:w="11276" w:type="dxa"/>
            <w:noWrap w:val="0"/>
            <w:vAlign w:val="center"/>
          </w:tcPr>
          <w:p>
            <w:pPr>
              <w:pStyle w:val="83"/>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项目经理、项目技术负责人不在岗。</w:t>
            </w:r>
          </w:p>
        </w:tc>
        <w:tc>
          <w:tcPr>
            <w:tcW w:w="1907" w:type="dxa"/>
            <w:noWrap w:val="0"/>
            <w:vAlign w:val="center"/>
          </w:tcPr>
          <w:p>
            <w:pPr>
              <w:pStyle w:val="83"/>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1" w:type="dxa"/>
            <w:noWrap w:val="0"/>
            <w:vAlign w:val="center"/>
          </w:tcPr>
          <w:p>
            <w:pPr>
              <w:pStyle w:val="83"/>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2.</w:t>
            </w:r>
            <w:r>
              <w:rPr>
                <w:rFonts w:ascii="仿宋_GB2312" w:eastAsia="仿宋_GB2312"/>
                <w:color w:val="auto"/>
                <w:szCs w:val="21"/>
                <w:highlight w:val="none"/>
              </w:rPr>
              <w:t>3</w:t>
            </w:r>
          </w:p>
        </w:tc>
        <w:tc>
          <w:tcPr>
            <w:tcW w:w="11276" w:type="dxa"/>
            <w:noWrap w:val="0"/>
            <w:vAlign w:val="center"/>
          </w:tcPr>
          <w:p>
            <w:pPr>
              <w:pStyle w:val="83"/>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质量管理制度不健全或落实不到位，质量管理混乱。</w:t>
            </w:r>
          </w:p>
        </w:tc>
        <w:tc>
          <w:tcPr>
            <w:tcW w:w="1907" w:type="dxa"/>
            <w:noWrap w:val="0"/>
            <w:vAlign w:val="center"/>
          </w:tcPr>
          <w:p>
            <w:pPr>
              <w:pStyle w:val="83"/>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20000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1" w:type="dxa"/>
            <w:noWrap w:val="0"/>
            <w:vAlign w:val="center"/>
          </w:tcPr>
          <w:p>
            <w:pPr>
              <w:pStyle w:val="83"/>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2.</w:t>
            </w:r>
            <w:r>
              <w:rPr>
                <w:rFonts w:ascii="仿宋_GB2312" w:eastAsia="仿宋_GB2312"/>
                <w:color w:val="auto"/>
                <w:szCs w:val="21"/>
                <w:highlight w:val="none"/>
              </w:rPr>
              <w:t>4</w:t>
            </w:r>
          </w:p>
        </w:tc>
        <w:tc>
          <w:tcPr>
            <w:tcW w:w="11276" w:type="dxa"/>
            <w:noWrap w:val="0"/>
            <w:vAlign w:val="center"/>
          </w:tcPr>
          <w:p>
            <w:pPr>
              <w:pStyle w:val="83"/>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施工组织设计或专项施工方案未经审批进行施工。</w:t>
            </w:r>
          </w:p>
        </w:tc>
        <w:tc>
          <w:tcPr>
            <w:tcW w:w="1907" w:type="dxa"/>
            <w:noWrap w:val="0"/>
            <w:vAlign w:val="center"/>
          </w:tcPr>
          <w:p>
            <w:pPr>
              <w:pStyle w:val="83"/>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50000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1" w:type="dxa"/>
            <w:noWrap w:val="0"/>
            <w:vAlign w:val="center"/>
          </w:tcPr>
          <w:p>
            <w:pPr>
              <w:pStyle w:val="83"/>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2.</w:t>
            </w:r>
            <w:r>
              <w:rPr>
                <w:rFonts w:ascii="仿宋_GB2312" w:eastAsia="仿宋_GB2312"/>
                <w:color w:val="auto"/>
                <w:szCs w:val="21"/>
                <w:highlight w:val="none"/>
              </w:rPr>
              <w:t>5</w:t>
            </w:r>
          </w:p>
        </w:tc>
        <w:tc>
          <w:tcPr>
            <w:tcW w:w="11276" w:type="dxa"/>
            <w:noWrap w:val="0"/>
            <w:vAlign w:val="center"/>
          </w:tcPr>
          <w:p>
            <w:pPr>
              <w:pStyle w:val="83"/>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未按要求使用发包人已有品牌库内材料或设备的。</w:t>
            </w:r>
          </w:p>
        </w:tc>
        <w:tc>
          <w:tcPr>
            <w:tcW w:w="1907" w:type="dxa"/>
            <w:noWrap w:val="0"/>
            <w:vAlign w:val="center"/>
          </w:tcPr>
          <w:p>
            <w:pPr>
              <w:pStyle w:val="83"/>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801" w:type="dxa"/>
            <w:noWrap w:val="0"/>
            <w:vAlign w:val="center"/>
          </w:tcPr>
          <w:p>
            <w:pPr>
              <w:pStyle w:val="83"/>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2.</w:t>
            </w:r>
            <w:r>
              <w:rPr>
                <w:rFonts w:ascii="仿宋_GB2312" w:eastAsia="仿宋_GB2312"/>
                <w:color w:val="auto"/>
                <w:szCs w:val="21"/>
                <w:highlight w:val="none"/>
              </w:rPr>
              <w:t>6</w:t>
            </w:r>
          </w:p>
        </w:tc>
        <w:tc>
          <w:tcPr>
            <w:tcW w:w="11276" w:type="dxa"/>
            <w:noWrap w:val="0"/>
            <w:vAlign w:val="center"/>
          </w:tcPr>
          <w:p>
            <w:pPr>
              <w:pStyle w:val="83"/>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未按设计文件、技术标准施工。</w:t>
            </w:r>
          </w:p>
        </w:tc>
        <w:tc>
          <w:tcPr>
            <w:tcW w:w="1907" w:type="dxa"/>
            <w:noWrap w:val="0"/>
            <w:vAlign w:val="center"/>
          </w:tcPr>
          <w:p>
            <w:pPr>
              <w:pStyle w:val="83"/>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20000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1" w:type="dxa"/>
            <w:noWrap w:val="0"/>
            <w:vAlign w:val="center"/>
          </w:tcPr>
          <w:p>
            <w:pPr>
              <w:pStyle w:val="83"/>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2.</w:t>
            </w:r>
            <w:r>
              <w:rPr>
                <w:rFonts w:ascii="仿宋_GB2312" w:eastAsia="仿宋_GB2312"/>
                <w:color w:val="auto"/>
                <w:szCs w:val="21"/>
                <w:highlight w:val="none"/>
              </w:rPr>
              <w:t>7</w:t>
            </w:r>
          </w:p>
        </w:tc>
        <w:tc>
          <w:tcPr>
            <w:tcW w:w="11276" w:type="dxa"/>
            <w:noWrap w:val="0"/>
            <w:vAlign w:val="center"/>
          </w:tcPr>
          <w:p>
            <w:pPr>
              <w:pStyle w:val="83"/>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未执行质量检验制度，未对有要求和涉及结构安全的试块及材料进行送检，未按要求执行样板引路制度。</w:t>
            </w:r>
          </w:p>
        </w:tc>
        <w:tc>
          <w:tcPr>
            <w:tcW w:w="1907" w:type="dxa"/>
            <w:noWrap w:val="0"/>
            <w:vAlign w:val="center"/>
          </w:tcPr>
          <w:p>
            <w:pPr>
              <w:pStyle w:val="83"/>
              <w:spacing w:after="200" w:line="440" w:lineRule="exact"/>
              <w:ind w:firstLine="420"/>
              <w:rPr>
                <w:rFonts w:ascii="仿宋_GB2312" w:eastAsia="仿宋_GB2312"/>
                <w:color w:val="auto"/>
                <w:szCs w:val="21"/>
                <w:highlight w:val="none"/>
              </w:rPr>
            </w:pPr>
            <w:r>
              <w:rPr>
                <w:rFonts w:hint="eastAsia" w:ascii="仿宋_GB2312" w:eastAsia="仿宋_GB2312"/>
                <w:color w:val="auto"/>
                <w:szCs w:val="21"/>
                <w:highlight w:val="none"/>
              </w:rPr>
              <w:t xml:space="preserve">   </w:t>
            </w:r>
            <w:r>
              <w:rPr>
                <w:rFonts w:ascii="仿宋_GB2312" w:eastAsia="仿宋_GB2312"/>
                <w:color w:val="auto"/>
                <w:szCs w:val="21"/>
                <w:highlight w:val="none"/>
              </w:rPr>
              <w:t>20000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3" w:hRule="atLeast"/>
        </w:trPr>
        <w:tc>
          <w:tcPr>
            <w:tcW w:w="801" w:type="dxa"/>
            <w:noWrap w:val="0"/>
            <w:vAlign w:val="center"/>
          </w:tcPr>
          <w:p>
            <w:pPr>
              <w:pStyle w:val="83"/>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2.8</w:t>
            </w:r>
          </w:p>
        </w:tc>
        <w:tc>
          <w:tcPr>
            <w:tcW w:w="11276" w:type="dxa"/>
            <w:noWrap w:val="0"/>
            <w:vAlign w:val="center"/>
          </w:tcPr>
          <w:p>
            <w:pPr>
              <w:pStyle w:val="83"/>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建筑材料、配件及设备的进场检验不合格，采用列入禁止目录的技术、工艺、设备、材料和产品或者未按照建筑节能设计要求和建筑节能施工规范进行施工。</w:t>
            </w:r>
          </w:p>
        </w:tc>
        <w:tc>
          <w:tcPr>
            <w:tcW w:w="1907" w:type="dxa"/>
            <w:noWrap w:val="0"/>
            <w:vAlign w:val="center"/>
          </w:tcPr>
          <w:p>
            <w:pPr>
              <w:pStyle w:val="83"/>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20000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1" w:type="dxa"/>
            <w:noWrap w:val="0"/>
            <w:vAlign w:val="center"/>
          </w:tcPr>
          <w:p>
            <w:pPr>
              <w:pStyle w:val="83"/>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2.</w:t>
            </w:r>
            <w:r>
              <w:rPr>
                <w:rFonts w:ascii="仿宋_GB2312" w:eastAsia="仿宋_GB2312"/>
                <w:color w:val="auto"/>
                <w:szCs w:val="21"/>
                <w:highlight w:val="none"/>
              </w:rPr>
              <w:t>9</w:t>
            </w:r>
          </w:p>
        </w:tc>
        <w:tc>
          <w:tcPr>
            <w:tcW w:w="11276" w:type="dxa"/>
            <w:noWrap w:val="0"/>
            <w:vAlign w:val="center"/>
          </w:tcPr>
          <w:p>
            <w:pPr>
              <w:pStyle w:val="83"/>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在施工现场搅拌混凝土或者砂浆。</w:t>
            </w:r>
          </w:p>
        </w:tc>
        <w:tc>
          <w:tcPr>
            <w:tcW w:w="1907" w:type="dxa"/>
            <w:noWrap w:val="0"/>
            <w:vAlign w:val="center"/>
          </w:tcPr>
          <w:p>
            <w:pPr>
              <w:pStyle w:val="83"/>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20000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1" w:type="dxa"/>
            <w:noWrap w:val="0"/>
            <w:vAlign w:val="center"/>
          </w:tcPr>
          <w:p>
            <w:pPr>
              <w:pStyle w:val="83"/>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2.</w:t>
            </w:r>
            <w:r>
              <w:rPr>
                <w:rFonts w:ascii="仿宋_GB2312" w:eastAsia="仿宋_GB2312"/>
                <w:color w:val="auto"/>
                <w:szCs w:val="21"/>
                <w:highlight w:val="none"/>
              </w:rPr>
              <w:t>10</w:t>
            </w:r>
          </w:p>
        </w:tc>
        <w:tc>
          <w:tcPr>
            <w:tcW w:w="11276" w:type="dxa"/>
            <w:noWrap w:val="0"/>
            <w:vAlign w:val="center"/>
          </w:tcPr>
          <w:p>
            <w:pPr>
              <w:pStyle w:val="83"/>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发生质量事故，造成经济损失</w:t>
            </w:r>
            <w:r>
              <w:rPr>
                <w:rFonts w:ascii="仿宋_GB2312" w:eastAsia="仿宋_GB2312"/>
                <w:color w:val="auto"/>
                <w:szCs w:val="21"/>
                <w:highlight w:val="none"/>
              </w:rPr>
              <w:t>10</w:t>
            </w:r>
            <w:r>
              <w:rPr>
                <w:rFonts w:hint="eastAsia" w:ascii="仿宋_GB2312" w:eastAsia="仿宋_GB2312"/>
                <w:color w:val="auto"/>
                <w:szCs w:val="21"/>
                <w:highlight w:val="none"/>
              </w:rPr>
              <w:t>万元以上或工期延误</w:t>
            </w:r>
            <w:r>
              <w:rPr>
                <w:rFonts w:ascii="仿宋_GB2312" w:eastAsia="仿宋_GB2312"/>
                <w:color w:val="auto"/>
                <w:szCs w:val="21"/>
                <w:highlight w:val="none"/>
              </w:rPr>
              <w:t>5</w:t>
            </w:r>
            <w:r>
              <w:rPr>
                <w:rFonts w:hint="eastAsia" w:ascii="仿宋_GB2312" w:eastAsia="仿宋_GB2312"/>
                <w:color w:val="auto"/>
                <w:szCs w:val="21"/>
                <w:highlight w:val="none"/>
              </w:rPr>
              <w:t>天以上。</w:t>
            </w:r>
          </w:p>
        </w:tc>
        <w:tc>
          <w:tcPr>
            <w:tcW w:w="1907" w:type="dxa"/>
            <w:noWrap w:val="0"/>
            <w:vAlign w:val="center"/>
          </w:tcPr>
          <w:p>
            <w:pPr>
              <w:pStyle w:val="83"/>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1" w:type="dxa"/>
            <w:noWrap w:val="0"/>
            <w:vAlign w:val="center"/>
          </w:tcPr>
          <w:p>
            <w:pPr>
              <w:pStyle w:val="83"/>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2.</w:t>
            </w:r>
            <w:r>
              <w:rPr>
                <w:rFonts w:ascii="仿宋_GB2312" w:eastAsia="仿宋_GB2312"/>
                <w:color w:val="auto"/>
                <w:szCs w:val="21"/>
                <w:highlight w:val="none"/>
              </w:rPr>
              <w:t>11</w:t>
            </w:r>
          </w:p>
        </w:tc>
        <w:tc>
          <w:tcPr>
            <w:tcW w:w="11276" w:type="dxa"/>
            <w:noWrap w:val="0"/>
            <w:vAlign w:val="center"/>
          </w:tcPr>
          <w:p>
            <w:pPr>
              <w:pStyle w:val="83"/>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工程出现大量的质量缺陷。</w:t>
            </w:r>
          </w:p>
        </w:tc>
        <w:tc>
          <w:tcPr>
            <w:tcW w:w="1907" w:type="dxa"/>
            <w:noWrap w:val="0"/>
            <w:vAlign w:val="center"/>
          </w:tcPr>
          <w:p>
            <w:pPr>
              <w:pStyle w:val="83"/>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1" w:type="dxa"/>
            <w:noWrap w:val="0"/>
            <w:vAlign w:val="center"/>
          </w:tcPr>
          <w:p>
            <w:pPr>
              <w:pStyle w:val="83"/>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2.</w:t>
            </w:r>
            <w:r>
              <w:rPr>
                <w:rFonts w:ascii="仿宋_GB2312" w:eastAsia="仿宋_GB2312"/>
                <w:color w:val="auto"/>
                <w:szCs w:val="21"/>
                <w:highlight w:val="none"/>
              </w:rPr>
              <w:t>12</w:t>
            </w:r>
          </w:p>
        </w:tc>
        <w:tc>
          <w:tcPr>
            <w:tcW w:w="11276" w:type="dxa"/>
            <w:noWrap w:val="0"/>
            <w:vAlign w:val="center"/>
          </w:tcPr>
          <w:p>
            <w:pPr>
              <w:pStyle w:val="83"/>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发现重大质量隐患。</w:t>
            </w:r>
          </w:p>
        </w:tc>
        <w:tc>
          <w:tcPr>
            <w:tcW w:w="1907" w:type="dxa"/>
            <w:noWrap w:val="0"/>
            <w:vAlign w:val="center"/>
          </w:tcPr>
          <w:p>
            <w:pPr>
              <w:pStyle w:val="83"/>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20000</w:t>
            </w:r>
          </w:p>
        </w:tc>
      </w:tr>
    </w:tbl>
    <w:p>
      <w:pPr>
        <w:pStyle w:val="100"/>
        <w:spacing w:after="200" w:line="440" w:lineRule="exact"/>
        <w:rPr>
          <w:rFonts w:ascii="仿宋_GB2312" w:eastAsia="仿宋_GB2312"/>
          <w:b/>
          <w:bCs/>
          <w:color w:val="auto"/>
          <w:sz w:val="32"/>
          <w:szCs w:val="32"/>
          <w:highlight w:val="none"/>
        </w:rPr>
      </w:pPr>
    </w:p>
    <w:p>
      <w:pPr>
        <w:pStyle w:val="100"/>
        <w:spacing w:after="200" w:line="440" w:lineRule="exact"/>
        <w:rPr>
          <w:rFonts w:ascii="仿宋_GB2312" w:eastAsia="仿宋_GB2312"/>
          <w:b/>
          <w:bCs/>
          <w:color w:val="auto"/>
          <w:sz w:val="32"/>
          <w:szCs w:val="32"/>
          <w:highlight w:val="none"/>
        </w:rPr>
      </w:pPr>
    </w:p>
    <w:p>
      <w:pPr>
        <w:pStyle w:val="83"/>
        <w:spacing w:after="200" w:line="440" w:lineRule="exact"/>
        <w:jc w:val="center"/>
        <w:rPr>
          <w:rFonts w:ascii="仿宋_GB2312" w:eastAsia="仿宋_GB2312"/>
          <w:color w:val="auto"/>
          <w:sz w:val="32"/>
          <w:szCs w:val="32"/>
          <w:highlight w:val="none"/>
        </w:rPr>
      </w:pPr>
      <w:r>
        <w:rPr>
          <w:rFonts w:hint="eastAsia" w:ascii="仿宋_GB2312" w:eastAsia="仿宋_GB2312"/>
          <w:b/>
          <w:bCs/>
          <w:color w:val="auto"/>
          <w:sz w:val="32"/>
          <w:szCs w:val="32"/>
          <w:highlight w:val="none"/>
        </w:rPr>
        <w:t>施工单位质量责任（红色警示）违约金标准一览表</w:t>
      </w:r>
    </w:p>
    <w:tbl>
      <w:tblPr>
        <w:tblStyle w:val="43"/>
        <w:tblW w:w="1397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00"/>
        <w:gridCol w:w="11237"/>
        <w:gridCol w:w="19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0" w:type="dxa"/>
            <w:noWrap w:val="0"/>
            <w:vAlign w:val="center"/>
          </w:tcPr>
          <w:p>
            <w:pPr>
              <w:pStyle w:val="83"/>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序号</w:t>
            </w:r>
          </w:p>
        </w:tc>
        <w:tc>
          <w:tcPr>
            <w:tcW w:w="11237" w:type="dxa"/>
            <w:noWrap w:val="0"/>
            <w:vAlign w:val="center"/>
          </w:tcPr>
          <w:p>
            <w:pPr>
              <w:pStyle w:val="83"/>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质量违规行为</w:t>
            </w:r>
          </w:p>
        </w:tc>
        <w:tc>
          <w:tcPr>
            <w:tcW w:w="1934" w:type="dxa"/>
            <w:noWrap w:val="0"/>
            <w:vAlign w:val="center"/>
          </w:tcPr>
          <w:p>
            <w:pPr>
              <w:pStyle w:val="83"/>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违约金</w:t>
            </w:r>
          </w:p>
          <w:p>
            <w:pPr>
              <w:pStyle w:val="83"/>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w:t>
            </w:r>
            <w:r>
              <w:rPr>
                <w:rFonts w:hint="eastAsia" w:ascii="仿宋_GB2312" w:eastAsia="仿宋_GB2312"/>
                <w:color w:val="auto"/>
                <w:szCs w:val="21"/>
                <w:highlight w:val="none"/>
              </w:rPr>
              <w:t>元/条.人.处)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0" w:type="dxa"/>
            <w:noWrap w:val="0"/>
            <w:vAlign w:val="center"/>
          </w:tcPr>
          <w:p>
            <w:pPr>
              <w:pStyle w:val="83"/>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4.</w:t>
            </w:r>
            <w:r>
              <w:rPr>
                <w:rFonts w:ascii="仿宋_GB2312" w:eastAsia="仿宋_GB2312"/>
                <w:color w:val="auto"/>
                <w:szCs w:val="21"/>
                <w:highlight w:val="none"/>
              </w:rPr>
              <w:t>1</w:t>
            </w:r>
          </w:p>
        </w:tc>
        <w:tc>
          <w:tcPr>
            <w:tcW w:w="11237" w:type="dxa"/>
            <w:noWrap w:val="0"/>
            <w:vAlign w:val="center"/>
          </w:tcPr>
          <w:p>
            <w:pPr>
              <w:pStyle w:val="83"/>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擅自修改设计并施工。</w:t>
            </w:r>
          </w:p>
        </w:tc>
        <w:tc>
          <w:tcPr>
            <w:tcW w:w="1934" w:type="dxa"/>
            <w:noWrap w:val="0"/>
            <w:vAlign w:val="center"/>
          </w:tcPr>
          <w:p>
            <w:pPr>
              <w:pStyle w:val="83"/>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50000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0" w:type="dxa"/>
            <w:noWrap w:val="0"/>
            <w:vAlign w:val="center"/>
          </w:tcPr>
          <w:p>
            <w:pPr>
              <w:pStyle w:val="83"/>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4.</w:t>
            </w:r>
            <w:r>
              <w:rPr>
                <w:rFonts w:ascii="仿宋_GB2312" w:eastAsia="仿宋_GB2312"/>
                <w:color w:val="auto"/>
                <w:szCs w:val="21"/>
                <w:highlight w:val="none"/>
              </w:rPr>
              <w:t>2</w:t>
            </w:r>
          </w:p>
        </w:tc>
        <w:tc>
          <w:tcPr>
            <w:tcW w:w="11237" w:type="dxa"/>
            <w:noWrap w:val="0"/>
            <w:vAlign w:val="center"/>
          </w:tcPr>
          <w:p>
            <w:pPr>
              <w:pStyle w:val="83"/>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弄虚作假，使用不合格的材料或设备。</w:t>
            </w:r>
          </w:p>
        </w:tc>
        <w:tc>
          <w:tcPr>
            <w:tcW w:w="1934" w:type="dxa"/>
            <w:noWrap w:val="0"/>
            <w:vAlign w:val="center"/>
          </w:tcPr>
          <w:p>
            <w:pPr>
              <w:pStyle w:val="83"/>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50000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0" w:type="dxa"/>
            <w:noWrap w:val="0"/>
            <w:vAlign w:val="center"/>
          </w:tcPr>
          <w:p>
            <w:pPr>
              <w:pStyle w:val="83"/>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4.</w:t>
            </w:r>
            <w:r>
              <w:rPr>
                <w:rFonts w:ascii="仿宋_GB2312" w:eastAsia="仿宋_GB2312"/>
                <w:color w:val="auto"/>
                <w:szCs w:val="21"/>
                <w:highlight w:val="none"/>
              </w:rPr>
              <w:t>3</w:t>
            </w:r>
          </w:p>
        </w:tc>
        <w:tc>
          <w:tcPr>
            <w:tcW w:w="11237" w:type="dxa"/>
            <w:noWrap w:val="0"/>
            <w:vAlign w:val="center"/>
          </w:tcPr>
          <w:p>
            <w:pPr>
              <w:pStyle w:val="83"/>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被责令停工后仍继续施工或被责令整改，拒不整改或整改后仍不合格。</w:t>
            </w:r>
          </w:p>
        </w:tc>
        <w:tc>
          <w:tcPr>
            <w:tcW w:w="1934" w:type="dxa"/>
            <w:noWrap w:val="0"/>
            <w:vAlign w:val="center"/>
          </w:tcPr>
          <w:p>
            <w:pPr>
              <w:pStyle w:val="83"/>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50000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0" w:type="dxa"/>
            <w:noWrap w:val="0"/>
            <w:vAlign w:val="center"/>
          </w:tcPr>
          <w:p>
            <w:pPr>
              <w:pStyle w:val="83"/>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4.</w:t>
            </w:r>
            <w:r>
              <w:rPr>
                <w:rFonts w:ascii="仿宋_GB2312" w:eastAsia="仿宋_GB2312"/>
                <w:color w:val="auto"/>
                <w:szCs w:val="21"/>
                <w:highlight w:val="none"/>
              </w:rPr>
              <w:t>4</w:t>
            </w:r>
          </w:p>
        </w:tc>
        <w:tc>
          <w:tcPr>
            <w:tcW w:w="11237" w:type="dxa"/>
            <w:noWrap w:val="0"/>
            <w:vAlign w:val="center"/>
          </w:tcPr>
          <w:p>
            <w:pPr>
              <w:pStyle w:val="83"/>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发生重大质量问题未及时返工。</w:t>
            </w:r>
          </w:p>
        </w:tc>
        <w:tc>
          <w:tcPr>
            <w:tcW w:w="1934" w:type="dxa"/>
            <w:noWrap w:val="0"/>
            <w:vAlign w:val="center"/>
          </w:tcPr>
          <w:p>
            <w:pPr>
              <w:pStyle w:val="83"/>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50000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00" w:type="dxa"/>
            <w:noWrap w:val="0"/>
            <w:vAlign w:val="center"/>
          </w:tcPr>
          <w:p>
            <w:pPr>
              <w:pStyle w:val="83"/>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4.</w:t>
            </w:r>
            <w:r>
              <w:rPr>
                <w:rFonts w:ascii="仿宋_GB2312" w:eastAsia="仿宋_GB2312"/>
                <w:color w:val="auto"/>
                <w:szCs w:val="21"/>
                <w:highlight w:val="none"/>
              </w:rPr>
              <w:t>5</w:t>
            </w:r>
          </w:p>
        </w:tc>
        <w:tc>
          <w:tcPr>
            <w:tcW w:w="11237" w:type="dxa"/>
            <w:noWrap w:val="0"/>
            <w:vAlign w:val="center"/>
          </w:tcPr>
          <w:p>
            <w:pPr>
              <w:pStyle w:val="83"/>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发生质量事故，造成经济损失</w:t>
            </w:r>
            <w:r>
              <w:rPr>
                <w:rFonts w:ascii="仿宋_GB2312" w:eastAsia="仿宋_GB2312"/>
                <w:color w:val="auto"/>
                <w:szCs w:val="21"/>
                <w:highlight w:val="none"/>
              </w:rPr>
              <w:t>20</w:t>
            </w:r>
            <w:r>
              <w:rPr>
                <w:rFonts w:hint="eastAsia" w:ascii="仿宋_GB2312" w:eastAsia="仿宋_GB2312"/>
                <w:color w:val="auto"/>
                <w:szCs w:val="21"/>
                <w:highlight w:val="none"/>
              </w:rPr>
              <w:t>万元以上或工期延误</w:t>
            </w:r>
            <w:r>
              <w:rPr>
                <w:rFonts w:ascii="仿宋_GB2312" w:eastAsia="仿宋_GB2312"/>
                <w:color w:val="auto"/>
                <w:szCs w:val="21"/>
                <w:highlight w:val="none"/>
              </w:rPr>
              <w:t>10</w:t>
            </w:r>
            <w:r>
              <w:rPr>
                <w:rFonts w:hint="eastAsia" w:ascii="仿宋_GB2312" w:eastAsia="仿宋_GB2312"/>
                <w:color w:val="auto"/>
                <w:szCs w:val="21"/>
                <w:highlight w:val="none"/>
              </w:rPr>
              <w:t>天以上。</w:t>
            </w:r>
          </w:p>
        </w:tc>
        <w:tc>
          <w:tcPr>
            <w:tcW w:w="1934" w:type="dxa"/>
            <w:noWrap w:val="0"/>
            <w:vAlign w:val="center"/>
          </w:tcPr>
          <w:p>
            <w:pPr>
              <w:pStyle w:val="83"/>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100000</w:t>
            </w:r>
          </w:p>
        </w:tc>
      </w:tr>
    </w:tbl>
    <w:p>
      <w:pPr>
        <w:pStyle w:val="159"/>
        <w:spacing w:after="200" w:line="440" w:lineRule="exact"/>
        <w:rPr>
          <w:rFonts w:ascii="宋体" w:hAnsi="宋体" w:cs="宋体"/>
          <w:b/>
          <w:bCs/>
          <w:color w:val="auto"/>
          <w:sz w:val="24"/>
          <w:highlight w:val="none"/>
        </w:rPr>
      </w:pPr>
    </w:p>
    <w:p>
      <w:pPr>
        <w:pStyle w:val="159"/>
        <w:spacing w:after="200" w:line="440" w:lineRule="exact"/>
        <w:jc w:val="center"/>
        <w:rPr>
          <w:rFonts w:ascii="仿宋_GB2312" w:eastAsia="仿宋_GB2312"/>
          <w:b/>
          <w:bCs/>
          <w:color w:val="auto"/>
          <w:sz w:val="32"/>
          <w:szCs w:val="32"/>
          <w:highlight w:val="none"/>
        </w:rPr>
      </w:pPr>
      <w:r>
        <w:rPr>
          <w:rFonts w:hint="eastAsia" w:ascii="仿宋_GB2312" w:eastAsia="仿宋_GB2312"/>
          <w:b/>
          <w:bCs/>
          <w:color w:val="auto"/>
          <w:sz w:val="32"/>
          <w:szCs w:val="32"/>
          <w:highlight w:val="none"/>
        </w:rPr>
        <w:t>施工单位安全文明施工一般责任违约金标准一览表</w:t>
      </w:r>
    </w:p>
    <w:tbl>
      <w:tblPr>
        <w:tblStyle w:val="43"/>
        <w:tblW w:w="13884" w:type="dxa"/>
        <w:tblInd w:w="1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50"/>
        <w:gridCol w:w="10704"/>
        <w:gridCol w:w="2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5" w:hRule="atLeast"/>
        </w:trPr>
        <w:tc>
          <w:tcPr>
            <w:tcW w:w="1050" w:type="dxa"/>
            <w:noWrap w:val="0"/>
            <w:vAlign w:val="center"/>
          </w:tcPr>
          <w:p>
            <w:pPr>
              <w:pStyle w:val="159"/>
              <w:spacing w:after="200" w:line="440" w:lineRule="exact"/>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序号</w:t>
            </w:r>
          </w:p>
        </w:tc>
        <w:tc>
          <w:tcPr>
            <w:tcW w:w="10704" w:type="dxa"/>
            <w:noWrap w:val="0"/>
            <w:vAlign w:val="center"/>
          </w:tcPr>
          <w:p>
            <w:pPr>
              <w:pStyle w:val="159"/>
              <w:spacing w:after="200" w:line="440" w:lineRule="exact"/>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安全与文明施工管理违规行为</w:t>
            </w:r>
          </w:p>
        </w:tc>
        <w:tc>
          <w:tcPr>
            <w:tcW w:w="2130" w:type="dxa"/>
            <w:noWrap w:val="0"/>
            <w:vAlign w:val="center"/>
          </w:tcPr>
          <w:p>
            <w:pPr>
              <w:pStyle w:val="159"/>
              <w:spacing w:after="200" w:line="440" w:lineRule="exact"/>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违约金</w:t>
            </w:r>
          </w:p>
          <w:p>
            <w:pPr>
              <w:pStyle w:val="159"/>
              <w:spacing w:after="200" w:line="440" w:lineRule="exact"/>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(元/条.人.处)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0" w:type="dxa"/>
            <w:noWrap w:val="0"/>
            <w:vAlign w:val="center"/>
          </w:tcPr>
          <w:p>
            <w:pPr>
              <w:pStyle w:val="159"/>
              <w:spacing w:after="200" w:line="44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Cs w:val="21"/>
                <w:highlight w:val="none"/>
              </w:rPr>
              <w:t>1.1</w:t>
            </w:r>
          </w:p>
        </w:tc>
        <w:tc>
          <w:tcPr>
            <w:tcW w:w="10704" w:type="dxa"/>
            <w:noWrap w:val="0"/>
            <w:vAlign w:val="center"/>
          </w:tcPr>
          <w:p>
            <w:pPr>
              <w:pStyle w:val="159"/>
              <w:spacing w:after="200" w:line="440" w:lineRule="exact"/>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未按政府相关规定和招标文件要求设置围挡。</w:t>
            </w:r>
          </w:p>
        </w:tc>
        <w:tc>
          <w:tcPr>
            <w:tcW w:w="2130" w:type="dxa"/>
            <w:noWrap w:val="0"/>
            <w:vAlign w:val="center"/>
          </w:tcPr>
          <w:p>
            <w:pPr>
              <w:pStyle w:val="159"/>
              <w:spacing w:after="200" w:line="440" w:lineRule="exact"/>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050" w:type="dxa"/>
            <w:noWrap w:val="0"/>
            <w:vAlign w:val="center"/>
          </w:tcPr>
          <w:p>
            <w:pPr>
              <w:pStyle w:val="159"/>
              <w:spacing w:after="200" w:line="44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Cs w:val="21"/>
                <w:highlight w:val="none"/>
              </w:rPr>
              <w:t>1.2</w:t>
            </w:r>
          </w:p>
        </w:tc>
        <w:tc>
          <w:tcPr>
            <w:tcW w:w="10704" w:type="dxa"/>
            <w:noWrap w:val="0"/>
            <w:vAlign w:val="center"/>
          </w:tcPr>
          <w:p>
            <w:pPr>
              <w:pStyle w:val="159"/>
              <w:spacing w:after="200" w:line="440" w:lineRule="exact"/>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出入口、“五牌一图”未按规范要求设置；重大危险源、危险区域未设置安全警示标志、标牌。</w:t>
            </w:r>
          </w:p>
        </w:tc>
        <w:tc>
          <w:tcPr>
            <w:tcW w:w="2130" w:type="dxa"/>
            <w:noWrap w:val="0"/>
            <w:vAlign w:val="center"/>
          </w:tcPr>
          <w:p>
            <w:pPr>
              <w:pStyle w:val="159"/>
              <w:spacing w:after="200" w:line="440" w:lineRule="exact"/>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0" w:type="dxa"/>
            <w:noWrap w:val="0"/>
            <w:vAlign w:val="center"/>
          </w:tcPr>
          <w:p>
            <w:pPr>
              <w:pStyle w:val="159"/>
              <w:spacing w:after="200" w:line="44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Cs w:val="21"/>
                <w:highlight w:val="none"/>
              </w:rPr>
              <w:t>1.3</w:t>
            </w:r>
          </w:p>
        </w:tc>
        <w:tc>
          <w:tcPr>
            <w:tcW w:w="10704" w:type="dxa"/>
            <w:noWrap w:val="0"/>
            <w:vAlign w:val="center"/>
          </w:tcPr>
          <w:p>
            <w:pPr>
              <w:pStyle w:val="159"/>
              <w:spacing w:after="200" w:line="440" w:lineRule="exact"/>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施工现场主要道路、加工区地面未按要求硬化处理。</w:t>
            </w:r>
          </w:p>
        </w:tc>
        <w:tc>
          <w:tcPr>
            <w:tcW w:w="2130" w:type="dxa"/>
            <w:noWrap w:val="0"/>
            <w:vAlign w:val="center"/>
          </w:tcPr>
          <w:p>
            <w:pPr>
              <w:pStyle w:val="159"/>
              <w:spacing w:after="200" w:line="440" w:lineRule="exact"/>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0" w:type="dxa"/>
            <w:noWrap w:val="0"/>
            <w:vAlign w:val="center"/>
          </w:tcPr>
          <w:p>
            <w:pPr>
              <w:pStyle w:val="159"/>
              <w:spacing w:after="200" w:line="44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Cs w:val="21"/>
                <w:highlight w:val="none"/>
              </w:rPr>
              <w:t>1.4</w:t>
            </w:r>
          </w:p>
        </w:tc>
        <w:tc>
          <w:tcPr>
            <w:tcW w:w="10704" w:type="dxa"/>
            <w:noWrap w:val="0"/>
            <w:vAlign w:val="center"/>
          </w:tcPr>
          <w:p>
            <w:pPr>
              <w:pStyle w:val="159"/>
              <w:spacing w:after="200" w:line="440" w:lineRule="exact"/>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办公区、生活区与作业区未按规范设置；厨卫等后勤人员未按要求持证上岗。</w:t>
            </w:r>
          </w:p>
        </w:tc>
        <w:tc>
          <w:tcPr>
            <w:tcW w:w="2130" w:type="dxa"/>
            <w:noWrap w:val="0"/>
            <w:vAlign w:val="center"/>
          </w:tcPr>
          <w:p>
            <w:pPr>
              <w:pStyle w:val="159"/>
              <w:spacing w:after="200" w:line="440" w:lineRule="exact"/>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050" w:type="dxa"/>
            <w:noWrap w:val="0"/>
            <w:vAlign w:val="center"/>
          </w:tcPr>
          <w:p>
            <w:pPr>
              <w:pStyle w:val="159"/>
              <w:spacing w:after="200" w:line="44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Cs w:val="21"/>
                <w:highlight w:val="none"/>
              </w:rPr>
              <w:t>1.5</w:t>
            </w:r>
          </w:p>
        </w:tc>
        <w:tc>
          <w:tcPr>
            <w:tcW w:w="10704" w:type="dxa"/>
            <w:noWrap w:val="0"/>
            <w:vAlign w:val="center"/>
          </w:tcPr>
          <w:p>
            <w:pPr>
              <w:pStyle w:val="159"/>
              <w:spacing w:after="200" w:line="440" w:lineRule="exact"/>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未按要求设置或采取冲洗等避免扬尘措施。</w:t>
            </w:r>
          </w:p>
        </w:tc>
        <w:tc>
          <w:tcPr>
            <w:tcW w:w="2130" w:type="dxa"/>
            <w:noWrap w:val="0"/>
            <w:vAlign w:val="center"/>
          </w:tcPr>
          <w:p>
            <w:pPr>
              <w:pStyle w:val="159"/>
              <w:spacing w:after="200" w:line="440" w:lineRule="exact"/>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0" w:type="dxa"/>
            <w:noWrap w:val="0"/>
            <w:vAlign w:val="center"/>
          </w:tcPr>
          <w:p>
            <w:pPr>
              <w:pStyle w:val="159"/>
              <w:spacing w:after="200" w:line="44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Cs w:val="21"/>
                <w:highlight w:val="none"/>
              </w:rPr>
              <w:t>1.6</w:t>
            </w:r>
          </w:p>
        </w:tc>
        <w:tc>
          <w:tcPr>
            <w:tcW w:w="10704" w:type="dxa"/>
            <w:noWrap w:val="0"/>
            <w:vAlign w:val="center"/>
          </w:tcPr>
          <w:p>
            <w:pPr>
              <w:pStyle w:val="159"/>
              <w:spacing w:after="200" w:line="440" w:lineRule="exact"/>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现场材料码放混乱；未标明名称、规格；未采取防火、防锈蚀、防雨等措施。</w:t>
            </w:r>
          </w:p>
        </w:tc>
        <w:tc>
          <w:tcPr>
            <w:tcW w:w="2130" w:type="dxa"/>
            <w:noWrap w:val="0"/>
            <w:vAlign w:val="center"/>
          </w:tcPr>
          <w:p>
            <w:pPr>
              <w:pStyle w:val="159"/>
              <w:spacing w:after="200" w:line="440" w:lineRule="exact"/>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0" w:type="dxa"/>
            <w:noWrap w:val="0"/>
            <w:vAlign w:val="center"/>
          </w:tcPr>
          <w:p>
            <w:pPr>
              <w:pStyle w:val="159"/>
              <w:spacing w:after="200" w:line="44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Cs w:val="21"/>
                <w:highlight w:val="none"/>
              </w:rPr>
              <w:t>1.7</w:t>
            </w:r>
          </w:p>
        </w:tc>
        <w:tc>
          <w:tcPr>
            <w:tcW w:w="10704" w:type="dxa"/>
            <w:noWrap w:val="0"/>
            <w:vAlign w:val="center"/>
          </w:tcPr>
          <w:p>
            <w:pPr>
              <w:pStyle w:val="159"/>
              <w:spacing w:after="200" w:line="440" w:lineRule="exact"/>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未正确使用佩戴安全帽、安全带；</w:t>
            </w:r>
            <w:r>
              <w:rPr>
                <w:rFonts w:hint="eastAsia" w:ascii="仿宋_GB2312" w:hAnsi="仿宋_GB2312" w:eastAsia="仿宋_GB2312" w:cs="仿宋_GB2312"/>
                <w:color w:val="auto"/>
                <w:szCs w:val="21"/>
                <w:highlight w:val="none"/>
                <w:shd w:val="clear" w:color="auto" w:fill="FFFFFF"/>
              </w:rPr>
              <w:t>未按规定使用施工防护安全网</w:t>
            </w:r>
            <w:r>
              <w:rPr>
                <w:rFonts w:hint="eastAsia" w:ascii="仿宋_GB2312" w:hAnsi="仿宋_GB2312" w:eastAsia="仿宋_GB2312" w:cs="仿宋_GB2312"/>
                <w:color w:val="auto"/>
                <w:szCs w:val="21"/>
                <w:highlight w:val="none"/>
              </w:rPr>
              <w:t>。</w:t>
            </w:r>
          </w:p>
        </w:tc>
        <w:tc>
          <w:tcPr>
            <w:tcW w:w="2130" w:type="dxa"/>
            <w:noWrap w:val="0"/>
            <w:vAlign w:val="center"/>
          </w:tcPr>
          <w:p>
            <w:pPr>
              <w:pStyle w:val="159"/>
              <w:spacing w:after="200" w:line="440" w:lineRule="exact"/>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0" w:type="dxa"/>
            <w:noWrap w:val="0"/>
            <w:vAlign w:val="center"/>
          </w:tcPr>
          <w:p>
            <w:pPr>
              <w:pStyle w:val="159"/>
              <w:spacing w:after="200" w:line="44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Cs w:val="21"/>
                <w:highlight w:val="none"/>
              </w:rPr>
              <w:t>1.8</w:t>
            </w:r>
          </w:p>
        </w:tc>
        <w:tc>
          <w:tcPr>
            <w:tcW w:w="10704" w:type="dxa"/>
            <w:noWrap w:val="0"/>
            <w:vAlign w:val="center"/>
          </w:tcPr>
          <w:p>
            <w:pPr>
              <w:pStyle w:val="159"/>
              <w:spacing w:after="200" w:line="440" w:lineRule="exact"/>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“四口、五临边”防护不到位。</w:t>
            </w:r>
          </w:p>
        </w:tc>
        <w:tc>
          <w:tcPr>
            <w:tcW w:w="2130" w:type="dxa"/>
            <w:noWrap w:val="0"/>
            <w:vAlign w:val="center"/>
          </w:tcPr>
          <w:p>
            <w:pPr>
              <w:pStyle w:val="159"/>
              <w:spacing w:after="200" w:line="440" w:lineRule="exact"/>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0" w:type="dxa"/>
            <w:noWrap w:val="0"/>
            <w:vAlign w:val="center"/>
          </w:tcPr>
          <w:p>
            <w:pPr>
              <w:pStyle w:val="159"/>
              <w:spacing w:after="200" w:line="44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Cs w:val="21"/>
                <w:highlight w:val="none"/>
              </w:rPr>
              <w:t>1.9</w:t>
            </w:r>
          </w:p>
        </w:tc>
        <w:tc>
          <w:tcPr>
            <w:tcW w:w="10704" w:type="dxa"/>
            <w:noWrap w:val="0"/>
            <w:vAlign w:val="center"/>
          </w:tcPr>
          <w:p>
            <w:pPr>
              <w:pStyle w:val="159"/>
              <w:spacing w:after="200" w:line="440" w:lineRule="exact"/>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楼梯、上下斜道、安全通道搭设不符合规范及使用安全要求；通道口、钢筋加工场地等防护棚搭设不符合规范及安全要求。</w:t>
            </w:r>
          </w:p>
        </w:tc>
        <w:tc>
          <w:tcPr>
            <w:tcW w:w="2130" w:type="dxa"/>
            <w:noWrap w:val="0"/>
            <w:vAlign w:val="center"/>
          </w:tcPr>
          <w:p>
            <w:pPr>
              <w:pStyle w:val="159"/>
              <w:spacing w:after="200" w:line="440" w:lineRule="exact"/>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050" w:type="dxa"/>
            <w:noWrap w:val="0"/>
            <w:vAlign w:val="center"/>
          </w:tcPr>
          <w:p>
            <w:pPr>
              <w:pStyle w:val="159"/>
              <w:spacing w:after="200" w:line="44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Cs w:val="21"/>
                <w:highlight w:val="none"/>
              </w:rPr>
              <w:t>1.10</w:t>
            </w:r>
          </w:p>
        </w:tc>
        <w:tc>
          <w:tcPr>
            <w:tcW w:w="10704" w:type="dxa"/>
            <w:noWrap w:val="0"/>
            <w:vAlign w:val="center"/>
          </w:tcPr>
          <w:p>
            <w:pPr>
              <w:pStyle w:val="159"/>
              <w:spacing w:after="200" w:line="440" w:lineRule="exact"/>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临边堆物高度及距离不符合规范要求，堆放有易坠落的钢筋等杂物。</w:t>
            </w:r>
          </w:p>
        </w:tc>
        <w:tc>
          <w:tcPr>
            <w:tcW w:w="2130" w:type="dxa"/>
            <w:noWrap w:val="0"/>
            <w:vAlign w:val="center"/>
          </w:tcPr>
          <w:p>
            <w:pPr>
              <w:pStyle w:val="159"/>
              <w:spacing w:after="200" w:line="440" w:lineRule="exact"/>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0" w:type="dxa"/>
            <w:noWrap w:val="0"/>
            <w:vAlign w:val="center"/>
          </w:tcPr>
          <w:p>
            <w:pPr>
              <w:pStyle w:val="159"/>
              <w:spacing w:after="200" w:line="44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Cs w:val="21"/>
                <w:highlight w:val="none"/>
              </w:rPr>
              <w:t>1.11</w:t>
            </w:r>
          </w:p>
        </w:tc>
        <w:tc>
          <w:tcPr>
            <w:tcW w:w="10704" w:type="dxa"/>
            <w:noWrap w:val="0"/>
            <w:vAlign w:val="center"/>
          </w:tcPr>
          <w:p>
            <w:pPr>
              <w:pStyle w:val="159"/>
              <w:spacing w:after="200" w:line="440" w:lineRule="exact"/>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外电线路与在建工程的设备、构筑物、施工机械等未保证最小安全距离，未采取防护隔离措施；外电架空线路正下方有施工、作业棚、生活设施或构件、架具、材料等杂物。</w:t>
            </w:r>
          </w:p>
        </w:tc>
        <w:tc>
          <w:tcPr>
            <w:tcW w:w="2130" w:type="dxa"/>
            <w:noWrap w:val="0"/>
            <w:vAlign w:val="center"/>
          </w:tcPr>
          <w:p>
            <w:pPr>
              <w:pStyle w:val="159"/>
              <w:spacing w:after="200" w:line="440" w:lineRule="exact"/>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0" w:type="dxa"/>
            <w:noWrap w:val="0"/>
            <w:vAlign w:val="center"/>
          </w:tcPr>
          <w:p>
            <w:pPr>
              <w:pStyle w:val="159"/>
              <w:spacing w:after="200" w:line="44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Cs w:val="21"/>
                <w:highlight w:val="none"/>
              </w:rPr>
              <w:t>1.12</w:t>
            </w:r>
          </w:p>
        </w:tc>
        <w:tc>
          <w:tcPr>
            <w:tcW w:w="10704" w:type="dxa"/>
            <w:noWrap w:val="0"/>
            <w:vAlign w:val="center"/>
          </w:tcPr>
          <w:p>
            <w:pPr>
              <w:pStyle w:val="159"/>
              <w:spacing w:after="200" w:line="440" w:lineRule="exact"/>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未采用三级配电、两级漏电保护系统；配电室及总配电箱，总、分配电箱和开关箱的安装及维护不符合规范要求；违反“一机、一闸、一漏、一箱、一锁”；每台用电设备未按要求设置专用开关箱，存在“一闸多用”现象。</w:t>
            </w:r>
          </w:p>
        </w:tc>
        <w:tc>
          <w:tcPr>
            <w:tcW w:w="2130" w:type="dxa"/>
            <w:noWrap w:val="0"/>
            <w:vAlign w:val="center"/>
          </w:tcPr>
          <w:p>
            <w:pPr>
              <w:pStyle w:val="159"/>
              <w:spacing w:after="200" w:line="440" w:lineRule="exact"/>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9" w:hRule="atLeast"/>
        </w:trPr>
        <w:tc>
          <w:tcPr>
            <w:tcW w:w="1050" w:type="dxa"/>
            <w:noWrap w:val="0"/>
            <w:vAlign w:val="center"/>
          </w:tcPr>
          <w:p>
            <w:pPr>
              <w:pStyle w:val="159"/>
              <w:spacing w:after="200" w:line="44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Cs w:val="21"/>
                <w:highlight w:val="none"/>
              </w:rPr>
              <w:t>1.13</w:t>
            </w:r>
          </w:p>
        </w:tc>
        <w:tc>
          <w:tcPr>
            <w:tcW w:w="10704" w:type="dxa"/>
            <w:noWrap w:val="0"/>
            <w:vAlign w:val="center"/>
          </w:tcPr>
          <w:p>
            <w:pPr>
              <w:pStyle w:val="159"/>
              <w:spacing w:after="200" w:line="440" w:lineRule="exact"/>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手持电动工具、水泵、交流电焊机、施工升降机、塔式起重机等用电机具、机械未按照规范要求用电；未采用手动双向转换开关作为控制电器。</w:t>
            </w:r>
          </w:p>
        </w:tc>
        <w:tc>
          <w:tcPr>
            <w:tcW w:w="2130" w:type="dxa"/>
            <w:noWrap w:val="0"/>
            <w:vAlign w:val="center"/>
          </w:tcPr>
          <w:p>
            <w:pPr>
              <w:pStyle w:val="159"/>
              <w:spacing w:after="200" w:line="440" w:lineRule="exact"/>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0" w:type="dxa"/>
            <w:noWrap w:val="0"/>
            <w:vAlign w:val="center"/>
          </w:tcPr>
          <w:p>
            <w:pPr>
              <w:pStyle w:val="159"/>
              <w:spacing w:after="200" w:line="44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Cs w:val="21"/>
                <w:highlight w:val="none"/>
              </w:rPr>
              <w:t>1.14</w:t>
            </w:r>
          </w:p>
        </w:tc>
        <w:tc>
          <w:tcPr>
            <w:tcW w:w="10704" w:type="dxa"/>
            <w:noWrap w:val="0"/>
            <w:vAlign w:val="center"/>
          </w:tcPr>
          <w:p>
            <w:pPr>
              <w:pStyle w:val="159"/>
              <w:spacing w:after="200" w:line="440" w:lineRule="exact"/>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办公、生活用房和职工宿舍在进线处未按照规范要求安装电源箱、漏电保护器和限流保护器。</w:t>
            </w:r>
          </w:p>
        </w:tc>
        <w:tc>
          <w:tcPr>
            <w:tcW w:w="2130" w:type="dxa"/>
            <w:noWrap w:val="0"/>
            <w:vAlign w:val="center"/>
          </w:tcPr>
          <w:p>
            <w:pPr>
              <w:pStyle w:val="159"/>
              <w:spacing w:after="200" w:line="440" w:lineRule="exact"/>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0" w:type="dxa"/>
            <w:noWrap w:val="0"/>
            <w:vAlign w:val="center"/>
          </w:tcPr>
          <w:p>
            <w:pPr>
              <w:pStyle w:val="159"/>
              <w:spacing w:after="200" w:line="44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Cs w:val="21"/>
                <w:highlight w:val="none"/>
              </w:rPr>
              <w:t>1.15</w:t>
            </w:r>
          </w:p>
        </w:tc>
        <w:tc>
          <w:tcPr>
            <w:tcW w:w="10704" w:type="dxa"/>
            <w:noWrap w:val="0"/>
            <w:vAlign w:val="center"/>
          </w:tcPr>
          <w:p>
            <w:pPr>
              <w:pStyle w:val="159"/>
              <w:spacing w:after="200" w:line="440" w:lineRule="exact"/>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未设置消防通道、消防水源；配备的灭火器材数量不满足规范要求，欠压失效。</w:t>
            </w:r>
          </w:p>
        </w:tc>
        <w:tc>
          <w:tcPr>
            <w:tcW w:w="2130" w:type="dxa"/>
            <w:noWrap w:val="0"/>
            <w:vAlign w:val="center"/>
          </w:tcPr>
          <w:p>
            <w:pPr>
              <w:pStyle w:val="159"/>
              <w:spacing w:after="200" w:line="440" w:lineRule="exact"/>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0" w:type="dxa"/>
            <w:noWrap w:val="0"/>
            <w:vAlign w:val="center"/>
          </w:tcPr>
          <w:p>
            <w:pPr>
              <w:pStyle w:val="159"/>
              <w:spacing w:after="200" w:line="44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Cs w:val="21"/>
                <w:highlight w:val="none"/>
              </w:rPr>
              <w:t>1.16</w:t>
            </w:r>
          </w:p>
        </w:tc>
        <w:tc>
          <w:tcPr>
            <w:tcW w:w="10704" w:type="dxa"/>
            <w:noWrap w:val="0"/>
            <w:vAlign w:val="center"/>
          </w:tcPr>
          <w:p>
            <w:pPr>
              <w:pStyle w:val="159"/>
              <w:spacing w:after="200" w:line="440" w:lineRule="exact"/>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临时住房内使用电磁炉、碘钨灯、热得快等大功率用电设备，未安装限流器。</w:t>
            </w:r>
          </w:p>
        </w:tc>
        <w:tc>
          <w:tcPr>
            <w:tcW w:w="2130" w:type="dxa"/>
            <w:noWrap w:val="0"/>
            <w:vAlign w:val="center"/>
          </w:tcPr>
          <w:p>
            <w:pPr>
              <w:pStyle w:val="159"/>
              <w:spacing w:after="200" w:line="440" w:lineRule="exact"/>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050" w:type="dxa"/>
            <w:noWrap w:val="0"/>
            <w:vAlign w:val="center"/>
          </w:tcPr>
          <w:p>
            <w:pPr>
              <w:pStyle w:val="159"/>
              <w:spacing w:after="200" w:line="44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Cs w:val="21"/>
                <w:highlight w:val="none"/>
              </w:rPr>
              <w:t>1.17</w:t>
            </w:r>
          </w:p>
        </w:tc>
        <w:tc>
          <w:tcPr>
            <w:tcW w:w="10704" w:type="dxa"/>
            <w:noWrap w:val="0"/>
            <w:vAlign w:val="center"/>
          </w:tcPr>
          <w:p>
            <w:pPr>
              <w:pStyle w:val="159"/>
              <w:spacing w:after="200" w:line="440" w:lineRule="exact"/>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动火作业前没有履行报批手续。</w:t>
            </w:r>
          </w:p>
        </w:tc>
        <w:tc>
          <w:tcPr>
            <w:tcW w:w="2130" w:type="dxa"/>
            <w:noWrap w:val="0"/>
            <w:vAlign w:val="center"/>
          </w:tcPr>
          <w:p>
            <w:pPr>
              <w:pStyle w:val="159"/>
              <w:spacing w:after="200" w:line="440" w:lineRule="exact"/>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0" w:type="dxa"/>
            <w:noWrap w:val="0"/>
            <w:vAlign w:val="center"/>
          </w:tcPr>
          <w:p>
            <w:pPr>
              <w:pStyle w:val="159"/>
              <w:spacing w:after="200" w:line="44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Cs w:val="21"/>
                <w:highlight w:val="none"/>
              </w:rPr>
              <w:t>1.18</w:t>
            </w:r>
          </w:p>
        </w:tc>
        <w:tc>
          <w:tcPr>
            <w:tcW w:w="10704" w:type="dxa"/>
            <w:noWrap w:val="0"/>
            <w:vAlign w:val="center"/>
          </w:tcPr>
          <w:p>
            <w:pPr>
              <w:pStyle w:val="159"/>
              <w:spacing w:after="200" w:line="440" w:lineRule="exact"/>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氧气、乙炔等气瓶使用不符合规范要求，乙炔瓶未安装回火防止器。</w:t>
            </w:r>
          </w:p>
        </w:tc>
        <w:tc>
          <w:tcPr>
            <w:tcW w:w="2130" w:type="dxa"/>
            <w:noWrap w:val="0"/>
            <w:vAlign w:val="center"/>
          </w:tcPr>
          <w:p>
            <w:pPr>
              <w:pStyle w:val="159"/>
              <w:spacing w:after="200" w:line="440" w:lineRule="exact"/>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0" w:type="dxa"/>
            <w:noWrap w:val="0"/>
            <w:vAlign w:val="center"/>
          </w:tcPr>
          <w:p>
            <w:pPr>
              <w:pStyle w:val="159"/>
              <w:spacing w:after="200" w:line="44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Cs w:val="21"/>
                <w:highlight w:val="none"/>
              </w:rPr>
              <w:t>1.19</w:t>
            </w:r>
          </w:p>
        </w:tc>
        <w:tc>
          <w:tcPr>
            <w:tcW w:w="10704" w:type="dxa"/>
            <w:noWrap w:val="0"/>
            <w:vAlign w:val="center"/>
          </w:tcPr>
          <w:p>
            <w:pPr>
              <w:pStyle w:val="159"/>
              <w:spacing w:after="200" w:line="440" w:lineRule="exact"/>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未按要求编制夜间专项施工方案，并按规定审批。</w:t>
            </w:r>
          </w:p>
        </w:tc>
        <w:tc>
          <w:tcPr>
            <w:tcW w:w="2130" w:type="dxa"/>
            <w:noWrap w:val="0"/>
            <w:vAlign w:val="center"/>
          </w:tcPr>
          <w:p>
            <w:pPr>
              <w:pStyle w:val="159"/>
              <w:spacing w:after="200" w:line="440" w:lineRule="exact"/>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50" w:type="dxa"/>
            <w:noWrap w:val="0"/>
            <w:vAlign w:val="center"/>
          </w:tcPr>
          <w:p>
            <w:pPr>
              <w:pStyle w:val="159"/>
              <w:spacing w:after="200" w:line="44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Cs w:val="21"/>
                <w:highlight w:val="none"/>
              </w:rPr>
              <w:t>1.20</w:t>
            </w:r>
          </w:p>
        </w:tc>
        <w:tc>
          <w:tcPr>
            <w:tcW w:w="10704" w:type="dxa"/>
            <w:noWrap w:val="0"/>
            <w:vAlign w:val="center"/>
          </w:tcPr>
          <w:p>
            <w:pPr>
              <w:pStyle w:val="159"/>
              <w:spacing w:after="200" w:line="440" w:lineRule="exact"/>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施工工点没有充足的照明，照明不符合规范要求。</w:t>
            </w:r>
          </w:p>
        </w:tc>
        <w:tc>
          <w:tcPr>
            <w:tcW w:w="2130" w:type="dxa"/>
            <w:noWrap w:val="0"/>
            <w:vAlign w:val="center"/>
          </w:tcPr>
          <w:p>
            <w:pPr>
              <w:pStyle w:val="159"/>
              <w:spacing w:after="200" w:line="440" w:lineRule="exact"/>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5000</w:t>
            </w:r>
          </w:p>
        </w:tc>
      </w:tr>
    </w:tbl>
    <w:p>
      <w:pPr>
        <w:pStyle w:val="159"/>
        <w:spacing w:after="200" w:line="276" w:lineRule="auto"/>
        <w:rPr>
          <w:color w:val="auto"/>
          <w:highlight w:val="none"/>
        </w:rPr>
      </w:pPr>
    </w:p>
    <w:p>
      <w:pPr>
        <w:pStyle w:val="159"/>
        <w:spacing w:after="200" w:line="440" w:lineRule="exact"/>
        <w:jc w:val="center"/>
        <w:rPr>
          <w:rFonts w:ascii="仿宋_GB2312" w:eastAsia="仿宋_GB2312"/>
          <w:color w:val="auto"/>
          <w:sz w:val="32"/>
          <w:szCs w:val="32"/>
          <w:highlight w:val="none"/>
        </w:rPr>
      </w:pPr>
      <w:r>
        <w:rPr>
          <w:rFonts w:ascii="仿宋_GB2312" w:eastAsia="仿宋_GB2312"/>
          <w:b/>
          <w:bCs/>
          <w:color w:val="auto"/>
          <w:sz w:val="32"/>
          <w:szCs w:val="32"/>
          <w:highlight w:val="none"/>
        </w:rPr>
        <w:br w:type="page"/>
      </w:r>
      <w:r>
        <w:rPr>
          <w:rFonts w:hint="eastAsia" w:ascii="仿宋_GB2312" w:eastAsia="仿宋_GB2312"/>
          <w:b/>
          <w:bCs/>
          <w:color w:val="auto"/>
          <w:sz w:val="32"/>
          <w:szCs w:val="32"/>
          <w:highlight w:val="none"/>
        </w:rPr>
        <w:t>施工单位安全文明施工较大责任（黄色警示）违约金标准一览表</w:t>
      </w:r>
    </w:p>
    <w:tbl>
      <w:tblPr>
        <w:tblStyle w:val="43"/>
        <w:tblW w:w="13920" w:type="dxa"/>
        <w:tblInd w:w="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95"/>
        <w:gridCol w:w="10695"/>
        <w:gridCol w:w="2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4" w:hRule="atLeast"/>
        </w:trPr>
        <w:tc>
          <w:tcPr>
            <w:tcW w:w="1095"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序号</w:t>
            </w:r>
          </w:p>
        </w:tc>
        <w:tc>
          <w:tcPr>
            <w:tcW w:w="10695"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安全与文明施工管理违规行为</w:t>
            </w:r>
          </w:p>
        </w:tc>
        <w:tc>
          <w:tcPr>
            <w:tcW w:w="2130"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违约金</w:t>
            </w:r>
          </w:p>
          <w:p>
            <w:pPr>
              <w:pStyle w:val="159"/>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w:t>
            </w:r>
            <w:r>
              <w:rPr>
                <w:rFonts w:hint="eastAsia" w:ascii="仿宋_GB2312" w:eastAsia="仿宋_GB2312"/>
                <w:color w:val="auto"/>
                <w:szCs w:val="21"/>
                <w:highlight w:val="none"/>
              </w:rPr>
              <w:t>元/条.人.处)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5"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2.</w:t>
            </w:r>
            <w:r>
              <w:rPr>
                <w:rFonts w:ascii="仿宋_GB2312" w:eastAsia="仿宋_GB2312"/>
                <w:color w:val="auto"/>
                <w:szCs w:val="21"/>
                <w:highlight w:val="none"/>
              </w:rPr>
              <w:t>1</w:t>
            </w:r>
          </w:p>
        </w:tc>
        <w:tc>
          <w:tcPr>
            <w:tcW w:w="10695" w:type="dxa"/>
            <w:noWrap w:val="0"/>
            <w:vAlign w:val="center"/>
          </w:tcPr>
          <w:p>
            <w:pPr>
              <w:pStyle w:val="159"/>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项目经理、安全主任、专职安全生产管理人员配备不符合招投标文件及施工合同要求。</w:t>
            </w:r>
          </w:p>
        </w:tc>
        <w:tc>
          <w:tcPr>
            <w:tcW w:w="2130"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5"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2.</w:t>
            </w:r>
            <w:r>
              <w:rPr>
                <w:rFonts w:ascii="仿宋_GB2312" w:eastAsia="仿宋_GB2312"/>
                <w:color w:val="auto"/>
                <w:szCs w:val="21"/>
                <w:highlight w:val="none"/>
              </w:rPr>
              <w:t>2</w:t>
            </w:r>
          </w:p>
        </w:tc>
        <w:tc>
          <w:tcPr>
            <w:tcW w:w="10695" w:type="dxa"/>
            <w:noWrap w:val="0"/>
            <w:vAlign w:val="center"/>
          </w:tcPr>
          <w:p>
            <w:pPr>
              <w:pStyle w:val="159"/>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项目经理、安全主任、安全员不在岗。</w:t>
            </w:r>
          </w:p>
        </w:tc>
        <w:tc>
          <w:tcPr>
            <w:tcW w:w="2130"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2</w:t>
            </w:r>
            <w:r>
              <w:rPr>
                <w:rFonts w:ascii="仿宋_GB2312" w:eastAsia="仿宋_GB2312"/>
                <w:color w:val="auto"/>
                <w:szCs w:val="21"/>
                <w:highlight w:val="none"/>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5"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2.</w:t>
            </w:r>
            <w:r>
              <w:rPr>
                <w:rFonts w:ascii="仿宋_GB2312" w:eastAsia="仿宋_GB2312"/>
                <w:color w:val="auto"/>
                <w:szCs w:val="21"/>
                <w:highlight w:val="none"/>
              </w:rPr>
              <w:t>3</w:t>
            </w:r>
          </w:p>
        </w:tc>
        <w:tc>
          <w:tcPr>
            <w:tcW w:w="10695" w:type="dxa"/>
            <w:noWrap w:val="0"/>
            <w:vAlign w:val="center"/>
          </w:tcPr>
          <w:p>
            <w:pPr>
              <w:pStyle w:val="159"/>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安全管理制度（含应急预案）不健全或落实不到位，安全管理混乱。</w:t>
            </w:r>
          </w:p>
        </w:tc>
        <w:tc>
          <w:tcPr>
            <w:tcW w:w="2130" w:type="dxa"/>
            <w:noWrap w:val="0"/>
            <w:vAlign w:val="center"/>
          </w:tcPr>
          <w:p>
            <w:pPr>
              <w:pStyle w:val="159"/>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20000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5"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2.4</w:t>
            </w:r>
          </w:p>
        </w:tc>
        <w:tc>
          <w:tcPr>
            <w:tcW w:w="10695" w:type="dxa"/>
            <w:noWrap w:val="0"/>
            <w:vAlign w:val="center"/>
          </w:tcPr>
          <w:p>
            <w:pPr>
              <w:pStyle w:val="159"/>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未对施工现场进行定期安全检查，并做好检查记录。</w:t>
            </w:r>
          </w:p>
        </w:tc>
        <w:tc>
          <w:tcPr>
            <w:tcW w:w="2130"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5"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2.5</w:t>
            </w:r>
          </w:p>
        </w:tc>
        <w:tc>
          <w:tcPr>
            <w:tcW w:w="10695" w:type="dxa"/>
            <w:noWrap w:val="0"/>
            <w:vAlign w:val="center"/>
          </w:tcPr>
          <w:p>
            <w:pPr>
              <w:pStyle w:val="159"/>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未认真按照有关主管部门或建设单位文件要求组织开展各项安全专项检查，并做好检查记录。</w:t>
            </w:r>
          </w:p>
        </w:tc>
        <w:tc>
          <w:tcPr>
            <w:tcW w:w="2130"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095"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2.6</w:t>
            </w:r>
          </w:p>
        </w:tc>
        <w:tc>
          <w:tcPr>
            <w:tcW w:w="10695" w:type="dxa"/>
            <w:noWrap w:val="0"/>
            <w:vAlign w:val="center"/>
          </w:tcPr>
          <w:p>
            <w:pPr>
              <w:pStyle w:val="159"/>
              <w:spacing w:after="200" w:line="440" w:lineRule="exact"/>
              <w:rPr>
                <w:rFonts w:ascii="仿宋_GB2312" w:eastAsia="仿宋_GB2312"/>
                <w:color w:val="auto"/>
                <w:szCs w:val="21"/>
                <w:highlight w:val="none"/>
              </w:rPr>
            </w:pPr>
            <w:r>
              <w:rPr>
                <w:rFonts w:hint="eastAsia" w:ascii="仿宋_GB2312" w:hAnsi="仿宋_GB2312" w:eastAsia="仿宋_GB2312" w:cs="仿宋_GB2312"/>
                <w:color w:val="auto"/>
                <w:szCs w:val="21"/>
                <w:highlight w:val="none"/>
              </w:rPr>
              <w:t>施工现场存在大量安全隐患问题，仍在施工。</w:t>
            </w:r>
          </w:p>
        </w:tc>
        <w:tc>
          <w:tcPr>
            <w:tcW w:w="2130" w:type="dxa"/>
            <w:noWrap w:val="0"/>
            <w:vAlign w:val="center"/>
          </w:tcPr>
          <w:p>
            <w:pPr>
              <w:pStyle w:val="159"/>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50000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5"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2.7</w:t>
            </w:r>
          </w:p>
        </w:tc>
        <w:tc>
          <w:tcPr>
            <w:tcW w:w="10695" w:type="dxa"/>
            <w:noWrap w:val="0"/>
            <w:vAlign w:val="center"/>
          </w:tcPr>
          <w:p>
            <w:pPr>
              <w:pStyle w:val="159"/>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特种作业人员未取得安全生产监督部门认可的资格证书，</w:t>
            </w:r>
            <w:r>
              <w:rPr>
                <w:rFonts w:hint="eastAsia" w:ascii="仿宋_GB2312" w:hAnsi="仿宋_GB2312" w:eastAsia="仿宋_GB2312" w:cs="仿宋_GB2312"/>
                <w:color w:val="auto"/>
                <w:szCs w:val="21"/>
                <w:highlight w:val="none"/>
              </w:rPr>
              <w:t>有无证违规上岗行为</w:t>
            </w:r>
            <w:r>
              <w:rPr>
                <w:rFonts w:hint="eastAsia" w:ascii="仿宋_GB2312" w:eastAsia="仿宋_GB2312"/>
                <w:color w:val="auto"/>
                <w:szCs w:val="21"/>
                <w:highlight w:val="none"/>
              </w:rPr>
              <w:t>。</w:t>
            </w:r>
          </w:p>
        </w:tc>
        <w:tc>
          <w:tcPr>
            <w:tcW w:w="2130" w:type="dxa"/>
            <w:noWrap w:val="0"/>
            <w:vAlign w:val="center"/>
          </w:tcPr>
          <w:p>
            <w:pPr>
              <w:pStyle w:val="159"/>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5"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2.8</w:t>
            </w:r>
          </w:p>
        </w:tc>
        <w:tc>
          <w:tcPr>
            <w:tcW w:w="10695" w:type="dxa"/>
            <w:noWrap w:val="0"/>
            <w:vAlign w:val="center"/>
          </w:tcPr>
          <w:p>
            <w:pPr>
              <w:pStyle w:val="159"/>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危险性较大的分部分项工程未按规定编制安全专项施工方案，审核审批不符合有关要求而进行施工。</w:t>
            </w:r>
          </w:p>
        </w:tc>
        <w:tc>
          <w:tcPr>
            <w:tcW w:w="2130" w:type="dxa"/>
            <w:noWrap w:val="0"/>
            <w:vAlign w:val="center"/>
          </w:tcPr>
          <w:p>
            <w:pPr>
              <w:pStyle w:val="159"/>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20000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5"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2.9</w:t>
            </w:r>
          </w:p>
        </w:tc>
        <w:tc>
          <w:tcPr>
            <w:tcW w:w="10695" w:type="dxa"/>
            <w:noWrap w:val="0"/>
            <w:vAlign w:val="center"/>
          </w:tcPr>
          <w:p>
            <w:pPr>
              <w:pStyle w:val="159"/>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使用不合格施工机械、未验收或者验收不合格的脚手架、模板、自升式架设设施或相应材料未进行送检。</w:t>
            </w:r>
          </w:p>
        </w:tc>
        <w:tc>
          <w:tcPr>
            <w:tcW w:w="2130" w:type="dxa"/>
            <w:noWrap w:val="0"/>
            <w:vAlign w:val="center"/>
          </w:tcPr>
          <w:p>
            <w:pPr>
              <w:pStyle w:val="159"/>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20000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5"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2.10</w:t>
            </w:r>
          </w:p>
        </w:tc>
        <w:tc>
          <w:tcPr>
            <w:tcW w:w="10695" w:type="dxa"/>
            <w:noWrap w:val="0"/>
            <w:vAlign w:val="center"/>
          </w:tcPr>
          <w:p>
            <w:pPr>
              <w:pStyle w:val="159"/>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建筑起重机械未按规定办理相关手续（包括产权备案、安装告知、使用登记、拆卸告知的任一项）。</w:t>
            </w:r>
          </w:p>
        </w:tc>
        <w:tc>
          <w:tcPr>
            <w:tcW w:w="2130" w:type="dxa"/>
            <w:noWrap w:val="0"/>
            <w:vAlign w:val="center"/>
          </w:tcPr>
          <w:p>
            <w:pPr>
              <w:pStyle w:val="159"/>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20000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5"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2.11</w:t>
            </w:r>
          </w:p>
        </w:tc>
        <w:tc>
          <w:tcPr>
            <w:tcW w:w="10695" w:type="dxa"/>
            <w:noWrap w:val="0"/>
            <w:vAlign w:val="center"/>
          </w:tcPr>
          <w:p>
            <w:pPr>
              <w:pStyle w:val="159"/>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建筑起重机械（含施工电梯防坠安全器）未经法定检验机构检验检测合格或检验检测已过期而投入使用。</w:t>
            </w:r>
          </w:p>
        </w:tc>
        <w:tc>
          <w:tcPr>
            <w:tcW w:w="2130" w:type="dxa"/>
            <w:noWrap w:val="0"/>
            <w:vAlign w:val="center"/>
          </w:tcPr>
          <w:p>
            <w:pPr>
              <w:pStyle w:val="159"/>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20000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5"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2.</w:t>
            </w:r>
            <w:r>
              <w:rPr>
                <w:rFonts w:ascii="仿宋_GB2312" w:eastAsia="仿宋_GB2312"/>
                <w:color w:val="auto"/>
                <w:szCs w:val="21"/>
                <w:highlight w:val="none"/>
              </w:rPr>
              <w:t>1</w:t>
            </w:r>
            <w:r>
              <w:rPr>
                <w:rFonts w:hint="eastAsia" w:ascii="仿宋_GB2312" w:eastAsia="仿宋_GB2312"/>
                <w:color w:val="auto"/>
                <w:szCs w:val="21"/>
                <w:highlight w:val="none"/>
              </w:rPr>
              <w:t>2</w:t>
            </w:r>
          </w:p>
        </w:tc>
        <w:tc>
          <w:tcPr>
            <w:tcW w:w="10695" w:type="dxa"/>
            <w:noWrap w:val="0"/>
            <w:vAlign w:val="center"/>
          </w:tcPr>
          <w:p>
            <w:pPr>
              <w:pStyle w:val="159"/>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起重机械安装、顶升加节、拆卸作业时无专业技术人员或无专职安全生产管理人员现场监督。</w:t>
            </w:r>
          </w:p>
        </w:tc>
        <w:tc>
          <w:tcPr>
            <w:tcW w:w="2130" w:type="dxa"/>
            <w:noWrap w:val="0"/>
            <w:vAlign w:val="center"/>
          </w:tcPr>
          <w:p>
            <w:pPr>
              <w:pStyle w:val="159"/>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095" w:type="dxa"/>
            <w:noWrap w:val="0"/>
            <w:vAlign w:val="center"/>
          </w:tcPr>
          <w:p>
            <w:pPr>
              <w:pStyle w:val="159"/>
              <w:spacing w:after="200" w:line="276" w:lineRule="auto"/>
              <w:jc w:val="center"/>
              <w:rPr>
                <w:rFonts w:ascii="仿宋_GB2312" w:eastAsia="仿宋_GB2312"/>
                <w:color w:val="auto"/>
                <w:szCs w:val="21"/>
                <w:highlight w:val="none"/>
              </w:rPr>
            </w:pPr>
            <w:r>
              <w:rPr>
                <w:rFonts w:hint="eastAsia" w:ascii="仿宋_GB2312" w:eastAsia="仿宋_GB2312"/>
                <w:color w:val="auto"/>
                <w:szCs w:val="21"/>
                <w:highlight w:val="none"/>
              </w:rPr>
              <w:t>2.</w:t>
            </w:r>
            <w:r>
              <w:rPr>
                <w:rFonts w:ascii="仿宋_GB2312" w:eastAsia="仿宋_GB2312"/>
                <w:color w:val="auto"/>
                <w:szCs w:val="21"/>
                <w:highlight w:val="none"/>
              </w:rPr>
              <w:t>1</w:t>
            </w:r>
            <w:r>
              <w:rPr>
                <w:rFonts w:hint="eastAsia" w:ascii="仿宋_GB2312" w:eastAsia="仿宋_GB2312"/>
                <w:color w:val="auto"/>
                <w:szCs w:val="21"/>
                <w:highlight w:val="none"/>
              </w:rPr>
              <w:t>3</w:t>
            </w:r>
          </w:p>
        </w:tc>
        <w:tc>
          <w:tcPr>
            <w:tcW w:w="10695" w:type="dxa"/>
            <w:noWrap w:val="0"/>
            <w:vAlign w:val="center"/>
          </w:tcPr>
          <w:p>
            <w:pPr>
              <w:pStyle w:val="159"/>
              <w:spacing w:after="200" w:line="400" w:lineRule="exact"/>
              <w:rPr>
                <w:rFonts w:ascii="仿宋_GB2312" w:eastAsia="仿宋_GB2312"/>
                <w:color w:val="auto"/>
                <w:szCs w:val="21"/>
                <w:highlight w:val="none"/>
              </w:rPr>
            </w:pPr>
            <w:r>
              <w:rPr>
                <w:rFonts w:hint="eastAsia" w:ascii="仿宋_GB2312" w:hAnsi="仿宋_GB2312" w:eastAsia="仿宋_GB2312" w:cs="仿宋_GB2312"/>
                <w:color w:val="auto"/>
                <w:szCs w:val="21"/>
                <w:highlight w:val="none"/>
              </w:rPr>
              <w:t>未按规定做到大气污染防治6个100%工作：</w:t>
            </w:r>
            <w:r>
              <w:rPr>
                <w:rFonts w:hint="eastAsia" w:ascii="仿宋_GB2312" w:hAnsi="仿宋_GB2312" w:eastAsia="仿宋_GB2312" w:cs="仿宋_GB2312"/>
                <w:color w:val="auto"/>
                <w:highlight w:val="none"/>
              </w:rPr>
              <w:t>施工围挡及外架100%全封闭、出入口及车行道100%硬底化、出入口100%安装冲洗设施、易起尘作业面100%湿法施工、裸露土及易起尘物料100%覆盖、出入口100%安装TSP在线监测设备</w:t>
            </w:r>
            <w:r>
              <w:rPr>
                <w:rFonts w:hint="eastAsia" w:ascii="仿宋_GB2312" w:hAnsi="仿宋_GB2312" w:eastAsia="仿宋_GB2312" w:cs="仿宋_GB2312"/>
                <w:color w:val="auto"/>
                <w:szCs w:val="21"/>
                <w:highlight w:val="none"/>
              </w:rPr>
              <w:t>。</w:t>
            </w:r>
          </w:p>
        </w:tc>
        <w:tc>
          <w:tcPr>
            <w:tcW w:w="2130" w:type="dxa"/>
            <w:noWrap w:val="0"/>
            <w:vAlign w:val="center"/>
          </w:tcPr>
          <w:p>
            <w:pPr>
              <w:pStyle w:val="159"/>
              <w:spacing w:after="200" w:line="276" w:lineRule="auto"/>
              <w:jc w:val="center"/>
              <w:rPr>
                <w:rFonts w:ascii="仿宋_GB2312" w:eastAsia="仿宋_GB2312"/>
                <w:color w:val="auto"/>
                <w:szCs w:val="21"/>
                <w:highlight w:val="none"/>
              </w:rPr>
            </w:pPr>
            <w:r>
              <w:rPr>
                <w:rFonts w:hint="eastAsia" w:ascii="仿宋_GB2312" w:eastAsia="仿宋_GB2312"/>
                <w:color w:val="auto"/>
                <w:szCs w:val="21"/>
                <w:highlight w:val="none"/>
              </w:rPr>
              <w:t>2</w:t>
            </w:r>
            <w:r>
              <w:rPr>
                <w:rFonts w:ascii="仿宋_GB2312" w:eastAsia="仿宋_GB2312"/>
                <w:color w:val="auto"/>
                <w:szCs w:val="21"/>
                <w:highlight w:val="none"/>
              </w:rPr>
              <w:t>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5" w:type="dxa"/>
            <w:noWrap w:val="0"/>
            <w:vAlign w:val="center"/>
          </w:tcPr>
          <w:p>
            <w:pPr>
              <w:pStyle w:val="159"/>
              <w:spacing w:after="200" w:line="440" w:lineRule="exact"/>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2.14</w:t>
            </w:r>
          </w:p>
        </w:tc>
        <w:tc>
          <w:tcPr>
            <w:tcW w:w="10695" w:type="dxa"/>
            <w:noWrap w:val="0"/>
            <w:vAlign w:val="center"/>
          </w:tcPr>
          <w:p>
            <w:pPr>
              <w:pStyle w:val="159"/>
              <w:spacing w:after="200" w:line="440" w:lineRule="exact"/>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未按规定禁止使用高排放非道路移动机械（包括装载机、挖掘机、打桩机、压路机、混凝土输送泵等）,或使用</w:t>
            </w:r>
            <w:r>
              <w:rPr>
                <w:rFonts w:hint="eastAsia" w:ascii="仿宋_GB2312" w:hAnsi="仿宋_GB2312" w:eastAsia="仿宋_GB2312" w:cs="仿宋_GB2312"/>
                <w:color w:val="auto"/>
                <w:highlight w:val="none"/>
              </w:rPr>
              <w:t>非道路移动机械排气监测超标</w:t>
            </w:r>
            <w:r>
              <w:rPr>
                <w:rFonts w:hint="eastAsia" w:ascii="仿宋_GB2312" w:hAnsi="仿宋_GB2312" w:eastAsia="仿宋_GB2312" w:cs="仿宋_GB2312"/>
                <w:color w:val="auto"/>
                <w:szCs w:val="21"/>
                <w:highlight w:val="none"/>
              </w:rPr>
              <w:t>。</w:t>
            </w:r>
          </w:p>
        </w:tc>
        <w:tc>
          <w:tcPr>
            <w:tcW w:w="2130"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5" w:type="dxa"/>
            <w:noWrap w:val="0"/>
            <w:vAlign w:val="center"/>
          </w:tcPr>
          <w:p>
            <w:pPr>
              <w:pStyle w:val="159"/>
              <w:spacing w:after="200" w:line="440" w:lineRule="exact"/>
              <w:jc w:val="center"/>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2.15</w:t>
            </w:r>
          </w:p>
        </w:tc>
        <w:tc>
          <w:tcPr>
            <w:tcW w:w="10695" w:type="dxa"/>
            <w:noWrap w:val="0"/>
            <w:vAlign w:val="center"/>
          </w:tcPr>
          <w:p>
            <w:pPr>
              <w:pStyle w:val="159"/>
              <w:spacing w:after="200" w:line="440" w:lineRule="exact"/>
              <w:rPr>
                <w:rFonts w:ascii="仿宋_GB2312" w:hAnsi="仿宋_GB2312" w:eastAsia="仿宋_GB2312" w:cs="仿宋_GB2312"/>
                <w:color w:val="auto"/>
                <w:szCs w:val="21"/>
                <w:highlight w:val="none"/>
              </w:rPr>
            </w:pPr>
            <w:r>
              <w:rPr>
                <w:rFonts w:hint="eastAsia" w:ascii="仿宋_GB2312" w:hAnsi="仿宋_GB2312" w:eastAsia="仿宋_GB2312" w:cs="仿宋_GB2312"/>
                <w:color w:val="auto"/>
                <w:szCs w:val="21"/>
                <w:highlight w:val="none"/>
              </w:rPr>
              <w:t>未按规定排放生活污水、建筑泥浆，或被发现有违法偷排错排生活污水、建筑泥浆等行为。</w:t>
            </w:r>
          </w:p>
        </w:tc>
        <w:tc>
          <w:tcPr>
            <w:tcW w:w="2130"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20000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trPr>
        <w:tc>
          <w:tcPr>
            <w:tcW w:w="1095"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2.16</w:t>
            </w:r>
          </w:p>
        </w:tc>
        <w:tc>
          <w:tcPr>
            <w:tcW w:w="10695" w:type="dxa"/>
            <w:noWrap w:val="0"/>
            <w:vAlign w:val="center"/>
          </w:tcPr>
          <w:p>
            <w:pPr>
              <w:pStyle w:val="159"/>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未按规定办理占道、涉河、涉水、涉电、挖掘开设路口等施工手续，影响道路、河道交通、公共服务设施等安全的行为。</w:t>
            </w:r>
          </w:p>
        </w:tc>
        <w:tc>
          <w:tcPr>
            <w:tcW w:w="2130"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trPr>
        <w:tc>
          <w:tcPr>
            <w:tcW w:w="1095"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2.</w:t>
            </w:r>
            <w:r>
              <w:rPr>
                <w:rFonts w:ascii="仿宋_GB2312" w:eastAsia="仿宋_GB2312"/>
                <w:color w:val="auto"/>
                <w:szCs w:val="21"/>
                <w:highlight w:val="none"/>
              </w:rPr>
              <w:t>1</w:t>
            </w:r>
            <w:r>
              <w:rPr>
                <w:rFonts w:hint="eastAsia" w:ascii="仿宋_GB2312" w:eastAsia="仿宋_GB2312"/>
                <w:color w:val="auto"/>
                <w:szCs w:val="21"/>
                <w:highlight w:val="none"/>
              </w:rPr>
              <w:t>7</w:t>
            </w:r>
          </w:p>
        </w:tc>
        <w:tc>
          <w:tcPr>
            <w:tcW w:w="10695" w:type="dxa"/>
            <w:noWrap w:val="0"/>
            <w:vAlign w:val="center"/>
          </w:tcPr>
          <w:p>
            <w:pPr>
              <w:pStyle w:val="159"/>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未按规定安装视频监控平台。</w:t>
            </w:r>
          </w:p>
        </w:tc>
        <w:tc>
          <w:tcPr>
            <w:tcW w:w="2130" w:type="dxa"/>
            <w:noWrap w:val="0"/>
            <w:vAlign w:val="center"/>
          </w:tcPr>
          <w:p>
            <w:pPr>
              <w:pStyle w:val="159"/>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trPr>
        <w:tc>
          <w:tcPr>
            <w:tcW w:w="1095"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2.18</w:t>
            </w:r>
          </w:p>
        </w:tc>
        <w:tc>
          <w:tcPr>
            <w:tcW w:w="10695" w:type="dxa"/>
            <w:noWrap w:val="0"/>
            <w:vAlign w:val="center"/>
          </w:tcPr>
          <w:p>
            <w:pPr>
              <w:pStyle w:val="159"/>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发生安全事故，造成轻伤1人（含）以上、3人以下。</w:t>
            </w:r>
          </w:p>
        </w:tc>
        <w:tc>
          <w:tcPr>
            <w:tcW w:w="2130"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20000</w:t>
            </w:r>
          </w:p>
        </w:tc>
      </w:tr>
    </w:tbl>
    <w:p>
      <w:pPr>
        <w:pStyle w:val="159"/>
        <w:spacing w:after="200" w:line="276" w:lineRule="auto"/>
        <w:rPr>
          <w:color w:val="auto"/>
          <w:highlight w:val="none"/>
        </w:rPr>
      </w:pPr>
    </w:p>
    <w:p>
      <w:pPr>
        <w:pStyle w:val="159"/>
        <w:spacing w:after="200" w:line="440" w:lineRule="exact"/>
        <w:jc w:val="center"/>
        <w:rPr>
          <w:rFonts w:ascii="仿宋_GB2312" w:eastAsia="仿宋_GB2312"/>
          <w:b/>
          <w:bCs/>
          <w:color w:val="auto"/>
          <w:sz w:val="32"/>
          <w:szCs w:val="32"/>
          <w:highlight w:val="none"/>
        </w:rPr>
      </w:pPr>
      <w:r>
        <w:rPr>
          <w:rFonts w:ascii="仿宋_GB2312" w:eastAsia="仿宋_GB2312"/>
          <w:b/>
          <w:bCs/>
          <w:color w:val="auto"/>
          <w:sz w:val="32"/>
          <w:szCs w:val="32"/>
          <w:highlight w:val="none"/>
        </w:rPr>
        <w:br w:type="page"/>
      </w:r>
      <w:r>
        <w:rPr>
          <w:rFonts w:hint="eastAsia" w:ascii="仿宋_GB2312" w:eastAsia="仿宋_GB2312"/>
          <w:b/>
          <w:bCs/>
          <w:color w:val="auto"/>
          <w:sz w:val="32"/>
          <w:szCs w:val="32"/>
          <w:highlight w:val="none"/>
        </w:rPr>
        <w:t>施工单位安全文明施工重大责任（红色警示）违约金标准一览表</w:t>
      </w:r>
    </w:p>
    <w:tbl>
      <w:tblPr>
        <w:tblStyle w:val="43"/>
        <w:tblpPr w:leftFromText="180" w:rightFromText="180" w:vertAnchor="text" w:horzAnchor="page" w:tblpX="1424" w:tblpY="571"/>
        <w:tblOverlap w:val="never"/>
        <w:tblW w:w="139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0"/>
        <w:gridCol w:w="10575"/>
        <w:gridCol w:w="23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序号</w:t>
            </w:r>
          </w:p>
        </w:tc>
        <w:tc>
          <w:tcPr>
            <w:tcW w:w="10575"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安全与文明施工管理违规行为</w:t>
            </w:r>
          </w:p>
        </w:tc>
        <w:tc>
          <w:tcPr>
            <w:tcW w:w="2340"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违约金</w:t>
            </w:r>
          </w:p>
          <w:p>
            <w:pPr>
              <w:pStyle w:val="159"/>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w:t>
            </w:r>
            <w:r>
              <w:rPr>
                <w:rFonts w:hint="eastAsia" w:ascii="仿宋_GB2312" w:eastAsia="仿宋_GB2312"/>
                <w:color w:val="auto"/>
                <w:szCs w:val="21"/>
                <w:highlight w:val="none"/>
              </w:rPr>
              <w:t>元/条.人.处)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3.</w:t>
            </w:r>
            <w:r>
              <w:rPr>
                <w:rFonts w:ascii="仿宋_GB2312" w:eastAsia="仿宋_GB2312"/>
                <w:color w:val="auto"/>
                <w:szCs w:val="21"/>
                <w:highlight w:val="none"/>
              </w:rPr>
              <w:t>1</w:t>
            </w:r>
          </w:p>
        </w:tc>
        <w:tc>
          <w:tcPr>
            <w:tcW w:w="10575" w:type="dxa"/>
            <w:noWrap w:val="0"/>
            <w:vAlign w:val="center"/>
          </w:tcPr>
          <w:p>
            <w:pPr>
              <w:pStyle w:val="159"/>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施工区、办公区和生活区三合一。</w:t>
            </w:r>
          </w:p>
        </w:tc>
        <w:tc>
          <w:tcPr>
            <w:tcW w:w="2340" w:type="dxa"/>
            <w:noWrap w:val="0"/>
            <w:vAlign w:val="center"/>
          </w:tcPr>
          <w:p>
            <w:pPr>
              <w:pStyle w:val="159"/>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50000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3.</w:t>
            </w:r>
            <w:r>
              <w:rPr>
                <w:rFonts w:ascii="仿宋_GB2312" w:eastAsia="仿宋_GB2312"/>
                <w:color w:val="auto"/>
                <w:szCs w:val="21"/>
                <w:highlight w:val="none"/>
              </w:rPr>
              <w:t>2</w:t>
            </w:r>
          </w:p>
        </w:tc>
        <w:tc>
          <w:tcPr>
            <w:tcW w:w="10575" w:type="dxa"/>
            <w:noWrap w:val="0"/>
            <w:vAlign w:val="center"/>
          </w:tcPr>
          <w:p>
            <w:pPr>
              <w:pStyle w:val="159"/>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被责令停工后仍继续施工，或被责令整改而拒不整改或整改后仍不合格。</w:t>
            </w:r>
          </w:p>
        </w:tc>
        <w:tc>
          <w:tcPr>
            <w:tcW w:w="2340" w:type="dxa"/>
            <w:noWrap w:val="0"/>
            <w:vAlign w:val="center"/>
          </w:tcPr>
          <w:p>
            <w:pPr>
              <w:pStyle w:val="159"/>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50000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3.</w:t>
            </w:r>
            <w:r>
              <w:rPr>
                <w:rFonts w:ascii="仿宋_GB2312" w:eastAsia="仿宋_GB2312"/>
                <w:color w:val="auto"/>
                <w:szCs w:val="21"/>
                <w:highlight w:val="none"/>
              </w:rPr>
              <w:t>3</w:t>
            </w:r>
          </w:p>
        </w:tc>
        <w:tc>
          <w:tcPr>
            <w:tcW w:w="10575" w:type="dxa"/>
            <w:noWrap w:val="0"/>
            <w:vAlign w:val="center"/>
          </w:tcPr>
          <w:p>
            <w:pPr>
              <w:pStyle w:val="159"/>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违反安全文明施工有关规定，造成严重社会影响。</w:t>
            </w:r>
          </w:p>
        </w:tc>
        <w:tc>
          <w:tcPr>
            <w:tcW w:w="2340" w:type="dxa"/>
            <w:noWrap w:val="0"/>
            <w:vAlign w:val="center"/>
          </w:tcPr>
          <w:p>
            <w:pPr>
              <w:pStyle w:val="159"/>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50000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3.</w:t>
            </w:r>
            <w:r>
              <w:rPr>
                <w:rFonts w:ascii="仿宋_GB2312" w:eastAsia="仿宋_GB2312"/>
                <w:color w:val="auto"/>
                <w:szCs w:val="21"/>
                <w:highlight w:val="none"/>
              </w:rPr>
              <w:t>4</w:t>
            </w:r>
          </w:p>
        </w:tc>
        <w:tc>
          <w:tcPr>
            <w:tcW w:w="10575" w:type="dxa"/>
            <w:noWrap w:val="0"/>
            <w:vAlign w:val="center"/>
          </w:tcPr>
          <w:p>
            <w:pPr>
              <w:pStyle w:val="159"/>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发生安全事故，造成轻伤</w:t>
            </w:r>
            <w:r>
              <w:rPr>
                <w:rFonts w:ascii="仿宋_GB2312" w:eastAsia="仿宋_GB2312"/>
                <w:color w:val="auto"/>
                <w:szCs w:val="21"/>
                <w:highlight w:val="none"/>
              </w:rPr>
              <w:t>3</w:t>
            </w:r>
            <w:r>
              <w:rPr>
                <w:rFonts w:hint="eastAsia" w:ascii="仿宋_GB2312" w:eastAsia="仿宋_GB2312"/>
                <w:color w:val="auto"/>
                <w:szCs w:val="21"/>
                <w:highlight w:val="none"/>
              </w:rPr>
              <w:t>人</w:t>
            </w:r>
            <w:r>
              <w:rPr>
                <w:rFonts w:ascii="仿宋_GB2312" w:eastAsia="仿宋_GB2312"/>
                <w:color w:val="auto"/>
                <w:szCs w:val="21"/>
                <w:highlight w:val="none"/>
              </w:rPr>
              <w:t>(</w:t>
            </w:r>
            <w:r>
              <w:rPr>
                <w:rFonts w:hint="eastAsia" w:ascii="仿宋_GB2312" w:eastAsia="仿宋_GB2312"/>
                <w:color w:val="auto"/>
                <w:szCs w:val="21"/>
                <w:highlight w:val="none"/>
              </w:rPr>
              <w:t>含</w:t>
            </w:r>
            <w:r>
              <w:rPr>
                <w:rFonts w:ascii="仿宋_GB2312" w:eastAsia="仿宋_GB2312"/>
                <w:color w:val="auto"/>
                <w:szCs w:val="21"/>
                <w:highlight w:val="none"/>
              </w:rPr>
              <w:t>)</w:t>
            </w:r>
            <w:r>
              <w:rPr>
                <w:rFonts w:hint="eastAsia" w:ascii="仿宋_GB2312" w:eastAsia="仿宋_GB2312"/>
                <w:color w:val="auto"/>
                <w:szCs w:val="21"/>
                <w:highlight w:val="none"/>
              </w:rPr>
              <w:t>以上或重伤、死亡</w:t>
            </w:r>
            <w:r>
              <w:rPr>
                <w:rFonts w:ascii="仿宋_GB2312" w:eastAsia="仿宋_GB2312"/>
                <w:color w:val="auto"/>
                <w:szCs w:val="21"/>
                <w:highlight w:val="none"/>
              </w:rPr>
              <w:t>1</w:t>
            </w:r>
            <w:r>
              <w:rPr>
                <w:rFonts w:hint="eastAsia" w:ascii="仿宋_GB2312" w:eastAsia="仿宋_GB2312"/>
                <w:color w:val="auto"/>
                <w:szCs w:val="21"/>
                <w:highlight w:val="none"/>
              </w:rPr>
              <w:t>人</w:t>
            </w:r>
            <w:r>
              <w:rPr>
                <w:rFonts w:ascii="仿宋_GB2312" w:eastAsia="仿宋_GB2312"/>
                <w:color w:val="auto"/>
                <w:szCs w:val="21"/>
                <w:highlight w:val="none"/>
              </w:rPr>
              <w:t>(</w:t>
            </w:r>
            <w:r>
              <w:rPr>
                <w:rFonts w:hint="eastAsia" w:ascii="仿宋_GB2312" w:eastAsia="仿宋_GB2312"/>
                <w:color w:val="auto"/>
                <w:szCs w:val="21"/>
                <w:highlight w:val="none"/>
              </w:rPr>
              <w:t>含</w:t>
            </w:r>
            <w:r>
              <w:rPr>
                <w:rFonts w:ascii="仿宋_GB2312" w:eastAsia="仿宋_GB2312"/>
                <w:color w:val="auto"/>
                <w:szCs w:val="21"/>
                <w:highlight w:val="none"/>
              </w:rPr>
              <w:t>)</w:t>
            </w:r>
            <w:r>
              <w:rPr>
                <w:rFonts w:hint="eastAsia" w:ascii="仿宋_GB2312" w:eastAsia="仿宋_GB2312"/>
                <w:color w:val="auto"/>
                <w:szCs w:val="21"/>
                <w:highlight w:val="none"/>
              </w:rPr>
              <w:t>以上。</w:t>
            </w:r>
          </w:p>
        </w:tc>
        <w:tc>
          <w:tcPr>
            <w:tcW w:w="2340" w:type="dxa"/>
            <w:noWrap w:val="0"/>
            <w:vAlign w:val="center"/>
          </w:tcPr>
          <w:p>
            <w:pPr>
              <w:pStyle w:val="159"/>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50000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80" w:type="dxa"/>
            <w:noWrap w:val="0"/>
            <w:vAlign w:val="center"/>
          </w:tcPr>
          <w:p>
            <w:pPr>
              <w:pStyle w:val="159"/>
              <w:spacing w:after="200" w:line="440" w:lineRule="exact"/>
              <w:jc w:val="center"/>
              <w:rPr>
                <w:rFonts w:ascii="仿宋_GB2312" w:eastAsia="仿宋_GB2312"/>
                <w:color w:val="auto"/>
                <w:szCs w:val="21"/>
                <w:highlight w:val="none"/>
              </w:rPr>
            </w:pPr>
            <w:r>
              <w:rPr>
                <w:rFonts w:hint="eastAsia" w:ascii="仿宋_GB2312" w:eastAsia="仿宋_GB2312"/>
                <w:color w:val="auto"/>
                <w:szCs w:val="21"/>
                <w:highlight w:val="none"/>
              </w:rPr>
              <w:t>3.</w:t>
            </w:r>
            <w:r>
              <w:rPr>
                <w:rFonts w:ascii="仿宋_GB2312" w:eastAsia="仿宋_GB2312"/>
                <w:color w:val="auto"/>
                <w:szCs w:val="21"/>
                <w:highlight w:val="none"/>
              </w:rPr>
              <w:t>5</w:t>
            </w:r>
          </w:p>
        </w:tc>
        <w:tc>
          <w:tcPr>
            <w:tcW w:w="10575" w:type="dxa"/>
            <w:noWrap w:val="0"/>
            <w:vAlign w:val="center"/>
          </w:tcPr>
          <w:p>
            <w:pPr>
              <w:pStyle w:val="159"/>
              <w:spacing w:after="200" w:line="440" w:lineRule="exact"/>
              <w:rPr>
                <w:rFonts w:ascii="仿宋_GB2312" w:eastAsia="仿宋_GB2312"/>
                <w:color w:val="auto"/>
                <w:szCs w:val="21"/>
                <w:highlight w:val="none"/>
              </w:rPr>
            </w:pPr>
            <w:r>
              <w:rPr>
                <w:rFonts w:hint="eastAsia" w:ascii="仿宋_GB2312" w:eastAsia="仿宋_GB2312"/>
                <w:color w:val="auto"/>
                <w:szCs w:val="21"/>
                <w:highlight w:val="none"/>
              </w:rPr>
              <w:t>发生安全事故隐瞒不报。</w:t>
            </w:r>
          </w:p>
        </w:tc>
        <w:tc>
          <w:tcPr>
            <w:tcW w:w="2340" w:type="dxa"/>
            <w:noWrap w:val="0"/>
            <w:vAlign w:val="center"/>
          </w:tcPr>
          <w:p>
            <w:pPr>
              <w:pStyle w:val="159"/>
              <w:spacing w:after="200" w:line="440" w:lineRule="exact"/>
              <w:jc w:val="center"/>
              <w:rPr>
                <w:rFonts w:ascii="仿宋_GB2312" w:eastAsia="仿宋_GB2312"/>
                <w:color w:val="auto"/>
                <w:szCs w:val="21"/>
                <w:highlight w:val="none"/>
              </w:rPr>
            </w:pPr>
            <w:r>
              <w:rPr>
                <w:rFonts w:ascii="仿宋_GB2312" w:eastAsia="仿宋_GB2312"/>
                <w:color w:val="auto"/>
                <w:szCs w:val="21"/>
                <w:highlight w:val="none"/>
              </w:rPr>
              <w:t>100000</w:t>
            </w:r>
          </w:p>
        </w:tc>
      </w:tr>
    </w:tbl>
    <w:p>
      <w:pPr>
        <w:pStyle w:val="159"/>
        <w:spacing w:after="200" w:line="440" w:lineRule="exact"/>
        <w:jc w:val="center"/>
        <w:rPr>
          <w:rFonts w:ascii="仿宋_GB2312" w:eastAsia="仿宋_GB2312"/>
          <w:b/>
          <w:bCs/>
          <w:color w:val="auto"/>
          <w:sz w:val="32"/>
          <w:szCs w:val="32"/>
          <w:highlight w:val="none"/>
        </w:rPr>
        <w:sectPr>
          <w:pgSz w:w="16840" w:h="11907" w:orient="landscape"/>
          <w:pgMar w:top="1418" w:right="1418" w:bottom="1418" w:left="1418" w:header="851" w:footer="992" w:gutter="0"/>
          <w:cols w:space="720" w:num="1"/>
          <w:docGrid w:linePitch="312" w:charSpace="0"/>
        </w:sectPr>
      </w:pPr>
    </w:p>
    <w:p>
      <w:pPr>
        <w:pStyle w:val="159"/>
        <w:spacing w:after="200" w:line="440" w:lineRule="exact"/>
        <w:outlineLvl w:val="2"/>
        <w:rPr>
          <w:rFonts w:ascii="宋体" w:hAnsi="宋体" w:cs="宋体"/>
          <w:b/>
          <w:bCs/>
          <w:color w:val="auto"/>
          <w:sz w:val="24"/>
          <w:highlight w:val="none"/>
        </w:rPr>
      </w:pPr>
      <w:bookmarkStart w:id="7539" w:name="_Toc69114114"/>
      <w:r>
        <w:rPr>
          <w:rFonts w:hint="eastAsia" w:ascii="宋体" w:hAnsi="宋体" w:cs="宋体"/>
          <w:b/>
          <w:bCs/>
          <w:color w:val="auto"/>
          <w:sz w:val="24"/>
          <w:highlight w:val="none"/>
        </w:rPr>
        <w:t>附件</w:t>
      </w:r>
      <w:r>
        <w:rPr>
          <w:rFonts w:ascii="宋体" w:hAnsi="宋体" w:cs="宋体"/>
          <w:b/>
          <w:bCs/>
          <w:color w:val="auto"/>
          <w:sz w:val="24"/>
          <w:highlight w:val="none"/>
        </w:rPr>
        <w:t>3</w:t>
      </w:r>
      <w:r>
        <w:rPr>
          <w:rFonts w:hint="eastAsia" w:ascii="宋体" w:hAnsi="宋体" w:cs="宋体"/>
          <w:b/>
          <w:bCs/>
          <w:color w:val="auto"/>
          <w:sz w:val="24"/>
          <w:highlight w:val="none"/>
        </w:rPr>
        <w:t>：《工程技术规范及要求》</w:t>
      </w:r>
      <w:bookmarkEnd w:id="7539"/>
    </w:p>
    <w:p>
      <w:pPr>
        <w:spacing w:before="100" w:beforeAutospacing="1" w:after="100" w:afterAutospacing="1" w:line="360" w:lineRule="auto"/>
        <w:jc w:val="center"/>
        <w:outlineLvl w:val="1"/>
        <w:rPr>
          <w:rFonts w:ascii="宋体" w:hAnsi="宋体"/>
          <w:b/>
          <w:color w:val="auto"/>
          <w:sz w:val="32"/>
          <w:highlight w:val="none"/>
        </w:rPr>
      </w:pPr>
      <w:bookmarkStart w:id="7540" w:name="_Toc517532335"/>
      <w:bookmarkStart w:id="7541" w:name="_Toc66634374"/>
      <w:bookmarkStart w:id="7542" w:name="_Toc517528821"/>
      <w:bookmarkStart w:id="7543" w:name="_Toc405968567"/>
      <w:bookmarkStart w:id="7544" w:name="_Toc69114115"/>
      <w:bookmarkStart w:id="7545" w:name="_Toc517529777"/>
      <w:bookmarkStart w:id="7546" w:name="_Toc517531059"/>
      <w:bookmarkStart w:id="7547" w:name="_Toc66890369"/>
      <w:r>
        <w:rPr>
          <w:rFonts w:hint="eastAsia" w:ascii="宋体" w:hAnsi="宋体"/>
          <w:b/>
          <w:color w:val="auto"/>
          <w:sz w:val="32"/>
          <w:highlight w:val="none"/>
        </w:rPr>
        <w:t>一、一般标准和技术规范</w:t>
      </w:r>
      <w:bookmarkEnd w:id="7540"/>
      <w:bookmarkEnd w:id="7541"/>
      <w:bookmarkEnd w:id="7542"/>
      <w:bookmarkEnd w:id="7543"/>
      <w:bookmarkEnd w:id="7544"/>
      <w:bookmarkEnd w:id="7545"/>
      <w:bookmarkEnd w:id="7546"/>
      <w:bookmarkEnd w:id="7547"/>
    </w:p>
    <w:p>
      <w:pPr>
        <w:pStyle w:val="20"/>
        <w:spacing w:line="360" w:lineRule="auto"/>
        <w:ind w:firstLine="480" w:firstLineChars="200"/>
        <w:jc w:val="left"/>
        <w:rPr>
          <w:b/>
          <w:color w:val="auto"/>
          <w:sz w:val="24"/>
          <w:highlight w:val="none"/>
        </w:rPr>
      </w:pPr>
      <w:r>
        <w:rPr>
          <w:rFonts w:hint="eastAsia"/>
          <w:b/>
          <w:color w:val="auto"/>
          <w:sz w:val="24"/>
          <w:highlight w:val="none"/>
        </w:rPr>
        <w:t>1.一般标准和技术规范</w:t>
      </w:r>
    </w:p>
    <w:p>
      <w:pPr>
        <w:pStyle w:val="20"/>
        <w:spacing w:line="360" w:lineRule="auto"/>
        <w:ind w:firstLine="480" w:firstLineChars="200"/>
        <w:jc w:val="left"/>
        <w:rPr>
          <w:color w:val="auto"/>
          <w:sz w:val="24"/>
          <w:highlight w:val="none"/>
        </w:rPr>
      </w:pPr>
      <w:r>
        <w:rPr>
          <w:rFonts w:hint="eastAsia"/>
          <w:color w:val="auto"/>
          <w:sz w:val="24"/>
          <w:highlight w:val="none"/>
        </w:rPr>
        <w:t>1.1本工程的材料、设备、施工必须符合现行国家、行业及工程所在地地方标准和技术规范的要求。</w:t>
      </w:r>
    </w:p>
    <w:p>
      <w:pPr>
        <w:spacing w:before="260" w:line="416" w:lineRule="auto"/>
        <w:jc w:val="center"/>
        <w:outlineLvl w:val="1"/>
        <w:rPr>
          <w:rFonts w:ascii="宋体" w:hAnsi="宋体"/>
          <w:b/>
          <w:color w:val="auto"/>
          <w:sz w:val="32"/>
          <w:highlight w:val="none"/>
        </w:rPr>
      </w:pPr>
      <w:bookmarkStart w:id="7548" w:name="_Toc405968568"/>
      <w:bookmarkStart w:id="7549" w:name="_Toc517529778"/>
      <w:bookmarkStart w:id="7550" w:name="_Toc66634375"/>
      <w:bookmarkStart w:id="7551" w:name="_Toc517531060"/>
      <w:bookmarkStart w:id="7552" w:name="_Toc517532336"/>
      <w:bookmarkStart w:id="7553" w:name="_Toc517528822"/>
      <w:bookmarkStart w:id="7554" w:name="_Toc66890370"/>
      <w:bookmarkStart w:id="7555" w:name="_Toc69114116"/>
      <w:r>
        <w:rPr>
          <w:rFonts w:hint="eastAsia" w:ascii="宋体" w:hAnsi="宋体"/>
          <w:b/>
          <w:color w:val="auto"/>
          <w:sz w:val="32"/>
          <w:highlight w:val="none"/>
        </w:rPr>
        <w:t>二、特殊标准和技术规范</w:t>
      </w:r>
      <w:bookmarkEnd w:id="7548"/>
      <w:bookmarkEnd w:id="7549"/>
      <w:bookmarkEnd w:id="7550"/>
      <w:bookmarkEnd w:id="7551"/>
      <w:bookmarkEnd w:id="7552"/>
      <w:bookmarkEnd w:id="7553"/>
      <w:bookmarkEnd w:id="7554"/>
      <w:bookmarkEnd w:id="7555"/>
    </w:p>
    <w:p>
      <w:pPr>
        <w:pStyle w:val="20"/>
        <w:spacing w:line="360" w:lineRule="auto"/>
        <w:ind w:firstLine="480" w:firstLineChars="200"/>
        <w:jc w:val="left"/>
        <w:rPr>
          <w:b/>
          <w:color w:val="auto"/>
          <w:sz w:val="24"/>
          <w:highlight w:val="none"/>
        </w:rPr>
      </w:pPr>
      <w:r>
        <w:rPr>
          <w:rFonts w:hint="eastAsia"/>
          <w:b/>
          <w:color w:val="auto"/>
          <w:sz w:val="24"/>
          <w:highlight w:val="none"/>
        </w:rPr>
        <w:t>2.特殊标准和技术规范</w:t>
      </w:r>
    </w:p>
    <w:p>
      <w:pPr>
        <w:pStyle w:val="20"/>
        <w:spacing w:line="360" w:lineRule="auto"/>
        <w:ind w:firstLine="480" w:firstLineChars="200"/>
        <w:jc w:val="left"/>
        <w:rPr>
          <w:color w:val="auto"/>
          <w:sz w:val="24"/>
          <w:highlight w:val="none"/>
        </w:rPr>
      </w:pPr>
      <w:r>
        <w:rPr>
          <w:rFonts w:hint="eastAsia"/>
          <w:color w:val="auto"/>
          <w:sz w:val="24"/>
          <w:highlight w:val="none"/>
        </w:rPr>
        <w:t>2.1本工程应符合质量标准。</w:t>
      </w:r>
    </w:p>
    <w:p>
      <w:pPr>
        <w:pStyle w:val="20"/>
        <w:spacing w:line="360" w:lineRule="auto"/>
        <w:ind w:firstLine="480" w:firstLineChars="200"/>
        <w:jc w:val="left"/>
        <w:rPr>
          <w:color w:val="auto"/>
          <w:sz w:val="24"/>
          <w:highlight w:val="none"/>
        </w:rPr>
      </w:pPr>
      <w:r>
        <w:rPr>
          <w:color w:val="auto"/>
          <w:sz w:val="24"/>
          <w:highlight w:val="none"/>
        </w:rPr>
        <w:t>2.2</w:t>
      </w:r>
      <w:r>
        <w:rPr>
          <w:rFonts w:hint="eastAsia"/>
          <w:color w:val="auto"/>
          <w:sz w:val="24"/>
          <w:highlight w:val="none"/>
        </w:rPr>
        <w:t>根据设计要求，本工程中下列材料、设备、施工必须相应符合下列标准和技术规范的要求(列出特殊的材料、设备、施工及相应标准和技术规范名称)：无</w:t>
      </w:r>
    </w:p>
    <w:p>
      <w:pPr>
        <w:pStyle w:val="20"/>
        <w:jc w:val="left"/>
        <w:rPr>
          <w:color w:val="auto"/>
          <w:sz w:val="24"/>
          <w:highlight w:val="none"/>
        </w:rPr>
      </w:pPr>
    </w:p>
    <w:p>
      <w:pPr>
        <w:pStyle w:val="20"/>
        <w:jc w:val="left"/>
        <w:rPr>
          <w:color w:val="auto"/>
          <w:sz w:val="24"/>
          <w:highlight w:val="none"/>
        </w:rPr>
      </w:pPr>
    </w:p>
    <w:p>
      <w:pPr>
        <w:spacing w:before="260" w:after="260" w:line="416" w:lineRule="auto"/>
        <w:jc w:val="center"/>
        <w:outlineLvl w:val="1"/>
        <w:rPr>
          <w:rFonts w:ascii="宋体" w:hAnsi="宋体" w:cs="宋体"/>
          <w:b/>
          <w:bCs/>
          <w:color w:val="auto"/>
          <w:kern w:val="0"/>
          <w:sz w:val="32"/>
          <w:szCs w:val="32"/>
          <w:highlight w:val="none"/>
          <w:u w:val="single"/>
        </w:rPr>
      </w:pPr>
      <w:bookmarkStart w:id="7556" w:name="_Toc405968569"/>
      <w:bookmarkStart w:id="7557" w:name="_Toc69114117"/>
      <w:bookmarkStart w:id="7558" w:name="_Toc517531061"/>
      <w:bookmarkStart w:id="7559" w:name="_Toc517532337"/>
      <w:bookmarkStart w:id="7560" w:name="_Toc66890371"/>
      <w:bookmarkStart w:id="7561" w:name="_Toc517528823"/>
      <w:bookmarkStart w:id="7562" w:name="_Toc517529779"/>
      <w:bookmarkStart w:id="7563" w:name="_Toc66634376"/>
      <w:r>
        <w:rPr>
          <w:rFonts w:hint="eastAsia" w:ascii="宋体" w:hAnsi="宋体"/>
          <w:b/>
          <w:color w:val="auto"/>
          <w:sz w:val="32"/>
          <w:highlight w:val="none"/>
        </w:rPr>
        <w:t>三、工程技术要求</w:t>
      </w:r>
      <w:bookmarkEnd w:id="7556"/>
      <w:bookmarkEnd w:id="7557"/>
      <w:bookmarkEnd w:id="7558"/>
      <w:bookmarkEnd w:id="7559"/>
      <w:bookmarkEnd w:id="7560"/>
      <w:bookmarkEnd w:id="7561"/>
      <w:bookmarkEnd w:id="7562"/>
      <w:bookmarkEnd w:id="7563"/>
      <w:bookmarkStart w:id="7564" w:name="A24"/>
      <w:bookmarkEnd w:id="7564"/>
      <w:bookmarkStart w:id="7565" w:name="A12"/>
      <w:bookmarkEnd w:id="7565"/>
      <w:bookmarkStart w:id="7566" w:name="A27"/>
      <w:bookmarkEnd w:id="7566"/>
      <w:bookmarkStart w:id="7567" w:name="D43"/>
      <w:bookmarkEnd w:id="7567"/>
      <w:bookmarkStart w:id="7568" w:name="A23"/>
      <w:bookmarkEnd w:id="7568"/>
      <w:bookmarkStart w:id="7569" w:name="A25"/>
      <w:bookmarkEnd w:id="7569"/>
      <w:bookmarkStart w:id="7570" w:name="A15"/>
      <w:bookmarkEnd w:id="7570"/>
      <w:bookmarkStart w:id="7571" w:name="A210"/>
      <w:bookmarkEnd w:id="7571"/>
      <w:bookmarkStart w:id="7572" w:name="A11"/>
      <w:bookmarkEnd w:id="7572"/>
      <w:bookmarkStart w:id="7573" w:name="A29"/>
      <w:bookmarkEnd w:id="7573"/>
      <w:bookmarkStart w:id="7574" w:name="A26"/>
      <w:bookmarkEnd w:id="7574"/>
      <w:bookmarkStart w:id="7575" w:name="A16"/>
      <w:bookmarkEnd w:id="7575"/>
      <w:bookmarkStart w:id="7576" w:name="A14"/>
      <w:bookmarkEnd w:id="7576"/>
      <w:bookmarkStart w:id="7577" w:name="A17"/>
      <w:bookmarkEnd w:id="7577"/>
      <w:bookmarkStart w:id="7578" w:name="C34"/>
      <w:bookmarkEnd w:id="7578"/>
      <w:bookmarkStart w:id="7579" w:name="A13"/>
      <w:bookmarkEnd w:id="7579"/>
    </w:p>
    <w:p>
      <w:pPr>
        <w:pStyle w:val="20"/>
        <w:jc w:val="left"/>
        <w:rPr>
          <w:color w:val="auto"/>
          <w:sz w:val="24"/>
          <w:highlight w:val="none"/>
        </w:rPr>
      </w:pPr>
    </w:p>
    <w:p>
      <w:pPr>
        <w:pStyle w:val="20"/>
        <w:jc w:val="left"/>
        <w:rPr>
          <w:color w:val="auto"/>
          <w:sz w:val="24"/>
          <w:highlight w:val="none"/>
        </w:rPr>
      </w:pPr>
    </w:p>
    <w:p>
      <w:pPr>
        <w:pStyle w:val="20"/>
        <w:jc w:val="left"/>
        <w:rPr>
          <w:color w:val="auto"/>
          <w:sz w:val="24"/>
          <w:highlight w:val="none"/>
        </w:rPr>
      </w:pPr>
    </w:p>
    <w:p>
      <w:pPr>
        <w:pStyle w:val="20"/>
        <w:jc w:val="left"/>
        <w:rPr>
          <w:color w:val="auto"/>
          <w:sz w:val="24"/>
          <w:highlight w:val="none"/>
        </w:rPr>
      </w:pPr>
    </w:p>
    <w:p>
      <w:pPr>
        <w:pStyle w:val="20"/>
        <w:jc w:val="left"/>
        <w:rPr>
          <w:color w:val="auto"/>
          <w:sz w:val="24"/>
          <w:highlight w:val="none"/>
        </w:rPr>
      </w:pPr>
    </w:p>
    <w:p>
      <w:pPr>
        <w:pStyle w:val="20"/>
        <w:jc w:val="left"/>
        <w:rPr>
          <w:color w:val="auto"/>
          <w:sz w:val="24"/>
          <w:highlight w:val="none"/>
        </w:rPr>
      </w:pPr>
    </w:p>
    <w:p>
      <w:pPr>
        <w:pStyle w:val="20"/>
        <w:jc w:val="left"/>
        <w:rPr>
          <w:color w:val="auto"/>
          <w:sz w:val="24"/>
          <w:highlight w:val="none"/>
        </w:rPr>
      </w:pPr>
    </w:p>
    <w:p>
      <w:pPr>
        <w:pStyle w:val="20"/>
        <w:jc w:val="left"/>
        <w:rPr>
          <w:color w:val="auto"/>
          <w:sz w:val="24"/>
          <w:highlight w:val="none"/>
        </w:rPr>
      </w:pPr>
    </w:p>
    <w:p>
      <w:pPr>
        <w:pStyle w:val="20"/>
        <w:jc w:val="left"/>
        <w:rPr>
          <w:color w:val="auto"/>
          <w:sz w:val="24"/>
          <w:highlight w:val="none"/>
        </w:rPr>
      </w:pPr>
    </w:p>
    <w:p>
      <w:pPr>
        <w:pStyle w:val="20"/>
        <w:jc w:val="left"/>
        <w:rPr>
          <w:color w:val="auto"/>
          <w:sz w:val="24"/>
          <w:highlight w:val="none"/>
        </w:rPr>
      </w:pPr>
    </w:p>
    <w:p>
      <w:pPr>
        <w:pStyle w:val="20"/>
        <w:jc w:val="left"/>
        <w:rPr>
          <w:color w:val="auto"/>
          <w:sz w:val="24"/>
          <w:highlight w:val="none"/>
        </w:rPr>
      </w:pPr>
    </w:p>
    <w:p>
      <w:pPr>
        <w:pStyle w:val="20"/>
        <w:jc w:val="left"/>
        <w:rPr>
          <w:color w:val="auto"/>
          <w:sz w:val="24"/>
          <w:highlight w:val="none"/>
        </w:rPr>
      </w:pPr>
    </w:p>
    <w:p>
      <w:pPr>
        <w:pStyle w:val="20"/>
        <w:jc w:val="left"/>
        <w:rPr>
          <w:color w:val="auto"/>
          <w:sz w:val="24"/>
          <w:highlight w:val="none"/>
        </w:rPr>
      </w:pPr>
    </w:p>
    <w:p>
      <w:pPr>
        <w:widowControl/>
        <w:jc w:val="left"/>
        <w:rPr>
          <w:color w:val="auto"/>
          <w:highlight w:val="none"/>
        </w:rPr>
      </w:pPr>
      <w:r>
        <w:rPr>
          <w:color w:val="auto"/>
          <w:sz w:val="24"/>
          <w:highlight w:val="none"/>
        </w:rPr>
        <w:br w:type="page"/>
      </w:r>
    </w:p>
    <w:p>
      <w:pPr>
        <w:widowControl/>
        <w:jc w:val="left"/>
        <w:rPr>
          <w:color w:val="auto"/>
          <w:highlight w:val="none"/>
        </w:rPr>
      </w:pPr>
    </w:p>
    <w:p>
      <w:pPr>
        <w:widowControl/>
        <w:jc w:val="left"/>
        <w:rPr>
          <w:color w:val="auto"/>
          <w:highlight w:val="none"/>
        </w:rPr>
      </w:pPr>
    </w:p>
    <w:p>
      <w:pPr>
        <w:widowControl/>
        <w:jc w:val="left"/>
        <w:rPr>
          <w:color w:val="auto"/>
          <w:highlight w:val="none"/>
        </w:rPr>
      </w:pPr>
    </w:p>
    <w:p>
      <w:pPr>
        <w:widowControl/>
        <w:jc w:val="left"/>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2"/>
        <w:outlineLvl w:val="0"/>
        <w:rPr>
          <w:color w:val="auto"/>
          <w:highlight w:val="none"/>
        </w:rPr>
      </w:pPr>
      <w:bookmarkStart w:id="7580" w:name="_Toc69114118"/>
      <w:bookmarkStart w:id="7581" w:name="_Toc66890372"/>
      <w:bookmarkStart w:id="7582" w:name="_Toc505345690"/>
      <w:bookmarkStart w:id="7583" w:name="_Toc66634377"/>
      <w:r>
        <w:rPr>
          <w:rFonts w:hint="eastAsia"/>
          <w:color w:val="auto"/>
          <w:highlight w:val="none"/>
        </w:rPr>
        <w:t>第一部分</w:t>
      </w:r>
      <w:r>
        <w:rPr>
          <w:color w:val="auto"/>
          <w:highlight w:val="none"/>
        </w:rPr>
        <w:t xml:space="preserve">  </w:t>
      </w:r>
      <w:r>
        <w:rPr>
          <w:rFonts w:hint="eastAsia"/>
          <w:color w:val="auto"/>
          <w:highlight w:val="none"/>
        </w:rPr>
        <w:t>总则</w:t>
      </w:r>
      <w:bookmarkEnd w:id="7580"/>
      <w:bookmarkEnd w:id="7581"/>
      <w:bookmarkEnd w:id="7582"/>
      <w:bookmarkEnd w:id="7583"/>
    </w:p>
    <w:p>
      <w:pPr>
        <w:widowControl/>
        <w:jc w:val="left"/>
        <w:rPr>
          <w:rFonts w:hint="eastAsia" w:ascii="Times New Roman" w:hAnsi="Times New Roman"/>
          <w:color w:val="auto"/>
          <w:sz w:val="44"/>
          <w:szCs w:val="24"/>
          <w:highlight w:val="none"/>
        </w:rPr>
      </w:pPr>
    </w:p>
    <w:p>
      <w:pPr>
        <w:pStyle w:val="188"/>
        <w:spacing w:before="120" w:after="120"/>
        <w:ind w:firstLine="480"/>
        <w:outlineLvl w:val="1"/>
        <w:rPr>
          <w:color w:val="auto"/>
          <w:highlight w:val="none"/>
        </w:rPr>
      </w:pPr>
      <w:r>
        <w:rPr>
          <w:color w:val="auto"/>
          <w:sz w:val="24"/>
          <w:highlight w:val="none"/>
        </w:rPr>
        <w:br w:type="page"/>
      </w:r>
      <w:bookmarkStart w:id="7584" w:name="_Toc505345691"/>
      <w:bookmarkStart w:id="7585" w:name="_Toc66890373"/>
      <w:bookmarkStart w:id="7586" w:name="_Toc69114119"/>
      <w:bookmarkStart w:id="7587" w:name="_Toc66634378"/>
      <w:r>
        <w:rPr>
          <w:rFonts w:hint="eastAsia"/>
          <w:color w:val="auto"/>
          <w:highlight w:val="none"/>
        </w:rPr>
        <w:t>第</w:t>
      </w:r>
      <w:r>
        <w:rPr>
          <w:color w:val="auto"/>
          <w:highlight w:val="none"/>
        </w:rPr>
        <w:t>1</w:t>
      </w:r>
      <w:r>
        <w:rPr>
          <w:rFonts w:hint="eastAsia"/>
          <w:color w:val="auto"/>
          <w:highlight w:val="none"/>
        </w:rPr>
        <w:t>章</w:t>
      </w:r>
      <w:r>
        <w:rPr>
          <w:color w:val="auto"/>
          <w:highlight w:val="none"/>
        </w:rPr>
        <w:t xml:space="preserve">  </w:t>
      </w:r>
      <w:r>
        <w:rPr>
          <w:rFonts w:hint="eastAsia"/>
          <w:color w:val="auto"/>
          <w:highlight w:val="none"/>
        </w:rPr>
        <w:t>概述</w:t>
      </w:r>
      <w:bookmarkEnd w:id="7584"/>
      <w:bookmarkEnd w:id="7585"/>
      <w:bookmarkEnd w:id="7586"/>
      <w:bookmarkEnd w:id="7587"/>
    </w:p>
    <w:p>
      <w:pPr>
        <w:pStyle w:val="113"/>
        <w:spacing w:before="120" w:after="120"/>
        <w:rPr>
          <w:color w:val="auto"/>
          <w:highlight w:val="none"/>
        </w:rPr>
      </w:pPr>
      <w:r>
        <w:rPr>
          <w:color w:val="auto"/>
          <w:highlight w:val="none"/>
        </w:rPr>
        <w:t xml:space="preserve">1. </w:t>
      </w:r>
      <w:r>
        <w:rPr>
          <w:rFonts w:hint="eastAsia"/>
          <w:color w:val="auto"/>
          <w:highlight w:val="none"/>
        </w:rPr>
        <w:t>以下给出的工程介绍不应认为是全面的</w:t>
      </w:r>
    </w:p>
    <w:p>
      <w:pPr>
        <w:spacing w:line="360" w:lineRule="auto"/>
        <w:ind w:firstLine="480" w:firstLineChars="200"/>
        <w:rPr>
          <w:rFonts w:ascii="宋体"/>
          <w:b/>
          <w:color w:val="auto"/>
          <w:sz w:val="24"/>
          <w:highlight w:val="none"/>
          <w:u w:val="single"/>
        </w:rPr>
      </w:pPr>
      <w:r>
        <w:rPr>
          <w:rFonts w:hint="eastAsia" w:ascii="宋体" w:hAnsi="宋体"/>
          <w:b/>
          <w:color w:val="auto"/>
          <w:sz w:val="24"/>
          <w:highlight w:val="none"/>
          <w:u w:val="single"/>
        </w:rPr>
        <w:t>（</w:t>
      </w:r>
      <w:r>
        <w:rPr>
          <w:rFonts w:ascii="宋体" w:hAnsi="宋体"/>
          <w:b/>
          <w:color w:val="auto"/>
          <w:sz w:val="24"/>
          <w:highlight w:val="none"/>
          <w:u w:val="single"/>
        </w:rPr>
        <w:t>1</w:t>
      </w:r>
      <w:r>
        <w:rPr>
          <w:rFonts w:hint="eastAsia" w:ascii="宋体" w:hAnsi="宋体"/>
          <w:b/>
          <w:color w:val="auto"/>
          <w:sz w:val="24"/>
          <w:highlight w:val="none"/>
          <w:u w:val="single"/>
        </w:rPr>
        <w:t>）本项目判定工程合格与否以发包人质量标准为依据：如发包人标准（即招标人制定的技术标准、图集、工艺指引等）高于相关国家和地方施工质量验收“合格”标准的，则发包范围内的工程须同时符合发包人标准方视为合格；除以上情形外，满足相关国家和地方的施工质量验收“合格”标准即视为合格。</w:t>
      </w:r>
    </w:p>
    <w:p>
      <w:pPr>
        <w:spacing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）本工程各类材料、设备采购及施工均应严格按照设计图纸及招标文件进行，在满足上述要求外，尚应符合国家、行业、广东省及深圳市现行法规、规范等要求。</w:t>
      </w:r>
    </w:p>
    <w:p>
      <w:pPr>
        <w:spacing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）如国家或行业规范与深圳地区规范有差异时，除建筑设计师或工程师有特别申明外，承包人应按较严格者为准。</w:t>
      </w:r>
    </w:p>
    <w:p>
      <w:pPr>
        <w:spacing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4</w:t>
      </w:r>
      <w:r>
        <w:rPr>
          <w:rFonts w:hint="eastAsia" w:ascii="宋体" w:hAnsi="宋体"/>
          <w:color w:val="auto"/>
          <w:sz w:val="24"/>
          <w:highlight w:val="none"/>
        </w:rPr>
        <w:t>）本技术篇章所列技术标准及要求，应以发包人标准（即招标人制定的技术标准、图集、工艺指引等）、设计图纸和国家和地方的最新规范、标准、规定为基准，承包人应按其中最严格者执行。</w:t>
      </w:r>
    </w:p>
    <w:p>
      <w:pPr>
        <w:spacing w:line="360" w:lineRule="auto"/>
        <w:ind w:firstLine="480" w:firstLineChars="200"/>
        <w:rPr>
          <w:b/>
          <w:color w:val="auto"/>
          <w:highlight w:val="none"/>
          <w:u w:val="single"/>
        </w:rPr>
      </w:pPr>
      <w:r>
        <w:rPr>
          <w:rFonts w:hint="eastAsia" w:ascii="宋体" w:hAnsi="宋体"/>
          <w:b/>
          <w:color w:val="auto"/>
          <w:sz w:val="24"/>
          <w:highlight w:val="none"/>
          <w:u w:val="single"/>
        </w:rPr>
        <w:t>（</w:t>
      </w:r>
      <w:r>
        <w:rPr>
          <w:rFonts w:ascii="宋体" w:hAnsi="宋体"/>
          <w:b/>
          <w:color w:val="auto"/>
          <w:sz w:val="24"/>
          <w:highlight w:val="none"/>
          <w:u w:val="single"/>
        </w:rPr>
        <w:t>5</w:t>
      </w:r>
      <w:r>
        <w:rPr>
          <w:rFonts w:hint="eastAsia" w:ascii="宋体" w:hAnsi="宋体"/>
          <w:b/>
          <w:color w:val="auto"/>
          <w:sz w:val="24"/>
          <w:highlight w:val="none"/>
          <w:u w:val="single"/>
        </w:rPr>
        <w:t>）本项目技术要求详见施工图说明，若本招标文件“工程技术规范及要求</w:t>
      </w:r>
      <w:r>
        <w:rPr>
          <w:rFonts w:hint="eastAsia" w:ascii="宋体"/>
          <w:b/>
          <w:color w:val="auto"/>
          <w:sz w:val="24"/>
          <w:highlight w:val="none"/>
          <w:u w:val="single"/>
        </w:rPr>
        <w:t>”</w:t>
      </w:r>
      <w:r>
        <w:rPr>
          <w:rFonts w:ascii="宋体" w:hAnsi="宋体"/>
          <w:b/>
          <w:color w:val="auto"/>
          <w:sz w:val="24"/>
          <w:highlight w:val="none"/>
          <w:u w:val="single"/>
        </w:rPr>
        <w:t xml:space="preserve"> </w:t>
      </w:r>
      <w:r>
        <w:rPr>
          <w:rFonts w:hint="eastAsia" w:ascii="宋体" w:hAnsi="宋体"/>
          <w:b/>
          <w:color w:val="auto"/>
          <w:sz w:val="24"/>
          <w:highlight w:val="none"/>
          <w:u w:val="single"/>
        </w:rPr>
        <w:t>中材料设备参数与施工图及设计说明差异时，以设计图纸为准；</w:t>
      </w:r>
      <w:r>
        <w:rPr>
          <w:rFonts w:ascii="宋体" w:hAnsi="宋体"/>
          <w:b/>
          <w:color w:val="auto"/>
          <w:sz w:val="24"/>
          <w:highlight w:val="none"/>
          <w:u w:val="single"/>
        </w:rPr>
        <w:t xml:space="preserve"> </w:t>
      </w:r>
      <w:r>
        <w:rPr>
          <w:rFonts w:hint="eastAsia" w:ascii="宋体" w:hAnsi="宋体"/>
          <w:b/>
          <w:color w:val="auto"/>
          <w:sz w:val="24"/>
          <w:highlight w:val="none"/>
          <w:u w:val="single"/>
        </w:rPr>
        <w:t>“工程技术规范及要求”篇中的工作界面划分与招标文件附件工作界面划分有差异时，以工作界面划分约定为准。</w:t>
      </w:r>
    </w:p>
    <w:p>
      <w:pPr>
        <w:pStyle w:val="113"/>
        <w:spacing w:before="120" w:after="120"/>
        <w:rPr>
          <w:color w:val="auto"/>
          <w:highlight w:val="none"/>
        </w:rPr>
      </w:pPr>
      <w:r>
        <w:rPr>
          <w:color w:val="auto"/>
          <w:highlight w:val="none"/>
        </w:rPr>
        <w:t xml:space="preserve">2. </w:t>
      </w:r>
      <w:r>
        <w:rPr>
          <w:rFonts w:hint="eastAsia"/>
          <w:color w:val="auto"/>
          <w:highlight w:val="none"/>
        </w:rPr>
        <w:t>工程概况</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工程名称：</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
    <w:p>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rPr>
        <w:t>工程地点：</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
    <w:p>
      <w:pPr>
        <w:widowControl/>
        <w:jc w:val="left"/>
        <w:rPr>
          <w:rFonts w:ascii="宋体"/>
          <w:color w:val="auto"/>
          <w:sz w:val="24"/>
          <w:highlight w:val="none"/>
        </w:rPr>
      </w:pPr>
      <w:r>
        <w:rPr>
          <w:rFonts w:ascii="宋体"/>
          <w:color w:val="auto"/>
          <w:sz w:val="24"/>
          <w:highlight w:val="none"/>
        </w:rPr>
        <w:br w:type="page"/>
      </w:r>
    </w:p>
    <w:p>
      <w:pPr>
        <w:pStyle w:val="188"/>
        <w:spacing w:before="120" w:after="120"/>
        <w:outlineLvl w:val="1"/>
        <w:rPr>
          <w:color w:val="auto"/>
          <w:highlight w:val="none"/>
        </w:rPr>
      </w:pPr>
      <w:bookmarkStart w:id="7588" w:name="_Toc505345692"/>
      <w:bookmarkStart w:id="7589" w:name="_Toc66890374"/>
      <w:bookmarkStart w:id="7590" w:name="_Toc66634379"/>
      <w:bookmarkStart w:id="7591" w:name="_Toc69114120"/>
      <w:r>
        <w:rPr>
          <w:rFonts w:hint="eastAsia"/>
          <w:color w:val="auto"/>
          <w:highlight w:val="none"/>
        </w:rPr>
        <w:t>第</w:t>
      </w:r>
      <w:r>
        <w:rPr>
          <w:color w:val="auto"/>
          <w:highlight w:val="none"/>
        </w:rPr>
        <w:t>2</w:t>
      </w:r>
      <w:r>
        <w:rPr>
          <w:rFonts w:hint="eastAsia"/>
          <w:color w:val="auto"/>
          <w:highlight w:val="none"/>
        </w:rPr>
        <w:t>章</w:t>
      </w:r>
      <w:r>
        <w:rPr>
          <w:color w:val="auto"/>
          <w:highlight w:val="none"/>
        </w:rPr>
        <w:t xml:space="preserve">  </w:t>
      </w:r>
      <w:r>
        <w:rPr>
          <w:rFonts w:hint="eastAsia"/>
          <w:color w:val="auto"/>
          <w:highlight w:val="none"/>
        </w:rPr>
        <w:t>临时工程</w:t>
      </w:r>
      <w:bookmarkEnd w:id="7588"/>
      <w:bookmarkEnd w:id="7589"/>
      <w:bookmarkEnd w:id="7590"/>
      <w:bookmarkEnd w:id="7591"/>
    </w:p>
    <w:p>
      <w:pPr>
        <w:spacing w:line="360" w:lineRule="auto"/>
        <w:ind w:firstLine="480" w:firstLineChars="200"/>
        <w:rPr>
          <w:color w:val="auto"/>
          <w:sz w:val="24"/>
          <w:highlight w:val="none"/>
        </w:rPr>
      </w:pPr>
      <w:r>
        <w:rPr>
          <w:rFonts w:hint="eastAsia"/>
          <w:color w:val="auto"/>
          <w:sz w:val="24"/>
          <w:highlight w:val="none"/>
        </w:rPr>
        <w:t>临时工程包括为实施和完成本合同工程及其缺陷修复过程中所需的各项临时公用设施和施工运输的临时道路的修建和养护，维护边坡安全，处理施工场地排水和降水等问题施，如供电、供水、通讯、防火、医疗、急救等的提供、安装、维护与服务，维持正常交通，承包人驻地的办公、生活、生产房屋场地的建设以及在施工中对土石方、构筑物等的支撑，场地临时排水、安全文明施工挡板或其它临时设施、为施工作业车辆上路冲洗设置的洗车池、配备的洗车人员、洒水设备等。临时工程或设施的明细表应先报监理工程师核查。本项目临时工程的位置由招标人按园区统一规划指定，临时工程所有位置不能影响园区的地下管网等配套附属工程的施工。任何临时工程的搭设方案和开工，必须经发包人及监理工程师的</w:t>
      </w:r>
      <w:r>
        <w:rPr>
          <w:rFonts w:hint="eastAsia"/>
          <w:color w:val="auto"/>
          <w:sz w:val="24"/>
          <w:highlight w:val="none"/>
          <w:lang w:eastAsia="zh-CN"/>
        </w:rPr>
        <w:t>书面</w:t>
      </w:r>
      <w:r>
        <w:rPr>
          <w:rFonts w:hint="eastAsia"/>
          <w:color w:val="auto"/>
          <w:sz w:val="24"/>
          <w:highlight w:val="none"/>
        </w:rPr>
        <w:t>批准。合同结束后，对所有承包人修建的临时设施，承包人均须拆除运走，恢复修建前的原有状态并使监理工程师满意，除非工程合同另有协议约定或监理工程师另有指令。所需费用投标人需考虑在报价内。</w:t>
      </w:r>
    </w:p>
    <w:p>
      <w:pPr>
        <w:pStyle w:val="113"/>
        <w:spacing w:before="120" w:after="120"/>
        <w:outlineLvl w:val="2"/>
        <w:rPr>
          <w:color w:val="auto"/>
          <w:highlight w:val="none"/>
        </w:rPr>
      </w:pPr>
      <w:bookmarkStart w:id="7592" w:name="_Toc505345693"/>
      <w:bookmarkStart w:id="7593" w:name="_Toc66634380"/>
      <w:bookmarkStart w:id="7594" w:name="_Toc66890375"/>
      <w:bookmarkStart w:id="7595" w:name="_Toc69114121"/>
      <w:r>
        <w:rPr>
          <w:color w:val="auto"/>
          <w:highlight w:val="none"/>
        </w:rPr>
        <w:t xml:space="preserve">2.1 </w:t>
      </w:r>
      <w:r>
        <w:rPr>
          <w:rFonts w:hint="eastAsia"/>
          <w:color w:val="auto"/>
          <w:highlight w:val="none"/>
        </w:rPr>
        <w:t>通讯</w:t>
      </w:r>
      <w:bookmarkEnd w:id="7592"/>
      <w:bookmarkEnd w:id="7593"/>
      <w:bookmarkEnd w:id="7594"/>
      <w:bookmarkEnd w:id="7595"/>
    </w:p>
    <w:p>
      <w:pPr>
        <w:spacing w:line="360" w:lineRule="auto"/>
        <w:ind w:firstLine="480" w:firstLineChars="200"/>
        <w:rPr>
          <w:color w:val="auto"/>
          <w:sz w:val="24"/>
          <w:highlight w:val="none"/>
        </w:rPr>
      </w:pPr>
      <w:r>
        <w:rPr>
          <w:rFonts w:hint="eastAsia"/>
          <w:color w:val="auto"/>
          <w:sz w:val="24"/>
          <w:highlight w:val="none"/>
        </w:rPr>
        <w:t>承包人应与当地电信部门联系安设承包人现场使用的电话线路和有线或无线通话及网络设施，并承担上述线路和设施的租用、安装、连接、服务等的一切费用以及在合同履行期内的通话费。</w:t>
      </w:r>
    </w:p>
    <w:p>
      <w:pPr>
        <w:pStyle w:val="113"/>
        <w:spacing w:before="120" w:after="120"/>
        <w:outlineLvl w:val="2"/>
        <w:rPr>
          <w:color w:val="auto"/>
          <w:highlight w:val="none"/>
        </w:rPr>
      </w:pPr>
      <w:bookmarkStart w:id="7596" w:name="_Toc66890376"/>
      <w:bookmarkStart w:id="7597" w:name="_Toc505345694"/>
      <w:bookmarkStart w:id="7598" w:name="_Toc66634381"/>
      <w:bookmarkStart w:id="7599" w:name="_Toc69114122"/>
      <w:r>
        <w:rPr>
          <w:color w:val="auto"/>
          <w:highlight w:val="none"/>
        </w:rPr>
        <w:t xml:space="preserve">2.2 </w:t>
      </w:r>
      <w:r>
        <w:rPr>
          <w:rFonts w:hint="eastAsia"/>
          <w:color w:val="auto"/>
          <w:highlight w:val="none"/>
        </w:rPr>
        <w:t>临时用电</w:t>
      </w:r>
      <w:bookmarkEnd w:id="7596"/>
      <w:bookmarkEnd w:id="7597"/>
      <w:bookmarkEnd w:id="7598"/>
      <w:bookmarkEnd w:id="7599"/>
    </w:p>
    <w:p>
      <w:pPr>
        <w:pStyle w:val="119"/>
        <w:rPr>
          <w:color w:val="auto"/>
          <w:highlight w:val="none"/>
        </w:rPr>
      </w:pPr>
      <w:r>
        <w:rPr>
          <w:color w:val="auto"/>
          <w:highlight w:val="none"/>
        </w:rPr>
        <w:t xml:space="preserve">1. </w:t>
      </w:r>
      <w:r>
        <w:rPr>
          <w:rFonts w:hint="eastAsia"/>
          <w:color w:val="auto"/>
          <w:highlight w:val="none"/>
        </w:rPr>
        <w:t>概述</w:t>
      </w:r>
    </w:p>
    <w:p>
      <w:pPr>
        <w:spacing w:line="360" w:lineRule="auto"/>
        <w:ind w:firstLine="480" w:firstLineChars="200"/>
        <w:rPr>
          <w:rFonts w:ascii="宋体" w:hAnsi="宋体"/>
          <w:bCs/>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w:t>
      </w:r>
      <w:r>
        <w:rPr>
          <w:rFonts w:hint="eastAsia" w:ascii="宋体" w:hAnsi="宋体"/>
          <w:bCs/>
          <w:color w:val="auto"/>
          <w:sz w:val="24"/>
          <w:szCs w:val="24"/>
          <w:highlight w:val="none"/>
        </w:rPr>
        <w:t>临电工程由承包人负责。</w:t>
      </w:r>
    </w:p>
    <w:p>
      <w:pPr>
        <w:spacing w:line="360" w:lineRule="auto"/>
        <w:ind w:firstLine="480" w:firstLineChars="200"/>
        <w:rPr>
          <w:rFonts w:ascii="宋体" w:hAnsi="宋体"/>
          <w:bCs/>
          <w:color w:val="auto"/>
          <w:sz w:val="24"/>
          <w:szCs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w:t>
      </w:r>
      <w:r>
        <w:rPr>
          <w:rFonts w:hint="eastAsia" w:ascii="宋体" w:hAnsi="宋体"/>
          <w:bCs/>
          <w:color w:val="auto"/>
          <w:sz w:val="24"/>
          <w:szCs w:val="24"/>
          <w:highlight w:val="none"/>
        </w:rPr>
        <w:t>承包人进场后办理临时用电的开户手续。变压器开通后的基本电费和流量电费等一切费用由承包人缴纳。同时，承包人还须负责本工程范围内接驳点及后续用电的接驳、使用、安保和常规维护及保养工作（包括场内高压设施的防盗工作），直到与发包人或发包人指定的后续接收单位办理完成移交手续为止。</w:t>
      </w:r>
    </w:p>
    <w:p>
      <w:pPr>
        <w:spacing w:line="360" w:lineRule="auto"/>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（3）施工电费包括供电部门发出的施工用电电费通知单中的电量电费、需量费、基本电费、功率调整费、变损电度费及其他一切相关费用，投标人在投标报价中综合考虑并包干使用，结算时不予调整。</w:t>
      </w:r>
    </w:p>
    <w:p>
      <w:pPr>
        <w:spacing w:line="360" w:lineRule="auto"/>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4）临电设施发生故障时，承包人要及时上报监理单位，并配合维修。关于临电的容量及电力设施等情况，投标人应仔细阅读发包人提供的临电竣工图纸。若临电设施不能满足施工需要或施工过程中临时停电，承包人须自备柴油发电机组，满足正常施工、生活用电及施工过程中的应急用电需要。投标人应在投标报价时考虑临时发电机费用，结算时不予调整。</w:t>
      </w:r>
    </w:p>
    <w:p>
      <w:pPr>
        <w:spacing w:line="360" w:lineRule="auto"/>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5）承包人须在每个楼层安装至少两个供电接驳点，提供给指定承包人接驳；同时，承包人还须向室外工程的部分指定承包人预留临时用电接驳点（视这些指定承包人的临电使用需求而定）。承包人所安装的临电接驳点未经现场监理及发包人</w:t>
      </w:r>
      <w:r>
        <w:rPr>
          <w:rFonts w:hint="eastAsia" w:ascii="宋体" w:hAnsi="宋体"/>
          <w:bCs/>
          <w:color w:val="auto"/>
          <w:sz w:val="24"/>
          <w:szCs w:val="24"/>
          <w:highlight w:val="none"/>
          <w:lang w:eastAsia="zh-CN"/>
        </w:rPr>
        <w:t>书面</w:t>
      </w:r>
      <w:r>
        <w:rPr>
          <w:rFonts w:hint="eastAsia" w:ascii="宋体" w:hAnsi="宋体"/>
          <w:bCs/>
          <w:color w:val="auto"/>
          <w:sz w:val="24"/>
          <w:szCs w:val="24"/>
          <w:highlight w:val="none"/>
        </w:rPr>
        <w:t>同意，不得擅自拆除。</w:t>
      </w:r>
    </w:p>
    <w:p>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 xml:space="preserve">（6）收费规定：具备安表计量条件的按表计量，承包人向各指定承包人收取的电费单价不得高于深圳市供电局收费标准的125%；不具备安表计量条件的由承包人与指定承包人自行协商解决。 </w:t>
      </w:r>
    </w:p>
    <w:p>
      <w:pPr>
        <w:pStyle w:val="119"/>
        <w:rPr>
          <w:color w:val="auto"/>
          <w:highlight w:val="none"/>
        </w:rPr>
      </w:pPr>
      <w:r>
        <w:rPr>
          <w:color w:val="auto"/>
          <w:highlight w:val="none"/>
        </w:rPr>
        <w:t xml:space="preserve">2. </w:t>
      </w:r>
      <w:r>
        <w:rPr>
          <w:rFonts w:hint="eastAsia"/>
          <w:color w:val="auto"/>
          <w:highlight w:val="none"/>
        </w:rPr>
        <w:t>临时用电安装</w:t>
      </w:r>
    </w:p>
    <w:p>
      <w:pPr>
        <w:spacing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）施工用电线路设置、负荷分配应合理，塔吊、施工电梯、提升架应采用专线。</w:t>
      </w:r>
    </w:p>
    <w:p>
      <w:pPr>
        <w:spacing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）要求承包人工人宿舍区生活用电采用</w:t>
      </w:r>
      <w:r>
        <w:rPr>
          <w:rFonts w:ascii="宋体" w:hAnsi="宋体"/>
          <w:color w:val="auto"/>
          <w:sz w:val="24"/>
          <w:highlight w:val="none"/>
        </w:rPr>
        <w:t>24V~36V</w:t>
      </w:r>
      <w:r>
        <w:rPr>
          <w:rFonts w:hint="eastAsia" w:ascii="宋体" w:hAnsi="宋体"/>
          <w:color w:val="auto"/>
          <w:sz w:val="24"/>
          <w:highlight w:val="none"/>
        </w:rPr>
        <w:t>低压直流供电，宿舍设置</w:t>
      </w:r>
      <w:r>
        <w:rPr>
          <w:rFonts w:ascii="宋体" w:hAnsi="宋体"/>
          <w:color w:val="auto"/>
          <w:sz w:val="24"/>
          <w:highlight w:val="none"/>
        </w:rPr>
        <w:t>USB</w:t>
      </w:r>
      <w:r>
        <w:rPr>
          <w:rFonts w:hint="eastAsia" w:ascii="宋体" w:hAnsi="宋体"/>
          <w:color w:val="auto"/>
          <w:sz w:val="24"/>
          <w:highlight w:val="none"/>
        </w:rPr>
        <w:t>手机等集中充电插座，配备冷暖空调，空调供电设专线，穿线使用薄壁钢管，插座设置于板房外面。生活区分区</w:t>
      </w:r>
      <w:r>
        <w:rPr>
          <w:rFonts w:ascii="宋体" w:hAnsi="宋体"/>
          <w:color w:val="auto"/>
          <w:sz w:val="24"/>
          <w:highlight w:val="none"/>
        </w:rPr>
        <w:t>24</w:t>
      </w:r>
      <w:r>
        <w:rPr>
          <w:rFonts w:hint="eastAsia" w:ascii="宋体" w:hAnsi="宋体"/>
          <w:color w:val="auto"/>
          <w:sz w:val="24"/>
          <w:highlight w:val="none"/>
        </w:rPr>
        <w:t>小时集中供应热水。</w:t>
      </w:r>
    </w:p>
    <w:p>
      <w:pPr>
        <w:spacing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现场应根据施工阶段的实际需求及相关规定，配备足够功率的发电机，以备临时停电时工程施工使用；承包人必须考虑由于临时停电增加的相关费用，并不得向发包人提出索赔要求。整套临时装置须符合最新版本的电气装置条例和供电局的有关规定，费用由承包人负责。</w:t>
      </w:r>
    </w:p>
    <w:p>
      <w:pPr>
        <w:spacing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4</w:t>
      </w:r>
      <w:r>
        <w:rPr>
          <w:rFonts w:hint="eastAsia" w:ascii="宋体" w:hAnsi="宋体"/>
          <w:color w:val="auto"/>
          <w:sz w:val="24"/>
          <w:highlight w:val="none"/>
        </w:rPr>
        <w:t>）所有供电工作应在开工前七天或监理工程师指定的日期内完成并保证通电正常。</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ascii="宋体" w:hAnsi="宋体"/>
          <w:color w:val="auto"/>
          <w:sz w:val="24"/>
          <w:highlight w:val="none"/>
        </w:rPr>
        <w:t>5</w:t>
      </w:r>
      <w:r>
        <w:rPr>
          <w:rFonts w:hint="eastAsia" w:ascii="宋体" w:hAnsi="宋体"/>
          <w:color w:val="auto"/>
          <w:sz w:val="24"/>
          <w:highlight w:val="none"/>
        </w:rPr>
        <w:t>）承包人应将拟安装的自备发电设备与配电图提交监理工程师核备。电力安装工作应符合当地供电部门的规定。</w:t>
      </w:r>
      <w:r>
        <w:rPr>
          <w:rFonts w:ascii="宋体" w:hAnsi="宋体"/>
          <w:color w:val="auto"/>
          <w:sz w:val="24"/>
          <w:highlight w:val="none"/>
        </w:rPr>
        <w:t xml:space="preserve">  </w:t>
      </w:r>
    </w:p>
    <w:p>
      <w:pPr>
        <w:spacing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6</w:t>
      </w:r>
      <w:r>
        <w:rPr>
          <w:rFonts w:hint="eastAsia" w:ascii="宋体" w:hAnsi="宋体"/>
          <w:color w:val="auto"/>
          <w:sz w:val="24"/>
          <w:highlight w:val="none"/>
        </w:rPr>
        <w:t>）承包人负责本工程范围内临时路灯的施工、维护及使用期的电费，在监理工程师通知后一个月内应完成临时路灯的施工并开通使用，应保证使用期间夜晚的灯光照明，使用期至项目竣工后一个月。</w:t>
      </w:r>
    </w:p>
    <w:p>
      <w:pPr>
        <w:spacing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7</w:t>
      </w:r>
      <w:r>
        <w:rPr>
          <w:rFonts w:hint="eastAsia" w:ascii="宋体" w:hAnsi="宋体"/>
          <w:color w:val="auto"/>
          <w:sz w:val="24"/>
          <w:highlight w:val="none"/>
        </w:rPr>
        <w:t>）承包人与业主指定专业承包人签订《临时用电安全管理协议》，明确各自的权利义务和所承担的责任等，《临时用电安全管理协议》由承包人负责制定。</w:t>
      </w:r>
    </w:p>
    <w:p>
      <w:pPr>
        <w:pStyle w:val="119"/>
        <w:rPr>
          <w:color w:val="auto"/>
          <w:highlight w:val="none"/>
        </w:rPr>
      </w:pPr>
      <w:r>
        <w:rPr>
          <w:color w:val="auto"/>
          <w:highlight w:val="none"/>
        </w:rPr>
        <w:t xml:space="preserve">3. </w:t>
      </w:r>
      <w:r>
        <w:rPr>
          <w:rFonts w:hint="eastAsia"/>
          <w:color w:val="auto"/>
          <w:highlight w:val="none"/>
        </w:rPr>
        <w:t>临时用电维护管理</w:t>
      </w:r>
    </w:p>
    <w:p>
      <w:pPr>
        <w:spacing w:line="360" w:lineRule="auto"/>
        <w:ind w:firstLine="480" w:firstLineChars="200"/>
        <w:rPr>
          <w:color w:val="auto"/>
          <w:sz w:val="24"/>
          <w:highlight w:val="none"/>
        </w:rPr>
      </w:pPr>
      <w:r>
        <w:rPr>
          <w:rFonts w:hint="eastAsia"/>
          <w:color w:val="auto"/>
          <w:sz w:val="24"/>
          <w:highlight w:val="none"/>
        </w:rPr>
        <w:t>本工程临时用电变压器在整个工程未交付使用（即变压器未拆除）之前一直由承包人负责基本的维护管理（含基本电费、电费的收集、缴付）等工作。</w:t>
      </w:r>
    </w:p>
    <w:p>
      <w:pPr>
        <w:pStyle w:val="119"/>
        <w:rPr>
          <w:color w:val="auto"/>
          <w:highlight w:val="none"/>
        </w:rPr>
      </w:pPr>
      <w:r>
        <w:rPr>
          <w:color w:val="auto"/>
          <w:highlight w:val="none"/>
        </w:rPr>
        <w:t xml:space="preserve">4. </w:t>
      </w:r>
      <w:r>
        <w:rPr>
          <w:rFonts w:hint="eastAsia"/>
          <w:color w:val="auto"/>
          <w:highlight w:val="none"/>
        </w:rPr>
        <w:t>临时用电分摊管理规定</w:t>
      </w:r>
    </w:p>
    <w:p>
      <w:pPr>
        <w:spacing w:line="360" w:lineRule="auto"/>
        <w:ind w:firstLine="480" w:firstLineChars="200"/>
        <w:rPr>
          <w:rFonts w:ascii="宋体" w:hAnsi="宋体"/>
          <w:bCs/>
          <w:color w:val="auto"/>
          <w:sz w:val="24"/>
          <w:szCs w:val="24"/>
          <w:highlight w:val="none"/>
        </w:rPr>
      </w:pPr>
      <w:bookmarkStart w:id="7600" w:name="_Toc505345695"/>
      <w:r>
        <w:rPr>
          <w:rFonts w:hint="eastAsia" w:ascii="宋体" w:hAnsi="宋体"/>
          <w:bCs/>
          <w:color w:val="auto"/>
          <w:sz w:val="24"/>
          <w:szCs w:val="24"/>
          <w:highlight w:val="none"/>
        </w:rPr>
        <w:t>承包人用电期间所发生的电费计量抄表、电费核算及缴纳、电费缴纳制度的建立和实施均由承包人负责：</w:t>
      </w:r>
    </w:p>
    <w:p>
      <w:pPr>
        <w:spacing w:line="360" w:lineRule="auto"/>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（1）供电部门采用高压计量方式进行抄表计量。</w:t>
      </w:r>
    </w:p>
    <w:p>
      <w:pPr>
        <w:spacing w:line="360" w:lineRule="auto"/>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（2）同一计量单元下的变压器涉及多个使用单位时，每台变压器的出线端都需安装计量表，当高压计量数据与低压计量数据有出入时，低压计量按比例进行分摊。</w:t>
      </w:r>
    </w:p>
    <w:p>
      <w:pPr>
        <w:spacing w:line="360" w:lineRule="auto"/>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（3）若同一高压计量单元内的变压器涉及多个使用单位, 先办理用电过户手续的承包人负责向供电局缴纳总用电费用，同时向后办理用电（过户）手续的承包人收缴其用电费用，并向后办理用电（过户）手续的承包人出具用电收费凭证（无发票），后办理用电（过户）手续的承包人必须在指定的时间内（每月10号前）缴清用电费用，不得拒/欠缴电费。</w:t>
      </w:r>
    </w:p>
    <w:p>
      <w:pPr>
        <w:spacing w:line="360" w:lineRule="auto"/>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（4）承包人负责收缴电费，统一缴至供电局，任何分包单位不得欠缴电费，承包人须配合指定承包人用电，不得随意拉闸限电。总表与分表度数如有出入，按用电量的比例进行分摊。</w:t>
      </w:r>
    </w:p>
    <w:p>
      <w:pPr>
        <w:spacing w:line="360" w:lineRule="auto"/>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（5）变压器的基本电费由承包人负责收缴，基本用电费按用电量大小比例共同分摊。</w:t>
      </w:r>
    </w:p>
    <w:p>
      <w:pPr>
        <w:spacing w:line="360" w:lineRule="auto"/>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（6）不具备安表计量条件的水电费：</w:t>
      </w:r>
    </w:p>
    <w:p>
      <w:pPr>
        <w:pStyle w:val="113"/>
        <w:spacing w:before="120" w:after="120"/>
        <w:ind w:firstLine="480" w:firstLineChars="200"/>
        <w:rPr>
          <w:rFonts w:ascii="宋体" w:hAnsi="宋体" w:eastAsia="宋体"/>
          <w:b w:val="0"/>
          <w:bCs/>
          <w:color w:val="auto"/>
          <w:sz w:val="24"/>
          <w:highlight w:val="none"/>
        </w:rPr>
      </w:pPr>
      <w:r>
        <w:rPr>
          <w:rFonts w:hint="eastAsia" w:ascii="宋体" w:hAnsi="宋体" w:eastAsia="宋体"/>
          <w:b w:val="0"/>
          <w:bCs/>
          <w:color w:val="auto"/>
          <w:sz w:val="24"/>
          <w:highlight w:val="none"/>
        </w:rPr>
        <w:t>不具备安表计量条件的水电费由承包人与指定承包人自行协商解决，但此种情形下承包人向指定承包人收取水电费用总额上限为指定承包人合同金额（扣除设备费）的0.8%（含施工用水电及调试用水电，不含税），指定承包人须在水电费缴纳协议签订后一个月内一次性支付给承包人。</w:t>
      </w:r>
    </w:p>
    <w:p>
      <w:pPr>
        <w:pStyle w:val="113"/>
        <w:spacing w:before="120" w:after="120"/>
        <w:outlineLvl w:val="2"/>
        <w:rPr>
          <w:color w:val="auto"/>
          <w:highlight w:val="none"/>
        </w:rPr>
      </w:pPr>
      <w:bookmarkStart w:id="7601" w:name="_Toc66634382"/>
      <w:bookmarkStart w:id="7602" w:name="_Toc66890377"/>
      <w:bookmarkStart w:id="7603" w:name="_Toc69114123"/>
      <w:r>
        <w:rPr>
          <w:color w:val="auto"/>
          <w:highlight w:val="none"/>
        </w:rPr>
        <w:t xml:space="preserve">2.3 </w:t>
      </w:r>
      <w:r>
        <w:rPr>
          <w:rFonts w:hint="eastAsia"/>
          <w:color w:val="auto"/>
          <w:highlight w:val="none"/>
        </w:rPr>
        <w:t>临时用水管理</w:t>
      </w:r>
      <w:bookmarkEnd w:id="7600"/>
      <w:bookmarkEnd w:id="7601"/>
      <w:bookmarkEnd w:id="7602"/>
      <w:bookmarkEnd w:id="7603"/>
    </w:p>
    <w:p>
      <w:pPr>
        <w:spacing w:line="360" w:lineRule="auto"/>
        <w:ind w:firstLine="480" w:firstLineChars="200"/>
        <w:rPr>
          <w:rFonts w:ascii="宋体"/>
          <w:color w:val="auto"/>
          <w:sz w:val="24"/>
          <w:highlight w:val="none"/>
        </w:rPr>
      </w:pPr>
      <w:r>
        <w:rPr>
          <w:rFonts w:ascii="宋体" w:hAnsi="宋体"/>
          <w:color w:val="auto"/>
          <w:sz w:val="24"/>
          <w:highlight w:val="none"/>
        </w:rPr>
        <w:t>1.</w:t>
      </w:r>
      <w:r>
        <w:rPr>
          <w:rFonts w:hint="eastAsia" w:ascii="宋体" w:hAnsi="宋体"/>
          <w:color w:val="auto"/>
          <w:sz w:val="24"/>
          <w:highlight w:val="none"/>
        </w:rPr>
        <w:t>发包人不提供供水源接驳点，由承包人自行解决并承担一切费用。</w:t>
      </w:r>
    </w:p>
    <w:p>
      <w:pPr>
        <w:spacing w:line="360" w:lineRule="auto"/>
        <w:ind w:firstLine="480" w:firstLineChars="200"/>
        <w:rPr>
          <w:rFonts w:ascii="宋体"/>
          <w:color w:val="auto"/>
          <w:sz w:val="24"/>
          <w:highlight w:val="none"/>
        </w:rPr>
      </w:pPr>
      <w:r>
        <w:rPr>
          <w:rFonts w:ascii="宋体" w:hAnsi="宋体"/>
          <w:color w:val="auto"/>
          <w:sz w:val="24"/>
          <w:highlight w:val="none"/>
        </w:rPr>
        <w:t>2</w:t>
      </w:r>
      <w:r>
        <w:rPr>
          <w:rFonts w:ascii="宋体"/>
          <w:color w:val="auto"/>
          <w:sz w:val="24"/>
          <w:highlight w:val="none"/>
        </w:rPr>
        <w:t>.承</w:t>
      </w:r>
      <w:r>
        <w:rPr>
          <w:rFonts w:hint="eastAsia" w:ascii="宋体" w:hAnsi="宋体"/>
          <w:color w:val="auto"/>
          <w:sz w:val="24"/>
          <w:highlight w:val="none"/>
        </w:rPr>
        <w:t>包人应对施工现场进行充分考察，对施工期间所需用水进行详细测算，并承担自水源点接至施工范围内的修建、接口、报装、恢复及自用水接口起的管线的维护等过程中所发生的一切费用。</w:t>
      </w:r>
    </w:p>
    <w:p>
      <w:pPr>
        <w:spacing w:line="360" w:lineRule="auto"/>
        <w:ind w:firstLine="480" w:firstLineChars="200"/>
        <w:rPr>
          <w:rFonts w:ascii="宋体"/>
          <w:color w:val="auto"/>
          <w:sz w:val="24"/>
          <w:highlight w:val="none"/>
        </w:rPr>
      </w:pPr>
      <w:r>
        <w:rPr>
          <w:rFonts w:ascii="宋体" w:hAnsi="宋体"/>
          <w:color w:val="auto"/>
          <w:sz w:val="24"/>
          <w:highlight w:val="none"/>
        </w:rPr>
        <w:t>3</w:t>
      </w:r>
      <w:r>
        <w:rPr>
          <w:rFonts w:ascii="宋体"/>
          <w:color w:val="auto"/>
          <w:sz w:val="24"/>
          <w:highlight w:val="none"/>
        </w:rPr>
        <w:t>.</w:t>
      </w:r>
      <w:r>
        <w:rPr>
          <w:rFonts w:hint="eastAsia" w:ascii="宋体" w:hAnsi="宋体"/>
          <w:color w:val="auto"/>
          <w:sz w:val="24"/>
          <w:highlight w:val="none"/>
        </w:rPr>
        <w:t>临时给水，由承包人向主管部门申请供水并同时保证满足供水给其他施工用水单位。承包人须及时联系水务集团等相关部门，并考察施工现场及周边情况，与水务、环保、城管等相关单位联系协调，根据相关法律、法规、规定等要求制定合理的供水方案。饮用水应符合当地卫生部门的规定。</w:t>
      </w:r>
    </w:p>
    <w:p>
      <w:pPr>
        <w:spacing w:line="360" w:lineRule="auto"/>
        <w:ind w:firstLine="480" w:firstLineChars="200"/>
        <w:rPr>
          <w:rFonts w:ascii="宋体"/>
          <w:color w:val="auto"/>
          <w:sz w:val="24"/>
          <w:highlight w:val="none"/>
        </w:rPr>
      </w:pPr>
      <w:r>
        <w:rPr>
          <w:rFonts w:ascii="宋体" w:hAnsi="宋体"/>
          <w:color w:val="auto"/>
          <w:sz w:val="24"/>
          <w:highlight w:val="none"/>
        </w:rPr>
        <w:t>4</w:t>
      </w:r>
      <w:r>
        <w:rPr>
          <w:rFonts w:ascii="宋体"/>
          <w:color w:val="auto"/>
          <w:sz w:val="24"/>
          <w:highlight w:val="none"/>
        </w:rPr>
        <w:t>.</w:t>
      </w:r>
      <w:r>
        <w:rPr>
          <w:rFonts w:hint="eastAsia" w:ascii="宋体" w:hAnsi="宋体"/>
          <w:color w:val="auto"/>
          <w:sz w:val="24"/>
          <w:highlight w:val="none"/>
        </w:rPr>
        <w:t>供水方案中临时用水量应能滿足各参建单位的生活用水、施工用水及消防用水等要求。供水方案中应设置用水总表，用水总表后应分别设置用水分表，其中一块自用，并负责自用分表后的所有费用。承包人须提供合理位置的供水点，其余分表分配用水给发包人指定的专业承包人、独立施工单位和其他单位使用，承包人按各使用单位使用量计量收费。（该用水分表后的材料、设备的产权归以上各使用单位所有）。</w:t>
      </w:r>
    </w:p>
    <w:p>
      <w:pPr>
        <w:spacing w:line="360" w:lineRule="auto"/>
        <w:ind w:firstLine="480" w:firstLineChars="200"/>
        <w:rPr>
          <w:rFonts w:ascii="宋体"/>
          <w:color w:val="auto"/>
          <w:sz w:val="24"/>
          <w:highlight w:val="none"/>
        </w:rPr>
      </w:pPr>
      <w:r>
        <w:rPr>
          <w:rFonts w:ascii="宋体" w:hAnsi="宋体"/>
          <w:color w:val="auto"/>
          <w:sz w:val="24"/>
          <w:highlight w:val="none"/>
        </w:rPr>
        <w:t>5</w:t>
      </w:r>
      <w:r>
        <w:rPr>
          <w:rFonts w:ascii="宋体"/>
          <w:color w:val="auto"/>
          <w:sz w:val="24"/>
          <w:highlight w:val="none"/>
        </w:rPr>
        <w:t>.</w:t>
      </w:r>
      <w:r>
        <w:rPr>
          <w:rFonts w:hint="eastAsia" w:ascii="宋体" w:hAnsi="宋体"/>
          <w:color w:val="auto"/>
          <w:sz w:val="24"/>
          <w:highlight w:val="none"/>
        </w:rPr>
        <w:t>临时污水排入市政污水管网，承包人应充分考虑到国家有关法律法规及环评报告的要求，保护水源保护区的水质不受污染，确保满足环保和安全文明施工的要求，此工作所需费用投标人考虑在报价内。</w:t>
      </w:r>
    </w:p>
    <w:p>
      <w:pPr>
        <w:spacing w:line="360" w:lineRule="auto"/>
        <w:ind w:firstLine="480" w:firstLineChars="200"/>
        <w:rPr>
          <w:rFonts w:ascii="宋体"/>
          <w:color w:val="auto"/>
          <w:sz w:val="24"/>
          <w:highlight w:val="none"/>
        </w:rPr>
      </w:pPr>
      <w:r>
        <w:rPr>
          <w:rFonts w:ascii="宋体" w:hAnsi="宋体"/>
          <w:color w:val="auto"/>
          <w:sz w:val="24"/>
          <w:highlight w:val="none"/>
        </w:rPr>
        <w:t>6</w:t>
      </w:r>
      <w:r>
        <w:rPr>
          <w:rFonts w:ascii="宋体"/>
          <w:color w:val="auto"/>
          <w:sz w:val="24"/>
          <w:highlight w:val="none"/>
        </w:rPr>
        <w:t>.</w:t>
      </w:r>
      <w:r>
        <w:rPr>
          <w:rFonts w:hint="eastAsia" w:ascii="宋体" w:hAnsi="宋体"/>
          <w:color w:val="auto"/>
          <w:sz w:val="24"/>
          <w:highlight w:val="none"/>
        </w:rPr>
        <w:t>排水方案中排水主干管的排水能力应能滿足各参建单位生活污水、生产污废水、雨水的排水要求并提供相关接口，排入市政管网的雨污废水必须满足国家相关法律法规的要求。</w:t>
      </w:r>
    </w:p>
    <w:p>
      <w:pPr>
        <w:spacing w:line="360" w:lineRule="auto"/>
        <w:ind w:firstLine="480" w:firstLineChars="200"/>
        <w:rPr>
          <w:rFonts w:ascii="宋体"/>
          <w:color w:val="auto"/>
          <w:sz w:val="24"/>
          <w:highlight w:val="none"/>
        </w:rPr>
      </w:pPr>
      <w:r>
        <w:rPr>
          <w:rFonts w:ascii="宋体" w:hAnsi="宋体"/>
          <w:color w:val="auto"/>
          <w:sz w:val="24"/>
          <w:highlight w:val="none"/>
        </w:rPr>
        <w:t>7</w:t>
      </w:r>
      <w:r>
        <w:rPr>
          <w:rFonts w:ascii="宋体"/>
          <w:color w:val="auto"/>
          <w:sz w:val="24"/>
          <w:highlight w:val="none"/>
        </w:rPr>
        <w:t>.</w:t>
      </w:r>
      <w:r>
        <w:rPr>
          <w:rFonts w:hint="eastAsia" w:ascii="宋体" w:hAnsi="宋体"/>
          <w:color w:val="auto"/>
          <w:sz w:val="24"/>
          <w:highlight w:val="none"/>
        </w:rPr>
        <w:t>供排水方案应报发包人、监理审核后实施，并于发包人指定时间拆除、清运、恢复（如管道等拆除后的回填土、永久围墙的修补等）。承包人须承担完成临时供排水设施的报批、施工、现场协调、日常维护使用、行政性收费、风险等一切费用，所有材料设备产权（为指定承包人提供的用水分表后的材料设备除外）属承包人，所需一切费用包干，结算时不予调整。投标人在投标报价时应充分考虑现场的实际情况。</w:t>
      </w:r>
    </w:p>
    <w:p>
      <w:pPr>
        <w:spacing w:line="360" w:lineRule="auto"/>
        <w:ind w:firstLine="480" w:firstLineChars="200"/>
        <w:rPr>
          <w:rFonts w:ascii="宋体"/>
          <w:color w:val="auto"/>
          <w:sz w:val="24"/>
          <w:highlight w:val="none"/>
        </w:rPr>
      </w:pPr>
      <w:r>
        <w:rPr>
          <w:rFonts w:ascii="宋体" w:hAnsi="宋体"/>
          <w:color w:val="auto"/>
          <w:sz w:val="24"/>
          <w:highlight w:val="none"/>
        </w:rPr>
        <w:t>8</w:t>
      </w:r>
      <w:r>
        <w:rPr>
          <w:rFonts w:ascii="宋体"/>
          <w:color w:val="auto"/>
          <w:sz w:val="24"/>
          <w:highlight w:val="none"/>
        </w:rPr>
        <w:t>.</w:t>
      </w:r>
      <w:r>
        <w:rPr>
          <w:rFonts w:hint="eastAsia" w:ascii="宋体" w:hAnsi="宋体"/>
          <w:color w:val="auto"/>
          <w:sz w:val="24"/>
          <w:highlight w:val="none"/>
        </w:rPr>
        <w:t>承包人在合同履行期内，应负责对本工程的实施与缺陷修复以及所需全部用水（含饮用）的供应（包括初装及其手续的办理），并承担所有一切费用。</w:t>
      </w:r>
    </w:p>
    <w:p>
      <w:pPr>
        <w:spacing w:line="360" w:lineRule="auto"/>
        <w:ind w:firstLine="480" w:firstLineChars="200"/>
        <w:rPr>
          <w:rFonts w:ascii="宋体"/>
          <w:color w:val="auto"/>
          <w:sz w:val="24"/>
          <w:highlight w:val="none"/>
        </w:rPr>
      </w:pPr>
      <w:r>
        <w:rPr>
          <w:rFonts w:ascii="宋体" w:hAnsi="宋体"/>
          <w:color w:val="auto"/>
          <w:sz w:val="24"/>
          <w:highlight w:val="none"/>
        </w:rPr>
        <w:t>9.</w:t>
      </w:r>
      <w:r>
        <w:rPr>
          <w:rFonts w:hint="eastAsia" w:ascii="宋体" w:hAnsi="宋体"/>
          <w:color w:val="auto"/>
          <w:sz w:val="24"/>
          <w:highlight w:val="none"/>
        </w:rPr>
        <w:t>发包人及监理单位办公生活用水水费由承包人负责。</w:t>
      </w:r>
    </w:p>
    <w:p>
      <w:pPr>
        <w:spacing w:line="360" w:lineRule="auto"/>
        <w:ind w:firstLine="480" w:firstLineChars="200"/>
        <w:rPr>
          <w:rFonts w:ascii="宋体"/>
          <w:color w:val="auto"/>
          <w:sz w:val="24"/>
          <w:highlight w:val="none"/>
        </w:rPr>
      </w:pPr>
      <w:r>
        <w:rPr>
          <w:rFonts w:ascii="宋体" w:hAnsi="宋体"/>
          <w:color w:val="auto"/>
          <w:sz w:val="24"/>
          <w:highlight w:val="none"/>
        </w:rPr>
        <w:t>10.</w:t>
      </w:r>
      <w:r>
        <w:rPr>
          <w:rFonts w:hint="eastAsia" w:ascii="宋体" w:hAnsi="宋体"/>
          <w:color w:val="auto"/>
          <w:sz w:val="24"/>
          <w:highlight w:val="none"/>
        </w:rPr>
        <w:t>关于承包人和指定承包人独立调试用水的管理规定</w:t>
      </w:r>
    </w:p>
    <w:p>
      <w:pPr>
        <w:spacing w:line="360" w:lineRule="auto"/>
        <w:ind w:firstLine="480" w:firstLineChars="200"/>
        <w:rPr>
          <w:rFonts w:ascii="宋体"/>
          <w:color w:val="auto"/>
          <w:sz w:val="24"/>
          <w:highlight w:val="none"/>
        </w:rPr>
      </w:pPr>
      <w:r>
        <w:rPr>
          <w:rFonts w:hint="eastAsia" w:ascii="宋体" w:hAnsi="宋体"/>
          <w:color w:val="auto"/>
          <w:sz w:val="24"/>
          <w:highlight w:val="none"/>
        </w:rPr>
        <w:t>承包人和指定承包人在整个项目总体联合调试前所需的各种调试用水均使用临时水，发生的工、料、机、燃料、水费由各自承担。</w:t>
      </w:r>
    </w:p>
    <w:p>
      <w:pPr>
        <w:spacing w:line="360" w:lineRule="auto"/>
        <w:ind w:firstLine="480" w:firstLineChars="200"/>
        <w:rPr>
          <w:rFonts w:ascii="宋体"/>
          <w:color w:val="auto"/>
          <w:sz w:val="24"/>
          <w:highlight w:val="none"/>
        </w:rPr>
      </w:pPr>
      <w:r>
        <w:rPr>
          <w:rFonts w:ascii="宋体" w:hAnsi="宋体"/>
          <w:color w:val="auto"/>
          <w:sz w:val="24"/>
          <w:highlight w:val="none"/>
        </w:rPr>
        <w:t>11.</w:t>
      </w:r>
      <w:r>
        <w:rPr>
          <w:rFonts w:hint="eastAsia" w:ascii="宋体" w:hAnsi="宋体"/>
          <w:color w:val="auto"/>
          <w:sz w:val="24"/>
          <w:highlight w:val="none"/>
        </w:rPr>
        <w:t>关于正式水源投入使用后的相关规定</w:t>
      </w:r>
    </w:p>
    <w:p>
      <w:pPr>
        <w:spacing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）正式水源投入使用开始，至整项目竣工验收合格后</w:t>
      </w:r>
      <w:r>
        <w:rPr>
          <w:rFonts w:ascii="宋体" w:hAnsi="宋体"/>
          <w:color w:val="auto"/>
          <w:sz w:val="24"/>
          <w:highlight w:val="none"/>
        </w:rPr>
        <w:t>90</w:t>
      </w:r>
      <w:r>
        <w:rPr>
          <w:rFonts w:hint="eastAsia" w:ascii="宋体" w:hAnsi="宋体"/>
          <w:color w:val="auto"/>
          <w:sz w:val="24"/>
          <w:highlight w:val="none"/>
        </w:rPr>
        <w:t>天内或工程正式移交使用单位（以先到时间为准）止。包括本项目总体联合调试及试运行、竣工验收和各承包人整改期间的用水。使用的正式水由承包人负责管理、统一收缴。期间所发生的水费由承包人与业主指定承包人协议解决。水费由承包人统一收缴水费并上交水务集团。</w:t>
      </w:r>
    </w:p>
    <w:p>
      <w:pPr>
        <w:spacing w:line="360" w:lineRule="auto"/>
        <w:ind w:firstLine="480" w:firstLineChars="200"/>
        <w:rPr>
          <w:rFonts w:ascii="宋体"/>
          <w:color w:val="auto"/>
          <w:sz w:val="24"/>
          <w:highlight w:val="none"/>
        </w:rPr>
      </w:pPr>
      <w:r>
        <w:rPr>
          <w:rFonts w:hint="eastAsia" w:ascii="宋体" w:hAnsi="宋体"/>
          <w:color w:val="auto"/>
          <w:sz w:val="24"/>
          <w:highlight w:val="none"/>
        </w:rPr>
        <w:t>所有承包人不得以任何理由拒交水费，否则，发包人可以从工程款中扣除；未征得发包人</w:t>
      </w:r>
      <w:r>
        <w:rPr>
          <w:rFonts w:hint="eastAsia" w:ascii="宋体" w:hAnsi="宋体"/>
          <w:color w:val="auto"/>
          <w:sz w:val="24"/>
          <w:highlight w:val="none"/>
          <w:lang w:eastAsia="zh-CN"/>
        </w:rPr>
        <w:t>书面</w:t>
      </w:r>
      <w:r>
        <w:rPr>
          <w:rFonts w:hint="eastAsia" w:ascii="宋体" w:hAnsi="宋体"/>
          <w:color w:val="auto"/>
          <w:sz w:val="24"/>
          <w:highlight w:val="none"/>
        </w:rPr>
        <w:t>同意，承包人也不得以任何理由切断水源。</w:t>
      </w:r>
    </w:p>
    <w:p>
      <w:pPr>
        <w:spacing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）承包人应在措施费项目清单中对上述期间自身可能发生的各种费用报价，否则，招标人均认为投标人投标报价中已充分考虑了此项费用。此项费用按中标价包干，不管出现何种情况，均不予调整。</w:t>
      </w:r>
    </w:p>
    <w:p>
      <w:pPr>
        <w:spacing w:line="360" w:lineRule="auto"/>
        <w:ind w:firstLine="480" w:firstLineChars="200"/>
        <w:rPr>
          <w:rFonts w:ascii="宋体"/>
          <w:color w:val="auto"/>
          <w:sz w:val="24"/>
          <w:highlight w:val="none"/>
        </w:rPr>
      </w:pPr>
      <w:r>
        <w:rPr>
          <w:rFonts w:hint="eastAsia" w:ascii="宋体" w:hAnsi="宋体"/>
          <w:color w:val="auto"/>
          <w:sz w:val="24"/>
          <w:highlight w:val="none"/>
        </w:rPr>
        <w:t>提示：为避免上述期限到期后，使用单位以各种理由拒绝交割水电引起费用纠纷，建议承包人与供水部门签订《供用水协议》时应注明，供水部门在收到承包人关于用水报停的通知后应及时给予办理，否则由此引起的用水费用承包人不予承担。</w:t>
      </w:r>
    </w:p>
    <w:p>
      <w:pPr>
        <w:spacing w:line="360" w:lineRule="auto"/>
        <w:ind w:firstLine="480" w:firstLineChars="200"/>
        <w:rPr>
          <w:rFonts w:ascii="宋体"/>
          <w:color w:val="auto"/>
          <w:sz w:val="24"/>
          <w:highlight w:val="none"/>
        </w:rPr>
      </w:pPr>
      <w:r>
        <w:rPr>
          <w:rFonts w:ascii="宋体" w:hAnsi="宋体"/>
          <w:color w:val="auto"/>
          <w:sz w:val="24"/>
          <w:highlight w:val="none"/>
        </w:rPr>
        <w:t>1</w:t>
      </w:r>
      <w:r>
        <w:rPr>
          <w:rFonts w:hint="eastAsia" w:ascii="宋体" w:hAnsi="宋体"/>
          <w:color w:val="auto"/>
          <w:sz w:val="24"/>
          <w:highlight w:val="none"/>
        </w:rPr>
        <w:t>）承包人布设用水管线时，应充分考虑消防用水，满足消防要求。</w:t>
      </w:r>
    </w:p>
    <w:p>
      <w:pPr>
        <w:spacing w:line="360" w:lineRule="auto"/>
        <w:ind w:firstLine="480" w:firstLineChars="200"/>
        <w:rPr>
          <w:rFonts w:ascii="宋体"/>
          <w:color w:val="auto"/>
          <w:sz w:val="24"/>
          <w:highlight w:val="none"/>
        </w:rPr>
      </w:pPr>
      <w:r>
        <w:rPr>
          <w:rFonts w:ascii="宋体" w:hAnsi="宋体"/>
          <w:color w:val="auto"/>
          <w:sz w:val="24"/>
          <w:highlight w:val="none"/>
        </w:rPr>
        <w:t>2</w:t>
      </w:r>
      <w:r>
        <w:rPr>
          <w:rFonts w:hint="eastAsia" w:ascii="宋体" w:hAnsi="宋体"/>
          <w:color w:val="auto"/>
          <w:sz w:val="24"/>
          <w:highlight w:val="none"/>
        </w:rPr>
        <w:t>）工地内所用临时排水必须按有关部门的规定执行，经处理后方能排入城市排水设施及河流，进出工地的车辆必须进行冲洗，保持道路干净、整洁。</w:t>
      </w:r>
    </w:p>
    <w:p>
      <w:pPr>
        <w:pStyle w:val="113"/>
        <w:spacing w:before="120" w:after="120"/>
        <w:outlineLvl w:val="2"/>
        <w:rPr>
          <w:color w:val="auto"/>
          <w:highlight w:val="none"/>
        </w:rPr>
      </w:pPr>
      <w:bookmarkStart w:id="7604" w:name="_Toc66890378"/>
      <w:bookmarkStart w:id="7605" w:name="_Toc66634383"/>
      <w:bookmarkStart w:id="7606" w:name="_Toc69114124"/>
      <w:bookmarkStart w:id="7607" w:name="_Toc505345696"/>
      <w:r>
        <w:rPr>
          <w:color w:val="auto"/>
          <w:highlight w:val="none"/>
        </w:rPr>
        <w:t xml:space="preserve">2.4 </w:t>
      </w:r>
      <w:r>
        <w:rPr>
          <w:rFonts w:hint="eastAsia"/>
          <w:color w:val="auto"/>
          <w:highlight w:val="none"/>
        </w:rPr>
        <w:t>临时道路和交通组织</w:t>
      </w:r>
      <w:bookmarkEnd w:id="7604"/>
      <w:bookmarkEnd w:id="7605"/>
      <w:bookmarkEnd w:id="7606"/>
      <w:bookmarkEnd w:id="7607"/>
    </w:p>
    <w:p>
      <w:pPr>
        <w:spacing w:line="360" w:lineRule="auto"/>
        <w:ind w:firstLine="480" w:firstLineChars="200"/>
        <w:rPr>
          <w:rFonts w:ascii="宋体"/>
          <w:color w:val="auto"/>
          <w:sz w:val="24"/>
          <w:highlight w:val="none"/>
        </w:rPr>
      </w:pPr>
      <w:r>
        <w:rPr>
          <w:rFonts w:ascii="宋体" w:hAnsi="宋体"/>
          <w:color w:val="auto"/>
          <w:sz w:val="24"/>
          <w:highlight w:val="none"/>
        </w:rPr>
        <w:t>1.</w:t>
      </w:r>
      <w:r>
        <w:rPr>
          <w:rFonts w:hint="eastAsia" w:ascii="宋体" w:hAnsi="宋体"/>
          <w:color w:val="auto"/>
          <w:sz w:val="24"/>
          <w:highlight w:val="none"/>
        </w:rPr>
        <w:t>现有通行的道路，凡与本工程的施工发生干扰或不能直接抵达施工现场时，承包人应修筑临时道路，道路路基须稳定，路面须硬化，能满足施工作业车辆和大型材料运输车辆进场的通行要求。承包人应对临时道路进行养护，以确保交通的畅通。承包人负责道路的维修平整、清洁、洒水、沿线设施保护等。相关费用包含在投标报价中。</w:t>
      </w:r>
    </w:p>
    <w:p>
      <w:pPr>
        <w:spacing w:line="360" w:lineRule="auto"/>
        <w:ind w:firstLine="480" w:firstLineChars="200"/>
        <w:rPr>
          <w:rFonts w:ascii="宋体"/>
          <w:color w:val="auto"/>
          <w:sz w:val="24"/>
          <w:highlight w:val="none"/>
        </w:rPr>
      </w:pPr>
      <w:r>
        <w:rPr>
          <w:rFonts w:ascii="宋体" w:hAnsi="宋体"/>
          <w:color w:val="auto"/>
          <w:sz w:val="24"/>
          <w:highlight w:val="none"/>
        </w:rPr>
        <w:t>2.</w:t>
      </w:r>
      <w:r>
        <w:rPr>
          <w:rFonts w:hint="eastAsia" w:ascii="宋体" w:hAnsi="宋体"/>
          <w:color w:val="auto"/>
          <w:sz w:val="24"/>
          <w:highlight w:val="none"/>
        </w:rPr>
        <w:t>在合同履行期内，承包人应参照前期已修筑道路，根据施工实际需要增加场内临时道路、施工便道等，并在使用期间进行平整、排水、清理、洒水等维护工作，保证运输畅通。场内临时路结构、宽度和长度应保证装卸车辆的运输需要。开工前承包人施工临时道路、施工便道等的修筑方案须得到监理工程师认可。上述工作所需费用投标人考虑在报价内。</w:t>
      </w:r>
    </w:p>
    <w:p>
      <w:pPr>
        <w:spacing w:line="360" w:lineRule="auto"/>
        <w:ind w:firstLine="480" w:firstLineChars="200"/>
        <w:rPr>
          <w:rFonts w:ascii="宋体"/>
          <w:color w:val="auto"/>
          <w:sz w:val="24"/>
          <w:highlight w:val="none"/>
        </w:rPr>
      </w:pPr>
      <w:r>
        <w:rPr>
          <w:rFonts w:ascii="宋体" w:hAnsi="宋体"/>
          <w:color w:val="auto"/>
          <w:sz w:val="24"/>
          <w:highlight w:val="none"/>
        </w:rPr>
        <w:t>3.</w:t>
      </w:r>
      <w:r>
        <w:rPr>
          <w:rFonts w:hint="eastAsia" w:ascii="宋体" w:hAnsi="宋体"/>
          <w:color w:val="auto"/>
          <w:sz w:val="24"/>
          <w:highlight w:val="none"/>
        </w:rPr>
        <w:t>施工期间对交通组织的要求必须符合深圳市公安交通管理和市交通部门的有关规定，编报施工组织设计时，应充分考虑施工期间的交通组织，并保证车辆运行畅通和安全。</w:t>
      </w:r>
    </w:p>
    <w:p>
      <w:pPr>
        <w:spacing w:line="360" w:lineRule="auto"/>
        <w:ind w:firstLine="480" w:firstLineChars="200"/>
        <w:rPr>
          <w:rFonts w:ascii="宋体"/>
          <w:color w:val="auto"/>
          <w:sz w:val="24"/>
          <w:highlight w:val="none"/>
        </w:rPr>
      </w:pPr>
      <w:r>
        <w:rPr>
          <w:rFonts w:ascii="宋体" w:hAnsi="宋体"/>
          <w:color w:val="auto"/>
          <w:sz w:val="24"/>
          <w:highlight w:val="none"/>
        </w:rPr>
        <w:t>4.</w:t>
      </w:r>
      <w:r>
        <w:rPr>
          <w:rFonts w:hint="eastAsia" w:ascii="宋体" w:hAnsi="宋体"/>
          <w:color w:val="auto"/>
          <w:sz w:val="24"/>
          <w:highlight w:val="none"/>
        </w:rPr>
        <w:t>车辆行驶产生尘埃须满足环保部门的检测要求，对于尘埃超标，承包人进行调查并采取措施以降低尘埃至有关部门可接受的程度，并令监理工程师满意。</w:t>
      </w:r>
    </w:p>
    <w:p>
      <w:pPr>
        <w:spacing w:line="360" w:lineRule="auto"/>
        <w:ind w:firstLine="480" w:firstLineChars="200"/>
        <w:rPr>
          <w:rFonts w:ascii="宋体"/>
          <w:color w:val="auto"/>
          <w:sz w:val="24"/>
          <w:highlight w:val="none"/>
        </w:rPr>
      </w:pPr>
      <w:r>
        <w:rPr>
          <w:rFonts w:ascii="宋体" w:hAnsi="宋体"/>
          <w:color w:val="auto"/>
          <w:sz w:val="24"/>
          <w:highlight w:val="none"/>
        </w:rPr>
        <w:t>5.</w:t>
      </w:r>
      <w:r>
        <w:rPr>
          <w:rFonts w:hint="eastAsia" w:ascii="宋体" w:hAnsi="宋体"/>
          <w:color w:val="auto"/>
          <w:sz w:val="24"/>
          <w:highlight w:val="none"/>
        </w:rPr>
        <w:t>运输车辆产生的噪音须低于环保部门规定的程度；夜间施工，噪音将被要求降得更低，并满足学校教学及环保部门的要求。</w:t>
      </w:r>
    </w:p>
    <w:p>
      <w:pPr>
        <w:spacing w:line="360" w:lineRule="auto"/>
        <w:ind w:firstLine="480" w:firstLineChars="200"/>
        <w:rPr>
          <w:rFonts w:ascii="宋体"/>
          <w:color w:val="auto"/>
          <w:sz w:val="24"/>
          <w:highlight w:val="none"/>
        </w:rPr>
      </w:pPr>
      <w:r>
        <w:rPr>
          <w:rFonts w:ascii="宋体" w:hAnsi="宋体"/>
          <w:color w:val="auto"/>
          <w:sz w:val="24"/>
          <w:highlight w:val="none"/>
        </w:rPr>
        <w:t>6.</w:t>
      </w:r>
      <w:r>
        <w:rPr>
          <w:rFonts w:hint="eastAsia" w:ascii="宋体" w:hAnsi="宋体"/>
          <w:color w:val="auto"/>
          <w:sz w:val="24"/>
          <w:highlight w:val="none"/>
        </w:rPr>
        <w:t>承包人仅能使用经发包人、监理工程师</w:t>
      </w:r>
      <w:r>
        <w:rPr>
          <w:rFonts w:hint="eastAsia" w:ascii="宋体" w:hAnsi="宋体"/>
          <w:color w:val="auto"/>
          <w:sz w:val="24"/>
          <w:highlight w:val="none"/>
          <w:lang w:eastAsia="zh-CN"/>
        </w:rPr>
        <w:t>书面</w:t>
      </w:r>
      <w:r>
        <w:rPr>
          <w:rFonts w:hint="eastAsia" w:ascii="宋体" w:hAnsi="宋体"/>
          <w:color w:val="auto"/>
          <w:sz w:val="24"/>
          <w:highlight w:val="none"/>
        </w:rPr>
        <w:t>同意的并经有关部门批准的干道出入口点，这些干道出入口点的使用也应遵守有关当局的限制规定。标段范围内如需增加临时出入口点，承包人须经监理工程师同意后，自行办理相关手续及承担相关费用。在干道、人行道、出入口点内、或附近的施工应尽量减少干扰，应合理的、尽可能短的时间内完成。</w:t>
      </w:r>
    </w:p>
    <w:p>
      <w:pPr>
        <w:spacing w:line="360" w:lineRule="auto"/>
        <w:ind w:firstLine="480" w:firstLineChars="200"/>
        <w:rPr>
          <w:rFonts w:ascii="宋体"/>
          <w:color w:val="auto"/>
          <w:sz w:val="24"/>
          <w:highlight w:val="none"/>
        </w:rPr>
      </w:pPr>
      <w:r>
        <w:rPr>
          <w:rFonts w:ascii="宋体" w:hAnsi="宋体"/>
          <w:color w:val="auto"/>
          <w:sz w:val="24"/>
          <w:highlight w:val="none"/>
        </w:rPr>
        <w:t>7.</w:t>
      </w:r>
      <w:r>
        <w:rPr>
          <w:rFonts w:hint="eastAsia" w:ascii="宋体" w:hAnsi="宋体"/>
          <w:color w:val="auto"/>
          <w:sz w:val="24"/>
          <w:highlight w:val="none"/>
        </w:rPr>
        <w:t>司机要求</w:t>
      </w:r>
    </w:p>
    <w:p>
      <w:pPr>
        <w:spacing w:line="360" w:lineRule="auto"/>
        <w:ind w:firstLine="480" w:firstLineChars="200"/>
        <w:rPr>
          <w:rFonts w:ascii="宋体"/>
          <w:color w:val="auto"/>
          <w:sz w:val="24"/>
          <w:highlight w:val="none"/>
        </w:rPr>
      </w:pPr>
      <w:r>
        <w:rPr>
          <w:rFonts w:hint="eastAsia" w:ascii="宋体" w:hAnsi="宋体"/>
          <w:color w:val="auto"/>
          <w:sz w:val="24"/>
          <w:highlight w:val="none"/>
        </w:rPr>
        <w:t>施工作业车辆司机必须具有该车型的驾驶证，并必须遵守交通安全法规及驾驶员守则。承包人应对施工作业车辆司机定期进行安全交底和培训。施工作业车辆司机必须服从现场管理人员及交通协管员的管理，对不服从管理的司机，发包人或监理工程师有权要求承包人立即进行更换。</w:t>
      </w:r>
    </w:p>
    <w:p>
      <w:pPr>
        <w:spacing w:line="360" w:lineRule="auto"/>
        <w:ind w:firstLine="480" w:firstLineChars="200"/>
        <w:rPr>
          <w:rFonts w:ascii="宋体"/>
          <w:color w:val="auto"/>
          <w:sz w:val="24"/>
          <w:highlight w:val="none"/>
        </w:rPr>
      </w:pPr>
      <w:r>
        <w:rPr>
          <w:rFonts w:ascii="宋体" w:hAnsi="宋体"/>
          <w:color w:val="auto"/>
          <w:sz w:val="24"/>
          <w:highlight w:val="none"/>
        </w:rPr>
        <w:t>8.</w:t>
      </w:r>
      <w:r>
        <w:rPr>
          <w:rFonts w:hint="eastAsia" w:ascii="宋体" w:hAnsi="宋体"/>
          <w:color w:val="auto"/>
          <w:sz w:val="24"/>
          <w:highlight w:val="none"/>
        </w:rPr>
        <w:t>管理要求</w:t>
      </w:r>
    </w:p>
    <w:p>
      <w:pPr>
        <w:spacing w:line="360" w:lineRule="auto"/>
        <w:ind w:firstLine="480" w:firstLineChars="200"/>
        <w:rPr>
          <w:rFonts w:ascii="宋体"/>
          <w:color w:val="auto"/>
          <w:sz w:val="24"/>
          <w:highlight w:val="none"/>
        </w:rPr>
      </w:pPr>
      <w:r>
        <w:rPr>
          <w:rFonts w:hint="eastAsia" w:ascii="宋体" w:hAnsi="宋体"/>
          <w:color w:val="auto"/>
          <w:sz w:val="24"/>
          <w:highlight w:val="none"/>
        </w:rPr>
        <w:t>施工作业车辆必须按照指定的路线行使，并注意交通安全，不得闯红灯和超速行驶。运输车辆驶出施工现场必须经过洗车池，并由专人负责冲洗，对冲洗不合格的车辆不得上路，否则监理工程师有权对承包人处与违约金。施工作业车辆必须服从交通协管员的管理。</w:t>
      </w:r>
    </w:p>
    <w:p>
      <w:pPr>
        <w:spacing w:line="360" w:lineRule="auto"/>
        <w:ind w:firstLine="480" w:firstLineChars="200"/>
        <w:rPr>
          <w:rFonts w:ascii="宋体"/>
          <w:color w:val="auto"/>
          <w:sz w:val="24"/>
          <w:highlight w:val="none"/>
        </w:rPr>
      </w:pPr>
      <w:r>
        <w:rPr>
          <w:rFonts w:ascii="宋体" w:hAnsi="宋体"/>
          <w:color w:val="auto"/>
          <w:sz w:val="24"/>
          <w:highlight w:val="none"/>
        </w:rPr>
        <w:t>9.</w:t>
      </w:r>
      <w:r>
        <w:rPr>
          <w:rFonts w:hint="eastAsia" w:ascii="宋体" w:hAnsi="宋体"/>
          <w:color w:val="auto"/>
          <w:sz w:val="24"/>
          <w:highlight w:val="none"/>
        </w:rPr>
        <w:t>连通工地的社会道路只许使用充气轮胎和有执照的车辆行驶使用，履带车辆需要做好相应的防护措施，对于承包人车辆损坏上述道路，由此造成的一切损失由承包人负责。</w:t>
      </w:r>
    </w:p>
    <w:p>
      <w:pPr>
        <w:spacing w:line="360" w:lineRule="auto"/>
        <w:ind w:firstLine="480" w:firstLineChars="200"/>
        <w:rPr>
          <w:rFonts w:ascii="宋体"/>
          <w:color w:val="auto"/>
          <w:sz w:val="24"/>
          <w:highlight w:val="none"/>
        </w:rPr>
      </w:pPr>
      <w:r>
        <w:rPr>
          <w:rFonts w:ascii="宋体" w:hAnsi="宋体"/>
          <w:color w:val="auto"/>
          <w:sz w:val="24"/>
          <w:highlight w:val="none"/>
        </w:rPr>
        <w:t>10.</w:t>
      </w:r>
      <w:r>
        <w:rPr>
          <w:rFonts w:hint="eastAsia" w:ascii="宋体" w:hAnsi="宋体"/>
          <w:color w:val="auto"/>
          <w:sz w:val="24"/>
          <w:highlight w:val="none"/>
        </w:rPr>
        <w:t>承包人必须遵守交通运输部门的有关规定组织车流。</w:t>
      </w:r>
    </w:p>
    <w:p>
      <w:pPr>
        <w:spacing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）除合同要求外</w:t>
      </w:r>
      <w:r>
        <w:rPr>
          <w:rFonts w:ascii="宋体"/>
          <w:color w:val="auto"/>
          <w:sz w:val="24"/>
          <w:highlight w:val="none"/>
        </w:rPr>
        <w:t>,</w:t>
      </w:r>
      <w:r>
        <w:rPr>
          <w:rFonts w:hint="eastAsia" w:ascii="宋体" w:hAnsi="宋体"/>
          <w:color w:val="auto"/>
          <w:sz w:val="24"/>
          <w:highlight w:val="none"/>
        </w:rPr>
        <w:t>其他的临时车流组织必须遵守运输部门或相关部门的要求和限制条件，临时灯标、信号、护栏和车流控制须遵守相关部门的要求和限制条件。和社会道路的交叉口，承包人需派专人指挥疏导交通。相关费用包含在投标报价中。</w:t>
      </w:r>
    </w:p>
    <w:p>
      <w:pPr>
        <w:spacing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行驶社会道路的车辆服从交通运输部门的管理，办理相关证件。土方运输车辆和驾驶员除须按深圳市的要求，办理“两牌两证”外，运输车辆须按要求加盖，避免掉落石块伤人及减小车上泥土、碎石落地造成的危害。相关费用包含在投标报价中。</w:t>
      </w:r>
    </w:p>
    <w:p>
      <w:pPr>
        <w:spacing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）严禁超载及超速行驶，雨天车辆须降速行驶，同时车辆、道路增加防滑措施。道路须经常清扫及洒水保持清洁，车辆行驶产生尘埃满足环保部门的检测要求。</w:t>
      </w:r>
    </w:p>
    <w:p>
      <w:pPr>
        <w:spacing w:line="360" w:lineRule="auto"/>
        <w:ind w:firstLine="480" w:firstLineChars="200"/>
        <w:rPr>
          <w:rFonts w:ascii="宋体"/>
          <w:color w:val="auto"/>
          <w:sz w:val="24"/>
          <w:highlight w:val="none"/>
        </w:rPr>
      </w:pPr>
      <w:r>
        <w:rPr>
          <w:rFonts w:ascii="宋体" w:hAnsi="宋体"/>
          <w:color w:val="auto"/>
          <w:sz w:val="24"/>
          <w:highlight w:val="none"/>
        </w:rPr>
        <w:t>11.</w:t>
      </w:r>
      <w:r>
        <w:rPr>
          <w:rFonts w:hint="eastAsia" w:ascii="宋体" w:hAnsi="宋体"/>
          <w:color w:val="auto"/>
          <w:sz w:val="24"/>
          <w:highlight w:val="none"/>
        </w:rPr>
        <w:t>车辆进出工地管理制</w:t>
      </w:r>
    </w:p>
    <w:p>
      <w:pPr>
        <w:spacing w:line="360" w:lineRule="auto"/>
        <w:ind w:firstLine="480" w:firstLineChars="200"/>
        <w:rPr>
          <w:rFonts w:ascii="宋体"/>
          <w:color w:val="auto"/>
          <w:sz w:val="24"/>
          <w:highlight w:val="none"/>
        </w:rPr>
      </w:pPr>
      <w:r>
        <w:rPr>
          <w:rFonts w:hint="eastAsia" w:ascii="宋体" w:hAnsi="宋体"/>
          <w:color w:val="auto"/>
          <w:sz w:val="24"/>
          <w:highlight w:val="none"/>
        </w:rPr>
        <w:t>根据施工场地周边道路的情况，施工车辆出入口，承包商要派专人</w:t>
      </w:r>
      <w:r>
        <w:rPr>
          <w:rFonts w:ascii="宋体" w:hAnsi="宋体"/>
          <w:color w:val="auto"/>
          <w:sz w:val="24"/>
          <w:highlight w:val="none"/>
        </w:rPr>
        <w:t>24</w:t>
      </w:r>
      <w:r>
        <w:rPr>
          <w:rFonts w:hint="eastAsia" w:ascii="宋体" w:hAnsi="宋体"/>
          <w:color w:val="auto"/>
          <w:sz w:val="24"/>
          <w:highlight w:val="none"/>
        </w:rPr>
        <w:t>小时负责监管，对所有进出车辆进行登记工作，并实行凭卡放行的制度。对进入施工现场的车辆进行发卡放行，通行卡上要求写明车号、日期，并有放行单位的有效印章，同时，对放行车辆的物资进行简单描述。无卡的车辆一律不得放行。</w:t>
      </w:r>
    </w:p>
    <w:p>
      <w:pPr>
        <w:spacing w:line="360" w:lineRule="auto"/>
        <w:ind w:firstLine="480" w:firstLineChars="200"/>
        <w:rPr>
          <w:rFonts w:ascii="宋体"/>
          <w:color w:val="auto"/>
          <w:sz w:val="24"/>
          <w:highlight w:val="none"/>
        </w:rPr>
      </w:pPr>
      <w:r>
        <w:rPr>
          <w:rFonts w:ascii="宋体" w:hAnsi="宋体"/>
          <w:color w:val="auto"/>
          <w:sz w:val="24"/>
          <w:highlight w:val="none"/>
        </w:rPr>
        <w:t>12.</w:t>
      </w:r>
      <w:r>
        <w:rPr>
          <w:rFonts w:hint="eastAsia" w:ascii="宋体" w:hAnsi="宋体"/>
          <w:color w:val="auto"/>
          <w:sz w:val="24"/>
          <w:highlight w:val="none"/>
        </w:rPr>
        <w:t>施工道路</w:t>
      </w:r>
    </w:p>
    <w:p>
      <w:pPr>
        <w:spacing w:line="360" w:lineRule="auto"/>
        <w:ind w:firstLine="480" w:firstLineChars="200"/>
        <w:rPr>
          <w:rFonts w:ascii="宋体"/>
          <w:color w:val="auto"/>
          <w:sz w:val="24"/>
          <w:highlight w:val="none"/>
        </w:rPr>
      </w:pPr>
      <w:r>
        <w:rPr>
          <w:rFonts w:hint="eastAsia" w:ascii="宋体" w:hAnsi="宋体"/>
          <w:color w:val="auto"/>
          <w:sz w:val="24"/>
          <w:highlight w:val="none"/>
        </w:rPr>
        <w:t>施工场区的临时道路由承包人根据现有的临时道路和设施、施工现场情况及施工安排自行确定修建位置。承包人应充分考虑临时道路的修建和日常维护及清洁，包括洒水、对坑洼路面进行填平压实以及由于施工原因引起的二次或多次改建等。不因现场场地条件改变而签证。</w:t>
      </w:r>
    </w:p>
    <w:p>
      <w:pPr>
        <w:spacing w:line="360" w:lineRule="auto"/>
        <w:ind w:firstLine="480" w:firstLineChars="200"/>
        <w:rPr>
          <w:rFonts w:ascii="宋体"/>
          <w:color w:val="auto"/>
          <w:sz w:val="24"/>
          <w:highlight w:val="none"/>
        </w:rPr>
      </w:pPr>
      <w:r>
        <w:rPr>
          <w:rFonts w:hint="eastAsia" w:ascii="宋体" w:hAnsi="宋体"/>
          <w:color w:val="auto"/>
          <w:sz w:val="24"/>
          <w:highlight w:val="none"/>
        </w:rPr>
        <w:t>施工作业车辆驶入市政道路前，必须经过洗车池，冲洗车辆后的污水必须经沉淀池沉淀后方可排入市政管网，本工程施工作业车辆使用此洗车池发生的相关费用由承包人承担，如果由于施工需要，需增设洗车池的，则承包人应在相应路段上修建洗车池，并做好日常维护和清理工作。承包人应综合充分考虑洗车池的修建、使用过程中的水、电、维护管理以及拆除、恢复等一切费用。</w:t>
      </w:r>
    </w:p>
    <w:p>
      <w:pPr>
        <w:spacing w:line="360" w:lineRule="auto"/>
        <w:ind w:firstLine="480" w:firstLineChars="200"/>
        <w:rPr>
          <w:rFonts w:ascii="宋体"/>
          <w:color w:val="auto"/>
          <w:sz w:val="24"/>
          <w:highlight w:val="none"/>
        </w:rPr>
      </w:pPr>
      <w:r>
        <w:rPr>
          <w:rFonts w:hint="eastAsia" w:ascii="宋体" w:hAnsi="宋体"/>
          <w:color w:val="auto"/>
          <w:sz w:val="24"/>
          <w:highlight w:val="none"/>
        </w:rPr>
        <w:t>临时便道与洗车池等一切相关费用计入措施项目清单中。</w:t>
      </w:r>
    </w:p>
    <w:p>
      <w:pPr>
        <w:spacing w:line="360" w:lineRule="auto"/>
        <w:ind w:firstLine="480" w:firstLineChars="200"/>
        <w:rPr>
          <w:rFonts w:ascii="宋体"/>
          <w:color w:val="auto"/>
          <w:sz w:val="24"/>
          <w:highlight w:val="none"/>
        </w:rPr>
      </w:pPr>
      <w:r>
        <w:rPr>
          <w:rFonts w:ascii="宋体" w:hAnsi="宋体"/>
          <w:color w:val="auto"/>
          <w:sz w:val="24"/>
          <w:highlight w:val="none"/>
        </w:rPr>
        <w:t>13.</w:t>
      </w:r>
      <w:r>
        <w:rPr>
          <w:rFonts w:hint="eastAsia" w:ascii="宋体" w:hAnsi="宋体"/>
          <w:color w:val="auto"/>
          <w:sz w:val="24"/>
          <w:highlight w:val="none"/>
        </w:rPr>
        <w:t>土方、淤泥清运</w:t>
      </w:r>
    </w:p>
    <w:p>
      <w:pPr>
        <w:spacing w:line="360" w:lineRule="auto"/>
        <w:ind w:firstLine="480" w:firstLineChars="200"/>
        <w:rPr>
          <w:rFonts w:ascii="宋体"/>
          <w:color w:val="auto"/>
          <w:sz w:val="24"/>
          <w:highlight w:val="none"/>
        </w:rPr>
      </w:pPr>
      <w:r>
        <w:rPr>
          <w:rFonts w:hint="eastAsia" w:ascii="宋体" w:hAnsi="宋体"/>
          <w:color w:val="auto"/>
          <w:sz w:val="24"/>
          <w:highlight w:val="none"/>
        </w:rPr>
        <w:t>土方、淤泥清运是指在本工程施工过程中所有发生的土方、淤泥开挖、清理、外运和废弃，所产生的费用综合考虑列入相关的综合单价或措施费中。施工单位不得因此获得索偿。</w:t>
      </w:r>
    </w:p>
    <w:p>
      <w:pPr>
        <w:pStyle w:val="113"/>
        <w:spacing w:before="120" w:after="120"/>
        <w:outlineLvl w:val="2"/>
        <w:rPr>
          <w:color w:val="auto"/>
          <w:highlight w:val="none"/>
        </w:rPr>
      </w:pPr>
      <w:bookmarkStart w:id="7608" w:name="_Toc69114125"/>
      <w:bookmarkStart w:id="7609" w:name="_Toc66634384"/>
      <w:bookmarkStart w:id="7610" w:name="_Toc505345697"/>
      <w:bookmarkStart w:id="7611" w:name="_Toc66890379"/>
      <w:r>
        <w:rPr>
          <w:color w:val="auto"/>
          <w:highlight w:val="none"/>
        </w:rPr>
        <w:t xml:space="preserve">2.5 </w:t>
      </w:r>
      <w:r>
        <w:rPr>
          <w:rFonts w:hint="eastAsia"/>
          <w:color w:val="auto"/>
          <w:highlight w:val="none"/>
        </w:rPr>
        <w:t>承包人的驻地建设</w:t>
      </w:r>
      <w:bookmarkEnd w:id="7608"/>
      <w:bookmarkEnd w:id="7609"/>
      <w:bookmarkEnd w:id="7610"/>
      <w:bookmarkEnd w:id="7611"/>
    </w:p>
    <w:p>
      <w:pPr>
        <w:spacing w:line="360" w:lineRule="auto"/>
        <w:ind w:firstLine="480" w:firstLineChars="200"/>
        <w:rPr>
          <w:rFonts w:ascii="宋体"/>
          <w:color w:val="auto"/>
          <w:sz w:val="24"/>
          <w:highlight w:val="none"/>
        </w:rPr>
      </w:pPr>
      <w:r>
        <w:rPr>
          <w:rFonts w:ascii="宋体" w:hAnsi="宋体"/>
          <w:color w:val="auto"/>
          <w:sz w:val="24"/>
          <w:highlight w:val="none"/>
        </w:rPr>
        <w:t>1.</w:t>
      </w:r>
      <w:r>
        <w:rPr>
          <w:rFonts w:hint="eastAsia" w:ascii="宋体" w:hAnsi="宋体"/>
          <w:color w:val="auto"/>
          <w:sz w:val="24"/>
          <w:highlight w:val="none"/>
        </w:rPr>
        <w:t>为了工程的有效实施和管理，承包人应在监理工程师指定的范围内搭建临时设施并负责管理、维护和清洁所需的全部办公室（包括发包人的办公室）、宿舍、食堂、医务室、卫生间及冲凉房、试验室、洗车池、库房和储料场、工作场地等房屋及场地设施。相关费用包含在投标报价中。</w:t>
      </w:r>
    </w:p>
    <w:p>
      <w:pPr>
        <w:spacing w:line="360" w:lineRule="auto"/>
        <w:ind w:firstLine="480" w:firstLineChars="200"/>
        <w:rPr>
          <w:rFonts w:ascii="宋体"/>
          <w:color w:val="auto"/>
          <w:sz w:val="24"/>
          <w:highlight w:val="none"/>
        </w:rPr>
      </w:pPr>
      <w:r>
        <w:rPr>
          <w:rFonts w:ascii="宋体" w:hAnsi="宋体"/>
          <w:color w:val="auto"/>
          <w:sz w:val="24"/>
          <w:highlight w:val="none"/>
        </w:rPr>
        <w:t>2.</w:t>
      </w:r>
      <w:r>
        <w:rPr>
          <w:rFonts w:hint="eastAsia" w:ascii="宋体" w:hAnsi="宋体"/>
          <w:color w:val="auto"/>
          <w:sz w:val="24"/>
          <w:highlight w:val="none"/>
        </w:rPr>
        <w:t>承包人的驻地建设工作开始以前，承包人应向监理工程师提交工程施工总平面布置图，图上应标明上述所有建筑物的平面位置尺寸，并说明其计划使用的要求和使用日期，报监理工程师审批。</w:t>
      </w:r>
    </w:p>
    <w:p>
      <w:pPr>
        <w:spacing w:line="360" w:lineRule="auto"/>
        <w:ind w:firstLine="480" w:firstLineChars="200"/>
        <w:rPr>
          <w:rFonts w:ascii="宋体"/>
          <w:color w:val="auto"/>
          <w:sz w:val="24"/>
          <w:highlight w:val="none"/>
        </w:rPr>
      </w:pPr>
      <w:r>
        <w:rPr>
          <w:rFonts w:ascii="宋体" w:hAnsi="宋体"/>
          <w:color w:val="auto"/>
          <w:sz w:val="24"/>
          <w:highlight w:val="none"/>
        </w:rPr>
        <w:t>3.</w:t>
      </w:r>
      <w:r>
        <w:rPr>
          <w:rFonts w:hint="eastAsia" w:ascii="宋体" w:hAnsi="宋体"/>
          <w:color w:val="auto"/>
          <w:sz w:val="24"/>
          <w:highlight w:val="none"/>
        </w:rPr>
        <w:t>承包人现场临设可能存在搬迁，届时必须服从监理工程师指令按时搬迁（相应的费用应在投标报价中考虑）。</w:t>
      </w:r>
    </w:p>
    <w:p>
      <w:pPr>
        <w:spacing w:line="360" w:lineRule="auto"/>
        <w:ind w:firstLine="480" w:firstLineChars="200"/>
        <w:rPr>
          <w:color w:val="auto"/>
          <w:highlight w:val="none"/>
        </w:rPr>
      </w:pPr>
      <w:r>
        <w:rPr>
          <w:rFonts w:ascii="宋体" w:hAnsi="宋体"/>
          <w:color w:val="auto"/>
          <w:sz w:val="24"/>
          <w:highlight w:val="none"/>
        </w:rPr>
        <w:t>4.</w:t>
      </w:r>
      <w:r>
        <w:rPr>
          <w:rFonts w:hint="eastAsia" w:ascii="宋体" w:hAnsi="宋体"/>
          <w:color w:val="auto"/>
          <w:sz w:val="24"/>
          <w:highlight w:val="none"/>
        </w:rPr>
        <w:t>承包人现场临设应符合建筑施工安全检查标准</w:t>
      </w:r>
      <w:r>
        <w:rPr>
          <w:rFonts w:ascii="宋体" w:hAnsi="宋体"/>
          <w:color w:val="auto"/>
          <w:sz w:val="24"/>
          <w:highlight w:val="none"/>
        </w:rPr>
        <w:t>JGJ59-2011</w:t>
      </w:r>
      <w:r>
        <w:rPr>
          <w:rFonts w:hint="eastAsia" w:ascii="宋体" w:hAnsi="宋体"/>
          <w:color w:val="auto"/>
          <w:sz w:val="24"/>
          <w:highlight w:val="none"/>
        </w:rPr>
        <w:t>文明施工规定的要求。</w:t>
      </w:r>
    </w:p>
    <w:p>
      <w:pPr>
        <w:pStyle w:val="188"/>
        <w:spacing w:before="120" w:after="120"/>
        <w:outlineLvl w:val="1"/>
        <w:rPr>
          <w:color w:val="auto"/>
          <w:highlight w:val="none"/>
        </w:rPr>
      </w:pPr>
      <w:bookmarkStart w:id="7612" w:name="_Toc66634385"/>
      <w:bookmarkStart w:id="7613" w:name="_Toc66890380"/>
      <w:bookmarkStart w:id="7614" w:name="_Toc505345698"/>
      <w:bookmarkStart w:id="7615" w:name="_Toc69114126"/>
      <w:r>
        <w:rPr>
          <w:rFonts w:hint="eastAsia"/>
          <w:color w:val="auto"/>
          <w:highlight w:val="none"/>
        </w:rPr>
        <w:t>第</w:t>
      </w:r>
      <w:r>
        <w:rPr>
          <w:color w:val="auto"/>
          <w:highlight w:val="none"/>
        </w:rPr>
        <w:t>3</w:t>
      </w:r>
      <w:r>
        <w:rPr>
          <w:rFonts w:hint="eastAsia"/>
          <w:color w:val="auto"/>
          <w:highlight w:val="none"/>
        </w:rPr>
        <w:t>章</w:t>
      </w:r>
      <w:r>
        <w:rPr>
          <w:color w:val="auto"/>
          <w:highlight w:val="none"/>
        </w:rPr>
        <w:t xml:space="preserve">  </w:t>
      </w:r>
      <w:r>
        <w:rPr>
          <w:rFonts w:hint="eastAsia"/>
          <w:color w:val="auto"/>
          <w:highlight w:val="none"/>
        </w:rPr>
        <w:t>工程管理</w:t>
      </w:r>
      <w:bookmarkEnd w:id="7612"/>
      <w:bookmarkEnd w:id="7613"/>
      <w:bookmarkEnd w:id="7614"/>
      <w:bookmarkEnd w:id="7615"/>
    </w:p>
    <w:p>
      <w:pPr>
        <w:pStyle w:val="113"/>
        <w:spacing w:before="120" w:after="120"/>
        <w:outlineLvl w:val="2"/>
        <w:rPr>
          <w:color w:val="auto"/>
          <w:highlight w:val="none"/>
        </w:rPr>
      </w:pPr>
      <w:bookmarkStart w:id="7616" w:name="_Toc66890381"/>
      <w:bookmarkStart w:id="7617" w:name="_Toc66634386"/>
      <w:bookmarkStart w:id="7618" w:name="_Toc69114127"/>
      <w:bookmarkStart w:id="7619" w:name="_Toc505345699"/>
      <w:r>
        <w:rPr>
          <w:color w:val="auto"/>
          <w:highlight w:val="none"/>
        </w:rPr>
        <w:t xml:space="preserve">3.1 </w:t>
      </w:r>
      <w:r>
        <w:rPr>
          <w:rFonts w:hint="eastAsia"/>
          <w:color w:val="auto"/>
          <w:highlight w:val="none"/>
        </w:rPr>
        <w:t>实施过程、协调与配合</w:t>
      </w:r>
      <w:bookmarkEnd w:id="7616"/>
      <w:bookmarkEnd w:id="7617"/>
      <w:bookmarkEnd w:id="7618"/>
      <w:bookmarkEnd w:id="7619"/>
    </w:p>
    <w:p>
      <w:pPr>
        <w:spacing w:line="360" w:lineRule="auto"/>
        <w:ind w:firstLine="480" w:firstLineChars="200"/>
        <w:rPr>
          <w:color w:val="auto"/>
          <w:sz w:val="24"/>
          <w:highlight w:val="none"/>
        </w:rPr>
      </w:pPr>
      <w:r>
        <w:rPr>
          <w:rFonts w:hint="eastAsia"/>
          <w:color w:val="auto"/>
          <w:sz w:val="24"/>
          <w:highlight w:val="none"/>
        </w:rPr>
        <w:t>承包人须负责全面协调本项目内的参建单位，包括指定承包人。对本项目内的工程质量、进度、安全、文明施工等负总协调、管理、配合的合同责任。由于协调管理工作较多，应考虑设置专人负责协调及管理。所有协调及管理工作均以最终验收工作完成为准，费用由承包人在投标报价时综合考虑，如因协调及管理不力导致工程进展不顺利，承包人将承担相应责任。以下要求与投标须知的工作界面划分矛盾时，以工作界面划分为准。</w:t>
      </w:r>
    </w:p>
    <w:p>
      <w:pPr>
        <w:pStyle w:val="172"/>
        <w:rPr>
          <w:color w:val="auto"/>
          <w:highlight w:val="none"/>
        </w:rPr>
      </w:pPr>
      <w:r>
        <w:rPr>
          <w:color w:val="auto"/>
          <w:highlight w:val="none"/>
        </w:rPr>
        <w:t xml:space="preserve">3.1.1 </w:t>
      </w:r>
      <w:r>
        <w:rPr>
          <w:rFonts w:hint="eastAsia"/>
          <w:color w:val="auto"/>
          <w:highlight w:val="none"/>
        </w:rPr>
        <w:t>承包人与政府有关各部门及公用事业机构之间的沟通与协调责任</w:t>
      </w:r>
    </w:p>
    <w:p>
      <w:pPr>
        <w:spacing w:line="360" w:lineRule="auto"/>
        <w:ind w:firstLine="480" w:firstLineChars="200"/>
        <w:rPr>
          <w:color w:val="auto"/>
          <w:sz w:val="24"/>
          <w:highlight w:val="none"/>
        </w:rPr>
      </w:pPr>
      <w:r>
        <w:rPr>
          <w:rFonts w:hint="eastAsia"/>
          <w:color w:val="auto"/>
          <w:sz w:val="24"/>
          <w:highlight w:val="none"/>
        </w:rPr>
        <w:t>承包人必须协助发包人与政府有关各部门及公用事业机构之间进行有效沟通与协调。包括但不限于：</w:t>
      </w:r>
    </w:p>
    <w:p>
      <w:pPr>
        <w:spacing w:line="360" w:lineRule="auto"/>
        <w:ind w:firstLine="480" w:firstLineChars="200"/>
        <w:rPr>
          <w:rFonts w:ascii="宋体"/>
          <w:color w:val="auto"/>
          <w:sz w:val="24"/>
          <w:highlight w:val="none"/>
        </w:rPr>
      </w:pPr>
      <w:r>
        <w:rPr>
          <w:rFonts w:ascii="宋体" w:hAnsi="宋体"/>
          <w:color w:val="auto"/>
          <w:sz w:val="24"/>
          <w:highlight w:val="none"/>
        </w:rPr>
        <w:t>1.</w:t>
      </w:r>
      <w:r>
        <w:rPr>
          <w:rFonts w:hint="eastAsia" w:ascii="宋体" w:hAnsi="宋体"/>
          <w:color w:val="auto"/>
          <w:sz w:val="24"/>
          <w:highlight w:val="none"/>
        </w:rPr>
        <w:t>承包人须向政府有关各部门及公用事业机构提供有关的资料（函件、图纸、样品、产品说明书等）作为审批的依据，如因所送资料不符合要求而需重新送审，因此而造成的工期延误等损失由承包人负责。</w:t>
      </w:r>
    </w:p>
    <w:p>
      <w:pPr>
        <w:pStyle w:val="217"/>
        <w:rPr>
          <w:color w:val="auto"/>
          <w:highlight w:val="none"/>
        </w:rPr>
      </w:pPr>
      <w:r>
        <w:rPr>
          <w:color w:val="auto"/>
          <w:highlight w:val="none"/>
        </w:rPr>
        <w:t>2.</w:t>
      </w:r>
      <w:r>
        <w:rPr>
          <w:rFonts w:hint="eastAsia"/>
          <w:color w:val="auto"/>
          <w:highlight w:val="none"/>
        </w:rPr>
        <w:t>如因承包人原因与政府有关部门及公用事业单位协调或合作不够导致已安装的设备或系统需更改或拆除，承包人除需承担所有有关的费用和导致工期延误的责任外，还须对发包人做出相应的赔偿。</w:t>
      </w:r>
    </w:p>
    <w:p>
      <w:pPr>
        <w:pStyle w:val="172"/>
        <w:rPr>
          <w:color w:val="auto"/>
          <w:highlight w:val="none"/>
        </w:rPr>
      </w:pPr>
      <w:r>
        <w:rPr>
          <w:color w:val="auto"/>
          <w:highlight w:val="none"/>
        </w:rPr>
        <w:t xml:space="preserve">3.1.2 </w:t>
      </w:r>
      <w:r>
        <w:rPr>
          <w:rFonts w:hint="eastAsia"/>
          <w:color w:val="auto"/>
          <w:highlight w:val="none"/>
        </w:rPr>
        <w:t>承包人与发包人、监理之间的沟通与协调责任</w:t>
      </w:r>
    </w:p>
    <w:p>
      <w:pPr>
        <w:pStyle w:val="217"/>
        <w:rPr>
          <w:color w:val="auto"/>
          <w:highlight w:val="none"/>
        </w:rPr>
      </w:pPr>
      <w:r>
        <w:rPr>
          <w:color w:val="auto"/>
          <w:highlight w:val="none"/>
        </w:rPr>
        <w:t>1.</w:t>
      </w:r>
      <w:r>
        <w:rPr>
          <w:rFonts w:hint="eastAsia"/>
          <w:color w:val="auto"/>
          <w:highlight w:val="none"/>
        </w:rPr>
        <w:t>承包人须遵从发包人和监理工程师分发且经设计签字、盖章批准的施工图纸进行施工。否则而导致建筑工程的修改或返工，承包人须负所有责任。</w:t>
      </w:r>
    </w:p>
    <w:p>
      <w:pPr>
        <w:pStyle w:val="217"/>
        <w:rPr>
          <w:color w:val="auto"/>
          <w:highlight w:val="none"/>
        </w:rPr>
      </w:pPr>
      <w:r>
        <w:rPr>
          <w:color w:val="auto"/>
          <w:highlight w:val="none"/>
        </w:rPr>
        <w:t>2.</w:t>
      </w:r>
      <w:r>
        <w:rPr>
          <w:rFonts w:hint="eastAsia"/>
          <w:color w:val="auto"/>
          <w:highlight w:val="none"/>
        </w:rPr>
        <w:t>承包人须按发包人及监理要求提供所需的有关资料，包括材料样品、产品说明书等向发包人、监理申报，若所有送审的有关资料未能达到有关法规、规范、规程、合约及设计有关要求而需重新申报的，由此而导致工期延误及所引起的一切费用损失等全部由承包人负责。</w:t>
      </w:r>
    </w:p>
    <w:p>
      <w:pPr>
        <w:pStyle w:val="217"/>
        <w:rPr>
          <w:color w:val="auto"/>
          <w:highlight w:val="none"/>
        </w:rPr>
      </w:pPr>
      <w:r>
        <w:rPr>
          <w:color w:val="auto"/>
          <w:highlight w:val="none"/>
        </w:rPr>
        <w:t>3.</w:t>
      </w:r>
      <w:r>
        <w:rPr>
          <w:rFonts w:hint="eastAsia"/>
          <w:color w:val="auto"/>
          <w:highlight w:val="none"/>
        </w:rPr>
        <w:t>承包人应按照合同及招标文件约定的时间提交施工组织设计及重要的专项施工方案（由监理工程师根据工程特点确定）文件，以便监理工程师组织设计等相关单位进行会审，施工组织设计及专项施工方案必须经监理审批后实施。</w:t>
      </w:r>
    </w:p>
    <w:p>
      <w:pPr>
        <w:pStyle w:val="217"/>
        <w:rPr>
          <w:color w:val="auto"/>
          <w:highlight w:val="none"/>
        </w:rPr>
      </w:pPr>
      <w:r>
        <w:rPr>
          <w:color w:val="auto"/>
          <w:highlight w:val="none"/>
        </w:rPr>
        <w:t>4.</w:t>
      </w:r>
      <w:r>
        <w:rPr>
          <w:rFonts w:hint="eastAsia"/>
          <w:color w:val="auto"/>
          <w:highlight w:val="none"/>
        </w:rPr>
        <w:t>根据危险性较大分部分项工程相关管理规定，承包人必须组织超过一定规模的专项工程施工方案专家论证会，并报请发包人及监理代表参加。</w:t>
      </w:r>
    </w:p>
    <w:p>
      <w:pPr>
        <w:pStyle w:val="217"/>
        <w:rPr>
          <w:color w:val="auto"/>
          <w:highlight w:val="none"/>
        </w:rPr>
      </w:pPr>
      <w:r>
        <w:rPr>
          <w:color w:val="auto"/>
          <w:highlight w:val="none"/>
        </w:rPr>
        <w:t>5.</w:t>
      </w:r>
      <w:r>
        <w:rPr>
          <w:rFonts w:hint="eastAsia"/>
          <w:color w:val="auto"/>
          <w:highlight w:val="none"/>
        </w:rPr>
        <w:t>如因承包人与发包人、监理缺乏协调而导致已完工程造成质量缺陷的，承包人除须支付所有有关的费用和负由此而导致工期延误的责任外，仍须对发包人作出相应的赔偿。</w:t>
      </w:r>
    </w:p>
    <w:p>
      <w:pPr>
        <w:pStyle w:val="217"/>
        <w:rPr>
          <w:color w:val="auto"/>
          <w:highlight w:val="none"/>
        </w:rPr>
      </w:pPr>
      <w:r>
        <w:rPr>
          <w:color w:val="auto"/>
          <w:highlight w:val="none"/>
        </w:rPr>
        <w:t>6.</w:t>
      </w:r>
      <w:r>
        <w:rPr>
          <w:rFonts w:hint="eastAsia"/>
          <w:color w:val="auto"/>
          <w:highlight w:val="none"/>
        </w:rPr>
        <w:t>负责落实发包人、监理提出的、为保证工程顺利推进必要的其它配合工作。</w:t>
      </w:r>
    </w:p>
    <w:p>
      <w:pPr>
        <w:pStyle w:val="217"/>
        <w:rPr>
          <w:color w:val="auto"/>
          <w:highlight w:val="none"/>
        </w:rPr>
      </w:pPr>
      <w:r>
        <w:rPr>
          <w:color w:val="auto"/>
          <w:highlight w:val="none"/>
        </w:rPr>
        <w:t>7.</w:t>
      </w:r>
      <w:r>
        <w:rPr>
          <w:rFonts w:hint="eastAsia"/>
          <w:color w:val="auto"/>
          <w:highlight w:val="none"/>
        </w:rPr>
        <w:t>凡属隐蔽工程，承包人应提前</w:t>
      </w:r>
      <w:r>
        <w:rPr>
          <w:color w:val="auto"/>
          <w:highlight w:val="none"/>
        </w:rPr>
        <w:t>24</w:t>
      </w:r>
      <w:r>
        <w:rPr>
          <w:rFonts w:hint="eastAsia"/>
          <w:color w:val="auto"/>
          <w:highlight w:val="none"/>
        </w:rPr>
        <w:t>小时通知监理，派人进行隐藏工程验收并由总监理工程师书面签署隐蔽验收意见。未经验收的隐蔽工程，承包人不得自行隐蔽。各项隐蔽工程验收记录、报告，材料试验报告等均要作为技术档案资料保存，并同竣工图一并归档。</w:t>
      </w:r>
    </w:p>
    <w:p>
      <w:pPr>
        <w:pStyle w:val="217"/>
        <w:rPr>
          <w:color w:val="auto"/>
          <w:highlight w:val="none"/>
        </w:rPr>
      </w:pPr>
      <w:r>
        <w:rPr>
          <w:color w:val="auto"/>
          <w:highlight w:val="none"/>
        </w:rPr>
        <w:t>8.</w:t>
      </w:r>
      <w:r>
        <w:rPr>
          <w:rFonts w:hint="eastAsia"/>
          <w:color w:val="auto"/>
          <w:highlight w:val="none"/>
        </w:rPr>
        <w:t>本合同范围内的全部施工须由熟练的专业技工进行，并应遵照本说明书所规定的工艺要求施工。发包人、监理工程师有权要求承包人提供各专业技工和技术人员的资历作审查。</w:t>
      </w:r>
    </w:p>
    <w:p>
      <w:pPr>
        <w:pStyle w:val="172"/>
        <w:rPr>
          <w:color w:val="auto"/>
          <w:highlight w:val="none"/>
        </w:rPr>
      </w:pPr>
      <w:r>
        <w:rPr>
          <w:color w:val="auto"/>
          <w:highlight w:val="none"/>
        </w:rPr>
        <w:t xml:space="preserve">3.1.3 </w:t>
      </w:r>
      <w:r>
        <w:rPr>
          <w:rFonts w:hint="eastAsia"/>
          <w:color w:val="auto"/>
          <w:highlight w:val="none"/>
        </w:rPr>
        <w:t>承包人与设计单位之间的沟通与协调责任</w:t>
      </w:r>
    </w:p>
    <w:p>
      <w:pPr>
        <w:pStyle w:val="217"/>
        <w:rPr>
          <w:color w:val="auto"/>
          <w:highlight w:val="none"/>
        </w:rPr>
      </w:pPr>
      <w:r>
        <w:rPr>
          <w:color w:val="auto"/>
          <w:highlight w:val="none"/>
        </w:rPr>
        <w:t>1.</w:t>
      </w:r>
      <w:r>
        <w:rPr>
          <w:rFonts w:hint="eastAsia"/>
          <w:color w:val="auto"/>
          <w:highlight w:val="none"/>
        </w:rPr>
        <w:t>承包人在发包人及监理参与条件下，需负责与设计单位在设计范围内进行及时沟通协调，由于缺乏协调而导致工期延误和费用增加，承包人须对业主做出相应的赔偿。</w:t>
      </w:r>
    </w:p>
    <w:p>
      <w:pPr>
        <w:pStyle w:val="217"/>
        <w:rPr>
          <w:color w:val="auto"/>
          <w:highlight w:val="none"/>
        </w:rPr>
      </w:pPr>
      <w:r>
        <w:rPr>
          <w:color w:val="auto"/>
          <w:highlight w:val="none"/>
        </w:rPr>
        <w:t>2.</w:t>
      </w:r>
      <w:r>
        <w:rPr>
          <w:rFonts w:hint="eastAsia"/>
          <w:color w:val="auto"/>
          <w:highlight w:val="none"/>
        </w:rPr>
        <w:t>承包人应在图纸会审前对各专业设计文件做全面复核。对于图纸中明显的错漏之处（如某专业图纸自身矛盾、各专业图纸相互矛盾、设计图纸表达不清等），承包人应在图纸会审会议中提出，或者在相关工程内容施工前</w:t>
      </w:r>
      <w:r>
        <w:rPr>
          <w:color w:val="auto"/>
          <w:highlight w:val="none"/>
        </w:rPr>
        <w:t>30</w:t>
      </w:r>
      <w:r>
        <w:rPr>
          <w:rFonts w:hint="eastAsia"/>
          <w:color w:val="auto"/>
          <w:highlight w:val="none"/>
        </w:rPr>
        <w:t>（三十）天提出，以便给予相关单位充足的处理时间；对施工影响重大的问题，如实际施工可能难于达到发包人、监理或设计标准者，设备尺寸与结构设计尺寸矛盾，造成设备无法安装等情况，承包人应在图纸会审中提出，或者在相关工程内容施工前</w:t>
      </w:r>
      <w:r>
        <w:rPr>
          <w:color w:val="auto"/>
          <w:highlight w:val="none"/>
        </w:rPr>
        <w:t>30</w:t>
      </w:r>
      <w:r>
        <w:rPr>
          <w:rFonts w:hint="eastAsia"/>
          <w:color w:val="auto"/>
          <w:highlight w:val="none"/>
        </w:rPr>
        <w:t>（三十）天提出，以便给予相关单位充足的处理时间。否则，承包人不得以上述情况作为工期延误的理由。</w:t>
      </w:r>
    </w:p>
    <w:p>
      <w:pPr>
        <w:pStyle w:val="217"/>
        <w:rPr>
          <w:color w:val="auto"/>
          <w:highlight w:val="none"/>
        </w:rPr>
      </w:pPr>
      <w:r>
        <w:rPr>
          <w:color w:val="auto"/>
          <w:highlight w:val="none"/>
        </w:rPr>
        <w:t>3.</w:t>
      </w:r>
      <w:r>
        <w:rPr>
          <w:rFonts w:hint="eastAsia"/>
          <w:color w:val="auto"/>
          <w:highlight w:val="none"/>
        </w:rPr>
        <w:t>各部位施工前均应复核各专业图纸，不得以单专业图纸做为唯一施工依据进行施工。遇到图纸有矛盾之处或图示做法、意图无法实现时，请及时与设计院专业负责人或工程主持人联系，协商解决。变更图纸必须事先与设计人员协商，根据各专业的条件，许可后方可变更。</w:t>
      </w:r>
    </w:p>
    <w:p>
      <w:pPr>
        <w:pStyle w:val="172"/>
        <w:rPr>
          <w:color w:val="auto"/>
          <w:highlight w:val="none"/>
        </w:rPr>
      </w:pPr>
      <w:r>
        <w:rPr>
          <w:color w:val="auto"/>
          <w:highlight w:val="none"/>
        </w:rPr>
        <w:t xml:space="preserve">3.1.4 </w:t>
      </w:r>
      <w:r>
        <w:rPr>
          <w:rFonts w:hint="eastAsia"/>
          <w:color w:val="auto"/>
          <w:highlight w:val="none"/>
        </w:rPr>
        <w:t>承包人与指定承包人之间的协调及配合责任</w:t>
      </w:r>
    </w:p>
    <w:p>
      <w:pPr>
        <w:pStyle w:val="217"/>
        <w:rPr>
          <w:color w:val="auto"/>
          <w:highlight w:val="none"/>
        </w:rPr>
      </w:pPr>
      <w:r>
        <w:rPr>
          <w:color w:val="auto"/>
          <w:highlight w:val="none"/>
        </w:rPr>
        <w:t>1.</w:t>
      </w:r>
      <w:r>
        <w:rPr>
          <w:rFonts w:hint="eastAsia"/>
          <w:color w:val="auto"/>
          <w:highlight w:val="none"/>
        </w:rPr>
        <w:t>承包人有责任牵头就本工程质量、安全、文明施工、进度控制等管理与其他承包人之间进行有效沟通与配合，以确保在工作界面交叉上能与其他单位满意地配合，并确保其负责的工作是按照正确的程序和方式进行。</w:t>
      </w:r>
    </w:p>
    <w:p>
      <w:pPr>
        <w:pStyle w:val="217"/>
        <w:rPr>
          <w:color w:val="auto"/>
          <w:highlight w:val="none"/>
        </w:rPr>
      </w:pPr>
      <w:r>
        <w:rPr>
          <w:color w:val="auto"/>
          <w:highlight w:val="none"/>
        </w:rPr>
        <w:t>2.</w:t>
      </w:r>
      <w:r>
        <w:rPr>
          <w:rFonts w:hint="eastAsia"/>
          <w:color w:val="auto"/>
          <w:highlight w:val="none"/>
        </w:rPr>
        <w:t>涉及有关本工程范围内的其他专业需配合的有关事项，须按已定的工程进度计划预先通知其他承包人。实施土建隐蔽工程前</w:t>
      </w:r>
      <w:r>
        <w:rPr>
          <w:color w:val="auto"/>
          <w:highlight w:val="none"/>
        </w:rPr>
        <w:t>15</w:t>
      </w:r>
      <w:r>
        <w:rPr>
          <w:rFonts w:hint="eastAsia"/>
          <w:color w:val="auto"/>
          <w:highlight w:val="none"/>
        </w:rPr>
        <w:t>（十五）天，承包人必须通过会议或电子通讯设备通知各专业施工方，以便各方在隐蔽实施过程中核查本专业隐蔽工程内容是否无误，若因承包人原因导致需提前预埋的埋件或预留的孔洞遗漏的，除设计变更引起外，所增加相关的费用将由承包人负责。</w:t>
      </w:r>
    </w:p>
    <w:p>
      <w:pPr>
        <w:pStyle w:val="217"/>
        <w:rPr>
          <w:color w:val="auto"/>
          <w:highlight w:val="none"/>
        </w:rPr>
      </w:pPr>
      <w:r>
        <w:rPr>
          <w:rFonts w:hint="eastAsia"/>
          <w:color w:val="auto"/>
          <w:highlight w:val="none"/>
        </w:rPr>
        <w:t>3.在主体结构施工期间，承包人须全面负责装修装饰、园林绿化、室外铺装、智能化、电梯、外墙涂料、防水工程、人防工程等分部分项工程的施工配合。</w:t>
      </w:r>
    </w:p>
    <w:p>
      <w:pPr>
        <w:pStyle w:val="217"/>
        <w:rPr>
          <w:color w:val="auto"/>
          <w:highlight w:val="none"/>
        </w:rPr>
      </w:pPr>
      <w:r>
        <w:rPr>
          <w:color w:val="auto"/>
          <w:highlight w:val="none"/>
        </w:rPr>
        <w:t>4.</w:t>
      </w:r>
      <w:r>
        <w:rPr>
          <w:rFonts w:hint="eastAsia"/>
          <w:color w:val="auto"/>
          <w:highlight w:val="none"/>
        </w:rPr>
        <w:t>承包人须与指定承包人之间进行有效沟通与协调，对工程进度作出合理的统筹安排，并组织实施，确保工程施工按总施工进度节点计划实施。因缺乏协调而造成的一切后果如延误工期等，将由承包人负责。</w:t>
      </w:r>
    </w:p>
    <w:p>
      <w:pPr>
        <w:pStyle w:val="217"/>
        <w:rPr>
          <w:color w:val="auto"/>
          <w:highlight w:val="none"/>
        </w:rPr>
      </w:pPr>
      <w:r>
        <w:rPr>
          <w:color w:val="auto"/>
          <w:highlight w:val="none"/>
        </w:rPr>
        <w:t>5.</w:t>
      </w:r>
      <w:r>
        <w:rPr>
          <w:rFonts w:hint="eastAsia"/>
          <w:color w:val="auto"/>
          <w:highlight w:val="none"/>
        </w:rPr>
        <w:t>负责向指定承包人及时提供施工及生活用水用电接口及其设备调试所需水电的接口；从配电箱引出的分电箱由指定承包人自行解决，指定承包人的施工及生活用水、用电及其调试所需水电的费用由指定承包人自行负责。</w:t>
      </w:r>
    </w:p>
    <w:p>
      <w:pPr>
        <w:pStyle w:val="217"/>
        <w:rPr>
          <w:color w:val="auto"/>
          <w:highlight w:val="none"/>
        </w:rPr>
      </w:pPr>
      <w:r>
        <w:rPr>
          <w:color w:val="auto"/>
          <w:highlight w:val="none"/>
        </w:rPr>
        <w:t>6.</w:t>
      </w:r>
      <w:r>
        <w:rPr>
          <w:rFonts w:hint="eastAsia"/>
          <w:color w:val="auto"/>
          <w:highlight w:val="none"/>
        </w:rPr>
        <w:t>负责及时向指定承包人提供基准标高、定位点线等。</w:t>
      </w:r>
    </w:p>
    <w:p>
      <w:pPr>
        <w:pStyle w:val="217"/>
        <w:rPr>
          <w:color w:val="auto"/>
          <w:highlight w:val="none"/>
        </w:rPr>
      </w:pPr>
      <w:r>
        <w:rPr>
          <w:color w:val="auto"/>
          <w:highlight w:val="none"/>
        </w:rPr>
        <w:t>7.</w:t>
      </w:r>
      <w:r>
        <w:rPr>
          <w:rFonts w:hint="eastAsia"/>
          <w:color w:val="auto"/>
          <w:highlight w:val="none"/>
        </w:rPr>
        <w:t>提供工地内的通道与临设场地，负责安排作业面及作业时间。</w:t>
      </w:r>
    </w:p>
    <w:p>
      <w:pPr>
        <w:pStyle w:val="217"/>
        <w:rPr>
          <w:color w:val="auto"/>
          <w:highlight w:val="none"/>
        </w:rPr>
      </w:pPr>
      <w:r>
        <w:rPr>
          <w:color w:val="auto"/>
          <w:highlight w:val="none"/>
        </w:rPr>
        <w:t>8.</w:t>
      </w:r>
      <w:r>
        <w:rPr>
          <w:rFonts w:hint="eastAsia"/>
          <w:color w:val="auto"/>
          <w:highlight w:val="none"/>
        </w:rPr>
        <w:t>设置于现场已有的起重机械或人货电梯，指定承包人可以在承包人的协调下使用，地面或楼面的水平运输由招标人指定的专业承包人自行解决。为工程设备的安装就位，如承包人现有的起重机械或者机具设备无法满足需要而需另外制订方案和增加起重机械或者机具设备时，则由指定承包人自行解决并承担费用，或者由指定承包人另行委托承包人或他人解决，费用由指定承包人承担。</w:t>
      </w:r>
    </w:p>
    <w:p>
      <w:pPr>
        <w:pStyle w:val="217"/>
        <w:rPr>
          <w:color w:val="auto"/>
          <w:highlight w:val="none"/>
        </w:rPr>
      </w:pPr>
      <w:r>
        <w:rPr>
          <w:color w:val="auto"/>
          <w:highlight w:val="none"/>
        </w:rPr>
        <w:t>9.</w:t>
      </w:r>
      <w:r>
        <w:rPr>
          <w:rFonts w:hint="eastAsia"/>
          <w:color w:val="auto"/>
          <w:highlight w:val="none"/>
        </w:rPr>
        <w:t>负责给指定承包人提供施工现场垃圾临时堆放地点并及时清运堆放点施工垃圾（包括指定承包人产生的施工垃圾）。各承包人自行负责将各自产生的施工垃圾运送到承包人指定的垃圾堆放地点。</w:t>
      </w:r>
    </w:p>
    <w:p>
      <w:pPr>
        <w:pStyle w:val="217"/>
        <w:rPr>
          <w:color w:val="auto"/>
          <w:highlight w:val="none"/>
        </w:rPr>
      </w:pPr>
      <w:r>
        <w:rPr>
          <w:color w:val="auto"/>
          <w:highlight w:val="none"/>
        </w:rPr>
        <w:t>10.</w:t>
      </w:r>
      <w:r>
        <w:rPr>
          <w:rFonts w:hint="eastAsia"/>
          <w:color w:val="auto"/>
          <w:highlight w:val="none"/>
        </w:rPr>
        <w:t>负责提供外脚手架供各参建单位使用，脚手架的拆除须得到监理、业主的书面认可。</w:t>
      </w:r>
    </w:p>
    <w:p>
      <w:pPr>
        <w:pStyle w:val="217"/>
        <w:rPr>
          <w:color w:val="auto"/>
          <w:highlight w:val="none"/>
        </w:rPr>
      </w:pPr>
      <w:r>
        <w:rPr>
          <w:color w:val="auto"/>
          <w:highlight w:val="none"/>
        </w:rPr>
        <w:t>11.</w:t>
      </w:r>
      <w:r>
        <w:rPr>
          <w:rFonts w:hint="eastAsia"/>
          <w:color w:val="auto"/>
          <w:highlight w:val="none"/>
        </w:rPr>
        <w:t>承包人应负责对各专业工程的施工顺序和合理的安装位置进行协调，如发现管、线和其他构件的安装位置相互矛盾时，须协调进行设计变更、并经过设计认可后方能施工；否则，施工单位擅自施工造成的已施工管、线和构件的拆除、报废等费用由承包人负责。擅自施工方承担其相应的责任。</w:t>
      </w:r>
    </w:p>
    <w:p>
      <w:pPr>
        <w:pStyle w:val="217"/>
        <w:rPr>
          <w:color w:val="auto"/>
          <w:highlight w:val="none"/>
        </w:rPr>
      </w:pPr>
      <w:r>
        <w:rPr>
          <w:color w:val="auto"/>
          <w:highlight w:val="none"/>
        </w:rPr>
        <w:t>12.</w:t>
      </w:r>
      <w:r>
        <w:rPr>
          <w:rFonts w:hint="eastAsia"/>
          <w:color w:val="auto"/>
          <w:highlight w:val="none"/>
        </w:rPr>
        <w:t>负责的预留、预埋的施工配合和（或）预埋件的清理等工作。</w:t>
      </w:r>
    </w:p>
    <w:p>
      <w:pPr>
        <w:pStyle w:val="217"/>
        <w:rPr>
          <w:color w:val="auto"/>
          <w:highlight w:val="none"/>
        </w:rPr>
      </w:pPr>
      <w:r>
        <w:rPr>
          <w:color w:val="auto"/>
          <w:highlight w:val="none"/>
        </w:rPr>
        <w:t>13.</w:t>
      </w:r>
      <w:r>
        <w:rPr>
          <w:rFonts w:hint="eastAsia"/>
          <w:color w:val="auto"/>
          <w:highlight w:val="none"/>
        </w:rPr>
        <w:t>负责承担因指定承包人和其他单位或自身原因引起工效降低的责任，发包人将不接受任何因以上原因和任何其他原因（除非合同中另有明确规定）造成的工效降低向发包人提出的工期、费用索赔的要求。</w:t>
      </w:r>
    </w:p>
    <w:p>
      <w:pPr>
        <w:pStyle w:val="217"/>
        <w:rPr>
          <w:color w:val="auto"/>
          <w:highlight w:val="none"/>
        </w:rPr>
      </w:pPr>
      <w:r>
        <w:rPr>
          <w:color w:val="auto"/>
          <w:highlight w:val="none"/>
        </w:rPr>
        <w:t>14.</w:t>
      </w:r>
      <w:r>
        <w:rPr>
          <w:rFonts w:hint="eastAsia"/>
          <w:color w:val="auto"/>
          <w:highlight w:val="none"/>
        </w:rPr>
        <w:t>隐蔽前必须给安装专业留有合理的安装时间，经监理验收并经各相关单位会签后，方可隐蔽。否则，拆除返工费用由承包人承担。并对最后的整体装饰效果负责。</w:t>
      </w:r>
    </w:p>
    <w:p>
      <w:pPr>
        <w:pStyle w:val="217"/>
        <w:rPr>
          <w:color w:val="auto"/>
          <w:highlight w:val="none"/>
        </w:rPr>
      </w:pPr>
      <w:r>
        <w:rPr>
          <w:color w:val="auto"/>
          <w:highlight w:val="none"/>
        </w:rPr>
        <w:t>15.</w:t>
      </w:r>
      <w:r>
        <w:rPr>
          <w:rFonts w:hint="eastAsia"/>
          <w:color w:val="auto"/>
          <w:highlight w:val="none"/>
        </w:rPr>
        <w:t>承包人对资料管理除按国家、省市等有关归档要求对自身资料进行收集整理外，尚须对指定指定专业承包人商（含供货商等）资料进行督促、归类、收集和整理，并使整个工程资料达到省、市优质样板工程资料归档的要求，产生的费用已包含在承包人投标报价之中。</w:t>
      </w:r>
    </w:p>
    <w:p>
      <w:pPr>
        <w:pStyle w:val="172"/>
        <w:rPr>
          <w:color w:val="auto"/>
          <w:highlight w:val="none"/>
        </w:rPr>
      </w:pPr>
      <w:r>
        <w:rPr>
          <w:color w:val="auto"/>
          <w:highlight w:val="none"/>
        </w:rPr>
        <w:t xml:space="preserve">3.1.5 </w:t>
      </w:r>
      <w:r>
        <w:rPr>
          <w:rFonts w:hint="eastAsia"/>
          <w:color w:val="auto"/>
          <w:highlight w:val="none"/>
        </w:rPr>
        <w:t>承包人与业主自行采购设备供应单位的协调责任</w:t>
      </w:r>
    </w:p>
    <w:p>
      <w:pPr>
        <w:pStyle w:val="217"/>
        <w:rPr>
          <w:color w:val="auto"/>
          <w:highlight w:val="none"/>
        </w:rPr>
      </w:pPr>
      <w:r>
        <w:rPr>
          <w:color w:val="auto"/>
          <w:highlight w:val="none"/>
        </w:rPr>
        <w:t>1.</w:t>
      </w:r>
      <w:r>
        <w:rPr>
          <w:rFonts w:hint="eastAsia"/>
          <w:color w:val="auto"/>
          <w:highlight w:val="none"/>
        </w:rPr>
        <w:t>承包人须与业主自行采购设备的供应商协调，明确双方的交接工作及详细的工作面。</w:t>
      </w:r>
    </w:p>
    <w:p>
      <w:pPr>
        <w:pStyle w:val="217"/>
        <w:rPr>
          <w:color w:val="auto"/>
          <w:highlight w:val="none"/>
        </w:rPr>
      </w:pPr>
      <w:r>
        <w:rPr>
          <w:color w:val="auto"/>
          <w:highlight w:val="none"/>
        </w:rPr>
        <w:t>2.</w:t>
      </w:r>
      <w:r>
        <w:rPr>
          <w:rFonts w:hint="eastAsia"/>
          <w:color w:val="auto"/>
          <w:highlight w:val="none"/>
        </w:rPr>
        <w:t>业主自行采购的设备如是散件供货，设备供应商须负责组装。承包人负责设备在施工现场范围内的保管工作。</w:t>
      </w:r>
    </w:p>
    <w:p>
      <w:pPr>
        <w:pStyle w:val="217"/>
        <w:rPr>
          <w:color w:val="auto"/>
          <w:highlight w:val="none"/>
        </w:rPr>
      </w:pPr>
      <w:r>
        <w:rPr>
          <w:color w:val="auto"/>
          <w:highlight w:val="none"/>
        </w:rPr>
        <w:t>3.</w:t>
      </w:r>
      <w:r>
        <w:rPr>
          <w:rFonts w:hint="eastAsia"/>
          <w:color w:val="auto"/>
          <w:highlight w:val="none"/>
        </w:rPr>
        <w:t>承包人须在业主自行采购设备供应商的指导下，进行设备安装、试运行、调试及验收等相关工作。</w:t>
      </w:r>
    </w:p>
    <w:p>
      <w:pPr>
        <w:pStyle w:val="217"/>
        <w:rPr>
          <w:color w:val="auto"/>
          <w:highlight w:val="none"/>
        </w:rPr>
      </w:pPr>
      <w:r>
        <w:rPr>
          <w:color w:val="auto"/>
          <w:highlight w:val="none"/>
        </w:rPr>
        <w:t>4.</w:t>
      </w:r>
      <w:r>
        <w:rPr>
          <w:rFonts w:hint="eastAsia"/>
          <w:color w:val="auto"/>
          <w:highlight w:val="none"/>
        </w:rPr>
        <w:t>承包人须按照设备技术规格说明书的要求，提供发包人自行采购设备的隔振设施。</w:t>
      </w:r>
    </w:p>
    <w:p>
      <w:pPr>
        <w:pStyle w:val="113"/>
        <w:spacing w:before="120" w:after="120"/>
        <w:outlineLvl w:val="2"/>
        <w:rPr>
          <w:color w:val="auto"/>
          <w:highlight w:val="none"/>
        </w:rPr>
      </w:pPr>
      <w:bookmarkStart w:id="7620" w:name="_Toc66890382"/>
      <w:bookmarkStart w:id="7621" w:name="_Toc69114128"/>
      <w:bookmarkStart w:id="7622" w:name="_Toc66634387"/>
      <w:bookmarkStart w:id="7623" w:name="_Toc505345700"/>
      <w:bookmarkStart w:id="7624" w:name="_Toc458423171"/>
      <w:r>
        <w:rPr>
          <w:color w:val="auto"/>
          <w:highlight w:val="none"/>
        </w:rPr>
        <w:t xml:space="preserve">3.2 </w:t>
      </w:r>
      <w:r>
        <w:rPr>
          <w:rFonts w:hint="eastAsia"/>
          <w:color w:val="auto"/>
          <w:highlight w:val="none"/>
        </w:rPr>
        <w:t>安全文明施工管理要求</w:t>
      </w:r>
      <w:bookmarkEnd w:id="7620"/>
      <w:bookmarkEnd w:id="7621"/>
      <w:bookmarkEnd w:id="7622"/>
      <w:bookmarkEnd w:id="7623"/>
      <w:bookmarkEnd w:id="7624"/>
    </w:p>
    <w:p>
      <w:pPr>
        <w:pStyle w:val="217"/>
        <w:rPr>
          <w:color w:val="auto"/>
          <w:highlight w:val="none"/>
        </w:rPr>
      </w:pPr>
      <w:r>
        <w:rPr>
          <w:rFonts w:hint="eastAsia"/>
          <w:color w:val="auto"/>
          <w:highlight w:val="none"/>
        </w:rPr>
        <w:t>承包人为现场安全文明施工管理总负责单位，负责本项目所有参建单位的协调、管理，负责施工现场的安全生产、文明施工；负责按要求施工完成临时用水、用电等临时工程，负责施工现场垃圾清运。</w:t>
      </w:r>
    </w:p>
    <w:p>
      <w:pPr>
        <w:pStyle w:val="172"/>
        <w:rPr>
          <w:color w:val="auto"/>
          <w:highlight w:val="none"/>
        </w:rPr>
      </w:pPr>
      <w:r>
        <w:rPr>
          <w:color w:val="auto"/>
          <w:highlight w:val="none"/>
        </w:rPr>
        <w:t xml:space="preserve">3.2.1 </w:t>
      </w:r>
      <w:r>
        <w:rPr>
          <w:rFonts w:hint="eastAsia"/>
          <w:color w:val="auto"/>
          <w:highlight w:val="none"/>
        </w:rPr>
        <w:t>文明施工管理要求</w:t>
      </w:r>
    </w:p>
    <w:p>
      <w:pPr>
        <w:pStyle w:val="217"/>
        <w:rPr>
          <w:color w:val="auto"/>
          <w:highlight w:val="none"/>
        </w:rPr>
      </w:pPr>
      <w:r>
        <w:rPr>
          <w:color w:val="auto"/>
          <w:highlight w:val="none"/>
        </w:rPr>
        <w:t>1.</w:t>
      </w:r>
      <w:r>
        <w:rPr>
          <w:rFonts w:hint="eastAsia"/>
          <w:color w:val="auto"/>
          <w:highlight w:val="none"/>
        </w:rPr>
        <w:t>工程全部施工期，均应遵照《深圳市建设工程安全文明施工十项标准（试行）》、《深圳市建设工程安全文明施工十项禁令》、《深圳市建设工程安全文明施工标准》（SJG-46-2018）、《广东省建设工程施工扬尘污染防治管理办法（试行）》、《深圳市建设工程扬尘污染防治专项方案》、《深圳市建设工程现场文明施工管理办法》、《深圳市建设工程现场文明施工检查评定标准》、发包人安全文明标准化手册等相关管理规定以及监理工程师根据现场施工情况制定的有关文明施工管理条例进行施工，施工现场应进行专门维护。发包人和监理工程师有权制定经济</w:t>
      </w:r>
      <w:r>
        <w:rPr>
          <w:rFonts w:hint="eastAsia"/>
          <w:color w:val="auto"/>
          <w:highlight w:val="none"/>
          <w:lang w:eastAsia="zh-CN"/>
        </w:rPr>
        <w:t>违约金</w:t>
      </w:r>
      <w:r>
        <w:rPr>
          <w:rFonts w:hint="eastAsia"/>
          <w:color w:val="auto"/>
          <w:highlight w:val="none"/>
        </w:rPr>
        <w:t>措施并全过程实施。</w:t>
      </w:r>
    </w:p>
    <w:p>
      <w:pPr>
        <w:pStyle w:val="217"/>
        <w:rPr>
          <w:color w:val="auto"/>
          <w:highlight w:val="none"/>
        </w:rPr>
      </w:pPr>
      <w:r>
        <w:rPr>
          <w:color w:val="auto"/>
          <w:highlight w:val="none"/>
        </w:rPr>
        <w:t>2.</w:t>
      </w:r>
      <w:r>
        <w:rPr>
          <w:rFonts w:hint="eastAsia"/>
          <w:color w:val="auto"/>
          <w:highlight w:val="none"/>
        </w:rPr>
        <w:t>贯彻实施“净畅宁工程”。</w:t>
      </w:r>
      <w:r>
        <w:rPr>
          <w:color w:val="auto"/>
          <w:highlight w:val="none"/>
        </w:rPr>
        <w:t xml:space="preserve"> </w:t>
      </w:r>
      <w:r>
        <w:rPr>
          <w:rFonts w:hint="eastAsia"/>
          <w:color w:val="auto"/>
          <w:highlight w:val="none"/>
        </w:rPr>
        <w:t>承包人应遵守有关环境保护的法律法规，并采取有效措施控制施工现场的各种粉尘、废气、废气物、噪音、振动等对周边环境造成的污染和危害，以达到政府部门制定的相应标准。工程施工期内，承包人必须认真贯彻执行（深府</w:t>
      </w:r>
      <w:r>
        <w:rPr>
          <w:color w:val="auto"/>
          <w:highlight w:val="none"/>
        </w:rPr>
        <w:t>[2003]135</w:t>
      </w:r>
      <w:r>
        <w:rPr>
          <w:rFonts w:hint="eastAsia"/>
          <w:color w:val="auto"/>
          <w:highlight w:val="none"/>
        </w:rPr>
        <w:t>号）《深圳市</w:t>
      </w:r>
      <w:r>
        <w:rPr>
          <w:color w:val="auto"/>
          <w:highlight w:val="none"/>
        </w:rPr>
        <w:t>“</w:t>
      </w:r>
      <w:r>
        <w:rPr>
          <w:rFonts w:hint="eastAsia"/>
          <w:color w:val="auto"/>
          <w:highlight w:val="none"/>
        </w:rPr>
        <w:t>净畅宁工程</w:t>
      </w:r>
      <w:r>
        <w:rPr>
          <w:color w:val="auto"/>
          <w:highlight w:val="none"/>
        </w:rPr>
        <w:t>”</w:t>
      </w:r>
      <w:r>
        <w:rPr>
          <w:rFonts w:hint="eastAsia"/>
          <w:color w:val="auto"/>
          <w:highlight w:val="none"/>
        </w:rPr>
        <w:t>实施方案》中的各项规定和要求，由此所发生的一切费用及技术标（施工方案、施工方法、进度、安全文明施工、现场临建及管理、交通等方面）中相应采取的措施和安排，应包含在承包人投标报价总价中。</w:t>
      </w:r>
    </w:p>
    <w:p>
      <w:pPr>
        <w:pStyle w:val="217"/>
        <w:rPr>
          <w:color w:val="auto"/>
          <w:highlight w:val="none"/>
        </w:rPr>
      </w:pPr>
      <w:r>
        <w:rPr>
          <w:color w:val="auto"/>
          <w:highlight w:val="none"/>
        </w:rPr>
        <w:t>3.</w:t>
      </w:r>
      <w:r>
        <w:rPr>
          <w:rFonts w:hint="eastAsia"/>
          <w:color w:val="auto"/>
          <w:highlight w:val="none"/>
        </w:rPr>
        <w:t>承包人如在施工中增加或修改临时设施，应采取经监理工程师批准的符合有关规定的方案与材料进行施工和维护。</w:t>
      </w:r>
    </w:p>
    <w:p>
      <w:pPr>
        <w:pStyle w:val="217"/>
        <w:rPr>
          <w:color w:val="auto"/>
          <w:highlight w:val="none"/>
        </w:rPr>
      </w:pPr>
      <w:r>
        <w:rPr>
          <w:color w:val="auto"/>
          <w:highlight w:val="none"/>
        </w:rPr>
        <w:t>4.</w:t>
      </w:r>
      <w:r>
        <w:rPr>
          <w:rFonts w:hint="eastAsia"/>
          <w:color w:val="auto"/>
          <w:highlight w:val="none"/>
        </w:rPr>
        <w:t>施工现场要求创文明工地，施工现场的场地必须硬化和绿化，施工现场达到无裸露土场地；生活区、现场办公区场地要整体规划硬化场地和绿化场地相协调。</w:t>
      </w:r>
    </w:p>
    <w:p>
      <w:pPr>
        <w:pStyle w:val="217"/>
        <w:rPr>
          <w:color w:val="auto"/>
          <w:highlight w:val="none"/>
        </w:rPr>
      </w:pPr>
      <w:r>
        <w:rPr>
          <w:color w:val="auto"/>
          <w:highlight w:val="none"/>
        </w:rPr>
        <w:t>5.</w:t>
      </w:r>
      <w:r>
        <w:rPr>
          <w:rFonts w:hint="eastAsia"/>
          <w:color w:val="auto"/>
          <w:highlight w:val="none"/>
        </w:rPr>
        <w:t>场区内材料、工器具应码放整齐、美观，对周围环境无不良影响，并进行标识分别堆放；其它设备材料按现场平面图的布置进行存放并适当标识。场区内施工机械不作业时，应停放整洁并对周围环境无不良影响。</w:t>
      </w:r>
    </w:p>
    <w:p>
      <w:pPr>
        <w:pStyle w:val="217"/>
        <w:rPr>
          <w:color w:val="auto"/>
          <w:highlight w:val="none"/>
        </w:rPr>
      </w:pPr>
      <w:r>
        <w:rPr>
          <w:color w:val="auto"/>
          <w:highlight w:val="none"/>
        </w:rPr>
        <w:t>6.</w:t>
      </w:r>
      <w:r>
        <w:rPr>
          <w:rFonts w:hint="eastAsia"/>
          <w:color w:val="auto"/>
          <w:highlight w:val="none"/>
        </w:rPr>
        <w:t>工地内所用临时排水必须经沉淀后方能排入城市排水设施及河流，进出工地的车辆必须进行冲洗，保持道路干净、整洁。</w:t>
      </w:r>
    </w:p>
    <w:p>
      <w:pPr>
        <w:pStyle w:val="217"/>
        <w:rPr>
          <w:color w:val="auto"/>
          <w:highlight w:val="none"/>
        </w:rPr>
      </w:pPr>
      <w:r>
        <w:rPr>
          <w:color w:val="auto"/>
          <w:highlight w:val="none"/>
        </w:rPr>
        <w:t>7.</w:t>
      </w:r>
      <w:r>
        <w:rPr>
          <w:rFonts w:hint="eastAsia"/>
          <w:color w:val="auto"/>
          <w:highlight w:val="none"/>
        </w:rPr>
        <w:t>卫生防疫管理：承包人及时与当地卫生防疫部门联系，按相关规定采取有效措施防止发生疫情，并配备设施。</w:t>
      </w:r>
    </w:p>
    <w:p>
      <w:pPr>
        <w:pStyle w:val="217"/>
        <w:rPr>
          <w:color w:val="auto"/>
          <w:highlight w:val="none"/>
        </w:rPr>
      </w:pPr>
      <w:r>
        <w:rPr>
          <w:color w:val="auto"/>
          <w:highlight w:val="none"/>
        </w:rPr>
        <w:t>8.</w:t>
      </w:r>
      <w:r>
        <w:rPr>
          <w:rFonts w:hint="eastAsia"/>
          <w:color w:val="auto"/>
          <w:highlight w:val="none"/>
        </w:rPr>
        <w:t>承包人应遵守市环保及城管部门的有关规定，施工现场必须设置专职的卫生员，负责及时清扫垃圾、保持环境卫生、清洁卫生间、除“四害”、保证工地食堂的清洁卫生，门窗必须设置纱门窗，炊事员必须持健康证上岗。</w:t>
      </w:r>
    </w:p>
    <w:p>
      <w:pPr>
        <w:pStyle w:val="217"/>
        <w:rPr>
          <w:color w:val="auto"/>
          <w:highlight w:val="none"/>
        </w:rPr>
      </w:pPr>
      <w:r>
        <w:rPr>
          <w:color w:val="auto"/>
          <w:highlight w:val="none"/>
        </w:rPr>
        <w:t>9.</w:t>
      </w:r>
      <w:r>
        <w:rPr>
          <w:rFonts w:hint="eastAsia"/>
          <w:color w:val="auto"/>
          <w:highlight w:val="none"/>
        </w:rPr>
        <w:t>工人宿舍干净卫生，职工食堂办理卫生许可证并与当地卫生防疫部门保值联系，对职工食堂进行经常检查。须设活动室、图书室和医务室等。</w:t>
      </w:r>
    </w:p>
    <w:p>
      <w:pPr>
        <w:pStyle w:val="217"/>
        <w:rPr>
          <w:color w:val="auto"/>
          <w:highlight w:val="none"/>
        </w:rPr>
      </w:pPr>
      <w:r>
        <w:rPr>
          <w:color w:val="auto"/>
          <w:highlight w:val="none"/>
        </w:rPr>
        <w:t>10.</w:t>
      </w:r>
      <w:r>
        <w:rPr>
          <w:rFonts w:hint="eastAsia"/>
          <w:color w:val="auto"/>
          <w:highlight w:val="none"/>
        </w:rPr>
        <w:t>施工工地的噪音控制</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）承包人用于工程施工的所有设备必须采取有效的“减噪”措施，如消音器、减音器、挡音板或隔音罩等。</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）所有施工设备应符合深圳市有关部门颁发的“施工噪音许可证”的要求。</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）本条对于紧急事故如救生、抢救财产、工程安全等和紧急爆破作业不适用，但上述作业须取得总监理工程师的同意。</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如果在最近边界线处测得的承包人施工机械噪音或施工噪音超过条例的高限，那么施工须立即停工。在采取有效的减噪措施或使用轻噪音的机器将噪音降至允许范围之前施工不得进行。由于未能满足本条款而导致总监理工程师要求停工，对此承包人不得要求延长工期或费用索赔。</w:t>
      </w:r>
    </w:p>
    <w:p>
      <w:pPr>
        <w:pStyle w:val="217"/>
        <w:rPr>
          <w:color w:val="auto"/>
          <w:highlight w:val="none"/>
        </w:rPr>
      </w:pPr>
      <w:r>
        <w:rPr>
          <w:color w:val="auto"/>
          <w:highlight w:val="none"/>
        </w:rPr>
        <w:t>11.</w:t>
      </w:r>
      <w:r>
        <w:rPr>
          <w:rFonts w:hint="eastAsia"/>
          <w:color w:val="auto"/>
          <w:highlight w:val="none"/>
        </w:rPr>
        <w:t>尘埃控制</w:t>
      </w:r>
    </w:p>
    <w:p>
      <w:pPr>
        <w:pStyle w:val="217"/>
        <w:rPr>
          <w:color w:val="auto"/>
          <w:highlight w:val="none"/>
        </w:rPr>
      </w:pPr>
      <w:r>
        <w:rPr>
          <w:rFonts w:hint="eastAsia"/>
          <w:color w:val="auto"/>
          <w:highlight w:val="none"/>
        </w:rPr>
        <w:t>无论在工地内外及运输道路上，承包人应时刻注意防止有害尘埃在施工时发生，控制方法大致要求如下：</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）除非施工需要及特别情况，否则所有施工车辆在工地及工地附近行驶时，车速应限制在</w:t>
      </w:r>
      <w:r>
        <w:rPr>
          <w:color w:val="auto"/>
          <w:highlight w:val="none"/>
        </w:rPr>
        <w:t>8km/h</w:t>
      </w:r>
      <w:r>
        <w:rPr>
          <w:rFonts w:hint="eastAsia"/>
          <w:color w:val="auto"/>
          <w:highlight w:val="none"/>
        </w:rPr>
        <w:t>以下，并限速在社会道路上行驶，运输道路要经常洒水和冲洗，保证车辆通过时不产生过量尘埃。</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）如果环保部门有明确要求，则承包人应按环保部门规定的监测方法进行空气悬浮颗粒的监测（</w:t>
      </w:r>
      <w:r>
        <w:rPr>
          <w:color w:val="auto"/>
          <w:highlight w:val="none"/>
        </w:rPr>
        <w:t>TSP</w:t>
      </w:r>
      <w:r>
        <w:rPr>
          <w:rFonts w:hint="eastAsia"/>
          <w:color w:val="auto"/>
          <w:highlight w:val="none"/>
        </w:rPr>
        <w:t>），并达到环保部门的要求。如连续</w:t>
      </w:r>
      <w:r>
        <w:rPr>
          <w:color w:val="auto"/>
          <w:highlight w:val="none"/>
        </w:rPr>
        <w:t>3</w:t>
      </w:r>
      <w:r>
        <w:rPr>
          <w:rFonts w:hint="eastAsia"/>
          <w:color w:val="auto"/>
          <w:highlight w:val="none"/>
        </w:rPr>
        <w:t>天的尘埃监测记录值超过有关部门的规定，且监理工程师认为尘埃超标是由于承包人的活动引起的，则监理工程师将调查原因并责成承包人采取措施降低尘埃至有关部门可接受的程度。</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承包人应特别注意作好防尘、防噪、减震措施，施工场地内所有裸露山体或堆土表面须采用抑尘措施进行扬尘控制。施工过程中如发包人接到环保局以及周边有关单位的投诉、批评，如确属承包人责任，将扣减当月的安全文明措施费。</w:t>
      </w:r>
    </w:p>
    <w:p>
      <w:pPr>
        <w:pStyle w:val="217"/>
        <w:rPr>
          <w:color w:val="auto"/>
          <w:highlight w:val="none"/>
        </w:rPr>
      </w:pPr>
      <w:r>
        <w:rPr>
          <w:rFonts w:hint="eastAsia"/>
          <w:color w:val="auto"/>
          <w:highlight w:val="none"/>
        </w:rPr>
        <w:t>（4）工地外脚手架须按规定安装密目式安全网进行密实封闭。</w:t>
      </w:r>
    </w:p>
    <w:p>
      <w:pPr>
        <w:pStyle w:val="217"/>
        <w:rPr>
          <w:color w:val="auto"/>
          <w:highlight w:val="none"/>
        </w:rPr>
      </w:pPr>
      <w:r>
        <w:rPr>
          <w:color w:val="auto"/>
          <w:highlight w:val="none"/>
        </w:rPr>
        <w:t>12.</w:t>
      </w:r>
      <w:r>
        <w:rPr>
          <w:rFonts w:hint="eastAsia"/>
          <w:color w:val="auto"/>
          <w:highlight w:val="none"/>
        </w:rPr>
        <w:t>干地施工</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）所有施工作业应尽量采用干地施工。承包人应将从任何地方流入工程的水迅速排干，并在可能的情况下排入永久性排水系统。在排入永久性排水系统之前应对泥沙进行过滤。</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）承包人须提供必要的临时排水设施，如明沟、排水管、泵等，保证干地施工。</w:t>
      </w:r>
    </w:p>
    <w:p>
      <w:pPr>
        <w:pStyle w:val="217"/>
        <w:rPr>
          <w:color w:val="auto"/>
          <w:highlight w:val="none"/>
        </w:rPr>
      </w:pPr>
      <w:r>
        <w:rPr>
          <w:color w:val="auto"/>
          <w:highlight w:val="none"/>
        </w:rPr>
        <w:t>13.</w:t>
      </w:r>
      <w:r>
        <w:rPr>
          <w:rFonts w:hint="eastAsia"/>
          <w:color w:val="auto"/>
          <w:highlight w:val="none"/>
        </w:rPr>
        <w:t>避免垃圾扩散</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）承包人应将本项目范围内的建筑垃圾和生活垃圾（包括指定承包人、战略合作单位等的垃圾）按有关规定收集处理，并承担所有一切费用。</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）承包人须保证所有其使用的公共和私人区域、道路、人行道及出入道上的安全，并防止残渣及开挖材料的撒落。</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）承包人应建造必要的临时排水工程，并进行维护或拆除后恢复原样，同时采取必要的措施防止水淹、减少泥土四溢，也不可将弃土、残渣任意堆放在工地附近。</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）如果工程中的弃土或残渣堆积在道路旁、工地附近地方，或泥沙被冲到别处，承包人应尽早将这些弃土、残渣和泥沙清理掉并将受影响地方恢复原样。</w:t>
      </w:r>
    </w:p>
    <w:p>
      <w:pPr>
        <w:pStyle w:val="217"/>
        <w:rPr>
          <w:color w:val="auto"/>
          <w:highlight w:val="none"/>
        </w:rPr>
      </w:pPr>
      <w:r>
        <w:rPr>
          <w:color w:val="auto"/>
          <w:highlight w:val="none"/>
        </w:rPr>
        <w:t>14.</w:t>
      </w:r>
      <w:r>
        <w:rPr>
          <w:rFonts w:hint="eastAsia"/>
          <w:color w:val="auto"/>
          <w:highlight w:val="none"/>
        </w:rPr>
        <w:t>环境保护与水土保持</w:t>
      </w:r>
    </w:p>
    <w:p>
      <w:pPr>
        <w:pStyle w:val="217"/>
        <w:rPr>
          <w:color w:val="auto"/>
          <w:highlight w:val="none"/>
        </w:rPr>
      </w:pPr>
      <w:r>
        <w:rPr>
          <w:rFonts w:hint="eastAsia"/>
          <w:color w:val="auto"/>
          <w:highlight w:val="none"/>
        </w:rPr>
        <w:t>环境保护与水土保持是指除施工单位现场安全文明措施费以外的按照建设行政主管部门和环保部门的有关规定要求采取的施工场地范围内外的环境保护与水土保持措施，承包人需严格按照《深圳经济特区水土保持条例》的要求，采取预防和治理措施，保护和合理利用水土资源，减轻水、旱灾害，改善生态环境。</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）承包人须消除或减轻开挖区的环境污染，包括但不限于水土流失、灰尘、噪声及爆破危害。</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）承包人原因引起环境污染导致工程停工与罚款及损失赔偿，一切由承包人承担，承包人无权提出索赔。</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）使用社会道路须满足交通运输管理部门有关规定，运输产生噪音与粉尘满足环保部门的要求，特别要减少深夜通过居民区噪音污染，并保持道路清洁。</w:t>
      </w:r>
    </w:p>
    <w:p>
      <w:pPr>
        <w:pStyle w:val="172"/>
        <w:rPr>
          <w:color w:val="auto"/>
          <w:highlight w:val="none"/>
        </w:rPr>
      </w:pPr>
      <w:r>
        <w:rPr>
          <w:color w:val="auto"/>
          <w:highlight w:val="none"/>
        </w:rPr>
        <w:t xml:space="preserve">3.2.2 </w:t>
      </w:r>
      <w:r>
        <w:rPr>
          <w:rFonts w:hint="eastAsia"/>
          <w:color w:val="auto"/>
          <w:highlight w:val="none"/>
        </w:rPr>
        <w:t>安全施工管理要求</w:t>
      </w:r>
    </w:p>
    <w:p>
      <w:pPr>
        <w:pStyle w:val="217"/>
        <w:rPr>
          <w:color w:val="auto"/>
          <w:highlight w:val="none"/>
        </w:rPr>
      </w:pPr>
      <w:r>
        <w:rPr>
          <w:color w:val="auto"/>
          <w:highlight w:val="none"/>
        </w:rPr>
        <w:t>1.</w:t>
      </w:r>
      <w:r>
        <w:rPr>
          <w:rFonts w:hint="eastAsia"/>
          <w:color w:val="auto"/>
          <w:highlight w:val="none"/>
        </w:rPr>
        <w:t>承包人主要负责人依法对本单位的安全生产工作全面负责。施工单位应当建立健全安全生产责任制度和安全生产教育培训制度，制定安全生产规章制度和操作规程，保证本单位安全生产所需资金的投入，对所承担的建设工程进行定期和专项安全检查，并作好安全检查记录。</w:t>
      </w:r>
    </w:p>
    <w:p>
      <w:pPr>
        <w:pStyle w:val="217"/>
        <w:rPr>
          <w:color w:val="auto"/>
          <w:highlight w:val="none"/>
        </w:rPr>
      </w:pPr>
      <w:r>
        <w:rPr>
          <w:color w:val="auto"/>
          <w:highlight w:val="none"/>
        </w:rPr>
        <w:t>2.</w:t>
      </w:r>
      <w:r>
        <w:rPr>
          <w:rFonts w:hint="eastAsia"/>
          <w:color w:val="auto"/>
          <w:highlight w:val="none"/>
        </w:rPr>
        <w:t>承包人应编制《安全文明施工管理专项方案》，该方案应满足国家、地方现行法律法规及合同有关条款的规定并经监理工程师批准后实施。</w:t>
      </w:r>
    </w:p>
    <w:p>
      <w:pPr>
        <w:pStyle w:val="217"/>
        <w:rPr>
          <w:color w:val="auto"/>
          <w:highlight w:val="none"/>
        </w:rPr>
      </w:pPr>
      <w:r>
        <w:rPr>
          <w:color w:val="auto"/>
          <w:highlight w:val="none"/>
        </w:rPr>
        <w:t>3.</w:t>
      </w:r>
      <w:r>
        <w:rPr>
          <w:rFonts w:hint="eastAsia"/>
          <w:color w:val="auto"/>
          <w:highlight w:val="none"/>
        </w:rPr>
        <w:t>承包人应当根据本工程的特点、范围，对施工现场易发生重大事故的部位、环节进行监控，制定施工现场生产安全事故应急救援预案。本工程施工期间，承包人必须确保周边基坑、建筑物、构筑物、管线、设施及周边环境不受到破坏和损伤。有关技术安全措施费已包含在投标报价中。若有任何损坏，须立即通知有关部门和建设单位，并由承包人自行承担损失及全部修复费用。</w:t>
      </w:r>
    </w:p>
    <w:p>
      <w:pPr>
        <w:pStyle w:val="217"/>
        <w:rPr>
          <w:color w:val="auto"/>
          <w:highlight w:val="none"/>
        </w:rPr>
      </w:pPr>
      <w:r>
        <w:rPr>
          <w:color w:val="auto"/>
          <w:highlight w:val="none"/>
        </w:rPr>
        <w:t>4.</w:t>
      </w:r>
      <w:r>
        <w:rPr>
          <w:rFonts w:hint="eastAsia"/>
          <w:color w:val="auto"/>
          <w:highlight w:val="none"/>
        </w:rPr>
        <w:t>临时安全设施：在施工期间，承包人须对其安装的任何转动机件提供足够的临时安全设施。同时若承包人的工作地方位于承包人所负责的范围外时，所有会对其工作人员及其他行业人员构成危险的地台</w:t>
      </w:r>
      <w:r>
        <w:rPr>
          <w:color w:val="auto"/>
          <w:highlight w:val="none"/>
        </w:rPr>
        <w:t>/</w:t>
      </w:r>
      <w:r>
        <w:rPr>
          <w:rFonts w:hint="eastAsia"/>
          <w:color w:val="auto"/>
          <w:highlight w:val="none"/>
        </w:rPr>
        <w:t>墙壁孔洞等都须提供足够的安全保护措施。</w:t>
      </w:r>
    </w:p>
    <w:p>
      <w:pPr>
        <w:pStyle w:val="217"/>
        <w:rPr>
          <w:color w:val="auto"/>
          <w:highlight w:val="none"/>
        </w:rPr>
      </w:pPr>
      <w:r>
        <w:rPr>
          <w:color w:val="auto"/>
          <w:highlight w:val="none"/>
        </w:rPr>
        <w:t>5.</w:t>
      </w:r>
      <w:r>
        <w:rPr>
          <w:rFonts w:hint="eastAsia"/>
          <w:color w:val="auto"/>
          <w:highlight w:val="none"/>
        </w:rPr>
        <w:t>永久性设备的安全设施：承包人应对其安装的任何转动或摆动的机件，如电动机驱动轴等，提供防护网或可移动的防护罩。</w:t>
      </w:r>
    </w:p>
    <w:p>
      <w:pPr>
        <w:pStyle w:val="217"/>
        <w:rPr>
          <w:color w:val="auto"/>
          <w:highlight w:val="none"/>
        </w:rPr>
      </w:pPr>
      <w:r>
        <w:rPr>
          <w:color w:val="auto"/>
          <w:highlight w:val="none"/>
        </w:rPr>
        <w:t>6.</w:t>
      </w:r>
      <w:r>
        <w:rPr>
          <w:rFonts w:hint="eastAsia"/>
          <w:color w:val="auto"/>
          <w:highlight w:val="none"/>
        </w:rPr>
        <w:t>防火管理：在合同履行期内，承包人除应与当地消防部门取得联系必要时请予协助外，还应负责在现场采取一切有效的防火与消防措施，并应在现场的仓库、加工厂等处及施工机械车辆上采取一切有效的防火与消防措施，并承担所有一切费用。</w:t>
      </w:r>
    </w:p>
    <w:p>
      <w:pPr>
        <w:pStyle w:val="217"/>
        <w:rPr>
          <w:color w:val="auto"/>
          <w:highlight w:val="none"/>
        </w:rPr>
      </w:pPr>
      <w:r>
        <w:rPr>
          <w:color w:val="auto"/>
          <w:highlight w:val="none"/>
        </w:rPr>
        <w:t>7.</w:t>
      </w:r>
      <w:r>
        <w:rPr>
          <w:rFonts w:hint="eastAsia"/>
          <w:color w:val="auto"/>
          <w:highlight w:val="none"/>
        </w:rPr>
        <w:t>台风、暴雨防范：承包人应成立防台、防汛抢险队伍并具备相应设施，加强台风、暴雨的预防和警报，并制定完善的防台风、暴雨措施。暴雨、台风时严禁施工，施工人员及设备应及时撤离危险地段。</w:t>
      </w:r>
      <w:r>
        <w:rPr>
          <w:color w:val="auto"/>
          <w:highlight w:val="none"/>
        </w:rPr>
        <w:t xml:space="preserve"> </w:t>
      </w:r>
    </w:p>
    <w:p>
      <w:pPr>
        <w:pStyle w:val="217"/>
        <w:rPr>
          <w:color w:val="auto"/>
          <w:highlight w:val="none"/>
        </w:rPr>
      </w:pPr>
      <w:r>
        <w:rPr>
          <w:color w:val="auto"/>
          <w:highlight w:val="none"/>
        </w:rPr>
        <w:t>8.</w:t>
      </w:r>
      <w:r>
        <w:rPr>
          <w:rFonts w:hint="eastAsia"/>
          <w:color w:val="auto"/>
          <w:highlight w:val="none"/>
        </w:rPr>
        <w:t>临时用电安全管理：现场临时用电应严格执行《施工现场临时用电安全技术规范》</w:t>
      </w:r>
      <w:r>
        <w:rPr>
          <w:color w:val="auto"/>
          <w:highlight w:val="none"/>
        </w:rPr>
        <w:t>JGJ46—2005</w:t>
      </w:r>
      <w:r>
        <w:rPr>
          <w:rFonts w:hint="eastAsia"/>
          <w:color w:val="auto"/>
          <w:highlight w:val="none"/>
        </w:rPr>
        <w:t>、《建筑工程施工现场供用电安全规范》</w:t>
      </w:r>
      <w:r>
        <w:rPr>
          <w:color w:val="auto"/>
          <w:highlight w:val="none"/>
        </w:rPr>
        <w:t>GB50194—2014</w:t>
      </w:r>
      <w:r>
        <w:rPr>
          <w:rFonts w:hint="eastAsia"/>
          <w:color w:val="auto"/>
          <w:highlight w:val="none"/>
        </w:rPr>
        <w:t>、《建筑施工安全检查标准》</w:t>
      </w:r>
      <w:r>
        <w:rPr>
          <w:color w:val="auto"/>
          <w:highlight w:val="none"/>
        </w:rPr>
        <w:t>JGJ59—2011</w:t>
      </w:r>
      <w:r>
        <w:rPr>
          <w:rFonts w:hint="eastAsia"/>
          <w:color w:val="auto"/>
          <w:highlight w:val="none"/>
        </w:rPr>
        <w:t>等有关要求。临时用电相关管理详见临时工程章节约定。</w:t>
      </w:r>
    </w:p>
    <w:p>
      <w:pPr>
        <w:pStyle w:val="217"/>
        <w:ind w:firstLine="0" w:firstLineChars="0"/>
        <w:rPr>
          <w:rFonts w:ascii="Times New Roman" w:hAnsi="Times New Roman" w:eastAsia="黑体"/>
          <w:b/>
          <w:color w:val="auto"/>
          <w:highlight w:val="none"/>
        </w:rPr>
      </w:pPr>
      <w:r>
        <w:rPr>
          <w:rFonts w:ascii="Times New Roman" w:hAnsi="Times New Roman" w:eastAsia="黑体"/>
          <w:b/>
          <w:color w:val="auto"/>
          <w:highlight w:val="none"/>
        </w:rPr>
        <w:t xml:space="preserve">3.2.3 </w:t>
      </w:r>
      <w:r>
        <w:rPr>
          <w:rFonts w:hint="eastAsia" w:ascii="Times New Roman" w:hAnsi="Times New Roman" w:eastAsia="黑体"/>
          <w:b/>
          <w:color w:val="auto"/>
          <w:highlight w:val="none"/>
        </w:rPr>
        <w:t>智慧</w:t>
      </w:r>
      <w:r>
        <w:rPr>
          <w:rFonts w:ascii="Times New Roman" w:hAnsi="Times New Roman" w:eastAsia="黑体"/>
          <w:b/>
          <w:color w:val="auto"/>
          <w:highlight w:val="none"/>
        </w:rPr>
        <w:t>工地</w:t>
      </w:r>
    </w:p>
    <w:p>
      <w:pPr>
        <w:pStyle w:val="217"/>
        <w:rPr>
          <w:color w:val="auto"/>
          <w:highlight w:val="none"/>
        </w:rPr>
      </w:pPr>
      <w:r>
        <w:rPr>
          <w:rFonts w:hint="eastAsia"/>
          <w:color w:val="auto"/>
          <w:highlight w:val="none"/>
        </w:rPr>
        <w:t>施工现场应按要求建立视频监控系统，视频监控记录作为安全管控政府部门监督执法依据。</w:t>
      </w:r>
    </w:p>
    <w:p>
      <w:pPr>
        <w:pStyle w:val="217"/>
        <w:rPr>
          <w:color w:val="auto"/>
          <w:highlight w:val="none"/>
        </w:rPr>
      </w:pPr>
      <w:r>
        <w:rPr>
          <w:rFonts w:hint="eastAsia"/>
          <w:color w:val="auto"/>
          <w:highlight w:val="none"/>
        </w:rPr>
        <w:t>1．现场全景监控：球机摄像头，不少于1</w:t>
      </w:r>
      <w:r>
        <w:rPr>
          <w:color w:val="auto"/>
          <w:highlight w:val="none"/>
        </w:rPr>
        <w:t>台</w:t>
      </w:r>
      <w:r>
        <w:rPr>
          <w:rFonts w:hint="eastAsia"/>
          <w:color w:val="auto"/>
          <w:highlight w:val="none"/>
        </w:rPr>
        <w:t>，</w:t>
      </w:r>
      <w:r>
        <w:rPr>
          <w:color w:val="auto"/>
          <w:highlight w:val="none"/>
        </w:rPr>
        <w:t>安装于现场制高点位置</w:t>
      </w:r>
      <w:r>
        <w:rPr>
          <w:rFonts w:hint="eastAsia"/>
          <w:color w:val="auto"/>
          <w:highlight w:val="none"/>
        </w:rPr>
        <w:t>；</w:t>
      </w:r>
    </w:p>
    <w:p>
      <w:pPr>
        <w:pStyle w:val="217"/>
        <w:rPr>
          <w:color w:val="auto"/>
          <w:highlight w:val="none"/>
        </w:rPr>
      </w:pPr>
      <w:r>
        <w:rPr>
          <w:color w:val="auto"/>
          <w:highlight w:val="none"/>
        </w:rPr>
        <w:t>2</w:t>
      </w:r>
      <w:r>
        <w:rPr>
          <w:rFonts w:hint="eastAsia"/>
          <w:color w:val="auto"/>
          <w:highlight w:val="none"/>
        </w:rPr>
        <w:t>．</w:t>
      </w:r>
      <w:r>
        <w:rPr>
          <w:color w:val="auto"/>
          <w:highlight w:val="none"/>
        </w:rPr>
        <w:t>主要作业场区监控</w:t>
      </w:r>
      <w:r>
        <w:rPr>
          <w:rFonts w:hint="eastAsia"/>
          <w:color w:val="auto"/>
          <w:highlight w:val="none"/>
        </w:rPr>
        <w:t>：</w:t>
      </w:r>
      <w:r>
        <w:rPr>
          <w:color w:val="auto"/>
          <w:highlight w:val="none"/>
        </w:rPr>
        <w:t>至少布置</w:t>
      </w:r>
      <w:r>
        <w:rPr>
          <w:rFonts w:hint="eastAsia"/>
          <w:color w:val="auto"/>
          <w:highlight w:val="none"/>
        </w:rPr>
        <w:t>1</w:t>
      </w:r>
      <w:r>
        <w:rPr>
          <w:color w:val="auto"/>
          <w:highlight w:val="none"/>
        </w:rPr>
        <w:t>台枪机，包括</w:t>
      </w:r>
      <w:r>
        <w:rPr>
          <w:rFonts w:hint="eastAsia"/>
          <w:color w:val="auto"/>
          <w:highlight w:val="none"/>
        </w:rPr>
        <w:t>：</w:t>
      </w:r>
      <w:r>
        <w:rPr>
          <w:color w:val="auto"/>
          <w:highlight w:val="none"/>
        </w:rPr>
        <w:t>施工作业面</w:t>
      </w:r>
      <w:r>
        <w:rPr>
          <w:rFonts w:hint="eastAsia"/>
          <w:color w:val="auto"/>
          <w:highlight w:val="none"/>
        </w:rPr>
        <w:t>、</w:t>
      </w:r>
      <w:r>
        <w:rPr>
          <w:color w:val="auto"/>
          <w:highlight w:val="none"/>
        </w:rPr>
        <w:t>物料堆放区</w:t>
      </w:r>
      <w:r>
        <w:rPr>
          <w:rFonts w:hint="eastAsia"/>
          <w:color w:val="auto"/>
          <w:highlight w:val="none"/>
        </w:rPr>
        <w:t>、</w:t>
      </w:r>
      <w:r>
        <w:rPr>
          <w:color w:val="auto"/>
          <w:highlight w:val="none"/>
        </w:rPr>
        <w:t>钢筋加工区</w:t>
      </w:r>
      <w:r>
        <w:rPr>
          <w:rFonts w:hint="eastAsia"/>
          <w:color w:val="auto"/>
          <w:highlight w:val="none"/>
        </w:rPr>
        <w:t>、</w:t>
      </w:r>
      <w:r>
        <w:rPr>
          <w:color w:val="auto"/>
          <w:highlight w:val="none"/>
        </w:rPr>
        <w:t>吊装区</w:t>
      </w:r>
      <w:r>
        <w:rPr>
          <w:rFonts w:hint="eastAsia"/>
          <w:color w:val="auto"/>
          <w:highlight w:val="none"/>
        </w:rPr>
        <w:t>、</w:t>
      </w:r>
      <w:r>
        <w:rPr>
          <w:color w:val="auto"/>
          <w:highlight w:val="none"/>
        </w:rPr>
        <w:t>基坑</w:t>
      </w:r>
      <w:r>
        <w:rPr>
          <w:rFonts w:hint="eastAsia"/>
          <w:color w:val="auto"/>
          <w:highlight w:val="none"/>
        </w:rPr>
        <w:t>；</w:t>
      </w:r>
    </w:p>
    <w:p>
      <w:pPr>
        <w:pStyle w:val="217"/>
        <w:rPr>
          <w:color w:val="auto"/>
          <w:highlight w:val="none"/>
        </w:rPr>
      </w:pPr>
      <w:r>
        <w:rPr>
          <w:rFonts w:hint="eastAsia"/>
          <w:color w:val="auto"/>
          <w:highlight w:val="none"/>
        </w:rPr>
        <w:t>3．现场出入口监控：人员出入口、车辆出入口通道各1台枪机；</w:t>
      </w:r>
    </w:p>
    <w:p>
      <w:pPr>
        <w:pStyle w:val="217"/>
        <w:rPr>
          <w:color w:val="auto"/>
          <w:highlight w:val="none"/>
        </w:rPr>
      </w:pPr>
      <w:r>
        <w:rPr>
          <w:rFonts w:hint="eastAsia"/>
          <w:color w:val="auto"/>
          <w:highlight w:val="none"/>
        </w:rPr>
        <w:t>4．需提供2</w:t>
      </w:r>
      <w:r>
        <w:rPr>
          <w:color w:val="auto"/>
          <w:highlight w:val="none"/>
        </w:rPr>
        <w:t>20V市电至安装位置附近</w:t>
      </w:r>
      <w:r>
        <w:rPr>
          <w:rFonts w:hint="eastAsia"/>
          <w:color w:val="auto"/>
          <w:highlight w:val="none"/>
        </w:rPr>
        <w:t>，</w:t>
      </w:r>
      <w:r>
        <w:rPr>
          <w:color w:val="auto"/>
          <w:highlight w:val="none"/>
        </w:rPr>
        <w:t>并做好雷击防护</w:t>
      </w:r>
      <w:r>
        <w:rPr>
          <w:rFonts w:hint="eastAsia"/>
          <w:color w:val="auto"/>
          <w:highlight w:val="none"/>
        </w:rPr>
        <w:t>；</w:t>
      </w:r>
    </w:p>
    <w:p>
      <w:pPr>
        <w:pStyle w:val="217"/>
        <w:rPr>
          <w:color w:val="auto"/>
          <w:highlight w:val="none"/>
        </w:rPr>
      </w:pPr>
      <w:r>
        <w:rPr>
          <w:rFonts w:hint="eastAsia"/>
          <w:color w:val="auto"/>
          <w:highlight w:val="none"/>
        </w:rPr>
        <w:t>5．摄像头安装位置需不影响现场施工，远离施工泥浆和洒水作业可能溅到之处；</w:t>
      </w:r>
    </w:p>
    <w:p>
      <w:pPr>
        <w:pStyle w:val="217"/>
        <w:rPr>
          <w:color w:val="auto"/>
          <w:highlight w:val="none"/>
        </w:rPr>
      </w:pPr>
      <w:r>
        <w:rPr>
          <w:rFonts w:hint="eastAsia"/>
          <w:color w:val="auto"/>
          <w:highlight w:val="none"/>
        </w:rPr>
        <w:t>6．</w:t>
      </w:r>
      <w:r>
        <w:rPr>
          <w:color w:val="auto"/>
          <w:highlight w:val="none"/>
        </w:rPr>
        <w:t>硬盘录像机需配备</w:t>
      </w:r>
      <w:r>
        <w:rPr>
          <w:rFonts w:hint="eastAsia"/>
          <w:color w:val="auto"/>
          <w:highlight w:val="none"/>
        </w:rPr>
        <w:t>U</w:t>
      </w:r>
      <w:r>
        <w:rPr>
          <w:color w:val="auto"/>
          <w:highlight w:val="none"/>
        </w:rPr>
        <w:t>PS</w:t>
      </w:r>
      <w:r>
        <w:rPr>
          <w:rFonts w:hint="eastAsia"/>
          <w:color w:val="auto"/>
          <w:highlight w:val="none"/>
        </w:rPr>
        <w:t>、</w:t>
      </w:r>
      <w:r>
        <w:rPr>
          <w:color w:val="auto"/>
          <w:highlight w:val="none"/>
        </w:rPr>
        <w:t>独立机柜</w:t>
      </w:r>
      <w:r>
        <w:rPr>
          <w:rFonts w:hint="eastAsia"/>
          <w:color w:val="auto"/>
          <w:highlight w:val="none"/>
        </w:rPr>
        <w:t>，并由专人管理；</w:t>
      </w:r>
    </w:p>
    <w:p>
      <w:pPr>
        <w:pStyle w:val="217"/>
        <w:rPr>
          <w:color w:val="auto"/>
          <w:highlight w:val="none"/>
        </w:rPr>
      </w:pPr>
      <w:r>
        <w:rPr>
          <w:rFonts w:hint="eastAsia"/>
          <w:color w:val="auto"/>
          <w:highlight w:val="none"/>
        </w:rPr>
        <w:t>7．</w:t>
      </w:r>
      <w:r>
        <w:rPr>
          <w:color w:val="auto"/>
          <w:highlight w:val="none"/>
        </w:rPr>
        <w:t>视频监控摄像头具有前端图像识别性能</w:t>
      </w:r>
      <w:r>
        <w:rPr>
          <w:rFonts w:hint="eastAsia"/>
          <w:color w:val="auto"/>
          <w:highlight w:val="none"/>
        </w:rPr>
        <w:t>，</w:t>
      </w:r>
      <w:r>
        <w:rPr>
          <w:color w:val="auto"/>
          <w:highlight w:val="none"/>
        </w:rPr>
        <w:t>实现人员不戴安全帽</w:t>
      </w:r>
      <w:r>
        <w:rPr>
          <w:rFonts w:hint="eastAsia"/>
          <w:color w:val="auto"/>
          <w:highlight w:val="none"/>
        </w:rPr>
        <w:t>、</w:t>
      </w:r>
      <w:r>
        <w:rPr>
          <w:color w:val="auto"/>
          <w:highlight w:val="none"/>
        </w:rPr>
        <w:t>吸烟等违章行为识别</w:t>
      </w:r>
      <w:r>
        <w:rPr>
          <w:rFonts w:hint="eastAsia"/>
          <w:color w:val="auto"/>
          <w:highlight w:val="none"/>
        </w:rPr>
        <w:t>、起火点红外监测、越界监测、区域入侵监测和抓拍报警灯功能。</w:t>
      </w:r>
    </w:p>
    <w:p>
      <w:pPr>
        <w:pStyle w:val="217"/>
        <w:rPr>
          <w:color w:val="auto"/>
          <w:highlight w:val="none"/>
        </w:rPr>
      </w:pPr>
      <w:r>
        <w:rPr>
          <w:color w:val="auto"/>
          <w:highlight w:val="none"/>
        </w:rPr>
        <w:t>技术标准</w:t>
      </w:r>
    </w:p>
    <w:p>
      <w:pPr>
        <w:pStyle w:val="217"/>
        <w:rPr>
          <w:color w:val="auto"/>
          <w:highlight w:val="none"/>
        </w:rPr>
      </w:pPr>
      <w:r>
        <w:rPr>
          <w:rFonts w:hint="eastAsia"/>
          <w:color w:val="auto"/>
          <w:highlight w:val="none"/>
        </w:rPr>
        <w:t>1．枪机：主码流最大分辨率1</w:t>
      </w:r>
      <w:r>
        <w:rPr>
          <w:color w:val="auto"/>
          <w:highlight w:val="none"/>
        </w:rPr>
        <w:t>920</w:t>
      </w:r>
      <w:r>
        <w:rPr>
          <w:rFonts w:hint="eastAsia"/>
          <w:color w:val="auto"/>
          <w:highlight w:val="none"/>
        </w:rPr>
        <w:t>*</w:t>
      </w:r>
      <w:r>
        <w:rPr>
          <w:color w:val="auto"/>
          <w:highlight w:val="none"/>
        </w:rPr>
        <w:t>1080P</w:t>
      </w:r>
      <w:r>
        <w:rPr>
          <w:rFonts w:hint="eastAsia"/>
          <w:color w:val="auto"/>
          <w:highlight w:val="none"/>
        </w:rPr>
        <w:t>，</w:t>
      </w:r>
      <w:r>
        <w:rPr>
          <w:color w:val="auto"/>
          <w:highlight w:val="none"/>
        </w:rPr>
        <w:t>最大码流</w:t>
      </w:r>
      <w:r>
        <w:rPr>
          <w:rFonts w:hint="eastAsia"/>
          <w:color w:val="auto"/>
          <w:highlight w:val="none"/>
        </w:rPr>
        <w:t>4</w:t>
      </w:r>
      <w:r>
        <w:rPr>
          <w:color w:val="auto"/>
          <w:highlight w:val="none"/>
        </w:rPr>
        <w:t>096</w:t>
      </w:r>
      <w:r>
        <w:rPr>
          <w:rFonts w:hint="eastAsia"/>
          <w:color w:val="auto"/>
          <w:highlight w:val="none"/>
        </w:rPr>
        <w:t>,；子码流最大分辨率7</w:t>
      </w:r>
      <w:r>
        <w:rPr>
          <w:color w:val="auto"/>
          <w:highlight w:val="none"/>
        </w:rPr>
        <w:t>04</w:t>
      </w:r>
      <w:r>
        <w:rPr>
          <w:rFonts w:hint="eastAsia"/>
          <w:color w:val="auto"/>
          <w:highlight w:val="none"/>
        </w:rPr>
        <w:t>*</w:t>
      </w:r>
      <w:r>
        <w:rPr>
          <w:color w:val="auto"/>
          <w:highlight w:val="none"/>
        </w:rPr>
        <w:t>576</w:t>
      </w:r>
      <w:r>
        <w:rPr>
          <w:rFonts w:hint="eastAsia"/>
          <w:color w:val="auto"/>
          <w:highlight w:val="none"/>
        </w:rPr>
        <w:t>，</w:t>
      </w:r>
      <w:r>
        <w:rPr>
          <w:color w:val="auto"/>
          <w:highlight w:val="none"/>
        </w:rPr>
        <w:t>最大码流</w:t>
      </w:r>
      <w:r>
        <w:rPr>
          <w:rFonts w:hint="eastAsia"/>
          <w:color w:val="auto"/>
          <w:highlight w:val="none"/>
        </w:rPr>
        <w:t>1</w:t>
      </w:r>
      <w:r>
        <w:rPr>
          <w:color w:val="auto"/>
          <w:highlight w:val="none"/>
        </w:rPr>
        <w:t>024</w:t>
      </w:r>
      <w:r>
        <w:rPr>
          <w:rFonts w:hint="eastAsia"/>
          <w:color w:val="auto"/>
          <w:highlight w:val="none"/>
        </w:rPr>
        <w:t>；</w:t>
      </w:r>
    </w:p>
    <w:p>
      <w:pPr>
        <w:pStyle w:val="217"/>
        <w:rPr>
          <w:color w:val="auto"/>
          <w:highlight w:val="none"/>
        </w:rPr>
      </w:pPr>
      <w:r>
        <w:rPr>
          <w:color w:val="auto"/>
          <w:highlight w:val="none"/>
        </w:rPr>
        <w:t>2</w:t>
      </w:r>
      <w:r>
        <w:rPr>
          <w:rFonts w:hint="eastAsia"/>
          <w:color w:val="auto"/>
          <w:highlight w:val="none"/>
        </w:rPr>
        <w:t>．球机：主码流最大分辨率不小于1</w:t>
      </w:r>
      <w:r>
        <w:rPr>
          <w:color w:val="auto"/>
          <w:highlight w:val="none"/>
        </w:rPr>
        <w:t>920</w:t>
      </w:r>
      <w:r>
        <w:rPr>
          <w:rFonts w:hint="eastAsia"/>
          <w:color w:val="auto"/>
          <w:highlight w:val="none"/>
        </w:rPr>
        <w:t>*</w:t>
      </w:r>
      <w:r>
        <w:rPr>
          <w:color w:val="auto"/>
          <w:highlight w:val="none"/>
        </w:rPr>
        <w:t>1080P</w:t>
      </w:r>
      <w:r>
        <w:rPr>
          <w:rFonts w:hint="eastAsia"/>
          <w:color w:val="auto"/>
          <w:highlight w:val="none"/>
        </w:rPr>
        <w:t>，</w:t>
      </w:r>
      <w:r>
        <w:rPr>
          <w:color w:val="auto"/>
          <w:highlight w:val="none"/>
        </w:rPr>
        <w:t>最大码流</w:t>
      </w:r>
      <w:r>
        <w:rPr>
          <w:rFonts w:hint="eastAsia"/>
          <w:color w:val="auto"/>
          <w:highlight w:val="none"/>
        </w:rPr>
        <w:t>6</w:t>
      </w:r>
      <w:r>
        <w:rPr>
          <w:color w:val="auto"/>
          <w:highlight w:val="none"/>
        </w:rPr>
        <w:t>144</w:t>
      </w:r>
      <w:r>
        <w:rPr>
          <w:rFonts w:hint="eastAsia"/>
          <w:color w:val="auto"/>
          <w:highlight w:val="none"/>
        </w:rPr>
        <w:t>；子码流最大分辨率7</w:t>
      </w:r>
      <w:r>
        <w:rPr>
          <w:color w:val="auto"/>
          <w:highlight w:val="none"/>
        </w:rPr>
        <w:t>04</w:t>
      </w:r>
      <w:r>
        <w:rPr>
          <w:rFonts w:hint="eastAsia"/>
          <w:color w:val="auto"/>
          <w:highlight w:val="none"/>
        </w:rPr>
        <w:t>*</w:t>
      </w:r>
      <w:r>
        <w:rPr>
          <w:color w:val="auto"/>
          <w:highlight w:val="none"/>
        </w:rPr>
        <w:t>576</w:t>
      </w:r>
      <w:r>
        <w:rPr>
          <w:rFonts w:hint="eastAsia"/>
          <w:color w:val="auto"/>
          <w:highlight w:val="none"/>
        </w:rPr>
        <w:t>，</w:t>
      </w:r>
      <w:r>
        <w:rPr>
          <w:color w:val="auto"/>
          <w:highlight w:val="none"/>
        </w:rPr>
        <w:t>最大码流2048</w:t>
      </w:r>
      <w:r>
        <w:rPr>
          <w:rFonts w:hint="eastAsia"/>
          <w:color w:val="auto"/>
          <w:highlight w:val="none"/>
        </w:rPr>
        <w:t>，</w:t>
      </w:r>
      <w:r>
        <w:rPr>
          <w:color w:val="auto"/>
          <w:highlight w:val="none"/>
        </w:rPr>
        <w:t>最大倍率</w:t>
      </w:r>
      <w:r>
        <w:rPr>
          <w:rFonts w:hint="eastAsia"/>
          <w:color w:val="auto"/>
          <w:highlight w:val="none"/>
        </w:rPr>
        <w:t>2</w:t>
      </w:r>
      <w:r>
        <w:rPr>
          <w:color w:val="auto"/>
          <w:highlight w:val="none"/>
        </w:rPr>
        <w:t>0</w:t>
      </w:r>
      <w:r>
        <w:rPr>
          <w:rFonts w:hint="eastAsia"/>
          <w:color w:val="auto"/>
          <w:highlight w:val="none"/>
        </w:rPr>
        <w:t>；</w:t>
      </w:r>
    </w:p>
    <w:p>
      <w:pPr>
        <w:pStyle w:val="217"/>
        <w:rPr>
          <w:color w:val="auto"/>
          <w:highlight w:val="none"/>
        </w:rPr>
      </w:pPr>
      <w:r>
        <w:rPr>
          <w:rFonts w:hint="eastAsia"/>
          <w:color w:val="auto"/>
          <w:highlight w:val="none"/>
        </w:rPr>
        <w:t>3．</w:t>
      </w:r>
      <w:r>
        <w:rPr>
          <w:color w:val="auto"/>
          <w:highlight w:val="none"/>
        </w:rPr>
        <w:t>通讯协议</w:t>
      </w:r>
      <w:r>
        <w:rPr>
          <w:rFonts w:hint="eastAsia"/>
          <w:color w:val="auto"/>
          <w:highlight w:val="none"/>
        </w:rPr>
        <w:t>：</w:t>
      </w:r>
      <w:r>
        <w:rPr>
          <w:color w:val="auto"/>
          <w:highlight w:val="none"/>
        </w:rPr>
        <w:t>要求使用支持国标</w:t>
      </w:r>
      <w:r>
        <w:rPr>
          <w:rFonts w:hint="eastAsia"/>
          <w:color w:val="auto"/>
          <w:highlight w:val="none"/>
        </w:rPr>
        <w:t>G</w:t>
      </w:r>
      <w:r>
        <w:rPr>
          <w:color w:val="auto"/>
          <w:highlight w:val="none"/>
        </w:rPr>
        <w:t>B/T 28181-2016的摄像头</w:t>
      </w:r>
      <w:r>
        <w:rPr>
          <w:rFonts w:hint="eastAsia"/>
          <w:color w:val="auto"/>
          <w:highlight w:val="none"/>
        </w:rPr>
        <w:t>，</w:t>
      </w:r>
      <w:r>
        <w:rPr>
          <w:color w:val="auto"/>
          <w:highlight w:val="none"/>
        </w:rPr>
        <w:t>支持</w:t>
      </w:r>
      <w:r>
        <w:rPr>
          <w:rFonts w:hint="eastAsia"/>
          <w:color w:val="auto"/>
          <w:highlight w:val="none"/>
        </w:rPr>
        <w:t>H</w:t>
      </w:r>
      <w:r>
        <w:rPr>
          <w:color w:val="auto"/>
          <w:highlight w:val="none"/>
        </w:rPr>
        <w:t>.265视频编码标准和支持</w:t>
      </w:r>
      <w:r>
        <w:rPr>
          <w:rFonts w:hint="eastAsia"/>
          <w:color w:val="auto"/>
          <w:highlight w:val="none"/>
        </w:rPr>
        <w:t>1</w:t>
      </w:r>
      <w:r>
        <w:rPr>
          <w:color w:val="auto"/>
          <w:highlight w:val="none"/>
        </w:rPr>
        <w:t>080P的视频显示格式</w:t>
      </w:r>
      <w:r>
        <w:rPr>
          <w:rFonts w:hint="eastAsia"/>
          <w:color w:val="auto"/>
          <w:highlight w:val="none"/>
        </w:rPr>
        <w:t>；</w:t>
      </w:r>
    </w:p>
    <w:p>
      <w:pPr>
        <w:pStyle w:val="217"/>
        <w:rPr>
          <w:color w:val="auto"/>
          <w:highlight w:val="none"/>
        </w:rPr>
      </w:pPr>
      <w:r>
        <w:rPr>
          <w:rFonts w:hint="eastAsia"/>
          <w:color w:val="auto"/>
          <w:highlight w:val="none"/>
        </w:rPr>
        <w:t>4．</w:t>
      </w:r>
      <w:r>
        <w:rPr>
          <w:color w:val="auto"/>
          <w:highlight w:val="none"/>
        </w:rPr>
        <w:t>采用带宽不低于</w:t>
      </w:r>
      <w:r>
        <w:rPr>
          <w:rFonts w:hint="eastAsia"/>
          <w:color w:val="auto"/>
          <w:highlight w:val="none"/>
        </w:rPr>
        <w:t>1</w:t>
      </w:r>
      <w:r>
        <w:rPr>
          <w:color w:val="auto"/>
          <w:highlight w:val="none"/>
        </w:rPr>
        <w:t>0兆的VPN光纤专线</w:t>
      </w:r>
      <w:r>
        <w:rPr>
          <w:rFonts w:hint="eastAsia"/>
          <w:color w:val="auto"/>
          <w:highlight w:val="none"/>
        </w:rPr>
        <w:t>，</w:t>
      </w:r>
      <w:r>
        <w:rPr>
          <w:color w:val="auto"/>
          <w:highlight w:val="none"/>
        </w:rPr>
        <w:t>接入运营商的视频云平台</w:t>
      </w:r>
      <w:r>
        <w:rPr>
          <w:rFonts w:hint="eastAsia"/>
          <w:color w:val="auto"/>
          <w:highlight w:val="none"/>
        </w:rPr>
        <w:t>；</w:t>
      </w:r>
    </w:p>
    <w:p>
      <w:pPr>
        <w:pStyle w:val="217"/>
        <w:rPr>
          <w:color w:val="auto"/>
          <w:highlight w:val="none"/>
        </w:rPr>
      </w:pPr>
      <w:r>
        <w:rPr>
          <w:rFonts w:hint="eastAsia"/>
          <w:color w:val="auto"/>
          <w:highlight w:val="none"/>
        </w:rPr>
        <w:t>5．</w:t>
      </w:r>
      <w:r>
        <w:rPr>
          <w:color w:val="auto"/>
          <w:highlight w:val="none"/>
        </w:rPr>
        <w:t>偏远地区不方便接光缆的工地采用</w:t>
      </w:r>
      <w:r>
        <w:rPr>
          <w:rFonts w:hint="eastAsia"/>
          <w:color w:val="auto"/>
          <w:highlight w:val="none"/>
        </w:rPr>
        <w:t>4</w:t>
      </w:r>
      <w:r>
        <w:rPr>
          <w:color w:val="auto"/>
          <w:highlight w:val="none"/>
        </w:rPr>
        <w:t>G接入</w:t>
      </w:r>
      <w:r>
        <w:rPr>
          <w:rFonts w:hint="eastAsia"/>
          <w:color w:val="auto"/>
          <w:highlight w:val="none"/>
        </w:rPr>
        <w:t>。</w:t>
      </w:r>
    </w:p>
    <w:p>
      <w:pPr>
        <w:pStyle w:val="217"/>
        <w:ind w:firstLine="0" w:firstLineChars="0"/>
        <w:rPr>
          <w:rFonts w:ascii="Times New Roman" w:hAnsi="Times New Roman" w:eastAsia="黑体"/>
          <w:b/>
          <w:color w:val="auto"/>
          <w:highlight w:val="none"/>
        </w:rPr>
      </w:pPr>
      <w:r>
        <w:rPr>
          <w:rFonts w:ascii="Times New Roman" w:hAnsi="Times New Roman" w:eastAsia="黑体"/>
          <w:b/>
          <w:color w:val="auto"/>
          <w:highlight w:val="none"/>
        </w:rPr>
        <w:t>3.2.4 保安服务</w:t>
      </w:r>
    </w:p>
    <w:p>
      <w:pPr>
        <w:widowControl/>
        <w:spacing w:line="360" w:lineRule="auto"/>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承包人应聘请正规保安公司的保安，负责发包人及项目管理公司临时设施区域、施工工地的保安管理工作，确保现场安全。承包人应采取相应保卫措施，防止出现相关设施、设备被盗行为，发包人及项目管理公司临时设施区域、施工工地须由专业保安公司24小时负责照看，费用已包括在报价中，发包人不再另行支付相关费用。若因承包人原因引起的财产损失，全部由承包人承担。</w:t>
      </w:r>
    </w:p>
    <w:p>
      <w:pPr>
        <w:widowControl/>
        <w:spacing w:line="360" w:lineRule="auto"/>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承包人派驻发包人及项目管理公司临时设施区域的保安员依照发包人的规章制度及要求，在不违反国家法律的前提下，维护发包人正常的工作、生产、生活秩序，保护护卫区域内的人员、财产的安全。保安员必须具备以下条件：</w:t>
      </w:r>
    </w:p>
    <w:p>
      <w:pPr>
        <w:widowControl/>
        <w:spacing w:line="360" w:lineRule="auto"/>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（1）遵纪守法，品行良好，无违法犯罪记录，经政审合格；</w:t>
      </w:r>
    </w:p>
    <w:p>
      <w:pPr>
        <w:widowControl/>
        <w:spacing w:line="360" w:lineRule="auto"/>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（2）年龄在18周岁以上，45周岁以下，具有初中毕业以上文化程度；</w:t>
      </w:r>
    </w:p>
    <w:p>
      <w:pPr>
        <w:widowControl/>
        <w:spacing w:line="360" w:lineRule="auto"/>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（3）经政审、培训、考核合格，取得深圳市公安局颁发的保安员资格证和上岗证，具备保安专业知识。</w:t>
      </w:r>
    </w:p>
    <w:p>
      <w:pPr>
        <w:widowControl/>
        <w:spacing w:line="360" w:lineRule="auto"/>
        <w:ind w:firstLine="480" w:firstLineChars="200"/>
        <w:jc w:val="left"/>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．保安员职责</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（1）保护发包人及项目管理公司护卫区域的财产安全，维护护卫区域内的正常秩序；</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2</w:t>
      </w:r>
      <w:r>
        <w:rPr>
          <w:rFonts w:hint="eastAsia" w:ascii="宋体" w:hAnsi="宋体"/>
          <w:color w:val="auto"/>
          <w:sz w:val="24"/>
          <w:szCs w:val="24"/>
          <w:highlight w:val="none"/>
        </w:rPr>
        <w:t>）保护好在护卫区域内发生的刑事、治安案件或灾害事故现场，维护现场秩序；</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（3）把现行违法犯罪嫌疑人扭送到公安机关处理；</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（4）做好发包人及项目管理公司护卫区域内的防火、防盗、防破坏、防治安灾害事故等安全防范工作；</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（5）保护发包人、项目管理公司及承包人的隐私，不得向任何人员透露任何信息；</w:t>
      </w:r>
    </w:p>
    <w:p>
      <w:pPr>
        <w:widowControl/>
        <w:spacing w:line="360" w:lineRule="auto"/>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6</w:t>
      </w:r>
      <w:r>
        <w:rPr>
          <w:rFonts w:hint="eastAsia" w:ascii="宋体" w:hAnsi="宋体"/>
          <w:color w:val="auto"/>
          <w:sz w:val="24"/>
          <w:szCs w:val="24"/>
          <w:highlight w:val="none"/>
        </w:rPr>
        <w:t>）遵纪守法、文明值勤、优质服务，严格执行发包人及保安公司的各项规章制度，接受发包人及项目管理公司领导和主管人员的管理，并服从工作安排，全力维护双方的合法权益和声誉。</w:t>
      </w:r>
    </w:p>
    <w:p>
      <w:pPr>
        <w:widowControl/>
        <w:spacing w:line="360" w:lineRule="auto"/>
        <w:ind w:firstLine="480" w:firstLineChars="200"/>
        <w:jc w:val="left"/>
        <w:rPr>
          <w:rFonts w:ascii="宋体" w:hAnsi="宋体"/>
          <w:color w:val="auto"/>
          <w:sz w:val="24"/>
          <w:szCs w:val="24"/>
          <w:highlight w:val="none"/>
        </w:rPr>
      </w:pPr>
      <w:r>
        <w:rPr>
          <w:rFonts w:ascii="宋体" w:hAnsi="宋体"/>
          <w:color w:val="auto"/>
          <w:sz w:val="24"/>
          <w:szCs w:val="24"/>
          <w:highlight w:val="none"/>
        </w:rPr>
        <w:t>2</w:t>
      </w:r>
      <w:r>
        <w:rPr>
          <w:rFonts w:hint="eastAsia" w:ascii="宋体" w:hAnsi="宋体"/>
          <w:color w:val="auto"/>
          <w:sz w:val="24"/>
          <w:szCs w:val="24"/>
          <w:highlight w:val="none"/>
        </w:rPr>
        <w:t>．承包人的权利和义务</w:t>
      </w:r>
    </w:p>
    <w:p>
      <w:pPr>
        <w:widowControl/>
        <w:spacing w:line="360" w:lineRule="auto"/>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（1）负责保安员日常工作的安排与管理、岗位值勤、作风纪律、内务卫生和保安业务的指导，监督检查和管理工作；</w:t>
      </w:r>
    </w:p>
    <w:p>
      <w:pPr>
        <w:widowControl/>
        <w:spacing w:line="360" w:lineRule="auto"/>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2</w:t>
      </w:r>
      <w:r>
        <w:rPr>
          <w:rFonts w:hint="eastAsia" w:ascii="宋体" w:hAnsi="宋体"/>
          <w:color w:val="auto"/>
          <w:sz w:val="24"/>
          <w:szCs w:val="24"/>
          <w:highlight w:val="none"/>
        </w:rPr>
        <w:t>）负责对保安员的奖励、处罚、请假、辞工、辞退等方面的工作；</w:t>
      </w:r>
      <w:r>
        <w:rPr>
          <w:rFonts w:ascii="宋体" w:hAnsi="宋体"/>
          <w:color w:val="auto"/>
          <w:sz w:val="24"/>
          <w:szCs w:val="24"/>
          <w:highlight w:val="none"/>
        </w:rPr>
        <w:t xml:space="preserve"> </w:t>
      </w:r>
    </w:p>
    <w:p>
      <w:pPr>
        <w:widowControl/>
        <w:spacing w:line="360" w:lineRule="auto"/>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3</w:t>
      </w:r>
      <w:r>
        <w:rPr>
          <w:rFonts w:hint="eastAsia" w:ascii="宋体" w:hAnsi="宋体"/>
          <w:color w:val="auto"/>
          <w:sz w:val="24"/>
          <w:szCs w:val="24"/>
          <w:highlight w:val="none"/>
        </w:rPr>
        <w:t>）负责保安员防暴盾牌、胶警棍、对讲机、雨衣、雨鞋、电筒、大衣等装备；</w:t>
      </w:r>
    </w:p>
    <w:p>
      <w:pPr>
        <w:widowControl/>
        <w:spacing w:line="360" w:lineRule="auto"/>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4</w:t>
      </w:r>
      <w:r>
        <w:rPr>
          <w:rFonts w:hint="eastAsia" w:ascii="宋体" w:hAnsi="宋体"/>
          <w:color w:val="auto"/>
          <w:sz w:val="24"/>
          <w:szCs w:val="24"/>
          <w:highlight w:val="none"/>
        </w:rPr>
        <w:t>）督促教育保安员接受发包人及项目管理公司领导及主管人员的工作检查和监督管理；</w:t>
      </w:r>
    </w:p>
    <w:p>
      <w:pPr>
        <w:widowControl/>
        <w:spacing w:line="360" w:lineRule="auto"/>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5</w:t>
      </w:r>
      <w:r>
        <w:rPr>
          <w:rFonts w:hint="eastAsia" w:ascii="宋体" w:hAnsi="宋体"/>
          <w:color w:val="auto"/>
          <w:sz w:val="24"/>
          <w:szCs w:val="24"/>
          <w:highlight w:val="none"/>
        </w:rPr>
        <w:t>）协助发包人及项目管理公司处理好与当地公安机关的正常工作关系，最大限度地避免发包人及项目管理公司利益受到损害；</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w:t>
      </w:r>
      <w:r>
        <w:rPr>
          <w:rFonts w:ascii="宋体" w:hAnsi="宋体"/>
          <w:color w:val="auto"/>
          <w:sz w:val="24"/>
          <w:szCs w:val="24"/>
          <w:highlight w:val="none"/>
        </w:rPr>
        <w:t>6</w:t>
      </w:r>
      <w:r>
        <w:rPr>
          <w:rFonts w:hint="eastAsia" w:ascii="宋体" w:hAnsi="宋体"/>
          <w:color w:val="auto"/>
          <w:sz w:val="24"/>
          <w:szCs w:val="24"/>
          <w:highlight w:val="none"/>
        </w:rPr>
        <w:t>）承包人负责保安员的食宿。</w:t>
      </w:r>
    </w:p>
    <w:p>
      <w:pPr>
        <w:spacing w:line="360" w:lineRule="auto"/>
        <w:rPr>
          <w:rFonts w:ascii="Times New Roman" w:hAnsi="Times New Roman" w:eastAsia="黑体"/>
          <w:b/>
          <w:color w:val="auto"/>
          <w:sz w:val="24"/>
          <w:szCs w:val="24"/>
          <w:highlight w:val="none"/>
        </w:rPr>
      </w:pPr>
      <w:r>
        <w:rPr>
          <w:rFonts w:ascii="Times New Roman" w:hAnsi="Times New Roman" w:eastAsia="黑体"/>
          <w:b/>
          <w:color w:val="auto"/>
          <w:sz w:val="24"/>
          <w:szCs w:val="24"/>
          <w:highlight w:val="none"/>
        </w:rPr>
        <w:t xml:space="preserve">3.2.5 </w:t>
      </w:r>
      <w:r>
        <w:rPr>
          <w:rFonts w:hint="eastAsia" w:ascii="Times New Roman" w:hAnsi="Times New Roman" w:eastAsia="黑体"/>
          <w:b/>
          <w:color w:val="auto"/>
          <w:sz w:val="24"/>
          <w:szCs w:val="24"/>
          <w:highlight w:val="none"/>
        </w:rPr>
        <w:t>保安员</w:t>
      </w:r>
      <w:r>
        <w:rPr>
          <w:rFonts w:ascii="Times New Roman" w:hAnsi="Times New Roman" w:eastAsia="黑体"/>
          <w:b/>
          <w:color w:val="auto"/>
          <w:sz w:val="24"/>
          <w:szCs w:val="24"/>
          <w:highlight w:val="none"/>
        </w:rPr>
        <w:t>配备</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．工地现场保安员配备：</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（1）每个工地出入口每班次配备门岗人员不得少于2名；</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（2）每个施工区域每班次配备巡岗人员不得少于1名；</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（3）为本工程配备专职消防安保人员；</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（4）配备安保队长统筹管理工地现场的安保工作；</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2</w:t>
      </w:r>
      <w:r>
        <w:rPr>
          <w:rFonts w:hint="eastAsia" w:ascii="宋体" w:hAnsi="宋体"/>
          <w:color w:val="auto"/>
          <w:sz w:val="24"/>
          <w:szCs w:val="24"/>
          <w:highlight w:val="none"/>
        </w:rPr>
        <w:t>．</w:t>
      </w:r>
      <w:r>
        <w:rPr>
          <w:rFonts w:ascii="宋体" w:hAnsi="宋体"/>
          <w:color w:val="auto"/>
          <w:sz w:val="24"/>
          <w:szCs w:val="24"/>
          <w:highlight w:val="none"/>
        </w:rPr>
        <w:t>发包人及项目管理公司临时设施区域保安员配备</w:t>
      </w:r>
      <w:r>
        <w:rPr>
          <w:rFonts w:hint="eastAsia" w:ascii="宋体" w:hAnsi="宋体"/>
          <w:color w:val="auto"/>
          <w:sz w:val="24"/>
          <w:szCs w:val="24"/>
          <w:highlight w:val="none"/>
        </w:rPr>
        <w:t>：</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（1）出入口每班次配备门岗人员不得少于</w:t>
      </w:r>
      <w:r>
        <w:rPr>
          <w:rFonts w:ascii="宋体" w:hAnsi="宋体"/>
          <w:color w:val="auto"/>
          <w:sz w:val="24"/>
          <w:szCs w:val="24"/>
          <w:highlight w:val="none"/>
        </w:rPr>
        <w:t>2</w:t>
      </w:r>
      <w:r>
        <w:rPr>
          <w:rFonts w:hint="eastAsia" w:ascii="宋体" w:hAnsi="宋体"/>
          <w:color w:val="auto"/>
          <w:sz w:val="24"/>
          <w:szCs w:val="24"/>
          <w:highlight w:val="none"/>
        </w:rPr>
        <w:t>名；</w:t>
      </w:r>
    </w:p>
    <w:p>
      <w:pPr>
        <w:spacing w:line="360" w:lineRule="auto"/>
        <w:ind w:firstLine="480" w:firstLineChars="200"/>
        <w:rPr>
          <w:rFonts w:ascii="Times New Roman" w:hAnsi="Times New Roman" w:eastAsia="黑体"/>
          <w:b/>
          <w:color w:val="auto"/>
          <w:highlight w:val="none"/>
        </w:rPr>
      </w:pPr>
      <w:r>
        <w:rPr>
          <w:rFonts w:hint="eastAsia" w:ascii="宋体" w:hAnsi="宋体"/>
          <w:color w:val="auto"/>
          <w:sz w:val="24"/>
          <w:szCs w:val="24"/>
          <w:highlight w:val="none"/>
        </w:rPr>
        <w:t>（2）每班次配备巡岗人员不得少于</w:t>
      </w:r>
      <w:r>
        <w:rPr>
          <w:rFonts w:ascii="宋体" w:hAnsi="宋体"/>
          <w:color w:val="auto"/>
          <w:sz w:val="24"/>
          <w:szCs w:val="24"/>
          <w:highlight w:val="none"/>
        </w:rPr>
        <w:t>1</w:t>
      </w:r>
      <w:r>
        <w:rPr>
          <w:rFonts w:hint="eastAsia" w:ascii="宋体" w:hAnsi="宋体"/>
          <w:color w:val="auto"/>
          <w:sz w:val="24"/>
          <w:szCs w:val="24"/>
          <w:highlight w:val="none"/>
        </w:rPr>
        <w:t>名。</w:t>
      </w:r>
    </w:p>
    <w:p>
      <w:pPr>
        <w:pStyle w:val="113"/>
        <w:spacing w:before="120" w:after="120"/>
        <w:outlineLvl w:val="2"/>
        <w:rPr>
          <w:color w:val="auto"/>
          <w:highlight w:val="none"/>
        </w:rPr>
      </w:pPr>
      <w:bookmarkStart w:id="7625" w:name="_Toc66890383"/>
      <w:bookmarkStart w:id="7626" w:name="_Toc69114129"/>
      <w:bookmarkStart w:id="7627" w:name="_Toc66634388"/>
      <w:bookmarkStart w:id="7628" w:name="_Toc505345701"/>
      <w:r>
        <w:rPr>
          <w:color w:val="auto"/>
          <w:highlight w:val="none"/>
        </w:rPr>
        <w:t xml:space="preserve">3.3 </w:t>
      </w:r>
      <w:r>
        <w:rPr>
          <w:rFonts w:hint="eastAsia"/>
          <w:color w:val="auto"/>
          <w:highlight w:val="none"/>
        </w:rPr>
        <w:t>绿色施工技术要求</w:t>
      </w:r>
      <w:bookmarkEnd w:id="7625"/>
      <w:bookmarkEnd w:id="7626"/>
      <w:bookmarkEnd w:id="7627"/>
      <w:bookmarkEnd w:id="7628"/>
    </w:p>
    <w:p>
      <w:pPr>
        <w:pStyle w:val="217"/>
        <w:rPr>
          <w:color w:val="auto"/>
          <w:highlight w:val="none"/>
        </w:rPr>
      </w:pPr>
      <w:r>
        <w:rPr>
          <w:rFonts w:hint="eastAsia"/>
          <w:color w:val="auto"/>
          <w:highlight w:val="none"/>
        </w:rPr>
        <w:t>本项目必须应用发包人组织编制的“深圳市工程建设项目绿色工地技术指引”绿色施工技术（若有调整，则按调整后的指引执行）或发包人绿色施工课题研究小组认可的绿色施工技术。应用成果需通过发包人验收，具体要求如下：</w:t>
      </w:r>
      <w:r>
        <w:rPr>
          <w:color w:val="auto"/>
          <w:highlight w:val="none"/>
        </w:rPr>
        <w:t xml:space="preserve"> </w:t>
      </w:r>
    </w:p>
    <w:p>
      <w:pPr>
        <w:pStyle w:val="217"/>
        <w:rPr>
          <w:color w:val="auto"/>
          <w:highlight w:val="none"/>
        </w:rPr>
      </w:pPr>
      <w:r>
        <w:rPr>
          <w:color w:val="auto"/>
          <w:highlight w:val="none"/>
        </w:rPr>
        <w:t>1.</w:t>
      </w:r>
      <w:r>
        <w:rPr>
          <w:rFonts w:hint="eastAsia"/>
          <w:color w:val="auto"/>
          <w:highlight w:val="none"/>
        </w:rPr>
        <w:t>配合发包人完成绿色工地技术指引课题研究工作，并对绿色施工技术应用进行总结。</w:t>
      </w:r>
      <w:r>
        <w:rPr>
          <w:color w:val="auto"/>
          <w:highlight w:val="none"/>
        </w:rPr>
        <w:t xml:space="preserve"> </w:t>
      </w:r>
    </w:p>
    <w:p>
      <w:pPr>
        <w:pStyle w:val="217"/>
        <w:rPr>
          <w:color w:val="auto"/>
          <w:highlight w:val="none"/>
        </w:rPr>
      </w:pPr>
      <w:r>
        <w:rPr>
          <w:color w:val="auto"/>
          <w:highlight w:val="none"/>
        </w:rPr>
        <w:t>2.</w:t>
      </w:r>
      <w:r>
        <w:rPr>
          <w:rFonts w:hint="eastAsia"/>
          <w:color w:val="auto"/>
          <w:highlight w:val="none"/>
        </w:rPr>
        <w:t>鼓励该项目争获国家和广东省的“建筑业绿色施工示范工程”。</w:t>
      </w:r>
    </w:p>
    <w:p>
      <w:pPr>
        <w:pStyle w:val="217"/>
        <w:rPr>
          <w:color w:val="auto"/>
          <w:highlight w:val="none"/>
        </w:rPr>
      </w:pPr>
      <w:r>
        <w:rPr>
          <w:color w:val="auto"/>
          <w:highlight w:val="none"/>
        </w:rPr>
        <w:t xml:space="preserve"> </w:t>
      </w:r>
      <w:r>
        <w:rPr>
          <w:rFonts w:hint="eastAsia"/>
          <w:color w:val="auto"/>
          <w:highlight w:val="none"/>
        </w:rPr>
        <w:t>编制依据</w:t>
      </w:r>
    </w:p>
    <w:p>
      <w:pPr>
        <w:pStyle w:val="217"/>
        <w:rPr>
          <w:color w:val="auto"/>
          <w:highlight w:val="none"/>
        </w:rPr>
      </w:pPr>
      <w:r>
        <w:rPr>
          <w:rFonts w:hint="eastAsia"/>
          <w:color w:val="auto"/>
          <w:highlight w:val="none"/>
        </w:rPr>
        <w:t>《中华人民共和国环境保护法》</w:t>
      </w:r>
    </w:p>
    <w:p>
      <w:pPr>
        <w:pStyle w:val="217"/>
        <w:rPr>
          <w:color w:val="auto"/>
          <w:highlight w:val="none"/>
        </w:rPr>
      </w:pPr>
      <w:r>
        <w:rPr>
          <w:rFonts w:hint="eastAsia"/>
          <w:color w:val="auto"/>
          <w:highlight w:val="none"/>
        </w:rPr>
        <w:t>《中华人民共和国环境影响评价法》</w:t>
      </w:r>
    </w:p>
    <w:p>
      <w:pPr>
        <w:pStyle w:val="217"/>
        <w:rPr>
          <w:color w:val="auto"/>
          <w:highlight w:val="none"/>
        </w:rPr>
      </w:pPr>
      <w:r>
        <w:rPr>
          <w:rFonts w:hint="eastAsia"/>
          <w:color w:val="auto"/>
          <w:highlight w:val="none"/>
        </w:rPr>
        <w:t>《中华人民共和国大气污染防治法》</w:t>
      </w:r>
    </w:p>
    <w:p>
      <w:pPr>
        <w:pStyle w:val="217"/>
        <w:rPr>
          <w:color w:val="auto"/>
          <w:highlight w:val="none"/>
        </w:rPr>
      </w:pPr>
      <w:r>
        <w:rPr>
          <w:rFonts w:hint="eastAsia"/>
          <w:color w:val="auto"/>
          <w:highlight w:val="none"/>
        </w:rPr>
        <w:t>《中华人民共和国水污染防治法》</w:t>
      </w:r>
    </w:p>
    <w:p>
      <w:pPr>
        <w:pStyle w:val="217"/>
        <w:rPr>
          <w:color w:val="auto"/>
          <w:highlight w:val="none"/>
        </w:rPr>
      </w:pPr>
      <w:r>
        <w:rPr>
          <w:rFonts w:hint="eastAsia"/>
          <w:color w:val="auto"/>
          <w:highlight w:val="none"/>
        </w:rPr>
        <w:t>《中华人民共和国环境噪声污染防治法》</w:t>
      </w:r>
    </w:p>
    <w:p>
      <w:pPr>
        <w:pStyle w:val="217"/>
        <w:rPr>
          <w:color w:val="auto"/>
          <w:highlight w:val="none"/>
        </w:rPr>
      </w:pPr>
      <w:r>
        <w:rPr>
          <w:rFonts w:hint="eastAsia"/>
          <w:color w:val="auto"/>
          <w:highlight w:val="none"/>
        </w:rPr>
        <w:t>《中华人民共和国固体废物污染防治法》</w:t>
      </w:r>
    </w:p>
    <w:p>
      <w:pPr>
        <w:pStyle w:val="217"/>
        <w:rPr>
          <w:color w:val="auto"/>
          <w:highlight w:val="none"/>
        </w:rPr>
      </w:pPr>
      <w:r>
        <w:rPr>
          <w:rFonts w:hint="eastAsia"/>
          <w:color w:val="auto"/>
          <w:highlight w:val="none"/>
        </w:rPr>
        <w:t>《建设项目环境保护管理条例》</w:t>
      </w:r>
    </w:p>
    <w:p>
      <w:pPr>
        <w:pStyle w:val="217"/>
        <w:rPr>
          <w:color w:val="auto"/>
          <w:highlight w:val="none"/>
        </w:rPr>
      </w:pPr>
      <w:r>
        <w:rPr>
          <w:rFonts w:hint="eastAsia"/>
          <w:color w:val="auto"/>
          <w:highlight w:val="none"/>
        </w:rPr>
        <w:t>《建筑施工场界噪声限值》（</w:t>
      </w:r>
      <w:r>
        <w:rPr>
          <w:color w:val="auto"/>
          <w:highlight w:val="none"/>
        </w:rPr>
        <w:t>GB12523-90</w:t>
      </w:r>
      <w:r>
        <w:rPr>
          <w:rFonts w:hint="eastAsia"/>
          <w:color w:val="auto"/>
          <w:highlight w:val="none"/>
        </w:rPr>
        <w:t>）</w:t>
      </w:r>
    </w:p>
    <w:p>
      <w:pPr>
        <w:pStyle w:val="217"/>
        <w:rPr>
          <w:color w:val="auto"/>
          <w:highlight w:val="none"/>
        </w:rPr>
      </w:pPr>
      <w:r>
        <w:rPr>
          <w:rFonts w:hint="eastAsia"/>
          <w:color w:val="auto"/>
          <w:highlight w:val="none"/>
        </w:rPr>
        <w:t>《建筑施工场界噪声测量方法》（</w:t>
      </w:r>
      <w:r>
        <w:rPr>
          <w:color w:val="auto"/>
          <w:highlight w:val="none"/>
        </w:rPr>
        <w:t>GB12524-90</w:t>
      </w:r>
      <w:r>
        <w:rPr>
          <w:rFonts w:hint="eastAsia"/>
          <w:color w:val="auto"/>
          <w:highlight w:val="none"/>
        </w:rPr>
        <w:t>）</w:t>
      </w:r>
    </w:p>
    <w:p>
      <w:pPr>
        <w:pStyle w:val="217"/>
        <w:rPr>
          <w:color w:val="auto"/>
          <w:highlight w:val="none"/>
        </w:rPr>
      </w:pPr>
      <w:r>
        <w:rPr>
          <w:rFonts w:hint="eastAsia"/>
          <w:color w:val="auto"/>
          <w:highlight w:val="none"/>
        </w:rPr>
        <w:t>《建筑节能工程施工质量验收规范》（</w:t>
      </w:r>
      <w:r>
        <w:rPr>
          <w:color w:val="auto"/>
          <w:highlight w:val="none"/>
        </w:rPr>
        <w:t>GB54011-2007</w:t>
      </w:r>
      <w:r>
        <w:rPr>
          <w:rFonts w:hint="eastAsia"/>
          <w:color w:val="auto"/>
          <w:highlight w:val="none"/>
        </w:rPr>
        <w:t>）</w:t>
      </w:r>
    </w:p>
    <w:p>
      <w:pPr>
        <w:pStyle w:val="217"/>
        <w:rPr>
          <w:color w:val="auto"/>
          <w:highlight w:val="none"/>
        </w:rPr>
      </w:pPr>
      <w:r>
        <w:rPr>
          <w:rFonts w:hint="eastAsia"/>
          <w:color w:val="auto"/>
          <w:highlight w:val="none"/>
        </w:rPr>
        <w:t>《发包人招标文件及图纸要求》</w:t>
      </w:r>
    </w:p>
    <w:p>
      <w:pPr>
        <w:pStyle w:val="172"/>
        <w:rPr>
          <w:color w:val="auto"/>
          <w:highlight w:val="none"/>
        </w:rPr>
      </w:pPr>
      <w:r>
        <w:rPr>
          <w:color w:val="auto"/>
          <w:highlight w:val="none"/>
        </w:rPr>
        <w:t xml:space="preserve">3.3.1 </w:t>
      </w:r>
      <w:r>
        <w:rPr>
          <w:rFonts w:hint="eastAsia"/>
          <w:color w:val="auto"/>
          <w:highlight w:val="none"/>
        </w:rPr>
        <w:t>基本规定</w:t>
      </w:r>
    </w:p>
    <w:p>
      <w:pPr>
        <w:pStyle w:val="217"/>
        <w:rPr>
          <w:color w:val="auto"/>
          <w:highlight w:val="none"/>
        </w:rPr>
      </w:pPr>
      <w:r>
        <w:rPr>
          <w:color w:val="auto"/>
          <w:highlight w:val="none"/>
        </w:rPr>
        <w:t>1.</w:t>
      </w:r>
      <w:r>
        <w:rPr>
          <w:rFonts w:hint="eastAsia"/>
          <w:color w:val="auto"/>
          <w:highlight w:val="none"/>
        </w:rPr>
        <w:t>承包人应合理配置节能、节水及环境保护的在线监测设备，并及时收集汇总节能、节水及环境保护的监测报告、检测记录，建立节能、节水及环境保护监测、检测台账。</w:t>
      </w:r>
    </w:p>
    <w:p>
      <w:pPr>
        <w:pStyle w:val="217"/>
        <w:rPr>
          <w:color w:val="auto"/>
          <w:highlight w:val="none"/>
        </w:rPr>
      </w:pPr>
      <w:r>
        <w:rPr>
          <w:color w:val="auto"/>
          <w:highlight w:val="none"/>
        </w:rPr>
        <w:t>2.</w:t>
      </w:r>
      <w:r>
        <w:rPr>
          <w:rFonts w:hint="eastAsia"/>
          <w:color w:val="auto"/>
          <w:highlight w:val="none"/>
        </w:rPr>
        <w:t>承包人应在工程开工前，结合工程特点对项目管理人员、作业人员进行有关绿色施工的培训教育。在施工过程中，应根据实际情况，参考本技术指引实施贴合实际的绿色施工技术措施。</w:t>
      </w:r>
    </w:p>
    <w:p>
      <w:pPr>
        <w:pStyle w:val="217"/>
        <w:rPr>
          <w:color w:val="auto"/>
          <w:highlight w:val="none"/>
        </w:rPr>
      </w:pPr>
      <w:r>
        <w:rPr>
          <w:color w:val="auto"/>
          <w:highlight w:val="none"/>
        </w:rPr>
        <w:t>3.</w:t>
      </w:r>
      <w:r>
        <w:rPr>
          <w:rFonts w:hint="eastAsia"/>
          <w:color w:val="auto"/>
          <w:highlight w:val="none"/>
        </w:rPr>
        <w:t>承包人应根据现场条件和工程实际，通过方案比较，工艺改革，施工流程优化等技术措施，创新绿色施工技术与工艺。</w:t>
      </w:r>
    </w:p>
    <w:p>
      <w:pPr>
        <w:pStyle w:val="217"/>
        <w:rPr>
          <w:color w:val="auto"/>
          <w:highlight w:val="none"/>
        </w:rPr>
      </w:pPr>
      <w:r>
        <w:rPr>
          <w:color w:val="auto"/>
          <w:highlight w:val="none"/>
        </w:rPr>
        <w:t>4.</w:t>
      </w:r>
      <w:r>
        <w:rPr>
          <w:rFonts w:hint="eastAsia"/>
          <w:color w:val="auto"/>
          <w:highlight w:val="none"/>
        </w:rPr>
        <w:t>工程施工阶段，项目部应推广应用标准化、定型化、工具化的防护用具和工具。鼓励有条件的项目采用装配式预制结构件进行施工，创建绿色施工优秀工程。</w:t>
      </w:r>
    </w:p>
    <w:p>
      <w:pPr>
        <w:pStyle w:val="217"/>
        <w:rPr>
          <w:color w:val="auto"/>
          <w:highlight w:val="none"/>
        </w:rPr>
      </w:pPr>
      <w:r>
        <w:rPr>
          <w:color w:val="auto"/>
          <w:highlight w:val="none"/>
        </w:rPr>
        <w:t>5.</w:t>
      </w:r>
      <w:r>
        <w:rPr>
          <w:rFonts w:hint="eastAsia"/>
          <w:color w:val="auto"/>
          <w:highlight w:val="none"/>
        </w:rPr>
        <w:t>承包人应严格执行国家及地方有关法律法规、规范标准，禁止使用落后淘汰的产品、设备和材料。</w:t>
      </w:r>
    </w:p>
    <w:p>
      <w:pPr>
        <w:pStyle w:val="217"/>
        <w:rPr>
          <w:color w:val="auto"/>
          <w:highlight w:val="none"/>
        </w:rPr>
      </w:pPr>
      <w:r>
        <w:rPr>
          <w:color w:val="auto"/>
          <w:highlight w:val="none"/>
        </w:rPr>
        <w:t>6.</w:t>
      </w:r>
      <w:r>
        <w:rPr>
          <w:rFonts w:hint="eastAsia"/>
          <w:color w:val="auto"/>
          <w:highlight w:val="none"/>
        </w:rPr>
        <w:t>承包人在作业过程中，应结合季节、天气特点，以及不同施工种类、施工阶段的实际情况等，参考本技术指引达到绿色施工的要求。</w:t>
      </w:r>
    </w:p>
    <w:p>
      <w:pPr>
        <w:pStyle w:val="172"/>
        <w:rPr>
          <w:color w:val="auto"/>
          <w:highlight w:val="none"/>
        </w:rPr>
      </w:pPr>
      <w:r>
        <w:rPr>
          <w:color w:val="auto"/>
          <w:highlight w:val="none"/>
        </w:rPr>
        <w:t xml:space="preserve">3.3.2 </w:t>
      </w:r>
      <w:r>
        <w:rPr>
          <w:rFonts w:hint="eastAsia"/>
          <w:color w:val="auto"/>
          <w:highlight w:val="none"/>
        </w:rPr>
        <w:t>环境保护</w:t>
      </w:r>
    </w:p>
    <w:p>
      <w:pPr>
        <w:pStyle w:val="119"/>
        <w:rPr>
          <w:color w:val="auto"/>
          <w:highlight w:val="none"/>
        </w:rPr>
      </w:pPr>
      <w:r>
        <w:rPr>
          <w:color w:val="auto"/>
          <w:highlight w:val="none"/>
        </w:rPr>
        <w:t xml:space="preserve">3.3.2.1 </w:t>
      </w:r>
      <w:r>
        <w:rPr>
          <w:rFonts w:hint="eastAsia"/>
          <w:color w:val="auto"/>
          <w:highlight w:val="none"/>
        </w:rPr>
        <w:t>环境保护管理</w:t>
      </w:r>
    </w:p>
    <w:p>
      <w:pPr>
        <w:pStyle w:val="217"/>
        <w:rPr>
          <w:color w:val="auto"/>
          <w:highlight w:val="none"/>
        </w:rPr>
      </w:pPr>
      <w:r>
        <w:rPr>
          <w:color w:val="auto"/>
          <w:highlight w:val="none"/>
        </w:rPr>
        <w:t>1.</w:t>
      </w:r>
      <w:r>
        <w:rPr>
          <w:rFonts w:hint="eastAsia"/>
          <w:color w:val="auto"/>
          <w:highlight w:val="none"/>
        </w:rPr>
        <w:t>建设工程对环境保护的动态管理，主要是控制在施工过程中所产生的噪声、光污染、扬尘和污水的排放，制订相应的环境保护管理制度和措施，并建立相应的环境保护台账；</w:t>
      </w:r>
    </w:p>
    <w:p>
      <w:pPr>
        <w:pStyle w:val="217"/>
        <w:rPr>
          <w:color w:val="auto"/>
          <w:highlight w:val="none"/>
        </w:rPr>
      </w:pPr>
      <w:r>
        <w:rPr>
          <w:color w:val="auto"/>
          <w:highlight w:val="none"/>
        </w:rPr>
        <w:t>2.</w:t>
      </w:r>
      <w:r>
        <w:rPr>
          <w:rFonts w:hint="eastAsia"/>
          <w:color w:val="auto"/>
          <w:highlight w:val="none"/>
        </w:rPr>
        <w:t>现场施工标牌包括环境保护内容，并公示施工工地每日环境保护主控指标、绿色施工创建目标、节能降耗减排指标、管理责任人及投诉电话；</w:t>
      </w:r>
    </w:p>
    <w:p>
      <w:pPr>
        <w:rPr>
          <w:color w:val="auto"/>
          <w:highlight w:val="none"/>
        </w:rPr>
      </w:pPr>
    </w:p>
    <w:p>
      <w:pPr>
        <w:jc w:val="center"/>
        <w:rPr>
          <w:color w:val="auto"/>
          <w:highlight w:val="none"/>
        </w:rPr>
      </w:pPr>
      <w:r>
        <w:rPr>
          <w:color w:val="auto"/>
          <w:highlight w:val="none"/>
        </w:rPr>
        <w:drawing>
          <wp:inline distT="0" distB="0" distL="114300" distR="114300">
            <wp:extent cx="2717165" cy="1696085"/>
            <wp:effectExtent l="0" t="0" r="6985" b="18415"/>
            <wp:docPr id="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pic:cNvPicPr>
                      <a:picLocks noChangeAspect="1"/>
                    </pic:cNvPicPr>
                  </pic:nvPicPr>
                  <pic:blipFill>
                    <a:blip r:embed="rId20"/>
                    <a:stretch>
                      <a:fillRect/>
                    </a:stretch>
                  </pic:blipFill>
                  <pic:spPr>
                    <a:xfrm>
                      <a:off x="0" y="0"/>
                      <a:ext cx="2717165" cy="1696085"/>
                    </a:xfrm>
                    <a:prstGeom prst="rect">
                      <a:avLst/>
                    </a:prstGeom>
                    <a:noFill/>
                    <a:ln>
                      <a:noFill/>
                    </a:ln>
                  </pic:spPr>
                </pic:pic>
              </a:graphicData>
            </a:graphic>
          </wp:inline>
        </w:drawing>
      </w:r>
    </w:p>
    <w:p>
      <w:pPr>
        <w:pStyle w:val="217"/>
        <w:ind w:firstLine="2400" w:firstLineChars="1000"/>
        <w:rPr>
          <w:color w:val="auto"/>
          <w:highlight w:val="none"/>
        </w:rPr>
      </w:pPr>
      <w:r>
        <w:rPr>
          <w:rFonts w:hint="eastAsia"/>
          <w:color w:val="auto"/>
          <w:highlight w:val="none"/>
        </w:rPr>
        <w:t>环境保护主控指标展示屏示意图</w:t>
      </w:r>
    </w:p>
    <w:p>
      <w:pPr>
        <w:rPr>
          <w:color w:val="auto"/>
          <w:highlight w:val="none"/>
        </w:rPr>
      </w:pPr>
    </w:p>
    <w:p>
      <w:pPr>
        <w:pStyle w:val="217"/>
        <w:rPr>
          <w:color w:val="auto"/>
          <w:highlight w:val="none"/>
        </w:rPr>
      </w:pPr>
      <w:r>
        <w:rPr>
          <w:color w:val="auto"/>
          <w:highlight w:val="none"/>
        </w:rPr>
        <w:t>3.</w:t>
      </w:r>
      <w:r>
        <w:rPr>
          <w:rFonts w:hint="eastAsia"/>
          <w:color w:val="auto"/>
          <w:highlight w:val="none"/>
        </w:rPr>
        <w:t>在施工现场的醒目位置设环境保护标识。如尊崇自然、敬畏生命；有限的资源，无限的循环；珍惜自然资源，共营生命绿色；</w:t>
      </w:r>
    </w:p>
    <w:p>
      <w:pPr>
        <w:pStyle w:val="217"/>
        <w:rPr>
          <w:color w:val="auto"/>
          <w:highlight w:val="none"/>
        </w:rPr>
      </w:pPr>
      <w:r>
        <w:rPr>
          <w:color w:val="auto"/>
          <w:highlight w:val="none"/>
        </w:rPr>
        <w:t>4.</w:t>
      </w:r>
      <w:r>
        <w:rPr>
          <w:rFonts w:hint="eastAsia"/>
          <w:color w:val="auto"/>
          <w:highlight w:val="none"/>
        </w:rPr>
        <w:t>工程开工前，对施工人员进行环境保护教育。</w:t>
      </w:r>
    </w:p>
    <w:p>
      <w:pPr>
        <w:pStyle w:val="217"/>
        <w:rPr>
          <w:color w:val="auto"/>
          <w:highlight w:val="none"/>
        </w:rPr>
      </w:pPr>
      <w:r>
        <w:rPr>
          <w:color w:val="auto"/>
          <w:highlight w:val="none"/>
        </w:rPr>
        <w:t>5.</w:t>
      </w:r>
      <w:r>
        <w:rPr>
          <w:rFonts w:hint="eastAsia"/>
          <w:color w:val="auto"/>
          <w:highlight w:val="none"/>
        </w:rPr>
        <w:t>本工程周边有自然生态、文物古迹、紫线保护范围，承包人进场前要核实具体保护范围，制定保护方案，落实科学合理的保护措施，因承包人保护不当造成损坏，由承包人承担一切责任，包括按相关规定要去恢复以及相关部门的处罚等。</w:t>
      </w:r>
    </w:p>
    <w:p>
      <w:pPr>
        <w:pStyle w:val="119"/>
        <w:rPr>
          <w:color w:val="auto"/>
          <w:highlight w:val="none"/>
        </w:rPr>
      </w:pPr>
      <w:r>
        <w:rPr>
          <w:color w:val="auto"/>
          <w:highlight w:val="none"/>
        </w:rPr>
        <w:t xml:space="preserve">3.3.2.2 </w:t>
      </w:r>
      <w:r>
        <w:rPr>
          <w:rFonts w:hint="eastAsia"/>
          <w:color w:val="auto"/>
          <w:highlight w:val="none"/>
        </w:rPr>
        <w:t>扬尘控制</w:t>
      </w:r>
    </w:p>
    <w:p>
      <w:pPr>
        <w:pStyle w:val="217"/>
        <w:rPr>
          <w:color w:val="auto"/>
          <w:highlight w:val="none"/>
        </w:rPr>
      </w:pPr>
      <w:r>
        <w:rPr>
          <w:color w:val="auto"/>
          <w:highlight w:val="none"/>
        </w:rPr>
        <w:t>1.</w:t>
      </w:r>
      <w:r>
        <w:rPr>
          <w:rFonts w:hint="eastAsia"/>
          <w:color w:val="auto"/>
          <w:highlight w:val="none"/>
        </w:rPr>
        <w:t>扬尘控制指标</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）对施工现场办公区和生活区的裸露场地进行绿化、美化，绿化率占空地的</w:t>
      </w:r>
      <w:r>
        <w:rPr>
          <w:color w:val="auto"/>
          <w:highlight w:val="none"/>
        </w:rPr>
        <w:t>30%</w:t>
      </w:r>
      <w:r>
        <w:rPr>
          <w:rFonts w:hint="eastAsia"/>
          <w:color w:val="auto"/>
          <w:highlight w:val="none"/>
        </w:rPr>
        <w:t>；</w:t>
      </w:r>
    </w:p>
    <w:p>
      <w:pPr>
        <w:pStyle w:val="217"/>
        <w:rPr>
          <w:color w:val="auto"/>
          <w:highlight w:val="none"/>
        </w:rPr>
      </w:pPr>
      <w:r>
        <w:rPr>
          <w:rFonts w:hint="eastAsia"/>
          <w:color w:val="auto"/>
          <w:highlight w:val="none"/>
        </w:rPr>
        <w:t>绿化率</w:t>
      </w:r>
      <w:r>
        <w:rPr>
          <w:color w:val="auto"/>
          <w:highlight w:val="none"/>
        </w:rPr>
        <w:object>
          <v:shape id="_x0000_i1025" o:spt="75" type="#_x0000_t75" style="height:27.65pt;width:86.35pt;" o:ole="t" filled="f" o:preferrelative="t" stroked="f" coordsize="21600,21600">
            <v:path/>
            <v:fill on="f" focussize="0,0"/>
            <v:stroke on="f"/>
            <v:imagedata r:id="rId22" o:title=""/>
            <o:lock v:ext="edit" aspectratio="t"/>
            <w10:wrap type="none"/>
            <w10:anchorlock/>
          </v:shape>
          <o:OLEObject Type="Embed" ProgID="Equation.DSMT4" ShapeID="_x0000_i1025" DrawAspect="Content" ObjectID="_1468075725" r:id="rId21">
            <o:LockedField>false</o:LockedField>
          </o:OLEObject>
        </w:object>
      </w:r>
    </w:p>
    <w:p>
      <w:pPr>
        <w:pStyle w:val="217"/>
        <w:rPr>
          <w:color w:val="auto"/>
          <w:highlight w:val="none"/>
        </w:rPr>
      </w:pPr>
      <w:r>
        <w:rPr>
          <w:rFonts w:hint="eastAsia"/>
          <w:color w:val="auto"/>
          <w:highlight w:val="none"/>
        </w:rPr>
        <w:t>式中</w:t>
      </w:r>
      <w:r>
        <w:rPr>
          <w:color w:val="auto"/>
          <w:highlight w:val="none"/>
        </w:rPr>
        <w:t xml:space="preserve"> A——</w:t>
      </w:r>
      <w:r>
        <w:rPr>
          <w:rFonts w:hint="eastAsia"/>
          <w:color w:val="auto"/>
          <w:highlight w:val="none"/>
        </w:rPr>
        <w:t>办公区（生活区）总面积；</w:t>
      </w:r>
    </w:p>
    <w:p>
      <w:pPr>
        <w:pStyle w:val="217"/>
        <w:rPr>
          <w:color w:val="auto"/>
          <w:highlight w:val="none"/>
        </w:rPr>
      </w:pPr>
      <w:r>
        <w:rPr>
          <w:color w:val="auto"/>
          <w:highlight w:val="none"/>
        </w:rPr>
        <w:t xml:space="preserve">    B——</w:t>
      </w:r>
      <w:r>
        <w:rPr>
          <w:rFonts w:hint="eastAsia"/>
          <w:color w:val="auto"/>
          <w:highlight w:val="none"/>
        </w:rPr>
        <w:t>办公楼（宿舍）所占面积；</w:t>
      </w:r>
    </w:p>
    <w:p>
      <w:pPr>
        <w:pStyle w:val="217"/>
        <w:rPr>
          <w:color w:val="auto"/>
          <w:highlight w:val="none"/>
        </w:rPr>
      </w:pPr>
      <w:r>
        <w:rPr>
          <w:color w:val="auto"/>
          <w:highlight w:val="none"/>
        </w:rPr>
        <w:t xml:space="preserve">    C——</w:t>
      </w:r>
      <w:r>
        <w:rPr>
          <w:rFonts w:hint="eastAsia"/>
          <w:color w:val="auto"/>
          <w:highlight w:val="none"/>
        </w:rPr>
        <w:t>绿化面积。</w:t>
      </w:r>
    </w:p>
    <w:p>
      <w:pPr>
        <w:pStyle w:val="217"/>
        <w:rPr>
          <w:color w:val="auto"/>
          <w:highlight w:val="none"/>
        </w:rPr>
      </w:pPr>
      <w:r>
        <w:rPr>
          <w:color w:val="auto"/>
          <w:highlight w:val="none"/>
        </w:rPr>
        <w:t xml:space="preserve">  </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）施工场地内室外作业的工作面内扬尘目测高度应小于</w:t>
      </w:r>
      <w:r>
        <w:rPr>
          <w:color w:val="auto"/>
          <w:highlight w:val="none"/>
        </w:rPr>
        <w:t>1.0m</w:t>
      </w:r>
      <w:r>
        <w:rPr>
          <w:rFonts w:hint="eastAsia"/>
          <w:color w:val="auto"/>
          <w:highlight w:val="none"/>
        </w:rPr>
        <w:t>；室内作业区目测扬尘高度应小于</w:t>
      </w:r>
      <w:r>
        <w:rPr>
          <w:color w:val="auto"/>
          <w:highlight w:val="none"/>
        </w:rPr>
        <w:t>0.5m</w:t>
      </w:r>
      <w:r>
        <w:rPr>
          <w:rFonts w:hint="eastAsia"/>
          <w:color w:val="auto"/>
          <w:highlight w:val="none"/>
        </w:rPr>
        <w:t>；非作业区应达到目测无扬尘；</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）上路车辆应不带泥。</w:t>
      </w:r>
    </w:p>
    <w:p>
      <w:pPr>
        <w:pStyle w:val="217"/>
        <w:rPr>
          <w:color w:val="auto"/>
          <w:highlight w:val="none"/>
        </w:rPr>
      </w:pPr>
      <w:r>
        <w:rPr>
          <w:color w:val="auto"/>
          <w:highlight w:val="none"/>
        </w:rPr>
        <w:t>2.</w:t>
      </w:r>
      <w:r>
        <w:rPr>
          <w:rFonts w:hint="eastAsia"/>
          <w:color w:val="auto"/>
          <w:highlight w:val="none"/>
        </w:rPr>
        <w:t>扬尘监测</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）根据工程位置和施工特点应制订扬尘的控制措施，明确检测要求，配置相应的检测仪器和工具。及时做好记录并制订台账；</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每个工地出入口安装1套扬尘在线监测设施和2个视频监控器。扬尘在线监测仪器采样口距离地面高度为1.0m±0.2m，15分钟平均浓度超过300微克/立方米启动扬尘污染警报。视频监控器安装高度分别为1m和3.5m，低位视频监控器对出场车辆侧面车轮和车身冲洗情况进行抓拍和录像，高位视频监控器对出场车辆顶部密闭情况和车牌号码进行抓拍和录像。扬尘在线监测仪器需同时具备由国家环保部颁发的中国环境保护产品认证证书（CCEP）、省（市）级计量院出具的计量器具形式批准证书（CPA）。</w:t>
      </w:r>
    </w:p>
    <w:p>
      <w:pPr>
        <w:pStyle w:val="217"/>
        <w:rPr>
          <w:color w:val="auto"/>
          <w:highlight w:val="none"/>
        </w:rPr>
      </w:pPr>
    </w:p>
    <w:p>
      <w:pPr>
        <w:pStyle w:val="217"/>
        <w:rPr>
          <w:color w:val="auto"/>
          <w:highlight w:val="none"/>
        </w:rPr>
      </w:pPr>
    </w:p>
    <w:p>
      <w:pPr>
        <w:pStyle w:val="217"/>
        <w:rPr>
          <w:color w:val="auto"/>
          <w:highlight w:val="none"/>
        </w:rPr>
      </w:pPr>
    </w:p>
    <w:p>
      <w:pPr>
        <w:pStyle w:val="217"/>
        <w:rPr>
          <w:color w:val="auto"/>
          <w:highlight w:val="none"/>
        </w:rPr>
      </w:pPr>
      <w:r>
        <w:rPr>
          <w:color w:val="auto"/>
          <w:highlight w:val="none"/>
        </w:rPr>
        <w:drawing>
          <wp:inline distT="0" distB="0" distL="114300" distR="114300">
            <wp:extent cx="2163445" cy="1445895"/>
            <wp:effectExtent l="0" t="0" r="8255" b="1905"/>
            <wp:docPr id="11" name="图片 512"/>
            <wp:cNvGraphicFramePr/>
            <a:graphic xmlns:a="http://schemas.openxmlformats.org/drawingml/2006/main">
              <a:graphicData uri="http://schemas.openxmlformats.org/drawingml/2006/picture">
                <pic:pic xmlns:pic="http://schemas.openxmlformats.org/drawingml/2006/picture">
                  <pic:nvPicPr>
                    <pic:cNvPr id="11" name="图片 512"/>
                    <pic:cNvPicPr/>
                  </pic:nvPicPr>
                  <pic:blipFill>
                    <a:blip r:embed="rId23"/>
                    <a:srcRect b="9178"/>
                    <a:stretch>
                      <a:fillRect/>
                    </a:stretch>
                  </pic:blipFill>
                  <pic:spPr>
                    <a:xfrm>
                      <a:off x="0" y="0"/>
                      <a:ext cx="2163445" cy="1445895"/>
                    </a:xfrm>
                    <a:prstGeom prst="rect">
                      <a:avLst/>
                    </a:prstGeom>
                    <a:noFill/>
                    <a:ln>
                      <a:noFill/>
                    </a:ln>
                  </pic:spPr>
                </pic:pic>
              </a:graphicData>
            </a:graphic>
          </wp:inline>
        </w:drawing>
      </w:r>
      <w:r>
        <w:rPr>
          <w:color w:val="auto"/>
          <w:highlight w:val="none"/>
        </w:rPr>
        <w:t xml:space="preserve">       </w:t>
      </w:r>
      <w:r>
        <w:rPr>
          <w:color w:val="auto"/>
          <w:highlight w:val="none"/>
        </w:rPr>
        <w:drawing>
          <wp:inline distT="0" distB="0" distL="114300" distR="114300">
            <wp:extent cx="2161540" cy="1466850"/>
            <wp:effectExtent l="0" t="0" r="10160" b="0"/>
            <wp:docPr id="12" name="图片 513" descr="11111"/>
            <wp:cNvGraphicFramePr/>
            <a:graphic xmlns:a="http://schemas.openxmlformats.org/drawingml/2006/main">
              <a:graphicData uri="http://schemas.openxmlformats.org/drawingml/2006/picture">
                <pic:pic xmlns:pic="http://schemas.openxmlformats.org/drawingml/2006/picture">
                  <pic:nvPicPr>
                    <pic:cNvPr id="12" name="图片 513" descr="11111"/>
                    <pic:cNvPicPr/>
                  </pic:nvPicPr>
                  <pic:blipFill>
                    <a:blip r:embed="rId24"/>
                    <a:stretch>
                      <a:fillRect/>
                    </a:stretch>
                  </pic:blipFill>
                  <pic:spPr>
                    <a:xfrm>
                      <a:off x="0" y="0"/>
                      <a:ext cx="2161540" cy="1466850"/>
                    </a:xfrm>
                    <a:prstGeom prst="rect">
                      <a:avLst/>
                    </a:prstGeom>
                    <a:noFill/>
                    <a:ln>
                      <a:noFill/>
                    </a:ln>
                  </pic:spPr>
                </pic:pic>
              </a:graphicData>
            </a:graphic>
          </wp:inline>
        </w:drawing>
      </w:r>
    </w:p>
    <w:p>
      <w:pPr>
        <w:pStyle w:val="217"/>
        <w:rPr>
          <w:color w:val="auto"/>
          <w:highlight w:val="none"/>
        </w:rPr>
      </w:pPr>
      <w:r>
        <w:rPr>
          <w:color w:val="auto"/>
          <w:highlight w:val="none"/>
        </w:rPr>
        <w:t>TSP</w:t>
      </w:r>
      <w:r>
        <w:rPr>
          <w:rFonts w:hint="eastAsia"/>
          <w:color w:val="auto"/>
          <w:highlight w:val="none"/>
        </w:rPr>
        <w:t>在线监测和视频监控集成系统</w:t>
      </w:r>
      <w:r>
        <w:rPr>
          <w:color w:val="auto"/>
          <w:highlight w:val="none"/>
        </w:rPr>
        <w:t xml:space="preserve">         </w:t>
      </w:r>
      <w:r>
        <w:rPr>
          <w:rFonts w:hint="eastAsia"/>
          <w:color w:val="auto"/>
          <w:highlight w:val="none"/>
        </w:rPr>
        <w:t>多点位实时视频监控画面</w:t>
      </w:r>
    </w:p>
    <w:p>
      <w:pPr>
        <w:pStyle w:val="217"/>
        <w:rPr>
          <w:color w:val="auto"/>
          <w:highlight w:val="none"/>
        </w:rPr>
      </w:pP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）扬尘监测点布置在距离施工工地围挡内侧</w:t>
      </w:r>
      <w:r>
        <w:rPr>
          <w:color w:val="auto"/>
          <w:highlight w:val="none"/>
        </w:rPr>
        <w:t>0.5m</w:t>
      </w:r>
      <w:r>
        <w:rPr>
          <w:rFonts w:hint="eastAsia"/>
          <w:color w:val="auto"/>
          <w:highlight w:val="none"/>
        </w:rPr>
        <w:t>处，并宜布置在工地角点，且各扬尘监测点的间距不应大于</w:t>
      </w:r>
      <w:r>
        <w:rPr>
          <w:color w:val="auto"/>
          <w:highlight w:val="none"/>
        </w:rPr>
        <w:t>500m</w:t>
      </w:r>
      <w:r>
        <w:rPr>
          <w:rFonts w:hint="eastAsia"/>
          <w:color w:val="auto"/>
          <w:highlight w:val="none"/>
        </w:rPr>
        <w:t>；占地面积1万平方米及以上工地在中间位置或视野开阔位置安装1套扬尘在线监测设施和1个360°全景视频监控器，采样口和视频高度为3.5m±0.5m，15分钟平均浓度超过300微克/立方米启动扬尘污染警报。</w:t>
      </w:r>
    </w:p>
    <w:p>
      <w:pPr>
        <w:pStyle w:val="217"/>
        <w:rPr>
          <w:color w:val="auto"/>
          <w:highlight w:val="none"/>
        </w:rPr>
      </w:pPr>
      <w:r>
        <w:rPr>
          <w:rFonts w:hint="eastAsia"/>
          <w:color w:val="auto"/>
          <w:highlight w:val="none"/>
        </w:rPr>
        <w:t>（4）扬尘在线监测标准：扬尘在线监测设备监测指标为TSP、PM10、PM2.5，数据采集仪器采样频率每小时60次以上，有效采集率应达到90%以上，仪器分析误差率应控制在20%以内，视频监控仪器在线率应达到95%以上，分辨率应达到650线以上，具备高清照片抓拍功能，满足夜间施工抓拍和录像需要。</w:t>
      </w:r>
    </w:p>
    <w:p>
      <w:pPr>
        <w:pStyle w:val="217"/>
        <w:rPr>
          <w:color w:val="auto"/>
          <w:highlight w:val="none"/>
        </w:rPr>
      </w:pPr>
      <w:r>
        <w:rPr>
          <w:rFonts w:hint="eastAsia"/>
          <w:color w:val="auto"/>
          <w:highlight w:val="none"/>
        </w:rPr>
        <w:t>（5）数据传输采集和传输技术标准</w:t>
      </w:r>
    </w:p>
    <w:p>
      <w:pPr>
        <w:pStyle w:val="39"/>
        <w:shd w:val="clear" w:color="auto" w:fill="FFFFFF"/>
        <w:spacing w:before="0" w:beforeAutospacing="0" w:after="0" w:afterAutospacing="0" w:line="360" w:lineRule="auto"/>
        <w:ind w:firstLine="480" w:firstLineChars="200"/>
        <w:rPr>
          <w:color w:val="auto"/>
          <w:kern w:val="2"/>
          <w:sz w:val="24"/>
          <w:szCs w:val="24"/>
          <w:highlight w:val="none"/>
        </w:rPr>
      </w:pPr>
      <w:r>
        <w:rPr>
          <w:rFonts w:hint="eastAsia"/>
          <w:color w:val="auto"/>
          <w:kern w:val="2"/>
          <w:sz w:val="24"/>
          <w:szCs w:val="24"/>
          <w:highlight w:val="none"/>
        </w:rPr>
        <w:t>1）扬尘在线监测仪数据传输方式应包含3G/4G或光纤；</w:t>
      </w:r>
    </w:p>
    <w:p>
      <w:pPr>
        <w:pStyle w:val="39"/>
        <w:shd w:val="clear" w:color="auto" w:fill="FFFFFF"/>
        <w:spacing w:before="0" w:beforeAutospacing="0" w:after="0" w:afterAutospacing="0" w:line="360" w:lineRule="auto"/>
        <w:ind w:firstLine="480" w:firstLineChars="200"/>
        <w:rPr>
          <w:color w:val="auto"/>
          <w:kern w:val="2"/>
          <w:sz w:val="24"/>
          <w:szCs w:val="24"/>
          <w:highlight w:val="none"/>
        </w:rPr>
      </w:pPr>
      <w:r>
        <w:rPr>
          <w:rFonts w:hint="eastAsia"/>
          <w:color w:val="auto"/>
          <w:kern w:val="2"/>
          <w:sz w:val="24"/>
          <w:szCs w:val="24"/>
          <w:highlight w:val="none"/>
        </w:rPr>
        <w:t>2）扬尘在线监测仪数据采集频率应不高于60s；</w:t>
      </w:r>
    </w:p>
    <w:p>
      <w:pPr>
        <w:pStyle w:val="39"/>
        <w:shd w:val="clear" w:color="auto" w:fill="FFFFFF"/>
        <w:spacing w:before="0" w:beforeAutospacing="0" w:after="0" w:afterAutospacing="0" w:line="360" w:lineRule="auto"/>
        <w:ind w:firstLine="480" w:firstLineChars="200"/>
        <w:rPr>
          <w:color w:val="auto"/>
          <w:kern w:val="2"/>
          <w:sz w:val="24"/>
          <w:szCs w:val="24"/>
          <w:highlight w:val="none"/>
        </w:rPr>
      </w:pPr>
      <w:r>
        <w:rPr>
          <w:rFonts w:hint="eastAsia"/>
          <w:color w:val="auto"/>
          <w:kern w:val="2"/>
          <w:sz w:val="24"/>
          <w:szCs w:val="24"/>
          <w:highlight w:val="none"/>
        </w:rPr>
        <w:t>3）数据采集仪应按照传输指令要求实现数据传输与反控并具备一点多发工程满足同时向多用户发送在线监测数据的传输需求以及数据不发功能；</w:t>
      </w:r>
    </w:p>
    <w:p>
      <w:pPr>
        <w:pStyle w:val="39"/>
        <w:shd w:val="clear" w:color="auto" w:fill="FFFFFF"/>
        <w:spacing w:before="0" w:beforeAutospacing="0" w:after="0" w:afterAutospacing="0" w:line="360" w:lineRule="auto"/>
        <w:ind w:firstLine="480" w:firstLineChars="200"/>
        <w:rPr>
          <w:color w:val="auto"/>
          <w:kern w:val="2"/>
          <w:sz w:val="24"/>
          <w:szCs w:val="24"/>
          <w:highlight w:val="none"/>
        </w:rPr>
      </w:pPr>
      <w:r>
        <w:rPr>
          <w:rFonts w:hint="eastAsia"/>
          <w:color w:val="auto"/>
          <w:kern w:val="2"/>
          <w:sz w:val="24"/>
          <w:szCs w:val="24"/>
          <w:highlight w:val="none"/>
        </w:rPr>
        <w:t>4）施工工地应确保扬尘在线监测仪和视频监控仪按指定地址传输，确保数据、图像传输的稳定性。</w:t>
      </w:r>
    </w:p>
    <w:p>
      <w:pPr>
        <w:pStyle w:val="217"/>
        <w:rPr>
          <w:color w:val="auto"/>
          <w:highlight w:val="none"/>
        </w:rPr>
      </w:pPr>
      <w:r>
        <w:rPr>
          <w:color w:val="auto"/>
          <w:highlight w:val="none"/>
        </w:rPr>
        <w:t>5</w:t>
      </w:r>
      <w:r>
        <w:rPr>
          <w:rFonts w:hint="eastAsia"/>
          <w:color w:val="auto"/>
          <w:highlight w:val="none"/>
        </w:rPr>
        <w:t>）仪器数据传输应符合国家环保总局颁发的对外通信标准；《HJ212-2017污染源在线自动监控（监测）系统数据传输标准》同时采用具备国家环保部颁发的中国环境保护产品认证证书的环保数据采集及传输仪。</w:t>
      </w:r>
    </w:p>
    <w:p>
      <w:pPr>
        <w:pStyle w:val="217"/>
        <w:rPr>
          <w:color w:val="auto"/>
          <w:highlight w:val="none"/>
        </w:rPr>
      </w:pPr>
      <w:r>
        <w:rPr>
          <w:rFonts w:hint="eastAsia"/>
          <w:color w:val="auto"/>
          <w:highlight w:val="none"/>
        </w:rPr>
        <w:t>（6）数据存储及传输规定：扬尘在线监测数据现场存储时间不少于180天，视频监控数据现场存储 时间不少于30天同时扬尘在线监测仪器传输符合国家《HJ212-2017污染源在线自动监控（监测）系统数据传输标准》的要求。</w:t>
      </w:r>
    </w:p>
    <w:p>
      <w:pPr>
        <w:pStyle w:val="217"/>
        <w:rPr>
          <w:color w:val="auto"/>
          <w:highlight w:val="none"/>
        </w:rPr>
      </w:pPr>
      <w:r>
        <w:rPr>
          <w:rFonts w:hint="eastAsia"/>
          <w:color w:val="auto"/>
          <w:highlight w:val="none"/>
        </w:rPr>
        <w:t>扬尘在线监测设备指标参数</w:t>
      </w:r>
    </w:p>
    <w:tbl>
      <w:tblPr>
        <w:tblStyle w:val="43"/>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1559"/>
        <w:gridCol w:w="1985"/>
        <w:gridCol w:w="35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384" w:type="dxa"/>
            <w:noWrap w:val="0"/>
            <w:vAlign w:val="center"/>
          </w:tcPr>
          <w:p>
            <w:pPr>
              <w:pStyle w:val="39"/>
              <w:spacing w:before="0" w:beforeAutospacing="0" w:after="0" w:afterAutospacing="0" w:line="360" w:lineRule="auto"/>
              <w:rPr>
                <w:color w:val="auto"/>
                <w:kern w:val="2"/>
                <w:sz w:val="24"/>
                <w:szCs w:val="24"/>
                <w:highlight w:val="none"/>
              </w:rPr>
            </w:pPr>
            <w:r>
              <w:rPr>
                <w:rFonts w:hint="eastAsia"/>
                <w:color w:val="auto"/>
                <w:kern w:val="2"/>
                <w:sz w:val="24"/>
                <w:szCs w:val="24"/>
                <w:highlight w:val="none"/>
              </w:rPr>
              <w:t>名称</w:t>
            </w:r>
          </w:p>
        </w:tc>
        <w:tc>
          <w:tcPr>
            <w:tcW w:w="3544" w:type="dxa"/>
            <w:gridSpan w:val="2"/>
            <w:noWrap w:val="0"/>
            <w:vAlign w:val="center"/>
          </w:tcPr>
          <w:p>
            <w:pPr>
              <w:pStyle w:val="39"/>
              <w:spacing w:before="0" w:beforeAutospacing="0" w:after="0" w:afterAutospacing="0" w:line="360" w:lineRule="auto"/>
              <w:rPr>
                <w:color w:val="auto"/>
                <w:kern w:val="2"/>
                <w:sz w:val="24"/>
                <w:szCs w:val="24"/>
                <w:highlight w:val="none"/>
              </w:rPr>
            </w:pPr>
            <w:r>
              <w:rPr>
                <w:rFonts w:hint="eastAsia"/>
                <w:color w:val="auto"/>
                <w:kern w:val="2"/>
                <w:sz w:val="24"/>
                <w:szCs w:val="24"/>
                <w:highlight w:val="none"/>
              </w:rPr>
              <w:t>指标</w:t>
            </w:r>
          </w:p>
        </w:tc>
        <w:tc>
          <w:tcPr>
            <w:tcW w:w="3594" w:type="dxa"/>
            <w:noWrap w:val="0"/>
            <w:vAlign w:val="center"/>
          </w:tcPr>
          <w:p>
            <w:pPr>
              <w:pStyle w:val="39"/>
              <w:spacing w:before="0" w:beforeAutospacing="0" w:after="0" w:afterAutospacing="0" w:line="360" w:lineRule="auto"/>
              <w:rPr>
                <w:color w:val="auto"/>
                <w:kern w:val="2"/>
                <w:sz w:val="24"/>
                <w:szCs w:val="24"/>
                <w:highlight w:val="none"/>
              </w:rPr>
            </w:pPr>
            <w:r>
              <w:rPr>
                <w:rFonts w:hint="eastAsia"/>
                <w:color w:val="auto"/>
                <w:kern w:val="2"/>
                <w:sz w:val="24"/>
                <w:szCs w:val="24"/>
                <w:highlight w:val="none"/>
              </w:rPr>
              <w:t>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4" w:type="dxa"/>
            <w:vMerge w:val="restart"/>
            <w:noWrap w:val="0"/>
            <w:vAlign w:val="center"/>
          </w:tcPr>
          <w:p>
            <w:pPr>
              <w:pStyle w:val="39"/>
              <w:spacing w:before="0" w:beforeAutospacing="0" w:after="0" w:afterAutospacing="0" w:line="360" w:lineRule="auto"/>
              <w:rPr>
                <w:color w:val="auto"/>
                <w:kern w:val="2"/>
                <w:sz w:val="24"/>
                <w:szCs w:val="24"/>
                <w:highlight w:val="none"/>
              </w:rPr>
            </w:pPr>
            <w:r>
              <w:rPr>
                <w:rFonts w:hint="eastAsia"/>
                <w:color w:val="auto"/>
                <w:kern w:val="2"/>
                <w:sz w:val="24"/>
                <w:szCs w:val="24"/>
                <w:highlight w:val="none"/>
              </w:rPr>
              <w:t>TSP在线监测仪</w:t>
            </w:r>
          </w:p>
        </w:tc>
        <w:tc>
          <w:tcPr>
            <w:tcW w:w="3544" w:type="dxa"/>
            <w:gridSpan w:val="2"/>
            <w:noWrap w:val="0"/>
            <w:vAlign w:val="center"/>
          </w:tcPr>
          <w:p>
            <w:pPr>
              <w:pStyle w:val="39"/>
              <w:spacing w:before="0" w:beforeAutospacing="0" w:after="0" w:afterAutospacing="0" w:line="360" w:lineRule="auto"/>
              <w:rPr>
                <w:color w:val="auto"/>
                <w:kern w:val="2"/>
                <w:sz w:val="24"/>
                <w:szCs w:val="24"/>
                <w:highlight w:val="none"/>
              </w:rPr>
            </w:pPr>
            <w:r>
              <w:rPr>
                <w:rFonts w:hint="eastAsia"/>
                <w:color w:val="auto"/>
                <w:kern w:val="2"/>
                <w:sz w:val="24"/>
                <w:szCs w:val="24"/>
                <w:highlight w:val="none"/>
              </w:rPr>
              <w:t>监测方式</w:t>
            </w:r>
          </w:p>
        </w:tc>
        <w:tc>
          <w:tcPr>
            <w:tcW w:w="3594" w:type="dxa"/>
            <w:noWrap w:val="0"/>
            <w:vAlign w:val="center"/>
          </w:tcPr>
          <w:p>
            <w:pPr>
              <w:pStyle w:val="39"/>
              <w:spacing w:before="0" w:beforeAutospacing="0" w:after="0" w:afterAutospacing="0" w:line="360" w:lineRule="auto"/>
              <w:rPr>
                <w:color w:val="auto"/>
                <w:kern w:val="2"/>
                <w:sz w:val="24"/>
                <w:szCs w:val="24"/>
                <w:highlight w:val="none"/>
              </w:rPr>
            </w:pPr>
            <w:r>
              <w:rPr>
                <w:rFonts w:hint="eastAsia"/>
                <w:color w:val="auto"/>
                <w:kern w:val="2"/>
                <w:sz w:val="24"/>
                <w:szCs w:val="24"/>
                <w:highlight w:val="none"/>
              </w:rPr>
              <w:t>连续自动监测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4" w:type="dxa"/>
            <w:vMerge w:val="continue"/>
            <w:noWrap w:val="0"/>
            <w:vAlign w:val="center"/>
          </w:tcPr>
          <w:p>
            <w:pPr>
              <w:pStyle w:val="39"/>
              <w:spacing w:before="0" w:beforeAutospacing="0" w:after="0" w:afterAutospacing="0" w:line="360" w:lineRule="auto"/>
              <w:rPr>
                <w:color w:val="auto"/>
                <w:kern w:val="2"/>
                <w:sz w:val="24"/>
                <w:szCs w:val="24"/>
                <w:highlight w:val="none"/>
              </w:rPr>
            </w:pPr>
          </w:p>
        </w:tc>
        <w:tc>
          <w:tcPr>
            <w:tcW w:w="3544" w:type="dxa"/>
            <w:gridSpan w:val="2"/>
            <w:noWrap w:val="0"/>
            <w:vAlign w:val="center"/>
          </w:tcPr>
          <w:p>
            <w:pPr>
              <w:pStyle w:val="39"/>
              <w:spacing w:before="0" w:beforeAutospacing="0" w:after="0" w:afterAutospacing="0" w:line="360" w:lineRule="auto"/>
              <w:rPr>
                <w:color w:val="auto"/>
                <w:kern w:val="2"/>
                <w:sz w:val="24"/>
                <w:szCs w:val="24"/>
                <w:highlight w:val="none"/>
              </w:rPr>
            </w:pPr>
            <w:r>
              <w:rPr>
                <w:rFonts w:hint="eastAsia"/>
                <w:color w:val="auto"/>
                <w:kern w:val="2"/>
                <w:sz w:val="24"/>
                <w:szCs w:val="24"/>
                <w:highlight w:val="none"/>
              </w:rPr>
              <w:t>监测方法</w:t>
            </w:r>
          </w:p>
        </w:tc>
        <w:tc>
          <w:tcPr>
            <w:tcW w:w="3594" w:type="dxa"/>
            <w:noWrap w:val="0"/>
            <w:vAlign w:val="center"/>
          </w:tcPr>
          <w:p>
            <w:pPr>
              <w:pStyle w:val="39"/>
              <w:spacing w:before="0" w:beforeAutospacing="0" w:after="0" w:afterAutospacing="0" w:line="360" w:lineRule="auto"/>
              <w:rPr>
                <w:color w:val="auto"/>
                <w:kern w:val="2"/>
                <w:sz w:val="24"/>
                <w:szCs w:val="24"/>
                <w:highlight w:val="none"/>
              </w:rPr>
            </w:pPr>
            <w:r>
              <w:rPr>
                <w:rFonts w:hint="eastAsia"/>
                <w:color w:val="auto"/>
                <w:kern w:val="2"/>
                <w:sz w:val="24"/>
                <w:szCs w:val="24"/>
                <w:highlight w:val="none"/>
              </w:rPr>
              <w:t>光散射发（泵吸式）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384" w:type="dxa"/>
            <w:vMerge w:val="continue"/>
            <w:noWrap w:val="0"/>
            <w:vAlign w:val="center"/>
          </w:tcPr>
          <w:p>
            <w:pPr>
              <w:pStyle w:val="39"/>
              <w:spacing w:before="0" w:beforeAutospacing="0" w:after="0" w:afterAutospacing="0" w:line="360" w:lineRule="auto"/>
              <w:rPr>
                <w:color w:val="auto"/>
                <w:kern w:val="2"/>
                <w:sz w:val="24"/>
                <w:szCs w:val="24"/>
                <w:highlight w:val="none"/>
              </w:rPr>
            </w:pPr>
          </w:p>
        </w:tc>
        <w:tc>
          <w:tcPr>
            <w:tcW w:w="3544" w:type="dxa"/>
            <w:gridSpan w:val="2"/>
            <w:noWrap w:val="0"/>
            <w:vAlign w:val="center"/>
          </w:tcPr>
          <w:p>
            <w:pPr>
              <w:pStyle w:val="39"/>
              <w:spacing w:before="0" w:beforeAutospacing="0" w:after="0" w:afterAutospacing="0" w:line="360" w:lineRule="auto"/>
              <w:rPr>
                <w:color w:val="auto"/>
                <w:kern w:val="2"/>
                <w:sz w:val="24"/>
                <w:szCs w:val="24"/>
                <w:highlight w:val="none"/>
              </w:rPr>
            </w:pPr>
            <w:r>
              <w:rPr>
                <w:rFonts w:hint="eastAsia"/>
                <w:color w:val="auto"/>
                <w:kern w:val="2"/>
                <w:sz w:val="24"/>
                <w:szCs w:val="24"/>
                <w:highlight w:val="none"/>
              </w:rPr>
              <w:t>监测因子</w:t>
            </w:r>
          </w:p>
        </w:tc>
        <w:tc>
          <w:tcPr>
            <w:tcW w:w="3594" w:type="dxa"/>
            <w:noWrap w:val="0"/>
            <w:vAlign w:val="center"/>
          </w:tcPr>
          <w:p>
            <w:pPr>
              <w:pStyle w:val="39"/>
              <w:spacing w:before="0" w:beforeAutospacing="0" w:after="0" w:afterAutospacing="0" w:line="360" w:lineRule="auto"/>
              <w:rPr>
                <w:color w:val="auto"/>
                <w:kern w:val="2"/>
                <w:sz w:val="24"/>
                <w:szCs w:val="24"/>
                <w:highlight w:val="none"/>
              </w:rPr>
            </w:pPr>
            <w:r>
              <w:rPr>
                <w:rFonts w:hint="eastAsia"/>
                <w:color w:val="auto"/>
                <w:kern w:val="2"/>
                <w:sz w:val="24"/>
                <w:szCs w:val="24"/>
                <w:highlight w:val="none"/>
              </w:rPr>
              <w:t>TSP、PM10、PM2.5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4" w:type="dxa"/>
            <w:vMerge w:val="continue"/>
            <w:noWrap w:val="0"/>
            <w:vAlign w:val="center"/>
          </w:tcPr>
          <w:p>
            <w:pPr>
              <w:pStyle w:val="39"/>
              <w:spacing w:before="0" w:beforeAutospacing="0" w:after="0" w:afterAutospacing="0" w:line="360" w:lineRule="auto"/>
              <w:rPr>
                <w:color w:val="auto"/>
                <w:kern w:val="2"/>
                <w:sz w:val="24"/>
                <w:szCs w:val="24"/>
                <w:highlight w:val="none"/>
              </w:rPr>
            </w:pPr>
          </w:p>
        </w:tc>
        <w:tc>
          <w:tcPr>
            <w:tcW w:w="3544" w:type="dxa"/>
            <w:gridSpan w:val="2"/>
            <w:noWrap w:val="0"/>
            <w:vAlign w:val="center"/>
          </w:tcPr>
          <w:p>
            <w:pPr>
              <w:pStyle w:val="39"/>
              <w:spacing w:before="0" w:beforeAutospacing="0" w:after="0" w:afterAutospacing="0" w:line="360" w:lineRule="auto"/>
              <w:rPr>
                <w:color w:val="auto"/>
                <w:kern w:val="2"/>
                <w:sz w:val="24"/>
                <w:szCs w:val="24"/>
                <w:highlight w:val="none"/>
              </w:rPr>
            </w:pPr>
            <w:r>
              <w:rPr>
                <w:rFonts w:hint="eastAsia"/>
                <w:color w:val="auto"/>
                <w:kern w:val="2"/>
                <w:sz w:val="24"/>
                <w:szCs w:val="24"/>
                <w:highlight w:val="none"/>
              </w:rPr>
              <w:t>测量量程</w:t>
            </w:r>
          </w:p>
        </w:tc>
        <w:tc>
          <w:tcPr>
            <w:tcW w:w="3594" w:type="dxa"/>
            <w:noWrap w:val="0"/>
            <w:vAlign w:val="center"/>
          </w:tcPr>
          <w:p>
            <w:pPr>
              <w:pStyle w:val="39"/>
              <w:spacing w:before="0" w:beforeAutospacing="0" w:after="0" w:afterAutospacing="0" w:line="360" w:lineRule="auto"/>
              <w:rPr>
                <w:color w:val="auto"/>
                <w:kern w:val="2"/>
                <w:sz w:val="24"/>
                <w:szCs w:val="24"/>
                <w:highlight w:val="none"/>
              </w:rPr>
            </w:pPr>
            <w:r>
              <w:rPr>
                <w:rFonts w:hint="eastAsia"/>
                <w:color w:val="auto"/>
                <w:kern w:val="2"/>
                <w:sz w:val="24"/>
                <w:szCs w:val="24"/>
                <w:highlight w:val="none"/>
              </w:rPr>
              <w:t>0.01mg/m3~30.00mg/m3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384" w:type="dxa"/>
            <w:vMerge w:val="continue"/>
            <w:noWrap w:val="0"/>
            <w:vAlign w:val="center"/>
          </w:tcPr>
          <w:p>
            <w:pPr>
              <w:pStyle w:val="39"/>
              <w:spacing w:before="0" w:beforeAutospacing="0" w:after="0" w:afterAutospacing="0" w:line="360" w:lineRule="auto"/>
              <w:rPr>
                <w:color w:val="auto"/>
                <w:kern w:val="2"/>
                <w:sz w:val="24"/>
                <w:szCs w:val="24"/>
                <w:highlight w:val="none"/>
              </w:rPr>
            </w:pPr>
          </w:p>
        </w:tc>
        <w:tc>
          <w:tcPr>
            <w:tcW w:w="3544" w:type="dxa"/>
            <w:gridSpan w:val="2"/>
            <w:noWrap w:val="0"/>
            <w:vAlign w:val="center"/>
          </w:tcPr>
          <w:p>
            <w:pPr>
              <w:pStyle w:val="39"/>
              <w:spacing w:before="0" w:beforeAutospacing="0" w:after="0" w:afterAutospacing="0" w:line="360" w:lineRule="auto"/>
              <w:rPr>
                <w:color w:val="auto"/>
                <w:kern w:val="2"/>
                <w:sz w:val="24"/>
                <w:szCs w:val="24"/>
                <w:highlight w:val="none"/>
              </w:rPr>
            </w:pPr>
            <w:r>
              <w:rPr>
                <w:rFonts w:hint="eastAsia"/>
                <w:color w:val="auto"/>
                <w:kern w:val="2"/>
                <w:sz w:val="24"/>
                <w:szCs w:val="24"/>
                <w:highlight w:val="none"/>
              </w:rPr>
              <w:t>时间分辨率</w:t>
            </w:r>
          </w:p>
        </w:tc>
        <w:tc>
          <w:tcPr>
            <w:tcW w:w="3594" w:type="dxa"/>
            <w:noWrap w:val="0"/>
            <w:vAlign w:val="center"/>
          </w:tcPr>
          <w:p>
            <w:pPr>
              <w:pStyle w:val="39"/>
              <w:spacing w:before="0" w:beforeAutospacing="0" w:after="0" w:afterAutospacing="0" w:line="360" w:lineRule="auto"/>
              <w:rPr>
                <w:color w:val="auto"/>
                <w:kern w:val="2"/>
                <w:sz w:val="24"/>
                <w:szCs w:val="24"/>
                <w:highlight w:val="none"/>
              </w:rPr>
            </w:pPr>
            <w:r>
              <w:rPr>
                <w:rFonts w:hint="eastAsia"/>
                <w:color w:val="auto"/>
                <w:kern w:val="2"/>
                <w:sz w:val="24"/>
                <w:szCs w:val="24"/>
                <w:highlight w:val="none"/>
              </w:rPr>
              <w:t>60s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384" w:type="dxa"/>
            <w:vMerge w:val="continue"/>
            <w:noWrap w:val="0"/>
            <w:vAlign w:val="center"/>
          </w:tcPr>
          <w:p>
            <w:pPr>
              <w:pStyle w:val="39"/>
              <w:spacing w:before="0" w:beforeAutospacing="0" w:after="0" w:afterAutospacing="0" w:line="360" w:lineRule="auto"/>
              <w:rPr>
                <w:color w:val="auto"/>
                <w:kern w:val="2"/>
                <w:sz w:val="24"/>
                <w:szCs w:val="24"/>
                <w:highlight w:val="none"/>
              </w:rPr>
            </w:pPr>
          </w:p>
        </w:tc>
        <w:tc>
          <w:tcPr>
            <w:tcW w:w="3544" w:type="dxa"/>
            <w:gridSpan w:val="2"/>
            <w:noWrap w:val="0"/>
            <w:vAlign w:val="center"/>
          </w:tcPr>
          <w:p>
            <w:pPr>
              <w:pStyle w:val="39"/>
              <w:spacing w:before="0" w:beforeAutospacing="0" w:after="0" w:afterAutospacing="0" w:line="360" w:lineRule="auto"/>
              <w:rPr>
                <w:color w:val="auto"/>
                <w:kern w:val="2"/>
                <w:sz w:val="24"/>
                <w:szCs w:val="24"/>
                <w:highlight w:val="none"/>
              </w:rPr>
            </w:pPr>
            <w:r>
              <w:rPr>
                <w:rFonts w:hint="eastAsia"/>
                <w:color w:val="auto"/>
                <w:kern w:val="2"/>
                <w:sz w:val="24"/>
                <w:szCs w:val="24"/>
                <w:highlight w:val="none"/>
              </w:rPr>
              <w:t>流量漂移</w:t>
            </w:r>
          </w:p>
        </w:tc>
        <w:tc>
          <w:tcPr>
            <w:tcW w:w="3594" w:type="dxa"/>
            <w:noWrap w:val="0"/>
            <w:vAlign w:val="center"/>
          </w:tcPr>
          <w:p>
            <w:pPr>
              <w:pStyle w:val="39"/>
              <w:spacing w:before="0" w:beforeAutospacing="0" w:after="0" w:afterAutospacing="0" w:line="360" w:lineRule="auto"/>
              <w:rPr>
                <w:color w:val="auto"/>
                <w:kern w:val="2"/>
                <w:sz w:val="24"/>
                <w:szCs w:val="24"/>
                <w:highlight w:val="none"/>
              </w:rPr>
            </w:pPr>
            <w:r>
              <w:rPr>
                <w:rFonts w:hint="eastAsia"/>
                <w:color w:val="auto"/>
                <w:kern w:val="2"/>
                <w:sz w:val="24"/>
                <w:szCs w:val="24"/>
                <w:highlight w:val="none"/>
              </w:rPr>
              <w:t>24h内，任意一次测试时间点流量变化≤±10%设定流量，24h平均流量变化≤±5%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4" w:type="dxa"/>
            <w:vMerge w:val="continue"/>
            <w:noWrap w:val="0"/>
            <w:vAlign w:val="center"/>
          </w:tcPr>
          <w:p>
            <w:pPr>
              <w:pStyle w:val="39"/>
              <w:spacing w:before="0" w:beforeAutospacing="0" w:after="0" w:afterAutospacing="0" w:line="360" w:lineRule="auto"/>
              <w:rPr>
                <w:color w:val="auto"/>
                <w:kern w:val="2"/>
                <w:sz w:val="24"/>
                <w:szCs w:val="24"/>
                <w:highlight w:val="none"/>
              </w:rPr>
            </w:pPr>
          </w:p>
        </w:tc>
        <w:tc>
          <w:tcPr>
            <w:tcW w:w="1559" w:type="dxa"/>
            <w:vMerge w:val="restart"/>
            <w:noWrap w:val="0"/>
            <w:vAlign w:val="center"/>
          </w:tcPr>
          <w:p>
            <w:pPr>
              <w:pStyle w:val="39"/>
              <w:spacing w:before="0" w:beforeAutospacing="0" w:after="0" w:afterAutospacing="0" w:line="360" w:lineRule="auto"/>
              <w:rPr>
                <w:color w:val="auto"/>
                <w:kern w:val="2"/>
                <w:sz w:val="24"/>
                <w:szCs w:val="24"/>
                <w:highlight w:val="none"/>
              </w:rPr>
            </w:pPr>
            <w:r>
              <w:rPr>
                <w:rFonts w:hint="eastAsia"/>
                <w:color w:val="auto"/>
                <w:kern w:val="2"/>
                <w:sz w:val="24"/>
                <w:szCs w:val="24"/>
                <w:highlight w:val="none"/>
              </w:rPr>
              <w:t>与参比法比较</w:t>
            </w:r>
          </w:p>
        </w:tc>
        <w:tc>
          <w:tcPr>
            <w:tcW w:w="1985" w:type="dxa"/>
            <w:noWrap w:val="0"/>
            <w:vAlign w:val="center"/>
          </w:tcPr>
          <w:p>
            <w:pPr>
              <w:pStyle w:val="39"/>
              <w:spacing w:before="0" w:beforeAutospacing="0" w:after="0" w:afterAutospacing="0" w:line="360" w:lineRule="auto"/>
              <w:rPr>
                <w:color w:val="auto"/>
                <w:kern w:val="2"/>
                <w:sz w:val="24"/>
                <w:szCs w:val="24"/>
                <w:highlight w:val="none"/>
              </w:rPr>
            </w:pPr>
            <w:r>
              <w:rPr>
                <w:rFonts w:hint="eastAsia"/>
                <w:color w:val="auto"/>
                <w:kern w:val="2"/>
                <w:sz w:val="24"/>
                <w:szCs w:val="24"/>
                <w:highlight w:val="none"/>
              </w:rPr>
              <w:t>单组样品相对误差</w:t>
            </w:r>
          </w:p>
        </w:tc>
        <w:tc>
          <w:tcPr>
            <w:tcW w:w="3594" w:type="dxa"/>
            <w:noWrap w:val="0"/>
            <w:vAlign w:val="center"/>
          </w:tcPr>
          <w:p>
            <w:pPr>
              <w:pStyle w:val="39"/>
              <w:spacing w:before="0" w:beforeAutospacing="0" w:after="0" w:afterAutospacing="0" w:line="360" w:lineRule="auto"/>
              <w:rPr>
                <w:color w:val="auto"/>
                <w:kern w:val="2"/>
                <w:sz w:val="24"/>
                <w:szCs w:val="24"/>
                <w:highlight w:val="none"/>
              </w:rPr>
            </w:pPr>
            <w:r>
              <w:rPr>
                <w:rFonts w:hint="eastAsia"/>
                <w:color w:val="auto"/>
                <w:kern w:val="2"/>
                <w:sz w:val="24"/>
                <w:szCs w:val="24"/>
                <w:highlight w:val="none"/>
              </w:rPr>
              <w:t>任意一组样品相对误差绝对值≤20%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4" w:type="dxa"/>
            <w:vMerge w:val="continue"/>
            <w:noWrap w:val="0"/>
            <w:vAlign w:val="center"/>
          </w:tcPr>
          <w:p>
            <w:pPr>
              <w:pStyle w:val="39"/>
              <w:spacing w:before="0" w:beforeAutospacing="0" w:after="0" w:afterAutospacing="0" w:line="360" w:lineRule="auto"/>
              <w:rPr>
                <w:color w:val="auto"/>
                <w:kern w:val="2"/>
                <w:sz w:val="24"/>
                <w:szCs w:val="24"/>
                <w:highlight w:val="none"/>
              </w:rPr>
            </w:pPr>
          </w:p>
        </w:tc>
        <w:tc>
          <w:tcPr>
            <w:tcW w:w="1559" w:type="dxa"/>
            <w:vMerge w:val="continue"/>
            <w:noWrap w:val="0"/>
            <w:vAlign w:val="center"/>
          </w:tcPr>
          <w:p>
            <w:pPr>
              <w:pStyle w:val="39"/>
              <w:spacing w:before="0" w:beforeAutospacing="0" w:after="0" w:afterAutospacing="0" w:line="360" w:lineRule="auto"/>
              <w:rPr>
                <w:color w:val="auto"/>
                <w:kern w:val="2"/>
                <w:sz w:val="24"/>
                <w:szCs w:val="24"/>
                <w:highlight w:val="none"/>
              </w:rPr>
            </w:pPr>
          </w:p>
        </w:tc>
        <w:tc>
          <w:tcPr>
            <w:tcW w:w="1985" w:type="dxa"/>
            <w:noWrap w:val="0"/>
            <w:vAlign w:val="center"/>
          </w:tcPr>
          <w:p>
            <w:pPr>
              <w:pStyle w:val="39"/>
              <w:spacing w:before="0" w:beforeAutospacing="0" w:after="0" w:afterAutospacing="0" w:line="360" w:lineRule="auto"/>
              <w:rPr>
                <w:color w:val="auto"/>
                <w:kern w:val="2"/>
                <w:sz w:val="24"/>
                <w:szCs w:val="24"/>
                <w:highlight w:val="none"/>
              </w:rPr>
            </w:pPr>
            <w:r>
              <w:rPr>
                <w:rFonts w:hint="eastAsia"/>
                <w:color w:val="auto"/>
                <w:kern w:val="2"/>
                <w:sz w:val="24"/>
                <w:szCs w:val="24"/>
                <w:highlight w:val="none"/>
              </w:rPr>
              <w:t>平均相对误差</w:t>
            </w:r>
          </w:p>
        </w:tc>
        <w:tc>
          <w:tcPr>
            <w:tcW w:w="3594" w:type="dxa"/>
            <w:noWrap w:val="0"/>
            <w:vAlign w:val="center"/>
          </w:tcPr>
          <w:p>
            <w:pPr>
              <w:pStyle w:val="39"/>
              <w:spacing w:before="0" w:beforeAutospacing="0" w:after="0" w:afterAutospacing="0" w:line="360" w:lineRule="auto"/>
              <w:rPr>
                <w:color w:val="auto"/>
                <w:kern w:val="2"/>
                <w:sz w:val="24"/>
                <w:szCs w:val="24"/>
                <w:highlight w:val="none"/>
              </w:rPr>
            </w:pPr>
            <w:r>
              <w:rPr>
                <w:rFonts w:hint="eastAsia"/>
                <w:color w:val="auto"/>
                <w:kern w:val="2"/>
                <w:sz w:val="24"/>
                <w:szCs w:val="24"/>
                <w:highlight w:val="none"/>
              </w:rPr>
              <w:t>不少于20对样品、平均相对误差≤±20%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4" w:type="dxa"/>
            <w:vMerge w:val="continue"/>
            <w:noWrap w:val="0"/>
            <w:vAlign w:val="center"/>
          </w:tcPr>
          <w:p>
            <w:pPr>
              <w:pStyle w:val="39"/>
              <w:spacing w:before="0" w:beforeAutospacing="0" w:after="0" w:afterAutospacing="0" w:line="360" w:lineRule="auto"/>
              <w:rPr>
                <w:color w:val="auto"/>
                <w:kern w:val="2"/>
                <w:sz w:val="24"/>
                <w:szCs w:val="24"/>
                <w:highlight w:val="none"/>
              </w:rPr>
            </w:pPr>
          </w:p>
        </w:tc>
        <w:tc>
          <w:tcPr>
            <w:tcW w:w="1559" w:type="dxa"/>
            <w:vMerge w:val="continue"/>
            <w:noWrap w:val="0"/>
            <w:vAlign w:val="center"/>
          </w:tcPr>
          <w:p>
            <w:pPr>
              <w:pStyle w:val="39"/>
              <w:spacing w:before="0" w:beforeAutospacing="0" w:after="0" w:afterAutospacing="0" w:line="360" w:lineRule="auto"/>
              <w:rPr>
                <w:color w:val="auto"/>
                <w:kern w:val="2"/>
                <w:sz w:val="24"/>
                <w:szCs w:val="24"/>
                <w:highlight w:val="none"/>
              </w:rPr>
            </w:pPr>
          </w:p>
        </w:tc>
        <w:tc>
          <w:tcPr>
            <w:tcW w:w="1985" w:type="dxa"/>
            <w:noWrap w:val="0"/>
            <w:vAlign w:val="center"/>
          </w:tcPr>
          <w:p>
            <w:pPr>
              <w:pStyle w:val="39"/>
              <w:spacing w:before="0" w:beforeAutospacing="0" w:after="0" w:afterAutospacing="0" w:line="360" w:lineRule="auto"/>
              <w:rPr>
                <w:color w:val="auto"/>
                <w:kern w:val="2"/>
                <w:sz w:val="24"/>
                <w:szCs w:val="24"/>
                <w:highlight w:val="none"/>
              </w:rPr>
            </w:pPr>
            <w:r>
              <w:rPr>
                <w:rFonts w:hint="eastAsia"/>
                <w:color w:val="auto"/>
                <w:kern w:val="2"/>
                <w:sz w:val="24"/>
                <w:szCs w:val="24"/>
                <w:highlight w:val="none"/>
              </w:rPr>
              <w:t>相关系数</w:t>
            </w:r>
          </w:p>
        </w:tc>
        <w:tc>
          <w:tcPr>
            <w:tcW w:w="3594" w:type="dxa"/>
            <w:noWrap w:val="0"/>
            <w:vAlign w:val="center"/>
          </w:tcPr>
          <w:p>
            <w:pPr>
              <w:pStyle w:val="39"/>
              <w:spacing w:before="0" w:beforeAutospacing="0" w:after="0" w:afterAutospacing="0" w:line="360" w:lineRule="auto"/>
              <w:rPr>
                <w:color w:val="auto"/>
                <w:kern w:val="2"/>
                <w:sz w:val="24"/>
                <w:szCs w:val="24"/>
                <w:highlight w:val="none"/>
              </w:rPr>
            </w:pPr>
            <w:r>
              <w:rPr>
                <w:rFonts w:hint="eastAsia"/>
                <w:color w:val="auto"/>
                <w:kern w:val="2"/>
                <w:sz w:val="24"/>
                <w:szCs w:val="24"/>
                <w:highlight w:val="none"/>
              </w:rPr>
              <w:t>≥0.85（90%置信度）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384" w:type="dxa"/>
            <w:vMerge w:val="continue"/>
            <w:noWrap w:val="0"/>
            <w:vAlign w:val="center"/>
          </w:tcPr>
          <w:p>
            <w:pPr>
              <w:pStyle w:val="39"/>
              <w:spacing w:before="0" w:beforeAutospacing="0" w:after="0" w:afterAutospacing="0" w:line="360" w:lineRule="auto"/>
              <w:rPr>
                <w:color w:val="auto"/>
                <w:kern w:val="2"/>
                <w:sz w:val="24"/>
                <w:szCs w:val="24"/>
                <w:highlight w:val="none"/>
              </w:rPr>
            </w:pPr>
          </w:p>
        </w:tc>
        <w:tc>
          <w:tcPr>
            <w:tcW w:w="3544" w:type="dxa"/>
            <w:gridSpan w:val="2"/>
            <w:noWrap w:val="0"/>
            <w:vAlign w:val="center"/>
          </w:tcPr>
          <w:p>
            <w:pPr>
              <w:pStyle w:val="39"/>
              <w:spacing w:before="0" w:beforeAutospacing="0" w:after="0" w:afterAutospacing="0" w:line="360" w:lineRule="auto"/>
              <w:rPr>
                <w:color w:val="auto"/>
                <w:kern w:val="2"/>
                <w:sz w:val="24"/>
                <w:szCs w:val="24"/>
                <w:highlight w:val="none"/>
              </w:rPr>
            </w:pPr>
            <w:r>
              <w:rPr>
                <w:rFonts w:hint="eastAsia"/>
                <w:color w:val="auto"/>
                <w:kern w:val="2"/>
                <w:sz w:val="24"/>
                <w:szCs w:val="24"/>
                <w:highlight w:val="none"/>
              </w:rPr>
              <w:t>重现性</w:t>
            </w:r>
          </w:p>
        </w:tc>
        <w:tc>
          <w:tcPr>
            <w:tcW w:w="3594" w:type="dxa"/>
            <w:noWrap w:val="0"/>
            <w:vAlign w:val="center"/>
          </w:tcPr>
          <w:p>
            <w:pPr>
              <w:pStyle w:val="39"/>
              <w:spacing w:before="0" w:beforeAutospacing="0" w:after="0" w:afterAutospacing="0" w:line="360" w:lineRule="auto"/>
              <w:rPr>
                <w:color w:val="auto"/>
                <w:kern w:val="2"/>
                <w:sz w:val="24"/>
                <w:szCs w:val="24"/>
                <w:highlight w:val="none"/>
              </w:rPr>
            </w:pPr>
            <w:r>
              <w:rPr>
                <w:rFonts w:hint="eastAsia"/>
                <w:color w:val="auto"/>
                <w:kern w:val="2"/>
                <w:sz w:val="24"/>
                <w:szCs w:val="24"/>
                <w:highlight w:val="none"/>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384" w:type="dxa"/>
            <w:vMerge w:val="continue"/>
            <w:noWrap w:val="0"/>
            <w:vAlign w:val="center"/>
          </w:tcPr>
          <w:p>
            <w:pPr>
              <w:pStyle w:val="39"/>
              <w:spacing w:before="0" w:beforeAutospacing="0" w:after="0" w:afterAutospacing="0" w:line="360" w:lineRule="auto"/>
              <w:rPr>
                <w:color w:val="auto"/>
                <w:kern w:val="2"/>
                <w:sz w:val="24"/>
                <w:szCs w:val="24"/>
                <w:highlight w:val="none"/>
              </w:rPr>
            </w:pPr>
          </w:p>
        </w:tc>
        <w:tc>
          <w:tcPr>
            <w:tcW w:w="3544" w:type="dxa"/>
            <w:gridSpan w:val="2"/>
            <w:noWrap w:val="0"/>
            <w:vAlign w:val="center"/>
          </w:tcPr>
          <w:p>
            <w:pPr>
              <w:pStyle w:val="39"/>
              <w:spacing w:before="0" w:beforeAutospacing="0" w:after="0" w:afterAutospacing="0" w:line="360" w:lineRule="auto"/>
              <w:rPr>
                <w:color w:val="auto"/>
                <w:kern w:val="2"/>
                <w:sz w:val="24"/>
                <w:szCs w:val="24"/>
                <w:highlight w:val="none"/>
              </w:rPr>
            </w:pPr>
            <w:r>
              <w:rPr>
                <w:rFonts w:hint="eastAsia"/>
                <w:color w:val="auto"/>
                <w:kern w:val="2"/>
                <w:sz w:val="24"/>
                <w:szCs w:val="24"/>
                <w:highlight w:val="none"/>
              </w:rPr>
              <w:t>除湿</w:t>
            </w:r>
          </w:p>
        </w:tc>
        <w:tc>
          <w:tcPr>
            <w:tcW w:w="3594" w:type="dxa"/>
            <w:noWrap w:val="0"/>
            <w:vAlign w:val="center"/>
          </w:tcPr>
          <w:p>
            <w:pPr>
              <w:pStyle w:val="39"/>
              <w:spacing w:before="0" w:beforeAutospacing="0" w:after="0" w:afterAutospacing="0" w:line="360" w:lineRule="auto"/>
              <w:rPr>
                <w:color w:val="auto"/>
                <w:kern w:val="2"/>
                <w:sz w:val="24"/>
                <w:szCs w:val="24"/>
                <w:highlight w:val="none"/>
              </w:rPr>
            </w:pPr>
            <w:r>
              <w:rPr>
                <w:rFonts w:hint="eastAsia"/>
                <w:color w:val="auto"/>
                <w:kern w:val="2"/>
                <w:sz w:val="24"/>
                <w:szCs w:val="24"/>
                <w:highlight w:val="none"/>
              </w:rPr>
              <w:t>具备自动除湿或湿度补偿功能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84" w:type="dxa"/>
            <w:vMerge w:val="continue"/>
            <w:noWrap w:val="0"/>
            <w:vAlign w:val="center"/>
          </w:tcPr>
          <w:p>
            <w:pPr>
              <w:pStyle w:val="39"/>
              <w:spacing w:before="0" w:beforeAutospacing="0" w:after="0" w:afterAutospacing="0" w:line="360" w:lineRule="auto"/>
              <w:rPr>
                <w:color w:val="auto"/>
                <w:kern w:val="2"/>
                <w:sz w:val="24"/>
                <w:szCs w:val="24"/>
                <w:highlight w:val="none"/>
              </w:rPr>
            </w:pPr>
          </w:p>
        </w:tc>
        <w:tc>
          <w:tcPr>
            <w:tcW w:w="3544" w:type="dxa"/>
            <w:gridSpan w:val="2"/>
            <w:noWrap w:val="0"/>
            <w:vAlign w:val="center"/>
          </w:tcPr>
          <w:p>
            <w:pPr>
              <w:pStyle w:val="39"/>
              <w:spacing w:before="0" w:beforeAutospacing="0" w:after="0" w:afterAutospacing="0" w:line="360" w:lineRule="auto"/>
              <w:rPr>
                <w:color w:val="auto"/>
                <w:kern w:val="2"/>
                <w:sz w:val="24"/>
                <w:szCs w:val="24"/>
                <w:highlight w:val="none"/>
              </w:rPr>
            </w:pPr>
            <w:r>
              <w:rPr>
                <w:rFonts w:hint="eastAsia"/>
                <w:color w:val="auto"/>
                <w:kern w:val="2"/>
                <w:sz w:val="24"/>
                <w:szCs w:val="24"/>
                <w:highlight w:val="none"/>
              </w:rPr>
              <w:t>校准</w:t>
            </w:r>
          </w:p>
        </w:tc>
        <w:tc>
          <w:tcPr>
            <w:tcW w:w="3594" w:type="dxa"/>
            <w:noWrap w:val="0"/>
            <w:vAlign w:val="center"/>
          </w:tcPr>
          <w:p>
            <w:pPr>
              <w:pStyle w:val="39"/>
              <w:spacing w:before="0" w:beforeAutospacing="0" w:after="0" w:afterAutospacing="0" w:line="360" w:lineRule="auto"/>
              <w:rPr>
                <w:color w:val="auto"/>
                <w:kern w:val="2"/>
                <w:sz w:val="24"/>
                <w:szCs w:val="24"/>
                <w:highlight w:val="none"/>
              </w:rPr>
            </w:pPr>
            <w:r>
              <w:rPr>
                <w:rFonts w:hint="eastAsia"/>
                <w:color w:val="auto"/>
                <w:kern w:val="2"/>
                <w:sz w:val="24"/>
                <w:szCs w:val="24"/>
                <w:highlight w:val="none"/>
              </w:rPr>
              <w:t>具备自动校准功能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jc w:val="center"/>
        </w:trPr>
        <w:tc>
          <w:tcPr>
            <w:tcW w:w="1384" w:type="dxa"/>
            <w:vMerge w:val="continue"/>
            <w:noWrap w:val="0"/>
            <w:vAlign w:val="center"/>
          </w:tcPr>
          <w:p>
            <w:pPr>
              <w:pStyle w:val="39"/>
              <w:spacing w:before="0" w:beforeAutospacing="0" w:after="0" w:afterAutospacing="0" w:line="360" w:lineRule="auto"/>
              <w:rPr>
                <w:color w:val="auto"/>
                <w:kern w:val="2"/>
                <w:sz w:val="24"/>
                <w:szCs w:val="24"/>
                <w:highlight w:val="none"/>
              </w:rPr>
            </w:pPr>
          </w:p>
        </w:tc>
        <w:tc>
          <w:tcPr>
            <w:tcW w:w="3544" w:type="dxa"/>
            <w:gridSpan w:val="2"/>
            <w:noWrap w:val="0"/>
            <w:vAlign w:val="center"/>
          </w:tcPr>
          <w:p>
            <w:pPr>
              <w:pStyle w:val="39"/>
              <w:spacing w:before="0" w:beforeAutospacing="0" w:after="0" w:afterAutospacing="0" w:line="360" w:lineRule="auto"/>
              <w:rPr>
                <w:color w:val="auto"/>
                <w:kern w:val="2"/>
                <w:sz w:val="24"/>
                <w:szCs w:val="24"/>
                <w:highlight w:val="none"/>
              </w:rPr>
            </w:pPr>
            <w:r>
              <w:rPr>
                <w:rFonts w:hint="eastAsia"/>
                <w:color w:val="auto"/>
                <w:kern w:val="2"/>
                <w:sz w:val="24"/>
                <w:szCs w:val="24"/>
                <w:highlight w:val="none"/>
              </w:rPr>
              <w:t>浓度预警</w:t>
            </w:r>
          </w:p>
        </w:tc>
        <w:tc>
          <w:tcPr>
            <w:tcW w:w="3594" w:type="dxa"/>
            <w:noWrap w:val="0"/>
            <w:vAlign w:val="center"/>
          </w:tcPr>
          <w:p>
            <w:pPr>
              <w:pStyle w:val="39"/>
              <w:spacing w:before="0" w:beforeAutospacing="0" w:after="0" w:afterAutospacing="0" w:line="360" w:lineRule="auto"/>
              <w:rPr>
                <w:color w:val="auto"/>
                <w:kern w:val="2"/>
                <w:sz w:val="24"/>
                <w:szCs w:val="24"/>
                <w:highlight w:val="none"/>
              </w:rPr>
            </w:pPr>
            <w:r>
              <w:rPr>
                <w:rFonts w:hint="eastAsia"/>
                <w:color w:val="auto"/>
                <w:kern w:val="2"/>
                <w:sz w:val="24"/>
                <w:szCs w:val="24"/>
                <w:highlight w:val="none"/>
              </w:rPr>
              <w:t>具备设定浓度预警功能</w:t>
            </w:r>
          </w:p>
        </w:tc>
      </w:tr>
    </w:tbl>
    <w:p>
      <w:pPr>
        <w:pStyle w:val="217"/>
        <w:ind w:firstLine="0" w:firstLineChars="0"/>
        <w:rPr>
          <w:color w:val="auto"/>
          <w:highlight w:val="none"/>
        </w:rPr>
      </w:pPr>
    </w:p>
    <w:p>
      <w:pPr>
        <w:pStyle w:val="39"/>
        <w:shd w:val="clear" w:color="auto" w:fill="FFFFFF"/>
        <w:spacing w:before="0" w:beforeAutospacing="0" w:after="0" w:afterAutospacing="0" w:line="360" w:lineRule="auto"/>
        <w:ind w:firstLine="480" w:firstLineChars="200"/>
        <w:rPr>
          <w:color w:val="auto"/>
          <w:kern w:val="2"/>
          <w:sz w:val="24"/>
          <w:szCs w:val="24"/>
          <w:highlight w:val="none"/>
        </w:rPr>
      </w:pPr>
      <w:r>
        <w:rPr>
          <w:rFonts w:hint="eastAsia"/>
          <w:color w:val="auto"/>
          <w:kern w:val="2"/>
          <w:sz w:val="24"/>
          <w:szCs w:val="24"/>
          <w:highlight w:val="none"/>
        </w:rPr>
        <w:t>（</w:t>
      </w:r>
      <w:r>
        <w:rPr>
          <w:color w:val="auto"/>
          <w:kern w:val="2"/>
          <w:sz w:val="24"/>
          <w:szCs w:val="24"/>
          <w:highlight w:val="none"/>
        </w:rPr>
        <w:t>7</w:t>
      </w:r>
      <w:r>
        <w:rPr>
          <w:rFonts w:hint="eastAsia"/>
          <w:color w:val="auto"/>
          <w:kern w:val="2"/>
          <w:sz w:val="24"/>
          <w:szCs w:val="24"/>
          <w:highlight w:val="none"/>
        </w:rPr>
        <w:t>）视频监控系统技术指标</w:t>
      </w:r>
    </w:p>
    <w:p>
      <w:pPr>
        <w:pStyle w:val="39"/>
        <w:shd w:val="clear" w:color="auto" w:fill="FFFFFF"/>
        <w:spacing w:before="0" w:beforeAutospacing="0" w:after="0" w:afterAutospacing="0" w:line="360" w:lineRule="auto"/>
        <w:ind w:firstLine="480" w:firstLineChars="200"/>
        <w:rPr>
          <w:color w:val="auto"/>
          <w:kern w:val="2"/>
          <w:sz w:val="24"/>
          <w:szCs w:val="24"/>
          <w:highlight w:val="none"/>
        </w:rPr>
      </w:pPr>
      <w:r>
        <w:rPr>
          <w:color w:val="auto"/>
          <w:kern w:val="2"/>
          <w:sz w:val="24"/>
          <w:szCs w:val="24"/>
          <w:highlight w:val="none"/>
        </w:rPr>
        <w:t>1</w:t>
      </w:r>
      <w:r>
        <w:rPr>
          <w:rFonts w:hint="eastAsia"/>
          <w:color w:val="auto"/>
          <w:kern w:val="2"/>
          <w:sz w:val="24"/>
          <w:szCs w:val="24"/>
          <w:highlight w:val="none"/>
        </w:rPr>
        <w:t>）支持最大1920×1080 30FPS高清画面输出；</w:t>
      </w:r>
    </w:p>
    <w:p>
      <w:pPr>
        <w:pStyle w:val="39"/>
        <w:shd w:val="clear" w:color="auto" w:fill="FFFFFF"/>
        <w:spacing w:before="0" w:beforeAutospacing="0" w:after="0" w:afterAutospacing="0" w:line="360" w:lineRule="auto"/>
        <w:ind w:firstLine="480" w:firstLineChars="200"/>
        <w:rPr>
          <w:color w:val="auto"/>
          <w:kern w:val="2"/>
          <w:sz w:val="24"/>
          <w:szCs w:val="24"/>
          <w:highlight w:val="none"/>
        </w:rPr>
      </w:pPr>
      <w:r>
        <w:rPr>
          <w:rFonts w:hint="eastAsia"/>
          <w:color w:val="auto"/>
          <w:kern w:val="2"/>
          <w:sz w:val="24"/>
          <w:szCs w:val="24"/>
          <w:highlight w:val="none"/>
        </w:rPr>
        <w:t>2）提供4g（移动、联通、电信）网络传输；</w:t>
      </w:r>
    </w:p>
    <w:p>
      <w:pPr>
        <w:pStyle w:val="39"/>
        <w:shd w:val="clear" w:color="auto" w:fill="FFFFFF"/>
        <w:spacing w:before="0" w:beforeAutospacing="0" w:after="0" w:afterAutospacing="0" w:line="360" w:lineRule="auto"/>
        <w:ind w:firstLine="480" w:firstLineChars="200"/>
        <w:rPr>
          <w:color w:val="auto"/>
          <w:kern w:val="2"/>
          <w:sz w:val="24"/>
          <w:szCs w:val="24"/>
          <w:highlight w:val="none"/>
        </w:rPr>
      </w:pPr>
      <w:r>
        <w:rPr>
          <w:rFonts w:hint="eastAsia"/>
          <w:color w:val="auto"/>
          <w:kern w:val="2"/>
          <w:sz w:val="24"/>
          <w:szCs w:val="24"/>
          <w:highlight w:val="none"/>
        </w:rPr>
        <w:t>3）支持至少20倍光学变倍，支持360°水平旋转，-15°~90°旋转；</w:t>
      </w:r>
    </w:p>
    <w:p>
      <w:pPr>
        <w:pStyle w:val="39"/>
        <w:shd w:val="clear" w:color="auto" w:fill="FFFFFF"/>
        <w:spacing w:before="0" w:beforeAutospacing="0" w:after="0" w:afterAutospacing="0" w:line="360" w:lineRule="auto"/>
        <w:ind w:firstLine="480" w:firstLineChars="200"/>
        <w:rPr>
          <w:color w:val="auto"/>
          <w:kern w:val="2"/>
          <w:sz w:val="24"/>
          <w:szCs w:val="24"/>
          <w:highlight w:val="none"/>
        </w:rPr>
      </w:pPr>
      <w:r>
        <w:rPr>
          <w:color w:val="auto"/>
          <w:kern w:val="2"/>
          <w:sz w:val="24"/>
          <w:szCs w:val="24"/>
          <w:highlight w:val="none"/>
        </w:rPr>
        <w:t>4</w:t>
      </w:r>
      <w:r>
        <w:rPr>
          <w:rFonts w:hint="eastAsia"/>
          <w:color w:val="auto"/>
          <w:kern w:val="2"/>
          <w:sz w:val="24"/>
          <w:szCs w:val="24"/>
          <w:highlight w:val="none"/>
        </w:rPr>
        <w:t>）支持ONVIF、CGI、PSIA、GB/T28181协议；</w:t>
      </w:r>
    </w:p>
    <w:p>
      <w:pPr>
        <w:pStyle w:val="39"/>
        <w:shd w:val="clear" w:color="auto" w:fill="FFFFFF"/>
        <w:spacing w:before="0" w:beforeAutospacing="0" w:after="0" w:afterAutospacing="0" w:line="360" w:lineRule="auto"/>
        <w:ind w:firstLine="480" w:firstLineChars="200"/>
        <w:rPr>
          <w:color w:val="auto"/>
          <w:kern w:val="2"/>
          <w:sz w:val="24"/>
          <w:szCs w:val="24"/>
          <w:highlight w:val="none"/>
        </w:rPr>
      </w:pPr>
      <w:r>
        <w:rPr>
          <w:rFonts w:hint="eastAsia"/>
          <w:color w:val="auto"/>
          <w:kern w:val="2"/>
          <w:sz w:val="24"/>
          <w:szCs w:val="24"/>
          <w:highlight w:val="none"/>
        </w:rPr>
        <w:t>5）提供128G的Micro SD/SDHC/SDXC卡存储；</w:t>
      </w:r>
    </w:p>
    <w:p>
      <w:pPr>
        <w:pStyle w:val="39"/>
        <w:shd w:val="clear" w:color="auto" w:fill="FFFFFF"/>
        <w:spacing w:before="0" w:beforeAutospacing="0" w:after="0" w:afterAutospacing="0" w:line="360" w:lineRule="auto"/>
        <w:ind w:firstLine="480" w:firstLineChars="200"/>
        <w:rPr>
          <w:color w:val="auto"/>
          <w:kern w:val="2"/>
          <w:sz w:val="24"/>
          <w:szCs w:val="24"/>
          <w:highlight w:val="none"/>
        </w:rPr>
      </w:pPr>
      <w:r>
        <w:rPr>
          <w:color w:val="auto"/>
          <w:kern w:val="2"/>
          <w:sz w:val="24"/>
          <w:szCs w:val="24"/>
          <w:highlight w:val="none"/>
        </w:rPr>
        <w:t>6</w:t>
      </w:r>
      <w:r>
        <w:rPr>
          <w:rFonts w:hint="eastAsia"/>
          <w:color w:val="auto"/>
          <w:kern w:val="2"/>
          <w:sz w:val="24"/>
          <w:szCs w:val="24"/>
          <w:highlight w:val="none"/>
        </w:rPr>
        <w:t>）支持超低照度，0.05Lux/F1.6（彩色），0.01Lux/F1.6(黑白)，0Lux with IR、红外照射距离100米以上；</w:t>
      </w:r>
    </w:p>
    <w:p>
      <w:pPr>
        <w:pStyle w:val="39"/>
        <w:shd w:val="clear" w:color="auto" w:fill="FFFFFF"/>
        <w:spacing w:before="0" w:beforeAutospacing="0" w:after="0" w:afterAutospacing="0" w:line="360" w:lineRule="auto"/>
        <w:ind w:firstLine="480" w:firstLineChars="200"/>
        <w:rPr>
          <w:color w:val="auto"/>
          <w:kern w:val="2"/>
          <w:sz w:val="24"/>
          <w:szCs w:val="24"/>
          <w:highlight w:val="none"/>
        </w:rPr>
      </w:pPr>
      <w:r>
        <w:rPr>
          <w:color w:val="auto"/>
          <w:kern w:val="2"/>
          <w:sz w:val="24"/>
          <w:szCs w:val="24"/>
          <w:highlight w:val="none"/>
        </w:rPr>
        <w:t>7</w:t>
      </w:r>
      <w:r>
        <w:rPr>
          <w:rFonts w:hint="eastAsia"/>
          <w:color w:val="auto"/>
          <w:kern w:val="2"/>
          <w:sz w:val="24"/>
          <w:szCs w:val="24"/>
          <w:highlight w:val="none"/>
        </w:rPr>
        <w:t>）具备预制位与巡航功能；</w:t>
      </w:r>
    </w:p>
    <w:p>
      <w:pPr>
        <w:pStyle w:val="39"/>
        <w:shd w:val="clear" w:color="auto" w:fill="FFFFFF"/>
        <w:spacing w:before="0" w:beforeAutospacing="0" w:after="0" w:afterAutospacing="0" w:line="360" w:lineRule="auto"/>
        <w:ind w:firstLine="480" w:firstLineChars="200"/>
        <w:rPr>
          <w:color w:val="auto"/>
          <w:kern w:val="2"/>
          <w:sz w:val="24"/>
          <w:szCs w:val="24"/>
          <w:highlight w:val="none"/>
        </w:rPr>
      </w:pPr>
      <w:r>
        <w:rPr>
          <w:color w:val="auto"/>
          <w:kern w:val="2"/>
          <w:sz w:val="24"/>
          <w:szCs w:val="24"/>
          <w:highlight w:val="none"/>
        </w:rPr>
        <w:t>8</w:t>
      </w:r>
      <w:r>
        <w:rPr>
          <w:rFonts w:hint="eastAsia"/>
          <w:color w:val="auto"/>
          <w:kern w:val="2"/>
          <w:sz w:val="24"/>
          <w:szCs w:val="24"/>
          <w:highlight w:val="none"/>
        </w:rPr>
        <w:t>）提供4g访问接口协议或SDK；</w:t>
      </w:r>
    </w:p>
    <w:p>
      <w:pPr>
        <w:pStyle w:val="39"/>
        <w:shd w:val="clear" w:color="auto" w:fill="FFFFFF"/>
        <w:spacing w:before="0" w:beforeAutospacing="0" w:after="0" w:afterAutospacing="0" w:line="360" w:lineRule="auto"/>
        <w:ind w:firstLine="480" w:firstLineChars="200"/>
        <w:rPr>
          <w:color w:val="auto"/>
          <w:kern w:val="2"/>
          <w:sz w:val="24"/>
          <w:szCs w:val="24"/>
          <w:highlight w:val="none"/>
        </w:rPr>
      </w:pPr>
      <w:r>
        <w:rPr>
          <w:color w:val="auto"/>
          <w:kern w:val="2"/>
          <w:sz w:val="24"/>
          <w:szCs w:val="24"/>
          <w:highlight w:val="none"/>
        </w:rPr>
        <w:t>9</w:t>
      </w:r>
      <w:r>
        <w:rPr>
          <w:rFonts w:hint="eastAsia"/>
          <w:color w:val="auto"/>
          <w:kern w:val="2"/>
          <w:sz w:val="24"/>
          <w:szCs w:val="24"/>
          <w:highlight w:val="none"/>
        </w:rPr>
        <w:t>）支持云平台控制功能，提供设备二次功能研发的接口服务。</w:t>
      </w:r>
    </w:p>
    <w:p>
      <w:pPr>
        <w:pStyle w:val="217"/>
        <w:rPr>
          <w:color w:val="auto"/>
          <w:highlight w:val="none"/>
        </w:rPr>
      </w:pPr>
      <w:r>
        <w:rPr>
          <w:rFonts w:hint="eastAsia"/>
          <w:color w:val="auto"/>
          <w:highlight w:val="none"/>
        </w:rPr>
        <w:t>（</w:t>
      </w:r>
      <w:r>
        <w:rPr>
          <w:color w:val="auto"/>
          <w:highlight w:val="none"/>
        </w:rPr>
        <w:t>8</w:t>
      </w:r>
      <w:r>
        <w:rPr>
          <w:rFonts w:hint="eastAsia"/>
          <w:color w:val="auto"/>
          <w:highlight w:val="none"/>
        </w:rPr>
        <w:t>）施工单位开工前，应将扬尘污染防治公示牌在围挡周围醒目位置公示至工程施工结束，公示期间应当保持公示牌清晰完好。</w:t>
      </w:r>
    </w:p>
    <w:p>
      <w:pPr>
        <w:pStyle w:val="217"/>
        <w:rPr>
          <w:color w:val="auto"/>
          <w:highlight w:val="none"/>
        </w:rPr>
      </w:pPr>
      <w:r>
        <w:rPr>
          <w:rFonts w:hint="eastAsia"/>
          <w:color w:val="auto"/>
          <w:highlight w:val="none"/>
        </w:rPr>
        <w:t>（</w:t>
      </w:r>
      <w:r>
        <w:rPr>
          <w:color w:val="auto"/>
          <w:highlight w:val="none"/>
        </w:rPr>
        <w:t>9</w:t>
      </w:r>
      <w:r>
        <w:rPr>
          <w:rFonts w:hint="eastAsia"/>
          <w:color w:val="auto"/>
          <w:highlight w:val="none"/>
        </w:rPr>
        <w:t>）对工地出口两侧各100米路面实行“三包”（包干净、包秩序、包美化），专人进行冲洗保洁，确保“扬尘不出院、路面不见土、车辆不带泥、周边不起尘”。</w:t>
      </w:r>
    </w:p>
    <w:p>
      <w:pPr>
        <w:pStyle w:val="217"/>
        <w:rPr>
          <w:color w:val="auto"/>
          <w:highlight w:val="none"/>
        </w:rPr>
      </w:pPr>
      <w:r>
        <w:rPr>
          <w:color w:val="auto"/>
          <w:highlight w:val="none"/>
        </w:rPr>
        <w:t>3.</w:t>
      </w:r>
      <w:r>
        <w:rPr>
          <w:rFonts w:hint="eastAsia"/>
          <w:color w:val="auto"/>
          <w:highlight w:val="none"/>
        </w:rPr>
        <w:t>场地绿化</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）对于施工周期较长的现场，可按建筑永久绿化的要求，安排场地进行合理绿化，美化施工环境；</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）施工区域的裸露地面或临时存放的土堆闲置在</w:t>
      </w:r>
      <w:r>
        <w:rPr>
          <w:color w:val="auto"/>
          <w:highlight w:val="none"/>
        </w:rPr>
        <w:t>3</w:t>
      </w:r>
      <w:r>
        <w:rPr>
          <w:rFonts w:hint="eastAsia"/>
          <w:color w:val="auto"/>
          <w:highlight w:val="none"/>
        </w:rPr>
        <w:t>个月以上的，应当对其裸露泥地进行临时绿化或者铺装。如采用植草砖及种植速生草，减少施工现场裸露地面。</w:t>
      </w:r>
    </w:p>
    <w:p>
      <w:pPr>
        <w:pStyle w:val="217"/>
        <w:rPr>
          <w:color w:val="auto"/>
          <w:highlight w:val="none"/>
        </w:rPr>
      </w:pPr>
      <w:r>
        <w:rPr>
          <w:rFonts w:hint="eastAsia"/>
          <w:color w:val="auto"/>
          <w:highlight w:val="none"/>
        </w:rPr>
        <w:t>（3）</w:t>
      </w:r>
      <w:r>
        <w:rPr>
          <w:color w:val="auto"/>
          <w:highlight w:val="none"/>
        </w:rPr>
        <w:t>裸露土及易起尘物料100%覆盖</w:t>
      </w:r>
      <w:r>
        <w:rPr>
          <w:rFonts w:hint="eastAsia"/>
          <w:color w:val="auto"/>
          <w:highlight w:val="none"/>
        </w:rPr>
        <w:t>：</w:t>
      </w:r>
      <w:r>
        <w:rPr>
          <w:color w:val="auto"/>
          <w:highlight w:val="none"/>
        </w:rPr>
        <w:t>裸露泥地须覆盖防尘网或者进行绿化，做到边施工、边覆盖、边绿化；水泥、石膏粉、腻子粉等易起尘物料应采用专用仓库、储藏罐等形式分类存放；砂石、建筑土方等细散颗粒物料应采用防尘网进行覆盖</w:t>
      </w:r>
      <w:r>
        <w:rPr>
          <w:rFonts w:hint="eastAsia"/>
          <w:color w:val="auto"/>
          <w:highlight w:val="none"/>
        </w:rPr>
        <w:t>。</w:t>
      </w:r>
    </w:p>
    <w:p>
      <w:pPr>
        <w:pStyle w:val="217"/>
        <w:rPr>
          <w:color w:val="auto"/>
          <w:highlight w:val="none"/>
        </w:rPr>
      </w:pPr>
      <w:r>
        <w:rPr>
          <w:color w:val="auto"/>
          <w:highlight w:val="none"/>
        </w:rPr>
        <w:t>4.</w:t>
      </w:r>
      <w:r>
        <w:rPr>
          <w:rFonts w:hint="eastAsia"/>
          <w:color w:val="auto"/>
          <w:highlight w:val="none"/>
        </w:rPr>
        <w:t>喷淋雾化降尘措施</w:t>
      </w:r>
    </w:p>
    <w:p>
      <w:pPr>
        <w:pStyle w:val="217"/>
        <w:rPr>
          <w:color w:val="auto"/>
          <w:highlight w:val="none"/>
        </w:rPr>
      </w:pPr>
      <w:r>
        <w:rPr>
          <w:rFonts w:hint="eastAsia"/>
          <w:color w:val="auto"/>
          <w:highlight w:val="none"/>
        </w:rPr>
        <w:t>喷淋雾化降尘措施通常通过自动喷淋系统实现，在该系统有效工作范围内达到较好的降尘效果。主要有三种类型：安装于施工工地塔吊的高空喷淋系统、安装于建筑工程主体结构的高空喷淋系统、安装于施工工地围挡等处的近地面喷淋系统。</w:t>
      </w:r>
    </w:p>
    <w:p>
      <w:pPr>
        <w:pStyle w:val="217"/>
        <w:rPr>
          <w:color w:val="auto"/>
          <w:highlight w:val="none"/>
        </w:rPr>
      </w:pPr>
      <w:r>
        <w:rPr>
          <w:rFonts w:hint="eastAsia"/>
          <w:color w:val="auto"/>
          <w:highlight w:val="none"/>
        </w:rPr>
        <w:t>工地内干燥易起尘的施工作业面须洒水维持表面湿润。施工现场主要道路、围挡和其他易产生扬尘污染的部位须安装固定喷雾、喷淋装置。</w:t>
      </w:r>
    </w:p>
    <w:p>
      <w:pPr>
        <w:pStyle w:val="217"/>
        <w:rPr>
          <w:color w:val="auto"/>
          <w:highlight w:val="none"/>
        </w:rPr>
      </w:pPr>
      <w:r>
        <w:rPr>
          <w:rFonts w:hint="eastAsia"/>
          <w:color w:val="auto"/>
          <w:highlight w:val="none"/>
        </w:rPr>
        <w:t>拆除工程、基础施工及土方作业工地须每1000平方米配置一台移动雾炮设施，单个雾炮机覆盖半径不小于30米。</w:t>
      </w:r>
    </w:p>
    <w:p>
      <w:pPr>
        <w:pStyle w:val="217"/>
        <w:rPr>
          <w:color w:val="auto"/>
          <w:highlight w:val="none"/>
        </w:rPr>
      </w:pPr>
      <w:r>
        <w:rPr>
          <w:color w:val="auto"/>
          <w:highlight w:val="none"/>
        </w:rPr>
        <w:t>5.</w:t>
      </w:r>
      <w:r>
        <w:rPr>
          <w:rFonts w:hint="eastAsia"/>
          <w:color w:val="auto"/>
          <w:highlight w:val="none"/>
        </w:rPr>
        <w:t>土方工程</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）进行土方施工作业（钻孔、打桩、土方开挖、土方回填等）时，采取洒水、覆盖等防尘措施（如挖掘车辆及设备加装洒水装置或安排专人在挖掘作业面同步进行洒水降尘，推荐使用喷雾抑尘车；）；</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）施工现场土方开挖后应尽快完成回填，砂石填充料保持湿润；</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）施工间歇时应对回填土进行覆盖，不能及时回填的裸露场地应采取洒水和覆盖等防尘措施；</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）遇到四级以上大风天气或雾霾天气时，应当停止土方挖填和转运、拆除、道路路面鼓风机吹灰等易产生扬尘的作业，并在作业处覆盖防尘网；</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）非施工作业面的裸露土或临时存放的土堆闲置</w:t>
      </w:r>
      <w:r>
        <w:rPr>
          <w:color w:val="auto"/>
          <w:highlight w:val="none"/>
        </w:rPr>
        <w:t>3</w:t>
      </w:r>
      <w:r>
        <w:rPr>
          <w:rFonts w:hint="eastAsia"/>
          <w:color w:val="auto"/>
          <w:highlight w:val="none"/>
        </w:rPr>
        <w:t>个月内的，应当采用密目网或彩布进行覆盖、压实、洒水等降尘措施；</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）线性工程等难以实现地面硬化的建设工程可视情况采取覆盖、植被、洒水或喷洒抑尘剂等扬尘污染防治措施；</w:t>
      </w:r>
    </w:p>
    <w:p>
      <w:pPr>
        <w:pStyle w:val="217"/>
        <w:rPr>
          <w:color w:val="auto"/>
          <w:highlight w:val="none"/>
        </w:rPr>
      </w:pPr>
      <w:r>
        <w:rPr>
          <w:rFonts w:hint="eastAsia"/>
          <w:color w:val="auto"/>
          <w:highlight w:val="none"/>
        </w:rPr>
        <w:t>（</w:t>
      </w:r>
      <w:r>
        <w:rPr>
          <w:color w:val="auto"/>
          <w:highlight w:val="none"/>
        </w:rPr>
        <w:t>7</w:t>
      </w:r>
      <w:r>
        <w:rPr>
          <w:rFonts w:hint="eastAsia"/>
          <w:color w:val="auto"/>
          <w:highlight w:val="none"/>
        </w:rPr>
        <w:t>）土方、渣土和施工垃圾运输装载需低于槽</w:t>
      </w:r>
      <w:r>
        <w:rPr>
          <w:color w:val="auto"/>
          <w:highlight w:val="none"/>
        </w:rPr>
        <w:t>15cm</w:t>
      </w:r>
      <w:r>
        <w:rPr>
          <w:rFonts w:hint="eastAsia"/>
          <w:color w:val="auto"/>
          <w:highlight w:val="none"/>
        </w:rPr>
        <w:t>，且堆土最高点不应高于挡板，并采取封闭或覆盖的措施控制扬尘，避免遗撒污染道路；</w:t>
      </w:r>
    </w:p>
    <w:p>
      <w:pPr>
        <w:pStyle w:val="217"/>
        <w:rPr>
          <w:color w:val="auto"/>
          <w:highlight w:val="none"/>
        </w:rPr>
      </w:pPr>
      <w:r>
        <w:rPr>
          <w:color w:val="auto"/>
          <w:highlight w:val="none"/>
        </w:rPr>
        <w:drawing>
          <wp:inline distT="0" distB="0" distL="114300" distR="114300">
            <wp:extent cx="3124835" cy="1134110"/>
            <wp:effectExtent l="0" t="0" r="18415" b="8890"/>
            <wp:docPr id="13" name="图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14"/>
                    <pic:cNvPicPr>
                      <a:picLocks noChangeAspect="1"/>
                    </pic:cNvPicPr>
                  </pic:nvPicPr>
                  <pic:blipFill>
                    <a:blip r:embed="rId25"/>
                    <a:stretch>
                      <a:fillRect/>
                    </a:stretch>
                  </pic:blipFill>
                  <pic:spPr>
                    <a:xfrm>
                      <a:off x="0" y="0"/>
                      <a:ext cx="3124835" cy="1134110"/>
                    </a:xfrm>
                    <a:prstGeom prst="rect">
                      <a:avLst/>
                    </a:prstGeom>
                    <a:noFill/>
                    <a:ln>
                      <a:noFill/>
                    </a:ln>
                  </pic:spPr>
                </pic:pic>
              </a:graphicData>
            </a:graphic>
          </wp:inline>
        </w:drawing>
      </w:r>
    </w:p>
    <w:p>
      <w:pPr>
        <w:pStyle w:val="217"/>
        <w:ind w:firstLine="2160" w:firstLineChars="900"/>
        <w:rPr>
          <w:color w:val="auto"/>
          <w:highlight w:val="none"/>
        </w:rPr>
      </w:pPr>
      <w:r>
        <w:rPr>
          <w:rFonts w:hint="eastAsia"/>
          <w:color w:val="auto"/>
          <w:highlight w:val="none"/>
        </w:rPr>
        <w:t>运输装载车厢示意图</w:t>
      </w:r>
    </w:p>
    <w:p>
      <w:pPr>
        <w:pStyle w:val="217"/>
        <w:rPr>
          <w:color w:val="auto"/>
          <w:highlight w:val="none"/>
        </w:rPr>
      </w:pPr>
    </w:p>
    <w:p>
      <w:pPr>
        <w:pStyle w:val="217"/>
        <w:rPr>
          <w:color w:val="auto"/>
          <w:highlight w:val="none"/>
        </w:rPr>
      </w:pPr>
      <w:r>
        <w:rPr>
          <w:rFonts w:hint="eastAsia"/>
          <w:color w:val="auto"/>
          <w:highlight w:val="none"/>
        </w:rPr>
        <w:t>（</w:t>
      </w:r>
      <w:r>
        <w:rPr>
          <w:color w:val="auto"/>
          <w:highlight w:val="none"/>
        </w:rPr>
        <w:t>8</w:t>
      </w:r>
      <w:r>
        <w:rPr>
          <w:rFonts w:hint="eastAsia"/>
          <w:color w:val="auto"/>
          <w:highlight w:val="none"/>
        </w:rPr>
        <w:t>）覆盖防尘网网目数密度不低于</w:t>
      </w:r>
      <w:r>
        <w:rPr>
          <w:color w:val="auto"/>
          <w:highlight w:val="none"/>
        </w:rPr>
        <w:t>3000</w:t>
      </w:r>
      <w:r>
        <w:rPr>
          <w:rFonts w:hint="eastAsia"/>
          <w:color w:val="auto"/>
          <w:highlight w:val="none"/>
        </w:rPr>
        <w:t>目</w:t>
      </w:r>
      <w:r>
        <w:rPr>
          <w:color w:val="auto"/>
          <w:highlight w:val="none"/>
        </w:rPr>
        <w:t>/100cm2</w:t>
      </w:r>
      <w:r>
        <w:rPr>
          <w:rFonts w:hint="eastAsia"/>
          <w:color w:val="auto"/>
          <w:highlight w:val="none"/>
        </w:rPr>
        <w:t>。</w:t>
      </w:r>
    </w:p>
    <w:p>
      <w:pPr>
        <w:pStyle w:val="217"/>
        <w:rPr>
          <w:color w:val="auto"/>
          <w:highlight w:val="none"/>
        </w:rPr>
      </w:pPr>
    </w:p>
    <w:p>
      <w:pPr>
        <w:pStyle w:val="217"/>
        <w:rPr>
          <w:color w:val="auto"/>
          <w:highlight w:val="none"/>
        </w:rPr>
      </w:pPr>
      <w:r>
        <w:rPr>
          <w:color w:val="auto"/>
          <w:highlight w:val="none"/>
        </w:rPr>
        <w:drawing>
          <wp:inline distT="0" distB="0" distL="114300" distR="114300">
            <wp:extent cx="2161540" cy="1438275"/>
            <wp:effectExtent l="0" t="0" r="10160" b="9525"/>
            <wp:docPr id="14" name="图片 515" descr="C:\Documents and Settings\Administrator\桌面\4.bmp"/>
            <wp:cNvGraphicFramePr/>
            <a:graphic xmlns:a="http://schemas.openxmlformats.org/drawingml/2006/main">
              <a:graphicData uri="http://schemas.openxmlformats.org/drawingml/2006/picture">
                <pic:pic xmlns:pic="http://schemas.openxmlformats.org/drawingml/2006/picture">
                  <pic:nvPicPr>
                    <pic:cNvPr id="14" name="图片 515" descr="C:\Documents and Settings\Administrator\桌面\4.bmp"/>
                    <pic:cNvPicPr/>
                  </pic:nvPicPr>
                  <pic:blipFill>
                    <a:blip r:embed="rId26"/>
                    <a:stretch>
                      <a:fillRect/>
                    </a:stretch>
                  </pic:blipFill>
                  <pic:spPr>
                    <a:xfrm>
                      <a:off x="0" y="0"/>
                      <a:ext cx="2161540" cy="1438275"/>
                    </a:xfrm>
                    <a:prstGeom prst="rect">
                      <a:avLst/>
                    </a:prstGeom>
                    <a:noFill/>
                    <a:ln>
                      <a:noFill/>
                    </a:ln>
                  </pic:spPr>
                </pic:pic>
              </a:graphicData>
            </a:graphic>
          </wp:inline>
        </w:drawing>
      </w:r>
      <w:r>
        <w:rPr>
          <w:color w:val="auto"/>
          <w:highlight w:val="none"/>
        </w:rPr>
        <w:t xml:space="preserve">       </w:t>
      </w:r>
      <w:r>
        <w:rPr>
          <w:color w:val="auto"/>
          <w:highlight w:val="none"/>
        </w:rPr>
        <w:drawing>
          <wp:inline distT="0" distB="0" distL="114300" distR="114300">
            <wp:extent cx="2161540" cy="1438275"/>
            <wp:effectExtent l="0" t="0" r="10160" b="9525"/>
            <wp:docPr id="15" name="图片 516" descr="临时道路固化2"/>
            <wp:cNvGraphicFramePr/>
            <a:graphic xmlns:a="http://schemas.openxmlformats.org/drawingml/2006/main">
              <a:graphicData uri="http://schemas.openxmlformats.org/drawingml/2006/picture">
                <pic:pic xmlns:pic="http://schemas.openxmlformats.org/drawingml/2006/picture">
                  <pic:nvPicPr>
                    <pic:cNvPr id="15" name="图片 516" descr="临时道路固化2"/>
                    <pic:cNvPicPr/>
                  </pic:nvPicPr>
                  <pic:blipFill>
                    <a:blip r:embed="rId27"/>
                    <a:stretch>
                      <a:fillRect/>
                    </a:stretch>
                  </pic:blipFill>
                  <pic:spPr>
                    <a:xfrm>
                      <a:off x="0" y="0"/>
                      <a:ext cx="2161540" cy="1438275"/>
                    </a:xfrm>
                    <a:prstGeom prst="rect">
                      <a:avLst/>
                    </a:prstGeom>
                    <a:noFill/>
                    <a:ln>
                      <a:noFill/>
                    </a:ln>
                  </pic:spPr>
                </pic:pic>
              </a:graphicData>
            </a:graphic>
          </wp:inline>
        </w:drawing>
      </w:r>
    </w:p>
    <w:p>
      <w:pPr>
        <w:pStyle w:val="217"/>
        <w:rPr>
          <w:color w:val="auto"/>
          <w:highlight w:val="none"/>
        </w:rPr>
      </w:pPr>
      <w:r>
        <w:rPr>
          <w:color w:val="auto"/>
          <w:highlight w:val="none"/>
        </w:rPr>
        <w:t xml:space="preserve">          </w:t>
      </w:r>
      <w:r>
        <w:rPr>
          <w:rFonts w:hint="eastAsia"/>
          <w:color w:val="auto"/>
          <w:highlight w:val="none"/>
        </w:rPr>
        <w:t>湿法施工</w:t>
      </w:r>
      <w:r>
        <w:rPr>
          <w:color w:val="auto"/>
          <w:highlight w:val="none"/>
        </w:rPr>
        <w:t xml:space="preserve">                   </w:t>
      </w:r>
      <w:r>
        <w:rPr>
          <w:rFonts w:hint="eastAsia"/>
          <w:color w:val="auto"/>
          <w:highlight w:val="none"/>
        </w:rPr>
        <w:t>临时运输道路喷洒长效抑尘剂</w:t>
      </w:r>
    </w:p>
    <w:p>
      <w:pPr>
        <w:pStyle w:val="217"/>
        <w:rPr>
          <w:color w:val="auto"/>
          <w:highlight w:val="none"/>
        </w:rPr>
      </w:pPr>
      <w:r>
        <w:rPr>
          <w:color w:val="auto"/>
          <w:highlight w:val="none"/>
        </w:rPr>
        <w:t xml:space="preserve"> </w:t>
      </w:r>
    </w:p>
    <w:p>
      <w:pPr>
        <w:pStyle w:val="217"/>
        <w:rPr>
          <w:color w:val="auto"/>
          <w:highlight w:val="none"/>
        </w:rPr>
      </w:pPr>
      <w:r>
        <w:rPr>
          <w:color w:val="auto"/>
          <w:highlight w:val="none"/>
        </w:rPr>
        <w:t>6.</w:t>
      </w:r>
      <w:r>
        <w:rPr>
          <w:rFonts w:hint="eastAsia"/>
          <w:color w:val="auto"/>
          <w:highlight w:val="none"/>
        </w:rPr>
        <w:t>材料堆放</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）对施工过程产生的泥浆应设置专门的泥浆池或泥浆罐车存储；</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）砖、砌块等散件物料应采用密封式吊笼吊运输；</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）钢筋、钢管、木材、钢结构构件等材料应离地架空堆放，露天堆放时必须采取防雨、防潮、防锈蚀措施；</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）对于装卸作业频繁物料及少量的搅拌、粉碎、筛分等作业活动，如灰土过筛施工，应在密闭空间内作业，杜绝扬尘外泄；</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）将施工现场易飞扬、细颗粒散体材料，如水泥、粉煤灰、聚苯颗粒、陶粒、白灰、腻子粉、石膏粉等极易产生扬尘污染的物料，应储存在密闭的容器内，或堆放在封闭的工棚内；</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）严禁在施工现场围档外堆放建筑材料。</w:t>
      </w:r>
    </w:p>
    <w:p>
      <w:pPr>
        <w:pStyle w:val="217"/>
        <w:rPr>
          <w:color w:val="auto"/>
          <w:highlight w:val="none"/>
        </w:rPr>
      </w:pPr>
      <w:r>
        <w:rPr>
          <w:color w:val="auto"/>
          <w:highlight w:val="none"/>
        </w:rPr>
        <w:t>7.</w:t>
      </w:r>
      <w:r>
        <w:rPr>
          <w:rFonts w:hint="eastAsia"/>
          <w:color w:val="auto"/>
          <w:highlight w:val="none"/>
        </w:rPr>
        <w:t>车辆清洁</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w:t>
      </w:r>
      <w:r>
        <w:rPr>
          <w:color w:val="auto"/>
          <w:highlight w:val="none"/>
        </w:rPr>
        <w:t>出入口及车行道100%硬底化</w:t>
      </w:r>
      <w:r>
        <w:rPr>
          <w:rFonts w:hint="eastAsia"/>
          <w:color w:val="auto"/>
          <w:highlight w:val="none"/>
        </w:rPr>
        <w:t>：施工车辆出入口地面、场内运输（含消防）通道、临时生产加工车间及设备堆场地面应进行硬化抑尘处理，路面厚度宜大于</w:t>
      </w:r>
      <w:r>
        <w:rPr>
          <w:color w:val="auto"/>
          <w:highlight w:val="none"/>
        </w:rPr>
        <w:t>20cm</w:t>
      </w:r>
      <w:r>
        <w:rPr>
          <w:rFonts w:hint="eastAsia"/>
          <w:color w:val="auto"/>
          <w:highlight w:val="none"/>
        </w:rPr>
        <w:t>，</w:t>
      </w:r>
      <w:r>
        <w:rPr>
          <w:color w:val="auto"/>
          <w:highlight w:val="none"/>
        </w:rPr>
        <w:t>并定期对路面进行</w:t>
      </w:r>
      <w:r>
        <w:rPr>
          <w:rFonts w:hint="eastAsia"/>
          <w:color w:val="auto"/>
          <w:highlight w:val="none"/>
        </w:rPr>
        <w:t>冲洗，保持路面干净整洁。</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w:t>
      </w:r>
      <w:r>
        <w:rPr>
          <w:color w:val="auto"/>
          <w:highlight w:val="none"/>
        </w:rPr>
        <w:t>出入口100%安装冲洗设施</w:t>
      </w:r>
      <w:r>
        <w:rPr>
          <w:rFonts w:hint="eastAsia"/>
          <w:color w:val="auto"/>
          <w:highlight w:val="none"/>
        </w:rPr>
        <w:t>：车辆出入口固定的施工现场应按有关规定设置车辆冲洗设施，包括冲洗平台或冲洗槽、高压冲洗设备、排水沟、沉淀池等，可收集洗车过程中产生的废水和泥浆；冲洗设施宜采用自动冲洗平台及设立循环用水装置；冲洗平台或冲洗槽的长度应比项目所用最长车的长度长至少</w:t>
      </w:r>
      <w:r>
        <w:rPr>
          <w:color w:val="auto"/>
          <w:highlight w:val="none"/>
        </w:rPr>
        <w:t>3m</w:t>
      </w:r>
      <w:r>
        <w:rPr>
          <w:rFonts w:hint="eastAsia"/>
          <w:color w:val="auto"/>
          <w:highlight w:val="none"/>
        </w:rPr>
        <w:t>，宽度不小于</w:t>
      </w:r>
      <w:r>
        <w:rPr>
          <w:color w:val="auto"/>
          <w:highlight w:val="none"/>
        </w:rPr>
        <w:t>5m</w:t>
      </w:r>
      <w:r>
        <w:rPr>
          <w:rFonts w:hint="eastAsia"/>
          <w:color w:val="auto"/>
          <w:highlight w:val="none"/>
        </w:rPr>
        <w:t>，水深≥</w:t>
      </w:r>
      <w:r>
        <w:rPr>
          <w:color w:val="auto"/>
          <w:highlight w:val="none"/>
        </w:rPr>
        <w:t>0.5m</w:t>
      </w:r>
      <w:r>
        <w:rPr>
          <w:rFonts w:hint="eastAsia"/>
          <w:color w:val="auto"/>
          <w:highlight w:val="none"/>
        </w:rPr>
        <w:t>，并应定期清除泥沙，须保证出工地车辆的车身、车轮、底盘冲洗干净后方能上路。</w:t>
      </w:r>
    </w:p>
    <w:p>
      <w:pPr>
        <w:pStyle w:val="217"/>
        <w:rPr>
          <w:color w:val="auto"/>
          <w:highlight w:val="none"/>
        </w:rPr>
      </w:pPr>
      <w:r>
        <w:rPr>
          <w:rFonts w:hint="eastAsia"/>
          <w:color w:val="auto"/>
          <w:highlight w:val="none"/>
        </w:rPr>
        <w:t>（3）建筑垃圾土方砂石运输车辆应采取措施防止车辆运输遗撒，重点关注冒尖超载车辆。</w:t>
      </w:r>
    </w:p>
    <w:p>
      <w:pPr>
        <w:pStyle w:val="217"/>
        <w:rPr>
          <w:color w:val="auto"/>
          <w:highlight w:val="none"/>
        </w:rPr>
      </w:pPr>
      <w:r>
        <w:rPr>
          <w:color w:val="auto"/>
          <w:highlight w:val="none"/>
        </w:rPr>
        <w:t>8.</w:t>
      </w:r>
      <w:r>
        <w:rPr>
          <w:rFonts w:hint="eastAsia"/>
          <w:color w:val="auto"/>
          <w:highlight w:val="none"/>
        </w:rPr>
        <w:t>砌体结构工程</w:t>
      </w:r>
    </w:p>
    <w:p>
      <w:pPr>
        <w:pStyle w:val="217"/>
        <w:rPr>
          <w:color w:val="auto"/>
          <w:highlight w:val="none"/>
        </w:rPr>
      </w:pPr>
      <w:r>
        <w:rPr>
          <w:rFonts w:hint="eastAsia"/>
          <w:color w:val="auto"/>
          <w:highlight w:val="none"/>
        </w:rPr>
        <w:t>砌块应按组砌图砌筑；标准砌块应在工厂加工完成后按计划进场，非标准砌块宜在工厂加工完成后进场，若必须现场切割，切割时应在具有隔音防尘的密闭空间内集中加工。</w:t>
      </w:r>
    </w:p>
    <w:p>
      <w:pPr>
        <w:pStyle w:val="217"/>
        <w:rPr>
          <w:color w:val="auto"/>
          <w:highlight w:val="none"/>
        </w:rPr>
      </w:pPr>
    </w:p>
    <w:p>
      <w:pPr>
        <w:pStyle w:val="217"/>
        <w:rPr>
          <w:color w:val="auto"/>
          <w:highlight w:val="none"/>
        </w:rPr>
      </w:pPr>
      <w:r>
        <w:rPr>
          <w:color w:val="auto"/>
          <w:highlight w:val="none"/>
        </w:rPr>
        <w:drawing>
          <wp:inline distT="0" distB="0" distL="114300" distR="114300">
            <wp:extent cx="2161540" cy="1438275"/>
            <wp:effectExtent l="0" t="0" r="10160" b="9525"/>
            <wp:docPr id="16" name="图片 517" descr="IMG_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17" descr="IMG_6977"/>
                    <pic:cNvPicPr>
                      <a:picLocks noChangeAspect="1"/>
                    </pic:cNvPicPr>
                  </pic:nvPicPr>
                  <pic:blipFill>
                    <a:blip r:embed="rId28"/>
                    <a:stretch>
                      <a:fillRect/>
                    </a:stretch>
                  </pic:blipFill>
                  <pic:spPr>
                    <a:xfrm>
                      <a:off x="0" y="0"/>
                      <a:ext cx="2161540" cy="1438275"/>
                    </a:xfrm>
                    <a:prstGeom prst="rect">
                      <a:avLst/>
                    </a:prstGeom>
                    <a:noFill/>
                    <a:ln>
                      <a:noFill/>
                    </a:ln>
                  </pic:spPr>
                </pic:pic>
              </a:graphicData>
            </a:graphic>
          </wp:inline>
        </w:drawing>
      </w:r>
    </w:p>
    <w:p>
      <w:pPr>
        <w:pStyle w:val="217"/>
        <w:rPr>
          <w:color w:val="auto"/>
          <w:highlight w:val="none"/>
        </w:rPr>
      </w:pPr>
      <w:r>
        <w:rPr>
          <w:color w:val="auto"/>
          <w:highlight w:val="none"/>
        </w:rPr>
        <w:t xml:space="preserve">   </w:t>
      </w:r>
      <w:r>
        <w:rPr>
          <w:rFonts w:hint="eastAsia"/>
          <w:color w:val="auto"/>
          <w:highlight w:val="none"/>
        </w:rPr>
        <w:t>加气混凝土砌块集中加工</w:t>
      </w:r>
    </w:p>
    <w:p>
      <w:pPr>
        <w:pStyle w:val="217"/>
        <w:rPr>
          <w:color w:val="auto"/>
          <w:highlight w:val="none"/>
        </w:rPr>
      </w:pPr>
      <w:r>
        <w:rPr>
          <w:color w:val="auto"/>
          <w:highlight w:val="none"/>
        </w:rPr>
        <w:t>9.</w:t>
      </w:r>
      <w:r>
        <w:rPr>
          <w:rFonts w:hint="eastAsia"/>
          <w:color w:val="auto"/>
          <w:highlight w:val="none"/>
        </w:rPr>
        <w:t>装饰装修工程</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）地面基层粉尘清理宜采用吸尘器；没有防潮要求的，可采用洒水降尘等措施；地面找平层、隔汽层、隔声层施工干作业应有防尘措施；</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）施工现场进行机械剔凿作业时，作业面局部应遮挡、掩盖或采取水淋等降尘措施；</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）装饰工程所用墙砖、地砖、石材、木制品、泡沫塑料板等装饰块材宜场外加工半成品进入施工现场，实施装配式施工；</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）现场需切割时应带水切割，同时操作人员必须有防尘保护措施。</w:t>
      </w:r>
    </w:p>
    <w:p>
      <w:pPr>
        <w:pStyle w:val="217"/>
        <w:rPr>
          <w:color w:val="auto"/>
          <w:highlight w:val="none"/>
        </w:rPr>
      </w:pPr>
      <w:r>
        <w:rPr>
          <w:color w:val="auto"/>
          <w:highlight w:val="none"/>
        </w:rPr>
        <w:drawing>
          <wp:inline distT="0" distB="0" distL="114300" distR="114300">
            <wp:extent cx="2151380" cy="1428750"/>
            <wp:effectExtent l="0" t="0" r="1270" b="0"/>
            <wp:docPr id="17" name="图片 518" descr="C:\Documents and Settings\Administrator\桌面\2\SL73f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18" descr="C:\Documents and Settings\Administrator\桌面\2\SL73f1755.JPG"/>
                    <pic:cNvPicPr>
                      <a:picLocks noChangeAspect="1"/>
                    </pic:cNvPicPr>
                  </pic:nvPicPr>
                  <pic:blipFill>
                    <a:blip r:embed="rId29"/>
                    <a:stretch>
                      <a:fillRect/>
                    </a:stretch>
                  </pic:blipFill>
                  <pic:spPr>
                    <a:xfrm>
                      <a:off x="0" y="0"/>
                      <a:ext cx="2151380" cy="1428750"/>
                    </a:xfrm>
                    <a:prstGeom prst="rect">
                      <a:avLst/>
                    </a:prstGeom>
                    <a:noFill/>
                    <a:ln>
                      <a:noFill/>
                    </a:ln>
                  </pic:spPr>
                </pic:pic>
              </a:graphicData>
            </a:graphic>
          </wp:inline>
        </w:drawing>
      </w:r>
      <w:r>
        <w:rPr>
          <w:color w:val="auto"/>
          <w:highlight w:val="none"/>
        </w:rPr>
        <w:t xml:space="preserve">        </w:t>
      </w:r>
      <w:r>
        <w:rPr>
          <w:color w:val="auto"/>
          <w:highlight w:val="none"/>
        </w:rPr>
        <w:drawing>
          <wp:inline distT="0" distB="0" distL="114300" distR="114300">
            <wp:extent cx="2161540" cy="1438275"/>
            <wp:effectExtent l="0" t="0" r="10160" b="9525"/>
            <wp:docPr id="18" name="图片 519" descr="23123"/>
            <wp:cNvGraphicFramePr/>
            <a:graphic xmlns:a="http://schemas.openxmlformats.org/drawingml/2006/main">
              <a:graphicData uri="http://schemas.openxmlformats.org/drawingml/2006/picture">
                <pic:pic xmlns:pic="http://schemas.openxmlformats.org/drawingml/2006/picture">
                  <pic:nvPicPr>
                    <pic:cNvPr id="18" name="图片 519" descr="23123"/>
                    <pic:cNvPicPr/>
                  </pic:nvPicPr>
                  <pic:blipFill>
                    <a:blip r:embed="rId30"/>
                    <a:stretch>
                      <a:fillRect/>
                    </a:stretch>
                  </pic:blipFill>
                  <pic:spPr>
                    <a:xfrm>
                      <a:off x="0" y="0"/>
                      <a:ext cx="2161540" cy="1438275"/>
                    </a:xfrm>
                    <a:prstGeom prst="rect">
                      <a:avLst/>
                    </a:prstGeom>
                    <a:noFill/>
                    <a:ln>
                      <a:noFill/>
                    </a:ln>
                  </pic:spPr>
                </pic:pic>
              </a:graphicData>
            </a:graphic>
          </wp:inline>
        </w:drawing>
      </w:r>
    </w:p>
    <w:p>
      <w:pPr>
        <w:pStyle w:val="217"/>
        <w:ind w:firstLine="960" w:firstLineChars="400"/>
        <w:rPr>
          <w:color w:val="auto"/>
          <w:highlight w:val="none"/>
        </w:rPr>
      </w:pPr>
      <w:r>
        <w:rPr>
          <w:rFonts w:hint="eastAsia"/>
          <w:color w:val="auto"/>
          <w:highlight w:val="none"/>
        </w:rPr>
        <w:t>采用吸尘器清理楼面</w:t>
      </w:r>
      <w:r>
        <w:rPr>
          <w:color w:val="auto"/>
          <w:highlight w:val="none"/>
        </w:rPr>
        <w:t xml:space="preserve">                     </w:t>
      </w:r>
      <w:r>
        <w:rPr>
          <w:rFonts w:hint="eastAsia"/>
          <w:color w:val="auto"/>
          <w:highlight w:val="none"/>
        </w:rPr>
        <w:t>混凝土湿法切割</w:t>
      </w:r>
    </w:p>
    <w:p>
      <w:pPr>
        <w:pStyle w:val="217"/>
        <w:rPr>
          <w:color w:val="auto"/>
          <w:highlight w:val="none"/>
        </w:rPr>
      </w:pPr>
      <w:r>
        <w:rPr>
          <w:color w:val="auto"/>
          <w:highlight w:val="none"/>
        </w:rPr>
        <w:t>10.</w:t>
      </w:r>
      <w:r>
        <w:rPr>
          <w:rFonts w:hint="eastAsia"/>
          <w:color w:val="auto"/>
          <w:highlight w:val="none"/>
        </w:rPr>
        <w:t>机电安装工程</w:t>
      </w:r>
    </w:p>
    <w:p>
      <w:pPr>
        <w:pStyle w:val="217"/>
        <w:rPr>
          <w:color w:val="auto"/>
          <w:highlight w:val="none"/>
        </w:rPr>
      </w:pPr>
      <w:r>
        <w:rPr>
          <w:rFonts w:hint="eastAsia"/>
          <w:color w:val="auto"/>
          <w:highlight w:val="none"/>
        </w:rPr>
        <w:t>机电安装工程的预留预埋应与结构施工、装修施工同步进行。确需在墙体等结构开槽切割、孔洞钻取的，应采用湿作业法进行施工。</w:t>
      </w:r>
    </w:p>
    <w:p>
      <w:pPr>
        <w:pStyle w:val="217"/>
        <w:rPr>
          <w:color w:val="auto"/>
          <w:highlight w:val="none"/>
        </w:rPr>
      </w:pPr>
      <w:r>
        <w:rPr>
          <w:color w:val="auto"/>
          <w:highlight w:val="none"/>
        </w:rPr>
        <w:t>11.</w:t>
      </w:r>
      <w:r>
        <w:rPr>
          <w:rFonts w:hint="eastAsia"/>
          <w:color w:val="auto"/>
          <w:highlight w:val="none"/>
        </w:rPr>
        <w:t>市政工程</w:t>
      </w:r>
    </w:p>
    <w:p>
      <w:pPr>
        <w:pStyle w:val="217"/>
        <w:rPr>
          <w:color w:val="auto"/>
          <w:highlight w:val="none"/>
        </w:rPr>
      </w:pPr>
      <w:r>
        <w:rPr>
          <w:rFonts w:hint="eastAsia"/>
          <w:color w:val="auto"/>
          <w:highlight w:val="none"/>
        </w:rPr>
        <w:t>市政工程施工时使用风钻挖掘地面、路面切割、路面铣刨、石材切割、清扫施工现场等作业时，应洒水抑尘。</w:t>
      </w:r>
    </w:p>
    <w:p>
      <w:pPr>
        <w:pStyle w:val="217"/>
        <w:rPr>
          <w:color w:val="auto"/>
          <w:highlight w:val="none"/>
        </w:rPr>
      </w:pPr>
      <w:r>
        <w:rPr>
          <w:color w:val="auto"/>
          <w:highlight w:val="none"/>
        </w:rPr>
        <w:t>12.</w:t>
      </w:r>
      <w:r>
        <w:rPr>
          <w:rFonts w:hint="eastAsia"/>
          <w:color w:val="auto"/>
          <w:highlight w:val="none"/>
        </w:rPr>
        <w:t>喷射混凝土</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）喷射混凝土施工宜采用湿喷或水泥裹砂喷射工艺，并采取防尘措施。喷射混凝土作业人员应佩戴防尘用具；</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）喷射混凝土作业区的粉尘浓度不应大于</w:t>
      </w:r>
      <w:r>
        <w:rPr>
          <w:color w:val="auto"/>
          <w:highlight w:val="none"/>
        </w:rPr>
        <w:t>10mg/m3</w:t>
      </w:r>
      <w:r>
        <w:rPr>
          <w:rFonts w:hint="eastAsia"/>
          <w:color w:val="auto"/>
          <w:highlight w:val="none"/>
        </w:rPr>
        <w:t>。</w:t>
      </w:r>
    </w:p>
    <w:p>
      <w:pPr>
        <w:pStyle w:val="119"/>
        <w:rPr>
          <w:color w:val="auto"/>
          <w:highlight w:val="none"/>
        </w:rPr>
      </w:pPr>
      <w:r>
        <w:rPr>
          <w:color w:val="auto"/>
          <w:highlight w:val="none"/>
        </w:rPr>
        <w:t xml:space="preserve">3.3.2.3 </w:t>
      </w:r>
      <w:r>
        <w:rPr>
          <w:rFonts w:hint="eastAsia"/>
          <w:color w:val="auto"/>
          <w:highlight w:val="none"/>
        </w:rPr>
        <w:t>污水排放处理</w:t>
      </w:r>
    </w:p>
    <w:p>
      <w:pPr>
        <w:pStyle w:val="217"/>
        <w:rPr>
          <w:color w:val="auto"/>
          <w:highlight w:val="none"/>
        </w:rPr>
      </w:pPr>
      <w:r>
        <w:rPr>
          <w:color w:val="auto"/>
          <w:highlight w:val="none"/>
        </w:rPr>
        <w:t>1.</w:t>
      </w:r>
      <w:r>
        <w:rPr>
          <w:rFonts w:hint="eastAsia"/>
          <w:color w:val="auto"/>
          <w:highlight w:val="none"/>
        </w:rPr>
        <w:t>污水排放指标</w:t>
      </w:r>
    </w:p>
    <w:p>
      <w:pPr>
        <w:pStyle w:val="217"/>
        <w:rPr>
          <w:color w:val="auto"/>
          <w:highlight w:val="none"/>
        </w:rPr>
      </w:pPr>
      <w:r>
        <w:rPr>
          <w:rFonts w:hint="eastAsia"/>
          <w:color w:val="auto"/>
          <w:highlight w:val="none"/>
        </w:rPr>
        <w:t>排入市政污水管道的施工区、生活区、办公区污水排放应符合现行广东省《水污染物排放限值》的规定。</w:t>
      </w:r>
    </w:p>
    <w:p>
      <w:pPr>
        <w:pStyle w:val="217"/>
        <w:rPr>
          <w:color w:val="auto"/>
          <w:highlight w:val="none"/>
        </w:rPr>
      </w:pPr>
      <w:r>
        <w:rPr>
          <w:color w:val="auto"/>
          <w:highlight w:val="none"/>
        </w:rPr>
        <w:t>2.</w:t>
      </w:r>
      <w:r>
        <w:rPr>
          <w:rFonts w:hint="eastAsia"/>
          <w:color w:val="auto"/>
          <w:highlight w:val="none"/>
        </w:rPr>
        <w:t>污水检测</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）严禁污水未经处理直接排入城市管网和河流；</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污水分为卫生间污水、食堂污水、洗车沉淀池污水、混凝土输送泵沉淀池污水、混凝土搅拌站沉淀池污水及其它，应分类检测，并在施工区及生活区分别汇集后，排入市政管网前再次检测。应委托有资质的单位进行每周、定点、定人检测，并保存检测记录或检测报告。</w:t>
      </w:r>
    </w:p>
    <w:p>
      <w:pPr>
        <w:pStyle w:val="217"/>
        <w:rPr>
          <w:color w:val="auto"/>
          <w:highlight w:val="none"/>
        </w:rPr>
      </w:pPr>
      <w:r>
        <w:rPr>
          <w:color w:val="auto"/>
          <w:highlight w:val="none"/>
        </w:rPr>
        <w:t>3.</w:t>
      </w:r>
      <w:r>
        <w:rPr>
          <w:rFonts w:hint="eastAsia"/>
          <w:color w:val="auto"/>
          <w:highlight w:val="none"/>
        </w:rPr>
        <w:t>污水集中处理</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）施工现场建立污、废水处理和循环利用系统，并定期清理；</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）污水应分类集中收集处理，不应随意流淌；</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）灌注桩采用泥浆护壁成孔时，采取导流沟和泥浆池等排浆及储浆措施；</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）废弃的油料和化学溶剂、清洗机具的废水和废油不应直接排放，应集中处理，采取除油污、分解有机物等处理方法。</w:t>
      </w:r>
    </w:p>
    <w:p>
      <w:pPr>
        <w:pStyle w:val="217"/>
        <w:rPr>
          <w:color w:val="auto"/>
          <w:highlight w:val="none"/>
        </w:rPr>
      </w:pPr>
      <w:r>
        <w:rPr>
          <w:color w:val="auto"/>
          <w:highlight w:val="none"/>
        </w:rPr>
        <w:t>4.</w:t>
      </w:r>
      <w:r>
        <w:rPr>
          <w:rFonts w:hint="eastAsia"/>
          <w:color w:val="auto"/>
          <w:highlight w:val="none"/>
        </w:rPr>
        <w:t>收集过剩的雨水和污水应分流排放。</w:t>
      </w:r>
    </w:p>
    <w:p>
      <w:pPr>
        <w:pStyle w:val="217"/>
        <w:rPr>
          <w:color w:val="auto"/>
          <w:highlight w:val="none"/>
        </w:rPr>
      </w:pPr>
      <w:r>
        <w:rPr>
          <w:color w:val="auto"/>
          <w:highlight w:val="none"/>
        </w:rPr>
        <w:t>5.</w:t>
      </w:r>
      <w:r>
        <w:rPr>
          <w:rFonts w:hint="eastAsia"/>
          <w:color w:val="auto"/>
          <w:highlight w:val="none"/>
        </w:rPr>
        <w:t>排水设施</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）采取排水沟、淤泥栅栏、沉淀池等措施，控制沉淀物及污水，以达到去泥沙、沉淀过滤的目的；</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）现场道路和材料堆放场地周边应设排水沟；</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）混凝土和砂浆搅拌机、混凝土输送泵及运输车辆清洗处设置沉淀池，清洗后的废水经二次沉淀后循环使用或用于施工现场洒水降尘；</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）食堂、盟洗室、淋浴间的下水管线应设置过滤网，食堂应另设隔油池，并应做防渗处理，并应进行定期清运和消毒；</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）排水沟深度宜大于</w:t>
      </w:r>
      <w:r>
        <w:rPr>
          <w:color w:val="auto"/>
          <w:highlight w:val="none"/>
        </w:rPr>
        <w:t>200mm</w:t>
      </w:r>
      <w:r>
        <w:rPr>
          <w:rFonts w:hint="eastAsia"/>
          <w:color w:val="auto"/>
          <w:highlight w:val="none"/>
        </w:rPr>
        <w:t>，宽度宜大于</w:t>
      </w:r>
      <w:r>
        <w:rPr>
          <w:color w:val="auto"/>
          <w:highlight w:val="none"/>
        </w:rPr>
        <w:t>250mm</w:t>
      </w:r>
      <w:r>
        <w:rPr>
          <w:rFonts w:hint="eastAsia"/>
          <w:color w:val="auto"/>
          <w:highlight w:val="none"/>
        </w:rPr>
        <w:t>；</w:t>
      </w:r>
    </w:p>
    <w:p>
      <w:pPr>
        <w:pStyle w:val="217"/>
        <w:rPr>
          <w:color w:val="auto"/>
          <w:highlight w:val="none"/>
        </w:rPr>
      </w:pPr>
    </w:p>
    <w:p>
      <w:pPr>
        <w:pStyle w:val="217"/>
        <w:rPr>
          <w:color w:val="auto"/>
          <w:highlight w:val="none"/>
        </w:rPr>
      </w:pPr>
      <w:r>
        <w:rPr>
          <w:color w:val="auto"/>
          <w:highlight w:val="none"/>
        </w:rPr>
        <w:drawing>
          <wp:inline distT="0" distB="0" distL="114300" distR="114300">
            <wp:extent cx="2087880" cy="1791970"/>
            <wp:effectExtent l="0" t="0" r="7620" b="17780"/>
            <wp:docPr id="19" name="图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20"/>
                    <pic:cNvPicPr>
                      <a:picLocks noChangeAspect="1"/>
                    </pic:cNvPicPr>
                  </pic:nvPicPr>
                  <pic:blipFill>
                    <a:blip r:embed="rId31"/>
                    <a:stretch>
                      <a:fillRect/>
                    </a:stretch>
                  </pic:blipFill>
                  <pic:spPr>
                    <a:xfrm>
                      <a:off x="0" y="0"/>
                      <a:ext cx="2087880" cy="1791970"/>
                    </a:xfrm>
                    <a:prstGeom prst="rect">
                      <a:avLst/>
                    </a:prstGeom>
                    <a:noFill/>
                    <a:ln>
                      <a:noFill/>
                    </a:ln>
                  </pic:spPr>
                </pic:pic>
              </a:graphicData>
            </a:graphic>
          </wp:inline>
        </w:drawing>
      </w:r>
    </w:p>
    <w:p>
      <w:pPr>
        <w:pStyle w:val="217"/>
        <w:ind w:firstLine="1200" w:firstLineChars="500"/>
        <w:rPr>
          <w:color w:val="auto"/>
          <w:highlight w:val="none"/>
        </w:rPr>
      </w:pPr>
      <w:r>
        <w:rPr>
          <w:rFonts w:hint="eastAsia"/>
          <w:color w:val="auto"/>
          <w:highlight w:val="none"/>
        </w:rPr>
        <w:t>排水沟构造示意图</w:t>
      </w:r>
    </w:p>
    <w:p>
      <w:pPr>
        <w:pStyle w:val="217"/>
        <w:rPr>
          <w:color w:val="auto"/>
          <w:highlight w:val="none"/>
        </w:rPr>
      </w:pP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）厨房隔油池体积应按人数设置，</w:t>
      </w:r>
      <w:r>
        <w:rPr>
          <w:color w:val="auto"/>
          <w:highlight w:val="none"/>
        </w:rPr>
        <w:t>800</w:t>
      </w:r>
      <w:r>
        <w:rPr>
          <w:rFonts w:hint="eastAsia"/>
          <w:color w:val="auto"/>
          <w:highlight w:val="none"/>
        </w:rPr>
        <w:t>人以下就餐时，按每</w:t>
      </w:r>
      <w:r>
        <w:rPr>
          <w:color w:val="auto"/>
          <w:highlight w:val="none"/>
        </w:rPr>
        <w:t>0.9m</w:t>
      </w:r>
      <w:r>
        <w:rPr>
          <w:color w:val="auto"/>
          <w:highlight w:val="none"/>
          <w:vertAlign w:val="superscript"/>
        </w:rPr>
        <w:t>3</w:t>
      </w:r>
      <w:r>
        <w:rPr>
          <w:color w:val="auto"/>
          <w:highlight w:val="none"/>
        </w:rPr>
        <w:t>/200</w:t>
      </w:r>
      <w:r>
        <w:rPr>
          <w:rFonts w:hint="eastAsia"/>
          <w:color w:val="auto"/>
          <w:highlight w:val="none"/>
        </w:rPr>
        <w:t>人设置，且不小于</w:t>
      </w:r>
      <w:r>
        <w:rPr>
          <w:color w:val="auto"/>
          <w:highlight w:val="none"/>
        </w:rPr>
        <w:t>1.2m</w:t>
      </w:r>
      <w:r>
        <w:rPr>
          <w:color w:val="auto"/>
          <w:highlight w:val="none"/>
          <w:vertAlign w:val="superscript"/>
        </w:rPr>
        <w:t>3</w:t>
      </w:r>
      <w:r>
        <w:rPr>
          <w:rFonts w:hint="eastAsia"/>
          <w:color w:val="auto"/>
          <w:highlight w:val="none"/>
        </w:rPr>
        <w:t>，超过</w:t>
      </w:r>
      <w:r>
        <w:rPr>
          <w:color w:val="auto"/>
          <w:highlight w:val="none"/>
        </w:rPr>
        <w:t>800</w:t>
      </w:r>
      <w:r>
        <w:rPr>
          <w:rFonts w:hint="eastAsia"/>
          <w:color w:val="auto"/>
          <w:highlight w:val="none"/>
        </w:rPr>
        <w:t>人，应酌情增加，并不小于</w:t>
      </w:r>
      <w:r>
        <w:rPr>
          <w:color w:val="auto"/>
          <w:highlight w:val="none"/>
        </w:rPr>
        <w:t>3.6m</w:t>
      </w:r>
      <w:r>
        <w:rPr>
          <w:color w:val="auto"/>
          <w:highlight w:val="none"/>
          <w:vertAlign w:val="superscript"/>
        </w:rPr>
        <w:t>3</w:t>
      </w:r>
      <w:r>
        <w:rPr>
          <w:rFonts w:hint="eastAsia"/>
          <w:color w:val="auto"/>
          <w:highlight w:val="none"/>
        </w:rPr>
        <w:t>。</w:t>
      </w:r>
    </w:p>
    <w:p>
      <w:pPr>
        <w:pStyle w:val="217"/>
        <w:rPr>
          <w:color w:val="auto"/>
          <w:highlight w:val="none"/>
        </w:rPr>
      </w:pPr>
      <w:r>
        <w:rPr>
          <w:color w:val="auto"/>
          <w:highlight w:val="none"/>
        </w:rPr>
        <w:drawing>
          <wp:inline distT="0" distB="0" distL="114300" distR="114300">
            <wp:extent cx="3206115" cy="1402080"/>
            <wp:effectExtent l="0" t="0" r="13335" b="7620"/>
            <wp:docPr id="20" name="图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21"/>
                    <pic:cNvPicPr>
                      <a:picLocks noChangeAspect="1"/>
                    </pic:cNvPicPr>
                  </pic:nvPicPr>
                  <pic:blipFill>
                    <a:blip r:embed="rId32"/>
                    <a:stretch>
                      <a:fillRect/>
                    </a:stretch>
                  </pic:blipFill>
                  <pic:spPr>
                    <a:xfrm>
                      <a:off x="0" y="0"/>
                      <a:ext cx="3206115" cy="1402080"/>
                    </a:xfrm>
                    <a:prstGeom prst="rect">
                      <a:avLst/>
                    </a:prstGeom>
                    <a:noFill/>
                    <a:ln>
                      <a:noFill/>
                    </a:ln>
                  </pic:spPr>
                </pic:pic>
              </a:graphicData>
            </a:graphic>
          </wp:inline>
        </w:drawing>
      </w:r>
    </w:p>
    <w:p>
      <w:pPr>
        <w:pStyle w:val="217"/>
        <w:ind w:firstLine="1560" w:firstLineChars="650"/>
        <w:rPr>
          <w:color w:val="auto"/>
          <w:highlight w:val="none"/>
        </w:rPr>
      </w:pPr>
      <w:r>
        <w:rPr>
          <w:rFonts w:hint="eastAsia"/>
          <w:color w:val="auto"/>
          <w:highlight w:val="none"/>
        </w:rPr>
        <w:t>隔油池平面布置示意图</w:t>
      </w:r>
    </w:p>
    <w:p>
      <w:pPr>
        <w:pStyle w:val="217"/>
        <w:rPr>
          <w:color w:val="auto"/>
          <w:highlight w:val="none"/>
        </w:rPr>
      </w:pPr>
    </w:p>
    <w:p>
      <w:pPr>
        <w:pStyle w:val="217"/>
        <w:rPr>
          <w:color w:val="auto"/>
          <w:highlight w:val="none"/>
        </w:rPr>
      </w:pPr>
      <w:r>
        <w:rPr>
          <w:color w:val="auto"/>
          <w:highlight w:val="none"/>
        </w:rPr>
        <w:drawing>
          <wp:inline distT="0" distB="0" distL="114300" distR="114300">
            <wp:extent cx="3169920" cy="2314575"/>
            <wp:effectExtent l="0" t="0" r="11430" b="9525"/>
            <wp:docPr id="21" name="图片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22"/>
                    <pic:cNvPicPr>
                      <a:picLocks noChangeAspect="1"/>
                    </pic:cNvPicPr>
                  </pic:nvPicPr>
                  <pic:blipFill>
                    <a:blip r:embed="rId33"/>
                    <a:stretch>
                      <a:fillRect/>
                    </a:stretch>
                  </pic:blipFill>
                  <pic:spPr>
                    <a:xfrm>
                      <a:off x="0" y="0"/>
                      <a:ext cx="3169920" cy="2314575"/>
                    </a:xfrm>
                    <a:prstGeom prst="rect">
                      <a:avLst/>
                    </a:prstGeom>
                    <a:noFill/>
                    <a:ln>
                      <a:noFill/>
                    </a:ln>
                  </pic:spPr>
                </pic:pic>
              </a:graphicData>
            </a:graphic>
          </wp:inline>
        </w:drawing>
      </w:r>
    </w:p>
    <w:p>
      <w:pPr>
        <w:pStyle w:val="217"/>
        <w:rPr>
          <w:color w:val="auto"/>
          <w:highlight w:val="none"/>
        </w:rPr>
      </w:pPr>
      <w:r>
        <w:rPr>
          <w:rFonts w:hint="eastAsia"/>
          <w:color w:val="auto"/>
          <w:highlight w:val="none"/>
        </w:rPr>
        <w:t>隔油池</w:t>
      </w:r>
      <w:r>
        <w:rPr>
          <w:color w:val="auto"/>
          <w:highlight w:val="none"/>
        </w:rPr>
        <w:t>1-1</w:t>
      </w:r>
      <w:r>
        <w:rPr>
          <w:rFonts w:hint="eastAsia"/>
          <w:color w:val="auto"/>
          <w:highlight w:val="none"/>
        </w:rPr>
        <w:t>剖面示意图</w:t>
      </w:r>
    </w:p>
    <w:p>
      <w:pPr>
        <w:rPr>
          <w:color w:val="auto"/>
          <w:highlight w:val="none"/>
        </w:rPr>
      </w:pPr>
    </w:p>
    <w:p>
      <w:pPr>
        <w:pStyle w:val="119"/>
        <w:rPr>
          <w:color w:val="auto"/>
          <w:highlight w:val="none"/>
        </w:rPr>
      </w:pPr>
      <w:r>
        <w:rPr>
          <w:color w:val="auto"/>
          <w:highlight w:val="none"/>
        </w:rPr>
        <w:t xml:space="preserve">3.3.2.4 </w:t>
      </w:r>
      <w:r>
        <w:rPr>
          <w:rFonts w:hint="eastAsia"/>
          <w:color w:val="auto"/>
          <w:highlight w:val="none"/>
        </w:rPr>
        <w:t>光污染控制</w:t>
      </w:r>
    </w:p>
    <w:p>
      <w:pPr>
        <w:pStyle w:val="217"/>
        <w:rPr>
          <w:color w:val="auto"/>
          <w:highlight w:val="none"/>
        </w:rPr>
      </w:pPr>
      <w:r>
        <w:rPr>
          <w:color w:val="auto"/>
          <w:highlight w:val="none"/>
        </w:rPr>
        <w:t>1.</w:t>
      </w:r>
      <w:r>
        <w:rPr>
          <w:rFonts w:hint="eastAsia"/>
          <w:color w:val="auto"/>
          <w:highlight w:val="none"/>
        </w:rPr>
        <w:t>光污染指标</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）夜间室外照明灯不直射施工场地以外区域；</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）钢结构焊接、钢筋加工等加工作业区强光不外泄。</w:t>
      </w:r>
    </w:p>
    <w:p>
      <w:pPr>
        <w:pStyle w:val="217"/>
        <w:rPr>
          <w:color w:val="auto"/>
          <w:highlight w:val="none"/>
        </w:rPr>
      </w:pPr>
      <w:r>
        <w:rPr>
          <w:color w:val="auto"/>
          <w:highlight w:val="none"/>
        </w:rPr>
        <w:t>2.</w:t>
      </w:r>
      <w:r>
        <w:rPr>
          <w:rFonts w:hint="eastAsia"/>
          <w:color w:val="auto"/>
          <w:highlight w:val="none"/>
        </w:rPr>
        <w:t>光污染管理</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）施工单位应合理安排作业时间，集中安排，尽量避免夜间施工；</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）在施工各阶段有对光污染方面控制措施和相关监测记录的有关报告。</w:t>
      </w:r>
    </w:p>
    <w:p>
      <w:pPr>
        <w:pStyle w:val="217"/>
        <w:rPr>
          <w:color w:val="auto"/>
          <w:highlight w:val="none"/>
        </w:rPr>
      </w:pPr>
      <w:r>
        <w:rPr>
          <w:color w:val="auto"/>
          <w:highlight w:val="none"/>
        </w:rPr>
        <w:t>3.</w:t>
      </w:r>
      <w:r>
        <w:rPr>
          <w:rFonts w:hint="eastAsia"/>
          <w:color w:val="auto"/>
          <w:highlight w:val="none"/>
        </w:rPr>
        <w:t>遮光措施</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）现场加工场地应根据加工作业类型设置挡光设施，对强光进行遮挡，如钢结构焊接设置遮光棚、钢筋加工处设可伸缩防护棚，防止电弧光外泄；</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）夜间室外照明灯应加设灯罩，控制灯罩角度，光照方向应集中在施工范围内。</w:t>
      </w:r>
    </w:p>
    <w:p>
      <w:pPr>
        <w:pStyle w:val="217"/>
        <w:rPr>
          <w:color w:val="auto"/>
          <w:highlight w:val="none"/>
        </w:rPr>
      </w:pPr>
    </w:p>
    <w:p>
      <w:pPr>
        <w:pStyle w:val="217"/>
        <w:rPr>
          <w:color w:val="auto"/>
          <w:highlight w:val="none"/>
        </w:rPr>
      </w:pPr>
      <w:r>
        <w:rPr>
          <w:color w:val="auto"/>
          <w:highlight w:val="none"/>
        </w:rPr>
        <w:drawing>
          <wp:inline distT="0" distB="0" distL="114300" distR="114300">
            <wp:extent cx="2084705" cy="1428750"/>
            <wp:effectExtent l="0" t="0" r="10795" b="0"/>
            <wp:docPr id="22" name="图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23"/>
                    <pic:cNvPicPr>
                      <a:picLocks noChangeAspect="1"/>
                    </pic:cNvPicPr>
                  </pic:nvPicPr>
                  <pic:blipFill>
                    <a:blip r:embed="rId34"/>
                    <a:stretch>
                      <a:fillRect/>
                    </a:stretch>
                  </pic:blipFill>
                  <pic:spPr>
                    <a:xfrm>
                      <a:off x="0" y="0"/>
                      <a:ext cx="2084705" cy="1428750"/>
                    </a:xfrm>
                    <a:prstGeom prst="rect">
                      <a:avLst/>
                    </a:prstGeom>
                    <a:noFill/>
                    <a:ln>
                      <a:noFill/>
                    </a:ln>
                  </pic:spPr>
                </pic:pic>
              </a:graphicData>
            </a:graphic>
          </wp:inline>
        </w:drawing>
      </w:r>
      <w:r>
        <w:rPr>
          <w:color w:val="auto"/>
          <w:highlight w:val="none"/>
        </w:rPr>
        <w:t xml:space="preserve">          </w:t>
      </w:r>
      <w:r>
        <w:rPr>
          <w:color w:val="auto"/>
          <w:highlight w:val="none"/>
        </w:rPr>
        <w:drawing>
          <wp:inline distT="0" distB="0" distL="114300" distR="114300">
            <wp:extent cx="2075815" cy="1438275"/>
            <wp:effectExtent l="0" t="0" r="635" b="9525"/>
            <wp:docPr id="23" name="图片 530" descr="灯罩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30" descr="灯罩图片"/>
                    <pic:cNvPicPr>
                      <a:picLocks noChangeAspect="1"/>
                    </pic:cNvPicPr>
                  </pic:nvPicPr>
                  <pic:blipFill>
                    <a:blip r:embed="rId35"/>
                    <a:stretch>
                      <a:fillRect/>
                    </a:stretch>
                  </pic:blipFill>
                  <pic:spPr>
                    <a:xfrm>
                      <a:off x="0" y="0"/>
                      <a:ext cx="2075815" cy="1438275"/>
                    </a:xfrm>
                    <a:prstGeom prst="rect">
                      <a:avLst/>
                    </a:prstGeom>
                    <a:noFill/>
                    <a:ln>
                      <a:noFill/>
                    </a:ln>
                  </pic:spPr>
                </pic:pic>
              </a:graphicData>
            </a:graphic>
          </wp:inline>
        </w:drawing>
      </w:r>
    </w:p>
    <w:p>
      <w:pPr>
        <w:pStyle w:val="217"/>
        <w:ind w:firstLine="1320" w:firstLineChars="550"/>
        <w:rPr>
          <w:color w:val="auto"/>
          <w:highlight w:val="none"/>
        </w:rPr>
      </w:pPr>
      <w:r>
        <w:rPr>
          <w:rFonts w:hint="eastAsia"/>
          <w:color w:val="auto"/>
          <w:highlight w:val="none"/>
        </w:rPr>
        <w:t>焊接防光挡板</w:t>
      </w:r>
      <w:r>
        <w:rPr>
          <w:color w:val="auto"/>
          <w:highlight w:val="none"/>
        </w:rPr>
        <w:t xml:space="preserve">                      </w:t>
      </w:r>
      <w:r>
        <w:rPr>
          <w:rFonts w:hint="eastAsia"/>
          <w:color w:val="auto"/>
          <w:highlight w:val="none"/>
        </w:rPr>
        <w:t>大型灯具控制灯罩角度</w:t>
      </w:r>
    </w:p>
    <w:p>
      <w:pPr>
        <w:pStyle w:val="217"/>
        <w:rPr>
          <w:color w:val="auto"/>
          <w:highlight w:val="none"/>
        </w:rPr>
      </w:pPr>
      <w:r>
        <w:rPr>
          <w:color w:val="auto"/>
          <w:highlight w:val="none"/>
        </w:rPr>
        <w:drawing>
          <wp:inline distT="0" distB="0" distL="114300" distR="114300">
            <wp:extent cx="2066925" cy="1429385"/>
            <wp:effectExtent l="0" t="0" r="9525" b="18415"/>
            <wp:docPr id="24"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32"/>
                    <pic:cNvPicPr>
                      <a:picLocks noChangeAspect="1"/>
                    </pic:cNvPicPr>
                  </pic:nvPicPr>
                  <pic:blipFill>
                    <a:blip r:embed="rId36"/>
                    <a:stretch>
                      <a:fillRect/>
                    </a:stretch>
                  </pic:blipFill>
                  <pic:spPr>
                    <a:xfrm>
                      <a:off x="0" y="0"/>
                      <a:ext cx="2066925" cy="1429385"/>
                    </a:xfrm>
                    <a:prstGeom prst="rect">
                      <a:avLst/>
                    </a:prstGeom>
                    <a:noFill/>
                    <a:ln>
                      <a:noFill/>
                    </a:ln>
                  </pic:spPr>
                </pic:pic>
              </a:graphicData>
            </a:graphic>
          </wp:inline>
        </w:drawing>
      </w:r>
    </w:p>
    <w:p>
      <w:pPr>
        <w:pStyle w:val="217"/>
        <w:rPr>
          <w:color w:val="auto"/>
          <w:highlight w:val="none"/>
        </w:rPr>
      </w:pPr>
      <w:r>
        <w:rPr>
          <w:rFonts w:hint="eastAsia"/>
          <w:color w:val="auto"/>
          <w:highlight w:val="none"/>
        </w:rPr>
        <w:t>钢筋加工处设可伸缩防护棚</w:t>
      </w:r>
    </w:p>
    <w:p>
      <w:pPr>
        <w:rPr>
          <w:color w:val="auto"/>
          <w:highlight w:val="none"/>
        </w:rPr>
      </w:pPr>
    </w:p>
    <w:p>
      <w:pPr>
        <w:pStyle w:val="119"/>
        <w:rPr>
          <w:color w:val="auto"/>
          <w:highlight w:val="none"/>
        </w:rPr>
      </w:pPr>
      <w:r>
        <w:rPr>
          <w:color w:val="auto"/>
          <w:highlight w:val="none"/>
        </w:rPr>
        <w:t xml:space="preserve">3.3.2.5 </w:t>
      </w:r>
      <w:r>
        <w:rPr>
          <w:rFonts w:hint="eastAsia"/>
          <w:color w:val="auto"/>
          <w:highlight w:val="none"/>
        </w:rPr>
        <w:t>噪音控制</w:t>
      </w:r>
    </w:p>
    <w:p>
      <w:pPr>
        <w:pStyle w:val="217"/>
        <w:rPr>
          <w:color w:val="auto"/>
          <w:highlight w:val="none"/>
        </w:rPr>
      </w:pPr>
      <w:r>
        <w:rPr>
          <w:color w:val="auto"/>
          <w:highlight w:val="none"/>
        </w:rPr>
        <w:t>1.</w:t>
      </w:r>
      <w:r>
        <w:rPr>
          <w:rFonts w:hint="eastAsia"/>
          <w:color w:val="auto"/>
          <w:highlight w:val="none"/>
        </w:rPr>
        <w:t>噪音指标</w:t>
      </w:r>
    </w:p>
    <w:p>
      <w:pPr>
        <w:pStyle w:val="217"/>
        <w:rPr>
          <w:color w:val="auto"/>
          <w:highlight w:val="none"/>
        </w:rPr>
      </w:pPr>
      <w:r>
        <w:rPr>
          <w:rFonts w:hint="eastAsia"/>
          <w:color w:val="auto"/>
          <w:highlight w:val="none"/>
        </w:rPr>
        <w:t>施工场界环境噪声排放昼间不应超过</w:t>
      </w:r>
      <w:r>
        <w:rPr>
          <w:color w:val="auto"/>
          <w:highlight w:val="none"/>
        </w:rPr>
        <w:t>70dB (A)</w:t>
      </w:r>
      <w:r>
        <w:rPr>
          <w:rFonts w:hint="eastAsia"/>
          <w:color w:val="auto"/>
          <w:highlight w:val="none"/>
        </w:rPr>
        <w:t>，夜间不应超过</w:t>
      </w:r>
      <w:r>
        <w:rPr>
          <w:color w:val="auto"/>
          <w:highlight w:val="none"/>
        </w:rPr>
        <w:t>55dB (A)</w:t>
      </w:r>
      <w:r>
        <w:rPr>
          <w:rFonts w:hint="eastAsia"/>
          <w:color w:val="auto"/>
          <w:highlight w:val="none"/>
        </w:rPr>
        <w:t>。</w:t>
      </w:r>
    </w:p>
    <w:p>
      <w:pPr>
        <w:pStyle w:val="217"/>
        <w:rPr>
          <w:color w:val="auto"/>
          <w:highlight w:val="none"/>
        </w:rPr>
      </w:pPr>
      <w:r>
        <w:rPr>
          <w:color w:val="auto"/>
          <w:highlight w:val="none"/>
        </w:rPr>
        <w:t>2.</w:t>
      </w:r>
      <w:r>
        <w:rPr>
          <w:rFonts w:hint="eastAsia"/>
          <w:color w:val="auto"/>
          <w:highlight w:val="none"/>
        </w:rPr>
        <w:t>噪音监测</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）施工场界内的噪音监测应有明确的测点布置图，根据不同施工阶段确定监测周期，进行实时智能化监测与控制。噪声测量方法应符合现行国家标准《建筑施工场界环境噪声排放标准》</w:t>
      </w:r>
      <w:r>
        <w:rPr>
          <w:color w:val="auto"/>
          <w:highlight w:val="none"/>
        </w:rPr>
        <w:t>GB 12523</w:t>
      </w:r>
      <w:r>
        <w:rPr>
          <w:rFonts w:hint="eastAsia"/>
          <w:color w:val="auto"/>
          <w:highlight w:val="none"/>
        </w:rPr>
        <w:t>的规定；</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）施工现场应设置显示屏公布实时噪音监测数据；</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）应有在施工各阶段对噪音方面控制措施和对应的监测报告；</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）噪音监测点布置在距离施工工地围挡内侧</w:t>
      </w:r>
      <w:r>
        <w:rPr>
          <w:color w:val="auto"/>
          <w:highlight w:val="none"/>
        </w:rPr>
        <w:t>0.5m</w:t>
      </w:r>
      <w:r>
        <w:rPr>
          <w:rFonts w:hint="eastAsia"/>
          <w:color w:val="auto"/>
          <w:highlight w:val="none"/>
        </w:rPr>
        <w:t>处，并宜布置在工地角点，与围挡同高，且各噪音监测点的间距不应大于</w:t>
      </w:r>
      <w:r>
        <w:rPr>
          <w:color w:val="auto"/>
          <w:highlight w:val="none"/>
        </w:rPr>
        <w:t>500m</w:t>
      </w:r>
      <w:r>
        <w:rPr>
          <w:rFonts w:hint="eastAsia"/>
          <w:color w:val="auto"/>
          <w:highlight w:val="none"/>
        </w:rPr>
        <w:t>，占地面积</w:t>
      </w:r>
      <w:r>
        <w:rPr>
          <w:color w:val="auto"/>
          <w:highlight w:val="none"/>
        </w:rPr>
        <w:t>5</w:t>
      </w:r>
      <w:r>
        <w:rPr>
          <w:rFonts w:hint="eastAsia"/>
          <w:color w:val="auto"/>
          <w:highlight w:val="none"/>
        </w:rPr>
        <w:t>万平方米及以上的建设工程扬尘监测点不少于</w:t>
      </w:r>
      <w:r>
        <w:rPr>
          <w:color w:val="auto"/>
          <w:highlight w:val="none"/>
        </w:rPr>
        <w:t>3</w:t>
      </w:r>
      <w:r>
        <w:rPr>
          <w:rFonts w:hint="eastAsia"/>
          <w:color w:val="auto"/>
          <w:highlight w:val="none"/>
        </w:rPr>
        <w:t>个，占地面积</w:t>
      </w:r>
      <w:r>
        <w:rPr>
          <w:color w:val="auto"/>
          <w:highlight w:val="none"/>
        </w:rPr>
        <w:t>5</w:t>
      </w:r>
      <w:r>
        <w:rPr>
          <w:rFonts w:hint="eastAsia"/>
          <w:color w:val="auto"/>
          <w:highlight w:val="none"/>
        </w:rPr>
        <w:t>万平方米以下的建设工程扬尘监测点不少于</w:t>
      </w:r>
      <w:r>
        <w:rPr>
          <w:color w:val="auto"/>
          <w:highlight w:val="none"/>
        </w:rPr>
        <w:t>2</w:t>
      </w:r>
      <w:r>
        <w:rPr>
          <w:rFonts w:hint="eastAsia"/>
          <w:color w:val="auto"/>
          <w:highlight w:val="none"/>
        </w:rPr>
        <w:t>个。施工场界每个方向面至少布置一个检测点。</w:t>
      </w:r>
    </w:p>
    <w:p>
      <w:pPr>
        <w:pStyle w:val="217"/>
        <w:rPr>
          <w:color w:val="auto"/>
          <w:highlight w:val="none"/>
        </w:rPr>
      </w:pPr>
      <w:r>
        <w:rPr>
          <w:color w:val="auto"/>
          <w:highlight w:val="none"/>
        </w:rPr>
        <w:t>3.</w:t>
      </w:r>
      <w:r>
        <w:rPr>
          <w:rFonts w:hint="eastAsia"/>
          <w:color w:val="auto"/>
          <w:highlight w:val="none"/>
        </w:rPr>
        <w:t>减少人为噪声</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）装卸材料时采取吊运或人工搬运装卸，不使用车辆倾斜卸料，人工抛掷等卸料方式。模板、脚手架的拆装应轻拆轻放，严禁高空抛掷，以控制人为噪音；</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）远距离作业指挥应使用对讲机传达指令，禁止采用高音喇叭进行作业指挥。</w:t>
      </w:r>
    </w:p>
    <w:p>
      <w:pPr>
        <w:pStyle w:val="217"/>
        <w:rPr>
          <w:color w:val="auto"/>
          <w:highlight w:val="none"/>
        </w:rPr>
      </w:pPr>
      <w:r>
        <w:rPr>
          <w:color w:val="auto"/>
          <w:highlight w:val="none"/>
        </w:rPr>
        <w:t>4.</w:t>
      </w:r>
      <w:r>
        <w:rPr>
          <w:rFonts w:hint="eastAsia"/>
          <w:color w:val="auto"/>
          <w:highlight w:val="none"/>
        </w:rPr>
        <w:t>现场道路</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）施工现场保持道路通畅平整，当采用钢板或路基箱对路面作临时加固时，钢板或路基箱应找平垫实，接头处应平整无高差，避免车辆行驶产生振动与噪音；</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）施工现场内应设置交通标识，组织有序交通；</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）施工车辆在场内硬化道路车速应控制在</w:t>
      </w:r>
      <w:r>
        <w:rPr>
          <w:color w:val="auto"/>
          <w:highlight w:val="none"/>
        </w:rPr>
        <w:t>20km/h</w:t>
      </w:r>
      <w:r>
        <w:rPr>
          <w:rFonts w:hint="eastAsia"/>
          <w:color w:val="auto"/>
          <w:highlight w:val="none"/>
        </w:rPr>
        <w:t>以内，在场内其他道路车速应控制在</w:t>
      </w:r>
      <w:r>
        <w:rPr>
          <w:color w:val="auto"/>
          <w:highlight w:val="none"/>
        </w:rPr>
        <w:t>5km/h</w:t>
      </w:r>
      <w:r>
        <w:rPr>
          <w:rFonts w:hint="eastAsia"/>
          <w:color w:val="auto"/>
          <w:highlight w:val="none"/>
        </w:rPr>
        <w:t>以内，禁止鸣笛。</w:t>
      </w:r>
    </w:p>
    <w:p>
      <w:pPr>
        <w:pStyle w:val="217"/>
        <w:rPr>
          <w:color w:val="auto"/>
          <w:highlight w:val="none"/>
        </w:rPr>
      </w:pPr>
      <w:r>
        <w:rPr>
          <w:color w:val="auto"/>
          <w:highlight w:val="none"/>
        </w:rPr>
        <w:t>5.</w:t>
      </w:r>
      <w:r>
        <w:rPr>
          <w:rFonts w:hint="eastAsia"/>
          <w:color w:val="auto"/>
          <w:highlight w:val="none"/>
        </w:rPr>
        <w:t>机械设备</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）施工过程使用低噪声、低振动的施工机械设备；</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噪声大的设备和施工工序安排在白天或封闭的室内作业，并设隔音罩、隔音板、吸声降噪屏等降噪、隔震措施，并远离施工现场办公区、生活区和周边住宅区，实行封闭管理。定期进行保养维护，加强润滑，保持良好的运行状态；</w:t>
      </w:r>
    </w:p>
    <w:p>
      <w:pPr>
        <w:pStyle w:val="217"/>
        <w:rPr>
          <w:color w:val="auto"/>
          <w:highlight w:val="none"/>
        </w:rPr>
      </w:pPr>
    </w:p>
    <w:p>
      <w:pPr>
        <w:pStyle w:val="217"/>
        <w:rPr>
          <w:color w:val="auto"/>
          <w:highlight w:val="none"/>
        </w:rPr>
      </w:pPr>
      <w:r>
        <w:rPr>
          <w:color w:val="auto"/>
          <w:highlight w:val="none"/>
        </w:rPr>
        <w:drawing>
          <wp:inline distT="0" distB="0" distL="114300" distR="114300">
            <wp:extent cx="1905000" cy="1428115"/>
            <wp:effectExtent l="0" t="0" r="0" b="635"/>
            <wp:docPr id="25"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34"/>
                    <pic:cNvPicPr>
                      <a:picLocks noChangeAspect="1"/>
                    </pic:cNvPicPr>
                  </pic:nvPicPr>
                  <pic:blipFill>
                    <a:blip r:embed="rId37"/>
                    <a:stretch>
                      <a:fillRect/>
                    </a:stretch>
                  </pic:blipFill>
                  <pic:spPr>
                    <a:xfrm>
                      <a:off x="0" y="0"/>
                      <a:ext cx="1905000" cy="1428115"/>
                    </a:xfrm>
                    <a:prstGeom prst="rect">
                      <a:avLst/>
                    </a:prstGeom>
                    <a:noFill/>
                    <a:ln>
                      <a:noFill/>
                    </a:ln>
                  </pic:spPr>
                </pic:pic>
              </a:graphicData>
            </a:graphic>
          </wp:inline>
        </w:drawing>
      </w:r>
      <w:r>
        <w:rPr>
          <w:color w:val="auto"/>
          <w:highlight w:val="none"/>
        </w:rPr>
        <w:t xml:space="preserve">             </w:t>
      </w:r>
      <w:r>
        <w:rPr>
          <w:color w:val="auto"/>
          <w:highlight w:val="none"/>
        </w:rPr>
        <w:drawing>
          <wp:inline distT="0" distB="0" distL="114300" distR="114300">
            <wp:extent cx="1980565" cy="1437640"/>
            <wp:effectExtent l="0" t="0" r="635" b="10160"/>
            <wp:docPr id="26" name="图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47"/>
                    <pic:cNvPicPr>
                      <a:picLocks noChangeAspect="1"/>
                    </pic:cNvPicPr>
                  </pic:nvPicPr>
                  <pic:blipFill>
                    <a:blip r:embed="rId38"/>
                    <a:stretch>
                      <a:fillRect/>
                    </a:stretch>
                  </pic:blipFill>
                  <pic:spPr>
                    <a:xfrm>
                      <a:off x="0" y="0"/>
                      <a:ext cx="1980565" cy="1437640"/>
                    </a:xfrm>
                    <a:prstGeom prst="rect">
                      <a:avLst/>
                    </a:prstGeom>
                    <a:noFill/>
                    <a:ln>
                      <a:noFill/>
                    </a:ln>
                  </pic:spPr>
                </pic:pic>
              </a:graphicData>
            </a:graphic>
          </wp:inline>
        </w:drawing>
      </w:r>
    </w:p>
    <w:p>
      <w:pPr>
        <w:pStyle w:val="217"/>
        <w:rPr>
          <w:color w:val="auto"/>
          <w:highlight w:val="none"/>
        </w:rPr>
      </w:pPr>
      <w:r>
        <w:rPr>
          <w:color w:val="auto"/>
          <w:highlight w:val="none"/>
        </w:rPr>
        <w:t xml:space="preserve">     </w:t>
      </w:r>
      <w:r>
        <w:rPr>
          <w:rFonts w:hint="eastAsia"/>
          <w:color w:val="auto"/>
          <w:highlight w:val="none"/>
        </w:rPr>
        <w:t>高噪音设备进棚</w:t>
      </w:r>
      <w:r>
        <w:rPr>
          <w:color w:val="auto"/>
          <w:highlight w:val="none"/>
        </w:rPr>
        <w:t xml:space="preserve">                       </w:t>
      </w:r>
      <w:r>
        <w:rPr>
          <w:rFonts w:hint="eastAsia"/>
          <w:color w:val="auto"/>
          <w:highlight w:val="none"/>
        </w:rPr>
        <w:t>高噪音设备加隔音罩</w:t>
      </w:r>
    </w:p>
    <w:p>
      <w:pPr>
        <w:rPr>
          <w:color w:val="auto"/>
          <w:highlight w:val="none"/>
        </w:rPr>
      </w:pP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）混凝土振捣采用低噪声振捣设备，也可采取围挡等降噪措施；在噪声敏感环境或钢筋密集时，宜采用自密实混凝土；</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）在城区或人口密集地区，不使用强夯法施工；</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）产生较大噪音的施工作业应严格控制在</w:t>
      </w:r>
      <w:r>
        <w:rPr>
          <w:color w:val="auto"/>
          <w:highlight w:val="none"/>
        </w:rPr>
        <w:t>6:00</w:t>
      </w:r>
      <w:r>
        <w:rPr>
          <w:rFonts w:hint="eastAsia"/>
          <w:color w:val="auto"/>
          <w:highlight w:val="none"/>
        </w:rPr>
        <w:t>至</w:t>
      </w:r>
      <w:r>
        <w:rPr>
          <w:color w:val="auto"/>
          <w:highlight w:val="none"/>
        </w:rPr>
        <w:t>22:00</w:t>
      </w:r>
      <w:r>
        <w:rPr>
          <w:rFonts w:hint="eastAsia"/>
          <w:color w:val="auto"/>
          <w:highlight w:val="none"/>
        </w:rPr>
        <w:t>之间进行。</w:t>
      </w:r>
    </w:p>
    <w:p>
      <w:pPr>
        <w:pStyle w:val="217"/>
        <w:rPr>
          <w:color w:val="auto"/>
          <w:highlight w:val="none"/>
        </w:rPr>
      </w:pPr>
      <w:r>
        <w:rPr>
          <w:color w:val="auto"/>
          <w:highlight w:val="none"/>
        </w:rPr>
        <w:t>6.</w:t>
      </w:r>
      <w:r>
        <w:rPr>
          <w:rFonts w:hint="eastAsia"/>
          <w:color w:val="auto"/>
          <w:highlight w:val="none"/>
        </w:rPr>
        <w:t>现场围挡</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）建筑工程结构施工楼层宜设置复合式降噪围挡；</w:t>
      </w:r>
    </w:p>
    <w:p>
      <w:pPr>
        <w:pStyle w:val="217"/>
        <w:rPr>
          <w:color w:val="auto"/>
          <w:highlight w:val="none"/>
        </w:rPr>
      </w:pPr>
    </w:p>
    <w:p>
      <w:pPr>
        <w:pStyle w:val="217"/>
        <w:rPr>
          <w:color w:val="auto"/>
          <w:highlight w:val="none"/>
        </w:rPr>
      </w:pPr>
      <w:r>
        <w:rPr>
          <w:color w:val="auto"/>
          <w:highlight w:val="none"/>
        </w:rPr>
        <w:drawing>
          <wp:inline distT="0" distB="0" distL="114300" distR="114300">
            <wp:extent cx="2294255" cy="2590800"/>
            <wp:effectExtent l="0" t="0" r="10795" b="0"/>
            <wp:docPr id="27" name="图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48"/>
                    <pic:cNvPicPr>
                      <a:picLocks noChangeAspect="1"/>
                    </pic:cNvPicPr>
                  </pic:nvPicPr>
                  <pic:blipFill>
                    <a:blip r:embed="rId39"/>
                    <a:stretch>
                      <a:fillRect/>
                    </a:stretch>
                  </pic:blipFill>
                  <pic:spPr>
                    <a:xfrm>
                      <a:off x="0" y="0"/>
                      <a:ext cx="2294255" cy="2590800"/>
                    </a:xfrm>
                    <a:prstGeom prst="rect">
                      <a:avLst/>
                    </a:prstGeom>
                    <a:noFill/>
                    <a:ln>
                      <a:noFill/>
                    </a:ln>
                  </pic:spPr>
                </pic:pic>
              </a:graphicData>
            </a:graphic>
          </wp:inline>
        </w:drawing>
      </w:r>
    </w:p>
    <w:p>
      <w:pPr>
        <w:pStyle w:val="217"/>
        <w:ind w:firstLine="1560" w:firstLineChars="650"/>
        <w:rPr>
          <w:color w:val="auto"/>
          <w:highlight w:val="none"/>
        </w:rPr>
      </w:pPr>
      <w:r>
        <w:rPr>
          <w:rFonts w:hint="eastAsia"/>
          <w:color w:val="auto"/>
          <w:highlight w:val="none"/>
        </w:rPr>
        <w:t>楼面混凝土施工防噪</w:t>
      </w:r>
    </w:p>
    <w:p>
      <w:pPr>
        <w:pStyle w:val="217"/>
        <w:rPr>
          <w:color w:val="auto"/>
          <w:highlight w:val="none"/>
        </w:rPr>
      </w:pPr>
    </w:p>
    <w:p>
      <w:pPr>
        <w:pStyle w:val="217"/>
        <w:rPr>
          <w:color w:val="auto"/>
          <w:highlight w:val="none"/>
        </w:rPr>
      </w:pPr>
      <w:r>
        <w:rPr>
          <w:color w:val="auto"/>
          <w:highlight w:val="none"/>
        </w:rPr>
        <w:drawing>
          <wp:inline distT="0" distB="0" distL="114300" distR="114300">
            <wp:extent cx="1988820" cy="2124075"/>
            <wp:effectExtent l="0" t="0" r="11430" b="9525"/>
            <wp:docPr id="28" name="图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49"/>
                    <pic:cNvPicPr>
                      <a:picLocks noChangeAspect="1"/>
                    </pic:cNvPicPr>
                  </pic:nvPicPr>
                  <pic:blipFill>
                    <a:blip r:embed="rId40"/>
                    <a:stretch>
                      <a:fillRect/>
                    </a:stretch>
                  </pic:blipFill>
                  <pic:spPr>
                    <a:xfrm>
                      <a:off x="0" y="0"/>
                      <a:ext cx="1988820" cy="2124075"/>
                    </a:xfrm>
                    <a:prstGeom prst="rect">
                      <a:avLst/>
                    </a:prstGeom>
                    <a:noFill/>
                    <a:ln>
                      <a:noFill/>
                    </a:ln>
                  </pic:spPr>
                </pic:pic>
              </a:graphicData>
            </a:graphic>
          </wp:inline>
        </w:drawing>
      </w:r>
      <w:r>
        <w:rPr>
          <w:color w:val="auto"/>
          <w:highlight w:val="none"/>
        </w:rPr>
        <w:t xml:space="preserve">           </w:t>
      </w:r>
      <w:r>
        <w:rPr>
          <w:color w:val="auto"/>
          <w:highlight w:val="none"/>
        </w:rPr>
        <w:drawing>
          <wp:inline distT="0" distB="0" distL="114300" distR="114300">
            <wp:extent cx="2048510" cy="2362835"/>
            <wp:effectExtent l="0" t="0" r="8890" b="18415"/>
            <wp:docPr id="29" name="图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50"/>
                    <pic:cNvPicPr>
                      <a:picLocks noChangeAspect="1"/>
                    </pic:cNvPicPr>
                  </pic:nvPicPr>
                  <pic:blipFill>
                    <a:blip r:embed="rId41"/>
                    <a:stretch>
                      <a:fillRect/>
                    </a:stretch>
                  </pic:blipFill>
                  <pic:spPr>
                    <a:xfrm>
                      <a:off x="0" y="0"/>
                      <a:ext cx="2048510" cy="2362835"/>
                    </a:xfrm>
                    <a:prstGeom prst="rect">
                      <a:avLst/>
                    </a:prstGeom>
                    <a:noFill/>
                    <a:ln>
                      <a:noFill/>
                    </a:ln>
                  </pic:spPr>
                </pic:pic>
              </a:graphicData>
            </a:graphic>
          </wp:inline>
        </w:drawing>
      </w:r>
    </w:p>
    <w:p>
      <w:pPr>
        <w:pStyle w:val="217"/>
        <w:ind w:firstLine="1440" w:firstLineChars="600"/>
        <w:rPr>
          <w:color w:val="auto"/>
          <w:highlight w:val="none"/>
        </w:rPr>
      </w:pPr>
      <w:r>
        <w:rPr>
          <w:rFonts w:hint="eastAsia"/>
          <w:color w:val="auto"/>
          <w:highlight w:val="none"/>
        </w:rPr>
        <w:t>复合式隔声围挡</w:t>
      </w:r>
      <w:r>
        <w:rPr>
          <w:color w:val="auto"/>
          <w:highlight w:val="none"/>
        </w:rPr>
        <w:t xml:space="preserve">                       1—1</w:t>
      </w:r>
      <w:r>
        <w:rPr>
          <w:rFonts w:hint="eastAsia"/>
          <w:color w:val="auto"/>
          <w:highlight w:val="none"/>
        </w:rPr>
        <w:t>剖面</w:t>
      </w:r>
    </w:p>
    <w:p>
      <w:pPr>
        <w:pStyle w:val="217"/>
        <w:rPr>
          <w:color w:val="auto"/>
          <w:highlight w:val="none"/>
        </w:rPr>
      </w:pP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）现场围挡应连续设置，不得有缺口、残破、断裂，围挡底端应设置防溢座，墙体材料可采用彩色金属板式围墙等可重复使用的材料；</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）对特殊地点无法设置围挡及防溢座的，应设置警示牌；</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）距噪音敏感区域（学校等建筑物）不足</w:t>
      </w:r>
      <w:r>
        <w:rPr>
          <w:color w:val="auto"/>
          <w:highlight w:val="none"/>
        </w:rPr>
        <w:t>30</w:t>
      </w:r>
      <w:r>
        <w:rPr>
          <w:rFonts w:hint="eastAsia"/>
          <w:color w:val="auto"/>
          <w:highlight w:val="none"/>
        </w:rPr>
        <w:t>米的施工现场，需在施工围挡内侧设置隔音屏，其高度不得低于</w:t>
      </w:r>
      <w:r>
        <w:rPr>
          <w:color w:val="auto"/>
          <w:highlight w:val="none"/>
        </w:rPr>
        <w:t>3m</w:t>
      </w:r>
      <w:r>
        <w:rPr>
          <w:rFonts w:hint="eastAsia"/>
          <w:color w:val="auto"/>
          <w:highlight w:val="none"/>
        </w:rPr>
        <w:t>。</w:t>
      </w:r>
    </w:p>
    <w:p>
      <w:pPr>
        <w:pStyle w:val="217"/>
        <w:rPr>
          <w:color w:val="auto"/>
          <w:highlight w:val="none"/>
        </w:rPr>
      </w:pPr>
      <w:r>
        <w:rPr>
          <w:color w:val="auto"/>
          <w:highlight w:val="none"/>
        </w:rPr>
        <w:drawing>
          <wp:inline distT="0" distB="0" distL="114300" distR="114300">
            <wp:extent cx="1990725" cy="1438275"/>
            <wp:effectExtent l="0" t="0" r="9525" b="9525"/>
            <wp:docPr id="30" name="图片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51"/>
                    <pic:cNvPicPr>
                      <a:picLocks noChangeAspect="1"/>
                    </pic:cNvPicPr>
                  </pic:nvPicPr>
                  <pic:blipFill>
                    <a:blip r:embed="rId42"/>
                    <a:stretch>
                      <a:fillRect/>
                    </a:stretch>
                  </pic:blipFill>
                  <pic:spPr>
                    <a:xfrm>
                      <a:off x="0" y="0"/>
                      <a:ext cx="1990725" cy="1438275"/>
                    </a:xfrm>
                    <a:prstGeom prst="rect">
                      <a:avLst/>
                    </a:prstGeom>
                    <a:noFill/>
                    <a:ln>
                      <a:noFill/>
                    </a:ln>
                  </pic:spPr>
                </pic:pic>
              </a:graphicData>
            </a:graphic>
          </wp:inline>
        </w:drawing>
      </w:r>
    </w:p>
    <w:p>
      <w:pPr>
        <w:pStyle w:val="217"/>
        <w:rPr>
          <w:color w:val="auto"/>
          <w:highlight w:val="none"/>
        </w:rPr>
      </w:pPr>
      <w:r>
        <w:rPr>
          <w:color w:val="auto"/>
          <w:highlight w:val="none"/>
        </w:rPr>
        <w:t xml:space="preserve">      </w:t>
      </w:r>
      <w:r>
        <w:rPr>
          <w:rFonts w:hint="eastAsia"/>
          <w:color w:val="auto"/>
          <w:highlight w:val="none"/>
        </w:rPr>
        <w:t>可移动式隔音屏</w:t>
      </w:r>
    </w:p>
    <w:p>
      <w:pPr>
        <w:rPr>
          <w:color w:val="auto"/>
          <w:highlight w:val="none"/>
        </w:rPr>
      </w:pPr>
    </w:p>
    <w:p>
      <w:pPr>
        <w:pStyle w:val="119"/>
        <w:rPr>
          <w:color w:val="auto"/>
          <w:highlight w:val="none"/>
        </w:rPr>
      </w:pPr>
      <w:r>
        <w:rPr>
          <w:color w:val="auto"/>
          <w:highlight w:val="none"/>
        </w:rPr>
        <w:t xml:space="preserve">3.3.2.6 </w:t>
      </w:r>
      <w:r>
        <w:rPr>
          <w:rFonts w:hint="eastAsia"/>
          <w:color w:val="auto"/>
          <w:highlight w:val="none"/>
        </w:rPr>
        <w:t>土壤保护措施</w:t>
      </w:r>
    </w:p>
    <w:p>
      <w:pPr>
        <w:pStyle w:val="217"/>
        <w:rPr>
          <w:color w:val="auto"/>
          <w:highlight w:val="none"/>
        </w:rPr>
      </w:pPr>
      <w:r>
        <w:rPr>
          <w:color w:val="auto"/>
          <w:highlight w:val="none"/>
        </w:rPr>
        <w:t>1.</w:t>
      </w:r>
      <w:r>
        <w:rPr>
          <w:rFonts w:hint="eastAsia"/>
          <w:color w:val="auto"/>
          <w:highlight w:val="none"/>
        </w:rPr>
        <w:t>土壤保护指标</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）施工场地内及周边施工影响土壤未受污染；</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）施工场地内及周边施工影响土壤未发生水土流失；</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）对受污染的场地进行了有效治理。</w:t>
      </w:r>
    </w:p>
    <w:p>
      <w:pPr>
        <w:pStyle w:val="217"/>
        <w:rPr>
          <w:color w:val="auto"/>
          <w:highlight w:val="none"/>
        </w:rPr>
      </w:pPr>
      <w:r>
        <w:rPr>
          <w:color w:val="auto"/>
          <w:highlight w:val="none"/>
        </w:rPr>
        <w:t>2.</w:t>
      </w:r>
      <w:r>
        <w:rPr>
          <w:rFonts w:hint="eastAsia"/>
          <w:color w:val="auto"/>
          <w:highlight w:val="none"/>
        </w:rPr>
        <w:t>土壤环境调查</w:t>
      </w:r>
    </w:p>
    <w:p>
      <w:pPr>
        <w:pStyle w:val="217"/>
        <w:rPr>
          <w:color w:val="auto"/>
          <w:highlight w:val="none"/>
        </w:rPr>
      </w:pPr>
      <w:r>
        <w:rPr>
          <w:rFonts w:hint="eastAsia"/>
          <w:color w:val="auto"/>
          <w:highlight w:val="none"/>
        </w:rPr>
        <w:t>工程开工前，应对施工场地所在地区的土壤环境现状进行调查，制定科学的保护或恢复措施，防止施工过程中造成土壤侵蚀、退化，减少施工活动对土壤环境的破坏和污染，并利用和保护施工用地范围内原有绿色植被。</w:t>
      </w:r>
    </w:p>
    <w:p>
      <w:pPr>
        <w:pStyle w:val="217"/>
        <w:rPr>
          <w:color w:val="auto"/>
          <w:highlight w:val="none"/>
        </w:rPr>
      </w:pPr>
      <w:r>
        <w:rPr>
          <w:color w:val="auto"/>
          <w:highlight w:val="none"/>
        </w:rPr>
        <w:t>3.</w:t>
      </w:r>
      <w:r>
        <w:rPr>
          <w:rFonts w:hint="eastAsia"/>
          <w:color w:val="auto"/>
          <w:highlight w:val="none"/>
        </w:rPr>
        <w:t>材料堆放</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施工现场油料、危险品、化学品（如乙炔、氧气、油漆、防腐剂等）及其废料应存放在封闭库房，有严格的隔水（油）层设计，防止渗漏，并应有渗漏液收集和处理措施，包括水平覆盖、底部防渗、固化和垂直阻隔幕墙等，防止土壤被污染；</w:t>
      </w:r>
    </w:p>
    <w:p>
      <w:pPr>
        <w:pStyle w:val="217"/>
        <w:rPr>
          <w:color w:val="auto"/>
          <w:highlight w:val="none"/>
        </w:rPr>
      </w:pPr>
      <w:r>
        <w:rPr>
          <w:color w:val="auto"/>
          <w:highlight w:val="none"/>
        </w:rPr>
        <w:drawing>
          <wp:inline distT="0" distB="0" distL="114300" distR="114300">
            <wp:extent cx="3679825" cy="1894205"/>
            <wp:effectExtent l="0" t="0" r="15875" b="10795"/>
            <wp:docPr id="31" name="图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52"/>
                    <pic:cNvPicPr>
                      <a:picLocks noChangeAspect="1"/>
                    </pic:cNvPicPr>
                  </pic:nvPicPr>
                  <pic:blipFill>
                    <a:blip r:embed="rId43"/>
                    <a:stretch>
                      <a:fillRect/>
                    </a:stretch>
                  </pic:blipFill>
                  <pic:spPr>
                    <a:xfrm>
                      <a:off x="0" y="0"/>
                      <a:ext cx="3679825" cy="1894205"/>
                    </a:xfrm>
                    <a:prstGeom prst="rect">
                      <a:avLst/>
                    </a:prstGeom>
                    <a:noFill/>
                    <a:ln>
                      <a:noFill/>
                    </a:ln>
                  </pic:spPr>
                </pic:pic>
              </a:graphicData>
            </a:graphic>
          </wp:inline>
        </w:drawing>
      </w:r>
    </w:p>
    <w:p>
      <w:pPr>
        <w:pStyle w:val="217"/>
        <w:rPr>
          <w:color w:val="auto"/>
          <w:highlight w:val="none"/>
        </w:rPr>
      </w:pPr>
      <w:r>
        <w:rPr>
          <w:color w:val="auto"/>
          <w:highlight w:val="none"/>
        </w:rPr>
        <w:t xml:space="preserve">                     </w:t>
      </w:r>
      <w:r>
        <w:rPr>
          <w:rFonts w:hint="eastAsia"/>
          <w:color w:val="auto"/>
          <w:highlight w:val="none"/>
        </w:rPr>
        <w:t>堆放场地示意图</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）废弃的油料和化学溶剂应分类回收集中处理，不得随意倾倒，避免污染土壤；</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）钢筋加工过程中产生的废弃物，应及时收集处理。</w:t>
      </w:r>
    </w:p>
    <w:p>
      <w:pPr>
        <w:pStyle w:val="217"/>
        <w:rPr>
          <w:color w:val="auto"/>
          <w:highlight w:val="none"/>
        </w:rPr>
      </w:pPr>
      <w:r>
        <w:rPr>
          <w:color w:val="auto"/>
          <w:highlight w:val="none"/>
        </w:rPr>
        <w:t>4.</w:t>
      </w:r>
      <w:r>
        <w:rPr>
          <w:rFonts w:hint="eastAsia"/>
          <w:color w:val="auto"/>
          <w:highlight w:val="none"/>
        </w:rPr>
        <w:t>防止水土流失</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）施工造成容易发生地表径流土壤流失的情况，应采取设置地表排水系统、稳定斜坡、植被覆盖、砂石覆盖等的措施；</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）规划红线外用地应办理相关手续，应尽量使用荒地、废地、不占用农田耕地。施工结束后，被破坏的原有植被场地应采取复原技术，如厚层基质种植技术、藤蔓植物上爬下挂复绿技术等。</w:t>
      </w:r>
    </w:p>
    <w:p>
      <w:pPr>
        <w:pStyle w:val="217"/>
        <w:rPr>
          <w:color w:val="auto"/>
          <w:highlight w:val="none"/>
        </w:rPr>
      </w:pPr>
    </w:p>
    <w:p>
      <w:pPr>
        <w:pStyle w:val="217"/>
        <w:rPr>
          <w:color w:val="auto"/>
          <w:highlight w:val="none"/>
        </w:rPr>
      </w:pPr>
      <w:r>
        <w:rPr>
          <w:color w:val="auto"/>
          <w:highlight w:val="none"/>
        </w:rPr>
        <w:drawing>
          <wp:inline distT="0" distB="0" distL="114300" distR="114300">
            <wp:extent cx="2161540" cy="1437640"/>
            <wp:effectExtent l="0" t="0" r="10160" b="10160"/>
            <wp:docPr id="32" name="图片 553" descr="DSC0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53" descr="DSC00668"/>
                    <pic:cNvPicPr>
                      <a:picLocks noChangeAspect="1"/>
                    </pic:cNvPicPr>
                  </pic:nvPicPr>
                  <pic:blipFill>
                    <a:blip r:embed="rId44"/>
                    <a:stretch>
                      <a:fillRect/>
                    </a:stretch>
                  </pic:blipFill>
                  <pic:spPr>
                    <a:xfrm>
                      <a:off x="0" y="0"/>
                      <a:ext cx="2161540" cy="1437640"/>
                    </a:xfrm>
                    <a:prstGeom prst="rect">
                      <a:avLst/>
                    </a:prstGeom>
                    <a:noFill/>
                    <a:ln>
                      <a:noFill/>
                    </a:ln>
                  </pic:spPr>
                </pic:pic>
              </a:graphicData>
            </a:graphic>
          </wp:inline>
        </w:drawing>
      </w:r>
      <w:r>
        <w:rPr>
          <w:color w:val="auto"/>
          <w:highlight w:val="none"/>
        </w:rPr>
        <w:t xml:space="preserve">        </w:t>
      </w:r>
      <w:r>
        <w:rPr>
          <w:color w:val="auto"/>
          <w:highlight w:val="none"/>
        </w:rPr>
        <w:drawing>
          <wp:inline distT="0" distB="0" distL="114300" distR="114300">
            <wp:extent cx="2161540" cy="1438275"/>
            <wp:effectExtent l="0" t="0" r="10160" b="9525"/>
            <wp:docPr id="33" name="图片 554" descr="边坡临时绿化"/>
            <wp:cNvGraphicFramePr/>
            <a:graphic xmlns:a="http://schemas.openxmlformats.org/drawingml/2006/main">
              <a:graphicData uri="http://schemas.openxmlformats.org/drawingml/2006/picture">
                <pic:pic xmlns:pic="http://schemas.openxmlformats.org/drawingml/2006/picture">
                  <pic:nvPicPr>
                    <pic:cNvPr id="33" name="图片 554" descr="边坡临时绿化"/>
                    <pic:cNvPicPr/>
                  </pic:nvPicPr>
                  <pic:blipFill>
                    <a:blip r:embed="rId45"/>
                    <a:stretch>
                      <a:fillRect/>
                    </a:stretch>
                  </pic:blipFill>
                  <pic:spPr>
                    <a:xfrm>
                      <a:off x="0" y="0"/>
                      <a:ext cx="2161540" cy="1438275"/>
                    </a:xfrm>
                    <a:prstGeom prst="rect">
                      <a:avLst/>
                    </a:prstGeom>
                    <a:noFill/>
                    <a:ln>
                      <a:noFill/>
                    </a:ln>
                  </pic:spPr>
                </pic:pic>
              </a:graphicData>
            </a:graphic>
          </wp:inline>
        </w:drawing>
      </w:r>
    </w:p>
    <w:p>
      <w:pPr>
        <w:pStyle w:val="217"/>
        <w:ind w:firstLine="960" w:firstLineChars="400"/>
        <w:rPr>
          <w:color w:val="auto"/>
          <w:highlight w:val="none"/>
        </w:rPr>
      </w:pPr>
      <w:r>
        <w:rPr>
          <w:rFonts w:hint="eastAsia"/>
          <w:color w:val="auto"/>
          <w:highlight w:val="none"/>
        </w:rPr>
        <w:t>覆盖绿化，避免水土流失</w:t>
      </w:r>
      <w:r>
        <w:rPr>
          <w:color w:val="auto"/>
          <w:highlight w:val="none"/>
        </w:rPr>
        <w:t xml:space="preserve">                   </w:t>
      </w:r>
      <w:r>
        <w:rPr>
          <w:rFonts w:hint="eastAsia"/>
          <w:color w:val="auto"/>
          <w:highlight w:val="none"/>
        </w:rPr>
        <w:t>边坡复绿</w:t>
      </w:r>
    </w:p>
    <w:p>
      <w:pPr>
        <w:pStyle w:val="217"/>
        <w:ind w:firstLine="960" w:firstLineChars="400"/>
        <w:rPr>
          <w:color w:val="auto"/>
          <w:highlight w:val="none"/>
        </w:rPr>
      </w:pPr>
    </w:p>
    <w:p>
      <w:pPr>
        <w:pStyle w:val="217"/>
        <w:rPr>
          <w:color w:val="auto"/>
          <w:highlight w:val="none"/>
        </w:rPr>
      </w:pPr>
      <w:r>
        <w:rPr>
          <w:color w:val="auto"/>
          <w:highlight w:val="none"/>
        </w:rPr>
        <w:t>5.</w:t>
      </w:r>
      <w:r>
        <w:rPr>
          <w:rFonts w:hint="eastAsia"/>
          <w:color w:val="auto"/>
          <w:highlight w:val="none"/>
        </w:rPr>
        <w:t>污染场地治理</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）不将有毒有害废弃物作土方回填；</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）在受污染的场地进行施工或施工现场发生污染物污染土壤时，应及时向当地有关部门上报，并对土质进行专项检测和评定后再进行治理，按当地环保部门的规定采取相应的场地土污染综合防治技术。</w:t>
      </w:r>
    </w:p>
    <w:p>
      <w:pPr>
        <w:pStyle w:val="119"/>
        <w:rPr>
          <w:color w:val="auto"/>
          <w:highlight w:val="none"/>
        </w:rPr>
      </w:pPr>
      <w:r>
        <w:rPr>
          <w:color w:val="auto"/>
          <w:highlight w:val="none"/>
        </w:rPr>
        <w:t xml:space="preserve">3.3.2.7 </w:t>
      </w:r>
      <w:r>
        <w:rPr>
          <w:rFonts w:hint="eastAsia"/>
          <w:color w:val="auto"/>
          <w:highlight w:val="none"/>
        </w:rPr>
        <w:t>废气排放控制措施</w:t>
      </w:r>
    </w:p>
    <w:p>
      <w:pPr>
        <w:pStyle w:val="217"/>
        <w:rPr>
          <w:color w:val="auto"/>
          <w:highlight w:val="none"/>
        </w:rPr>
      </w:pPr>
      <w:r>
        <w:rPr>
          <w:color w:val="auto"/>
          <w:highlight w:val="none"/>
        </w:rPr>
        <w:t>1.</w:t>
      </w:r>
      <w:r>
        <w:rPr>
          <w:rFonts w:hint="eastAsia"/>
          <w:color w:val="auto"/>
          <w:highlight w:val="none"/>
        </w:rPr>
        <w:t>废气排放指标</w:t>
      </w:r>
    </w:p>
    <w:p>
      <w:pPr>
        <w:pStyle w:val="217"/>
        <w:rPr>
          <w:color w:val="auto"/>
          <w:highlight w:val="none"/>
        </w:rPr>
      </w:pPr>
      <w:r>
        <w:rPr>
          <w:rFonts w:hint="eastAsia"/>
          <w:color w:val="auto"/>
          <w:highlight w:val="none"/>
        </w:rPr>
        <w:t>进出场车辆及机械设备废气排放符合国家年检要求，项目部对进场车辆进行登记。</w:t>
      </w:r>
    </w:p>
    <w:p>
      <w:pPr>
        <w:pStyle w:val="217"/>
        <w:rPr>
          <w:color w:val="auto"/>
          <w:highlight w:val="none"/>
        </w:rPr>
      </w:pPr>
      <w:r>
        <w:rPr>
          <w:color w:val="auto"/>
          <w:highlight w:val="none"/>
        </w:rPr>
        <w:t>2.</w:t>
      </w:r>
      <w:r>
        <w:rPr>
          <w:rFonts w:hint="eastAsia"/>
          <w:color w:val="auto"/>
          <w:highlight w:val="none"/>
        </w:rPr>
        <w:t>现场管理</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）不在施工现场焚烧各类废弃物，以及在施工现场融化沥青或焚烧油毡、油漆以及其他产生有毒、有害烟尘和恶臭气体的物质；</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）具有挥发性有毒气体的材料密闭储存，使用时按需取量。</w:t>
      </w:r>
    </w:p>
    <w:p>
      <w:pPr>
        <w:pStyle w:val="217"/>
        <w:rPr>
          <w:color w:val="auto"/>
          <w:highlight w:val="none"/>
        </w:rPr>
      </w:pPr>
      <w:r>
        <w:rPr>
          <w:color w:val="auto"/>
          <w:highlight w:val="none"/>
        </w:rPr>
        <w:t>3.</w:t>
      </w:r>
      <w:r>
        <w:rPr>
          <w:rFonts w:hint="eastAsia"/>
          <w:color w:val="auto"/>
          <w:highlight w:val="none"/>
        </w:rPr>
        <w:t>施工机械</w:t>
      </w:r>
    </w:p>
    <w:p>
      <w:pPr>
        <w:pStyle w:val="217"/>
        <w:rPr>
          <w:color w:val="auto"/>
          <w:highlight w:val="none"/>
        </w:rPr>
      </w:pPr>
      <w:r>
        <w:rPr>
          <w:rFonts w:hint="eastAsia"/>
          <w:color w:val="auto"/>
          <w:highlight w:val="none"/>
        </w:rPr>
        <w:t>选用低能耗、低排放、低噪声的施工机械。使用新能源工程机械替代传统工程机械（以柴油机为动力装置），主要包括：</w:t>
      </w:r>
      <w:r>
        <w:rPr>
          <w:color w:val="auto"/>
          <w:highlight w:val="none"/>
        </w:rPr>
        <w:t>LNG</w:t>
      </w:r>
      <w:r>
        <w:rPr>
          <w:rFonts w:hint="eastAsia"/>
          <w:color w:val="auto"/>
          <w:highlight w:val="none"/>
        </w:rPr>
        <w:t>工程机械、电驱动工程机械、双动力工程机械和混合动力工程机械。施工现场车辆及机械设备废气、食堂烟气、电焊烟气、防水施工烟气排放应符合相关排放标准规定。</w:t>
      </w:r>
    </w:p>
    <w:p>
      <w:pPr>
        <w:pStyle w:val="217"/>
        <w:rPr>
          <w:color w:val="auto"/>
          <w:highlight w:val="none"/>
        </w:rPr>
      </w:pPr>
    </w:p>
    <w:p>
      <w:pPr>
        <w:pStyle w:val="217"/>
        <w:rPr>
          <w:color w:val="auto"/>
          <w:highlight w:val="none"/>
        </w:rPr>
      </w:pPr>
      <w:r>
        <w:rPr>
          <w:color w:val="auto"/>
          <w:highlight w:val="none"/>
        </w:rPr>
        <w:drawing>
          <wp:inline distT="0" distB="0" distL="114300" distR="114300">
            <wp:extent cx="2143125" cy="1418590"/>
            <wp:effectExtent l="0" t="0" r="9525" b="10160"/>
            <wp:docPr id="34" name="图片 555" descr="LNG1"/>
            <wp:cNvGraphicFramePr/>
            <a:graphic xmlns:a="http://schemas.openxmlformats.org/drawingml/2006/main">
              <a:graphicData uri="http://schemas.openxmlformats.org/drawingml/2006/picture">
                <pic:pic xmlns:pic="http://schemas.openxmlformats.org/drawingml/2006/picture">
                  <pic:nvPicPr>
                    <pic:cNvPr id="34" name="图片 555" descr="LNG1"/>
                    <pic:cNvPicPr/>
                  </pic:nvPicPr>
                  <pic:blipFill>
                    <a:blip r:embed="rId46"/>
                    <a:stretch>
                      <a:fillRect/>
                    </a:stretch>
                  </pic:blipFill>
                  <pic:spPr>
                    <a:xfrm>
                      <a:off x="0" y="0"/>
                      <a:ext cx="2143125" cy="1418590"/>
                    </a:xfrm>
                    <a:prstGeom prst="rect">
                      <a:avLst/>
                    </a:prstGeom>
                    <a:noFill/>
                    <a:ln>
                      <a:noFill/>
                    </a:ln>
                  </pic:spPr>
                </pic:pic>
              </a:graphicData>
            </a:graphic>
          </wp:inline>
        </w:drawing>
      </w:r>
      <w:r>
        <w:rPr>
          <w:color w:val="auto"/>
          <w:highlight w:val="none"/>
        </w:rPr>
        <w:t xml:space="preserve">        </w:t>
      </w:r>
      <w:r>
        <w:rPr>
          <w:color w:val="auto"/>
          <w:highlight w:val="none"/>
        </w:rPr>
        <w:drawing>
          <wp:inline distT="0" distB="0" distL="114300" distR="114300">
            <wp:extent cx="2152015" cy="1429385"/>
            <wp:effectExtent l="0" t="0" r="635" b="18415"/>
            <wp:docPr id="35" name="图片 556" descr="电动111"/>
            <wp:cNvGraphicFramePr/>
            <a:graphic xmlns:a="http://schemas.openxmlformats.org/drawingml/2006/main">
              <a:graphicData uri="http://schemas.openxmlformats.org/drawingml/2006/picture">
                <pic:pic xmlns:pic="http://schemas.openxmlformats.org/drawingml/2006/picture">
                  <pic:nvPicPr>
                    <pic:cNvPr id="35" name="图片 556" descr="电动111"/>
                    <pic:cNvPicPr/>
                  </pic:nvPicPr>
                  <pic:blipFill>
                    <a:blip r:embed="rId47"/>
                    <a:stretch>
                      <a:fillRect/>
                    </a:stretch>
                  </pic:blipFill>
                  <pic:spPr>
                    <a:xfrm>
                      <a:off x="0" y="0"/>
                      <a:ext cx="2152015" cy="1429385"/>
                    </a:xfrm>
                    <a:prstGeom prst="rect">
                      <a:avLst/>
                    </a:prstGeom>
                    <a:noFill/>
                    <a:ln>
                      <a:noFill/>
                    </a:ln>
                  </pic:spPr>
                </pic:pic>
              </a:graphicData>
            </a:graphic>
          </wp:inline>
        </w:drawing>
      </w:r>
    </w:p>
    <w:p>
      <w:pPr>
        <w:pStyle w:val="217"/>
        <w:ind w:firstLine="1440" w:firstLineChars="600"/>
        <w:rPr>
          <w:color w:val="auto"/>
          <w:highlight w:val="none"/>
        </w:rPr>
      </w:pPr>
      <w:r>
        <w:rPr>
          <w:color w:val="auto"/>
          <w:highlight w:val="none"/>
        </w:rPr>
        <w:t xml:space="preserve"> LNG</w:t>
      </w:r>
      <w:r>
        <w:rPr>
          <w:rFonts w:hint="eastAsia"/>
          <w:color w:val="auto"/>
          <w:highlight w:val="none"/>
        </w:rPr>
        <w:t>装载机</w:t>
      </w:r>
      <w:r>
        <w:rPr>
          <w:color w:val="auto"/>
          <w:highlight w:val="none"/>
        </w:rPr>
        <w:t xml:space="preserve">                          </w:t>
      </w:r>
      <w:r>
        <w:rPr>
          <w:rFonts w:hint="eastAsia"/>
          <w:color w:val="auto"/>
          <w:highlight w:val="none"/>
        </w:rPr>
        <w:t>电驱动挖掘机</w:t>
      </w:r>
    </w:p>
    <w:p>
      <w:pPr>
        <w:pStyle w:val="217"/>
        <w:rPr>
          <w:color w:val="auto"/>
          <w:highlight w:val="none"/>
        </w:rPr>
      </w:pPr>
      <w:r>
        <w:rPr>
          <w:color w:val="auto"/>
          <w:highlight w:val="none"/>
        </w:rPr>
        <w:drawing>
          <wp:inline distT="0" distB="0" distL="114300" distR="114300">
            <wp:extent cx="2141855" cy="1421130"/>
            <wp:effectExtent l="0" t="0" r="10795" b="7620"/>
            <wp:docPr id="36" name="图片 557" descr="双动力111"/>
            <wp:cNvGraphicFramePr/>
            <a:graphic xmlns:a="http://schemas.openxmlformats.org/drawingml/2006/main">
              <a:graphicData uri="http://schemas.openxmlformats.org/drawingml/2006/picture">
                <pic:pic xmlns:pic="http://schemas.openxmlformats.org/drawingml/2006/picture">
                  <pic:nvPicPr>
                    <pic:cNvPr id="36" name="图片 557" descr="双动力111"/>
                    <pic:cNvPicPr/>
                  </pic:nvPicPr>
                  <pic:blipFill>
                    <a:blip r:embed="rId48"/>
                    <a:stretch>
                      <a:fillRect/>
                    </a:stretch>
                  </pic:blipFill>
                  <pic:spPr>
                    <a:xfrm>
                      <a:off x="0" y="0"/>
                      <a:ext cx="2141855" cy="1421130"/>
                    </a:xfrm>
                    <a:prstGeom prst="rect">
                      <a:avLst/>
                    </a:prstGeom>
                    <a:noFill/>
                    <a:ln>
                      <a:noFill/>
                    </a:ln>
                  </pic:spPr>
                </pic:pic>
              </a:graphicData>
            </a:graphic>
          </wp:inline>
        </w:drawing>
      </w:r>
      <w:r>
        <w:rPr>
          <w:color w:val="auto"/>
          <w:highlight w:val="none"/>
        </w:rPr>
        <w:t xml:space="preserve">        </w:t>
      </w:r>
      <w:r>
        <w:rPr>
          <w:color w:val="auto"/>
          <w:highlight w:val="none"/>
        </w:rPr>
        <w:drawing>
          <wp:inline distT="0" distB="0" distL="114300" distR="114300">
            <wp:extent cx="2143125" cy="1420495"/>
            <wp:effectExtent l="0" t="0" r="9525" b="8255"/>
            <wp:docPr id="37" name="图片 558" descr="混合动力2"/>
            <wp:cNvGraphicFramePr/>
            <a:graphic xmlns:a="http://schemas.openxmlformats.org/drawingml/2006/main">
              <a:graphicData uri="http://schemas.openxmlformats.org/drawingml/2006/picture">
                <pic:pic xmlns:pic="http://schemas.openxmlformats.org/drawingml/2006/picture">
                  <pic:nvPicPr>
                    <pic:cNvPr id="37" name="图片 558" descr="混合动力2"/>
                    <pic:cNvPicPr/>
                  </pic:nvPicPr>
                  <pic:blipFill>
                    <a:blip r:embed="rId49"/>
                    <a:stretch>
                      <a:fillRect/>
                    </a:stretch>
                  </pic:blipFill>
                  <pic:spPr>
                    <a:xfrm>
                      <a:off x="0" y="0"/>
                      <a:ext cx="2143125" cy="1420495"/>
                    </a:xfrm>
                    <a:prstGeom prst="rect">
                      <a:avLst/>
                    </a:prstGeom>
                    <a:noFill/>
                    <a:ln>
                      <a:noFill/>
                    </a:ln>
                  </pic:spPr>
                </pic:pic>
              </a:graphicData>
            </a:graphic>
          </wp:inline>
        </w:drawing>
      </w:r>
    </w:p>
    <w:p>
      <w:pPr>
        <w:pStyle w:val="217"/>
        <w:rPr>
          <w:color w:val="auto"/>
          <w:highlight w:val="none"/>
        </w:rPr>
      </w:pPr>
      <w:r>
        <w:rPr>
          <w:color w:val="auto"/>
          <w:highlight w:val="none"/>
        </w:rPr>
        <w:t xml:space="preserve">        </w:t>
      </w:r>
      <w:r>
        <w:rPr>
          <w:rFonts w:hint="eastAsia"/>
          <w:color w:val="auto"/>
          <w:highlight w:val="none"/>
        </w:rPr>
        <w:t>双动力挖掘机</w:t>
      </w:r>
      <w:r>
        <w:rPr>
          <w:color w:val="auto"/>
          <w:highlight w:val="none"/>
        </w:rPr>
        <w:t xml:space="preserve">                        </w:t>
      </w:r>
      <w:r>
        <w:rPr>
          <w:rFonts w:hint="eastAsia"/>
          <w:color w:val="auto"/>
          <w:highlight w:val="none"/>
        </w:rPr>
        <w:t>混合动力挖掘机</w:t>
      </w:r>
    </w:p>
    <w:p>
      <w:pPr>
        <w:pStyle w:val="217"/>
        <w:rPr>
          <w:color w:val="auto"/>
          <w:highlight w:val="none"/>
        </w:rPr>
      </w:pPr>
    </w:p>
    <w:p>
      <w:pPr>
        <w:pStyle w:val="217"/>
        <w:rPr>
          <w:color w:val="auto"/>
          <w:highlight w:val="none"/>
        </w:rPr>
      </w:pPr>
      <w:r>
        <w:rPr>
          <w:color w:val="auto"/>
          <w:highlight w:val="none"/>
        </w:rPr>
        <w:t>4.</w:t>
      </w:r>
      <w:r>
        <w:rPr>
          <w:rFonts w:hint="eastAsia"/>
          <w:color w:val="auto"/>
          <w:highlight w:val="none"/>
        </w:rPr>
        <w:t>清洁燃料</w:t>
      </w:r>
    </w:p>
    <w:p>
      <w:pPr>
        <w:pStyle w:val="217"/>
        <w:rPr>
          <w:color w:val="auto"/>
          <w:highlight w:val="none"/>
        </w:rPr>
      </w:pPr>
      <w:r>
        <w:rPr>
          <w:rFonts w:hint="eastAsia"/>
          <w:color w:val="auto"/>
          <w:highlight w:val="none"/>
        </w:rPr>
        <w:t>施工现场使用的热水锅炉等使用清洁燃料，如太阳能、空气热能等。不用煤、木材、橡胶等材料作为现场生活和作业燃料。</w:t>
      </w:r>
    </w:p>
    <w:p>
      <w:pPr>
        <w:pStyle w:val="217"/>
        <w:rPr>
          <w:color w:val="auto"/>
          <w:highlight w:val="none"/>
        </w:rPr>
      </w:pPr>
      <w:r>
        <w:rPr>
          <w:color w:val="auto"/>
          <w:highlight w:val="none"/>
        </w:rPr>
        <w:t>5.</w:t>
      </w:r>
      <w:r>
        <w:rPr>
          <w:rFonts w:hint="eastAsia"/>
          <w:color w:val="auto"/>
          <w:highlight w:val="none"/>
        </w:rPr>
        <w:t>材料选用</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）室内装饰装修材料应按现行国家标准《民用建筑工程室内环境污染控制规范》</w:t>
      </w:r>
      <w:r>
        <w:rPr>
          <w:color w:val="auto"/>
          <w:highlight w:val="none"/>
        </w:rPr>
        <w:t>GB 50325</w:t>
      </w:r>
      <w:r>
        <w:rPr>
          <w:rFonts w:hint="eastAsia"/>
          <w:color w:val="auto"/>
          <w:highlight w:val="none"/>
        </w:rPr>
        <w:t>的要求进行甲醛、氨、挥发性有机化合物和放射性等有害指标的检测；</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）钢结构现场涂料选用无污染、耐候性好的材料。室内装修材料选用绿色环保材料，对人体有害物质的含量应符合相关标准规定。</w:t>
      </w:r>
    </w:p>
    <w:p>
      <w:pPr>
        <w:pStyle w:val="119"/>
        <w:rPr>
          <w:color w:val="auto"/>
          <w:highlight w:val="none"/>
        </w:rPr>
      </w:pPr>
      <w:r>
        <w:rPr>
          <w:color w:val="auto"/>
          <w:highlight w:val="none"/>
        </w:rPr>
        <w:t xml:space="preserve">3.3.2.8 </w:t>
      </w:r>
      <w:r>
        <w:rPr>
          <w:rFonts w:hint="eastAsia"/>
          <w:color w:val="auto"/>
          <w:highlight w:val="none"/>
        </w:rPr>
        <w:t>建筑垃圾处理</w:t>
      </w:r>
    </w:p>
    <w:p>
      <w:pPr>
        <w:pStyle w:val="217"/>
        <w:rPr>
          <w:color w:val="auto"/>
          <w:highlight w:val="none"/>
        </w:rPr>
      </w:pPr>
      <w:r>
        <w:rPr>
          <w:color w:val="auto"/>
          <w:highlight w:val="none"/>
        </w:rPr>
        <w:t>1.</w:t>
      </w:r>
      <w:r>
        <w:rPr>
          <w:rFonts w:hint="eastAsia"/>
          <w:color w:val="auto"/>
          <w:highlight w:val="none"/>
        </w:rPr>
        <w:t>建筑垃圾指标</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）建筑垃圾未对施工场地及周边道路环境产生不良影响；</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）建筑垃圾回收再利用率不少于</w:t>
      </w:r>
      <w:r>
        <w:rPr>
          <w:color w:val="auto"/>
          <w:highlight w:val="none"/>
        </w:rPr>
        <w:t>30%</w:t>
      </w:r>
      <w:r>
        <w:rPr>
          <w:rFonts w:hint="eastAsia"/>
          <w:color w:val="auto"/>
          <w:highlight w:val="none"/>
        </w:rPr>
        <w:t>。</w:t>
      </w:r>
    </w:p>
    <w:p>
      <w:pPr>
        <w:pStyle w:val="217"/>
        <w:rPr>
          <w:color w:val="auto"/>
          <w:highlight w:val="none"/>
        </w:rPr>
      </w:pPr>
      <w:r>
        <w:rPr>
          <w:color w:val="auto"/>
          <w:highlight w:val="none"/>
        </w:rPr>
        <w:t>2.</w:t>
      </w:r>
      <w:r>
        <w:rPr>
          <w:rFonts w:hint="eastAsia"/>
          <w:color w:val="auto"/>
          <w:highlight w:val="none"/>
        </w:rPr>
        <w:t>管理制度</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）项目施工前应结合工程特点和现场情况，在编制专项方案时对产生建筑垃圾的部位、数量进行预测排查，列出建筑垃圾分类及利用数量表；</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）项目部应建立健全建筑垃圾回收利用制度。</w:t>
      </w:r>
    </w:p>
    <w:p>
      <w:pPr>
        <w:pStyle w:val="217"/>
        <w:rPr>
          <w:color w:val="auto"/>
          <w:highlight w:val="none"/>
        </w:rPr>
      </w:pPr>
      <w:r>
        <w:rPr>
          <w:color w:val="auto"/>
          <w:highlight w:val="none"/>
        </w:rPr>
        <w:t>3.</w:t>
      </w:r>
      <w:r>
        <w:rPr>
          <w:rFonts w:hint="eastAsia"/>
          <w:color w:val="auto"/>
          <w:highlight w:val="none"/>
        </w:rPr>
        <w:t>垃圾收集</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）施工现场应设置封闭式垃圾容器，实行袋装化，垃圾容器应分为可回收利用与不可回收利用两类；</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）不将建筑拆除物混人生活垃圾，不得将危险废弃物混人建筑拆除物；</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）废弃的油料、化学溶剂和其它化学废弃物，包括废电池、废墨盒等，应分类，并封闭回收，并设置醒目标识；</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）不在施工现场熔化沥青和焚烧油毡、油漆；高压喷射注浆法施工的浆液应有专用容器存放，置换出的废浆应收集清理；</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）禁止在施工现场围档外堆放建筑垃圾。</w:t>
      </w:r>
    </w:p>
    <w:p>
      <w:pPr>
        <w:pStyle w:val="217"/>
        <w:rPr>
          <w:color w:val="auto"/>
          <w:highlight w:val="none"/>
        </w:rPr>
      </w:pPr>
    </w:p>
    <w:p>
      <w:pPr>
        <w:pStyle w:val="217"/>
        <w:rPr>
          <w:color w:val="auto"/>
          <w:highlight w:val="none"/>
        </w:rPr>
      </w:pPr>
      <w:r>
        <w:rPr>
          <w:color w:val="auto"/>
          <w:highlight w:val="none"/>
        </w:rPr>
        <w:drawing>
          <wp:inline distT="0" distB="0" distL="114300" distR="114300">
            <wp:extent cx="2122805" cy="1466215"/>
            <wp:effectExtent l="0" t="0" r="10795" b="63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50"/>
                    <a:stretch>
                      <a:fillRect/>
                    </a:stretch>
                  </pic:blipFill>
                  <pic:spPr>
                    <a:xfrm>
                      <a:off x="0" y="0"/>
                      <a:ext cx="2122805" cy="1466215"/>
                    </a:xfrm>
                    <a:prstGeom prst="rect">
                      <a:avLst/>
                    </a:prstGeom>
                    <a:noFill/>
                    <a:ln>
                      <a:noFill/>
                    </a:ln>
                  </pic:spPr>
                </pic:pic>
              </a:graphicData>
            </a:graphic>
          </wp:inline>
        </w:drawing>
      </w:r>
    </w:p>
    <w:p>
      <w:pPr>
        <w:pStyle w:val="217"/>
        <w:rPr>
          <w:color w:val="auto"/>
          <w:highlight w:val="none"/>
        </w:rPr>
      </w:pPr>
      <w:r>
        <w:rPr>
          <w:color w:val="auto"/>
          <w:highlight w:val="none"/>
        </w:rPr>
        <w:t xml:space="preserve">     </w:t>
      </w:r>
      <w:r>
        <w:rPr>
          <w:rFonts w:hint="eastAsia"/>
          <w:color w:val="auto"/>
          <w:highlight w:val="none"/>
        </w:rPr>
        <w:t>封闭式垃圾站</w:t>
      </w:r>
    </w:p>
    <w:p>
      <w:pPr>
        <w:pStyle w:val="217"/>
        <w:rPr>
          <w:color w:val="auto"/>
          <w:highlight w:val="none"/>
        </w:rPr>
      </w:pPr>
    </w:p>
    <w:p>
      <w:pPr>
        <w:pStyle w:val="217"/>
        <w:rPr>
          <w:color w:val="auto"/>
          <w:highlight w:val="none"/>
        </w:rPr>
      </w:pPr>
      <w:r>
        <w:rPr>
          <w:color w:val="auto"/>
          <w:highlight w:val="none"/>
        </w:rPr>
        <w:t>4.</w:t>
      </w:r>
      <w:r>
        <w:rPr>
          <w:rFonts w:hint="eastAsia"/>
          <w:color w:val="auto"/>
          <w:highlight w:val="none"/>
        </w:rPr>
        <w:t>垃圾运输</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）运送建筑垃圾时，不应污损场外道路；</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）垃圾运输应采取封闭措施，保证车辆清洁，并按指定路线行驶，严禁发生抛、洒、滴、漏现象；</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）高空施工的垃圾及废弃物应采用密闭式串筒或其它措施清理搬运；</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）施工现场无利用价值的建筑垃圾应定期清运并作好外运记录。</w:t>
      </w:r>
    </w:p>
    <w:p>
      <w:pPr>
        <w:pStyle w:val="119"/>
        <w:rPr>
          <w:color w:val="auto"/>
          <w:highlight w:val="none"/>
        </w:rPr>
      </w:pPr>
      <w:r>
        <w:rPr>
          <w:color w:val="auto"/>
          <w:highlight w:val="none"/>
        </w:rPr>
        <w:t xml:space="preserve">3.3.2.9 </w:t>
      </w:r>
      <w:r>
        <w:rPr>
          <w:rFonts w:hint="eastAsia"/>
          <w:color w:val="auto"/>
          <w:highlight w:val="none"/>
        </w:rPr>
        <w:t>施工现场的文物古迹和古树名木保护措施</w:t>
      </w:r>
    </w:p>
    <w:p>
      <w:pPr>
        <w:pStyle w:val="217"/>
        <w:rPr>
          <w:color w:val="auto"/>
          <w:highlight w:val="none"/>
        </w:rPr>
      </w:pPr>
      <w:r>
        <w:rPr>
          <w:color w:val="auto"/>
          <w:highlight w:val="none"/>
        </w:rPr>
        <w:t>1.</w:t>
      </w:r>
      <w:r>
        <w:rPr>
          <w:rFonts w:hint="eastAsia"/>
          <w:color w:val="auto"/>
          <w:highlight w:val="none"/>
        </w:rPr>
        <w:t>施工过程发现文物时应立即停止施工，保护现场，及时通报文物部门并协助做好文物保护工作；</w:t>
      </w:r>
    </w:p>
    <w:p>
      <w:pPr>
        <w:pStyle w:val="217"/>
        <w:rPr>
          <w:color w:val="auto"/>
          <w:highlight w:val="none"/>
        </w:rPr>
      </w:pPr>
      <w:r>
        <w:rPr>
          <w:color w:val="auto"/>
          <w:highlight w:val="none"/>
        </w:rPr>
        <w:t>2.</w:t>
      </w:r>
      <w:r>
        <w:rPr>
          <w:rFonts w:hint="eastAsia"/>
          <w:color w:val="auto"/>
          <w:highlight w:val="none"/>
        </w:rPr>
        <w:t>建设项目场址内因特殊情况不能避开地上文物的，需采取经文物行政主管部门审批的防护措施。</w:t>
      </w:r>
    </w:p>
    <w:p>
      <w:pPr>
        <w:pStyle w:val="119"/>
        <w:rPr>
          <w:color w:val="auto"/>
          <w:highlight w:val="none"/>
        </w:rPr>
      </w:pPr>
      <w:r>
        <w:rPr>
          <w:color w:val="auto"/>
          <w:highlight w:val="none"/>
        </w:rPr>
        <w:t xml:space="preserve">3.3.2.10 </w:t>
      </w:r>
      <w:r>
        <w:rPr>
          <w:rFonts w:hint="eastAsia"/>
          <w:color w:val="auto"/>
          <w:highlight w:val="none"/>
        </w:rPr>
        <w:t>毗邻建筑物、构筑物、地下管线保护措施</w:t>
      </w:r>
    </w:p>
    <w:p>
      <w:pPr>
        <w:pStyle w:val="217"/>
        <w:rPr>
          <w:color w:val="auto"/>
          <w:highlight w:val="none"/>
        </w:rPr>
      </w:pPr>
      <w:r>
        <w:rPr>
          <w:color w:val="auto"/>
          <w:highlight w:val="none"/>
        </w:rPr>
        <w:t>1.</w:t>
      </w:r>
      <w:r>
        <w:rPr>
          <w:rFonts w:hint="eastAsia"/>
          <w:color w:val="auto"/>
          <w:highlight w:val="none"/>
        </w:rPr>
        <w:t>工程施工前应了解和掌握施工场地毗邻区域建筑物、构筑物、地下管线、地下设施和人文景观等情况，分析和确定施工中需保护的对象，制订保护措施，应报相关部门审查批准，并定期进行监测并提供监测报告；</w:t>
      </w:r>
    </w:p>
    <w:p>
      <w:pPr>
        <w:pStyle w:val="217"/>
        <w:rPr>
          <w:color w:val="auto"/>
          <w:highlight w:val="none"/>
        </w:rPr>
      </w:pPr>
      <w:r>
        <w:rPr>
          <w:color w:val="auto"/>
          <w:highlight w:val="none"/>
        </w:rPr>
        <w:t>2.</w:t>
      </w:r>
      <w:r>
        <w:rPr>
          <w:rFonts w:hint="eastAsia"/>
          <w:color w:val="auto"/>
          <w:highlight w:val="none"/>
        </w:rPr>
        <w:t>施工现场毗邻的建筑物、构筑物、地下管线等出现异常变形，或变形超过限值时，应暂停施工查明原因，采取相应措施或调整施工方案，必要时请专门机构进行咨询评审。</w:t>
      </w:r>
    </w:p>
    <w:p>
      <w:pPr>
        <w:pStyle w:val="172"/>
        <w:rPr>
          <w:color w:val="auto"/>
          <w:highlight w:val="none"/>
        </w:rPr>
      </w:pPr>
      <w:r>
        <w:rPr>
          <w:color w:val="auto"/>
          <w:highlight w:val="none"/>
        </w:rPr>
        <w:t xml:space="preserve">3.3.3 </w:t>
      </w:r>
      <w:r>
        <w:rPr>
          <w:rFonts w:hint="eastAsia"/>
          <w:color w:val="auto"/>
          <w:highlight w:val="none"/>
        </w:rPr>
        <w:t>节约材料</w:t>
      </w:r>
    </w:p>
    <w:p>
      <w:pPr>
        <w:pStyle w:val="119"/>
        <w:rPr>
          <w:color w:val="auto"/>
          <w:highlight w:val="none"/>
        </w:rPr>
      </w:pPr>
      <w:r>
        <w:rPr>
          <w:color w:val="auto"/>
          <w:highlight w:val="none"/>
        </w:rPr>
        <w:t xml:space="preserve">3.3.3.1 </w:t>
      </w:r>
      <w:r>
        <w:rPr>
          <w:rFonts w:hint="eastAsia"/>
          <w:color w:val="auto"/>
          <w:highlight w:val="none"/>
        </w:rPr>
        <w:t>节材指标</w:t>
      </w:r>
    </w:p>
    <w:p>
      <w:pPr>
        <w:pStyle w:val="217"/>
        <w:rPr>
          <w:color w:val="auto"/>
          <w:highlight w:val="none"/>
        </w:rPr>
      </w:pPr>
      <w:r>
        <w:rPr>
          <w:color w:val="auto"/>
          <w:highlight w:val="none"/>
        </w:rPr>
        <w:t>1.</w:t>
      </w:r>
      <w:r>
        <w:rPr>
          <w:rFonts w:hint="eastAsia"/>
          <w:color w:val="auto"/>
          <w:highlight w:val="none"/>
        </w:rPr>
        <w:t>项目施工前，应制定主要材料损耗率控制指标，主要材料损耗率应比定额损耗率降低</w:t>
      </w:r>
      <w:r>
        <w:rPr>
          <w:color w:val="auto"/>
          <w:highlight w:val="none"/>
        </w:rPr>
        <w:t>30%</w:t>
      </w:r>
      <w:r>
        <w:rPr>
          <w:rFonts w:hint="eastAsia"/>
          <w:color w:val="auto"/>
          <w:highlight w:val="none"/>
        </w:rPr>
        <w:t>以上。</w:t>
      </w:r>
    </w:p>
    <w:p>
      <w:pPr>
        <w:pStyle w:val="217"/>
        <w:rPr>
          <w:color w:val="auto"/>
          <w:highlight w:val="none"/>
        </w:rPr>
      </w:pPr>
      <w:r>
        <w:rPr>
          <w:color w:val="auto"/>
          <w:highlight w:val="none"/>
        </w:rPr>
        <w:t>2.</w:t>
      </w:r>
      <w:r>
        <w:rPr>
          <w:rFonts w:hint="eastAsia"/>
          <w:color w:val="auto"/>
          <w:highlight w:val="none"/>
        </w:rPr>
        <w:t>建筑材料应就地取材，充分利用当地材料资源，施工现场</w:t>
      </w:r>
      <w:r>
        <w:rPr>
          <w:color w:val="auto"/>
          <w:highlight w:val="none"/>
        </w:rPr>
        <w:t>500km</w:t>
      </w:r>
      <w:r>
        <w:rPr>
          <w:rFonts w:hint="eastAsia"/>
          <w:color w:val="auto"/>
          <w:highlight w:val="none"/>
        </w:rPr>
        <w:t>以内生产的建筑材料用量宜占建筑材料总重量的</w:t>
      </w:r>
      <w:r>
        <w:rPr>
          <w:color w:val="auto"/>
          <w:highlight w:val="none"/>
        </w:rPr>
        <w:t>70</w:t>
      </w:r>
      <w:r>
        <w:rPr>
          <w:rFonts w:hint="eastAsia"/>
          <w:color w:val="auto"/>
          <w:highlight w:val="none"/>
        </w:rPr>
        <w:t>％以上。</w:t>
      </w:r>
    </w:p>
    <w:p>
      <w:pPr>
        <w:pStyle w:val="119"/>
        <w:rPr>
          <w:color w:val="auto"/>
          <w:highlight w:val="none"/>
        </w:rPr>
      </w:pPr>
      <w:r>
        <w:rPr>
          <w:color w:val="auto"/>
          <w:highlight w:val="none"/>
        </w:rPr>
        <w:t xml:space="preserve">3.3.3.2 </w:t>
      </w:r>
      <w:r>
        <w:rPr>
          <w:rFonts w:hint="eastAsia"/>
          <w:color w:val="auto"/>
          <w:highlight w:val="none"/>
        </w:rPr>
        <w:t>材料管理</w:t>
      </w:r>
    </w:p>
    <w:p>
      <w:pPr>
        <w:pStyle w:val="217"/>
        <w:rPr>
          <w:color w:val="auto"/>
          <w:highlight w:val="none"/>
        </w:rPr>
      </w:pPr>
      <w:r>
        <w:rPr>
          <w:color w:val="auto"/>
          <w:highlight w:val="none"/>
        </w:rPr>
        <w:t>1.</w:t>
      </w:r>
      <w:r>
        <w:rPr>
          <w:rFonts w:hint="eastAsia"/>
          <w:color w:val="auto"/>
          <w:highlight w:val="none"/>
        </w:rPr>
        <w:t>管理制度</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）应优化施工方案，制定合理、可行的施工技术措施，编制材料计划，制定废材回收利用措施，做到工完料清；</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）施工单位应建立主要材料使用台账，建立建筑材料数据库；</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施工现场应建立材料采购、运输、验收、保管及领用制度。根据施工进度、材料周转时间、库存情况等制定采购和使用计划，材料分阶段进场，减少材料的现场库存量。实行限额领料，严格控制材料消耗，并合理确定采购数量，避免采购过多，造成积压或浪费。</w:t>
      </w:r>
    </w:p>
    <w:p>
      <w:pPr>
        <w:pStyle w:val="217"/>
        <w:rPr>
          <w:color w:val="auto"/>
          <w:highlight w:val="none"/>
        </w:rPr>
      </w:pPr>
      <w:r>
        <w:rPr>
          <w:color w:val="auto"/>
          <w:highlight w:val="none"/>
        </w:rPr>
        <w:t>2.</w:t>
      </w:r>
      <w:r>
        <w:rPr>
          <w:rFonts w:hint="eastAsia"/>
          <w:color w:val="auto"/>
          <w:highlight w:val="none"/>
        </w:rPr>
        <w:t>材料运输、堆放</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应选择合适的运输工具、运输方法和装卸机具，减少材料的运输、装卸损耗。进入施工现场材料应分类堆放，露天堆放材料应有防潮、防晒、防雨措施。按照材料存放要求进行材料装卸和临时保管，避免因现场存放条件不合理而导致浪费；</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）构件的装卸、运输、存放、安装应采取防止变形和损坏的可靠措施；</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）现场材料应堆放有序，并满足材料储存及质量保持的要求。</w:t>
      </w:r>
    </w:p>
    <w:p>
      <w:pPr>
        <w:pStyle w:val="119"/>
        <w:rPr>
          <w:color w:val="auto"/>
          <w:highlight w:val="none"/>
        </w:rPr>
      </w:pPr>
      <w:r>
        <w:rPr>
          <w:color w:val="auto"/>
          <w:highlight w:val="none"/>
        </w:rPr>
        <w:t xml:space="preserve">3.3.3.3 </w:t>
      </w:r>
      <w:r>
        <w:rPr>
          <w:rFonts w:hint="eastAsia"/>
          <w:color w:val="auto"/>
          <w:highlight w:val="none"/>
        </w:rPr>
        <w:t>材料选择</w:t>
      </w:r>
    </w:p>
    <w:p>
      <w:pPr>
        <w:pStyle w:val="217"/>
        <w:rPr>
          <w:color w:val="auto"/>
          <w:highlight w:val="none"/>
        </w:rPr>
      </w:pPr>
      <w:r>
        <w:rPr>
          <w:color w:val="auto"/>
          <w:highlight w:val="none"/>
        </w:rPr>
        <w:t>1.</w:t>
      </w:r>
      <w:r>
        <w:rPr>
          <w:rFonts w:hint="eastAsia"/>
          <w:color w:val="auto"/>
          <w:highlight w:val="none"/>
        </w:rPr>
        <w:t>施工中应采用绿色环保材料、高强钢筋、高性能混凝土及其他高性能、施工中应采用绿色环保材料、高强钢筋、高性能混凝土及其他高性能、高耐久性材料；</w:t>
      </w:r>
    </w:p>
    <w:p>
      <w:pPr>
        <w:pStyle w:val="217"/>
        <w:rPr>
          <w:color w:val="auto"/>
          <w:highlight w:val="none"/>
        </w:rPr>
      </w:pPr>
      <w:r>
        <w:rPr>
          <w:color w:val="auto"/>
          <w:highlight w:val="none"/>
        </w:rPr>
        <w:t>2.</w:t>
      </w:r>
      <w:r>
        <w:rPr>
          <w:rFonts w:hint="eastAsia"/>
          <w:color w:val="auto"/>
          <w:highlight w:val="none"/>
        </w:rPr>
        <w:t>工程周转材料的选用，应符合耐用和维护、拆卸方便要求，且易于回收和再利用，施工单位应对周转材料进行保养维护，延长其使用寿命和周转次数，工程使用的周转材料不需要时，应及时退场；</w:t>
      </w:r>
    </w:p>
    <w:p>
      <w:pPr>
        <w:pStyle w:val="217"/>
        <w:rPr>
          <w:color w:val="auto"/>
          <w:highlight w:val="none"/>
        </w:rPr>
      </w:pPr>
      <w:r>
        <w:rPr>
          <w:color w:val="auto"/>
          <w:highlight w:val="none"/>
        </w:rPr>
        <w:t>3.</w:t>
      </w:r>
      <w:r>
        <w:rPr>
          <w:rFonts w:hint="eastAsia"/>
          <w:color w:val="auto"/>
          <w:highlight w:val="none"/>
        </w:rPr>
        <w:t>现场应使用预拌砂浆和预拌混凝土。结构工程应使用散装水泥，减少资源消耗；工程用混凝土应采用预拌混凝土，并优先选用预拌砂浆；</w:t>
      </w:r>
    </w:p>
    <w:p>
      <w:pPr>
        <w:pStyle w:val="217"/>
        <w:rPr>
          <w:color w:val="auto"/>
          <w:highlight w:val="none"/>
        </w:rPr>
      </w:pPr>
      <w:r>
        <w:rPr>
          <w:color w:val="auto"/>
          <w:highlight w:val="none"/>
        </w:rPr>
        <w:t>4.</w:t>
      </w:r>
      <w:r>
        <w:rPr>
          <w:rFonts w:hint="eastAsia"/>
          <w:color w:val="auto"/>
          <w:highlight w:val="none"/>
        </w:rPr>
        <w:t>采用自粘类片材，减少现场液态粘结剂的使用量；</w:t>
      </w:r>
    </w:p>
    <w:p>
      <w:pPr>
        <w:pStyle w:val="217"/>
        <w:rPr>
          <w:color w:val="auto"/>
          <w:highlight w:val="none"/>
        </w:rPr>
      </w:pPr>
      <w:r>
        <w:rPr>
          <w:color w:val="auto"/>
          <w:highlight w:val="none"/>
        </w:rPr>
        <w:t>5.</w:t>
      </w:r>
      <w:r>
        <w:rPr>
          <w:rFonts w:hint="eastAsia"/>
          <w:color w:val="auto"/>
          <w:highlight w:val="none"/>
        </w:rPr>
        <w:t>当屋面或墙体等部位采用基层加设保温隔热系统的方式施工时，应选择高效节能、耐久性好的保温隔热材料，以减小保温隔热层的厚度及材料用量；</w:t>
      </w:r>
    </w:p>
    <w:p>
      <w:pPr>
        <w:pStyle w:val="217"/>
        <w:rPr>
          <w:color w:val="auto"/>
          <w:highlight w:val="none"/>
        </w:rPr>
      </w:pPr>
      <w:r>
        <w:rPr>
          <w:color w:val="auto"/>
          <w:highlight w:val="none"/>
        </w:rPr>
        <w:t>6.</w:t>
      </w:r>
      <w:r>
        <w:rPr>
          <w:rFonts w:hint="eastAsia"/>
          <w:color w:val="auto"/>
          <w:highlight w:val="none"/>
        </w:rPr>
        <w:t>门窗、屋面、外墙等围护结构选用耐候性及耐久性良好的材料，施工确保密封性、防水性和保温隔热性；</w:t>
      </w:r>
    </w:p>
    <w:p>
      <w:pPr>
        <w:pStyle w:val="217"/>
        <w:rPr>
          <w:color w:val="auto"/>
          <w:highlight w:val="none"/>
        </w:rPr>
      </w:pPr>
      <w:r>
        <w:rPr>
          <w:color w:val="auto"/>
          <w:highlight w:val="none"/>
        </w:rPr>
        <w:t>7.</w:t>
      </w:r>
      <w:r>
        <w:rPr>
          <w:rFonts w:hint="eastAsia"/>
          <w:color w:val="auto"/>
          <w:highlight w:val="none"/>
        </w:rPr>
        <w:t>在混凝土配合比设计时，应利用粉煤灰、矿渣、外加剂及新材料降低混凝土和砂浆的水泥用量，新材料掺量应按供货单位推荐掺量、使用要求、施工条件、原材料等因素通过试验确定。</w:t>
      </w:r>
    </w:p>
    <w:p>
      <w:pPr>
        <w:pStyle w:val="119"/>
        <w:rPr>
          <w:color w:val="auto"/>
          <w:highlight w:val="none"/>
        </w:rPr>
      </w:pPr>
      <w:r>
        <w:rPr>
          <w:color w:val="auto"/>
          <w:highlight w:val="none"/>
        </w:rPr>
        <w:t xml:space="preserve">3.3.3.4 </w:t>
      </w:r>
      <w:r>
        <w:rPr>
          <w:rFonts w:hint="eastAsia"/>
          <w:color w:val="auto"/>
          <w:highlight w:val="none"/>
        </w:rPr>
        <w:t>节材工艺</w:t>
      </w:r>
    </w:p>
    <w:p>
      <w:pPr>
        <w:pStyle w:val="217"/>
        <w:rPr>
          <w:color w:val="auto"/>
          <w:highlight w:val="none"/>
        </w:rPr>
      </w:pPr>
      <w:r>
        <w:rPr>
          <w:rFonts w:hint="eastAsia"/>
          <w:color w:val="auto"/>
          <w:highlight w:val="none"/>
        </w:rPr>
        <w:t>施工过程中应优化施工工艺、合理安排施工工序，采取流水作业等方式，增加施工材料周转频次和降低材料消耗。</w:t>
      </w:r>
    </w:p>
    <w:p>
      <w:pPr>
        <w:pStyle w:val="217"/>
        <w:rPr>
          <w:color w:val="auto"/>
          <w:highlight w:val="none"/>
        </w:rPr>
      </w:pPr>
      <w:r>
        <w:rPr>
          <w:color w:val="auto"/>
          <w:highlight w:val="none"/>
        </w:rPr>
        <w:t>1.</w:t>
      </w:r>
      <w:r>
        <w:rPr>
          <w:rFonts w:hint="eastAsia"/>
          <w:color w:val="auto"/>
          <w:highlight w:val="none"/>
        </w:rPr>
        <w:t>模板工程</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）混凝土构件和砌体表面的垂直度、平整度应尽量高于规范要求，以减少抹灰用量；</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）采用木模板时，宜采取工厂化定型加工、现场安装方式，不宜在工作面上直接加工拼装；</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）施工前应对模板工程的方案进行优化。多层、高层建筑使用可重复利用的模板体系，模板支撑材料应选用承载力高、适应性强、搭拆快、易管理、使用年限长的材料；</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施工中模板材料应采用工具化、定型化、组合式模板，加强施工管理。对周转材料进行保养维护，如木模板使用前应采取封边、镶框、表面刷油等措施，提高模板利用次数。模板拆除宜按支设的逆向顺序进行，不得硬撬或重砸。拆除平台楼层的底模，应采取临时支撑、支垫等防止模板坠落和损坏的措施；</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）为加快模板的周转使用，宜选取的措施有：分层分段流水作业；先剪力墙、后梁再楼板的施工顺序；充分利用有一定强度的混凝土结构支撑上部模板结构。</w:t>
      </w:r>
    </w:p>
    <w:p>
      <w:pPr>
        <w:pStyle w:val="217"/>
        <w:rPr>
          <w:color w:val="auto"/>
          <w:highlight w:val="none"/>
        </w:rPr>
      </w:pPr>
      <w:r>
        <w:rPr>
          <w:color w:val="auto"/>
          <w:highlight w:val="none"/>
        </w:rPr>
        <w:t>2.</w:t>
      </w:r>
      <w:r>
        <w:rPr>
          <w:rFonts w:hint="eastAsia"/>
          <w:color w:val="auto"/>
          <w:highlight w:val="none"/>
        </w:rPr>
        <w:t>钢材加工</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）改进钢筋的连接方式，在满足设计和规范要求的情况下优先采用直螺纹套筒、电渣压力焊、闪光对焊等接头方式；</w:t>
      </w:r>
    </w:p>
    <w:p>
      <w:pPr>
        <w:pStyle w:val="217"/>
        <w:rPr>
          <w:color w:val="auto"/>
          <w:highlight w:val="none"/>
        </w:rPr>
      </w:pPr>
    </w:p>
    <w:p>
      <w:pPr>
        <w:pStyle w:val="217"/>
        <w:rPr>
          <w:color w:val="auto"/>
          <w:highlight w:val="none"/>
        </w:rPr>
      </w:pPr>
      <w:r>
        <w:rPr>
          <w:color w:val="auto"/>
          <w:highlight w:val="none"/>
        </w:rPr>
        <w:drawing>
          <wp:inline distT="0" distB="0" distL="114300" distR="114300">
            <wp:extent cx="2161540" cy="1438275"/>
            <wp:effectExtent l="0" t="0" r="10160" b="9525"/>
            <wp:docPr id="39" name="图片 75" descr="IMG_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5" descr="IMG_0450"/>
                    <pic:cNvPicPr>
                      <a:picLocks noChangeAspect="1"/>
                    </pic:cNvPicPr>
                  </pic:nvPicPr>
                  <pic:blipFill>
                    <a:blip r:embed="rId51"/>
                    <a:stretch>
                      <a:fillRect/>
                    </a:stretch>
                  </pic:blipFill>
                  <pic:spPr>
                    <a:xfrm>
                      <a:off x="0" y="0"/>
                      <a:ext cx="2161540" cy="1438275"/>
                    </a:xfrm>
                    <a:prstGeom prst="rect">
                      <a:avLst/>
                    </a:prstGeom>
                    <a:noFill/>
                    <a:ln>
                      <a:noFill/>
                    </a:ln>
                  </pic:spPr>
                </pic:pic>
              </a:graphicData>
            </a:graphic>
          </wp:inline>
        </w:drawing>
      </w:r>
    </w:p>
    <w:p>
      <w:pPr>
        <w:pStyle w:val="217"/>
        <w:ind w:firstLine="1080" w:firstLineChars="450"/>
        <w:rPr>
          <w:color w:val="auto"/>
          <w:highlight w:val="none"/>
        </w:rPr>
      </w:pPr>
      <w:r>
        <w:rPr>
          <w:rFonts w:hint="eastAsia"/>
          <w:color w:val="auto"/>
          <w:highlight w:val="none"/>
        </w:rPr>
        <w:t>直螺纹套筒接头方式</w:t>
      </w:r>
    </w:p>
    <w:p>
      <w:pPr>
        <w:rPr>
          <w:color w:val="auto"/>
          <w:highlight w:val="none"/>
        </w:rPr>
      </w:pP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）优化钢筋配料和钢构件下料方案。钢筋及钢结构制作前应对下料单及样品进行复核，无误后方可批量下料；</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）推广新的施工技术节约钢材。如劲性结构钢筋连接采用接驳器取代牛腿钢板。</w:t>
      </w:r>
    </w:p>
    <w:p>
      <w:pPr>
        <w:pStyle w:val="217"/>
        <w:rPr>
          <w:color w:val="auto"/>
          <w:highlight w:val="none"/>
        </w:rPr>
      </w:pPr>
      <w:r>
        <w:rPr>
          <w:color w:val="auto"/>
          <w:highlight w:val="none"/>
        </w:rPr>
        <w:t>3.</w:t>
      </w:r>
      <w:r>
        <w:rPr>
          <w:rFonts w:hint="eastAsia"/>
          <w:color w:val="auto"/>
          <w:highlight w:val="none"/>
        </w:rPr>
        <w:t>贴面、砌块排版</w:t>
      </w:r>
    </w:p>
    <w:p>
      <w:pPr>
        <w:pStyle w:val="217"/>
        <w:rPr>
          <w:color w:val="auto"/>
          <w:highlight w:val="none"/>
        </w:rPr>
      </w:pPr>
      <w:r>
        <w:rPr>
          <w:rFonts w:hint="eastAsia"/>
          <w:color w:val="auto"/>
          <w:highlight w:val="none"/>
        </w:rPr>
        <w:t>贴面类、砌块材料在施工前，应进行总体排版策划，降低裁割损耗，减少非整块材的数量，墙体砌筑时应事先设计排块图，非标准砌块宜在工厂加工或现场集中加工，按计划进场。</w:t>
      </w:r>
    </w:p>
    <w:p>
      <w:pPr>
        <w:pStyle w:val="217"/>
        <w:rPr>
          <w:color w:val="auto"/>
          <w:highlight w:val="none"/>
        </w:rPr>
      </w:pPr>
    </w:p>
    <w:p>
      <w:pPr>
        <w:pStyle w:val="217"/>
        <w:rPr>
          <w:color w:val="auto"/>
          <w:highlight w:val="none"/>
        </w:rPr>
      </w:pPr>
      <w:r>
        <w:rPr>
          <w:color w:val="auto"/>
          <w:highlight w:val="none"/>
        </w:rPr>
        <w:drawing>
          <wp:inline distT="0" distB="0" distL="114300" distR="114300">
            <wp:extent cx="2120265" cy="1417955"/>
            <wp:effectExtent l="0" t="0" r="13335" b="10795"/>
            <wp:docPr id="40" name="图片 76" descr="E2HF{NDGZBV0M~71U$`KR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6" descr="E2HF{NDGZBV0M~71U$`KRQ1"/>
                    <pic:cNvPicPr>
                      <a:picLocks noChangeAspect="1"/>
                    </pic:cNvPicPr>
                  </pic:nvPicPr>
                  <pic:blipFill>
                    <a:blip r:embed="rId52"/>
                    <a:stretch>
                      <a:fillRect/>
                    </a:stretch>
                  </pic:blipFill>
                  <pic:spPr>
                    <a:xfrm>
                      <a:off x="0" y="0"/>
                      <a:ext cx="2120265" cy="1417955"/>
                    </a:xfrm>
                    <a:prstGeom prst="rect">
                      <a:avLst/>
                    </a:prstGeom>
                    <a:noFill/>
                    <a:ln>
                      <a:noFill/>
                    </a:ln>
                  </pic:spPr>
                </pic:pic>
              </a:graphicData>
            </a:graphic>
          </wp:inline>
        </w:drawing>
      </w:r>
      <w:r>
        <w:rPr>
          <w:color w:val="auto"/>
          <w:highlight w:val="none"/>
        </w:rPr>
        <w:t xml:space="preserve">        </w:t>
      </w:r>
      <w:r>
        <w:rPr>
          <w:color w:val="auto"/>
          <w:highlight w:val="none"/>
        </w:rPr>
        <w:drawing>
          <wp:inline distT="0" distB="0" distL="114300" distR="114300">
            <wp:extent cx="2161540" cy="1438275"/>
            <wp:effectExtent l="0" t="0" r="10160" b="9525"/>
            <wp:docPr id="41" name="图片 99" descr="@6]VJY5F]N)T_3D)H}`B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9" descr="@6]VJY5F]N)T_3D)H}`BJ`3"/>
                    <pic:cNvPicPr>
                      <a:picLocks noChangeAspect="1"/>
                    </pic:cNvPicPr>
                  </pic:nvPicPr>
                  <pic:blipFill>
                    <a:blip r:embed="rId53"/>
                    <a:stretch>
                      <a:fillRect/>
                    </a:stretch>
                  </pic:blipFill>
                  <pic:spPr>
                    <a:xfrm>
                      <a:off x="0" y="0"/>
                      <a:ext cx="2161540" cy="1438275"/>
                    </a:xfrm>
                    <a:prstGeom prst="rect">
                      <a:avLst/>
                    </a:prstGeom>
                    <a:noFill/>
                    <a:ln>
                      <a:noFill/>
                    </a:ln>
                  </pic:spPr>
                </pic:pic>
              </a:graphicData>
            </a:graphic>
          </wp:inline>
        </w:drawing>
      </w:r>
    </w:p>
    <w:p>
      <w:pPr>
        <w:pStyle w:val="217"/>
        <w:ind w:firstLine="1080" w:firstLineChars="450"/>
        <w:rPr>
          <w:color w:val="auto"/>
          <w:highlight w:val="none"/>
        </w:rPr>
      </w:pPr>
      <w:r>
        <w:rPr>
          <w:color w:val="auto"/>
          <w:highlight w:val="none"/>
        </w:rPr>
        <w:t>CAD</w:t>
      </w:r>
      <w:r>
        <w:rPr>
          <w:rFonts w:hint="eastAsia"/>
          <w:color w:val="auto"/>
          <w:highlight w:val="none"/>
        </w:rPr>
        <w:t>排砖示意图（</w:t>
      </w:r>
      <w:r>
        <w:rPr>
          <w:color w:val="auto"/>
          <w:highlight w:val="none"/>
        </w:rPr>
        <w:t>1</w:t>
      </w:r>
      <w:r>
        <w:rPr>
          <w:rFonts w:hint="eastAsia"/>
          <w:color w:val="auto"/>
          <w:highlight w:val="none"/>
        </w:rPr>
        <w:t>）</w:t>
      </w:r>
      <w:r>
        <w:rPr>
          <w:color w:val="auto"/>
          <w:highlight w:val="none"/>
        </w:rPr>
        <w:t xml:space="preserve">                   CAD</w:t>
      </w:r>
      <w:r>
        <w:rPr>
          <w:rFonts w:hint="eastAsia"/>
          <w:color w:val="auto"/>
          <w:highlight w:val="none"/>
        </w:rPr>
        <w:t>排砖示意图（</w:t>
      </w:r>
      <w:r>
        <w:rPr>
          <w:color w:val="auto"/>
          <w:highlight w:val="none"/>
        </w:rPr>
        <w:t>2</w:t>
      </w:r>
      <w:r>
        <w:rPr>
          <w:rFonts w:hint="eastAsia"/>
          <w:color w:val="auto"/>
          <w:highlight w:val="none"/>
        </w:rPr>
        <w:t>）</w:t>
      </w:r>
    </w:p>
    <w:p>
      <w:pPr>
        <w:rPr>
          <w:color w:val="auto"/>
          <w:highlight w:val="none"/>
        </w:rPr>
      </w:pPr>
    </w:p>
    <w:p>
      <w:pPr>
        <w:pStyle w:val="119"/>
        <w:rPr>
          <w:color w:val="auto"/>
          <w:highlight w:val="none"/>
        </w:rPr>
      </w:pPr>
      <w:r>
        <w:rPr>
          <w:color w:val="auto"/>
          <w:highlight w:val="none"/>
        </w:rPr>
        <w:t xml:space="preserve">3.3.3.5 </w:t>
      </w:r>
      <w:r>
        <w:rPr>
          <w:rFonts w:hint="eastAsia"/>
          <w:color w:val="auto"/>
          <w:highlight w:val="none"/>
        </w:rPr>
        <w:t>资源再生利用</w:t>
      </w:r>
    </w:p>
    <w:p>
      <w:pPr>
        <w:pStyle w:val="217"/>
        <w:rPr>
          <w:color w:val="auto"/>
          <w:highlight w:val="none"/>
        </w:rPr>
      </w:pPr>
      <w:r>
        <w:rPr>
          <w:color w:val="auto"/>
          <w:highlight w:val="none"/>
        </w:rPr>
        <w:t>1.</w:t>
      </w:r>
      <w:r>
        <w:rPr>
          <w:rFonts w:hint="eastAsia"/>
          <w:color w:val="auto"/>
          <w:highlight w:val="none"/>
        </w:rPr>
        <w:t>余料、废料再利用</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）鼓励建筑垃圾综合利用，鼓励合理采用建筑垃圾综合利用产品。可参考《工程施工废弃物再生利用技术规范》（</w:t>
      </w:r>
      <w:r>
        <w:rPr>
          <w:color w:val="auto"/>
          <w:highlight w:val="none"/>
        </w:rPr>
        <w:t>GB/T50743-2012</w:t>
      </w:r>
      <w:r>
        <w:rPr>
          <w:rFonts w:hint="eastAsia"/>
          <w:color w:val="auto"/>
          <w:highlight w:val="none"/>
        </w:rPr>
        <w:t>），如废弃砂浆综合利用技术、工业废渣及（空心）砌块应用施工技术、废弃加气混凝土现场再生利用技术等；</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）施工现场应建立建筑垃圾再利用的台账和清单，制定并实施可回收废料的回收管理办法；</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）建筑材料包装物应分类回收，回收率应达到</w:t>
      </w:r>
      <w:r>
        <w:rPr>
          <w:color w:val="auto"/>
          <w:highlight w:val="none"/>
        </w:rPr>
        <w:t>100%</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）施工过程中产生的余料、废旧材料应集中分类堆放、按不同种类制定再利用措施，具体要求如下：</w:t>
      </w:r>
    </w:p>
    <w:p>
      <w:pPr>
        <w:pStyle w:val="217"/>
        <w:rPr>
          <w:color w:val="auto"/>
          <w:highlight w:val="none"/>
        </w:rPr>
      </w:pPr>
      <w:r>
        <w:rPr>
          <w:color w:val="auto"/>
          <w:highlight w:val="none"/>
        </w:rPr>
        <w:t>1</w:t>
      </w:r>
      <w:r>
        <w:rPr>
          <w:rFonts w:hint="eastAsia"/>
          <w:color w:val="auto"/>
          <w:highlight w:val="none"/>
        </w:rPr>
        <w:t>）混凝土浇筑余料应制成小型预制件，或采用其他措施加以利用，不得随意倾倒；</w:t>
      </w:r>
    </w:p>
    <w:p>
      <w:pPr>
        <w:pStyle w:val="217"/>
        <w:rPr>
          <w:color w:val="auto"/>
          <w:highlight w:val="none"/>
        </w:rPr>
      </w:pPr>
      <w:r>
        <w:rPr>
          <w:color w:val="auto"/>
          <w:highlight w:val="none"/>
        </w:rPr>
        <w:t>2</w:t>
      </w:r>
      <w:r>
        <w:rPr>
          <w:rFonts w:hint="eastAsia"/>
          <w:color w:val="auto"/>
          <w:highlight w:val="none"/>
        </w:rPr>
        <w:t>）应根据不同材料采取焊接、齿接、粘接、镶拼等技术和工艺，使余料、短料得到再利用；</w:t>
      </w:r>
    </w:p>
    <w:p>
      <w:pPr>
        <w:pStyle w:val="217"/>
        <w:rPr>
          <w:color w:val="auto"/>
          <w:highlight w:val="none"/>
        </w:rPr>
      </w:pPr>
      <w:r>
        <w:rPr>
          <w:color w:val="auto"/>
          <w:highlight w:val="none"/>
        </w:rPr>
        <w:t>3</w:t>
      </w:r>
      <w:r>
        <w:rPr>
          <w:rFonts w:hint="eastAsia"/>
          <w:color w:val="auto"/>
          <w:highlight w:val="none"/>
        </w:rPr>
        <w:t>）应将剩余的钢管、钢筋加工成外排脚手架脚踏板和洞口防护盖；</w:t>
      </w:r>
    </w:p>
    <w:p>
      <w:pPr>
        <w:pStyle w:val="217"/>
        <w:rPr>
          <w:color w:val="auto"/>
          <w:highlight w:val="none"/>
        </w:rPr>
      </w:pPr>
      <w:r>
        <w:rPr>
          <w:color w:val="auto"/>
          <w:highlight w:val="none"/>
        </w:rPr>
        <w:t>4</w:t>
      </w:r>
      <w:r>
        <w:rPr>
          <w:rFonts w:hint="eastAsia"/>
          <w:color w:val="auto"/>
          <w:highlight w:val="none"/>
        </w:rPr>
        <w:t>）应将木模板的边角料废料加工成外排脚手架踢脚板等；</w:t>
      </w:r>
    </w:p>
    <w:p>
      <w:pPr>
        <w:pStyle w:val="217"/>
        <w:rPr>
          <w:color w:val="auto"/>
          <w:highlight w:val="none"/>
        </w:rPr>
      </w:pPr>
      <w:r>
        <w:rPr>
          <w:color w:val="auto"/>
          <w:highlight w:val="none"/>
        </w:rPr>
        <w:t>5</w:t>
      </w:r>
      <w:r>
        <w:rPr>
          <w:rFonts w:hint="eastAsia"/>
          <w:color w:val="auto"/>
          <w:highlight w:val="none"/>
        </w:rPr>
        <w:t>）模板及脚手架施工应及时回收散落的铁钉、铁丝、扣件、螺栓等材料；</w:t>
      </w:r>
    </w:p>
    <w:p>
      <w:pPr>
        <w:pStyle w:val="217"/>
        <w:rPr>
          <w:color w:val="auto"/>
          <w:highlight w:val="none"/>
        </w:rPr>
      </w:pPr>
      <w:r>
        <w:rPr>
          <w:color w:val="auto"/>
          <w:highlight w:val="none"/>
        </w:rPr>
        <w:t>6</w:t>
      </w:r>
      <w:r>
        <w:rPr>
          <w:rFonts w:hint="eastAsia"/>
          <w:color w:val="auto"/>
          <w:highlight w:val="none"/>
        </w:rPr>
        <w:t>）钢筋安装时，绑扎丝、焊剂等材料应妥善保管和使用，散落的余废料应收集利用；</w:t>
      </w:r>
    </w:p>
    <w:p>
      <w:pPr>
        <w:pStyle w:val="217"/>
        <w:rPr>
          <w:color w:val="auto"/>
          <w:highlight w:val="none"/>
        </w:rPr>
      </w:pPr>
      <w:r>
        <w:rPr>
          <w:color w:val="auto"/>
          <w:highlight w:val="none"/>
        </w:rPr>
        <w:t>7</w:t>
      </w:r>
      <w:r>
        <w:rPr>
          <w:rFonts w:hint="eastAsia"/>
          <w:color w:val="auto"/>
          <w:highlight w:val="none"/>
        </w:rPr>
        <w:t>）砌筑施工时，落地灰应全部回收，经处理后二次利用。</w:t>
      </w:r>
    </w:p>
    <w:p>
      <w:pPr>
        <w:pStyle w:val="217"/>
        <w:rPr>
          <w:color w:val="auto"/>
          <w:highlight w:val="none"/>
        </w:rPr>
      </w:pPr>
    </w:p>
    <w:p>
      <w:pPr>
        <w:pStyle w:val="217"/>
        <w:rPr>
          <w:color w:val="auto"/>
          <w:highlight w:val="none"/>
        </w:rPr>
      </w:pPr>
      <w:r>
        <w:rPr>
          <w:color w:val="auto"/>
          <w:highlight w:val="none"/>
        </w:rPr>
        <w:drawing>
          <wp:inline distT="0" distB="0" distL="114300" distR="114300">
            <wp:extent cx="2131695" cy="1370965"/>
            <wp:effectExtent l="0" t="0" r="1905" b="635"/>
            <wp:docPr id="42" name="图片 113" descr="8现场绿化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3" descr="8现场绿化带"/>
                    <pic:cNvPicPr>
                      <a:picLocks noChangeAspect="1"/>
                    </pic:cNvPicPr>
                  </pic:nvPicPr>
                  <pic:blipFill>
                    <a:blip r:embed="rId54"/>
                    <a:srcRect l="15599" t="36057" r="34868" b="4358"/>
                    <a:stretch>
                      <a:fillRect/>
                    </a:stretch>
                  </pic:blipFill>
                  <pic:spPr>
                    <a:xfrm>
                      <a:off x="0" y="0"/>
                      <a:ext cx="2131695" cy="1370965"/>
                    </a:xfrm>
                    <a:prstGeom prst="rect">
                      <a:avLst/>
                    </a:prstGeom>
                    <a:noFill/>
                    <a:ln>
                      <a:noFill/>
                    </a:ln>
                  </pic:spPr>
                </pic:pic>
              </a:graphicData>
            </a:graphic>
          </wp:inline>
        </w:drawing>
      </w:r>
      <w:r>
        <w:rPr>
          <w:color w:val="auto"/>
          <w:highlight w:val="none"/>
        </w:rPr>
        <w:t xml:space="preserve">        </w:t>
      </w:r>
      <w:r>
        <w:rPr>
          <w:color w:val="auto"/>
          <w:highlight w:val="none"/>
        </w:rPr>
        <w:drawing>
          <wp:inline distT="0" distB="0" distL="114300" distR="114300">
            <wp:extent cx="2162810" cy="1380490"/>
            <wp:effectExtent l="0" t="0" r="8890" b="10160"/>
            <wp:docPr id="43" name="图片 119" descr="手机照片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9" descr="手机照片 004"/>
                    <pic:cNvPicPr>
                      <a:picLocks noChangeAspect="1"/>
                    </pic:cNvPicPr>
                  </pic:nvPicPr>
                  <pic:blipFill>
                    <a:blip r:embed="rId55"/>
                    <a:stretch>
                      <a:fillRect/>
                    </a:stretch>
                  </pic:blipFill>
                  <pic:spPr>
                    <a:xfrm>
                      <a:off x="0" y="0"/>
                      <a:ext cx="2162810" cy="1380490"/>
                    </a:xfrm>
                    <a:prstGeom prst="rect">
                      <a:avLst/>
                    </a:prstGeom>
                    <a:noFill/>
                    <a:ln>
                      <a:noFill/>
                    </a:ln>
                  </pic:spPr>
                </pic:pic>
              </a:graphicData>
            </a:graphic>
          </wp:inline>
        </w:drawing>
      </w:r>
    </w:p>
    <w:p>
      <w:pPr>
        <w:pStyle w:val="217"/>
        <w:rPr>
          <w:color w:val="auto"/>
          <w:highlight w:val="none"/>
        </w:rPr>
      </w:pPr>
      <w:r>
        <w:rPr>
          <w:color w:val="auto"/>
          <w:highlight w:val="none"/>
        </w:rPr>
        <w:t xml:space="preserve">     </w:t>
      </w:r>
      <w:r>
        <w:rPr>
          <w:rFonts w:hint="eastAsia"/>
          <w:color w:val="auto"/>
          <w:highlight w:val="none"/>
        </w:rPr>
        <w:t>废模板制作花圃栅栏</w:t>
      </w:r>
      <w:r>
        <w:rPr>
          <w:color w:val="auto"/>
          <w:highlight w:val="none"/>
        </w:rPr>
        <w:t xml:space="preserve">            </w:t>
      </w:r>
      <w:r>
        <w:rPr>
          <w:rFonts w:hint="eastAsia"/>
          <w:color w:val="auto"/>
          <w:highlight w:val="none"/>
        </w:rPr>
        <w:t>混凝土浇筑余料应制成小型预制件</w:t>
      </w:r>
    </w:p>
    <w:p>
      <w:pPr>
        <w:pStyle w:val="217"/>
        <w:rPr>
          <w:color w:val="auto"/>
          <w:highlight w:val="none"/>
        </w:rPr>
      </w:pPr>
      <w:r>
        <w:rPr>
          <w:color w:val="auto"/>
          <w:highlight w:val="none"/>
        </w:rPr>
        <w:drawing>
          <wp:inline distT="0" distB="0" distL="114300" distR="114300">
            <wp:extent cx="2162810" cy="1351915"/>
            <wp:effectExtent l="0" t="0" r="8890" b="635"/>
            <wp:docPr id="44" name="图片 1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0" descr="图片1"/>
                    <pic:cNvPicPr>
                      <a:picLocks noChangeAspect="1"/>
                    </pic:cNvPicPr>
                  </pic:nvPicPr>
                  <pic:blipFill>
                    <a:blip r:embed="rId56"/>
                    <a:stretch>
                      <a:fillRect/>
                    </a:stretch>
                  </pic:blipFill>
                  <pic:spPr>
                    <a:xfrm>
                      <a:off x="0" y="0"/>
                      <a:ext cx="2162810" cy="1351915"/>
                    </a:xfrm>
                    <a:prstGeom prst="rect">
                      <a:avLst/>
                    </a:prstGeom>
                    <a:noFill/>
                    <a:ln>
                      <a:noFill/>
                    </a:ln>
                  </pic:spPr>
                </pic:pic>
              </a:graphicData>
            </a:graphic>
          </wp:inline>
        </w:drawing>
      </w:r>
      <w:r>
        <w:rPr>
          <w:color w:val="auto"/>
          <w:highlight w:val="none"/>
        </w:rPr>
        <w:t xml:space="preserve">        </w:t>
      </w:r>
      <w:r>
        <w:rPr>
          <w:color w:val="auto"/>
          <w:highlight w:val="none"/>
        </w:rPr>
        <w:drawing>
          <wp:inline distT="0" distB="0" distL="114300" distR="114300">
            <wp:extent cx="2134235" cy="1360805"/>
            <wp:effectExtent l="0" t="0" r="18415" b="10795"/>
            <wp:docPr id="45" name="图片 121" descr="SDC17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1" descr="SDC17574"/>
                    <pic:cNvPicPr>
                      <a:picLocks noChangeAspect="1"/>
                    </pic:cNvPicPr>
                  </pic:nvPicPr>
                  <pic:blipFill>
                    <a:blip r:embed="rId57"/>
                    <a:stretch>
                      <a:fillRect/>
                    </a:stretch>
                  </pic:blipFill>
                  <pic:spPr>
                    <a:xfrm>
                      <a:off x="0" y="0"/>
                      <a:ext cx="2134235" cy="1360805"/>
                    </a:xfrm>
                    <a:prstGeom prst="rect">
                      <a:avLst/>
                    </a:prstGeom>
                    <a:noFill/>
                    <a:ln>
                      <a:noFill/>
                    </a:ln>
                  </pic:spPr>
                </pic:pic>
              </a:graphicData>
            </a:graphic>
          </wp:inline>
        </w:drawing>
      </w:r>
    </w:p>
    <w:p>
      <w:pPr>
        <w:pStyle w:val="217"/>
        <w:rPr>
          <w:color w:val="auto"/>
          <w:highlight w:val="none"/>
        </w:rPr>
      </w:pPr>
      <w:r>
        <w:rPr>
          <w:rFonts w:hint="eastAsia"/>
          <w:color w:val="auto"/>
          <w:highlight w:val="none"/>
        </w:rPr>
        <w:t>废模板加工成外排脚手架踢脚板</w:t>
      </w:r>
      <w:r>
        <w:rPr>
          <w:color w:val="auto"/>
          <w:highlight w:val="none"/>
        </w:rPr>
        <w:t xml:space="preserve">          </w:t>
      </w:r>
      <w:r>
        <w:rPr>
          <w:rFonts w:hint="eastAsia"/>
          <w:color w:val="auto"/>
          <w:highlight w:val="none"/>
        </w:rPr>
        <w:t>废模板加工成楼层洞口防护板</w:t>
      </w:r>
    </w:p>
    <w:p>
      <w:pPr>
        <w:pStyle w:val="217"/>
        <w:rPr>
          <w:color w:val="auto"/>
          <w:highlight w:val="none"/>
        </w:rPr>
      </w:pPr>
      <w:r>
        <w:rPr>
          <w:color w:val="auto"/>
          <w:highlight w:val="none"/>
        </w:rPr>
        <w:drawing>
          <wp:inline distT="0" distB="0" distL="114300" distR="114300">
            <wp:extent cx="2143760" cy="1427480"/>
            <wp:effectExtent l="0" t="0" r="8890" b="1270"/>
            <wp:docPr id="46"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2"/>
                    <pic:cNvPicPr>
                      <a:picLocks noChangeAspect="1"/>
                    </pic:cNvPicPr>
                  </pic:nvPicPr>
                  <pic:blipFill>
                    <a:blip r:embed="rId58"/>
                    <a:stretch>
                      <a:fillRect/>
                    </a:stretch>
                  </pic:blipFill>
                  <pic:spPr>
                    <a:xfrm>
                      <a:off x="0" y="0"/>
                      <a:ext cx="2143760" cy="1427480"/>
                    </a:xfrm>
                    <a:prstGeom prst="rect">
                      <a:avLst/>
                    </a:prstGeom>
                    <a:noFill/>
                    <a:ln>
                      <a:noFill/>
                    </a:ln>
                  </pic:spPr>
                </pic:pic>
              </a:graphicData>
            </a:graphic>
          </wp:inline>
        </w:drawing>
      </w:r>
      <w:r>
        <w:rPr>
          <w:color w:val="auto"/>
          <w:highlight w:val="none"/>
        </w:rPr>
        <w:t xml:space="preserve">        </w:t>
      </w:r>
      <w:r>
        <w:rPr>
          <w:color w:val="auto"/>
          <w:highlight w:val="none"/>
        </w:rPr>
        <w:drawing>
          <wp:inline distT="0" distB="0" distL="114300" distR="114300">
            <wp:extent cx="2163445" cy="1419225"/>
            <wp:effectExtent l="0" t="0" r="8255" b="9525"/>
            <wp:docPr id="47"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3"/>
                    <pic:cNvPicPr>
                      <a:picLocks noChangeAspect="1"/>
                    </pic:cNvPicPr>
                  </pic:nvPicPr>
                  <pic:blipFill>
                    <a:blip r:embed="rId59"/>
                    <a:stretch>
                      <a:fillRect/>
                    </a:stretch>
                  </pic:blipFill>
                  <pic:spPr>
                    <a:xfrm>
                      <a:off x="0" y="0"/>
                      <a:ext cx="2163445" cy="1419225"/>
                    </a:xfrm>
                    <a:prstGeom prst="rect">
                      <a:avLst/>
                    </a:prstGeom>
                    <a:noFill/>
                    <a:ln>
                      <a:noFill/>
                    </a:ln>
                  </pic:spPr>
                </pic:pic>
              </a:graphicData>
            </a:graphic>
          </wp:inline>
        </w:drawing>
      </w:r>
      <w:r>
        <w:rPr>
          <w:color w:val="auto"/>
          <w:highlight w:val="none"/>
        </w:rPr>
        <w:t xml:space="preserve"> </w:t>
      </w:r>
    </w:p>
    <w:p>
      <w:pPr>
        <w:pStyle w:val="217"/>
        <w:ind w:firstLine="960" w:firstLineChars="400"/>
        <w:rPr>
          <w:color w:val="auto"/>
          <w:highlight w:val="none"/>
        </w:rPr>
      </w:pPr>
      <w:r>
        <w:rPr>
          <w:rFonts w:hint="eastAsia"/>
          <w:color w:val="auto"/>
          <w:highlight w:val="none"/>
        </w:rPr>
        <w:t>短钢筋头制作马櫈筋</w:t>
      </w:r>
      <w:r>
        <w:rPr>
          <w:color w:val="auto"/>
          <w:highlight w:val="none"/>
        </w:rPr>
        <w:t xml:space="preserve">                   </w:t>
      </w:r>
      <w:r>
        <w:rPr>
          <w:rFonts w:hint="eastAsia"/>
          <w:color w:val="auto"/>
          <w:highlight w:val="none"/>
        </w:rPr>
        <w:t>短钢筋头制作对拉螺杆</w:t>
      </w:r>
      <w:r>
        <w:rPr>
          <w:color w:val="auto"/>
          <w:highlight w:val="none"/>
        </w:rPr>
        <w:t xml:space="preserve"> </w:t>
      </w:r>
    </w:p>
    <w:p>
      <w:pPr>
        <w:rPr>
          <w:color w:val="auto"/>
          <w:highlight w:val="none"/>
        </w:rPr>
      </w:pPr>
    </w:p>
    <w:p>
      <w:pPr>
        <w:pStyle w:val="217"/>
        <w:rPr>
          <w:color w:val="auto"/>
          <w:highlight w:val="none"/>
        </w:rPr>
      </w:pPr>
      <w:r>
        <w:rPr>
          <w:color w:val="auto"/>
          <w:highlight w:val="none"/>
        </w:rPr>
        <w:t>2.</w:t>
      </w:r>
      <w:r>
        <w:rPr>
          <w:rFonts w:hint="eastAsia"/>
          <w:color w:val="auto"/>
          <w:highlight w:val="none"/>
        </w:rPr>
        <w:t>临时设施</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）建设工程施工所需临时设施</w:t>
      </w:r>
      <w:r>
        <w:rPr>
          <w:color w:val="auto"/>
          <w:highlight w:val="none"/>
        </w:rPr>
        <w:t>(</w:t>
      </w:r>
      <w:r>
        <w:rPr>
          <w:rFonts w:hint="eastAsia"/>
          <w:color w:val="auto"/>
          <w:highlight w:val="none"/>
        </w:rPr>
        <w:t>办公及生活用房、给排水、照明、消防管道及消防设备</w:t>
      </w:r>
      <w:r>
        <w:rPr>
          <w:color w:val="auto"/>
          <w:highlight w:val="none"/>
        </w:rPr>
        <w:t xml:space="preserve">) </w:t>
      </w:r>
      <w:r>
        <w:rPr>
          <w:rFonts w:hint="eastAsia"/>
          <w:color w:val="auto"/>
          <w:highlight w:val="none"/>
        </w:rPr>
        <w:t>应满足下列要求：</w:t>
      </w:r>
    </w:p>
    <w:p>
      <w:pPr>
        <w:pStyle w:val="217"/>
        <w:rPr>
          <w:color w:val="auto"/>
          <w:highlight w:val="none"/>
        </w:rPr>
      </w:pPr>
      <w:r>
        <w:rPr>
          <w:color w:val="auto"/>
          <w:highlight w:val="none"/>
        </w:rPr>
        <w:t>1</w:t>
      </w:r>
      <w:r>
        <w:rPr>
          <w:rFonts w:hint="eastAsia"/>
          <w:color w:val="auto"/>
          <w:highlight w:val="none"/>
        </w:rPr>
        <w:t>）临时设施应充分利用既有建筑物、市政设施。减少临时设施的重复建设，缩短运输距离。如临时围挡坐落在正式围墙基础上；</w:t>
      </w:r>
    </w:p>
    <w:p>
      <w:pPr>
        <w:pStyle w:val="217"/>
        <w:rPr>
          <w:color w:val="auto"/>
          <w:highlight w:val="none"/>
        </w:rPr>
      </w:pPr>
      <w:r>
        <w:rPr>
          <w:color w:val="auto"/>
          <w:highlight w:val="none"/>
        </w:rPr>
        <w:t>2</w:t>
      </w:r>
      <w:r>
        <w:rPr>
          <w:rFonts w:hint="eastAsia"/>
          <w:color w:val="auto"/>
          <w:highlight w:val="none"/>
        </w:rPr>
        <w:t>）应采用移动式、可循环使用的装配式结构，如结构可靠的多层轻钢活动板房、钢骨架多层水泥活动板房以及集装箱房等；禁止搭建木结构房屋、帐篷及利用现场围挡搭建临时房屋或设施；</w:t>
      </w:r>
    </w:p>
    <w:p>
      <w:pPr>
        <w:pStyle w:val="217"/>
        <w:rPr>
          <w:color w:val="auto"/>
          <w:highlight w:val="none"/>
        </w:rPr>
      </w:pPr>
      <w:r>
        <w:rPr>
          <w:color w:val="auto"/>
          <w:highlight w:val="none"/>
        </w:rPr>
        <w:t>3</w:t>
      </w:r>
      <w:r>
        <w:rPr>
          <w:rFonts w:hint="eastAsia"/>
          <w:color w:val="auto"/>
          <w:highlight w:val="none"/>
        </w:rPr>
        <w:t>）临边、洞口等防护部位推广采用可拆卸周转使用的定型化、工具化、标准化挡板（如可周转临边洞口防护、拆装式楼层临边防护、可拆装式防护栏杆等）；</w:t>
      </w:r>
    </w:p>
    <w:p>
      <w:pPr>
        <w:pStyle w:val="217"/>
        <w:rPr>
          <w:color w:val="auto"/>
          <w:highlight w:val="none"/>
        </w:rPr>
      </w:pPr>
      <w:r>
        <w:rPr>
          <w:color w:val="auto"/>
          <w:highlight w:val="none"/>
        </w:rPr>
        <w:t>4</w:t>
      </w:r>
      <w:r>
        <w:rPr>
          <w:rFonts w:hint="eastAsia"/>
          <w:color w:val="auto"/>
          <w:highlight w:val="none"/>
        </w:rPr>
        <w:t>）建筑塔吊基础等临时性重型构件、基坑支护结构中设置有侵入坑外土层中的预应力锚杆，优先采用可拆式，便于回收利用；或经设计同意利用在建工程结构的合理部位。</w:t>
      </w:r>
    </w:p>
    <w:p>
      <w:pPr>
        <w:pStyle w:val="217"/>
        <w:jc w:val="left"/>
        <w:rPr>
          <w:color w:val="auto"/>
          <w:highlight w:val="none"/>
        </w:rPr>
      </w:pPr>
      <w:r>
        <w:rPr>
          <w:color w:val="auto"/>
          <w:highlight w:val="none"/>
        </w:rPr>
        <w:drawing>
          <wp:inline distT="0" distB="0" distL="114300" distR="114300">
            <wp:extent cx="1924050" cy="1447800"/>
            <wp:effectExtent l="0" t="0" r="0" b="0"/>
            <wp:docPr id="48" name="图片 1" descr="20190612150629_664506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descr="20190612150629_664506534"/>
                    <pic:cNvPicPr>
                      <a:picLocks noChangeAspect="1"/>
                    </pic:cNvPicPr>
                  </pic:nvPicPr>
                  <pic:blipFill>
                    <a:blip r:embed="rId60"/>
                    <a:stretch>
                      <a:fillRect/>
                    </a:stretch>
                  </pic:blipFill>
                  <pic:spPr>
                    <a:xfrm>
                      <a:off x="0" y="0"/>
                      <a:ext cx="1924050" cy="1447800"/>
                    </a:xfrm>
                    <a:prstGeom prst="rect">
                      <a:avLst/>
                    </a:prstGeom>
                    <a:noFill/>
                    <a:ln>
                      <a:noFill/>
                    </a:ln>
                  </pic:spPr>
                </pic:pic>
              </a:graphicData>
            </a:graphic>
          </wp:inline>
        </w:drawing>
      </w:r>
      <w:r>
        <w:rPr>
          <w:color w:val="auto"/>
          <w:highlight w:val="none"/>
        </w:rPr>
        <w:t xml:space="preserve">          </w:t>
      </w:r>
      <w:r>
        <w:rPr>
          <w:color w:val="auto"/>
          <w:highlight w:val="none"/>
        </w:rPr>
        <w:drawing>
          <wp:inline distT="0" distB="0" distL="114300" distR="114300">
            <wp:extent cx="1906270" cy="1438910"/>
            <wp:effectExtent l="0" t="0" r="17780" b="8890"/>
            <wp:docPr id="49"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4"/>
                    <pic:cNvPicPr>
                      <a:picLocks noChangeAspect="1"/>
                    </pic:cNvPicPr>
                  </pic:nvPicPr>
                  <pic:blipFill>
                    <a:blip r:embed="rId61"/>
                    <a:srcRect r="6329"/>
                    <a:stretch>
                      <a:fillRect/>
                    </a:stretch>
                  </pic:blipFill>
                  <pic:spPr>
                    <a:xfrm>
                      <a:off x="0" y="0"/>
                      <a:ext cx="1906270" cy="1438910"/>
                    </a:xfrm>
                    <a:prstGeom prst="rect">
                      <a:avLst/>
                    </a:prstGeom>
                    <a:noFill/>
                    <a:ln>
                      <a:noFill/>
                    </a:ln>
                  </pic:spPr>
                </pic:pic>
              </a:graphicData>
            </a:graphic>
          </wp:inline>
        </w:drawing>
      </w:r>
    </w:p>
    <w:p>
      <w:pPr>
        <w:pStyle w:val="217"/>
        <w:rPr>
          <w:color w:val="auto"/>
          <w:highlight w:val="none"/>
        </w:rPr>
      </w:pPr>
      <w:r>
        <w:rPr>
          <w:color w:val="auto"/>
          <w:highlight w:val="none"/>
        </w:rPr>
        <w:t xml:space="preserve">         </w:t>
      </w:r>
      <w:r>
        <w:rPr>
          <w:rFonts w:hint="eastAsia"/>
          <w:color w:val="auto"/>
          <w:highlight w:val="none"/>
        </w:rPr>
        <w:t>采用可周转围栏</w:t>
      </w:r>
      <w:r>
        <w:rPr>
          <w:color w:val="auto"/>
          <w:highlight w:val="none"/>
        </w:rPr>
        <w:t xml:space="preserve">             </w:t>
      </w:r>
      <w:r>
        <w:rPr>
          <w:rFonts w:hint="eastAsia"/>
          <w:color w:val="auto"/>
          <w:highlight w:val="none"/>
        </w:rPr>
        <w:t>采用可周转阻燃岩棉夹芯板房</w:t>
      </w:r>
    </w:p>
    <w:p>
      <w:pPr>
        <w:pStyle w:val="217"/>
        <w:rPr>
          <w:color w:val="auto"/>
          <w:highlight w:val="none"/>
        </w:rPr>
      </w:pPr>
      <w:r>
        <w:rPr>
          <w:color w:val="auto"/>
          <w:highlight w:val="none"/>
        </w:rPr>
        <w:drawing>
          <wp:inline distT="0" distB="0" distL="114300" distR="114300">
            <wp:extent cx="2133600" cy="1438275"/>
            <wp:effectExtent l="0" t="0" r="0" b="9525"/>
            <wp:docPr id="50"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7"/>
                    <pic:cNvPicPr>
                      <a:picLocks noChangeAspect="1"/>
                    </pic:cNvPicPr>
                  </pic:nvPicPr>
                  <pic:blipFill>
                    <a:blip r:embed="rId62"/>
                    <a:stretch>
                      <a:fillRect/>
                    </a:stretch>
                  </pic:blipFill>
                  <pic:spPr>
                    <a:xfrm>
                      <a:off x="0" y="0"/>
                      <a:ext cx="2133600" cy="1438275"/>
                    </a:xfrm>
                    <a:prstGeom prst="rect">
                      <a:avLst/>
                    </a:prstGeom>
                    <a:noFill/>
                    <a:ln>
                      <a:noFill/>
                    </a:ln>
                  </pic:spPr>
                </pic:pic>
              </a:graphicData>
            </a:graphic>
          </wp:inline>
        </w:drawing>
      </w:r>
      <w:r>
        <w:rPr>
          <w:color w:val="auto"/>
          <w:highlight w:val="none"/>
        </w:rPr>
        <w:t xml:space="preserve">        </w:t>
      </w:r>
      <w:r>
        <w:rPr>
          <w:color w:val="auto"/>
          <w:highlight w:val="none"/>
        </w:rPr>
        <w:drawing>
          <wp:inline distT="0" distB="0" distL="114300" distR="114300">
            <wp:extent cx="2143125" cy="1417320"/>
            <wp:effectExtent l="0" t="0" r="9525" b="11430"/>
            <wp:docPr id="51"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8"/>
                    <pic:cNvPicPr>
                      <a:picLocks noChangeAspect="1"/>
                    </pic:cNvPicPr>
                  </pic:nvPicPr>
                  <pic:blipFill>
                    <a:blip r:embed="rId63"/>
                    <a:stretch>
                      <a:fillRect/>
                    </a:stretch>
                  </pic:blipFill>
                  <pic:spPr>
                    <a:xfrm>
                      <a:off x="0" y="0"/>
                      <a:ext cx="2143125" cy="1417320"/>
                    </a:xfrm>
                    <a:prstGeom prst="rect">
                      <a:avLst/>
                    </a:prstGeom>
                    <a:noFill/>
                    <a:ln>
                      <a:noFill/>
                    </a:ln>
                  </pic:spPr>
                </pic:pic>
              </a:graphicData>
            </a:graphic>
          </wp:inline>
        </w:drawing>
      </w:r>
    </w:p>
    <w:p>
      <w:pPr>
        <w:pStyle w:val="217"/>
        <w:rPr>
          <w:color w:val="auto"/>
          <w:highlight w:val="none"/>
        </w:rPr>
      </w:pPr>
      <w:r>
        <w:rPr>
          <w:rFonts w:hint="eastAsia"/>
          <w:color w:val="auto"/>
          <w:highlight w:val="none"/>
        </w:rPr>
        <w:t>采用可拆卸式型钢工人休息棚</w:t>
      </w:r>
      <w:r>
        <w:rPr>
          <w:color w:val="auto"/>
          <w:highlight w:val="none"/>
        </w:rPr>
        <w:t xml:space="preserve">              </w:t>
      </w:r>
      <w:r>
        <w:rPr>
          <w:rFonts w:hint="eastAsia"/>
          <w:color w:val="auto"/>
          <w:highlight w:val="none"/>
        </w:rPr>
        <w:t>采用可拆卸式型钢木工棚</w:t>
      </w:r>
    </w:p>
    <w:p>
      <w:pPr>
        <w:pStyle w:val="217"/>
        <w:rPr>
          <w:color w:val="auto"/>
          <w:highlight w:val="none"/>
        </w:rPr>
      </w:pPr>
      <w:r>
        <w:rPr>
          <w:color w:val="auto"/>
          <w:highlight w:val="none"/>
        </w:rPr>
        <w:drawing>
          <wp:inline distT="0" distB="0" distL="114300" distR="114300">
            <wp:extent cx="2144395" cy="1428750"/>
            <wp:effectExtent l="0" t="0" r="8255" b="0"/>
            <wp:docPr id="52" name="图片 129" descr="SAM_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9" descr="SAM_1098"/>
                    <pic:cNvPicPr>
                      <a:picLocks noChangeAspect="1"/>
                    </pic:cNvPicPr>
                  </pic:nvPicPr>
                  <pic:blipFill>
                    <a:blip r:embed="rId64"/>
                    <a:stretch>
                      <a:fillRect/>
                    </a:stretch>
                  </pic:blipFill>
                  <pic:spPr>
                    <a:xfrm>
                      <a:off x="0" y="0"/>
                      <a:ext cx="2144395" cy="1428750"/>
                    </a:xfrm>
                    <a:prstGeom prst="rect">
                      <a:avLst/>
                    </a:prstGeom>
                    <a:noFill/>
                    <a:ln>
                      <a:noFill/>
                    </a:ln>
                  </pic:spPr>
                </pic:pic>
              </a:graphicData>
            </a:graphic>
          </wp:inline>
        </w:drawing>
      </w:r>
      <w:r>
        <w:rPr>
          <w:color w:val="auto"/>
          <w:highlight w:val="none"/>
        </w:rPr>
        <w:t xml:space="preserve">        </w:t>
      </w:r>
      <w:r>
        <w:rPr>
          <w:color w:val="auto"/>
          <w:highlight w:val="none"/>
        </w:rPr>
        <w:drawing>
          <wp:inline distT="0" distB="0" distL="114300" distR="114300">
            <wp:extent cx="2160905" cy="1428115"/>
            <wp:effectExtent l="0" t="0" r="10795" b="635"/>
            <wp:docPr id="53" name="图片 130" descr="C:\Users\Administrator\Desktop\绿色施工照片\IMG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0" descr="C:\Users\Administrator\Desktop\绿色施工照片\IMG_0089.JPG"/>
                    <pic:cNvPicPr>
                      <a:picLocks noChangeAspect="1"/>
                    </pic:cNvPicPr>
                  </pic:nvPicPr>
                  <pic:blipFill>
                    <a:blip r:embed="rId65"/>
                    <a:stretch>
                      <a:fillRect/>
                    </a:stretch>
                  </pic:blipFill>
                  <pic:spPr>
                    <a:xfrm>
                      <a:off x="0" y="0"/>
                      <a:ext cx="2160905" cy="1428115"/>
                    </a:xfrm>
                    <a:prstGeom prst="rect">
                      <a:avLst/>
                    </a:prstGeom>
                    <a:noFill/>
                    <a:ln>
                      <a:noFill/>
                    </a:ln>
                  </pic:spPr>
                </pic:pic>
              </a:graphicData>
            </a:graphic>
          </wp:inline>
        </w:drawing>
      </w:r>
    </w:p>
    <w:p>
      <w:pPr>
        <w:pStyle w:val="217"/>
        <w:rPr>
          <w:color w:val="auto"/>
          <w:highlight w:val="none"/>
        </w:rPr>
      </w:pPr>
      <w:r>
        <w:rPr>
          <w:rFonts w:hint="eastAsia"/>
          <w:color w:val="auto"/>
          <w:highlight w:val="none"/>
        </w:rPr>
        <w:t>集装箱式直饮水机、洗手洗脚池</w:t>
      </w:r>
      <w:r>
        <w:rPr>
          <w:color w:val="auto"/>
          <w:highlight w:val="none"/>
        </w:rPr>
        <w:t xml:space="preserve">             </w:t>
      </w:r>
      <w:r>
        <w:rPr>
          <w:rFonts w:hint="eastAsia"/>
          <w:color w:val="auto"/>
          <w:highlight w:val="none"/>
        </w:rPr>
        <w:t>定型化塔吊防护措施</w:t>
      </w:r>
    </w:p>
    <w:p>
      <w:pPr>
        <w:rPr>
          <w:color w:val="auto"/>
          <w:highlight w:val="none"/>
        </w:rPr>
      </w:pP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施工现场临时通道应环通、路幅合理，临时道路宜与永久性道路相结合降低材料投入；工地现场临时道路和地面硬化采用块材预制铺设，达到循环使用的目的，减少临时性道路混凝土浇筑和二次清理时建筑垃圾的产生；场内交通道路双车道宽度不大于</w:t>
      </w:r>
      <w:r>
        <w:rPr>
          <w:color w:val="auto"/>
          <w:highlight w:val="none"/>
        </w:rPr>
        <w:t>6m</w:t>
      </w:r>
      <w:r>
        <w:rPr>
          <w:rFonts w:hint="eastAsia"/>
          <w:color w:val="auto"/>
          <w:highlight w:val="none"/>
        </w:rPr>
        <w:t>，单车道不大于</w:t>
      </w:r>
      <w:r>
        <w:rPr>
          <w:color w:val="auto"/>
          <w:highlight w:val="none"/>
        </w:rPr>
        <w:t>3.5m</w:t>
      </w:r>
      <w:r>
        <w:rPr>
          <w:rFonts w:hint="eastAsia"/>
          <w:color w:val="auto"/>
          <w:highlight w:val="none"/>
        </w:rPr>
        <w:t>，转弯半径不大于</w:t>
      </w:r>
      <w:r>
        <w:rPr>
          <w:color w:val="auto"/>
          <w:highlight w:val="none"/>
        </w:rPr>
        <w:t>15m</w:t>
      </w:r>
      <w:r>
        <w:rPr>
          <w:rFonts w:hint="eastAsia"/>
          <w:color w:val="auto"/>
          <w:highlight w:val="none"/>
        </w:rPr>
        <w:t>，尽量形成环形通道。</w:t>
      </w:r>
    </w:p>
    <w:p>
      <w:pPr>
        <w:pStyle w:val="217"/>
        <w:rPr>
          <w:color w:val="auto"/>
          <w:highlight w:val="none"/>
        </w:rPr>
      </w:pPr>
    </w:p>
    <w:p>
      <w:pPr>
        <w:pStyle w:val="217"/>
        <w:rPr>
          <w:color w:val="auto"/>
          <w:highlight w:val="none"/>
        </w:rPr>
      </w:pPr>
      <w:r>
        <w:rPr>
          <w:color w:val="auto"/>
          <w:highlight w:val="none"/>
        </w:rPr>
        <w:drawing>
          <wp:inline distT="0" distB="0" distL="114300" distR="114300">
            <wp:extent cx="2142490" cy="1428115"/>
            <wp:effectExtent l="0" t="0" r="10160" b="635"/>
            <wp:docPr id="54" name="图片 131" descr="C:\Documents and Settings\Administrator\Application Data\Tencent\Users\276144123\QQ\WinTemp\RichOle\(EWMQ7ZV3L}32PBZY4}K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1" descr="C:\Documents and Settings\Administrator\Application Data\Tencent\Users\276144123\QQ\WinTemp\RichOle\(EWMQ7ZV3L}32PBZY4}KV$4.jpg"/>
                    <pic:cNvPicPr>
                      <a:picLocks noChangeAspect="1"/>
                    </pic:cNvPicPr>
                  </pic:nvPicPr>
                  <pic:blipFill>
                    <a:blip r:embed="rId66"/>
                    <a:stretch>
                      <a:fillRect/>
                    </a:stretch>
                  </pic:blipFill>
                  <pic:spPr>
                    <a:xfrm>
                      <a:off x="0" y="0"/>
                      <a:ext cx="2142490" cy="1428115"/>
                    </a:xfrm>
                    <a:prstGeom prst="rect">
                      <a:avLst/>
                    </a:prstGeom>
                    <a:noFill/>
                    <a:ln>
                      <a:noFill/>
                    </a:ln>
                  </pic:spPr>
                </pic:pic>
              </a:graphicData>
            </a:graphic>
          </wp:inline>
        </w:drawing>
      </w:r>
      <w:r>
        <w:rPr>
          <w:color w:val="auto"/>
          <w:highlight w:val="none"/>
        </w:rPr>
        <w:t xml:space="preserve">        </w:t>
      </w:r>
      <w:r>
        <w:rPr>
          <w:color w:val="auto"/>
          <w:highlight w:val="none"/>
        </w:rPr>
        <w:drawing>
          <wp:inline distT="0" distB="0" distL="114300" distR="114300">
            <wp:extent cx="2143125" cy="1419225"/>
            <wp:effectExtent l="0" t="0" r="9525" b="9525"/>
            <wp:docPr id="55" name="图片 132" descr="装配式道路 009 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2" descr="装配式道路 009 改"/>
                    <pic:cNvPicPr>
                      <a:picLocks noChangeAspect="1"/>
                    </pic:cNvPicPr>
                  </pic:nvPicPr>
                  <pic:blipFill>
                    <a:blip r:embed="rId67"/>
                    <a:srcRect b="10730"/>
                    <a:stretch>
                      <a:fillRect/>
                    </a:stretch>
                  </pic:blipFill>
                  <pic:spPr>
                    <a:xfrm>
                      <a:off x="0" y="0"/>
                      <a:ext cx="2143125" cy="1419225"/>
                    </a:xfrm>
                    <a:prstGeom prst="rect">
                      <a:avLst/>
                    </a:prstGeom>
                    <a:noFill/>
                    <a:ln>
                      <a:noFill/>
                    </a:ln>
                  </pic:spPr>
                </pic:pic>
              </a:graphicData>
            </a:graphic>
          </wp:inline>
        </w:drawing>
      </w:r>
    </w:p>
    <w:p>
      <w:pPr>
        <w:pStyle w:val="217"/>
        <w:rPr>
          <w:color w:val="auto"/>
          <w:highlight w:val="none"/>
        </w:rPr>
      </w:pPr>
      <w:r>
        <w:rPr>
          <w:rFonts w:hint="eastAsia"/>
          <w:color w:val="auto"/>
          <w:highlight w:val="none"/>
        </w:rPr>
        <w:t>临时道路宜与永久性道路相结合</w:t>
      </w:r>
      <w:r>
        <w:rPr>
          <w:color w:val="auto"/>
          <w:highlight w:val="none"/>
        </w:rPr>
        <w:t xml:space="preserve">              </w:t>
      </w:r>
      <w:r>
        <w:rPr>
          <w:rFonts w:hint="eastAsia"/>
          <w:color w:val="auto"/>
          <w:highlight w:val="none"/>
        </w:rPr>
        <w:t>预制装配式临时道路</w:t>
      </w:r>
    </w:p>
    <w:p>
      <w:pPr>
        <w:pStyle w:val="217"/>
        <w:rPr>
          <w:color w:val="auto"/>
          <w:highlight w:val="none"/>
        </w:rPr>
      </w:pP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）办公室耗材</w:t>
      </w:r>
    </w:p>
    <w:p>
      <w:pPr>
        <w:pStyle w:val="217"/>
        <w:rPr>
          <w:color w:val="auto"/>
          <w:highlight w:val="none"/>
        </w:rPr>
      </w:pPr>
      <w:r>
        <w:rPr>
          <w:color w:val="auto"/>
          <w:highlight w:val="none"/>
        </w:rPr>
        <w:t>1</w:t>
      </w:r>
      <w:r>
        <w:rPr>
          <w:rFonts w:hint="eastAsia"/>
          <w:color w:val="auto"/>
          <w:highlight w:val="none"/>
        </w:rPr>
        <w:t>）现场办公用纸应分类摆放，纸张应两面使用，废纸应回收；</w:t>
      </w:r>
    </w:p>
    <w:p>
      <w:pPr>
        <w:pStyle w:val="217"/>
        <w:rPr>
          <w:color w:val="auto"/>
          <w:highlight w:val="none"/>
        </w:rPr>
      </w:pPr>
      <w:r>
        <w:rPr>
          <w:color w:val="auto"/>
          <w:highlight w:val="none"/>
        </w:rPr>
        <w:t>2</w:t>
      </w:r>
      <w:r>
        <w:rPr>
          <w:rFonts w:hint="eastAsia"/>
          <w:color w:val="auto"/>
          <w:highlight w:val="none"/>
        </w:rPr>
        <w:t>）尽量采用稳压电源替代电池，废弃电池应隔离存放，定期回收；</w:t>
      </w:r>
    </w:p>
    <w:p>
      <w:pPr>
        <w:pStyle w:val="217"/>
        <w:rPr>
          <w:color w:val="auto"/>
          <w:highlight w:val="none"/>
        </w:rPr>
      </w:pPr>
      <w:r>
        <w:rPr>
          <w:color w:val="auto"/>
          <w:highlight w:val="none"/>
        </w:rPr>
        <w:t>3</w:t>
      </w:r>
      <w:r>
        <w:rPr>
          <w:rFonts w:hint="eastAsia"/>
          <w:color w:val="auto"/>
          <w:highlight w:val="none"/>
        </w:rPr>
        <w:t>）打印机墨盒应隔离存放，定期回收；</w:t>
      </w:r>
    </w:p>
    <w:p>
      <w:pPr>
        <w:pStyle w:val="172"/>
        <w:rPr>
          <w:color w:val="auto"/>
          <w:highlight w:val="none"/>
        </w:rPr>
      </w:pPr>
      <w:r>
        <w:rPr>
          <w:color w:val="auto"/>
          <w:highlight w:val="none"/>
        </w:rPr>
        <w:t xml:space="preserve">3.3.4 </w:t>
      </w:r>
      <w:r>
        <w:rPr>
          <w:rFonts w:hint="eastAsia"/>
          <w:color w:val="auto"/>
          <w:highlight w:val="none"/>
        </w:rPr>
        <w:t>节约能源</w:t>
      </w:r>
    </w:p>
    <w:p>
      <w:pPr>
        <w:pStyle w:val="119"/>
        <w:rPr>
          <w:color w:val="auto"/>
          <w:highlight w:val="none"/>
        </w:rPr>
      </w:pPr>
      <w:r>
        <w:rPr>
          <w:color w:val="auto"/>
          <w:highlight w:val="none"/>
        </w:rPr>
        <w:t xml:space="preserve">3.3.4.1 </w:t>
      </w:r>
      <w:r>
        <w:rPr>
          <w:rFonts w:hint="eastAsia"/>
          <w:color w:val="auto"/>
          <w:highlight w:val="none"/>
        </w:rPr>
        <w:t>节能指标</w:t>
      </w:r>
    </w:p>
    <w:p>
      <w:pPr>
        <w:pStyle w:val="217"/>
        <w:rPr>
          <w:color w:val="auto"/>
          <w:highlight w:val="none"/>
        </w:rPr>
      </w:pPr>
      <w:r>
        <w:rPr>
          <w:color w:val="auto"/>
          <w:highlight w:val="none"/>
        </w:rPr>
        <w:t>1.</w:t>
      </w:r>
      <w:r>
        <w:rPr>
          <w:rFonts w:hint="eastAsia"/>
          <w:color w:val="auto"/>
          <w:highlight w:val="none"/>
        </w:rPr>
        <w:t>工程项目万元施工产值施工能源消耗控制指标：</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）居住建筑工程项目：</w:t>
      </w:r>
    </w:p>
    <w:p>
      <w:pPr>
        <w:pStyle w:val="217"/>
        <w:rPr>
          <w:color w:val="auto"/>
          <w:highlight w:val="none"/>
        </w:rPr>
      </w:pPr>
      <w:r>
        <w:rPr>
          <w:rFonts w:hint="eastAsia"/>
          <w:color w:val="auto"/>
          <w:highlight w:val="none"/>
        </w:rPr>
        <w:t>施工能耗指标为</w:t>
      </w:r>
      <w:r>
        <w:rPr>
          <w:color w:val="auto"/>
          <w:highlight w:val="none"/>
        </w:rPr>
        <w:t>0.0188</w:t>
      </w:r>
      <w:r>
        <w:rPr>
          <w:rFonts w:hint="eastAsia"/>
          <w:color w:val="auto"/>
          <w:highlight w:val="none"/>
        </w:rPr>
        <w:t>吨标煤</w:t>
      </w:r>
      <w:r>
        <w:rPr>
          <w:color w:val="auto"/>
          <w:highlight w:val="none"/>
        </w:rPr>
        <w:t>/</w:t>
      </w:r>
      <w:r>
        <w:rPr>
          <w:rFonts w:hint="eastAsia"/>
          <w:color w:val="auto"/>
          <w:highlight w:val="none"/>
        </w:rPr>
        <w:t>万元，其中：用电指标为</w:t>
      </w:r>
      <w:r>
        <w:rPr>
          <w:color w:val="auto"/>
          <w:highlight w:val="none"/>
        </w:rPr>
        <w:t>53KWh/</w:t>
      </w:r>
      <w:r>
        <w:rPr>
          <w:rFonts w:hint="eastAsia"/>
          <w:color w:val="auto"/>
          <w:highlight w:val="none"/>
        </w:rPr>
        <w:t>万元（折合标煤为</w:t>
      </w:r>
      <w:r>
        <w:rPr>
          <w:color w:val="auto"/>
          <w:highlight w:val="none"/>
        </w:rPr>
        <w:t>0.0159</w:t>
      </w:r>
      <w:r>
        <w:rPr>
          <w:rFonts w:hint="eastAsia"/>
          <w:color w:val="auto"/>
          <w:highlight w:val="none"/>
        </w:rPr>
        <w:t>吨标煤</w:t>
      </w:r>
      <w:r>
        <w:rPr>
          <w:color w:val="auto"/>
          <w:highlight w:val="none"/>
        </w:rPr>
        <w:t>/</w:t>
      </w:r>
      <w:r>
        <w:rPr>
          <w:rFonts w:hint="eastAsia"/>
          <w:color w:val="auto"/>
          <w:highlight w:val="none"/>
        </w:rPr>
        <w:t>万元）；用油（含其它能源）指标为</w:t>
      </w:r>
      <w:r>
        <w:rPr>
          <w:color w:val="auto"/>
          <w:highlight w:val="none"/>
        </w:rPr>
        <w:t>2.3L/</w:t>
      </w:r>
      <w:r>
        <w:rPr>
          <w:rFonts w:hint="eastAsia"/>
          <w:color w:val="auto"/>
          <w:highlight w:val="none"/>
        </w:rPr>
        <w:t>万元（折合标煤为</w:t>
      </w:r>
      <w:r>
        <w:rPr>
          <w:color w:val="auto"/>
          <w:highlight w:val="none"/>
        </w:rPr>
        <w:t>0.0029</w:t>
      </w:r>
      <w:r>
        <w:rPr>
          <w:rFonts w:hint="eastAsia"/>
          <w:color w:val="auto"/>
          <w:highlight w:val="none"/>
        </w:rPr>
        <w:t>吨标煤</w:t>
      </w:r>
      <w:r>
        <w:rPr>
          <w:color w:val="auto"/>
          <w:highlight w:val="none"/>
        </w:rPr>
        <w:t>/</w:t>
      </w:r>
      <w:r>
        <w:rPr>
          <w:rFonts w:hint="eastAsia"/>
          <w:color w:val="auto"/>
          <w:highlight w:val="none"/>
        </w:rPr>
        <w:t>万元）。</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）公共建筑工程项目：</w:t>
      </w:r>
    </w:p>
    <w:p>
      <w:pPr>
        <w:pStyle w:val="217"/>
        <w:rPr>
          <w:color w:val="auto"/>
          <w:highlight w:val="none"/>
        </w:rPr>
      </w:pPr>
      <w:r>
        <w:rPr>
          <w:rFonts w:hint="eastAsia"/>
          <w:color w:val="auto"/>
          <w:highlight w:val="none"/>
        </w:rPr>
        <w:t>施工能耗指标为</w:t>
      </w:r>
      <w:r>
        <w:rPr>
          <w:color w:val="auto"/>
          <w:highlight w:val="none"/>
        </w:rPr>
        <w:t>0.0212</w:t>
      </w:r>
      <w:r>
        <w:rPr>
          <w:rFonts w:hint="eastAsia"/>
          <w:color w:val="auto"/>
          <w:highlight w:val="none"/>
        </w:rPr>
        <w:t>吨标煤</w:t>
      </w:r>
      <w:r>
        <w:rPr>
          <w:color w:val="auto"/>
          <w:highlight w:val="none"/>
        </w:rPr>
        <w:t>/</w:t>
      </w:r>
      <w:r>
        <w:rPr>
          <w:rFonts w:hint="eastAsia"/>
          <w:color w:val="auto"/>
          <w:highlight w:val="none"/>
        </w:rPr>
        <w:t>万元，其中：用电指标为</w:t>
      </w:r>
      <w:r>
        <w:rPr>
          <w:color w:val="auto"/>
          <w:highlight w:val="none"/>
        </w:rPr>
        <w:t>58KWh/</w:t>
      </w:r>
      <w:r>
        <w:rPr>
          <w:rFonts w:hint="eastAsia"/>
          <w:color w:val="auto"/>
          <w:highlight w:val="none"/>
        </w:rPr>
        <w:t>万元（折合标煤为</w:t>
      </w:r>
      <w:r>
        <w:rPr>
          <w:color w:val="auto"/>
          <w:highlight w:val="none"/>
        </w:rPr>
        <w:t>0.0174</w:t>
      </w:r>
      <w:r>
        <w:rPr>
          <w:rFonts w:hint="eastAsia"/>
          <w:color w:val="auto"/>
          <w:highlight w:val="none"/>
        </w:rPr>
        <w:t>吨标煤</w:t>
      </w:r>
      <w:r>
        <w:rPr>
          <w:color w:val="auto"/>
          <w:highlight w:val="none"/>
        </w:rPr>
        <w:t>/</w:t>
      </w:r>
      <w:r>
        <w:rPr>
          <w:rFonts w:hint="eastAsia"/>
          <w:color w:val="auto"/>
          <w:highlight w:val="none"/>
        </w:rPr>
        <w:t>万元）；用油（含其它能源）指标为</w:t>
      </w:r>
      <w:r>
        <w:rPr>
          <w:color w:val="auto"/>
          <w:highlight w:val="none"/>
        </w:rPr>
        <w:t>3L/</w:t>
      </w:r>
      <w:r>
        <w:rPr>
          <w:rFonts w:hint="eastAsia"/>
          <w:color w:val="auto"/>
          <w:highlight w:val="none"/>
        </w:rPr>
        <w:t>万元</w:t>
      </w:r>
      <w:r>
        <w:rPr>
          <w:color w:val="auto"/>
          <w:highlight w:val="none"/>
        </w:rPr>
        <w:t>(</w:t>
      </w:r>
      <w:r>
        <w:rPr>
          <w:rFonts w:hint="eastAsia"/>
          <w:color w:val="auto"/>
          <w:highlight w:val="none"/>
        </w:rPr>
        <w:t>折合标煤为</w:t>
      </w:r>
      <w:r>
        <w:rPr>
          <w:color w:val="auto"/>
          <w:highlight w:val="none"/>
        </w:rPr>
        <w:t>0.0038</w:t>
      </w:r>
      <w:r>
        <w:rPr>
          <w:rFonts w:hint="eastAsia"/>
          <w:color w:val="auto"/>
          <w:highlight w:val="none"/>
        </w:rPr>
        <w:t>吨标煤</w:t>
      </w:r>
      <w:r>
        <w:rPr>
          <w:color w:val="auto"/>
          <w:highlight w:val="none"/>
        </w:rPr>
        <w:t>/</w:t>
      </w:r>
      <w:r>
        <w:rPr>
          <w:rFonts w:hint="eastAsia"/>
          <w:color w:val="auto"/>
          <w:highlight w:val="none"/>
        </w:rPr>
        <w:t>万元</w:t>
      </w:r>
      <w:r>
        <w:rPr>
          <w:color w:val="auto"/>
          <w:highlight w:val="none"/>
        </w:rPr>
        <w:t>)</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）工业建筑工程项目：</w:t>
      </w:r>
    </w:p>
    <w:p>
      <w:pPr>
        <w:pStyle w:val="217"/>
        <w:rPr>
          <w:color w:val="auto"/>
          <w:highlight w:val="none"/>
        </w:rPr>
      </w:pPr>
      <w:r>
        <w:rPr>
          <w:rFonts w:hint="eastAsia"/>
          <w:color w:val="auto"/>
          <w:highlight w:val="none"/>
        </w:rPr>
        <w:t>施工能耗指标为</w:t>
      </w:r>
      <w:r>
        <w:rPr>
          <w:color w:val="auto"/>
          <w:highlight w:val="none"/>
        </w:rPr>
        <w:t>0.0174</w:t>
      </w:r>
      <w:r>
        <w:rPr>
          <w:rFonts w:hint="eastAsia"/>
          <w:color w:val="auto"/>
          <w:highlight w:val="none"/>
        </w:rPr>
        <w:t>吨标煤</w:t>
      </w:r>
      <w:r>
        <w:rPr>
          <w:color w:val="auto"/>
          <w:highlight w:val="none"/>
        </w:rPr>
        <w:t>/</w:t>
      </w:r>
      <w:r>
        <w:rPr>
          <w:rFonts w:hint="eastAsia"/>
          <w:color w:val="auto"/>
          <w:highlight w:val="none"/>
        </w:rPr>
        <w:t>万元，其中：用电指标为</w:t>
      </w:r>
      <w:r>
        <w:rPr>
          <w:color w:val="auto"/>
          <w:highlight w:val="none"/>
        </w:rPr>
        <w:t>50KWh/</w:t>
      </w:r>
      <w:r>
        <w:rPr>
          <w:rFonts w:hint="eastAsia"/>
          <w:color w:val="auto"/>
          <w:highlight w:val="none"/>
        </w:rPr>
        <w:t>万元（折合标煤为</w:t>
      </w:r>
      <w:r>
        <w:rPr>
          <w:color w:val="auto"/>
          <w:highlight w:val="none"/>
        </w:rPr>
        <w:t>0.0150</w:t>
      </w:r>
      <w:r>
        <w:rPr>
          <w:rFonts w:hint="eastAsia"/>
          <w:color w:val="auto"/>
          <w:highlight w:val="none"/>
        </w:rPr>
        <w:t>吨标煤</w:t>
      </w:r>
      <w:r>
        <w:rPr>
          <w:color w:val="auto"/>
          <w:highlight w:val="none"/>
        </w:rPr>
        <w:t>/</w:t>
      </w:r>
      <w:r>
        <w:rPr>
          <w:rFonts w:hint="eastAsia"/>
          <w:color w:val="auto"/>
          <w:highlight w:val="none"/>
        </w:rPr>
        <w:t>万元）；用油（含其它能源）指标为</w:t>
      </w:r>
      <w:r>
        <w:rPr>
          <w:color w:val="auto"/>
          <w:highlight w:val="none"/>
        </w:rPr>
        <w:t>1.9L/</w:t>
      </w:r>
      <w:r>
        <w:rPr>
          <w:rFonts w:hint="eastAsia"/>
          <w:color w:val="auto"/>
          <w:highlight w:val="none"/>
        </w:rPr>
        <w:t>万元（折合标煤为</w:t>
      </w:r>
      <w:r>
        <w:rPr>
          <w:color w:val="auto"/>
          <w:highlight w:val="none"/>
        </w:rPr>
        <w:t>0.0024</w:t>
      </w:r>
      <w:r>
        <w:rPr>
          <w:rFonts w:hint="eastAsia"/>
          <w:color w:val="auto"/>
          <w:highlight w:val="none"/>
        </w:rPr>
        <w:t>吨标煤</w:t>
      </w:r>
      <w:r>
        <w:rPr>
          <w:color w:val="auto"/>
          <w:highlight w:val="none"/>
        </w:rPr>
        <w:t>/</w:t>
      </w:r>
      <w:r>
        <w:rPr>
          <w:rFonts w:hint="eastAsia"/>
          <w:color w:val="auto"/>
          <w:highlight w:val="none"/>
        </w:rPr>
        <w:t>万元）。</w:t>
      </w:r>
    </w:p>
    <w:p>
      <w:pPr>
        <w:pStyle w:val="217"/>
        <w:rPr>
          <w:color w:val="auto"/>
          <w:highlight w:val="none"/>
        </w:rPr>
      </w:pPr>
      <w:r>
        <w:rPr>
          <w:color w:val="auto"/>
          <w:highlight w:val="none"/>
        </w:rPr>
        <w:t>2.</w:t>
      </w:r>
      <w:r>
        <w:rPr>
          <w:rFonts w:hint="eastAsia"/>
          <w:color w:val="auto"/>
          <w:highlight w:val="none"/>
        </w:rPr>
        <w:t>临时用电设施，照明设计满足基本照度的规定，不得超过</w:t>
      </w:r>
      <w:r>
        <w:rPr>
          <w:color w:val="auto"/>
          <w:highlight w:val="none"/>
        </w:rPr>
        <w:t>+5% ~ -10%</w:t>
      </w:r>
      <w:r>
        <w:rPr>
          <w:rFonts w:hint="eastAsia"/>
          <w:color w:val="auto"/>
          <w:highlight w:val="none"/>
        </w:rPr>
        <w:t>。在满足照度的前提下，办公室节能型照明器具功率密度值不得大于</w:t>
      </w:r>
      <w:r>
        <w:rPr>
          <w:color w:val="auto"/>
          <w:highlight w:val="none"/>
        </w:rPr>
        <w:t>8 W/m2</w:t>
      </w:r>
      <w:r>
        <w:rPr>
          <w:rFonts w:hint="eastAsia"/>
          <w:color w:val="auto"/>
          <w:highlight w:val="none"/>
        </w:rPr>
        <w:t>，宿舍不得大于</w:t>
      </w:r>
      <w:r>
        <w:rPr>
          <w:color w:val="auto"/>
          <w:highlight w:val="none"/>
        </w:rPr>
        <w:t>6 W/m2</w:t>
      </w:r>
      <w:r>
        <w:rPr>
          <w:rFonts w:hint="eastAsia"/>
          <w:color w:val="auto"/>
          <w:highlight w:val="none"/>
        </w:rPr>
        <w:t>，仓库照明不得大于</w:t>
      </w:r>
      <w:r>
        <w:rPr>
          <w:color w:val="auto"/>
          <w:highlight w:val="none"/>
        </w:rPr>
        <w:t>5 W/m2</w:t>
      </w:r>
      <w:r>
        <w:rPr>
          <w:rFonts w:hint="eastAsia"/>
          <w:color w:val="auto"/>
          <w:highlight w:val="none"/>
        </w:rPr>
        <w:t>。</w:t>
      </w:r>
    </w:p>
    <w:p>
      <w:pPr>
        <w:pStyle w:val="119"/>
        <w:rPr>
          <w:color w:val="auto"/>
          <w:highlight w:val="none"/>
        </w:rPr>
      </w:pPr>
      <w:r>
        <w:rPr>
          <w:color w:val="auto"/>
          <w:highlight w:val="none"/>
        </w:rPr>
        <w:t xml:space="preserve">3.3.4.2 </w:t>
      </w:r>
      <w:r>
        <w:rPr>
          <w:rFonts w:hint="eastAsia"/>
          <w:color w:val="auto"/>
          <w:highlight w:val="none"/>
        </w:rPr>
        <w:t>能源管理</w:t>
      </w:r>
    </w:p>
    <w:p>
      <w:pPr>
        <w:pStyle w:val="217"/>
        <w:rPr>
          <w:color w:val="auto"/>
          <w:highlight w:val="none"/>
        </w:rPr>
      </w:pPr>
      <w:r>
        <w:rPr>
          <w:color w:val="auto"/>
          <w:highlight w:val="none"/>
        </w:rPr>
        <w:t>1.</w:t>
      </w:r>
      <w:r>
        <w:rPr>
          <w:rFonts w:hint="eastAsia"/>
          <w:color w:val="auto"/>
          <w:highlight w:val="none"/>
        </w:rPr>
        <w:t>管理制度</w:t>
      </w:r>
    </w:p>
    <w:p>
      <w:pPr>
        <w:pStyle w:val="217"/>
        <w:rPr>
          <w:color w:val="auto"/>
          <w:highlight w:val="none"/>
        </w:rPr>
      </w:pPr>
      <w:r>
        <w:rPr>
          <w:rFonts w:hint="eastAsia"/>
          <w:color w:val="auto"/>
          <w:highlight w:val="none"/>
        </w:rPr>
        <w:t>施工现场应制订能源使用管理制度，对施工现场的生产、生活、办公和主要耗能施工设备应设有节能的控制措施，对能源消耗量大的工艺必须制定专项降耗措施。。定期统计、分析、上报能源使用情况。具体要求如下：</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w:t>
      </w:r>
      <w:r>
        <w:rPr>
          <w:color w:val="auto"/>
          <w:highlight w:val="none"/>
        </w:rPr>
        <w:t xml:space="preserve"> </w:t>
      </w:r>
      <w:r>
        <w:rPr>
          <w:rFonts w:hint="eastAsia"/>
          <w:color w:val="auto"/>
          <w:highlight w:val="none"/>
        </w:rPr>
        <w:t>施工现场使用电能以外的能源时，应制订采购、运输、现场保管制度，柴油、液化气等能源使用应有消耗记录（如电费帐单、购油发票等原始记录）；定期核算，有对比分析；</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w:t>
      </w:r>
      <w:r>
        <w:rPr>
          <w:color w:val="auto"/>
          <w:highlight w:val="none"/>
        </w:rPr>
        <w:t xml:space="preserve"> </w:t>
      </w:r>
      <w:r>
        <w:rPr>
          <w:rFonts w:hint="eastAsia"/>
          <w:color w:val="auto"/>
          <w:highlight w:val="none"/>
        </w:rPr>
        <w:t>在施工组织设计中，合理安排施工顺序、工作面和施工进度，科学组织工序衔接，改善能源使用结构，使施工机械充分发挥最大效率。选择施工工艺时，应优先考虑能耗较低的施工工艺；</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）对不同的工程类型，如住宅建筑、公共建筑、工业厂房建筑、仓储建筑、设备安装工程等进行分析、对比，提高节电率；</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）项目部应设置明显的节约用电宣传标识。</w:t>
      </w:r>
    </w:p>
    <w:p>
      <w:pPr>
        <w:pStyle w:val="217"/>
        <w:rPr>
          <w:color w:val="auto"/>
          <w:highlight w:val="none"/>
        </w:rPr>
      </w:pPr>
    </w:p>
    <w:p>
      <w:pPr>
        <w:pStyle w:val="217"/>
        <w:rPr>
          <w:color w:val="auto"/>
          <w:highlight w:val="none"/>
        </w:rPr>
      </w:pPr>
      <w:r>
        <w:rPr>
          <w:color w:val="auto"/>
          <w:highlight w:val="none"/>
        </w:rPr>
        <w:drawing>
          <wp:inline distT="0" distB="0" distL="114300" distR="114300">
            <wp:extent cx="2152015" cy="1429385"/>
            <wp:effectExtent l="0" t="0" r="635" b="18415"/>
            <wp:docPr id="56" name="图片 133" descr="SDC1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3" descr="SDC11114"/>
                    <pic:cNvPicPr>
                      <a:picLocks noChangeAspect="1"/>
                    </pic:cNvPicPr>
                  </pic:nvPicPr>
                  <pic:blipFill>
                    <a:blip r:embed="rId68"/>
                    <a:srcRect l="15453" t="14030" r="30249" b="35970"/>
                    <a:stretch>
                      <a:fillRect/>
                    </a:stretch>
                  </pic:blipFill>
                  <pic:spPr>
                    <a:xfrm>
                      <a:off x="0" y="0"/>
                      <a:ext cx="2152015" cy="1429385"/>
                    </a:xfrm>
                    <a:prstGeom prst="rect">
                      <a:avLst/>
                    </a:prstGeom>
                    <a:noFill/>
                    <a:ln>
                      <a:noFill/>
                    </a:ln>
                  </pic:spPr>
                </pic:pic>
              </a:graphicData>
            </a:graphic>
          </wp:inline>
        </w:drawing>
      </w:r>
      <w:r>
        <w:rPr>
          <w:color w:val="auto"/>
          <w:highlight w:val="none"/>
        </w:rPr>
        <w:t xml:space="preserve">        </w:t>
      </w:r>
      <w:r>
        <w:rPr>
          <w:color w:val="auto"/>
          <w:highlight w:val="none"/>
        </w:rPr>
        <w:drawing>
          <wp:inline distT="0" distB="0" distL="114300" distR="114300">
            <wp:extent cx="2161540" cy="1438275"/>
            <wp:effectExtent l="0" t="0" r="10160" b="9525"/>
            <wp:docPr id="57" name="图片 134" descr="DSCN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4" descr="DSCN4194"/>
                    <pic:cNvPicPr>
                      <a:picLocks noChangeAspect="1"/>
                    </pic:cNvPicPr>
                  </pic:nvPicPr>
                  <pic:blipFill>
                    <a:blip r:embed="rId69"/>
                    <a:stretch>
                      <a:fillRect/>
                    </a:stretch>
                  </pic:blipFill>
                  <pic:spPr>
                    <a:xfrm>
                      <a:off x="0" y="0"/>
                      <a:ext cx="2161540" cy="1438275"/>
                    </a:xfrm>
                    <a:prstGeom prst="rect">
                      <a:avLst/>
                    </a:prstGeom>
                    <a:noFill/>
                    <a:ln>
                      <a:noFill/>
                    </a:ln>
                  </pic:spPr>
                </pic:pic>
              </a:graphicData>
            </a:graphic>
          </wp:inline>
        </w:drawing>
      </w:r>
    </w:p>
    <w:p>
      <w:pPr>
        <w:pStyle w:val="217"/>
        <w:rPr>
          <w:color w:val="auto"/>
          <w:highlight w:val="none"/>
        </w:rPr>
      </w:pPr>
      <w:r>
        <w:rPr>
          <w:color w:val="auto"/>
          <w:highlight w:val="none"/>
        </w:rPr>
        <w:t xml:space="preserve">   </w:t>
      </w:r>
      <w:r>
        <w:rPr>
          <w:rFonts w:hint="eastAsia"/>
          <w:color w:val="auto"/>
          <w:highlight w:val="none"/>
        </w:rPr>
        <w:t>节能宣传标识示意图（</w:t>
      </w:r>
      <w:r>
        <w:rPr>
          <w:color w:val="auto"/>
          <w:highlight w:val="none"/>
        </w:rPr>
        <w:t>1</w:t>
      </w:r>
      <w:r>
        <w:rPr>
          <w:rFonts w:hint="eastAsia"/>
          <w:color w:val="auto"/>
          <w:highlight w:val="none"/>
        </w:rPr>
        <w:t>）</w:t>
      </w:r>
      <w:r>
        <w:rPr>
          <w:color w:val="auto"/>
          <w:highlight w:val="none"/>
        </w:rPr>
        <w:t xml:space="preserve">              </w:t>
      </w:r>
      <w:r>
        <w:rPr>
          <w:rFonts w:hint="eastAsia"/>
          <w:color w:val="auto"/>
          <w:highlight w:val="none"/>
        </w:rPr>
        <w:t>节能宣传标识示意图（</w:t>
      </w:r>
      <w:r>
        <w:rPr>
          <w:color w:val="auto"/>
          <w:highlight w:val="none"/>
        </w:rPr>
        <w:t>2</w:t>
      </w:r>
      <w:r>
        <w:rPr>
          <w:rFonts w:hint="eastAsia"/>
          <w:color w:val="auto"/>
          <w:highlight w:val="none"/>
        </w:rPr>
        <w:t>）</w:t>
      </w:r>
    </w:p>
    <w:p>
      <w:pPr>
        <w:rPr>
          <w:color w:val="auto"/>
          <w:highlight w:val="none"/>
        </w:rPr>
      </w:pPr>
    </w:p>
    <w:p>
      <w:pPr>
        <w:pStyle w:val="217"/>
        <w:rPr>
          <w:color w:val="auto"/>
          <w:highlight w:val="none"/>
        </w:rPr>
      </w:pPr>
      <w:r>
        <w:rPr>
          <w:color w:val="auto"/>
          <w:highlight w:val="none"/>
        </w:rPr>
        <w:t>2.</w:t>
      </w:r>
      <w:r>
        <w:rPr>
          <w:rFonts w:hint="eastAsia"/>
          <w:color w:val="auto"/>
          <w:highlight w:val="none"/>
        </w:rPr>
        <w:t>用电计量</w:t>
      </w:r>
    </w:p>
    <w:p>
      <w:pPr>
        <w:pStyle w:val="217"/>
        <w:rPr>
          <w:color w:val="auto"/>
          <w:highlight w:val="none"/>
        </w:rPr>
      </w:pPr>
      <w:r>
        <w:rPr>
          <w:rFonts w:hint="eastAsia"/>
          <w:color w:val="auto"/>
          <w:highlight w:val="none"/>
        </w:rPr>
        <w:t>应对塔吊、人货电梯等大型用电设备、照明和生活办公区分别安装电表，并定期耗能计量核算，并制定预防与纠正措施。</w:t>
      </w:r>
    </w:p>
    <w:p>
      <w:pPr>
        <w:pStyle w:val="217"/>
        <w:rPr>
          <w:color w:val="auto"/>
          <w:highlight w:val="none"/>
        </w:rPr>
      </w:pPr>
    </w:p>
    <w:p>
      <w:pPr>
        <w:pStyle w:val="217"/>
        <w:rPr>
          <w:color w:val="auto"/>
          <w:highlight w:val="none"/>
        </w:rPr>
      </w:pP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1395095</wp:posOffset>
                </wp:positionH>
                <wp:positionV relativeFrom="paragraph">
                  <wp:posOffset>230505</wp:posOffset>
                </wp:positionV>
                <wp:extent cx="246380" cy="0"/>
                <wp:effectExtent l="0" t="0" r="0" b="0"/>
                <wp:wrapNone/>
                <wp:docPr id="3" name="直接箭头连接符 125"/>
                <wp:cNvGraphicFramePr/>
                <a:graphic xmlns:a="http://schemas.openxmlformats.org/drawingml/2006/main">
                  <a:graphicData uri="http://schemas.microsoft.com/office/word/2010/wordprocessingShape">
                    <wps:wsp>
                      <wps:cNvCnPr/>
                      <wps:spPr>
                        <a:xfrm>
                          <a:off x="0" y="0"/>
                          <a:ext cx="246380" cy="0"/>
                        </a:xfrm>
                        <a:prstGeom prst="straightConnector1">
                          <a:avLst/>
                        </a:prstGeom>
                        <a:ln w="12700" cap="flat" cmpd="sng">
                          <a:solidFill>
                            <a:srgbClr val="C0504D"/>
                          </a:solidFill>
                          <a:prstDash val="solid"/>
                          <a:headEnd type="none" w="med" len="med"/>
                          <a:tailEnd type="none" w="med" len="med"/>
                        </a:ln>
                        <a:effectLst/>
                      </wps:spPr>
                      <wps:bodyPr/>
                    </wps:wsp>
                  </a:graphicData>
                </a:graphic>
              </wp:anchor>
            </w:drawing>
          </mc:Choice>
          <mc:Fallback>
            <w:pict>
              <v:shape id="直接箭头连接符 125" o:spid="_x0000_s1026" o:spt="32" type="#_x0000_t32" style="position:absolute;left:0pt;margin-left:109.85pt;margin-top:18.15pt;height:0pt;width:19.4pt;z-index:251662336;mso-width-relative:page;mso-height-relative:page;" filled="f" stroked="t" coordsize="21600,21600" o:gfxdata="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mEp4NYAAAAJAQAADwAAAAAAAAABACAAAAAiAAAAZHJz&#10;L2Rvd25yZXYueG1sUEsBAhQAFAAAAAgAh07iQDu/RKIGAgAA/AMAAA4AAAAAAAAAAQAgAAAAJQEA&#10;AGRycy9lMm9Eb2MueG1sUEsFBgAAAAAGAAYAWQEAAJ0FAAAAAA==&#10;">
                <v:fill on="f" focussize="0,0"/>
                <v:stroke weight="1pt" color="#C0504D" joinstyle="round"/>
                <v:imagedata o:title=""/>
                <o:lock v:ext="edit" aspectratio="f"/>
              </v:shape>
            </w:pict>
          </mc:Fallback>
        </mc:AlternateContent>
      </w:r>
      <w:r>
        <w:rPr>
          <w:color w:val="auto"/>
          <w:highlight w:val="none"/>
        </w:rPr>
        <mc:AlternateContent>
          <mc:Choice Requires="wps">
            <w:drawing>
              <wp:anchor distT="0" distB="0" distL="113665" distR="113665" simplePos="0" relativeHeight="251663360" behindDoc="0" locked="0" layoutInCell="1" allowOverlap="1">
                <wp:simplePos x="0" y="0"/>
                <wp:positionH relativeFrom="column">
                  <wp:posOffset>1804670</wp:posOffset>
                </wp:positionH>
                <wp:positionV relativeFrom="paragraph">
                  <wp:posOffset>1020445</wp:posOffset>
                </wp:positionV>
                <wp:extent cx="0" cy="156845"/>
                <wp:effectExtent l="6350" t="0" r="12700" b="14605"/>
                <wp:wrapNone/>
                <wp:docPr id="4" name="直接箭头连接符 126"/>
                <wp:cNvGraphicFramePr/>
                <a:graphic xmlns:a="http://schemas.openxmlformats.org/drawingml/2006/main">
                  <a:graphicData uri="http://schemas.microsoft.com/office/word/2010/wordprocessingShape">
                    <wps:wsp>
                      <wps:cNvCnPr/>
                      <wps:spPr>
                        <a:xfrm>
                          <a:off x="0" y="0"/>
                          <a:ext cx="0" cy="156845"/>
                        </a:xfrm>
                        <a:prstGeom prst="straightConnector1">
                          <a:avLst/>
                        </a:prstGeom>
                        <a:ln w="12700" cap="flat" cmpd="sng">
                          <a:solidFill>
                            <a:srgbClr val="FF0000"/>
                          </a:solidFill>
                          <a:prstDash val="solid"/>
                          <a:headEnd type="none" w="med" len="med"/>
                          <a:tailEnd type="none" w="med" len="med"/>
                        </a:ln>
                        <a:effectLst/>
                      </wps:spPr>
                      <wps:bodyPr/>
                    </wps:wsp>
                  </a:graphicData>
                </a:graphic>
              </wp:anchor>
            </w:drawing>
          </mc:Choice>
          <mc:Fallback>
            <w:pict>
              <v:shape id="直接箭头连接符 126" o:spid="_x0000_s1026" o:spt="32" type="#_x0000_t32" style="position:absolute;left:0pt;margin-left:142.1pt;margin-top:80.35pt;height:12.35pt;width:0pt;z-index:251663360;mso-width-relative:page;mso-height-relative:page;" filled="f" stroked="t" coordsize="21600,21600" o:gfxdata="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L9TMN1QAAAAsBAAAPAAAAAAAAAAEAIAAAACIAAABkcnMvZG93&#10;bnJldi54bWxQSwECFAAUAAAACACHTuJAqSOoQgMCAAD8AwAADgAAAAAAAAABACAAAAAkAQAAZHJz&#10;L2Uyb0RvYy54bWxQSwUGAAAAAAYABgBZAQAAmQUAAAAA&#10;">
                <v:fill on="f" focussize="0,0"/>
                <v:stroke weight="1pt" color="#FF0000" joinstyle="round"/>
                <v:imagedata o:title=""/>
                <o:lock v:ext="edit" aspectratio="f"/>
              </v:shape>
            </w:pict>
          </mc:Fallback>
        </mc:AlternateContent>
      </w:r>
      <w:r>
        <w:rPr>
          <w:color w:val="auto"/>
          <w:highlight w:val="none"/>
        </w:rPr>
        <w:drawing>
          <wp:inline distT="0" distB="0" distL="114300" distR="114300">
            <wp:extent cx="3124200" cy="1609090"/>
            <wp:effectExtent l="0" t="0" r="0" b="10160"/>
            <wp:docPr id="58"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35"/>
                    <pic:cNvPicPr>
                      <a:picLocks noChangeAspect="1"/>
                    </pic:cNvPicPr>
                  </pic:nvPicPr>
                  <pic:blipFill>
                    <a:blip r:embed="rId70"/>
                    <a:stretch>
                      <a:fillRect/>
                    </a:stretch>
                  </pic:blipFill>
                  <pic:spPr>
                    <a:xfrm>
                      <a:off x="0" y="0"/>
                      <a:ext cx="3124200" cy="1609090"/>
                    </a:xfrm>
                    <a:prstGeom prst="rect">
                      <a:avLst/>
                    </a:prstGeom>
                    <a:noFill/>
                    <a:ln>
                      <a:noFill/>
                    </a:ln>
                  </pic:spPr>
                </pic:pic>
              </a:graphicData>
            </a:graphic>
          </wp:inline>
        </w:drawing>
      </w:r>
    </w:p>
    <w:p>
      <w:pPr>
        <w:pStyle w:val="217"/>
        <w:rPr>
          <w:color w:val="auto"/>
          <w:highlight w:val="none"/>
        </w:rPr>
      </w:pPr>
      <w:r>
        <w:rPr>
          <w:rFonts w:hint="eastAsia"/>
          <w:color w:val="auto"/>
          <w:highlight w:val="none"/>
        </w:rPr>
        <w:t>生产、生活、办公和施工设备用电定期计量示意图</w:t>
      </w:r>
    </w:p>
    <w:p>
      <w:pPr>
        <w:rPr>
          <w:color w:val="auto"/>
          <w:highlight w:val="none"/>
        </w:rPr>
      </w:pPr>
    </w:p>
    <w:p>
      <w:pPr>
        <w:pStyle w:val="119"/>
        <w:rPr>
          <w:color w:val="auto"/>
          <w:highlight w:val="none"/>
        </w:rPr>
      </w:pPr>
      <w:r>
        <w:rPr>
          <w:color w:val="auto"/>
          <w:highlight w:val="none"/>
        </w:rPr>
        <w:t xml:space="preserve">3.3.4.3 </w:t>
      </w:r>
      <w:r>
        <w:rPr>
          <w:rFonts w:hint="eastAsia"/>
          <w:color w:val="auto"/>
          <w:highlight w:val="none"/>
        </w:rPr>
        <w:t>新能源利用</w:t>
      </w:r>
    </w:p>
    <w:p>
      <w:pPr>
        <w:pStyle w:val="217"/>
        <w:rPr>
          <w:color w:val="auto"/>
          <w:highlight w:val="none"/>
        </w:rPr>
      </w:pPr>
      <w:r>
        <w:rPr>
          <w:rFonts w:hint="eastAsia"/>
          <w:color w:val="auto"/>
          <w:highlight w:val="none"/>
        </w:rPr>
        <w:t>根据当地气候和自然资源条件，可充分利用太阳能或其他可再生能源。具体措施有：</w:t>
      </w:r>
    </w:p>
    <w:p>
      <w:pPr>
        <w:pStyle w:val="217"/>
        <w:rPr>
          <w:color w:val="auto"/>
          <w:highlight w:val="none"/>
        </w:rPr>
      </w:pPr>
      <w:r>
        <w:rPr>
          <w:color w:val="auto"/>
          <w:highlight w:val="none"/>
        </w:rPr>
        <w:t>1.</w:t>
      </w:r>
      <w:r>
        <w:rPr>
          <w:rFonts w:hint="eastAsia"/>
          <w:color w:val="auto"/>
          <w:highlight w:val="none"/>
        </w:rPr>
        <w:t>安装空气源热泵热水器；</w:t>
      </w:r>
    </w:p>
    <w:p>
      <w:pPr>
        <w:pStyle w:val="217"/>
        <w:rPr>
          <w:color w:val="auto"/>
          <w:highlight w:val="none"/>
        </w:rPr>
      </w:pPr>
      <w:r>
        <w:rPr>
          <w:color w:val="auto"/>
          <w:highlight w:val="none"/>
        </w:rPr>
        <w:t>2.</w:t>
      </w:r>
      <w:r>
        <w:rPr>
          <w:rFonts w:hint="eastAsia"/>
          <w:color w:val="auto"/>
          <w:highlight w:val="none"/>
        </w:rPr>
        <w:t>有条件的工地可采用太阳能利用与建筑一体化技术，安装太阳能热水器；</w:t>
      </w:r>
    </w:p>
    <w:p>
      <w:pPr>
        <w:pStyle w:val="217"/>
        <w:rPr>
          <w:color w:val="auto"/>
          <w:highlight w:val="none"/>
        </w:rPr>
      </w:pPr>
      <w:r>
        <w:rPr>
          <w:color w:val="auto"/>
          <w:highlight w:val="none"/>
        </w:rPr>
        <w:t>3.</w:t>
      </w:r>
      <w:r>
        <w:rPr>
          <w:rFonts w:hint="eastAsia"/>
          <w:color w:val="auto"/>
          <w:highlight w:val="none"/>
        </w:rPr>
        <w:t>施工现场充分利用自然光和自然通风，可安装风力发电机供照明用电；</w:t>
      </w:r>
    </w:p>
    <w:p>
      <w:pPr>
        <w:pStyle w:val="217"/>
        <w:rPr>
          <w:color w:val="auto"/>
          <w:highlight w:val="none"/>
        </w:rPr>
      </w:pPr>
      <w:r>
        <w:rPr>
          <w:color w:val="auto"/>
          <w:highlight w:val="none"/>
        </w:rPr>
        <w:t>4.</w:t>
      </w:r>
      <w:r>
        <w:rPr>
          <w:rFonts w:hint="eastAsia"/>
          <w:color w:val="auto"/>
          <w:highlight w:val="none"/>
        </w:rPr>
        <w:t>鼓励施工现场设立太阳能移动式光伏电站；</w:t>
      </w:r>
    </w:p>
    <w:p>
      <w:pPr>
        <w:pStyle w:val="217"/>
        <w:rPr>
          <w:color w:val="auto"/>
          <w:highlight w:val="none"/>
        </w:rPr>
      </w:pPr>
      <w:r>
        <w:rPr>
          <w:color w:val="auto"/>
          <w:highlight w:val="none"/>
        </w:rPr>
        <w:t>5.</w:t>
      </w:r>
      <w:r>
        <w:rPr>
          <w:rFonts w:hint="eastAsia"/>
          <w:color w:val="auto"/>
          <w:highlight w:val="none"/>
        </w:rPr>
        <w:t>采用地源热泵技术，减少能耗。</w:t>
      </w:r>
    </w:p>
    <w:p>
      <w:pPr>
        <w:pStyle w:val="217"/>
        <w:rPr>
          <w:color w:val="auto"/>
          <w:highlight w:val="none"/>
        </w:rPr>
      </w:pPr>
    </w:p>
    <w:p>
      <w:pPr>
        <w:pStyle w:val="217"/>
        <w:rPr>
          <w:color w:val="auto"/>
          <w:highlight w:val="none"/>
        </w:rPr>
      </w:pPr>
      <w:r>
        <w:rPr>
          <w:color w:val="auto"/>
          <w:highlight w:val="none"/>
        </w:rPr>
        <w:drawing>
          <wp:inline distT="0" distB="0" distL="114300" distR="114300">
            <wp:extent cx="2162175" cy="1428750"/>
            <wp:effectExtent l="0" t="0" r="9525" b="0"/>
            <wp:docPr id="59"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36"/>
                    <pic:cNvPicPr>
                      <a:picLocks noChangeAspect="1"/>
                    </pic:cNvPicPr>
                  </pic:nvPicPr>
                  <pic:blipFill>
                    <a:blip r:embed="rId71"/>
                    <a:stretch>
                      <a:fillRect/>
                    </a:stretch>
                  </pic:blipFill>
                  <pic:spPr>
                    <a:xfrm>
                      <a:off x="0" y="0"/>
                      <a:ext cx="2162175" cy="1428750"/>
                    </a:xfrm>
                    <a:prstGeom prst="rect">
                      <a:avLst/>
                    </a:prstGeom>
                    <a:noFill/>
                    <a:ln>
                      <a:noFill/>
                    </a:ln>
                  </pic:spPr>
                </pic:pic>
              </a:graphicData>
            </a:graphic>
          </wp:inline>
        </w:drawing>
      </w:r>
      <w:r>
        <w:rPr>
          <w:color w:val="auto"/>
          <w:highlight w:val="none"/>
        </w:rPr>
        <w:t xml:space="preserve">       </w:t>
      </w:r>
      <w:r>
        <w:rPr>
          <w:color w:val="auto"/>
          <w:highlight w:val="none"/>
        </w:rPr>
        <w:drawing>
          <wp:inline distT="0" distB="0" distL="114300" distR="114300">
            <wp:extent cx="2163445" cy="1429385"/>
            <wp:effectExtent l="0" t="0" r="8255" b="18415"/>
            <wp:docPr id="60" name="图片 137" descr="D:\Documents\Tencent Files\55868363\FileRecv\绿色施工\热水器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37" descr="D:\Documents\Tencent Files\55868363\FileRecv\绿色施工\热水器2.JPG"/>
                    <pic:cNvPicPr>
                      <a:picLocks noChangeAspect="1"/>
                    </pic:cNvPicPr>
                  </pic:nvPicPr>
                  <pic:blipFill>
                    <a:blip r:embed="rId72"/>
                    <a:srcRect l="13625" t="10127" r="10364" b="11476"/>
                    <a:stretch>
                      <a:fillRect/>
                    </a:stretch>
                  </pic:blipFill>
                  <pic:spPr>
                    <a:xfrm>
                      <a:off x="0" y="0"/>
                      <a:ext cx="2163445" cy="1429385"/>
                    </a:xfrm>
                    <a:prstGeom prst="rect">
                      <a:avLst/>
                    </a:prstGeom>
                    <a:noFill/>
                    <a:ln>
                      <a:noFill/>
                    </a:ln>
                  </pic:spPr>
                </pic:pic>
              </a:graphicData>
            </a:graphic>
          </wp:inline>
        </w:drawing>
      </w:r>
    </w:p>
    <w:p>
      <w:pPr>
        <w:pStyle w:val="217"/>
        <w:ind w:firstLine="1320" w:firstLineChars="550"/>
        <w:rPr>
          <w:color w:val="auto"/>
          <w:highlight w:val="none"/>
        </w:rPr>
      </w:pPr>
      <w:r>
        <w:rPr>
          <w:rFonts w:hint="eastAsia"/>
          <w:color w:val="auto"/>
          <w:highlight w:val="none"/>
        </w:rPr>
        <w:t>太阳能热水器</w:t>
      </w:r>
      <w:r>
        <w:rPr>
          <w:color w:val="auto"/>
          <w:highlight w:val="none"/>
        </w:rPr>
        <w:t xml:space="preserve">                      </w:t>
      </w:r>
      <w:r>
        <w:rPr>
          <w:rFonts w:hint="eastAsia"/>
          <w:color w:val="auto"/>
          <w:highlight w:val="none"/>
        </w:rPr>
        <w:t>空气源热泵热水器</w:t>
      </w:r>
    </w:p>
    <w:p>
      <w:pPr>
        <w:pStyle w:val="217"/>
        <w:rPr>
          <w:color w:val="auto"/>
          <w:highlight w:val="none"/>
        </w:rPr>
      </w:pPr>
      <w:r>
        <w:rPr>
          <w:color w:val="auto"/>
          <w:highlight w:val="none"/>
        </w:rPr>
        <w:drawing>
          <wp:inline distT="0" distB="0" distL="114300" distR="114300">
            <wp:extent cx="2134870" cy="1408430"/>
            <wp:effectExtent l="0" t="0" r="17780" b="1270"/>
            <wp:docPr id="61"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8"/>
                    <pic:cNvPicPr>
                      <a:picLocks noChangeAspect="1"/>
                    </pic:cNvPicPr>
                  </pic:nvPicPr>
                  <pic:blipFill>
                    <a:blip r:embed="rId73"/>
                    <a:stretch>
                      <a:fillRect/>
                    </a:stretch>
                  </pic:blipFill>
                  <pic:spPr>
                    <a:xfrm>
                      <a:off x="0" y="0"/>
                      <a:ext cx="2134870" cy="1408430"/>
                    </a:xfrm>
                    <a:prstGeom prst="rect">
                      <a:avLst/>
                    </a:prstGeom>
                    <a:noFill/>
                    <a:ln>
                      <a:noFill/>
                    </a:ln>
                  </pic:spPr>
                </pic:pic>
              </a:graphicData>
            </a:graphic>
          </wp:inline>
        </w:drawing>
      </w:r>
    </w:p>
    <w:p>
      <w:pPr>
        <w:pStyle w:val="217"/>
        <w:ind w:firstLine="1440" w:firstLineChars="600"/>
        <w:rPr>
          <w:color w:val="auto"/>
          <w:highlight w:val="none"/>
        </w:rPr>
      </w:pPr>
      <w:r>
        <w:rPr>
          <w:rFonts w:hint="eastAsia"/>
          <w:color w:val="auto"/>
          <w:highlight w:val="none"/>
        </w:rPr>
        <w:t>风力发电机</w:t>
      </w:r>
    </w:p>
    <w:p>
      <w:pPr>
        <w:pStyle w:val="119"/>
        <w:rPr>
          <w:color w:val="auto"/>
          <w:highlight w:val="none"/>
        </w:rPr>
      </w:pPr>
      <w:r>
        <w:rPr>
          <w:color w:val="auto"/>
          <w:highlight w:val="none"/>
        </w:rPr>
        <w:t xml:space="preserve">3.3.4.4 </w:t>
      </w:r>
      <w:r>
        <w:rPr>
          <w:rFonts w:hint="eastAsia"/>
          <w:color w:val="auto"/>
          <w:highlight w:val="none"/>
        </w:rPr>
        <w:t>机械设备与机具</w:t>
      </w:r>
    </w:p>
    <w:p>
      <w:pPr>
        <w:pStyle w:val="217"/>
        <w:rPr>
          <w:color w:val="auto"/>
          <w:highlight w:val="none"/>
        </w:rPr>
      </w:pPr>
      <w:r>
        <w:rPr>
          <w:rFonts w:hint="eastAsia"/>
          <w:color w:val="auto"/>
          <w:highlight w:val="none"/>
        </w:rPr>
        <w:t>依据建设部第</w:t>
      </w:r>
      <w:r>
        <w:rPr>
          <w:color w:val="auto"/>
          <w:highlight w:val="none"/>
        </w:rPr>
        <w:t>659</w:t>
      </w:r>
      <w:r>
        <w:rPr>
          <w:rFonts w:hint="eastAsia"/>
          <w:color w:val="auto"/>
          <w:highlight w:val="none"/>
        </w:rPr>
        <w:t>号《关于发布建设事业“十一五”推广应用和限制禁止使用技术公告》，优先使用国家、行业推荐的节能、高效、环保的施工设备和机具，禁止耗能超标机械进入施工现场。国家、行业、地方政府明令淘汰的施工设备、机具和产品不应使用。</w:t>
      </w:r>
    </w:p>
    <w:p>
      <w:pPr>
        <w:pStyle w:val="217"/>
        <w:rPr>
          <w:color w:val="auto"/>
          <w:highlight w:val="none"/>
        </w:rPr>
      </w:pPr>
      <w:r>
        <w:rPr>
          <w:color w:val="auto"/>
          <w:highlight w:val="none"/>
        </w:rPr>
        <w:t>1.</w:t>
      </w:r>
      <w:r>
        <w:rPr>
          <w:rFonts w:hint="eastAsia"/>
          <w:color w:val="auto"/>
          <w:highlight w:val="none"/>
        </w:rPr>
        <w:t>设备选用</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）合理设置施工机械设备，合理安排工序，合理配置各类用能设备和施工照明器具，应尽量减少夜间作业和冬季施工的时间；</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施工现场应优先采用高性能、低材耗、耐久性好的新型建筑材料和设备，如电动运输车、喷涂机械、使用变频技术的施工设备（如变频塔吊、变频人货梯、硅整流电焊机、变频泥浆泵等）等，减少使用人力，降低材料的损耗、提高工作效率；</w:t>
      </w:r>
    </w:p>
    <w:p>
      <w:pPr>
        <w:pStyle w:val="217"/>
        <w:rPr>
          <w:color w:val="auto"/>
          <w:highlight w:val="none"/>
        </w:rPr>
      </w:pPr>
    </w:p>
    <w:p>
      <w:pPr>
        <w:pStyle w:val="217"/>
        <w:rPr>
          <w:color w:val="auto"/>
          <w:highlight w:val="none"/>
        </w:rPr>
      </w:pPr>
      <w:r>
        <w:rPr>
          <w:color w:val="auto"/>
          <w:highlight w:val="none"/>
        </w:rPr>
        <w:drawing>
          <wp:inline distT="0" distB="0" distL="114300" distR="114300">
            <wp:extent cx="1409700" cy="1438275"/>
            <wp:effectExtent l="0" t="0" r="0" b="9525"/>
            <wp:docPr id="62"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39"/>
                    <pic:cNvPicPr>
                      <a:picLocks noChangeAspect="1"/>
                    </pic:cNvPicPr>
                  </pic:nvPicPr>
                  <pic:blipFill>
                    <a:blip r:embed="rId74"/>
                    <a:stretch>
                      <a:fillRect/>
                    </a:stretch>
                  </pic:blipFill>
                  <pic:spPr>
                    <a:xfrm>
                      <a:off x="0" y="0"/>
                      <a:ext cx="1409700" cy="1438275"/>
                    </a:xfrm>
                    <a:prstGeom prst="rect">
                      <a:avLst/>
                    </a:prstGeom>
                    <a:noFill/>
                    <a:ln>
                      <a:noFill/>
                    </a:ln>
                  </pic:spPr>
                </pic:pic>
              </a:graphicData>
            </a:graphic>
          </wp:inline>
        </w:drawing>
      </w:r>
      <w:r>
        <w:rPr>
          <w:color w:val="auto"/>
          <w:highlight w:val="none"/>
        </w:rPr>
        <w:t xml:space="preserve">          </w:t>
      </w:r>
      <w:r>
        <w:rPr>
          <w:color w:val="auto"/>
          <w:highlight w:val="none"/>
        </w:rPr>
        <w:drawing>
          <wp:inline distT="0" distB="0" distL="114300" distR="114300">
            <wp:extent cx="2144395" cy="1437640"/>
            <wp:effectExtent l="0" t="0" r="8255" b="10160"/>
            <wp:docPr id="63" name="图片 140" descr="DSC0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40" descr="DSC00666"/>
                    <pic:cNvPicPr>
                      <a:picLocks noChangeAspect="1"/>
                    </pic:cNvPicPr>
                  </pic:nvPicPr>
                  <pic:blipFill>
                    <a:blip r:embed="rId75"/>
                    <a:stretch>
                      <a:fillRect/>
                    </a:stretch>
                  </pic:blipFill>
                  <pic:spPr>
                    <a:xfrm>
                      <a:off x="0" y="0"/>
                      <a:ext cx="2144395" cy="1437640"/>
                    </a:xfrm>
                    <a:prstGeom prst="rect">
                      <a:avLst/>
                    </a:prstGeom>
                    <a:noFill/>
                    <a:ln>
                      <a:noFill/>
                    </a:ln>
                  </pic:spPr>
                </pic:pic>
              </a:graphicData>
            </a:graphic>
          </wp:inline>
        </w:drawing>
      </w:r>
    </w:p>
    <w:p>
      <w:pPr>
        <w:pStyle w:val="217"/>
        <w:rPr>
          <w:color w:val="auto"/>
          <w:highlight w:val="none"/>
        </w:rPr>
      </w:pPr>
      <w:r>
        <w:rPr>
          <w:color w:val="auto"/>
          <w:highlight w:val="none"/>
        </w:rPr>
        <w:t xml:space="preserve"> </w:t>
      </w:r>
      <w:r>
        <w:rPr>
          <w:rFonts w:hint="eastAsia"/>
          <w:color w:val="auto"/>
          <w:highlight w:val="none"/>
        </w:rPr>
        <w:t>硅整流电焊机</w:t>
      </w:r>
      <w:r>
        <w:rPr>
          <w:color w:val="auto"/>
          <w:highlight w:val="none"/>
        </w:rPr>
        <w:t xml:space="preserve">               </w:t>
      </w:r>
      <w:r>
        <w:rPr>
          <w:rFonts w:hint="eastAsia"/>
          <w:color w:val="auto"/>
          <w:highlight w:val="none"/>
        </w:rPr>
        <w:t>高精度节能型钢筋平口切断机</w:t>
      </w:r>
    </w:p>
    <w:p>
      <w:pPr>
        <w:rPr>
          <w:color w:val="auto"/>
          <w:highlight w:val="none"/>
        </w:rPr>
      </w:pP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）应采用能源利用效率高的施工机械设备；</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）选用功率与负载相匹配的节能施工机械设备，如变频技术、空载保护等。避免大功率施工机械设备低负载长时间运行（应避免机电设备额定功率远大于使用功率或超负荷使用设备的现象），不宜采用自备电源；</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）按施工总平面图合理设置施工机械，尽量减少设备的投入，缩短使用周期，提高利用效率；合理安排工序，提高各种机械的使用率和满载率，降低各种设备的单位耗能，减少作业区机械设备数量。</w:t>
      </w:r>
    </w:p>
    <w:p>
      <w:pPr>
        <w:pStyle w:val="217"/>
        <w:rPr>
          <w:color w:val="auto"/>
          <w:highlight w:val="none"/>
        </w:rPr>
      </w:pPr>
      <w:r>
        <w:rPr>
          <w:color w:val="auto"/>
          <w:highlight w:val="none"/>
        </w:rPr>
        <w:t>2.</w:t>
      </w:r>
      <w:r>
        <w:rPr>
          <w:rFonts w:hint="eastAsia"/>
          <w:color w:val="auto"/>
          <w:highlight w:val="none"/>
        </w:rPr>
        <w:t>设备管理</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）建立施工机械设备管理制度，开展用电、用油计量，完善设备档案；</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）对机械设备定期维修保养，建立相应的制度、台账和清单，使机械设备保持低耗、高效的状态；</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）中小型机械、施工机具资源应共享。</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）施工机械操作人员，尽量控制机械操作，减少设备的空转；</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）确保施工设备满负荷运转，减少无用功，禁止不合格临时设施用电，以免造成燃料损失。</w:t>
      </w:r>
    </w:p>
    <w:p>
      <w:pPr>
        <w:pStyle w:val="119"/>
        <w:rPr>
          <w:color w:val="auto"/>
          <w:highlight w:val="none"/>
        </w:rPr>
      </w:pPr>
      <w:r>
        <w:rPr>
          <w:color w:val="auto"/>
          <w:highlight w:val="none"/>
        </w:rPr>
        <w:t xml:space="preserve">3.3.4.5 </w:t>
      </w:r>
      <w:r>
        <w:rPr>
          <w:rFonts w:hint="eastAsia"/>
          <w:color w:val="auto"/>
          <w:highlight w:val="none"/>
        </w:rPr>
        <w:t>生产、生活及办公临时设施</w:t>
      </w:r>
    </w:p>
    <w:p>
      <w:pPr>
        <w:pStyle w:val="217"/>
        <w:rPr>
          <w:color w:val="auto"/>
          <w:highlight w:val="none"/>
        </w:rPr>
      </w:pPr>
      <w:r>
        <w:rPr>
          <w:color w:val="auto"/>
          <w:highlight w:val="none"/>
        </w:rPr>
        <w:t>1.</w:t>
      </w:r>
      <w:r>
        <w:rPr>
          <w:rFonts w:hint="eastAsia"/>
          <w:color w:val="auto"/>
          <w:highlight w:val="none"/>
        </w:rPr>
        <w:t>临时建筑设计</w:t>
      </w:r>
    </w:p>
    <w:p>
      <w:pPr>
        <w:pStyle w:val="217"/>
        <w:rPr>
          <w:color w:val="auto"/>
          <w:highlight w:val="none"/>
        </w:rPr>
      </w:pPr>
      <w:r>
        <w:rPr>
          <w:rFonts w:hint="eastAsia"/>
          <w:color w:val="auto"/>
          <w:highlight w:val="none"/>
        </w:rPr>
        <w:t>利用场地自然条件，合理设计生产、生活及办公临时设施的体形、朝向、间距和窗墙面积比，结合日照和风向等自然条件，合理使用自然采光、通风和遮阳设施</w:t>
      </w:r>
    </w:p>
    <w:p>
      <w:pPr>
        <w:pStyle w:val="217"/>
        <w:rPr>
          <w:color w:val="auto"/>
          <w:highlight w:val="none"/>
        </w:rPr>
      </w:pPr>
      <w:r>
        <w:rPr>
          <w:color w:val="auto"/>
          <w:highlight w:val="none"/>
        </w:rPr>
        <w:t>2.</w:t>
      </w:r>
      <w:r>
        <w:rPr>
          <w:rFonts w:hint="eastAsia"/>
          <w:color w:val="auto"/>
          <w:highlight w:val="none"/>
        </w:rPr>
        <w:t>临时建筑材料</w:t>
      </w:r>
    </w:p>
    <w:p>
      <w:pPr>
        <w:pStyle w:val="217"/>
        <w:rPr>
          <w:color w:val="auto"/>
          <w:highlight w:val="none"/>
        </w:rPr>
      </w:pPr>
      <w:r>
        <w:rPr>
          <w:rFonts w:hint="eastAsia"/>
          <w:color w:val="auto"/>
          <w:highlight w:val="none"/>
        </w:rPr>
        <w:t>临时设施须采用节能材料，墙体、屋面使用隔热性能好的的材料，如在外墙内侧加轻质高效保温隔热层、在外墙外表面涂刷白色或浅色涂料、采用可周转阻燃岩棉夹芯板等，减少夏天空调、冬天取暖设备的使用时间及耗能量。</w:t>
      </w:r>
    </w:p>
    <w:p>
      <w:pPr>
        <w:pStyle w:val="217"/>
        <w:rPr>
          <w:color w:val="auto"/>
          <w:highlight w:val="none"/>
        </w:rPr>
      </w:pPr>
      <w:r>
        <w:rPr>
          <w:color w:val="auto"/>
          <w:highlight w:val="none"/>
        </w:rPr>
        <w:t>3.</w:t>
      </w:r>
      <w:r>
        <w:rPr>
          <w:rFonts w:hint="eastAsia"/>
          <w:color w:val="auto"/>
          <w:highlight w:val="none"/>
        </w:rPr>
        <w:t>生活用电</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）每层或每间职工宿舍应安装用电限流装置，杜绝大功率用电设施；</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）项目部应安排集中供热、供水，设置节能效率高的供热设备、设施。应优先采用气源热泵等高效节能的热水器设备、直饮水供水设备，减少分散设置的热水器数量；</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）合理配置采暖、空调、风扇数量，优先采用变频电器；规定使用时间，实行分段分时使用，节约用电；</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）大型施工项目集中办公区域可以考虑采用中央空调，耗电量大的主要设备应采用变频控制；分散区域宜使用独立分体空调；空调设备应使用新型能效比高的空调设备，宜使用节能型油料添加剂；</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）工人宿舍夏天可采取屋面淋水降温措施，既能降温，又能节约用电。</w:t>
      </w:r>
    </w:p>
    <w:p>
      <w:pPr>
        <w:pStyle w:val="217"/>
        <w:rPr>
          <w:color w:val="auto"/>
          <w:highlight w:val="none"/>
        </w:rPr>
      </w:pPr>
      <w:r>
        <w:rPr>
          <w:color w:val="auto"/>
          <w:highlight w:val="none"/>
        </w:rPr>
        <w:t>4.</w:t>
      </w:r>
      <w:r>
        <w:rPr>
          <w:rFonts w:hint="eastAsia"/>
          <w:color w:val="auto"/>
          <w:highlight w:val="none"/>
        </w:rPr>
        <w:t>办公设备</w:t>
      </w:r>
    </w:p>
    <w:p>
      <w:pPr>
        <w:pStyle w:val="217"/>
        <w:rPr>
          <w:color w:val="auto"/>
          <w:highlight w:val="none"/>
        </w:rPr>
      </w:pPr>
      <w:r>
        <w:rPr>
          <w:rFonts w:hint="eastAsia"/>
          <w:color w:val="auto"/>
          <w:highlight w:val="none"/>
        </w:rPr>
        <w:t>应合理配置电脑、复印机、打印机等办公用电设备，办公用电设备应实行集中使用，资源共享，统一管理，做好维护保养工作。</w:t>
      </w:r>
    </w:p>
    <w:p>
      <w:pPr>
        <w:pStyle w:val="217"/>
        <w:rPr>
          <w:color w:val="auto"/>
          <w:highlight w:val="none"/>
        </w:rPr>
      </w:pPr>
      <w:r>
        <w:rPr>
          <w:color w:val="auto"/>
          <w:highlight w:val="none"/>
        </w:rPr>
        <w:t>5.</w:t>
      </w:r>
      <w:r>
        <w:rPr>
          <w:rFonts w:hint="eastAsia"/>
          <w:color w:val="auto"/>
          <w:highlight w:val="none"/>
        </w:rPr>
        <w:t>食堂用电</w:t>
      </w:r>
    </w:p>
    <w:p>
      <w:pPr>
        <w:pStyle w:val="217"/>
        <w:rPr>
          <w:color w:val="auto"/>
          <w:highlight w:val="none"/>
        </w:rPr>
      </w:pPr>
      <w:r>
        <w:rPr>
          <w:rFonts w:hint="eastAsia"/>
          <w:color w:val="auto"/>
          <w:highlight w:val="none"/>
        </w:rPr>
        <w:t>施工现场食堂应严格控制烹煮过程及食品保管过程的用电、用气、用油、用煤等各类能源消耗量，控制使用较大功率用电设施，并做好相关能源消耗记录。</w:t>
      </w:r>
    </w:p>
    <w:p>
      <w:pPr>
        <w:pStyle w:val="119"/>
        <w:rPr>
          <w:color w:val="auto"/>
          <w:highlight w:val="none"/>
        </w:rPr>
      </w:pPr>
      <w:r>
        <w:rPr>
          <w:color w:val="auto"/>
          <w:highlight w:val="none"/>
        </w:rPr>
        <w:t xml:space="preserve">3.3.4.6 </w:t>
      </w:r>
      <w:r>
        <w:rPr>
          <w:rFonts w:hint="eastAsia"/>
          <w:color w:val="auto"/>
          <w:highlight w:val="none"/>
        </w:rPr>
        <w:t>现场照明设施</w:t>
      </w:r>
    </w:p>
    <w:p>
      <w:pPr>
        <w:pStyle w:val="217"/>
        <w:rPr>
          <w:color w:val="auto"/>
          <w:highlight w:val="none"/>
        </w:rPr>
      </w:pPr>
      <w:r>
        <w:rPr>
          <w:color w:val="auto"/>
          <w:highlight w:val="none"/>
        </w:rPr>
        <w:t>1.</w:t>
      </w:r>
      <w:r>
        <w:rPr>
          <w:rFonts w:hint="eastAsia"/>
          <w:color w:val="auto"/>
          <w:highlight w:val="none"/>
        </w:rPr>
        <w:t>生活区、办公区照明</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）生活区、办公区照明设计符合国家标准《建筑照明设计标准》</w:t>
      </w:r>
      <w:r>
        <w:rPr>
          <w:color w:val="auto"/>
          <w:highlight w:val="none"/>
        </w:rPr>
        <w:t>GB50034</w:t>
      </w:r>
      <w:r>
        <w:rPr>
          <w:rFonts w:hint="eastAsia"/>
          <w:color w:val="auto"/>
          <w:highlight w:val="none"/>
        </w:rPr>
        <w:t>规定；</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）办公区、生活区应做到人走灯灭；在保证正常施工及安全的前提下，尽量减少夜间不必要的照明。</w:t>
      </w:r>
    </w:p>
    <w:p>
      <w:pPr>
        <w:pStyle w:val="217"/>
        <w:rPr>
          <w:color w:val="auto"/>
          <w:highlight w:val="none"/>
        </w:rPr>
      </w:pPr>
      <w:r>
        <w:rPr>
          <w:color w:val="auto"/>
          <w:highlight w:val="none"/>
        </w:rPr>
        <w:t>2.</w:t>
      </w:r>
      <w:r>
        <w:rPr>
          <w:rFonts w:hint="eastAsia"/>
          <w:color w:val="auto"/>
          <w:highlight w:val="none"/>
        </w:rPr>
        <w:t>照明设备选用</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）条件允许可采用自然光折射照明施工技术。</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）优先选用节能电线和节能灯具，临电线路合理设计、布置，临电设备宜采用自动控制装置：</w:t>
      </w:r>
    </w:p>
    <w:p>
      <w:pPr>
        <w:pStyle w:val="217"/>
        <w:rPr>
          <w:color w:val="auto"/>
          <w:highlight w:val="none"/>
        </w:rPr>
      </w:pPr>
      <w:r>
        <w:rPr>
          <w:color w:val="auto"/>
          <w:highlight w:val="none"/>
        </w:rPr>
        <w:t>1</w:t>
      </w:r>
      <w:r>
        <w:rPr>
          <w:rFonts w:hint="eastAsia"/>
          <w:color w:val="auto"/>
          <w:highlight w:val="none"/>
        </w:rPr>
        <w:t>）办公、生活和施工现场，照明器具宜采用带有国家能源效率标识的灯具；</w:t>
      </w:r>
    </w:p>
    <w:p>
      <w:pPr>
        <w:pStyle w:val="217"/>
        <w:rPr>
          <w:color w:val="auto"/>
          <w:highlight w:val="none"/>
        </w:rPr>
      </w:pPr>
      <w:r>
        <w:rPr>
          <w:color w:val="auto"/>
          <w:highlight w:val="none"/>
        </w:rPr>
        <w:t>2</w:t>
      </w:r>
      <w:r>
        <w:rPr>
          <w:rFonts w:hint="eastAsia"/>
          <w:color w:val="auto"/>
          <w:highlight w:val="none"/>
        </w:rPr>
        <w:t>）建筑现场环境照明，采用多组</w:t>
      </w:r>
      <w:r>
        <w:rPr>
          <w:color w:val="auto"/>
          <w:highlight w:val="none"/>
        </w:rPr>
        <w:t>LED</w:t>
      </w:r>
      <w:r>
        <w:rPr>
          <w:rFonts w:hint="eastAsia"/>
          <w:color w:val="auto"/>
          <w:highlight w:val="none"/>
        </w:rPr>
        <w:t>分控智能光源替换高压钠灯或金卤灯；</w:t>
      </w:r>
    </w:p>
    <w:p>
      <w:pPr>
        <w:pStyle w:val="217"/>
        <w:rPr>
          <w:color w:val="auto"/>
          <w:highlight w:val="none"/>
        </w:rPr>
      </w:pPr>
      <w:r>
        <w:rPr>
          <w:color w:val="auto"/>
          <w:highlight w:val="none"/>
        </w:rPr>
        <w:t>3</w:t>
      </w:r>
      <w:r>
        <w:rPr>
          <w:rFonts w:hint="eastAsia"/>
          <w:color w:val="auto"/>
          <w:highlight w:val="none"/>
        </w:rPr>
        <w:t>）建筑现场室内照明，采用多组小功率低压照明产品替换金卤灯；</w:t>
      </w:r>
    </w:p>
    <w:p>
      <w:pPr>
        <w:pStyle w:val="217"/>
        <w:rPr>
          <w:color w:val="auto"/>
          <w:highlight w:val="none"/>
        </w:rPr>
      </w:pPr>
      <w:r>
        <w:rPr>
          <w:color w:val="auto"/>
          <w:highlight w:val="none"/>
        </w:rPr>
        <w:t>4</w:t>
      </w:r>
      <w:r>
        <w:rPr>
          <w:rFonts w:hint="eastAsia"/>
          <w:color w:val="auto"/>
          <w:highlight w:val="none"/>
        </w:rPr>
        <w:t>）施工生活区，低压</w:t>
      </w:r>
      <w:r>
        <w:rPr>
          <w:color w:val="auto"/>
          <w:highlight w:val="none"/>
        </w:rPr>
        <w:t>LED</w:t>
      </w:r>
      <w:r>
        <w:rPr>
          <w:rFonts w:hint="eastAsia"/>
          <w:color w:val="auto"/>
          <w:highlight w:val="none"/>
        </w:rPr>
        <w:t>照明产品；</w:t>
      </w:r>
    </w:p>
    <w:p>
      <w:pPr>
        <w:pStyle w:val="217"/>
        <w:rPr>
          <w:color w:val="auto"/>
          <w:highlight w:val="none"/>
        </w:rPr>
      </w:pPr>
      <w:r>
        <w:rPr>
          <w:color w:val="auto"/>
          <w:highlight w:val="none"/>
        </w:rPr>
        <w:t>5</w:t>
      </w:r>
      <w:r>
        <w:rPr>
          <w:rFonts w:hint="eastAsia"/>
          <w:color w:val="auto"/>
          <w:highlight w:val="none"/>
        </w:rPr>
        <w:t>）照明采用声控、光控等自动照明控制；</w:t>
      </w:r>
    </w:p>
    <w:p>
      <w:pPr>
        <w:pStyle w:val="217"/>
        <w:rPr>
          <w:color w:val="auto"/>
          <w:highlight w:val="none"/>
        </w:rPr>
      </w:pPr>
      <w:r>
        <w:rPr>
          <w:color w:val="auto"/>
          <w:highlight w:val="none"/>
        </w:rPr>
        <w:t>6</w:t>
      </w:r>
      <w:r>
        <w:rPr>
          <w:rFonts w:hint="eastAsia"/>
          <w:color w:val="auto"/>
          <w:highlight w:val="none"/>
        </w:rPr>
        <w:t>）深井等特殊作业场所应采用</w:t>
      </w:r>
      <w:r>
        <w:rPr>
          <w:color w:val="auto"/>
          <w:highlight w:val="none"/>
        </w:rPr>
        <w:t>36V</w:t>
      </w:r>
      <w:r>
        <w:rPr>
          <w:rFonts w:hint="eastAsia"/>
          <w:color w:val="auto"/>
          <w:highlight w:val="none"/>
        </w:rPr>
        <w:t>便携式低压照明灯具。</w:t>
      </w:r>
    </w:p>
    <w:p>
      <w:pPr>
        <w:pStyle w:val="217"/>
        <w:rPr>
          <w:color w:val="auto"/>
          <w:highlight w:val="none"/>
        </w:rPr>
      </w:pPr>
      <w:r>
        <w:rPr>
          <w:color w:val="auto"/>
          <w:highlight w:val="none"/>
        </w:rPr>
        <w:drawing>
          <wp:inline distT="0" distB="0" distL="114300" distR="114300">
            <wp:extent cx="2160905" cy="1419225"/>
            <wp:effectExtent l="0" t="0" r="10795" b="9525"/>
            <wp:docPr id="64" name="图片 141" descr="新型LED灯1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41" descr="新型LED灯1 (13)"/>
                    <pic:cNvPicPr>
                      <a:picLocks noChangeAspect="1"/>
                    </pic:cNvPicPr>
                  </pic:nvPicPr>
                  <pic:blipFill>
                    <a:blip r:embed="rId76"/>
                    <a:stretch>
                      <a:fillRect/>
                    </a:stretch>
                  </pic:blipFill>
                  <pic:spPr>
                    <a:xfrm>
                      <a:off x="0" y="0"/>
                      <a:ext cx="2160905" cy="1419225"/>
                    </a:xfrm>
                    <a:prstGeom prst="rect">
                      <a:avLst/>
                    </a:prstGeom>
                    <a:noFill/>
                    <a:ln>
                      <a:noFill/>
                    </a:ln>
                  </pic:spPr>
                </pic:pic>
              </a:graphicData>
            </a:graphic>
          </wp:inline>
        </w:drawing>
      </w:r>
      <w:r>
        <w:rPr>
          <w:color w:val="auto"/>
          <w:highlight w:val="none"/>
        </w:rPr>
        <w:t xml:space="preserve">        </w:t>
      </w:r>
      <w:r>
        <w:rPr>
          <w:color w:val="auto"/>
          <w:highlight w:val="none"/>
        </w:rPr>
        <w:drawing>
          <wp:inline distT="0" distB="0" distL="114300" distR="114300">
            <wp:extent cx="2143760" cy="1428115"/>
            <wp:effectExtent l="0" t="0" r="8890" b="635"/>
            <wp:docPr id="65" name="图片 142" descr="IMG_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42" descr="IMG_6535"/>
                    <pic:cNvPicPr>
                      <a:picLocks noChangeAspect="1"/>
                    </pic:cNvPicPr>
                  </pic:nvPicPr>
                  <pic:blipFill>
                    <a:blip r:embed="rId77"/>
                    <a:stretch>
                      <a:fillRect/>
                    </a:stretch>
                  </pic:blipFill>
                  <pic:spPr>
                    <a:xfrm>
                      <a:off x="0" y="0"/>
                      <a:ext cx="2143760" cy="1428115"/>
                    </a:xfrm>
                    <a:prstGeom prst="rect">
                      <a:avLst/>
                    </a:prstGeom>
                    <a:noFill/>
                    <a:ln>
                      <a:noFill/>
                    </a:ln>
                  </pic:spPr>
                </pic:pic>
              </a:graphicData>
            </a:graphic>
          </wp:inline>
        </w:drawing>
      </w:r>
    </w:p>
    <w:p>
      <w:pPr>
        <w:pStyle w:val="217"/>
        <w:rPr>
          <w:color w:val="auto"/>
          <w:highlight w:val="none"/>
        </w:rPr>
      </w:pPr>
      <w:r>
        <w:rPr>
          <w:color w:val="auto"/>
          <w:highlight w:val="none"/>
        </w:rPr>
        <w:t xml:space="preserve">       </w:t>
      </w:r>
      <w:r>
        <w:rPr>
          <w:rFonts w:hint="eastAsia"/>
          <w:color w:val="auto"/>
          <w:highlight w:val="none"/>
        </w:rPr>
        <w:t>塔吊使用</w:t>
      </w:r>
      <w:r>
        <w:rPr>
          <w:color w:val="auto"/>
          <w:highlight w:val="none"/>
        </w:rPr>
        <w:t>LED</w:t>
      </w:r>
      <w:r>
        <w:rPr>
          <w:rFonts w:hint="eastAsia"/>
          <w:color w:val="auto"/>
          <w:highlight w:val="none"/>
        </w:rPr>
        <w:t>灯</w:t>
      </w:r>
      <w:r>
        <w:rPr>
          <w:color w:val="auto"/>
          <w:highlight w:val="none"/>
        </w:rPr>
        <w:t xml:space="preserve">                   </w:t>
      </w:r>
      <w:r>
        <w:rPr>
          <w:rFonts w:hint="eastAsia"/>
          <w:color w:val="auto"/>
          <w:highlight w:val="none"/>
        </w:rPr>
        <w:t>施工现场照明采用</w:t>
      </w:r>
      <w:r>
        <w:rPr>
          <w:color w:val="auto"/>
          <w:highlight w:val="none"/>
        </w:rPr>
        <w:t>LED</w:t>
      </w:r>
      <w:r>
        <w:rPr>
          <w:rFonts w:hint="eastAsia"/>
          <w:color w:val="auto"/>
          <w:highlight w:val="none"/>
        </w:rPr>
        <w:t>灯</w:t>
      </w:r>
    </w:p>
    <w:p>
      <w:pPr>
        <w:pStyle w:val="217"/>
        <w:rPr>
          <w:color w:val="auto"/>
          <w:highlight w:val="none"/>
        </w:rPr>
      </w:pPr>
      <w:r>
        <w:rPr>
          <w:color w:val="auto"/>
          <w:highlight w:val="none"/>
        </w:rPr>
        <w:drawing>
          <wp:inline distT="0" distB="0" distL="114300" distR="114300">
            <wp:extent cx="2163445" cy="1421130"/>
            <wp:effectExtent l="0" t="0" r="8255" b="7620"/>
            <wp:docPr id="66"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5"/>
                    <pic:cNvPicPr>
                      <a:picLocks noChangeAspect="1"/>
                    </pic:cNvPicPr>
                  </pic:nvPicPr>
                  <pic:blipFill>
                    <a:blip r:embed="rId78"/>
                    <a:stretch>
                      <a:fillRect/>
                    </a:stretch>
                  </pic:blipFill>
                  <pic:spPr>
                    <a:xfrm>
                      <a:off x="0" y="0"/>
                      <a:ext cx="2163445" cy="1421130"/>
                    </a:xfrm>
                    <a:prstGeom prst="rect">
                      <a:avLst/>
                    </a:prstGeom>
                    <a:noFill/>
                    <a:ln>
                      <a:noFill/>
                    </a:ln>
                  </pic:spPr>
                </pic:pic>
              </a:graphicData>
            </a:graphic>
          </wp:inline>
        </w:drawing>
      </w:r>
      <w:r>
        <w:rPr>
          <w:color w:val="auto"/>
          <w:highlight w:val="none"/>
        </w:rPr>
        <w:t xml:space="preserve">        </w:t>
      </w:r>
      <w:r>
        <w:rPr>
          <w:color w:val="auto"/>
          <w:highlight w:val="none"/>
        </w:rPr>
        <w:drawing>
          <wp:inline distT="0" distB="0" distL="114300" distR="114300">
            <wp:extent cx="1419860" cy="2142490"/>
            <wp:effectExtent l="0" t="0" r="10160" b="8890"/>
            <wp:docPr id="67"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46"/>
                    <pic:cNvPicPr>
                      <a:picLocks noChangeAspect="1"/>
                    </pic:cNvPicPr>
                  </pic:nvPicPr>
                  <pic:blipFill>
                    <a:blip r:embed="rId79"/>
                    <a:stretch>
                      <a:fillRect/>
                    </a:stretch>
                  </pic:blipFill>
                  <pic:spPr>
                    <a:xfrm rot="-5400000">
                      <a:off x="0" y="0"/>
                      <a:ext cx="1419860" cy="2142490"/>
                    </a:xfrm>
                    <a:prstGeom prst="rect">
                      <a:avLst/>
                    </a:prstGeom>
                    <a:noFill/>
                    <a:ln>
                      <a:noFill/>
                    </a:ln>
                  </pic:spPr>
                </pic:pic>
              </a:graphicData>
            </a:graphic>
          </wp:inline>
        </w:drawing>
      </w:r>
    </w:p>
    <w:p>
      <w:pPr>
        <w:pStyle w:val="217"/>
        <w:rPr>
          <w:color w:val="auto"/>
          <w:highlight w:val="none"/>
        </w:rPr>
      </w:pPr>
      <w:r>
        <w:rPr>
          <w:color w:val="auto"/>
          <w:highlight w:val="none"/>
        </w:rPr>
        <w:t xml:space="preserve">      </w:t>
      </w:r>
      <w:r>
        <w:rPr>
          <w:rFonts w:hint="eastAsia"/>
          <w:color w:val="auto"/>
          <w:highlight w:val="none"/>
        </w:rPr>
        <w:t>自动控制定时器</w:t>
      </w:r>
      <w:r>
        <w:rPr>
          <w:color w:val="auto"/>
          <w:highlight w:val="none"/>
        </w:rPr>
        <w:t xml:space="preserve">                    </w:t>
      </w:r>
      <w:r>
        <w:rPr>
          <w:rFonts w:hint="eastAsia"/>
          <w:color w:val="auto"/>
          <w:highlight w:val="none"/>
        </w:rPr>
        <w:t>限流器集中安装方便管理</w:t>
      </w:r>
    </w:p>
    <w:p>
      <w:pPr>
        <w:rPr>
          <w:color w:val="auto"/>
          <w:highlight w:val="none"/>
        </w:rPr>
      </w:pPr>
    </w:p>
    <w:p>
      <w:pPr>
        <w:pStyle w:val="172"/>
        <w:rPr>
          <w:color w:val="auto"/>
          <w:highlight w:val="none"/>
        </w:rPr>
      </w:pPr>
      <w:r>
        <w:rPr>
          <w:color w:val="auto"/>
          <w:highlight w:val="none"/>
        </w:rPr>
        <w:t xml:space="preserve">3.3.5 </w:t>
      </w:r>
      <w:r>
        <w:rPr>
          <w:rFonts w:hint="eastAsia"/>
          <w:color w:val="auto"/>
          <w:highlight w:val="none"/>
        </w:rPr>
        <w:t>节地技术</w:t>
      </w:r>
    </w:p>
    <w:p>
      <w:pPr>
        <w:pStyle w:val="119"/>
        <w:rPr>
          <w:color w:val="auto"/>
          <w:highlight w:val="none"/>
        </w:rPr>
      </w:pPr>
      <w:r>
        <w:rPr>
          <w:color w:val="auto"/>
          <w:highlight w:val="none"/>
        </w:rPr>
        <w:t xml:space="preserve">3.3.5.1 </w:t>
      </w:r>
      <w:r>
        <w:rPr>
          <w:rFonts w:hint="eastAsia"/>
          <w:color w:val="auto"/>
          <w:highlight w:val="none"/>
        </w:rPr>
        <w:t>场地布置</w:t>
      </w:r>
    </w:p>
    <w:p>
      <w:pPr>
        <w:pStyle w:val="217"/>
        <w:rPr>
          <w:color w:val="auto"/>
          <w:highlight w:val="none"/>
        </w:rPr>
      </w:pPr>
      <w:r>
        <w:rPr>
          <w:color w:val="auto"/>
          <w:highlight w:val="none"/>
        </w:rPr>
        <w:t>1.</w:t>
      </w:r>
      <w:r>
        <w:rPr>
          <w:rFonts w:hint="eastAsia"/>
          <w:color w:val="auto"/>
          <w:highlight w:val="none"/>
        </w:rPr>
        <w:t>用地范围</w:t>
      </w:r>
    </w:p>
    <w:p>
      <w:pPr>
        <w:pStyle w:val="217"/>
        <w:rPr>
          <w:color w:val="auto"/>
          <w:highlight w:val="none"/>
        </w:rPr>
      </w:pPr>
      <w:r>
        <w:rPr>
          <w:rFonts w:hint="eastAsia"/>
          <w:color w:val="auto"/>
          <w:highlight w:val="none"/>
        </w:rPr>
        <w:t>施工临时用地应有审批用地手续，应在批准的临时用地范围内组织施工。</w:t>
      </w:r>
    </w:p>
    <w:p>
      <w:pPr>
        <w:pStyle w:val="217"/>
        <w:rPr>
          <w:color w:val="auto"/>
          <w:highlight w:val="none"/>
        </w:rPr>
      </w:pPr>
      <w:r>
        <w:rPr>
          <w:color w:val="auto"/>
          <w:highlight w:val="none"/>
        </w:rPr>
        <w:t>2.</w:t>
      </w:r>
      <w:r>
        <w:rPr>
          <w:rFonts w:hint="eastAsia"/>
          <w:color w:val="auto"/>
          <w:highlight w:val="none"/>
        </w:rPr>
        <w:t>布置总则</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）在施工总平面设计时，应针对施工场地、环境和条件进行分析，制定具体实施方案，尽量减少占地及对场地地形地貌破坏；</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）现场应整洁、美观。施工现场总平面布置应合理、紧凑，在满足环境、职业健康安全及文明施工要求的前提下尽可能减少废弃地和死角；</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）应根据地基与基础工程、结构工程和装饰装修等不同施工阶段调整施工总平面布置。</w:t>
      </w:r>
    </w:p>
    <w:p>
      <w:pPr>
        <w:pStyle w:val="217"/>
        <w:rPr>
          <w:color w:val="auto"/>
          <w:highlight w:val="none"/>
        </w:rPr>
      </w:pPr>
      <w:r>
        <w:rPr>
          <w:color w:val="auto"/>
          <w:highlight w:val="none"/>
        </w:rPr>
        <w:t>3.</w:t>
      </w:r>
      <w:r>
        <w:rPr>
          <w:rFonts w:hint="eastAsia"/>
          <w:color w:val="auto"/>
          <w:highlight w:val="none"/>
        </w:rPr>
        <w:t>现场设施布置</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）施工现场的施工区域应与办公、生活区域分开设置，采取物理的隔离措施。分区应设置明显的导向、警示、定位、宣传等标识；</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）临时设施布置应满足下列要求：</w:t>
      </w:r>
    </w:p>
    <w:p>
      <w:pPr>
        <w:pStyle w:val="217"/>
        <w:rPr>
          <w:color w:val="auto"/>
          <w:highlight w:val="none"/>
        </w:rPr>
      </w:pPr>
      <w:r>
        <w:rPr>
          <w:color w:val="auto"/>
          <w:highlight w:val="none"/>
        </w:rPr>
        <w:t>1</w:t>
      </w:r>
      <w:r>
        <w:rPr>
          <w:rFonts w:hint="eastAsia"/>
          <w:color w:val="auto"/>
          <w:highlight w:val="none"/>
        </w:rPr>
        <w:t>）根据工程规模、施工周期、合理确定临时设施的规模及占地面积。施工现场应设置办公室、宿舍、食堂、厕所、淋浴间、开水房、文体活动室</w:t>
      </w:r>
      <w:r>
        <w:rPr>
          <w:color w:val="auto"/>
          <w:highlight w:val="none"/>
        </w:rPr>
        <w:t>(</w:t>
      </w:r>
      <w:r>
        <w:rPr>
          <w:rFonts w:hint="eastAsia"/>
          <w:color w:val="auto"/>
          <w:highlight w:val="none"/>
        </w:rPr>
        <w:t>或农民工夜校培训室</w:t>
      </w:r>
      <w:r>
        <w:rPr>
          <w:color w:val="auto"/>
          <w:highlight w:val="none"/>
        </w:rPr>
        <w:t>)</w:t>
      </w:r>
      <w:r>
        <w:rPr>
          <w:rFonts w:hint="eastAsia"/>
          <w:color w:val="auto"/>
          <w:highlight w:val="none"/>
        </w:rPr>
        <w:t>、吸烟室、密闭式垃圾站</w:t>
      </w:r>
      <w:r>
        <w:rPr>
          <w:color w:val="auto"/>
          <w:highlight w:val="none"/>
        </w:rPr>
        <w:t>(</w:t>
      </w:r>
      <w:r>
        <w:rPr>
          <w:rFonts w:hint="eastAsia"/>
          <w:color w:val="auto"/>
          <w:highlight w:val="none"/>
        </w:rPr>
        <w:t>或容器</w:t>
      </w:r>
      <w:r>
        <w:rPr>
          <w:color w:val="auto"/>
          <w:highlight w:val="none"/>
        </w:rPr>
        <w:t>)</w:t>
      </w:r>
      <w:r>
        <w:rPr>
          <w:rFonts w:hint="eastAsia"/>
          <w:color w:val="auto"/>
          <w:highlight w:val="none"/>
        </w:rPr>
        <w:t>及盥洗设施等临时设施；</w:t>
      </w:r>
    </w:p>
    <w:p>
      <w:pPr>
        <w:pStyle w:val="217"/>
        <w:rPr>
          <w:color w:val="auto"/>
          <w:highlight w:val="none"/>
        </w:rPr>
      </w:pPr>
      <w:r>
        <w:rPr>
          <w:color w:val="auto"/>
          <w:highlight w:val="none"/>
        </w:rPr>
        <w:t>2</w:t>
      </w:r>
      <w:r>
        <w:rPr>
          <w:rFonts w:hint="eastAsia"/>
          <w:color w:val="auto"/>
          <w:highlight w:val="none"/>
        </w:rPr>
        <w:t>）建设工程竣工一个月内，临建设施应全部拆除；</w:t>
      </w:r>
    </w:p>
    <w:p>
      <w:pPr>
        <w:pStyle w:val="217"/>
        <w:rPr>
          <w:color w:val="auto"/>
          <w:highlight w:val="none"/>
        </w:rPr>
      </w:pPr>
      <w:r>
        <w:rPr>
          <w:color w:val="auto"/>
          <w:highlight w:val="none"/>
        </w:rPr>
        <w:t>3</w:t>
      </w:r>
      <w:r>
        <w:rPr>
          <w:rFonts w:hint="eastAsia"/>
          <w:color w:val="auto"/>
          <w:highlight w:val="none"/>
        </w:rPr>
        <w:t>）施工现场搭建的临时建筑物高度不宜超过二层，应设置符合安全规定的通道；</w:t>
      </w:r>
    </w:p>
    <w:p>
      <w:pPr>
        <w:pStyle w:val="217"/>
        <w:rPr>
          <w:color w:val="auto"/>
          <w:highlight w:val="none"/>
        </w:rPr>
      </w:pPr>
      <w:r>
        <w:rPr>
          <w:color w:val="auto"/>
          <w:highlight w:val="none"/>
        </w:rPr>
        <w:t>4</w:t>
      </w:r>
      <w:r>
        <w:rPr>
          <w:rFonts w:hint="eastAsia"/>
          <w:color w:val="auto"/>
          <w:highlight w:val="none"/>
        </w:rPr>
        <w:t>）现场设置可移动环保厕所。卫生间地面应硬化，门窗应齐全，应有专人负责清扫、消毒。工地应设有化粪池，新建的化粪池应做抗渗处理，使用中的化粪池应及时清疏。建筑施工超过</w:t>
      </w:r>
      <w:r>
        <w:rPr>
          <w:color w:val="auto"/>
          <w:highlight w:val="none"/>
        </w:rPr>
        <w:t>8</w:t>
      </w:r>
      <w:r>
        <w:rPr>
          <w:rFonts w:hint="eastAsia"/>
          <w:color w:val="auto"/>
          <w:highlight w:val="none"/>
        </w:rPr>
        <w:t>层以后，每隔四层宜设置临时移动厕所。</w:t>
      </w:r>
    </w:p>
    <w:p>
      <w:pPr>
        <w:pStyle w:val="217"/>
        <w:rPr>
          <w:color w:val="auto"/>
          <w:highlight w:val="none"/>
        </w:rPr>
      </w:pPr>
    </w:p>
    <w:p>
      <w:pPr>
        <w:pStyle w:val="217"/>
        <w:rPr>
          <w:color w:val="auto"/>
          <w:highlight w:val="none"/>
        </w:rPr>
      </w:pPr>
      <w:r>
        <w:rPr>
          <w:color w:val="auto"/>
          <w:highlight w:val="none"/>
        </w:rPr>
        <w:drawing>
          <wp:inline distT="0" distB="0" distL="114300" distR="114300">
            <wp:extent cx="2171700" cy="1438275"/>
            <wp:effectExtent l="0" t="0" r="0" b="9525"/>
            <wp:docPr id="68"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47"/>
                    <pic:cNvPicPr>
                      <a:picLocks noChangeAspect="1"/>
                    </pic:cNvPicPr>
                  </pic:nvPicPr>
                  <pic:blipFill>
                    <a:blip r:embed="rId80"/>
                    <a:stretch>
                      <a:fillRect/>
                    </a:stretch>
                  </pic:blipFill>
                  <pic:spPr>
                    <a:xfrm>
                      <a:off x="0" y="0"/>
                      <a:ext cx="2171700" cy="1438275"/>
                    </a:xfrm>
                    <a:prstGeom prst="rect">
                      <a:avLst/>
                    </a:prstGeom>
                    <a:noFill/>
                    <a:ln>
                      <a:noFill/>
                    </a:ln>
                  </pic:spPr>
                </pic:pic>
              </a:graphicData>
            </a:graphic>
          </wp:inline>
        </w:drawing>
      </w:r>
    </w:p>
    <w:p>
      <w:pPr>
        <w:pStyle w:val="217"/>
        <w:ind w:firstLine="1440" w:firstLineChars="600"/>
        <w:rPr>
          <w:color w:val="auto"/>
          <w:highlight w:val="none"/>
        </w:rPr>
      </w:pPr>
      <w:r>
        <w:rPr>
          <w:rFonts w:hint="eastAsia"/>
          <w:color w:val="auto"/>
          <w:highlight w:val="none"/>
        </w:rPr>
        <w:t>移动厕所</w:t>
      </w:r>
    </w:p>
    <w:p>
      <w:pPr>
        <w:pStyle w:val="217"/>
        <w:rPr>
          <w:color w:val="auto"/>
          <w:highlight w:val="none"/>
        </w:rPr>
      </w:pP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）应合理布置起重机械和各项施工设施存放和作业区域，合理划分施工分区和流水段，减少专业工种之间交叉施工的现场平面布置。应根据施工各阶段的特点和要求，实行动态管理；</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）施工现场仓库、加工厂、作业棚、材料堆场等应靠近已有交通线路或即将修建的正式或临时交通线路布置，缩短运输距离；</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）合理布置大型机械，避免影响周边建（构）筑物的安全；</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）取土坑、弃土场和护坡道的位置应合理，外形整洁，不得水下取土或在路基两侧取土。</w:t>
      </w:r>
    </w:p>
    <w:p>
      <w:pPr>
        <w:pStyle w:val="119"/>
        <w:rPr>
          <w:color w:val="auto"/>
          <w:highlight w:val="none"/>
        </w:rPr>
      </w:pPr>
      <w:r>
        <w:rPr>
          <w:color w:val="auto"/>
          <w:highlight w:val="none"/>
        </w:rPr>
        <w:t xml:space="preserve">3.3.5.2 </w:t>
      </w:r>
      <w:r>
        <w:rPr>
          <w:rFonts w:hint="eastAsia"/>
          <w:color w:val="auto"/>
          <w:highlight w:val="none"/>
        </w:rPr>
        <w:t>土方施工</w:t>
      </w:r>
    </w:p>
    <w:p>
      <w:pPr>
        <w:pStyle w:val="217"/>
        <w:rPr>
          <w:color w:val="auto"/>
          <w:highlight w:val="none"/>
        </w:rPr>
      </w:pPr>
      <w:r>
        <w:rPr>
          <w:color w:val="auto"/>
          <w:highlight w:val="none"/>
        </w:rPr>
        <w:t>1.</w:t>
      </w:r>
      <w:r>
        <w:rPr>
          <w:rFonts w:hint="eastAsia"/>
          <w:color w:val="auto"/>
          <w:highlight w:val="none"/>
        </w:rPr>
        <w:t>土方开挖施工应对基坑施工方案进行优化设计，支护结构选型应考虑绿色施工因素，减少土方开挖量，控制和避免土方超挖，最大限度地减少对土地的扰动，保护周边自然生态环境；</w:t>
      </w:r>
    </w:p>
    <w:p>
      <w:pPr>
        <w:pStyle w:val="217"/>
        <w:rPr>
          <w:color w:val="auto"/>
          <w:highlight w:val="none"/>
        </w:rPr>
      </w:pPr>
      <w:r>
        <w:rPr>
          <w:color w:val="auto"/>
          <w:highlight w:val="none"/>
        </w:rPr>
        <w:t>2.</w:t>
      </w:r>
      <w:r>
        <w:rPr>
          <w:rFonts w:hint="eastAsia"/>
          <w:color w:val="auto"/>
          <w:highlight w:val="none"/>
        </w:rPr>
        <w:t>土石方工程在开挖前应进行土方挖、填方量计算，合理进行土方平衡调配，综合考虑土石方最短运距和各工序衔接，减少重复挖填，开挖土方应合理回填利用，碎石和土石方类等可用作地基和路基回填材料，宜做到土方平衡；</w:t>
      </w:r>
    </w:p>
    <w:p>
      <w:pPr>
        <w:pStyle w:val="217"/>
        <w:rPr>
          <w:color w:val="auto"/>
          <w:highlight w:val="none"/>
        </w:rPr>
      </w:pPr>
    </w:p>
    <w:p>
      <w:pPr>
        <w:pStyle w:val="217"/>
        <w:rPr>
          <w:color w:val="auto"/>
          <w:highlight w:val="none"/>
        </w:rPr>
      </w:pPr>
      <w:r>
        <w:rPr>
          <w:color w:val="auto"/>
          <w:highlight w:val="none"/>
        </w:rPr>
        <w:drawing>
          <wp:inline distT="0" distB="0" distL="114300" distR="114300">
            <wp:extent cx="2131695" cy="1428115"/>
            <wp:effectExtent l="0" t="0" r="1905" b="635"/>
            <wp:docPr id="69"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48"/>
                    <pic:cNvPicPr>
                      <a:picLocks noChangeAspect="1"/>
                    </pic:cNvPicPr>
                  </pic:nvPicPr>
                  <pic:blipFill>
                    <a:blip r:embed="rId81"/>
                    <a:stretch>
                      <a:fillRect/>
                    </a:stretch>
                  </pic:blipFill>
                  <pic:spPr>
                    <a:xfrm>
                      <a:off x="0" y="0"/>
                      <a:ext cx="2131695" cy="1428115"/>
                    </a:xfrm>
                    <a:prstGeom prst="rect">
                      <a:avLst/>
                    </a:prstGeom>
                    <a:noFill/>
                    <a:ln>
                      <a:noFill/>
                    </a:ln>
                  </pic:spPr>
                </pic:pic>
              </a:graphicData>
            </a:graphic>
          </wp:inline>
        </w:drawing>
      </w:r>
    </w:p>
    <w:p>
      <w:pPr>
        <w:pStyle w:val="217"/>
        <w:rPr>
          <w:color w:val="auto"/>
          <w:highlight w:val="none"/>
        </w:rPr>
      </w:pPr>
      <w:r>
        <w:rPr>
          <w:rFonts w:hint="eastAsia"/>
          <w:color w:val="auto"/>
          <w:highlight w:val="none"/>
        </w:rPr>
        <w:t>碎石用作路基回填材料</w:t>
      </w:r>
    </w:p>
    <w:p>
      <w:pPr>
        <w:pStyle w:val="217"/>
        <w:rPr>
          <w:color w:val="auto"/>
          <w:highlight w:val="none"/>
        </w:rPr>
      </w:pPr>
    </w:p>
    <w:p>
      <w:pPr>
        <w:pStyle w:val="217"/>
        <w:rPr>
          <w:color w:val="auto"/>
          <w:highlight w:val="none"/>
        </w:rPr>
      </w:pPr>
      <w:r>
        <w:rPr>
          <w:color w:val="auto"/>
          <w:highlight w:val="none"/>
        </w:rPr>
        <w:t>3.</w:t>
      </w:r>
      <w:r>
        <w:rPr>
          <w:rFonts w:hint="eastAsia"/>
          <w:color w:val="auto"/>
          <w:highlight w:val="none"/>
        </w:rPr>
        <w:t>土石方和地基工程施工应明确场地内特殊区域和植物的保护方法。在满足施工、设计和经济方面要求的前提下，尽量减少清理和扰动的区域面积；</w:t>
      </w:r>
    </w:p>
    <w:p>
      <w:pPr>
        <w:pStyle w:val="217"/>
        <w:rPr>
          <w:color w:val="auto"/>
          <w:highlight w:val="none"/>
        </w:rPr>
      </w:pPr>
      <w:r>
        <w:rPr>
          <w:color w:val="auto"/>
          <w:highlight w:val="none"/>
        </w:rPr>
        <w:t>4.</w:t>
      </w:r>
      <w:r>
        <w:rPr>
          <w:rFonts w:hint="eastAsia"/>
          <w:color w:val="auto"/>
          <w:highlight w:val="none"/>
        </w:rPr>
        <w:t>掘路施工时，应按照各地下管线施工技术规范要求合理确定开挖宽度和放坡系数，埋设管道的槽底最小宽度宜为所埋设施的外侧宽度加两侧夯实机具的工作宽度，严禁超宽开挖；</w:t>
      </w:r>
    </w:p>
    <w:p>
      <w:pPr>
        <w:pStyle w:val="217"/>
        <w:rPr>
          <w:color w:val="auto"/>
          <w:highlight w:val="none"/>
        </w:rPr>
      </w:pPr>
      <w:r>
        <w:rPr>
          <w:color w:val="auto"/>
          <w:highlight w:val="none"/>
        </w:rPr>
        <w:t>5.</w:t>
      </w:r>
      <w:r>
        <w:rPr>
          <w:rFonts w:hint="eastAsia"/>
          <w:color w:val="auto"/>
          <w:highlight w:val="none"/>
        </w:rPr>
        <w:t>基础和土体加固作业时，应控制注浆深度、注浆压力、注浆速度及注浆量，防止注浆材料对土体的扰动和影响。</w:t>
      </w:r>
    </w:p>
    <w:p>
      <w:pPr>
        <w:pStyle w:val="119"/>
        <w:rPr>
          <w:color w:val="auto"/>
          <w:highlight w:val="none"/>
        </w:rPr>
      </w:pPr>
      <w:r>
        <w:rPr>
          <w:color w:val="auto"/>
          <w:highlight w:val="none"/>
        </w:rPr>
        <w:t xml:space="preserve">3.3.5.3 </w:t>
      </w:r>
      <w:r>
        <w:rPr>
          <w:rFonts w:hint="eastAsia"/>
          <w:color w:val="auto"/>
          <w:highlight w:val="none"/>
        </w:rPr>
        <w:t>材料制作使用</w:t>
      </w:r>
    </w:p>
    <w:p>
      <w:pPr>
        <w:pStyle w:val="217"/>
        <w:rPr>
          <w:color w:val="auto"/>
          <w:highlight w:val="none"/>
        </w:rPr>
      </w:pPr>
      <w:r>
        <w:rPr>
          <w:color w:val="auto"/>
          <w:highlight w:val="none"/>
        </w:rPr>
        <w:t>1.</w:t>
      </w:r>
      <w:r>
        <w:rPr>
          <w:rFonts w:hint="eastAsia"/>
          <w:color w:val="auto"/>
          <w:highlight w:val="none"/>
        </w:rPr>
        <w:t>执行粘土砖禁限规定：禁止和限制使用粘土制品，保护土地资源。按规定砖混结构使用多孔粘土砖有专项资金办理手续；框架填充不用多孔粘土砖；</w:t>
      </w:r>
    </w:p>
    <w:p>
      <w:pPr>
        <w:pStyle w:val="217"/>
        <w:rPr>
          <w:color w:val="auto"/>
          <w:highlight w:val="none"/>
        </w:rPr>
      </w:pPr>
      <w:r>
        <w:rPr>
          <w:color w:val="auto"/>
          <w:highlight w:val="none"/>
        </w:rPr>
        <w:t>2.</w:t>
      </w:r>
      <w:r>
        <w:rPr>
          <w:rFonts w:hint="eastAsia"/>
          <w:color w:val="auto"/>
          <w:highlight w:val="none"/>
        </w:rPr>
        <w:t>推广有节土计算数据的新型墙体材料。使用混凝土小型空心砌块、砂加气砌块等新型墙体材料。</w:t>
      </w:r>
    </w:p>
    <w:p>
      <w:pPr>
        <w:pStyle w:val="172"/>
        <w:rPr>
          <w:color w:val="auto"/>
          <w:highlight w:val="none"/>
        </w:rPr>
      </w:pPr>
      <w:r>
        <w:rPr>
          <w:color w:val="auto"/>
          <w:highlight w:val="none"/>
        </w:rPr>
        <w:t xml:space="preserve">3.3.6 </w:t>
      </w:r>
      <w:r>
        <w:rPr>
          <w:rFonts w:hint="eastAsia"/>
          <w:color w:val="auto"/>
          <w:highlight w:val="none"/>
        </w:rPr>
        <w:t>节水技术</w:t>
      </w:r>
    </w:p>
    <w:p>
      <w:pPr>
        <w:pStyle w:val="119"/>
        <w:rPr>
          <w:color w:val="auto"/>
          <w:highlight w:val="none"/>
        </w:rPr>
      </w:pPr>
      <w:r>
        <w:rPr>
          <w:color w:val="auto"/>
          <w:highlight w:val="none"/>
        </w:rPr>
        <w:t xml:space="preserve">3.3.6.1 </w:t>
      </w:r>
      <w:r>
        <w:rPr>
          <w:rFonts w:hint="eastAsia"/>
          <w:color w:val="auto"/>
          <w:highlight w:val="none"/>
        </w:rPr>
        <w:t>节水指标</w:t>
      </w:r>
    </w:p>
    <w:p>
      <w:pPr>
        <w:pStyle w:val="217"/>
        <w:rPr>
          <w:color w:val="auto"/>
          <w:highlight w:val="none"/>
        </w:rPr>
      </w:pPr>
      <w:r>
        <w:rPr>
          <w:rFonts w:hint="eastAsia"/>
          <w:color w:val="auto"/>
          <w:highlight w:val="none"/>
        </w:rPr>
        <w:t>工程项目万元施工产值施工能源消耗控制指标：</w:t>
      </w:r>
    </w:p>
    <w:p>
      <w:pPr>
        <w:pStyle w:val="217"/>
        <w:rPr>
          <w:color w:val="auto"/>
          <w:highlight w:val="none"/>
        </w:rPr>
      </w:pPr>
      <w:r>
        <w:rPr>
          <w:color w:val="auto"/>
          <w:highlight w:val="none"/>
        </w:rPr>
        <w:t>1.</w:t>
      </w:r>
      <w:r>
        <w:rPr>
          <w:rFonts w:hint="eastAsia"/>
          <w:color w:val="auto"/>
          <w:highlight w:val="none"/>
        </w:rPr>
        <w:t>居住建筑工程项目：施工用水指标为</w:t>
      </w:r>
      <w:r>
        <w:rPr>
          <w:color w:val="auto"/>
          <w:highlight w:val="none"/>
        </w:rPr>
        <w:t>3.8m</w:t>
      </w:r>
      <w:r>
        <w:rPr>
          <w:rFonts w:hint="eastAsia"/>
          <w:color w:val="auto"/>
          <w:highlight w:val="none"/>
        </w:rPr>
        <w:t>³</w:t>
      </w:r>
      <w:r>
        <w:rPr>
          <w:color w:val="auto"/>
          <w:highlight w:val="none"/>
        </w:rPr>
        <w:t>/</w:t>
      </w:r>
      <w:r>
        <w:rPr>
          <w:rFonts w:hint="eastAsia"/>
          <w:color w:val="auto"/>
          <w:highlight w:val="none"/>
        </w:rPr>
        <w:t>万元；</w:t>
      </w:r>
    </w:p>
    <w:p>
      <w:pPr>
        <w:pStyle w:val="217"/>
        <w:rPr>
          <w:color w:val="auto"/>
          <w:highlight w:val="none"/>
        </w:rPr>
      </w:pPr>
      <w:r>
        <w:rPr>
          <w:color w:val="auto"/>
          <w:highlight w:val="none"/>
        </w:rPr>
        <w:t>2.</w:t>
      </w:r>
      <w:r>
        <w:rPr>
          <w:rFonts w:hint="eastAsia"/>
          <w:color w:val="auto"/>
          <w:highlight w:val="none"/>
        </w:rPr>
        <w:t>公共建筑工程项目：施工用水指标为</w:t>
      </w:r>
      <w:r>
        <w:rPr>
          <w:color w:val="auto"/>
          <w:highlight w:val="none"/>
        </w:rPr>
        <w:t>4m</w:t>
      </w:r>
      <w:r>
        <w:rPr>
          <w:rFonts w:hint="eastAsia"/>
          <w:color w:val="auto"/>
          <w:highlight w:val="none"/>
        </w:rPr>
        <w:t>³</w:t>
      </w:r>
      <w:r>
        <w:rPr>
          <w:color w:val="auto"/>
          <w:highlight w:val="none"/>
        </w:rPr>
        <w:t>/</w:t>
      </w:r>
      <w:r>
        <w:rPr>
          <w:rFonts w:hint="eastAsia"/>
          <w:color w:val="auto"/>
          <w:highlight w:val="none"/>
        </w:rPr>
        <w:t>万元；</w:t>
      </w:r>
    </w:p>
    <w:p>
      <w:pPr>
        <w:pStyle w:val="217"/>
        <w:rPr>
          <w:color w:val="auto"/>
          <w:highlight w:val="none"/>
        </w:rPr>
      </w:pPr>
      <w:r>
        <w:rPr>
          <w:color w:val="auto"/>
          <w:highlight w:val="none"/>
        </w:rPr>
        <w:t>3.</w:t>
      </w:r>
      <w:r>
        <w:rPr>
          <w:rFonts w:hint="eastAsia"/>
          <w:color w:val="auto"/>
          <w:highlight w:val="none"/>
        </w:rPr>
        <w:t>工业建筑工程项目：施工用水指标为</w:t>
      </w:r>
      <w:r>
        <w:rPr>
          <w:color w:val="auto"/>
          <w:highlight w:val="none"/>
        </w:rPr>
        <w:t>3.8m</w:t>
      </w:r>
      <w:r>
        <w:rPr>
          <w:rFonts w:hint="eastAsia"/>
          <w:color w:val="auto"/>
          <w:highlight w:val="none"/>
        </w:rPr>
        <w:t>³</w:t>
      </w:r>
      <w:r>
        <w:rPr>
          <w:color w:val="auto"/>
          <w:highlight w:val="none"/>
        </w:rPr>
        <w:t>/</w:t>
      </w:r>
      <w:r>
        <w:rPr>
          <w:rFonts w:hint="eastAsia"/>
          <w:color w:val="auto"/>
          <w:highlight w:val="none"/>
        </w:rPr>
        <w:t>万元；</w:t>
      </w:r>
    </w:p>
    <w:p>
      <w:pPr>
        <w:pStyle w:val="119"/>
        <w:rPr>
          <w:color w:val="auto"/>
          <w:highlight w:val="none"/>
        </w:rPr>
      </w:pPr>
      <w:r>
        <w:rPr>
          <w:color w:val="auto"/>
          <w:highlight w:val="none"/>
        </w:rPr>
        <w:t xml:space="preserve">3.3.6.2 </w:t>
      </w:r>
      <w:r>
        <w:rPr>
          <w:rFonts w:hint="eastAsia"/>
          <w:color w:val="auto"/>
          <w:highlight w:val="none"/>
        </w:rPr>
        <w:t>用水管理</w:t>
      </w:r>
    </w:p>
    <w:p>
      <w:pPr>
        <w:pStyle w:val="217"/>
        <w:rPr>
          <w:color w:val="auto"/>
          <w:highlight w:val="none"/>
        </w:rPr>
      </w:pPr>
      <w:r>
        <w:rPr>
          <w:color w:val="auto"/>
          <w:highlight w:val="none"/>
        </w:rPr>
        <w:t>1.</w:t>
      </w:r>
      <w:r>
        <w:rPr>
          <w:rFonts w:hint="eastAsia"/>
          <w:color w:val="auto"/>
          <w:highlight w:val="none"/>
        </w:rPr>
        <w:t>施工现场应制订用水管理制度，实行用水计量管理。工程项目的不同单项工程、不同标段、不同指定专业承包人生活区，应分别设定用水定额指标，分别计量管理，并收集水务公司签发的水费单；</w:t>
      </w:r>
    </w:p>
    <w:p>
      <w:pPr>
        <w:pStyle w:val="217"/>
        <w:rPr>
          <w:color w:val="auto"/>
          <w:highlight w:val="none"/>
        </w:rPr>
      </w:pPr>
      <w:r>
        <w:rPr>
          <w:color w:val="auto"/>
          <w:highlight w:val="none"/>
        </w:rPr>
        <w:t>2.</w:t>
      </w:r>
      <w:r>
        <w:rPr>
          <w:rFonts w:hint="eastAsia"/>
          <w:color w:val="auto"/>
          <w:highlight w:val="none"/>
        </w:rPr>
        <w:t>承包人单位应根据工程特点，统一规划布置施工现场临时给排水方案，制定用水定额指标，保证用水定额的合理性和有效性；</w:t>
      </w:r>
    </w:p>
    <w:p>
      <w:pPr>
        <w:pStyle w:val="217"/>
        <w:rPr>
          <w:color w:val="auto"/>
          <w:highlight w:val="none"/>
        </w:rPr>
      </w:pPr>
      <w:r>
        <w:rPr>
          <w:color w:val="auto"/>
          <w:highlight w:val="none"/>
        </w:rPr>
        <w:t>3.</w:t>
      </w:r>
      <w:r>
        <w:rPr>
          <w:rFonts w:hint="eastAsia"/>
          <w:color w:val="auto"/>
          <w:highlight w:val="none"/>
        </w:rPr>
        <w:t>根据水资源来源，分别计量市政自来水和非传统水源；对混凝土搅拌站点等用水集中的区域和工艺点进行专项计量考核；</w:t>
      </w:r>
    </w:p>
    <w:p>
      <w:pPr>
        <w:pStyle w:val="217"/>
        <w:rPr>
          <w:color w:val="auto"/>
          <w:highlight w:val="none"/>
        </w:rPr>
      </w:pPr>
      <w:r>
        <w:rPr>
          <w:color w:val="auto"/>
          <w:highlight w:val="none"/>
        </w:rPr>
        <w:t>4.</w:t>
      </w:r>
      <w:r>
        <w:rPr>
          <w:rFonts w:hint="eastAsia"/>
          <w:color w:val="auto"/>
          <w:highlight w:val="none"/>
        </w:rPr>
        <w:t>计量方式采用智能化自动计量，并建立数据库；</w:t>
      </w:r>
    </w:p>
    <w:p>
      <w:pPr>
        <w:pStyle w:val="217"/>
        <w:rPr>
          <w:color w:val="auto"/>
          <w:highlight w:val="none"/>
        </w:rPr>
      </w:pPr>
      <w:r>
        <w:rPr>
          <w:color w:val="auto"/>
          <w:highlight w:val="none"/>
        </w:rPr>
        <w:t>5.</w:t>
      </w:r>
      <w:r>
        <w:rPr>
          <w:rFonts w:hint="eastAsia"/>
          <w:color w:val="auto"/>
          <w:highlight w:val="none"/>
        </w:rPr>
        <w:t>项目部应设置明显的节约用水宣传标识。</w:t>
      </w:r>
    </w:p>
    <w:p>
      <w:pPr>
        <w:pStyle w:val="119"/>
        <w:rPr>
          <w:color w:val="auto"/>
          <w:highlight w:val="none"/>
        </w:rPr>
      </w:pPr>
      <w:r>
        <w:rPr>
          <w:color w:val="auto"/>
          <w:highlight w:val="none"/>
        </w:rPr>
        <w:t xml:space="preserve">3.3.6.3 </w:t>
      </w:r>
      <w:r>
        <w:rPr>
          <w:rFonts w:hint="eastAsia"/>
          <w:color w:val="auto"/>
          <w:highlight w:val="none"/>
        </w:rPr>
        <w:t>节水工艺</w:t>
      </w:r>
    </w:p>
    <w:p>
      <w:pPr>
        <w:pStyle w:val="217"/>
        <w:rPr>
          <w:color w:val="auto"/>
          <w:highlight w:val="none"/>
        </w:rPr>
      </w:pPr>
      <w:r>
        <w:rPr>
          <w:rFonts w:hint="eastAsia"/>
          <w:color w:val="auto"/>
          <w:highlight w:val="none"/>
        </w:rPr>
        <w:t>施工中应采用先进的节水施工工艺和养护工艺，应通过工艺改进、方案优化措施，提高用水效率。</w:t>
      </w:r>
    </w:p>
    <w:p>
      <w:pPr>
        <w:pStyle w:val="217"/>
        <w:rPr>
          <w:color w:val="auto"/>
          <w:highlight w:val="none"/>
        </w:rPr>
      </w:pPr>
      <w:r>
        <w:rPr>
          <w:rFonts w:hint="eastAsia"/>
          <w:color w:val="auto"/>
          <w:highlight w:val="none"/>
        </w:rPr>
        <w:t>混凝土养护：混凝土养护用水应采取有效的节水措施，严禁无措施浇水养护混凝土，可根据实际情况，选用以下措施：</w:t>
      </w:r>
    </w:p>
    <w:p>
      <w:pPr>
        <w:pStyle w:val="217"/>
        <w:rPr>
          <w:color w:val="auto"/>
          <w:highlight w:val="none"/>
        </w:rPr>
      </w:pPr>
      <w:r>
        <w:rPr>
          <w:color w:val="auto"/>
          <w:highlight w:val="none"/>
        </w:rPr>
        <w:t>1</w:t>
      </w:r>
      <w:r>
        <w:rPr>
          <w:rFonts w:hint="eastAsia"/>
          <w:color w:val="auto"/>
          <w:highlight w:val="none"/>
        </w:rPr>
        <w:t>薄膜养生液法养护混凝土。</w:t>
      </w:r>
    </w:p>
    <w:p>
      <w:pPr>
        <w:pStyle w:val="217"/>
        <w:rPr>
          <w:color w:val="auto"/>
          <w:highlight w:val="none"/>
        </w:rPr>
      </w:pPr>
      <w:r>
        <w:rPr>
          <w:rFonts w:hint="eastAsia"/>
          <w:color w:val="auto"/>
          <w:highlight w:val="none"/>
        </w:rPr>
        <w:t>塑料薄膜法养护。</w:t>
      </w:r>
    </w:p>
    <w:p>
      <w:pPr>
        <w:pStyle w:val="217"/>
        <w:rPr>
          <w:color w:val="auto"/>
          <w:highlight w:val="none"/>
        </w:rPr>
      </w:pPr>
      <w:r>
        <w:rPr>
          <w:rFonts w:hint="eastAsia"/>
          <w:color w:val="auto"/>
          <w:highlight w:val="none"/>
        </w:rPr>
        <w:t>喷淋养护。</w:t>
      </w:r>
    </w:p>
    <w:p>
      <w:pPr>
        <w:pStyle w:val="217"/>
        <w:rPr>
          <w:color w:val="auto"/>
          <w:highlight w:val="none"/>
        </w:rPr>
      </w:pPr>
      <w:r>
        <w:rPr>
          <w:rFonts w:hint="eastAsia"/>
          <w:color w:val="auto"/>
          <w:highlight w:val="none"/>
        </w:rPr>
        <w:t>覆盖养湿保护。</w:t>
      </w:r>
    </w:p>
    <w:p>
      <w:pPr>
        <w:pStyle w:val="217"/>
        <w:rPr>
          <w:color w:val="auto"/>
          <w:highlight w:val="none"/>
        </w:rPr>
      </w:pPr>
      <w:r>
        <w:rPr>
          <w:rFonts w:hint="eastAsia"/>
          <w:color w:val="auto"/>
          <w:highlight w:val="none"/>
        </w:rPr>
        <w:t>其他有依据、合理的节水养护措施。</w:t>
      </w:r>
    </w:p>
    <w:p>
      <w:pPr>
        <w:pStyle w:val="217"/>
        <w:rPr>
          <w:color w:val="auto"/>
          <w:highlight w:val="none"/>
        </w:rPr>
      </w:pPr>
    </w:p>
    <w:p>
      <w:pPr>
        <w:pStyle w:val="217"/>
        <w:rPr>
          <w:color w:val="auto"/>
          <w:highlight w:val="none"/>
        </w:rPr>
      </w:pPr>
      <w:r>
        <w:rPr>
          <w:color w:val="auto"/>
          <w:highlight w:val="none"/>
        </w:rPr>
        <w:drawing>
          <wp:inline distT="0" distB="0" distL="114300" distR="114300">
            <wp:extent cx="2047240" cy="1342390"/>
            <wp:effectExtent l="0" t="0" r="10160" b="10160"/>
            <wp:docPr id="70" name="图片 149" descr="P101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49" descr="P1010021"/>
                    <pic:cNvPicPr>
                      <a:picLocks noChangeAspect="1"/>
                    </pic:cNvPicPr>
                  </pic:nvPicPr>
                  <pic:blipFill>
                    <a:blip r:embed="rId82"/>
                    <a:stretch>
                      <a:fillRect/>
                    </a:stretch>
                  </pic:blipFill>
                  <pic:spPr>
                    <a:xfrm>
                      <a:off x="0" y="0"/>
                      <a:ext cx="2047240" cy="1342390"/>
                    </a:xfrm>
                    <a:prstGeom prst="rect">
                      <a:avLst/>
                    </a:prstGeom>
                    <a:noFill/>
                    <a:ln>
                      <a:noFill/>
                    </a:ln>
                  </pic:spPr>
                </pic:pic>
              </a:graphicData>
            </a:graphic>
          </wp:inline>
        </w:drawing>
      </w:r>
      <w:r>
        <w:rPr>
          <w:color w:val="auto"/>
          <w:highlight w:val="none"/>
        </w:rPr>
        <w:t xml:space="preserve">           </w:t>
      </w:r>
      <w:r>
        <w:rPr>
          <w:color w:val="auto"/>
          <w:highlight w:val="none"/>
        </w:rPr>
        <w:drawing>
          <wp:inline distT="0" distB="0" distL="114300" distR="114300">
            <wp:extent cx="2019935" cy="1342390"/>
            <wp:effectExtent l="0" t="0" r="18415" b="10160"/>
            <wp:docPr id="71" name="图片 1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50" descr="1"/>
                    <pic:cNvPicPr>
                      <a:picLocks noChangeAspect="1"/>
                    </pic:cNvPicPr>
                  </pic:nvPicPr>
                  <pic:blipFill>
                    <a:blip r:embed="rId83"/>
                    <a:stretch>
                      <a:fillRect/>
                    </a:stretch>
                  </pic:blipFill>
                  <pic:spPr>
                    <a:xfrm>
                      <a:off x="0" y="0"/>
                      <a:ext cx="2019935" cy="1342390"/>
                    </a:xfrm>
                    <a:prstGeom prst="rect">
                      <a:avLst/>
                    </a:prstGeom>
                    <a:noFill/>
                    <a:ln>
                      <a:noFill/>
                    </a:ln>
                  </pic:spPr>
                </pic:pic>
              </a:graphicData>
            </a:graphic>
          </wp:inline>
        </w:drawing>
      </w:r>
    </w:p>
    <w:p>
      <w:pPr>
        <w:pStyle w:val="217"/>
        <w:ind w:firstLine="1200" w:firstLineChars="500"/>
        <w:rPr>
          <w:color w:val="auto"/>
          <w:highlight w:val="none"/>
        </w:rPr>
      </w:pPr>
      <w:r>
        <w:rPr>
          <w:rFonts w:hint="eastAsia"/>
          <w:color w:val="auto"/>
          <w:highlight w:val="none"/>
        </w:rPr>
        <w:t>塑料薄膜法养护</w:t>
      </w:r>
      <w:r>
        <w:rPr>
          <w:color w:val="auto"/>
          <w:highlight w:val="none"/>
        </w:rPr>
        <w:t xml:space="preserve">                        PVC</w:t>
      </w:r>
      <w:r>
        <w:rPr>
          <w:rFonts w:hint="eastAsia"/>
          <w:color w:val="auto"/>
          <w:highlight w:val="none"/>
        </w:rPr>
        <w:t>管道淋水养护</w:t>
      </w:r>
    </w:p>
    <w:p>
      <w:pPr>
        <w:pStyle w:val="217"/>
        <w:rPr>
          <w:color w:val="auto"/>
          <w:highlight w:val="none"/>
        </w:rPr>
      </w:pPr>
      <w:r>
        <w:rPr>
          <w:color w:val="auto"/>
          <w:highlight w:val="none"/>
        </w:rPr>
        <w:drawing>
          <wp:inline distT="0" distB="0" distL="114300" distR="114300">
            <wp:extent cx="2153920" cy="1429385"/>
            <wp:effectExtent l="0" t="0" r="17780" b="18415"/>
            <wp:docPr id="72" name="图片 151" descr="2010062805001186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2" name="图片 151" descr="20100628050011862"/>
                    <pic:cNvPicPr>
                      <a:picLocks noGrp="1" noChangeAspect="1"/>
                    </pic:cNvPicPr>
                  </pic:nvPicPr>
                  <pic:blipFill>
                    <a:blip r:embed="rId84"/>
                    <a:srcRect l="3143"/>
                    <a:stretch>
                      <a:fillRect/>
                    </a:stretch>
                  </pic:blipFill>
                  <pic:spPr>
                    <a:xfrm>
                      <a:off x="0" y="0"/>
                      <a:ext cx="2153920" cy="1429385"/>
                    </a:xfrm>
                    <a:prstGeom prst="rect">
                      <a:avLst/>
                    </a:prstGeom>
                    <a:noFill/>
                    <a:ln>
                      <a:noFill/>
                    </a:ln>
                  </pic:spPr>
                </pic:pic>
              </a:graphicData>
            </a:graphic>
          </wp:inline>
        </w:drawing>
      </w:r>
      <w:r>
        <w:rPr>
          <w:color w:val="auto"/>
          <w:highlight w:val="none"/>
        </w:rPr>
        <w:t xml:space="preserve">        </w:t>
      </w:r>
      <w:r>
        <w:rPr>
          <w:color w:val="auto"/>
          <w:highlight w:val="none"/>
        </w:rPr>
        <w:drawing>
          <wp:inline distT="0" distB="0" distL="114300" distR="114300">
            <wp:extent cx="2144395" cy="1437640"/>
            <wp:effectExtent l="0" t="0" r="8255" b="10160"/>
            <wp:docPr id="73" name="图片 152" descr="SDC1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52" descr="SDC17419"/>
                    <pic:cNvPicPr>
                      <a:picLocks noChangeAspect="1"/>
                    </pic:cNvPicPr>
                  </pic:nvPicPr>
                  <pic:blipFill>
                    <a:blip r:embed="rId85"/>
                    <a:stretch>
                      <a:fillRect/>
                    </a:stretch>
                  </pic:blipFill>
                  <pic:spPr>
                    <a:xfrm>
                      <a:off x="0" y="0"/>
                      <a:ext cx="2144395" cy="1437640"/>
                    </a:xfrm>
                    <a:prstGeom prst="rect">
                      <a:avLst/>
                    </a:prstGeom>
                    <a:noFill/>
                    <a:ln>
                      <a:noFill/>
                    </a:ln>
                  </pic:spPr>
                </pic:pic>
              </a:graphicData>
            </a:graphic>
          </wp:inline>
        </w:drawing>
      </w:r>
    </w:p>
    <w:p>
      <w:pPr>
        <w:pStyle w:val="217"/>
        <w:rPr>
          <w:color w:val="auto"/>
          <w:highlight w:val="none"/>
        </w:rPr>
      </w:pPr>
      <w:r>
        <w:rPr>
          <w:color w:val="auto"/>
          <w:highlight w:val="none"/>
        </w:rPr>
        <w:t xml:space="preserve">       </w:t>
      </w:r>
      <w:r>
        <w:rPr>
          <w:rFonts w:hint="eastAsia"/>
          <w:color w:val="auto"/>
          <w:highlight w:val="none"/>
        </w:rPr>
        <w:t>混凝土喷雾养护</w:t>
      </w:r>
      <w:r>
        <w:rPr>
          <w:color w:val="auto"/>
          <w:highlight w:val="none"/>
        </w:rPr>
        <w:t xml:space="preserve">                    </w:t>
      </w:r>
      <w:r>
        <w:rPr>
          <w:rFonts w:hint="eastAsia"/>
          <w:color w:val="auto"/>
          <w:highlight w:val="none"/>
        </w:rPr>
        <w:t>混凝土试块节水养护箱</w:t>
      </w:r>
    </w:p>
    <w:p>
      <w:pPr>
        <w:rPr>
          <w:color w:val="auto"/>
          <w:highlight w:val="none"/>
        </w:rPr>
      </w:pPr>
    </w:p>
    <w:p>
      <w:pPr>
        <w:pStyle w:val="119"/>
        <w:rPr>
          <w:color w:val="auto"/>
          <w:highlight w:val="none"/>
        </w:rPr>
      </w:pPr>
      <w:r>
        <w:rPr>
          <w:color w:val="auto"/>
          <w:highlight w:val="none"/>
        </w:rPr>
        <w:t xml:space="preserve">3.3.6.4 </w:t>
      </w:r>
      <w:r>
        <w:rPr>
          <w:rFonts w:hint="eastAsia"/>
          <w:color w:val="auto"/>
          <w:highlight w:val="none"/>
        </w:rPr>
        <w:t>非传统水资源利用</w:t>
      </w:r>
    </w:p>
    <w:p>
      <w:pPr>
        <w:pStyle w:val="217"/>
        <w:rPr>
          <w:color w:val="auto"/>
          <w:highlight w:val="none"/>
        </w:rPr>
      </w:pPr>
      <w:r>
        <w:rPr>
          <w:rFonts w:hint="eastAsia"/>
          <w:color w:val="auto"/>
          <w:highlight w:val="none"/>
        </w:rPr>
        <w:t>施工现场机具、设备、车辆冲洗、喷洒路面、绿化浇灌等用水，优先采用非传统水源，不宜使用市政自来水。</w:t>
      </w:r>
    </w:p>
    <w:p>
      <w:pPr>
        <w:pStyle w:val="217"/>
        <w:rPr>
          <w:color w:val="auto"/>
          <w:highlight w:val="none"/>
        </w:rPr>
      </w:pPr>
      <w:r>
        <w:rPr>
          <w:color w:val="auto"/>
          <w:highlight w:val="none"/>
        </w:rPr>
        <w:t>1.</w:t>
      </w:r>
      <w:r>
        <w:rPr>
          <w:rFonts w:hint="eastAsia"/>
          <w:color w:val="auto"/>
          <w:highlight w:val="none"/>
        </w:rPr>
        <w:t>非传统水源水质</w:t>
      </w:r>
    </w:p>
    <w:p>
      <w:pPr>
        <w:pStyle w:val="217"/>
        <w:rPr>
          <w:color w:val="auto"/>
          <w:highlight w:val="none"/>
        </w:rPr>
      </w:pPr>
      <w:r>
        <w:rPr>
          <w:rFonts w:hint="eastAsia"/>
          <w:color w:val="auto"/>
          <w:highlight w:val="none"/>
        </w:rPr>
        <w:t>在非传统水源和现场循环再利用水的使用过程中，必须保证水质：</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）在非传统水源和现场循环再利用水的使用过程中，应制定有效的水质检测与卫生保障措施，确保避免对人体健康、工程质量以及周围环境产生不良影响；</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）非传统水源和现场循环再利用水系统的管道、各种设备以及各种接口应有明显标识，并与其它生活用水管道严格区分；</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）非传统水源和现场循环再利用水仅用于绿化浇灌、设备冲洗、车辆冲洗、喷洒路面、混凝土养护等，不能与生活用水混用；</w:t>
      </w:r>
    </w:p>
    <w:p>
      <w:pPr>
        <w:pStyle w:val="217"/>
        <w:rPr>
          <w:color w:val="auto"/>
          <w:highlight w:val="none"/>
        </w:rPr>
      </w:pPr>
      <w:r>
        <w:rPr>
          <w:color w:val="auto"/>
          <w:highlight w:val="none"/>
        </w:rPr>
        <w:t>2.</w:t>
      </w:r>
      <w:r>
        <w:rPr>
          <w:rFonts w:hint="eastAsia"/>
          <w:color w:val="auto"/>
          <w:highlight w:val="none"/>
        </w:rPr>
        <w:t>非传统水源</w:t>
      </w:r>
    </w:p>
    <w:p>
      <w:pPr>
        <w:pStyle w:val="217"/>
        <w:rPr>
          <w:color w:val="auto"/>
          <w:highlight w:val="none"/>
        </w:rPr>
      </w:pPr>
      <w:r>
        <w:rPr>
          <w:rFonts w:hint="eastAsia"/>
          <w:color w:val="auto"/>
          <w:highlight w:val="none"/>
        </w:rPr>
        <w:t>优先使用雨水、基坑地下水、江河水以及施工、生活产生的废水经沉淀后可以再利用的循环水等作为非传统水资源。</w:t>
      </w:r>
    </w:p>
    <w:p>
      <w:pPr>
        <w:pStyle w:val="217"/>
        <w:rPr>
          <w:color w:val="auto"/>
          <w:highlight w:val="none"/>
        </w:rPr>
      </w:pPr>
      <w:r>
        <w:rPr>
          <w:color w:val="auto"/>
          <w:highlight w:val="none"/>
        </w:rPr>
        <w:t>3.</w:t>
      </w:r>
      <w:r>
        <w:rPr>
          <w:rFonts w:hint="eastAsia"/>
          <w:color w:val="auto"/>
          <w:highlight w:val="none"/>
        </w:rPr>
        <w:t>雨水收集</w:t>
      </w:r>
    </w:p>
    <w:p>
      <w:pPr>
        <w:pStyle w:val="217"/>
        <w:rPr>
          <w:color w:val="auto"/>
          <w:highlight w:val="none"/>
        </w:rPr>
      </w:pPr>
      <w:r>
        <w:rPr>
          <w:rFonts w:hint="eastAsia"/>
          <w:color w:val="auto"/>
          <w:highlight w:val="none"/>
        </w:rPr>
        <w:t>合适季节下，应收集雨水作为非传统水资源：</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）雨水收集系统分两类设置，分别为生活区、办公区等临时房屋屋顶雨水收集系统和施工现场、路面雨水收集系统；</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）屋顶雨水相对干净，杂质、泥沙及其他污染物少，可通过弃流和简单过滤后，直接排入蓄水系统，进行处理后使用；</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）地面的雨水杂质多，污染物源复杂。在弃流和粗略过滤后，还必须进行沉淀才能排入蓄水系统；</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）雨水收集系统沉淀池可使用洗车水循环沉淀池、生活废水沉淀池等；</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）可利用景观湖收集雨水。</w:t>
      </w:r>
    </w:p>
    <w:p>
      <w:pPr>
        <w:pStyle w:val="217"/>
        <w:rPr>
          <w:color w:val="auto"/>
          <w:highlight w:val="none"/>
        </w:rPr>
      </w:pPr>
    </w:p>
    <w:p>
      <w:pPr>
        <w:pStyle w:val="217"/>
        <w:rPr>
          <w:color w:val="auto"/>
          <w:highlight w:val="none"/>
        </w:rPr>
      </w:pPr>
      <w:r>
        <w:rPr>
          <w:color w:val="auto"/>
          <w:highlight w:val="none"/>
        </w:rPr>
        <w:drawing>
          <wp:inline distT="0" distB="0" distL="114300" distR="114300">
            <wp:extent cx="2153285" cy="1429385"/>
            <wp:effectExtent l="0" t="0" r="18415" b="18415"/>
            <wp:docPr id="74" name="图片 153" descr="雨水回收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53" descr="雨水回收池"/>
                    <pic:cNvPicPr>
                      <a:picLocks noChangeAspect="1"/>
                    </pic:cNvPicPr>
                  </pic:nvPicPr>
                  <pic:blipFill>
                    <a:blip r:embed="rId86"/>
                    <a:srcRect l="7962" t="21988" r="14781" b="2724"/>
                    <a:stretch>
                      <a:fillRect/>
                    </a:stretch>
                  </pic:blipFill>
                  <pic:spPr>
                    <a:xfrm>
                      <a:off x="0" y="0"/>
                      <a:ext cx="2153285" cy="1429385"/>
                    </a:xfrm>
                    <a:prstGeom prst="rect">
                      <a:avLst/>
                    </a:prstGeom>
                    <a:noFill/>
                    <a:ln>
                      <a:noFill/>
                    </a:ln>
                  </pic:spPr>
                </pic:pic>
              </a:graphicData>
            </a:graphic>
          </wp:inline>
        </w:drawing>
      </w:r>
      <w:r>
        <w:rPr>
          <w:color w:val="auto"/>
          <w:highlight w:val="none"/>
        </w:rPr>
        <w:t xml:space="preserve">        </w:t>
      </w:r>
      <w:r>
        <w:rPr>
          <w:color w:val="auto"/>
          <w:highlight w:val="none"/>
        </w:rPr>
        <w:drawing>
          <wp:inline distT="0" distB="0" distL="114300" distR="114300">
            <wp:extent cx="2152650" cy="1437640"/>
            <wp:effectExtent l="0" t="0" r="0" b="10160"/>
            <wp:docPr id="75" name="图片 185" descr="SDC1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85" descr="SDC10922"/>
                    <pic:cNvPicPr>
                      <a:picLocks noChangeAspect="1"/>
                    </pic:cNvPicPr>
                  </pic:nvPicPr>
                  <pic:blipFill>
                    <a:blip r:embed="rId87"/>
                    <a:stretch>
                      <a:fillRect/>
                    </a:stretch>
                  </pic:blipFill>
                  <pic:spPr>
                    <a:xfrm>
                      <a:off x="0" y="0"/>
                      <a:ext cx="2152650" cy="1437640"/>
                    </a:xfrm>
                    <a:prstGeom prst="rect">
                      <a:avLst/>
                    </a:prstGeom>
                    <a:noFill/>
                    <a:ln>
                      <a:noFill/>
                    </a:ln>
                  </pic:spPr>
                </pic:pic>
              </a:graphicData>
            </a:graphic>
          </wp:inline>
        </w:drawing>
      </w:r>
    </w:p>
    <w:p>
      <w:pPr>
        <w:pStyle w:val="217"/>
        <w:rPr>
          <w:color w:val="auto"/>
          <w:highlight w:val="none"/>
        </w:rPr>
      </w:pPr>
      <w:r>
        <w:rPr>
          <w:color w:val="auto"/>
          <w:highlight w:val="none"/>
        </w:rPr>
        <w:t xml:space="preserve">           </w:t>
      </w:r>
      <w:r>
        <w:rPr>
          <w:rFonts w:hint="eastAsia"/>
          <w:color w:val="auto"/>
          <w:highlight w:val="none"/>
        </w:rPr>
        <w:t>蓄水池</w:t>
      </w:r>
      <w:r>
        <w:rPr>
          <w:color w:val="auto"/>
          <w:highlight w:val="none"/>
        </w:rPr>
        <w:t xml:space="preserve">                          </w:t>
      </w:r>
      <w:r>
        <w:rPr>
          <w:rFonts w:hint="eastAsia"/>
          <w:color w:val="auto"/>
          <w:highlight w:val="none"/>
        </w:rPr>
        <w:t>洗车水循环沉淀池</w:t>
      </w:r>
    </w:p>
    <w:p>
      <w:pPr>
        <w:pStyle w:val="217"/>
        <w:rPr>
          <w:color w:val="auto"/>
          <w:highlight w:val="none"/>
        </w:rPr>
      </w:pPr>
    </w:p>
    <w:p>
      <w:pPr>
        <w:pStyle w:val="217"/>
        <w:rPr>
          <w:color w:val="auto"/>
          <w:highlight w:val="none"/>
        </w:rPr>
      </w:pPr>
      <w:r>
        <w:rPr>
          <w:color w:val="auto"/>
          <w:highlight w:val="none"/>
        </w:rPr>
        <w:t>4.</w:t>
      </w:r>
      <w:r>
        <w:rPr>
          <w:rFonts w:hint="eastAsia"/>
          <w:color w:val="auto"/>
          <w:highlight w:val="none"/>
        </w:rPr>
        <w:t>基坑降水</w:t>
      </w:r>
    </w:p>
    <w:p>
      <w:pPr>
        <w:pStyle w:val="217"/>
        <w:rPr>
          <w:color w:val="auto"/>
          <w:highlight w:val="none"/>
        </w:rPr>
      </w:pPr>
      <w:r>
        <w:rPr>
          <w:rFonts w:hint="eastAsia"/>
          <w:color w:val="auto"/>
          <w:highlight w:val="none"/>
        </w:rPr>
        <w:t>处于基坑降水阶段的工地，应使用地下水作为非传统水资源：</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w:t>
      </w:r>
      <w:r>
        <w:rPr>
          <w:color w:val="auto"/>
          <w:highlight w:val="none"/>
        </w:rPr>
        <w:t xml:space="preserve"> </w:t>
      </w:r>
      <w:r>
        <w:rPr>
          <w:rFonts w:hint="eastAsia"/>
          <w:color w:val="auto"/>
          <w:highlight w:val="none"/>
        </w:rPr>
        <w:t>地下水降水方案优先考虑收集利用，优先采用地下水作为混凝土搅拌用水、养护用水、冲洗用水和部分生活用水；</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w:t>
      </w:r>
      <w:r>
        <w:rPr>
          <w:color w:val="auto"/>
          <w:highlight w:val="none"/>
        </w:rPr>
        <w:t xml:space="preserve"> </w:t>
      </w:r>
      <w:r>
        <w:rPr>
          <w:rFonts w:hint="eastAsia"/>
          <w:color w:val="auto"/>
          <w:highlight w:val="none"/>
        </w:rPr>
        <w:t>根据工程需要，利用自渗效果将上层滞水引渗至下层潜水层中，可使大部分水资源重新回灌至地下；</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w:t>
      </w:r>
      <w:r>
        <w:rPr>
          <w:color w:val="auto"/>
          <w:highlight w:val="none"/>
        </w:rPr>
        <w:t xml:space="preserve"> </w:t>
      </w:r>
      <w:r>
        <w:rPr>
          <w:rFonts w:hint="eastAsia"/>
          <w:color w:val="auto"/>
          <w:highlight w:val="none"/>
        </w:rPr>
        <w:t>基坑降水所抽水集中存放于沉淀池或移动式储水容器设备中，并进行处理，使水质达到搅拌用水、养护用水、冲洗用水和部分生活用水的要求。沉淀池或移动式储水容器设备的大小应根据计算出的基坑降水量设置。</w:t>
      </w:r>
    </w:p>
    <w:p>
      <w:pPr>
        <w:pStyle w:val="217"/>
        <w:rPr>
          <w:color w:val="auto"/>
          <w:highlight w:val="none"/>
        </w:rPr>
      </w:pPr>
      <w:r>
        <w:rPr>
          <w:color w:val="auto"/>
          <w:highlight w:val="none"/>
        </w:rPr>
        <w:t>5.</w:t>
      </w:r>
      <w:r>
        <w:rPr>
          <w:rFonts w:hint="eastAsia"/>
          <w:color w:val="auto"/>
          <w:highlight w:val="none"/>
        </w:rPr>
        <w:t>江水利用</w:t>
      </w:r>
    </w:p>
    <w:p>
      <w:pPr>
        <w:pStyle w:val="217"/>
        <w:rPr>
          <w:color w:val="auto"/>
          <w:highlight w:val="none"/>
        </w:rPr>
      </w:pPr>
      <w:r>
        <w:rPr>
          <w:rFonts w:hint="eastAsia"/>
          <w:color w:val="auto"/>
          <w:highlight w:val="none"/>
        </w:rPr>
        <w:t>条件允许时，宜合理利用江水、河水等作为施工用水和部分生活用水，节约市政自来水：</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）江水、河水等水源使用必须得到有关部门的认定；</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）引用管网必须与自来水供水管网分开布置，严禁未处理的江水、河水直接作为生活用水；</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）江水、河水使用应进行计量考核，并交由有关部门审查。</w:t>
      </w:r>
    </w:p>
    <w:p>
      <w:pPr>
        <w:pStyle w:val="217"/>
        <w:rPr>
          <w:color w:val="auto"/>
          <w:highlight w:val="none"/>
        </w:rPr>
      </w:pPr>
      <w:r>
        <w:rPr>
          <w:color w:val="auto"/>
          <w:highlight w:val="none"/>
        </w:rPr>
        <w:t>6.</w:t>
      </w:r>
      <w:r>
        <w:rPr>
          <w:rFonts w:hint="eastAsia"/>
          <w:color w:val="auto"/>
          <w:highlight w:val="none"/>
        </w:rPr>
        <w:t>循环用水</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）施工现场宜使用循环水，利用水的收集处理系统，使水资源得到梯级循环利用；</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施工现场应设置循环用水装置，机具、车辆、设备冲洗用水应设立循环用水装置，实行循环用。洗车设备购置时选用具有水循环处理系统的洗车设备，优先考虑低能耗的洗车水循环处理设备。根据洗车量，设置沉淀池大小，并定期对沉淀池进行排泥清洗；</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）生活区应设沉淀池，收集食堂、浴室、盥洗等产生的生活废水及雨水。生活废水经必要的处理后，作二次水利用。生活废水的汇集、处理、利用系统应有策划设计。</w:t>
      </w:r>
    </w:p>
    <w:p>
      <w:pPr>
        <w:pStyle w:val="217"/>
        <w:rPr>
          <w:color w:val="auto"/>
          <w:highlight w:val="none"/>
        </w:rPr>
      </w:pPr>
    </w:p>
    <w:p>
      <w:pPr>
        <w:pStyle w:val="217"/>
        <w:rPr>
          <w:color w:val="auto"/>
          <w:highlight w:val="none"/>
        </w:rPr>
      </w:pPr>
      <w:r>
        <w:rPr>
          <w:color w:val="auto"/>
          <w:highlight w:val="none"/>
        </w:rPr>
        <w:drawing>
          <wp:inline distT="0" distB="0" distL="114300" distR="114300">
            <wp:extent cx="3665220" cy="1229360"/>
            <wp:effectExtent l="0" t="0" r="11430" b="8890"/>
            <wp:docPr id="76"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88"/>
                    <pic:cNvPicPr>
                      <a:picLocks noChangeAspect="1"/>
                    </pic:cNvPicPr>
                  </pic:nvPicPr>
                  <pic:blipFill>
                    <a:blip r:embed="rId88"/>
                    <a:stretch>
                      <a:fillRect/>
                    </a:stretch>
                  </pic:blipFill>
                  <pic:spPr>
                    <a:xfrm>
                      <a:off x="0" y="0"/>
                      <a:ext cx="3665220" cy="1229360"/>
                    </a:xfrm>
                    <a:prstGeom prst="rect">
                      <a:avLst/>
                    </a:prstGeom>
                    <a:noFill/>
                    <a:ln>
                      <a:noFill/>
                    </a:ln>
                  </pic:spPr>
                </pic:pic>
              </a:graphicData>
            </a:graphic>
          </wp:inline>
        </w:drawing>
      </w:r>
    </w:p>
    <w:p>
      <w:pPr>
        <w:pStyle w:val="217"/>
        <w:ind w:firstLine="1800" w:firstLineChars="750"/>
        <w:rPr>
          <w:color w:val="auto"/>
          <w:highlight w:val="none"/>
        </w:rPr>
      </w:pPr>
      <w:r>
        <w:rPr>
          <w:rFonts w:hint="eastAsia"/>
          <w:color w:val="auto"/>
          <w:highlight w:val="none"/>
        </w:rPr>
        <w:t>生活区废水利用系统示意图</w:t>
      </w:r>
    </w:p>
    <w:p>
      <w:pPr>
        <w:pStyle w:val="217"/>
        <w:rPr>
          <w:color w:val="auto"/>
          <w:highlight w:val="none"/>
        </w:rPr>
      </w:pPr>
    </w:p>
    <w:p>
      <w:pPr>
        <w:pStyle w:val="217"/>
        <w:rPr>
          <w:color w:val="auto"/>
          <w:highlight w:val="none"/>
        </w:rPr>
      </w:pPr>
      <w:r>
        <w:rPr>
          <w:color w:val="auto"/>
          <w:highlight w:val="none"/>
        </w:rPr>
        <w:t>7.</w:t>
      </w:r>
      <w:r>
        <w:rPr>
          <w:rFonts w:hint="eastAsia"/>
          <w:color w:val="auto"/>
          <w:highlight w:val="none"/>
        </w:rPr>
        <w:t>收集水箱</w:t>
      </w:r>
    </w:p>
    <w:p>
      <w:pPr>
        <w:pStyle w:val="217"/>
        <w:rPr>
          <w:color w:val="auto"/>
          <w:highlight w:val="none"/>
        </w:rPr>
      </w:pPr>
      <w:r>
        <w:rPr>
          <w:rFonts w:hint="eastAsia"/>
          <w:color w:val="auto"/>
          <w:highlight w:val="none"/>
        </w:rPr>
        <w:t>回收利用的水箱须采用铝合金、铁、不锈钢、塑料等材质制作，达到循环使用的目的。严禁使用混凝土及砖砌材料制作，防止二次建筑垃圾的产生及处理。</w:t>
      </w:r>
    </w:p>
    <w:p>
      <w:pPr>
        <w:pStyle w:val="217"/>
        <w:rPr>
          <w:color w:val="auto"/>
          <w:highlight w:val="none"/>
        </w:rPr>
      </w:pPr>
    </w:p>
    <w:p>
      <w:pPr>
        <w:pStyle w:val="217"/>
        <w:rPr>
          <w:color w:val="auto"/>
          <w:highlight w:val="none"/>
        </w:rPr>
      </w:pPr>
      <w:r>
        <w:rPr>
          <w:color w:val="auto"/>
          <w:highlight w:val="none"/>
        </w:rPr>
        <w:drawing>
          <wp:inline distT="0" distB="0" distL="114300" distR="114300">
            <wp:extent cx="2019935" cy="1429385"/>
            <wp:effectExtent l="0" t="0" r="18415" b="18415"/>
            <wp:docPr id="77"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89"/>
                    <pic:cNvPicPr>
                      <a:picLocks noChangeAspect="1"/>
                    </pic:cNvPicPr>
                  </pic:nvPicPr>
                  <pic:blipFill>
                    <a:blip r:embed="rId89"/>
                    <a:stretch>
                      <a:fillRect/>
                    </a:stretch>
                  </pic:blipFill>
                  <pic:spPr>
                    <a:xfrm>
                      <a:off x="0" y="0"/>
                      <a:ext cx="2019935" cy="1429385"/>
                    </a:xfrm>
                    <a:prstGeom prst="rect">
                      <a:avLst/>
                    </a:prstGeom>
                    <a:noFill/>
                    <a:ln>
                      <a:noFill/>
                    </a:ln>
                  </pic:spPr>
                </pic:pic>
              </a:graphicData>
            </a:graphic>
          </wp:inline>
        </w:drawing>
      </w:r>
    </w:p>
    <w:p>
      <w:pPr>
        <w:pStyle w:val="217"/>
        <w:ind w:firstLine="1440" w:firstLineChars="600"/>
        <w:rPr>
          <w:color w:val="auto"/>
          <w:highlight w:val="none"/>
        </w:rPr>
      </w:pPr>
      <w:r>
        <w:rPr>
          <w:rFonts w:hint="eastAsia"/>
          <w:color w:val="auto"/>
          <w:highlight w:val="none"/>
        </w:rPr>
        <w:t>收集水箱</w:t>
      </w:r>
    </w:p>
    <w:p>
      <w:pPr>
        <w:pStyle w:val="217"/>
        <w:rPr>
          <w:color w:val="auto"/>
          <w:highlight w:val="none"/>
        </w:rPr>
      </w:pPr>
    </w:p>
    <w:p>
      <w:pPr>
        <w:pStyle w:val="119"/>
        <w:rPr>
          <w:color w:val="auto"/>
          <w:highlight w:val="none"/>
        </w:rPr>
      </w:pPr>
      <w:r>
        <w:rPr>
          <w:color w:val="auto"/>
          <w:highlight w:val="none"/>
        </w:rPr>
        <w:t xml:space="preserve">3.3.6.5 </w:t>
      </w:r>
      <w:r>
        <w:rPr>
          <w:rFonts w:hint="eastAsia"/>
          <w:color w:val="auto"/>
          <w:highlight w:val="none"/>
        </w:rPr>
        <w:t>水资源保护</w:t>
      </w:r>
    </w:p>
    <w:p>
      <w:pPr>
        <w:pStyle w:val="217"/>
        <w:rPr>
          <w:color w:val="auto"/>
          <w:highlight w:val="none"/>
        </w:rPr>
      </w:pPr>
      <w:r>
        <w:rPr>
          <w:color w:val="auto"/>
          <w:highlight w:val="none"/>
        </w:rPr>
        <w:t>1.</w:t>
      </w:r>
      <w:r>
        <w:rPr>
          <w:rFonts w:hint="eastAsia"/>
          <w:color w:val="auto"/>
          <w:highlight w:val="none"/>
        </w:rPr>
        <w:t>基坑开挖以及基础施工过程中，应采取有效措施保护场地内及周围的地下水与自然水体，减少施工活动对水质和水量的不良影响；</w:t>
      </w:r>
    </w:p>
    <w:p>
      <w:pPr>
        <w:pStyle w:val="217"/>
        <w:rPr>
          <w:color w:val="auto"/>
          <w:highlight w:val="none"/>
        </w:rPr>
      </w:pPr>
      <w:r>
        <w:rPr>
          <w:color w:val="auto"/>
          <w:highlight w:val="none"/>
        </w:rPr>
        <w:t>2.</w:t>
      </w:r>
      <w:r>
        <w:rPr>
          <w:rFonts w:hint="eastAsia"/>
          <w:color w:val="auto"/>
          <w:highlight w:val="none"/>
        </w:rPr>
        <w:t>施工场地废水、污水不能无组织排放，不能排入江河。</w:t>
      </w:r>
    </w:p>
    <w:p>
      <w:pPr>
        <w:pStyle w:val="119"/>
        <w:rPr>
          <w:color w:val="auto"/>
          <w:highlight w:val="none"/>
        </w:rPr>
      </w:pPr>
      <w:r>
        <w:rPr>
          <w:color w:val="auto"/>
          <w:highlight w:val="none"/>
        </w:rPr>
        <w:t xml:space="preserve">3.3.6.6 </w:t>
      </w:r>
      <w:r>
        <w:rPr>
          <w:rFonts w:hint="eastAsia"/>
          <w:color w:val="auto"/>
          <w:highlight w:val="none"/>
        </w:rPr>
        <w:t>用水器具</w:t>
      </w:r>
    </w:p>
    <w:p>
      <w:pPr>
        <w:pStyle w:val="217"/>
        <w:rPr>
          <w:color w:val="auto"/>
          <w:highlight w:val="none"/>
        </w:rPr>
      </w:pPr>
      <w:r>
        <w:rPr>
          <w:color w:val="auto"/>
          <w:highlight w:val="none"/>
        </w:rPr>
        <w:t>1.</w:t>
      </w:r>
      <w:r>
        <w:rPr>
          <w:rFonts w:hint="eastAsia"/>
          <w:color w:val="auto"/>
          <w:highlight w:val="none"/>
        </w:rPr>
        <w:t>在水源处应设置明显的节约用水标识；</w:t>
      </w:r>
    </w:p>
    <w:p>
      <w:pPr>
        <w:pStyle w:val="217"/>
        <w:rPr>
          <w:color w:val="auto"/>
          <w:highlight w:val="none"/>
        </w:rPr>
      </w:pPr>
      <w:r>
        <w:rPr>
          <w:color w:val="auto"/>
          <w:highlight w:val="none"/>
        </w:rPr>
        <w:t>2.</w:t>
      </w:r>
      <w:r>
        <w:rPr>
          <w:rFonts w:hint="eastAsia"/>
          <w:color w:val="auto"/>
          <w:highlight w:val="none"/>
        </w:rPr>
        <w:t>条件允许时，宜使用定时、自控冲洗设备；</w:t>
      </w:r>
    </w:p>
    <w:p>
      <w:pPr>
        <w:pStyle w:val="217"/>
        <w:rPr>
          <w:color w:val="auto"/>
          <w:highlight w:val="none"/>
        </w:rPr>
      </w:pPr>
      <w:r>
        <w:rPr>
          <w:color w:val="auto"/>
          <w:highlight w:val="none"/>
        </w:rPr>
        <w:t>3.</w:t>
      </w:r>
      <w:r>
        <w:rPr>
          <w:rFonts w:hint="eastAsia"/>
          <w:color w:val="auto"/>
          <w:highlight w:val="none"/>
        </w:rPr>
        <w:t>洗手池应使用节水型水嘴、节水阀；</w:t>
      </w:r>
    </w:p>
    <w:p>
      <w:pPr>
        <w:pStyle w:val="217"/>
        <w:rPr>
          <w:color w:val="auto"/>
          <w:highlight w:val="none"/>
        </w:rPr>
      </w:pPr>
      <w:r>
        <w:rPr>
          <w:color w:val="auto"/>
          <w:highlight w:val="none"/>
        </w:rPr>
        <w:t>4.</w:t>
      </w:r>
      <w:r>
        <w:rPr>
          <w:rFonts w:hint="eastAsia"/>
          <w:color w:val="auto"/>
          <w:highlight w:val="none"/>
        </w:rPr>
        <w:t>浴室应使用踏板式花洒等；</w:t>
      </w:r>
    </w:p>
    <w:p>
      <w:pPr>
        <w:pStyle w:val="217"/>
        <w:rPr>
          <w:color w:val="auto"/>
          <w:highlight w:val="none"/>
        </w:rPr>
      </w:pPr>
      <w:r>
        <w:rPr>
          <w:color w:val="auto"/>
          <w:highlight w:val="none"/>
        </w:rPr>
        <w:t>5.</w:t>
      </w:r>
      <w:r>
        <w:rPr>
          <w:rFonts w:hint="eastAsia"/>
          <w:color w:val="auto"/>
          <w:highlight w:val="none"/>
        </w:rPr>
        <w:t>厕所应使用手拉式冲水阀、延时阀、脚踏式延时阀等；</w:t>
      </w:r>
    </w:p>
    <w:p>
      <w:pPr>
        <w:pStyle w:val="217"/>
        <w:rPr>
          <w:color w:val="auto"/>
          <w:highlight w:val="none"/>
        </w:rPr>
      </w:pPr>
      <w:r>
        <w:rPr>
          <w:color w:val="auto"/>
          <w:highlight w:val="none"/>
        </w:rPr>
        <w:t>6.</w:t>
      </w:r>
      <w:r>
        <w:rPr>
          <w:rFonts w:hint="eastAsia"/>
          <w:color w:val="auto"/>
          <w:highlight w:val="none"/>
        </w:rPr>
        <w:t>节水器具、节水设备（设施）配置率应达到</w:t>
      </w:r>
      <w:r>
        <w:rPr>
          <w:color w:val="auto"/>
          <w:highlight w:val="none"/>
        </w:rPr>
        <w:t>100%</w:t>
      </w:r>
      <w:r>
        <w:rPr>
          <w:rFonts w:hint="eastAsia"/>
          <w:color w:val="auto"/>
          <w:highlight w:val="none"/>
        </w:rPr>
        <w:t>。</w:t>
      </w:r>
    </w:p>
    <w:p>
      <w:pPr>
        <w:pStyle w:val="217"/>
        <w:rPr>
          <w:color w:val="auto"/>
          <w:highlight w:val="none"/>
        </w:rPr>
      </w:pPr>
    </w:p>
    <w:p>
      <w:pPr>
        <w:pStyle w:val="217"/>
        <w:rPr>
          <w:color w:val="auto"/>
          <w:highlight w:val="none"/>
        </w:rPr>
      </w:pPr>
      <w:r>
        <w:rPr>
          <w:color w:val="auto"/>
          <w:highlight w:val="none"/>
        </w:rPr>
        <w:drawing>
          <wp:inline distT="0" distB="0" distL="114300" distR="114300">
            <wp:extent cx="1982470" cy="1330325"/>
            <wp:effectExtent l="0" t="0" r="17780" b="3175"/>
            <wp:docPr id="78"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90"/>
                    <pic:cNvPicPr>
                      <a:picLocks noChangeAspect="1"/>
                    </pic:cNvPicPr>
                  </pic:nvPicPr>
                  <pic:blipFill>
                    <a:blip r:embed="rId90"/>
                    <a:srcRect r="10054" b="11954"/>
                    <a:stretch>
                      <a:fillRect/>
                    </a:stretch>
                  </pic:blipFill>
                  <pic:spPr>
                    <a:xfrm>
                      <a:off x="0" y="0"/>
                      <a:ext cx="1982470" cy="1330325"/>
                    </a:xfrm>
                    <a:prstGeom prst="rect">
                      <a:avLst/>
                    </a:prstGeom>
                    <a:noFill/>
                    <a:ln>
                      <a:noFill/>
                    </a:ln>
                  </pic:spPr>
                </pic:pic>
              </a:graphicData>
            </a:graphic>
          </wp:inline>
        </w:drawing>
      </w:r>
      <w:r>
        <w:rPr>
          <w:color w:val="auto"/>
          <w:highlight w:val="none"/>
        </w:rPr>
        <w:t xml:space="preserve">         </w:t>
      </w:r>
      <w:r>
        <w:rPr>
          <w:color w:val="auto"/>
          <w:highlight w:val="none"/>
        </w:rPr>
        <w:drawing>
          <wp:inline distT="0" distB="0" distL="114300" distR="114300">
            <wp:extent cx="2162175" cy="1353185"/>
            <wp:effectExtent l="0" t="0" r="9525" b="18415"/>
            <wp:docPr id="79" name="图片 192" descr="P224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92" descr="P2241287"/>
                    <pic:cNvPicPr>
                      <a:picLocks noChangeAspect="1"/>
                    </pic:cNvPicPr>
                  </pic:nvPicPr>
                  <pic:blipFill>
                    <a:blip r:embed="rId91"/>
                    <a:stretch>
                      <a:fillRect/>
                    </a:stretch>
                  </pic:blipFill>
                  <pic:spPr>
                    <a:xfrm>
                      <a:off x="0" y="0"/>
                      <a:ext cx="2162175" cy="1353185"/>
                    </a:xfrm>
                    <a:prstGeom prst="rect">
                      <a:avLst/>
                    </a:prstGeom>
                    <a:noFill/>
                    <a:ln>
                      <a:noFill/>
                    </a:ln>
                  </pic:spPr>
                </pic:pic>
              </a:graphicData>
            </a:graphic>
          </wp:inline>
        </w:drawing>
      </w:r>
    </w:p>
    <w:p>
      <w:pPr>
        <w:pStyle w:val="217"/>
        <w:ind w:firstLine="720" w:firstLineChars="300"/>
        <w:rPr>
          <w:color w:val="auto"/>
          <w:highlight w:val="none"/>
        </w:rPr>
      </w:pPr>
      <w:r>
        <w:rPr>
          <w:rFonts w:hint="eastAsia"/>
          <w:color w:val="auto"/>
          <w:highlight w:val="none"/>
        </w:rPr>
        <w:t>生活区、办公区节水水龙头</w:t>
      </w:r>
      <w:r>
        <w:rPr>
          <w:color w:val="auto"/>
          <w:highlight w:val="none"/>
        </w:rPr>
        <w:t xml:space="preserve">                 </w:t>
      </w:r>
      <w:r>
        <w:rPr>
          <w:rFonts w:hint="eastAsia"/>
          <w:color w:val="auto"/>
          <w:highlight w:val="none"/>
        </w:rPr>
        <w:t>弹簧式冲水便池</w:t>
      </w:r>
    </w:p>
    <w:p>
      <w:pPr>
        <w:pStyle w:val="217"/>
        <w:rPr>
          <w:color w:val="auto"/>
          <w:highlight w:val="none"/>
        </w:rPr>
      </w:pPr>
      <w:r>
        <w:rPr>
          <w:color w:val="auto"/>
          <w:highlight w:val="none"/>
        </w:rPr>
        <w:drawing>
          <wp:inline distT="0" distB="0" distL="114300" distR="114300">
            <wp:extent cx="2143760" cy="1427480"/>
            <wp:effectExtent l="0" t="0" r="8890" b="1270"/>
            <wp:docPr id="80" name="图片 200" descr="SAM_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00" descr="SAM_1565"/>
                    <pic:cNvPicPr>
                      <a:picLocks noChangeAspect="1"/>
                    </pic:cNvPicPr>
                  </pic:nvPicPr>
                  <pic:blipFill>
                    <a:blip r:embed="rId92"/>
                    <a:stretch>
                      <a:fillRect/>
                    </a:stretch>
                  </pic:blipFill>
                  <pic:spPr>
                    <a:xfrm>
                      <a:off x="0" y="0"/>
                      <a:ext cx="2143760" cy="1427480"/>
                    </a:xfrm>
                    <a:prstGeom prst="rect">
                      <a:avLst/>
                    </a:prstGeom>
                    <a:noFill/>
                    <a:ln>
                      <a:noFill/>
                    </a:ln>
                  </pic:spPr>
                </pic:pic>
              </a:graphicData>
            </a:graphic>
          </wp:inline>
        </w:drawing>
      </w:r>
    </w:p>
    <w:p>
      <w:pPr>
        <w:pStyle w:val="217"/>
        <w:ind w:firstLine="1440" w:firstLineChars="600"/>
        <w:rPr>
          <w:color w:val="auto"/>
          <w:highlight w:val="none"/>
        </w:rPr>
      </w:pPr>
      <w:r>
        <w:rPr>
          <w:rFonts w:hint="eastAsia"/>
          <w:color w:val="auto"/>
          <w:highlight w:val="none"/>
        </w:rPr>
        <w:t>踏板式花洒</w:t>
      </w:r>
    </w:p>
    <w:p>
      <w:pPr>
        <w:rPr>
          <w:color w:val="auto"/>
          <w:highlight w:val="none"/>
        </w:rPr>
      </w:pPr>
    </w:p>
    <w:p>
      <w:pPr>
        <w:pStyle w:val="119"/>
        <w:rPr>
          <w:color w:val="auto"/>
          <w:highlight w:val="none"/>
        </w:rPr>
      </w:pPr>
      <w:r>
        <w:rPr>
          <w:color w:val="auto"/>
          <w:highlight w:val="none"/>
        </w:rPr>
        <w:t xml:space="preserve">3.3.6.7 </w:t>
      </w:r>
      <w:r>
        <w:rPr>
          <w:rFonts w:hint="eastAsia"/>
          <w:color w:val="auto"/>
          <w:highlight w:val="none"/>
        </w:rPr>
        <w:t>用水管网</w:t>
      </w:r>
    </w:p>
    <w:p>
      <w:pPr>
        <w:pStyle w:val="217"/>
        <w:rPr>
          <w:color w:val="auto"/>
          <w:highlight w:val="none"/>
        </w:rPr>
      </w:pPr>
      <w:r>
        <w:rPr>
          <w:color w:val="auto"/>
          <w:highlight w:val="none"/>
        </w:rPr>
        <w:t>1.</w:t>
      </w:r>
      <w:r>
        <w:rPr>
          <w:rFonts w:hint="eastAsia"/>
          <w:color w:val="auto"/>
          <w:highlight w:val="none"/>
        </w:rPr>
        <w:t>管网布置</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）供水管网应根据用水量、用水点统筹设计、合理布置；</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）管径应经过计算合理选择，管路应便捷，减少管路长度及转弯；</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）施工临时给排水布置时，应充分利用场地及周边原有给排水管线及给排水设施，工程临时供水设施、临时消防设施宜与永久设施相结合，提高资源利用率；</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）厕所应设置在循环水的流径下方，以便循环水的利用。</w:t>
      </w:r>
    </w:p>
    <w:p>
      <w:pPr>
        <w:pStyle w:val="217"/>
        <w:rPr>
          <w:color w:val="auto"/>
          <w:highlight w:val="none"/>
        </w:rPr>
      </w:pPr>
      <w:r>
        <w:rPr>
          <w:color w:val="auto"/>
          <w:highlight w:val="none"/>
        </w:rPr>
        <w:t>2.</w:t>
      </w:r>
      <w:r>
        <w:rPr>
          <w:rFonts w:hint="eastAsia"/>
          <w:color w:val="auto"/>
          <w:highlight w:val="none"/>
        </w:rPr>
        <w:t>管网选材</w:t>
      </w:r>
    </w:p>
    <w:p>
      <w:pPr>
        <w:pStyle w:val="217"/>
        <w:rPr>
          <w:color w:val="auto"/>
          <w:highlight w:val="none"/>
        </w:rPr>
      </w:pPr>
      <w:r>
        <w:rPr>
          <w:rFonts w:hint="eastAsia"/>
          <w:color w:val="auto"/>
          <w:highlight w:val="none"/>
        </w:rPr>
        <w:t>临时供水管网管道材质宜选用低重量、低阻力、安拆方便的管材。</w:t>
      </w:r>
    </w:p>
    <w:p>
      <w:pPr>
        <w:pStyle w:val="217"/>
        <w:rPr>
          <w:color w:val="auto"/>
          <w:highlight w:val="none"/>
        </w:rPr>
      </w:pPr>
      <w:r>
        <w:rPr>
          <w:color w:val="auto"/>
          <w:highlight w:val="none"/>
        </w:rPr>
        <w:t>3.</w:t>
      </w:r>
      <w:r>
        <w:rPr>
          <w:rFonts w:hint="eastAsia"/>
          <w:color w:val="auto"/>
          <w:highlight w:val="none"/>
        </w:rPr>
        <w:t>管网安装</w:t>
      </w:r>
    </w:p>
    <w:p>
      <w:pPr>
        <w:pStyle w:val="217"/>
        <w:rPr>
          <w:color w:val="auto"/>
          <w:highlight w:val="none"/>
        </w:rPr>
      </w:pPr>
      <w:r>
        <w:rPr>
          <w:rFonts w:hint="eastAsia"/>
          <w:color w:val="auto"/>
          <w:highlight w:val="none"/>
        </w:rPr>
        <w:t>供水管线沿地表布置时，必须采取设置钢栅栏等保护措施，防止施工时管线被碰撞到而破损。</w:t>
      </w:r>
    </w:p>
    <w:p>
      <w:pPr>
        <w:pStyle w:val="217"/>
        <w:rPr>
          <w:color w:val="auto"/>
          <w:highlight w:val="none"/>
        </w:rPr>
      </w:pPr>
      <w:r>
        <w:rPr>
          <w:color w:val="auto"/>
          <w:highlight w:val="none"/>
        </w:rPr>
        <w:t>4.</w:t>
      </w:r>
      <w:r>
        <w:rPr>
          <w:rFonts w:hint="eastAsia"/>
          <w:color w:val="auto"/>
          <w:highlight w:val="none"/>
        </w:rPr>
        <w:t>管网维护</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）供水管网应有维护制度，定期对施工现场所有供水阀门、管道进行检查，发现问题及时更换或维修，杜绝跑、冒、滴、漏现象；</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）用水岗位设专人定期检查设备完好程度，遇异常情况及时上报项目部修理解决。施工现场供水管网出现漏水、渗水现象，必须在</w:t>
      </w:r>
      <w:r>
        <w:rPr>
          <w:color w:val="auto"/>
          <w:highlight w:val="none"/>
        </w:rPr>
        <w:t>24</w:t>
      </w:r>
      <w:r>
        <w:rPr>
          <w:rFonts w:hint="eastAsia"/>
          <w:color w:val="auto"/>
          <w:highlight w:val="none"/>
        </w:rPr>
        <w:t>小时内进行维修。</w:t>
      </w:r>
    </w:p>
    <w:p>
      <w:pPr>
        <w:pStyle w:val="172"/>
        <w:rPr>
          <w:color w:val="auto"/>
          <w:highlight w:val="none"/>
        </w:rPr>
      </w:pPr>
      <w:r>
        <w:rPr>
          <w:color w:val="auto"/>
          <w:highlight w:val="none"/>
        </w:rPr>
        <w:t xml:space="preserve">3.3.7 </w:t>
      </w:r>
      <w:r>
        <w:rPr>
          <w:rFonts w:hint="eastAsia"/>
          <w:color w:val="auto"/>
          <w:highlight w:val="none"/>
        </w:rPr>
        <w:t>绿色施工综合新技术</w:t>
      </w:r>
    </w:p>
    <w:p>
      <w:pPr>
        <w:pStyle w:val="217"/>
        <w:rPr>
          <w:color w:val="auto"/>
          <w:highlight w:val="none"/>
        </w:rPr>
      </w:pPr>
      <w:r>
        <w:rPr>
          <w:rFonts w:hint="eastAsia"/>
          <w:color w:val="auto"/>
          <w:highlight w:val="none"/>
        </w:rPr>
        <w:t>采用绿色施工综合新技术不仅符合“四节一环保”某一方面的标准，并且符合减少施工现场作业、减少原材料的浪费、降低能源的使用、减少后期维修所造成的材料浪费及产生建筑垃圾等“四节一环保”方方面面的标准。应因地制宜，采用新技术、新工艺、新设备、新材料。</w:t>
      </w:r>
    </w:p>
    <w:p>
      <w:pPr>
        <w:pStyle w:val="217"/>
        <w:rPr>
          <w:color w:val="auto"/>
          <w:highlight w:val="none"/>
        </w:rPr>
      </w:pPr>
      <w:r>
        <w:rPr>
          <w:color w:val="auto"/>
          <w:highlight w:val="none"/>
        </w:rPr>
        <w:t>1.</w:t>
      </w:r>
      <w:r>
        <w:rPr>
          <w:rFonts w:hint="eastAsia"/>
          <w:color w:val="auto"/>
          <w:highlight w:val="none"/>
        </w:rPr>
        <w:t>新型模板</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）模板应以节约自然资源为原则，积极采用新型模板施工技术，推广使用清水混凝土模板、钢（铝）框胶合板模板、塑料模板、组拼式大模板、早拆模板、液压爬升模板、整体顶升模板、滑模等新型模板体系；</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）采用外墙保温板替代混凝土施工模板的技术。推广采用</w:t>
      </w:r>
      <w:r>
        <w:rPr>
          <w:color w:val="auto"/>
          <w:highlight w:val="none"/>
        </w:rPr>
        <w:t>TCC</w:t>
      </w:r>
      <w:r>
        <w:rPr>
          <w:rFonts w:hint="eastAsia"/>
          <w:color w:val="auto"/>
          <w:highlight w:val="none"/>
        </w:rPr>
        <w:t>建筑保温模板施工技术；</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）采用工具式模板支撑，推广使用盘销式钢管脚手架支撑技术、插接式钢管脚架支撑技术、碗扣式钢管脚手架支撑技术。</w:t>
      </w:r>
    </w:p>
    <w:p>
      <w:pPr>
        <w:pStyle w:val="217"/>
        <w:rPr>
          <w:color w:val="auto"/>
          <w:highlight w:val="none"/>
        </w:rPr>
      </w:pPr>
      <w:r>
        <w:rPr>
          <w:color w:val="auto"/>
          <w:highlight w:val="none"/>
        </w:rPr>
        <w:drawing>
          <wp:inline distT="0" distB="0" distL="114300" distR="114300">
            <wp:extent cx="2133600" cy="1430020"/>
            <wp:effectExtent l="0" t="0" r="0" b="17780"/>
            <wp:docPr id="81" name="图片 201" descr="C:\Users\Administrator\Desktop\绿色施工照片\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01" descr="C:\Users\Administrator\Desktop\绿色施工照片\IMG_0023.JPG"/>
                    <pic:cNvPicPr>
                      <a:picLocks noChangeAspect="1"/>
                    </pic:cNvPicPr>
                  </pic:nvPicPr>
                  <pic:blipFill>
                    <a:blip r:embed="rId93"/>
                    <a:stretch>
                      <a:fillRect/>
                    </a:stretch>
                  </pic:blipFill>
                  <pic:spPr>
                    <a:xfrm>
                      <a:off x="0" y="0"/>
                      <a:ext cx="2133600" cy="1430020"/>
                    </a:xfrm>
                    <a:prstGeom prst="rect">
                      <a:avLst/>
                    </a:prstGeom>
                    <a:noFill/>
                    <a:ln>
                      <a:noFill/>
                    </a:ln>
                  </pic:spPr>
                </pic:pic>
              </a:graphicData>
            </a:graphic>
          </wp:inline>
        </w:drawing>
      </w:r>
      <w:r>
        <w:rPr>
          <w:color w:val="auto"/>
          <w:highlight w:val="none"/>
        </w:rPr>
        <w:t xml:space="preserve">        </w:t>
      </w:r>
      <w:r>
        <w:rPr>
          <w:color w:val="auto"/>
          <w:highlight w:val="none"/>
        </w:rPr>
        <w:drawing>
          <wp:inline distT="0" distB="0" distL="114300" distR="114300">
            <wp:extent cx="2133600" cy="1437005"/>
            <wp:effectExtent l="0" t="0" r="0" b="10795"/>
            <wp:docPr id="82" name="图片 202" descr="P104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02" descr="P1040505"/>
                    <pic:cNvPicPr>
                      <a:picLocks noChangeAspect="1"/>
                    </pic:cNvPicPr>
                  </pic:nvPicPr>
                  <pic:blipFill>
                    <a:blip r:embed="rId94"/>
                    <a:stretch>
                      <a:fillRect/>
                    </a:stretch>
                  </pic:blipFill>
                  <pic:spPr>
                    <a:xfrm>
                      <a:off x="0" y="0"/>
                      <a:ext cx="2133600" cy="1437005"/>
                    </a:xfrm>
                    <a:prstGeom prst="rect">
                      <a:avLst/>
                    </a:prstGeom>
                    <a:noFill/>
                    <a:ln>
                      <a:noFill/>
                    </a:ln>
                  </pic:spPr>
                </pic:pic>
              </a:graphicData>
            </a:graphic>
          </wp:inline>
        </w:drawing>
      </w:r>
    </w:p>
    <w:p>
      <w:pPr>
        <w:pStyle w:val="217"/>
        <w:ind w:firstLine="1320" w:firstLineChars="550"/>
        <w:rPr>
          <w:color w:val="auto"/>
          <w:highlight w:val="none"/>
        </w:rPr>
      </w:pPr>
      <w:r>
        <w:rPr>
          <w:rFonts w:hint="eastAsia"/>
          <w:color w:val="auto"/>
          <w:highlight w:val="none"/>
        </w:rPr>
        <w:t>铝合金模板</w:t>
      </w:r>
      <w:r>
        <w:rPr>
          <w:color w:val="auto"/>
          <w:highlight w:val="none"/>
        </w:rPr>
        <w:t xml:space="preserve">                            </w:t>
      </w:r>
      <w:r>
        <w:rPr>
          <w:rFonts w:hint="eastAsia"/>
          <w:color w:val="auto"/>
          <w:highlight w:val="none"/>
        </w:rPr>
        <w:t>玻璃钢模板</w:t>
      </w:r>
    </w:p>
    <w:p>
      <w:pPr>
        <w:rPr>
          <w:color w:val="auto"/>
          <w:highlight w:val="none"/>
        </w:rPr>
      </w:pPr>
      <w:r>
        <w:rPr>
          <w:color w:val="auto"/>
          <w:highlight w:val="none"/>
        </w:rPr>
        <w:t xml:space="preserve">  </w:t>
      </w:r>
    </w:p>
    <w:p>
      <w:pPr>
        <w:pStyle w:val="217"/>
        <w:rPr>
          <w:color w:val="auto"/>
          <w:highlight w:val="none"/>
        </w:rPr>
      </w:pPr>
      <w:r>
        <w:rPr>
          <w:color w:val="auto"/>
          <w:highlight w:val="none"/>
        </w:rPr>
        <w:t>2.</w:t>
      </w:r>
      <w:r>
        <w:rPr>
          <w:rFonts w:hint="eastAsia"/>
          <w:color w:val="auto"/>
          <w:highlight w:val="none"/>
        </w:rPr>
        <w:t>新型脚手架</w:t>
      </w:r>
    </w:p>
    <w:p>
      <w:pPr>
        <w:pStyle w:val="217"/>
        <w:rPr>
          <w:color w:val="auto"/>
          <w:highlight w:val="none"/>
        </w:rPr>
      </w:pPr>
      <w:r>
        <w:rPr>
          <w:rFonts w:hint="eastAsia"/>
          <w:color w:val="auto"/>
          <w:highlight w:val="none"/>
        </w:rPr>
        <w:t>优化高层建筑的外脚手架方案，采用整体提升、分段悬挑等方案，提高架料周转率，施工现场应采用符合安全要求的新型工具式脚手架。推广使用插接式钢管脚手架及支撑架技术、盘销式钢管脚手架及支撑架技术、附着升降脚手架技术、电动桥式脚手架技术</w:t>
      </w:r>
    </w:p>
    <w:p>
      <w:pPr>
        <w:pStyle w:val="217"/>
        <w:rPr>
          <w:color w:val="auto"/>
          <w:highlight w:val="none"/>
        </w:rPr>
      </w:pPr>
      <w:r>
        <w:rPr>
          <w:color w:val="auto"/>
          <w:highlight w:val="none"/>
        </w:rPr>
        <w:t>3.</w:t>
      </w:r>
      <w:r>
        <w:rPr>
          <w:rFonts w:hint="eastAsia"/>
          <w:color w:val="auto"/>
          <w:highlight w:val="none"/>
        </w:rPr>
        <w:t>虚拟仿真施工</w:t>
      </w:r>
    </w:p>
    <w:p>
      <w:pPr>
        <w:pStyle w:val="217"/>
        <w:rPr>
          <w:color w:val="auto"/>
          <w:highlight w:val="none"/>
        </w:rPr>
      </w:pPr>
      <w:r>
        <w:rPr>
          <w:rFonts w:hint="eastAsia"/>
          <w:color w:val="auto"/>
          <w:highlight w:val="none"/>
        </w:rPr>
        <w:t>虚拟仿真施工技术是虚拟现实和仿真技术在工程施工领域应用的信息化技术。</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）机电安装工程施工前，宜采用</w:t>
      </w:r>
      <w:r>
        <w:rPr>
          <w:color w:val="auto"/>
          <w:highlight w:val="none"/>
        </w:rPr>
        <w:t>BIM</w:t>
      </w:r>
      <w:r>
        <w:rPr>
          <w:rFonts w:hint="eastAsia"/>
          <w:color w:val="auto"/>
          <w:highlight w:val="none"/>
        </w:rPr>
        <w:t>技术对管线空间布置、管线线路长度等进行设计优化，对预留洞、预埋件及管线位置等进行预演碰撞检查；</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）复杂结构的制作和安装，应采用</w:t>
      </w:r>
      <w:r>
        <w:rPr>
          <w:color w:val="auto"/>
          <w:highlight w:val="none"/>
        </w:rPr>
        <w:t>BIM</w:t>
      </w:r>
      <w:r>
        <w:rPr>
          <w:rFonts w:hint="eastAsia"/>
          <w:color w:val="auto"/>
          <w:highlight w:val="none"/>
        </w:rPr>
        <w:t>技术进行施工深化设计，模拟施工过程和状态，对后续建筑实体可能出现的问题进行预判，有效减少施工过程中的失误，减少返工；</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）采用</w:t>
      </w:r>
      <w:r>
        <w:rPr>
          <w:color w:val="auto"/>
          <w:highlight w:val="none"/>
        </w:rPr>
        <w:t>BIM</w:t>
      </w:r>
      <w:r>
        <w:rPr>
          <w:rFonts w:hint="eastAsia"/>
          <w:color w:val="auto"/>
          <w:highlight w:val="none"/>
        </w:rPr>
        <w:t>技术对施工测量、施工进度、施工成本、施工质量、绿色施工进行管理；</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）采用</w:t>
      </w:r>
      <w:r>
        <w:rPr>
          <w:color w:val="auto"/>
          <w:highlight w:val="none"/>
        </w:rPr>
        <w:t>BIM</w:t>
      </w:r>
      <w:r>
        <w:rPr>
          <w:rFonts w:hint="eastAsia"/>
          <w:color w:val="auto"/>
          <w:highlight w:val="none"/>
        </w:rPr>
        <w:t>技术建设信息化管理平台。</w:t>
      </w:r>
    </w:p>
    <w:p>
      <w:pPr>
        <w:pStyle w:val="217"/>
        <w:rPr>
          <w:color w:val="auto"/>
          <w:highlight w:val="none"/>
        </w:rPr>
      </w:pPr>
      <w:r>
        <w:rPr>
          <w:color w:val="auto"/>
          <w:highlight w:val="none"/>
        </w:rPr>
        <w:drawing>
          <wp:inline distT="0" distB="0" distL="114300" distR="114300">
            <wp:extent cx="2161540" cy="1351915"/>
            <wp:effectExtent l="0" t="0" r="10160" b="635"/>
            <wp:docPr id="83" name="图片 203" descr="QQ图片2014081315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03" descr="QQ图片20140813152456"/>
                    <pic:cNvPicPr>
                      <a:picLocks noChangeAspect="1"/>
                    </pic:cNvPicPr>
                  </pic:nvPicPr>
                  <pic:blipFill>
                    <a:blip r:embed="rId95"/>
                    <a:stretch>
                      <a:fillRect/>
                    </a:stretch>
                  </pic:blipFill>
                  <pic:spPr>
                    <a:xfrm>
                      <a:off x="0" y="0"/>
                      <a:ext cx="2161540" cy="1351915"/>
                    </a:xfrm>
                    <a:prstGeom prst="rect">
                      <a:avLst/>
                    </a:prstGeom>
                    <a:noFill/>
                    <a:ln>
                      <a:noFill/>
                    </a:ln>
                  </pic:spPr>
                </pic:pic>
              </a:graphicData>
            </a:graphic>
          </wp:inline>
        </w:drawing>
      </w:r>
    </w:p>
    <w:p>
      <w:pPr>
        <w:pStyle w:val="217"/>
        <w:ind w:firstLine="0" w:firstLineChars="0"/>
        <w:rPr>
          <w:color w:val="auto"/>
          <w:highlight w:val="none"/>
        </w:rPr>
      </w:pPr>
      <w:r>
        <w:rPr>
          <w:color w:val="auto"/>
          <w:highlight w:val="none"/>
        </w:rPr>
        <w:t xml:space="preserve">      </w:t>
      </w:r>
      <w:r>
        <w:rPr>
          <w:rFonts w:hint="eastAsia"/>
          <w:color w:val="auto"/>
          <w:highlight w:val="none"/>
        </w:rPr>
        <w:t>采用</w:t>
      </w:r>
      <w:r>
        <w:rPr>
          <w:color w:val="auto"/>
          <w:highlight w:val="none"/>
        </w:rPr>
        <w:t>BIM</w:t>
      </w:r>
      <w:r>
        <w:rPr>
          <w:rFonts w:hint="eastAsia"/>
          <w:color w:val="auto"/>
          <w:highlight w:val="none"/>
        </w:rPr>
        <w:t>技术优化管线布置</w:t>
      </w:r>
    </w:p>
    <w:p>
      <w:pPr>
        <w:pStyle w:val="217"/>
        <w:rPr>
          <w:color w:val="auto"/>
          <w:highlight w:val="none"/>
        </w:rPr>
      </w:pPr>
      <w:r>
        <w:rPr>
          <w:color w:val="auto"/>
          <w:highlight w:val="none"/>
        </w:rPr>
        <w:t>4.</w:t>
      </w:r>
      <w:r>
        <w:rPr>
          <w:rFonts w:hint="eastAsia"/>
          <w:color w:val="auto"/>
          <w:highlight w:val="none"/>
        </w:rPr>
        <w:t>机械化施工</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钢结构安装宜采用起重机吊装、整体提升、顶升和滑移等机械化程度高、劳动强度低的方法。推荐使用模块式钢结构框架组装、吊装技术、大型钢结构滑移安装施工技术、钢结构与大型设备计算机控制整体顶升与提升安装施工技术；</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）主体结构施工应选择自动提升、顶升模架或工作平台。推广使用防火性能好、安全等级高、无需更换安全密目网的建筑液压爬模系统，节约钢管、安全网和大量木材的堆放和使用。</w:t>
      </w:r>
    </w:p>
    <w:p>
      <w:pPr>
        <w:pStyle w:val="217"/>
        <w:rPr>
          <w:color w:val="auto"/>
          <w:highlight w:val="none"/>
        </w:rPr>
      </w:pPr>
      <w:r>
        <w:rPr>
          <w:color w:val="auto"/>
          <w:highlight w:val="none"/>
        </w:rPr>
        <w:t>5.</w:t>
      </w:r>
      <w:r>
        <w:rPr>
          <w:rFonts w:hint="eastAsia"/>
          <w:color w:val="auto"/>
          <w:highlight w:val="none"/>
        </w:rPr>
        <w:t>保温施工</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）保温施工宜选用结构自保温、保温与装饰一体化、保温板兼作模板、全现浇混凝土外墙与保温一体化和管道保温一体化等方案。推广采用外墙体自保温体系施工技术；</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屋面或墙体等部位采用基层加设保温隔热系统的方式施工时，应尽量采用高效节能、耐久性好的保温隔热材料，以减少保温隔热层厚度及材料用量。推广使用粘贴保温板外保温系统施工技术、现浇混凝土外墙外保温施工技术、外墙外保温岩棉（矿棉）施工技术、外墙硬泡聚氨酯喷涂施工技术、预置外墙板复合保温隔热技术。</w:t>
      </w:r>
    </w:p>
    <w:p>
      <w:pPr>
        <w:pStyle w:val="217"/>
        <w:rPr>
          <w:color w:val="auto"/>
          <w:highlight w:val="none"/>
        </w:rPr>
      </w:pPr>
      <w:r>
        <w:rPr>
          <w:color w:val="auto"/>
          <w:highlight w:val="none"/>
        </w:rPr>
        <w:t>6.</w:t>
      </w:r>
      <w:r>
        <w:rPr>
          <w:rFonts w:hint="eastAsia"/>
          <w:color w:val="auto"/>
          <w:highlight w:val="none"/>
        </w:rPr>
        <w:t>封闭基坑降水技术</w:t>
      </w:r>
    </w:p>
    <w:p>
      <w:pPr>
        <w:pStyle w:val="217"/>
        <w:rPr>
          <w:color w:val="auto"/>
          <w:highlight w:val="none"/>
        </w:rPr>
      </w:pPr>
      <w:r>
        <w:rPr>
          <w:rFonts w:hint="eastAsia"/>
          <w:color w:val="auto"/>
          <w:highlight w:val="none"/>
        </w:rPr>
        <w:t>基坑施工封闭降水技术是指采用基坑侧壁帷幕或基坑侧壁帷幕结合基坑底封底的截水措施，阻截基坑侧壁及基坑底面的地下水流入基坑，同时采用降水措施抽取或引渗基坑开挖范围内的现存地下水的降水方法。</w:t>
      </w:r>
    </w:p>
    <w:p>
      <w:pPr>
        <w:pStyle w:val="217"/>
        <w:rPr>
          <w:color w:val="auto"/>
          <w:highlight w:val="none"/>
        </w:rPr>
      </w:pPr>
      <w:r>
        <w:rPr>
          <w:rFonts w:hint="eastAsia"/>
          <w:color w:val="auto"/>
          <w:highlight w:val="none"/>
        </w:rPr>
        <w:t>力争获国家和省市的</w:t>
      </w:r>
      <w:r>
        <w:rPr>
          <w:color w:val="auto"/>
          <w:highlight w:val="none"/>
        </w:rPr>
        <w:t>“</w:t>
      </w:r>
      <w:r>
        <w:rPr>
          <w:rFonts w:hint="eastAsia"/>
          <w:color w:val="auto"/>
          <w:highlight w:val="none"/>
        </w:rPr>
        <w:t>建筑业绿色施工示范工程</w:t>
      </w:r>
      <w:r>
        <w:rPr>
          <w:color w:val="auto"/>
          <w:highlight w:val="none"/>
        </w:rPr>
        <w:t>”</w:t>
      </w:r>
      <w:r>
        <w:rPr>
          <w:rFonts w:hint="eastAsia"/>
          <w:color w:val="auto"/>
          <w:highlight w:val="none"/>
        </w:rPr>
        <w:t>。</w:t>
      </w:r>
    </w:p>
    <w:p>
      <w:pPr>
        <w:pStyle w:val="113"/>
        <w:spacing w:before="120" w:after="120"/>
        <w:outlineLvl w:val="2"/>
        <w:rPr>
          <w:color w:val="auto"/>
          <w:highlight w:val="none"/>
        </w:rPr>
      </w:pPr>
      <w:bookmarkStart w:id="7629" w:name="_Toc66890384"/>
      <w:bookmarkStart w:id="7630" w:name="_Toc69114130"/>
      <w:bookmarkStart w:id="7631" w:name="_Toc66634389"/>
      <w:bookmarkStart w:id="7632" w:name="_Toc505345702"/>
      <w:r>
        <w:rPr>
          <w:color w:val="auto"/>
          <w:highlight w:val="none"/>
        </w:rPr>
        <w:t xml:space="preserve">3.4 </w:t>
      </w:r>
      <w:r>
        <w:rPr>
          <w:rFonts w:hint="eastAsia"/>
          <w:color w:val="auto"/>
          <w:highlight w:val="none"/>
        </w:rPr>
        <w:t>进度要求</w:t>
      </w:r>
      <w:bookmarkEnd w:id="7629"/>
      <w:bookmarkEnd w:id="7630"/>
      <w:bookmarkEnd w:id="7631"/>
      <w:bookmarkEnd w:id="7632"/>
    </w:p>
    <w:p>
      <w:pPr>
        <w:pStyle w:val="172"/>
        <w:rPr>
          <w:color w:val="auto"/>
          <w:highlight w:val="none"/>
        </w:rPr>
      </w:pPr>
      <w:r>
        <w:rPr>
          <w:color w:val="auto"/>
          <w:highlight w:val="none"/>
        </w:rPr>
        <w:t xml:space="preserve">3.4.1 </w:t>
      </w:r>
      <w:r>
        <w:rPr>
          <w:rFonts w:hint="eastAsia"/>
          <w:color w:val="auto"/>
          <w:highlight w:val="none"/>
        </w:rPr>
        <w:t>进度计划表</w:t>
      </w:r>
    </w:p>
    <w:p>
      <w:pPr>
        <w:pStyle w:val="217"/>
        <w:rPr>
          <w:color w:val="auto"/>
          <w:highlight w:val="none"/>
        </w:rPr>
      </w:pPr>
      <w:r>
        <w:rPr>
          <w:rFonts w:hint="eastAsia"/>
          <w:color w:val="auto"/>
          <w:highlight w:val="none"/>
        </w:rPr>
        <w:t>承包人须提交详细的进度计划表，说明其采取施工方法、程序、分段和次序以及每个阶段估计需要的时间，报监理工程师批准。进度计划表和施工组织设计须在监理工程师要求的时间内提交。</w:t>
      </w:r>
    </w:p>
    <w:p>
      <w:pPr>
        <w:pStyle w:val="217"/>
        <w:rPr>
          <w:color w:val="auto"/>
          <w:highlight w:val="none"/>
        </w:rPr>
      </w:pPr>
      <w:r>
        <w:rPr>
          <w:rFonts w:hint="eastAsia"/>
          <w:color w:val="auto"/>
          <w:highlight w:val="none"/>
        </w:rPr>
        <w:t>投标人应将指定承包人和指定发包人的施工进度纳入总承包施工进度计划中，分别设定合理的施工工期、进场施工的合理节点时间，提供进场施工的必要条件。未按此要求制定施工总进度计划，造成施工总工期延误的，由承包人承担责任。</w:t>
      </w:r>
    </w:p>
    <w:p>
      <w:pPr>
        <w:pStyle w:val="217"/>
        <w:rPr>
          <w:color w:val="auto"/>
          <w:highlight w:val="none"/>
        </w:rPr>
      </w:pPr>
      <w:r>
        <w:rPr>
          <w:rFonts w:hint="eastAsia"/>
          <w:color w:val="auto"/>
          <w:highlight w:val="none"/>
        </w:rPr>
        <w:t>此进度表须包括与独立施工单位、供货单位及其他单位协调后的包含所有分部分项工程的总体进度计划表，以一个总施工进度计划表形式报监理工程师批准。</w:t>
      </w:r>
    </w:p>
    <w:p>
      <w:pPr>
        <w:pStyle w:val="217"/>
        <w:rPr>
          <w:color w:val="auto"/>
          <w:highlight w:val="none"/>
        </w:rPr>
      </w:pPr>
      <w:r>
        <w:rPr>
          <w:rFonts w:hint="eastAsia"/>
          <w:color w:val="auto"/>
          <w:highlight w:val="none"/>
        </w:rPr>
        <w:t>在开工后</w:t>
      </w:r>
      <w:r>
        <w:rPr>
          <w:color w:val="auto"/>
          <w:highlight w:val="none"/>
        </w:rPr>
        <w:t>14</w:t>
      </w:r>
      <w:r>
        <w:rPr>
          <w:rFonts w:hint="eastAsia"/>
          <w:color w:val="auto"/>
          <w:highlight w:val="none"/>
        </w:rPr>
        <w:t>个日历天内，承包人须以监理工程师设定的格式提交进度计划表给监理工程师批准，内容包括表明工程工序及事项的时间网络图和工序流程图，其时间和日期以工作天和日历天表示。进度计划同时需有交货时间表，列出关键设备和主要材料的定货和交货日期和与网络图的参照关系。除非监理工程师另行批准，网络图须以</w:t>
      </w:r>
      <w:r>
        <w:rPr>
          <w:color w:val="auto"/>
          <w:highlight w:val="none"/>
        </w:rPr>
        <w:t>A1</w:t>
      </w:r>
      <w:r>
        <w:rPr>
          <w:rFonts w:hint="eastAsia"/>
          <w:color w:val="auto"/>
          <w:highlight w:val="none"/>
        </w:rPr>
        <w:t>或以上的图幅编制，并且可从电脑直接印出。流程图须表示工程所有主要阶段，并要清楚表明本工程的关键路径。</w:t>
      </w:r>
    </w:p>
    <w:p>
      <w:pPr>
        <w:pStyle w:val="217"/>
        <w:rPr>
          <w:color w:val="auto"/>
          <w:highlight w:val="none"/>
        </w:rPr>
      </w:pPr>
      <w:r>
        <w:rPr>
          <w:rFonts w:hint="eastAsia"/>
          <w:color w:val="auto"/>
          <w:highlight w:val="none"/>
        </w:rPr>
        <w:t>在施工期间，若与进度计划有较大的偏离而须调整原定的工序，承包人须提交反映实际进度的更新和修正的进度计划表给监理工程师审批。若承包人未能按时完成工作，承包人须采取所有必需的步骤使工作能恢复按照原核准的计划。工期不会因规定的个别工序不能按时完成而调整。</w:t>
      </w:r>
    </w:p>
    <w:p>
      <w:pPr>
        <w:pStyle w:val="217"/>
        <w:rPr>
          <w:color w:val="auto"/>
          <w:highlight w:val="none"/>
        </w:rPr>
      </w:pPr>
      <w:r>
        <w:rPr>
          <w:rFonts w:hint="eastAsia"/>
          <w:color w:val="auto"/>
          <w:highlight w:val="none"/>
        </w:rPr>
        <w:t>若在合同执行期间发生特殊情况，监理工程师认为需要调整进度计划表时，承包人须按监理工程师的要求，修改其进度计划表。承包人须遵从监理工程师的指令，承包人亦不会因此等指令而获得工期延长及财务上的补偿。</w:t>
      </w:r>
    </w:p>
    <w:p>
      <w:pPr>
        <w:pStyle w:val="217"/>
        <w:rPr>
          <w:color w:val="auto"/>
          <w:highlight w:val="none"/>
        </w:rPr>
      </w:pPr>
      <w:r>
        <w:rPr>
          <w:rFonts w:hint="eastAsia"/>
          <w:color w:val="auto"/>
          <w:highlight w:val="none"/>
        </w:rPr>
        <w:t>为了保证工程进度，承包人须在其本身或指定承包人的工程进度或物料供应有延误迹象时，及时通知监理工程师。</w:t>
      </w:r>
    </w:p>
    <w:p>
      <w:pPr>
        <w:pStyle w:val="217"/>
        <w:rPr>
          <w:color w:val="auto"/>
          <w:highlight w:val="none"/>
        </w:rPr>
      </w:pPr>
      <w:r>
        <w:rPr>
          <w:rFonts w:hint="eastAsia"/>
          <w:color w:val="auto"/>
          <w:highlight w:val="none"/>
        </w:rPr>
        <w:t>进度计划表（包括修改）的提交，和监理工程师的批准，皆不会解除承包人在合同中的任务和责任。</w:t>
      </w:r>
    </w:p>
    <w:p>
      <w:pPr>
        <w:pStyle w:val="217"/>
        <w:rPr>
          <w:color w:val="auto"/>
          <w:highlight w:val="none"/>
        </w:rPr>
      </w:pPr>
      <w:r>
        <w:rPr>
          <w:rFonts w:hint="eastAsia"/>
          <w:color w:val="auto"/>
          <w:highlight w:val="none"/>
        </w:rPr>
        <w:t>承包人须每月</w:t>
      </w:r>
      <w:r>
        <w:rPr>
          <w:color w:val="auto"/>
          <w:highlight w:val="none"/>
        </w:rPr>
        <w:t>25</w:t>
      </w:r>
      <w:r>
        <w:rPr>
          <w:rFonts w:hint="eastAsia"/>
          <w:color w:val="auto"/>
          <w:highlight w:val="none"/>
        </w:rPr>
        <w:t>日向监理工程师提交当月完成的投资额、进度报告以及其他与进度控制相关的资料，详细说明工程的实际进度与计划进度的偏差等。</w:t>
      </w:r>
    </w:p>
    <w:p>
      <w:pPr>
        <w:pStyle w:val="172"/>
        <w:rPr>
          <w:color w:val="auto"/>
          <w:highlight w:val="none"/>
        </w:rPr>
      </w:pPr>
      <w:r>
        <w:rPr>
          <w:color w:val="auto"/>
          <w:highlight w:val="none"/>
        </w:rPr>
        <w:t xml:space="preserve">3.4.2 </w:t>
      </w:r>
      <w:r>
        <w:rPr>
          <w:rFonts w:hint="eastAsia"/>
          <w:color w:val="auto"/>
          <w:highlight w:val="none"/>
        </w:rPr>
        <w:t>周报和日报</w:t>
      </w:r>
    </w:p>
    <w:p>
      <w:pPr>
        <w:pStyle w:val="217"/>
        <w:rPr>
          <w:color w:val="auto"/>
          <w:highlight w:val="none"/>
        </w:rPr>
      </w:pPr>
      <w:r>
        <w:rPr>
          <w:rFonts w:hint="eastAsia"/>
          <w:color w:val="auto"/>
          <w:highlight w:val="none"/>
        </w:rPr>
        <w:t>在整个合同期间，承包人须每周向监理工程师提交报告，记录工地上每个工种雇用工人和使用机械的数目（须持证上岗的特殊工种应提供工人名单）、运到工地的物料数量和送检的情况、整周的天气、在工地的指定承包人单位和检测试验单位的名称以及他们每周的工作内容。</w:t>
      </w:r>
    </w:p>
    <w:p>
      <w:pPr>
        <w:pStyle w:val="217"/>
        <w:rPr>
          <w:color w:val="auto"/>
          <w:highlight w:val="none"/>
        </w:rPr>
      </w:pPr>
      <w:r>
        <w:rPr>
          <w:rFonts w:hint="eastAsia"/>
          <w:color w:val="auto"/>
          <w:highlight w:val="none"/>
        </w:rPr>
        <w:t>每周报告的格式，要在工程开始时前，提交监理工程师批准。</w:t>
      </w:r>
    </w:p>
    <w:p>
      <w:pPr>
        <w:pStyle w:val="217"/>
        <w:rPr>
          <w:color w:val="auto"/>
          <w:highlight w:val="none"/>
        </w:rPr>
      </w:pPr>
      <w:r>
        <w:rPr>
          <w:rFonts w:hint="eastAsia"/>
          <w:color w:val="auto"/>
          <w:highlight w:val="none"/>
        </w:rPr>
        <w:t>每周报告要经监理工程师代表审阅和签字。</w:t>
      </w:r>
    </w:p>
    <w:p>
      <w:pPr>
        <w:pStyle w:val="217"/>
        <w:rPr>
          <w:color w:val="auto"/>
          <w:highlight w:val="none"/>
        </w:rPr>
      </w:pPr>
      <w:r>
        <w:rPr>
          <w:rFonts w:hint="eastAsia"/>
          <w:color w:val="auto"/>
          <w:highlight w:val="none"/>
        </w:rPr>
        <w:t>视工程实际情况，承包人有责任按监理工程师要求提交每天的进度报告，必要时随时报告。</w:t>
      </w:r>
    </w:p>
    <w:p>
      <w:pPr>
        <w:pStyle w:val="172"/>
        <w:rPr>
          <w:color w:val="auto"/>
          <w:highlight w:val="none"/>
        </w:rPr>
      </w:pPr>
      <w:r>
        <w:rPr>
          <w:color w:val="auto"/>
          <w:highlight w:val="none"/>
        </w:rPr>
        <w:t xml:space="preserve">3.4.3 </w:t>
      </w:r>
      <w:r>
        <w:rPr>
          <w:rFonts w:hint="eastAsia"/>
          <w:color w:val="auto"/>
          <w:highlight w:val="none"/>
        </w:rPr>
        <w:t>进度照片</w:t>
      </w:r>
    </w:p>
    <w:p>
      <w:pPr>
        <w:pStyle w:val="217"/>
        <w:rPr>
          <w:color w:val="auto"/>
          <w:highlight w:val="none"/>
        </w:rPr>
      </w:pPr>
      <w:r>
        <w:rPr>
          <w:rFonts w:hint="eastAsia"/>
          <w:color w:val="auto"/>
          <w:highlight w:val="none"/>
        </w:rPr>
        <w:t>承包人须在每月底</w:t>
      </w:r>
      <w:r>
        <w:rPr>
          <w:color w:val="auto"/>
          <w:highlight w:val="none"/>
        </w:rPr>
        <w:t>25</w:t>
      </w:r>
      <w:r>
        <w:rPr>
          <w:rFonts w:hint="eastAsia"/>
          <w:color w:val="auto"/>
          <w:highlight w:val="none"/>
        </w:rPr>
        <w:t>日前，拍摄足够数量</w:t>
      </w:r>
      <w:r>
        <w:rPr>
          <w:color w:val="auto"/>
          <w:highlight w:val="none"/>
        </w:rPr>
        <w:t>5</w:t>
      </w:r>
      <w:r>
        <w:rPr>
          <w:rFonts w:hint="eastAsia"/>
          <w:color w:val="auto"/>
          <w:highlight w:val="none"/>
        </w:rPr>
        <w:t>″彩色照片给监理工程师（相片质量须令监理工程师满意），表示工程进度。照相机的位置由监理工程师指定。在底片前面右下角的地方，显示拍摄的日期和地点，照片正面能看到。提交</w:t>
      </w:r>
      <w:r>
        <w:rPr>
          <w:color w:val="auto"/>
          <w:highlight w:val="none"/>
        </w:rPr>
        <w:t>10</w:t>
      </w:r>
      <w:r>
        <w:rPr>
          <w:rFonts w:hint="eastAsia"/>
          <w:color w:val="auto"/>
          <w:highlight w:val="none"/>
        </w:rPr>
        <w:t>″和</w:t>
      </w:r>
      <w:r>
        <w:rPr>
          <w:color w:val="auto"/>
          <w:highlight w:val="none"/>
        </w:rPr>
        <w:t>8</w:t>
      </w:r>
      <w:r>
        <w:rPr>
          <w:rFonts w:hint="eastAsia"/>
          <w:color w:val="auto"/>
          <w:highlight w:val="none"/>
        </w:rPr>
        <w:t>″的照片各一幅给发包人，所有底片的所有权归发包人，并在发包人要求时提交。相关费用包含在投标报价中。</w:t>
      </w:r>
    </w:p>
    <w:p>
      <w:pPr>
        <w:pStyle w:val="217"/>
        <w:rPr>
          <w:color w:val="auto"/>
          <w:highlight w:val="none"/>
        </w:rPr>
      </w:pPr>
      <w:r>
        <w:rPr>
          <w:rFonts w:hint="eastAsia"/>
          <w:color w:val="auto"/>
          <w:highlight w:val="none"/>
        </w:rPr>
        <w:t>要求承包人对本标段建设有整体、清晰的思路；对本标段施工实施具有统筹协调、管理能力；对指定承包人有较强的沟通、协调、管理能力；有经验丰富的</w:t>
      </w:r>
      <w:r>
        <w:rPr>
          <w:color w:val="auto"/>
          <w:highlight w:val="none"/>
        </w:rPr>
        <w:t>BIM</w:t>
      </w:r>
      <w:r>
        <w:rPr>
          <w:rFonts w:hint="eastAsia"/>
          <w:color w:val="auto"/>
          <w:highlight w:val="none"/>
        </w:rPr>
        <w:t>工作团队。</w:t>
      </w:r>
    </w:p>
    <w:p>
      <w:pPr>
        <w:pStyle w:val="217"/>
        <w:rPr>
          <w:color w:val="auto"/>
          <w:highlight w:val="none"/>
        </w:rPr>
      </w:pPr>
      <w:r>
        <w:rPr>
          <w:rFonts w:hint="eastAsia"/>
          <w:color w:val="auto"/>
          <w:highlight w:val="none"/>
        </w:rPr>
        <w:t>关于进度要求投标人在投标文件中给出以下描述：</w:t>
      </w:r>
    </w:p>
    <w:p>
      <w:pPr>
        <w:pStyle w:val="217"/>
        <w:rPr>
          <w:color w:val="auto"/>
          <w:highlight w:val="none"/>
        </w:rPr>
      </w:pPr>
      <w:r>
        <w:rPr>
          <w:color w:val="auto"/>
          <w:highlight w:val="none"/>
        </w:rPr>
        <w:t>1.</w:t>
      </w:r>
      <w:r>
        <w:rPr>
          <w:rFonts w:hint="eastAsia"/>
          <w:color w:val="auto"/>
          <w:highlight w:val="none"/>
        </w:rPr>
        <w:t>投标文件中明确列出总工期安排（包含但不限于横道图）；</w:t>
      </w:r>
    </w:p>
    <w:p>
      <w:pPr>
        <w:pStyle w:val="217"/>
        <w:rPr>
          <w:color w:val="auto"/>
          <w:highlight w:val="none"/>
        </w:rPr>
      </w:pPr>
      <w:r>
        <w:rPr>
          <w:color w:val="auto"/>
          <w:highlight w:val="none"/>
        </w:rPr>
        <w:t>2.</w:t>
      </w:r>
      <w:r>
        <w:rPr>
          <w:rFonts w:hint="eastAsia"/>
          <w:color w:val="auto"/>
          <w:highlight w:val="none"/>
        </w:rPr>
        <w:t>基于本标段建设特点，阐述</w:t>
      </w:r>
      <w:r>
        <w:rPr>
          <w:color w:val="auto"/>
          <w:highlight w:val="none"/>
        </w:rPr>
        <w:t>BIM</w:t>
      </w:r>
      <w:r>
        <w:rPr>
          <w:rFonts w:hint="eastAsia"/>
          <w:color w:val="auto"/>
          <w:highlight w:val="none"/>
        </w:rPr>
        <w:t>技术在施工施工及其措施模拟、综合管线、进度管理、造价管理、协同平台等各个阶段的应用。</w:t>
      </w:r>
    </w:p>
    <w:p>
      <w:pPr>
        <w:pStyle w:val="113"/>
        <w:spacing w:before="120" w:after="120"/>
        <w:outlineLvl w:val="2"/>
        <w:rPr>
          <w:color w:val="auto"/>
          <w:highlight w:val="none"/>
        </w:rPr>
      </w:pPr>
      <w:bookmarkStart w:id="7633" w:name="_Toc458423160"/>
      <w:bookmarkStart w:id="7634" w:name="_Toc66890385"/>
      <w:bookmarkStart w:id="7635" w:name="_Toc505345703"/>
      <w:bookmarkStart w:id="7636" w:name="_Toc69114131"/>
      <w:bookmarkStart w:id="7637" w:name="_Toc66634390"/>
      <w:r>
        <w:rPr>
          <w:color w:val="auto"/>
          <w:highlight w:val="none"/>
        </w:rPr>
        <w:t xml:space="preserve">3.5 </w:t>
      </w:r>
      <w:r>
        <w:rPr>
          <w:rFonts w:hint="eastAsia"/>
          <w:color w:val="auto"/>
          <w:highlight w:val="none"/>
        </w:rPr>
        <w:t>项目质量管理</w:t>
      </w:r>
      <w:bookmarkEnd w:id="7633"/>
      <w:bookmarkEnd w:id="7634"/>
      <w:bookmarkEnd w:id="7635"/>
      <w:bookmarkEnd w:id="7636"/>
      <w:bookmarkEnd w:id="7637"/>
    </w:p>
    <w:p>
      <w:pPr>
        <w:pStyle w:val="172"/>
        <w:rPr>
          <w:color w:val="auto"/>
          <w:highlight w:val="none"/>
        </w:rPr>
      </w:pPr>
      <w:bookmarkStart w:id="7638" w:name="_Toc458423161"/>
      <w:r>
        <w:rPr>
          <w:color w:val="auto"/>
          <w:highlight w:val="none"/>
        </w:rPr>
        <w:t xml:space="preserve">3.5.1 </w:t>
      </w:r>
      <w:r>
        <w:rPr>
          <w:rFonts w:hint="eastAsia"/>
          <w:color w:val="auto"/>
          <w:highlight w:val="none"/>
        </w:rPr>
        <w:t>项目经理的管理</w:t>
      </w:r>
      <w:bookmarkEnd w:id="7638"/>
    </w:p>
    <w:p>
      <w:pPr>
        <w:pStyle w:val="217"/>
        <w:rPr>
          <w:color w:val="auto"/>
          <w:highlight w:val="none"/>
        </w:rPr>
      </w:pPr>
      <w:r>
        <w:rPr>
          <w:rFonts w:hint="eastAsia"/>
          <w:color w:val="auto"/>
          <w:highlight w:val="none"/>
        </w:rPr>
        <w:t>项目经理未在现场决策或不履行项目经理职责的，承包人必须派单位领导进驻现场协调解决，直到改观或更换合适的项目经理为止。</w:t>
      </w:r>
    </w:p>
    <w:p>
      <w:pPr>
        <w:pStyle w:val="172"/>
        <w:rPr>
          <w:color w:val="auto"/>
          <w:highlight w:val="none"/>
        </w:rPr>
      </w:pPr>
      <w:bookmarkStart w:id="7639" w:name="_Toc458423162"/>
      <w:r>
        <w:rPr>
          <w:color w:val="auto"/>
          <w:highlight w:val="none"/>
        </w:rPr>
        <w:t xml:space="preserve">3.5.2 </w:t>
      </w:r>
      <w:r>
        <w:rPr>
          <w:rFonts w:hint="eastAsia"/>
          <w:color w:val="auto"/>
          <w:highlight w:val="none"/>
        </w:rPr>
        <w:t>分包人及材料合同备案管理</w:t>
      </w:r>
      <w:bookmarkEnd w:id="7639"/>
    </w:p>
    <w:p>
      <w:pPr>
        <w:pStyle w:val="217"/>
        <w:rPr>
          <w:color w:val="auto"/>
          <w:highlight w:val="none"/>
        </w:rPr>
      </w:pPr>
      <w:r>
        <w:rPr>
          <w:rFonts w:hint="eastAsia"/>
          <w:color w:val="auto"/>
          <w:highlight w:val="none"/>
        </w:rPr>
        <w:t>承包人与分包人、材料设备供应商签订的合同，均应报送监理及发包人备案。发包人可以此作为支付工程款的依据。承包人在申请进度款时须列明总承包与各分包人工程申请额度并提交当期工程款支付计划，列明支付款项。下期进度款申请时须提交上期支付计划落实情况书面文件，且须由收款单位盖章确认。未按计划落实的须书面说明，如因未及时支付分包人、材料设备供应商相应款项造成工期拖延或拖欠工人工资的，发包人将对承包人进行记录不良行为等处</w:t>
      </w:r>
      <w:r>
        <w:rPr>
          <w:rFonts w:hint="eastAsia"/>
          <w:color w:val="auto"/>
          <w:highlight w:val="none"/>
          <w:lang w:eastAsia="zh-CN"/>
        </w:rPr>
        <w:t>理</w:t>
      </w:r>
      <w:r>
        <w:rPr>
          <w:rFonts w:hint="eastAsia"/>
          <w:color w:val="auto"/>
          <w:highlight w:val="none"/>
        </w:rPr>
        <w:t>。</w:t>
      </w:r>
      <w:bookmarkStart w:id="7640" w:name="_Toc458423163"/>
    </w:p>
    <w:p>
      <w:pPr>
        <w:pStyle w:val="172"/>
        <w:rPr>
          <w:color w:val="auto"/>
          <w:highlight w:val="none"/>
        </w:rPr>
      </w:pPr>
      <w:r>
        <w:rPr>
          <w:color w:val="auto"/>
          <w:highlight w:val="none"/>
        </w:rPr>
        <w:t xml:space="preserve">3.5.3 </w:t>
      </w:r>
      <w:r>
        <w:rPr>
          <w:rFonts w:hint="eastAsia"/>
          <w:color w:val="auto"/>
          <w:highlight w:val="none"/>
        </w:rPr>
        <w:t>奖罚措施管理</w:t>
      </w:r>
      <w:bookmarkEnd w:id="7640"/>
    </w:p>
    <w:p>
      <w:pPr>
        <w:pStyle w:val="217"/>
        <w:rPr>
          <w:color w:val="auto"/>
          <w:highlight w:val="none"/>
        </w:rPr>
      </w:pPr>
      <w:r>
        <w:rPr>
          <w:rFonts w:hint="eastAsia"/>
          <w:color w:val="auto"/>
          <w:highlight w:val="none"/>
        </w:rPr>
        <w:t>本工程为深圳市重大项目，要求较高，承包人方须严格控制各分部分项工程质量，及时控制并处理各可能影响目标实现的问题，对此发包人制定了奖罚条款，承包人方对此应予以充分理解和重视，工程实施前必须制定质量目标工作计划和相应的管理措施，以确保本目标的实现，同时不得出现评优的否决项目。本项目严禁施工过程出现过重大质量事故。</w:t>
      </w:r>
    </w:p>
    <w:p>
      <w:pPr>
        <w:pStyle w:val="217"/>
        <w:rPr>
          <w:color w:val="auto"/>
          <w:highlight w:val="none"/>
        </w:rPr>
      </w:pPr>
      <w:r>
        <w:rPr>
          <w:color w:val="auto"/>
          <w:highlight w:val="none"/>
        </w:rPr>
        <w:t>1.</w:t>
      </w:r>
      <w:r>
        <w:rPr>
          <w:rFonts w:hint="eastAsia"/>
          <w:color w:val="auto"/>
          <w:highlight w:val="none"/>
        </w:rPr>
        <w:t>发包人和监理工程师有权制定“项目质量、安全文明施工奖罚措施”，并全过程实施。项目组、监理单位与承包人在开工前要共同制定“项目质量、安全文明施工奖罚措施”细则，并共同签署执行。</w:t>
      </w:r>
    </w:p>
    <w:p>
      <w:pPr>
        <w:pStyle w:val="217"/>
        <w:rPr>
          <w:color w:val="auto"/>
          <w:highlight w:val="none"/>
        </w:rPr>
      </w:pPr>
      <w:r>
        <w:rPr>
          <w:color w:val="auto"/>
          <w:highlight w:val="none"/>
        </w:rPr>
        <w:t>2.</w:t>
      </w:r>
      <w:r>
        <w:rPr>
          <w:rFonts w:hint="eastAsia"/>
          <w:color w:val="auto"/>
          <w:highlight w:val="none"/>
        </w:rPr>
        <w:t>发包人除项目组的日常检查外，还将定期不定期进行质量安全检查，并对发包人所有在建项目的质量安全管理情况进行考核排名，发包人每年根据项目质量安全检查考核排行榜，对排名靠前的项目承包人给予奖励，对排名靠后的项目承包人给予处罚。同时，质量安全考核的排名结果与履约评价、招标评审、定标和绩效奖励等挂钩。</w:t>
      </w:r>
    </w:p>
    <w:p>
      <w:pPr>
        <w:pStyle w:val="217"/>
        <w:rPr>
          <w:color w:val="auto"/>
          <w:highlight w:val="none"/>
        </w:rPr>
      </w:pPr>
      <w:r>
        <w:rPr>
          <w:color w:val="auto"/>
          <w:highlight w:val="none"/>
        </w:rPr>
        <w:t>3.</w:t>
      </w:r>
      <w:r>
        <w:rPr>
          <w:rFonts w:hint="eastAsia"/>
          <w:color w:val="auto"/>
          <w:highlight w:val="none"/>
        </w:rPr>
        <w:t>如果承包人不履行或不全面履行总承包服务的义务（包括总承包管理和配合工作），则发包人有权不予支付承包人未履行和未全面履行的指定承包专业工程的总承包服务费，并视情节每次可以扣减总承包服务费的</w:t>
      </w:r>
      <w:r>
        <w:rPr>
          <w:color w:val="auto"/>
          <w:highlight w:val="none"/>
        </w:rPr>
        <w:t>10%</w:t>
      </w:r>
      <w:r>
        <w:rPr>
          <w:rFonts w:hint="eastAsia"/>
          <w:color w:val="auto"/>
          <w:highlight w:val="none"/>
        </w:rPr>
        <w:t>作为违约金。但承包人必须继续履行全部的总承包服务的职责和义务。</w:t>
      </w:r>
    </w:p>
    <w:p>
      <w:pPr>
        <w:pStyle w:val="172"/>
        <w:rPr>
          <w:color w:val="auto"/>
          <w:highlight w:val="none"/>
        </w:rPr>
      </w:pPr>
      <w:bookmarkStart w:id="7641" w:name="_Toc458423164"/>
      <w:r>
        <w:rPr>
          <w:color w:val="auto"/>
          <w:highlight w:val="none"/>
        </w:rPr>
        <w:t xml:space="preserve">3.5.4 </w:t>
      </w:r>
      <w:r>
        <w:rPr>
          <w:rFonts w:hint="eastAsia"/>
          <w:color w:val="auto"/>
          <w:highlight w:val="none"/>
        </w:rPr>
        <w:t>本工程</w:t>
      </w:r>
      <w:r>
        <w:rPr>
          <w:color w:val="auto"/>
          <w:highlight w:val="none"/>
        </w:rPr>
        <w:t>“</w:t>
      </w:r>
      <w:r>
        <w:rPr>
          <w:rFonts w:hint="eastAsia"/>
          <w:color w:val="auto"/>
          <w:highlight w:val="none"/>
        </w:rPr>
        <w:t>实行方案先行，样板引路</w:t>
      </w:r>
      <w:r>
        <w:rPr>
          <w:color w:val="auto"/>
          <w:highlight w:val="none"/>
        </w:rPr>
        <w:t>”</w:t>
      </w:r>
      <w:r>
        <w:rPr>
          <w:rFonts w:hint="eastAsia"/>
          <w:color w:val="auto"/>
          <w:highlight w:val="none"/>
        </w:rPr>
        <w:t>原则</w:t>
      </w:r>
      <w:bookmarkEnd w:id="7641"/>
    </w:p>
    <w:p>
      <w:pPr>
        <w:pStyle w:val="217"/>
        <w:rPr>
          <w:color w:val="auto"/>
          <w:highlight w:val="none"/>
        </w:rPr>
      </w:pPr>
      <w:r>
        <w:rPr>
          <w:color w:val="auto"/>
          <w:highlight w:val="none"/>
        </w:rPr>
        <w:t>1.</w:t>
      </w:r>
      <w:r>
        <w:rPr>
          <w:rFonts w:hint="eastAsia"/>
          <w:color w:val="auto"/>
          <w:highlight w:val="none"/>
        </w:rPr>
        <w:t>承包人须在合同生效的两周内，提交一份具体的样品清单给现场工程师审批。清单内应注明设备材料名称，制造商名称、产地、规格型号、预定交货的日期。如现场工程师认为有必要，可要求承包人补充清单以外的样品。</w:t>
      </w:r>
    </w:p>
    <w:p>
      <w:pPr>
        <w:pStyle w:val="217"/>
        <w:rPr>
          <w:color w:val="auto"/>
          <w:highlight w:val="none"/>
        </w:rPr>
      </w:pPr>
      <w:r>
        <w:rPr>
          <w:color w:val="auto"/>
          <w:highlight w:val="none"/>
        </w:rPr>
        <w:t>2.</w:t>
      </w:r>
      <w:r>
        <w:rPr>
          <w:rFonts w:hint="eastAsia"/>
          <w:color w:val="auto"/>
          <w:highlight w:val="none"/>
        </w:rPr>
        <w:t>送审的样品需采用木板挂成行列提交，样品板应按发包人指定的统一模式制造。所有材料及工艺的样品须先获得现场监理工程师的书面批准才可在现场使用。</w:t>
      </w:r>
    </w:p>
    <w:p>
      <w:pPr>
        <w:pStyle w:val="217"/>
        <w:rPr>
          <w:color w:val="auto"/>
          <w:highlight w:val="none"/>
        </w:rPr>
      </w:pPr>
      <w:r>
        <w:rPr>
          <w:color w:val="auto"/>
          <w:highlight w:val="none"/>
        </w:rPr>
        <w:t>3.</w:t>
      </w:r>
      <w:r>
        <w:rPr>
          <w:rFonts w:hint="eastAsia"/>
          <w:color w:val="auto"/>
          <w:highlight w:val="none"/>
        </w:rPr>
        <w:t>在每一个样品上应附有中文说明标签，标明有关承包人商，制造商名称，合同名称，将投入使用的系统名称，还必须有现场工程师的签字。</w:t>
      </w:r>
    </w:p>
    <w:p>
      <w:pPr>
        <w:pStyle w:val="217"/>
        <w:rPr>
          <w:color w:val="auto"/>
          <w:highlight w:val="none"/>
        </w:rPr>
      </w:pPr>
      <w:r>
        <w:rPr>
          <w:color w:val="auto"/>
          <w:highlight w:val="none"/>
        </w:rPr>
        <w:t>4.</w:t>
      </w:r>
      <w:r>
        <w:rPr>
          <w:rFonts w:hint="eastAsia"/>
          <w:color w:val="auto"/>
          <w:highlight w:val="none"/>
        </w:rPr>
        <w:t>承包人还应按本技术规格说明书的要求，提供足够的样品，以备需要时进行破坏性试验用，样品试验所需的费用应由承包人负责。</w:t>
      </w:r>
    </w:p>
    <w:p>
      <w:pPr>
        <w:pStyle w:val="217"/>
        <w:rPr>
          <w:color w:val="auto"/>
          <w:highlight w:val="none"/>
        </w:rPr>
      </w:pPr>
      <w:r>
        <w:rPr>
          <w:color w:val="auto"/>
          <w:highlight w:val="none"/>
        </w:rPr>
        <w:t>5.</w:t>
      </w:r>
      <w:r>
        <w:rPr>
          <w:rFonts w:hint="eastAsia"/>
          <w:color w:val="auto"/>
          <w:highlight w:val="none"/>
        </w:rPr>
        <w:t>材料样板：承包人根据招标文件及业主要求在相关工程施工前规定时间内提供各种建筑构配件、装饰材料的样板，并将获批准的样板（一式两份），交到工地，一份保留在工地现场，一份保留在发包人处。所有材料成品和半成品必须在大批定货前送审，监理、发包人确认后方可订货。</w:t>
      </w:r>
    </w:p>
    <w:p>
      <w:pPr>
        <w:pStyle w:val="217"/>
        <w:rPr>
          <w:color w:val="auto"/>
          <w:highlight w:val="none"/>
        </w:rPr>
      </w:pPr>
      <w:r>
        <w:rPr>
          <w:color w:val="auto"/>
          <w:highlight w:val="none"/>
        </w:rPr>
        <w:t>6.</w:t>
      </w:r>
      <w:r>
        <w:rPr>
          <w:rFonts w:hint="eastAsia"/>
          <w:color w:val="auto"/>
          <w:highlight w:val="none"/>
        </w:rPr>
        <w:t>工艺试验试件：承包人须根据工艺检验要求多做一组试件，一组试件进行见证送检，检验合格后另一组试件作为工艺验收的标准，并保留在业主处。</w:t>
      </w:r>
    </w:p>
    <w:p>
      <w:pPr>
        <w:pStyle w:val="113"/>
        <w:spacing w:before="120" w:after="120"/>
        <w:outlineLvl w:val="2"/>
        <w:rPr>
          <w:color w:val="auto"/>
          <w:highlight w:val="none"/>
        </w:rPr>
      </w:pPr>
      <w:bookmarkStart w:id="7642" w:name="_Toc505345704"/>
      <w:bookmarkStart w:id="7643" w:name="_Toc66890386"/>
      <w:bookmarkStart w:id="7644" w:name="_Toc66634391"/>
      <w:bookmarkStart w:id="7645" w:name="_Toc69114132"/>
      <w:r>
        <w:rPr>
          <w:color w:val="auto"/>
          <w:highlight w:val="none"/>
        </w:rPr>
        <w:t xml:space="preserve">3.6 </w:t>
      </w:r>
      <w:r>
        <w:rPr>
          <w:rFonts w:hint="eastAsia"/>
          <w:color w:val="auto"/>
          <w:highlight w:val="none"/>
        </w:rPr>
        <w:t>材料、设备管理要求</w:t>
      </w:r>
      <w:bookmarkEnd w:id="7642"/>
      <w:bookmarkEnd w:id="7643"/>
      <w:bookmarkEnd w:id="7644"/>
      <w:bookmarkEnd w:id="7645"/>
    </w:p>
    <w:p>
      <w:pPr>
        <w:pStyle w:val="172"/>
        <w:rPr>
          <w:color w:val="auto"/>
          <w:highlight w:val="none"/>
        </w:rPr>
      </w:pPr>
      <w:r>
        <w:rPr>
          <w:color w:val="auto"/>
          <w:highlight w:val="none"/>
        </w:rPr>
        <w:t xml:space="preserve">3.6.1 </w:t>
      </w:r>
      <w:r>
        <w:rPr>
          <w:rFonts w:hint="eastAsia"/>
          <w:color w:val="auto"/>
          <w:highlight w:val="none"/>
        </w:rPr>
        <w:t>材料、设备要求总说明</w:t>
      </w:r>
    </w:p>
    <w:p>
      <w:pPr>
        <w:pStyle w:val="217"/>
        <w:rPr>
          <w:color w:val="auto"/>
          <w:highlight w:val="none"/>
        </w:rPr>
      </w:pPr>
      <w:r>
        <w:rPr>
          <w:color w:val="auto"/>
          <w:highlight w:val="none"/>
        </w:rPr>
        <w:t>1.</w:t>
      </w:r>
      <w:r>
        <w:rPr>
          <w:rFonts w:hint="eastAsia"/>
          <w:color w:val="auto"/>
          <w:highlight w:val="none"/>
        </w:rPr>
        <w:t>除了本技术要求有特殊说明外，本合同范围内所使用的所有材料、设备和配件必须为全新的标准产品，并具有相应的合格等级标准。所有运送过程中或在工地上受损的设备和材料，不得使用，承包人必须无偿更换，因此而引起的工期延误承包人负责。</w:t>
      </w:r>
    </w:p>
    <w:p>
      <w:pPr>
        <w:pStyle w:val="217"/>
        <w:rPr>
          <w:color w:val="auto"/>
          <w:highlight w:val="none"/>
        </w:rPr>
      </w:pPr>
      <w:r>
        <w:rPr>
          <w:color w:val="auto"/>
          <w:highlight w:val="none"/>
        </w:rPr>
        <w:t>2</w:t>
      </w:r>
      <w:r>
        <w:rPr>
          <w:rFonts w:hint="eastAsia"/>
          <w:color w:val="auto"/>
          <w:highlight w:val="none"/>
        </w:rPr>
        <w:t>、招标文件的“技术要求”中所列设备、材料为“参考品牌”作为投标人投标报价和中标后选用时的最低要求。除非发包人</w:t>
      </w:r>
      <w:r>
        <w:rPr>
          <w:rFonts w:hint="eastAsia"/>
          <w:color w:val="auto"/>
          <w:highlight w:val="none"/>
          <w:lang w:eastAsia="zh-CN"/>
        </w:rPr>
        <w:t>书面</w:t>
      </w:r>
      <w:r>
        <w:rPr>
          <w:rFonts w:hint="eastAsia"/>
          <w:color w:val="auto"/>
          <w:highlight w:val="none"/>
        </w:rPr>
        <w:t>同意采购参考品牌之外的产品，否则，承包人必须在参考品牌范围内选择采购。承包人采购参考品牌之外产品的必要条件是：提供证据证明拟采购产品其品质、档次不低于任一参考品牌。篇中参考品牌材料</w:t>
      </w:r>
      <w:r>
        <w:rPr>
          <w:color w:val="auto"/>
          <w:highlight w:val="none"/>
        </w:rPr>
        <w:t>/</w:t>
      </w:r>
      <w:r>
        <w:rPr>
          <w:rFonts w:hint="eastAsia"/>
          <w:color w:val="auto"/>
          <w:highlight w:val="none"/>
        </w:rPr>
        <w:t>设备</w:t>
      </w:r>
      <w:r>
        <w:rPr>
          <w:color w:val="auto"/>
          <w:highlight w:val="none"/>
        </w:rPr>
        <w:t>“</w:t>
      </w:r>
      <w:r>
        <w:rPr>
          <w:rFonts w:hint="eastAsia"/>
          <w:color w:val="auto"/>
          <w:highlight w:val="none"/>
        </w:rPr>
        <w:t>名称</w:t>
      </w:r>
      <w:r>
        <w:rPr>
          <w:color w:val="auto"/>
          <w:highlight w:val="none"/>
        </w:rPr>
        <w:t>”</w:t>
      </w:r>
      <w:r>
        <w:rPr>
          <w:rFonts w:hint="eastAsia"/>
          <w:color w:val="auto"/>
          <w:highlight w:val="none"/>
        </w:rPr>
        <w:t>可能与设计图纸或工程量清单“名称”不一致，但只要“使用性质”一致，便不影响本篇“技术要求”的效力。</w:t>
      </w:r>
    </w:p>
    <w:p>
      <w:pPr>
        <w:pStyle w:val="217"/>
        <w:rPr>
          <w:color w:val="auto"/>
          <w:highlight w:val="none"/>
        </w:rPr>
      </w:pPr>
      <w:r>
        <w:rPr>
          <w:color w:val="auto"/>
          <w:highlight w:val="none"/>
        </w:rPr>
        <w:t>3.</w:t>
      </w:r>
      <w:r>
        <w:rPr>
          <w:rFonts w:hint="eastAsia"/>
          <w:color w:val="auto"/>
          <w:highlight w:val="none"/>
        </w:rPr>
        <w:t>所用材料、设备的技术参数及外观质量（包括品种、规格、数量及质量等）必须符合设计要求和国家现行标准的规定。当设计无要求时应符合国家、行业及深圳市现行规范标准的规定，严禁使用国家明令淘汰的建筑材料、建筑设备、耗能高的产品及民用建筑挥发性有害物质含量释放量超过国家规定的产品。</w:t>
      </w:r>
    </w:p>
    <w:p>
      <w:pPr>
        <w:pStyle w:val="217"/>
        <w:rPr>
          <w:color w:val="auto"/>
          <w:highlight w:val="none"/>
        </w:rPr>
      </w:pPr>
      <w:r>
        <w:rPr>
          <w:color w:val="auto"/>
          <w:highlight w:val="none"/>
        </w:rPr>
        <w:t>4.</w:t>
      </w:r>
      <w:r>
        <w:rPr>
          <w:rFonts w:hint="eastAsia"/>
          <w:color w:val="auto"/>
          <w:highlight w:val="none"/>
        </w:rPr>
        <w:t>材料设备工艺要求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）同类型的设备和材料应采用同一制造商的产品。</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）同类型的设备的零部件及其组装零件应能互相调换，备用零件与原机零件相同，性能相同。若需使用机械加工的配件，机械加工要求及允许偏差应符合图纸要求。</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）所有转动部件须在额定转速和最大负载情况下达到静、动力学平衡要求，同时噪音和震动必须在允许范围之内。</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）所有受尘埃影响会出现磨损或损坏的零部件，应设置防尘保护罩。</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）所有部件的安装位置方便维修保养和更换。</w:t>
      </w:r>
    </w:p>
    <w:p>
      <w:pPr>
        <w:pStyle w:val="217"/>
        <w:rPr>
          <w:color w:val="auto"/>
          <w:highlight w:val="none"/>
        </w:rPr>
      </w:pPr>
      <w:r>
        <w:rPr>
          <w:color w:val="auto"/>
          <w:highlight w:val="none"/>
        </w:rPr>
        <w:t>5.</w:t>
      </w:r>
      <w:r>
        <w:rPr>
          <w:rFonts w:hint="eastAsia"/>
          <w:color w:val="auto"/>
          <w:highlight w:val="none"/>
        </w:rPr>
        <w:t>所用材料的燃烧性应符合现行国家标准的规定。</w:t>
      </w:r>
    </w:p>
    <w:p>
      <w:pPr>
        <w:pStyle w:val="217"/>
        <w:rPr>
          <w:color w:val="auto"/>
          <w:highlight w:val="none"/>
        </w:rPr>
      </w:pPr>
      <w:r>
        <w:rPr>
          <w:color w:val="auto"/>
          <w:highlight w:val="none"/>
        </w:rPr>
        <w:t>6.</w:t>
      </w:r>
      <w:r>
        <w:rPr>
          <w:rFonts w:hint="eastAsia"/>
          <w:color w:val="auto"/>
          <w:highlight w:val="none"/>
        </w:rPr>
        <w:t>所用材料应绿色环保要求：符合国家有关建筑装饰装修材料有害物质限量标准的规定，并具有国家权威检测机构颁发的绿色环保安全使用证书，并保证工程完工后经深圳市环境检测权威机构检测各项安全指标达到《民用建筑工程室内环境污染控制规范》</w:t>
      </w:r>
      <w:r>
        <w:rPr>
          <w:color w:val="auto"/>
          <w:highlight w:val="none"/>
        </w:rPr>
        <w:t xml:space="preserve"> GB50325—2010</w:t>
      </w:r>
      <w:r>
        <w:rPr>
          <w:rFonts w:hint="eastAsia"/>
          <w:color w:val="auto"/>
          <w:highlight w:val="none"/>
        </w:rPr>
        <w:t>等环保要求，若达不到规范各项指标要求，承包人负责返工并承担全部返工费用及相关检测费用，发包人保留按合同规定索赔的权力。</w:t>
      </w:r>
    </w:p>
    <w:p>
      <w:pPr>
        <w:pStyle w:val="217"/>
        <w:rPr>
          <w:color w:val="auto"/>
          <w:highlight w:val="none"/>
        </w:rPr>
      </w:pPr>
      <w:r>
        <w:rPr>
          <w:color w:val="auto"/>
          <w:highlight w:val="none"/>
        </w:rPr>
        <w:t>7.</w:t>
      </w:r>
      <w:r>
        <w:rPr>
          <w:rFonts w:hint="eastAsia"/>
          <w:color w:val="auto"/>
          <w:highlight w:val="none"/>
        </w:rPr>
        <w:t>所有材料进场时应对品种、规格、外观和尺寸进行验收。材料包装应完好，应有产品合格证书、中文说明书及相关性能的检测报告；进口产品应按规定进行商品检验。</w:t>
      </w:r>
    </w:p>
    <w:p>
      <w:pPr>
        <w:pStyle w:val="217"/>
        <w:rPr>
          <w:color w:val="auto"/>
          <w:highlight w:val="none"/>
        </w:rPr>
      </w:pPr>
      <w:r>
        <w:rPr>
          <w:color w:val="auto"/>
          <w:highlight w:val="none"/>
        </w:rPr>
        <w:t>8.</w:t>
      </w:r>
      <w:r>
        <w:rPr>
          <w:rFonts w:hint="eastAsia"/>
          <w:color w:val="auto"/>
          <w:highlight w:val="none"/>
        </w:rPr>
        <w:t>进场后需进行复检的材料种类及项目应符合相应规范及深圳市检测中心编制的深圳市材料抽样送检相应规定。同一厂家生产的同一品种、同一类型的进场材料应至少抽取一组样品进行复检，当合同另有约定时应按合同执行。</w:t>
      </w:r>
    </w:p>
    <w:p>
      <w:pPr>
        <w:pStyle w:val="217"/>
        <w:rPr>
          <w:color w:val="auto"/>
          <w:highlight w:val="none"/>
        </w:rPr>
      </w:pPr>
      <w:r>
        <w:rPr>
          <w:color w:val="auto"/>
          <w:highlight w:val="none"/>
        </w:rPr>
        <w:t>9.</w:t>
      </w:r>
      <w:r>
        <w:rPr>
          <w:rFonts w:hint="eastAsia"/>
          <w:color w:val="auto"/>
          <w:highlight w:val="none"/>
        </w:rPr>
        <w:t>设备的更改</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在合同生效后，在特殊情况下，承包人需要更改某些设备或材料须以书面提交合理的解释及证明文件，并提出建议；重新选定设备或材料制造商，必须在本议标书的可接受的生产商范围内挑选并同时经发包人书面批准方可使用。同时更改后的材料和设备必须达到本技术规格说明书的要求。此外，如有额外费用及合同上的责任应由承包人负责。</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）承包人更改材料和设备而延误的工期，由承包人全部负责。</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）因更改材料和设备导致有关建筑和结构的改动，对承包人及其它承包人所产生的影响及由此而引起的额外费用由承包人负责。</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）因更改材料和设备而引致和相关的管道、电缆、导管和设备的数量及排列的变化，承包人需提供因变化所需的材料和附件并承担所有增加的费用。</w:t>
      </w:r>
    </w:p>
    <w:p>
      <w:pPr>
        <w:pStyle w:val="217"/>
        <w:rPr>
          <w:color w:val="auto"/>
          <w:highlight w:val="none"/>
        </w:rPr>
      </w:pPr>
      <w:r>
        <w:rPr>
          <w:color w:val="auto"/>
          <w:highlight w:val="none"/>
        </w:rPr>
        <w:t>10.</w:t>
      </w:r>
      <w:r>
        <w:rPr>
          <w:rFonts w:hint="eastAsia"/>
          <w:color w:val="auto"/>
          <w:highlight w:val="none"/>
        </w:rPr>
        <w:t>工程材料、设备在运输、储存和施工过程中，必须采取有效措施防止损坏，变质和污染环境。承包人对大型设备的进场必须事先有详细的计划和安排，并提出切实可行的运送方案，工地一般不可能提供临时贮存场地。</w:t>
      </w:r>
    </w:p>
    <w:p>
      <w:pPr>
        <w:pStyle w:val="217"/>
        <w:rPr>
          <w:color w:val="auto"/>
          <w:highlight w:val="none"/>
        </w:rPr>
      </w:pPr>
      <w:r>
        <w:rPr>
          <w:color w:val="auto"/>
          <w:highlight w:val="none"/>
        </w:rPr>
        <w:t>11.</w:t>
      </w:r>
      <w:r>
        <w:rPr>
          <w:rFonts w:hint="eastAsia"/>
          <w:color w:val="auto"/>
          <w:highlight w:val="none"/>
        </w:rPr>
        <w:t>承包人应负责把全部材料运送到安装现场，对于大型重要设备的运送应拟定方案，事先交现场监理工程师审查。所提供的装置和设备的大小尺寸应能适合指定的安装空间，并须考虑提供足够的维修及保养通道。若承包人所提供的设备规格尺寸与图纸不符，由此造成的一切改动和费用，须由承包人负责。</w:t>
      </w:r>
    </w:p>
    <w:p>
      <w:pPr>
        <w:pStyle w:val="217"/>
        <w:rPr>
          <w:color w:val="auto"/>
          <w:highlight w:val="none"/>
        </w:rPr>
      </w:pPr>
      <w:r>
        <w:rPr>
          <w:color w:val="auto"/>
          <w:highlight w:val="none"/>
        </w:rPr>
        <w:t>12.</w:t>
      </w:r>
      <w:r>
        <w:rPr>
          <w:rFonts w:hint="eastAsia"/>
          <w:color w:val="auto"/>
          <w:highlight w:val="none"/>
        </w:rPr>
        <w:t>本工程所使用的</w:t>
      </w:r>
      <w:r>
        <w:rPr>
          <w:color w:val="auto"/>
          <w:highlight w:val="none"/>
        </w:rPr>
        <w:t>C15</w:t>
      </w:r>
      <w:r>
        <w:rPr>
          <w:rFonts w:hint="eastAsia"/>
          <w:color w:val="auto"/>
          <w:highlight w:val="none"/>
        </w:rPr>
        <w:t>及以上标号混凝土，全部采用商品混凝土，禁止使用含有氯盐的外加剂。施工现场禁止搅拌水泥砂浆，全部采用预拌砂浆。</w:t>
      </w:r>
    </w:p>
    <w:p>
      <w:pPr>
        <w:pStyle w:val="217"/>
        <w:rPr>
          <w:color w:val="auto"/>
          <w:highlight w:val="none"/>
        </w:rPr>
      </w:pPr>
      <w:r>
        <w:rPr>
          <w:color w:val="auto"/>
          <w:highlight w:val="none"/>
        </w:rPr>
        <w:t>13.</w:t>
      </w:r>
      <w:r>
        <w:rPr>
          <w:rFonts w:hint="eastAsia"/>
          <w:color w:val="auto"/>
          <w:highlight w:val="none"/>
        </w:rPr>
        <w:t>对机件和设备的责任和拥有权。</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）在工程施工期间，承包人必须对所有材料、设备、机件的破损和遗失负责。</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）在本合同范围内所提供的一切材料、设备、机件一经送达工地，其拥有权归发包人所有。没有发包人的</w:t>
      </w:r>
      <w:r>
        <w:rPr>
          <w:rFonts w:hint="eastAsia"/>
          <w:color w:val="auto"/>
          <w:highlight w:val="none"/>
          <w:lang w:eastAsia="zh-CN"/>
        </w:rPr>
        <w:t>书面</w:t>
      </w:r>
      <w:r>
        <w:rPr>
          <w:rFonts w:hint="eastAsia"/>
          <w:color w:val="auto"/>
          <w:highlight w:val="none"/>
        </w:rPr>
        <w:t>批准不得移离工地。</w:t>
      </w:r>
    </w:p>
    <w:p>
      <w:pPr>
        <w:pStyle w:val="217"/>
        <w:rPr>
          <w:color w:val="auto"/>
          <w:highlight w:val="none"/>
        </w:rPr>
      </w:pPr>
      <w:r>
        <w:rPr>
          <w:color w:val="auto"/>
          <w:highlight w:val="none"/>
        </w:rPr>
        <w:t>14.</w:t>
      </w:r>
      <w:r>
        <w:rPr>
          <w:rFonts w:hint="eastAsia"/>
          <w:color w:val="auto"/>
          <w:highlight w:val="none"/>
        </w:rPr>
        <w:t>当工程量清单项目或设计图纸与招标文件的“技术要求”不一致时，投标人在投标报价、承包人在采购时以最高的技术要求为准。</w:t>
      </w:r>
    </w:p>
    <w:p>
      <w:pPr>
        <w:pStyle w:val="217"/>
        <w:rPr>
          <w:color w:val="auto"/>
          <w:highlight w:val="none"/>
        </w:rPr>
      </w:pPr>
      <w:r>
        <w:rPr>
          <w:color w:val="auto"/>
          <w:highlight w:val="none"/>
        </w:rPr>
        <w:t>15.</w:t>
      </w:r>
      <w:r>
        <w:rPr>
          <w:rFonts w:hint="eastAsia"/>
          <w:color w:val="auto"/>
          <w:highlight w:val="none"/>
        </w:rPr>
        <w:t>工程材料设备产品及安装质量保证约定</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）承包人需保证各系统的安装及运行，均达到设计要求及用户需求。各专业设备调试的试验记录应符合国家规定的项目和内容。</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）承包人必须保证所提供的设备或配件均能按设计要求在任何工作环境正常操作</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）保证期是指自合同生效直至竣工证书发出日起计两年为止，具体时间以签订的质量保修书为准。</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）承包人如认为本技术规程说明书或图纸中的要求或说明与承包人所负的责任不适用时，必须在投标时提出。</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）任何制造商的产品保证在工程完工后仍然有效，该保证的权属应自动转归发包人所有，其后有关制造商保证中的权利和责任也转为发包人所有。</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）若在保证期满后，发现系统上潜在的缺陷，经技术专家鉴定是由于承包人的工料和施工方法不符合本技术规格说明书和图纸要求引起，承包人须负全责免费更换或整改，而不得推诿。</w:t>
      </w:r>
    </w:p>
    <w:p>
      <w:pPr>
        <w:pStyle w:val="217"/>
        <w:rPr>
          <w:color w:val="auto"/>
          <w:highlight w:val="none"/>
        </w:rPr>
      </w:pPr>
      <w:r>
        <w:rPr>
          <w:color w:val="auto"/>
          <w:highlight w:val="none"/>
        </w:rPr>
        <w:t>16.</w:t>
      </w:r>
      <w:r>
        <w:rPr>
          <w:rFonts w:hint="eastAsia"/>
          <w:color w:val="auto"/>
          <w:highlight w:val="none"/>
        </w:rPr>
        <w:t>工程施工中所使用的新技术，新材料，新产品，新工艺，必须先经试验（试点）和国家规定组织鉴定，有相应的规程和标准，未经试验或未达到技术指标要求的不得在工程是使用。</w:t>
      </w:r>
    </w:p>
    <w:p>
      <w:pPr>
        <w:pStyle w:val="172"/>
        <w:rPr>
          <w:color w:val="auto"/>
          <w:highlight w:val="none"/>
        </w:rPr>
      </w:pPr>
      <w:r>
        <w:rPr>
          <w:color w:val="auto"/>
          <w:highlight w:val="none"/>
        </w:rPr>
        <w:t xml:space="preserve">3.6.2 </w:t>
      </w:r>
      <w:r>
        <w:rPr>
          <w:rFonts w:hint="eastAsia"/>
          <w:color w:val="auto"/>
          <w:highlight w:val="none"/>
        </w:rPr>
        <w:t>材料、设备进场前管理要求</w:t>
      </w:r>
    </w:p>
    <w:p>
      <w:pPr>
        <w:pStyle w:val="217"/>
        <w:rPr>
          <w:color w:val="auto"/>
          <w:highlight w:val="none"/>
        </w:rPr>
      </w:pPr>
      <w:r>
        <w:rPr>
          <w:color w:val="auto"/>
          <w:highlight w:val="none"/>
        </w:rPr>
        <w:t>1.</w:t>
      </w:r>
      <w:r>
        <w:rPr>
          <w:rFonts w:hint="eastAsia"/>
          <w:color w:val="auto"/>
          <w:highlight w:val="none"/>
        </w:rPr>
        <w:t>承包人施工前</w:t>
      </w:r>
      <w:r>
        <w:rPr>
          <w:color w:val="auto"/>
          <w:highlight w:val="none"/>
        </w:rPr>
        <w:t>1</w:t>
      </w:r>
      <w:r>
        <w:rPr>
          <w:rFonts w:hint="eastAsia"/>
          <w:color w:val="auto"/>
          <w:highlight w:val="none"/>
        </w:rPr>
        <w:t>个月提供主要材料的品牌和厂家报监理、设计、发包人和使用单位（必要时）审批、考察、备案。凡未经审批备案同意进场的材料，一律不得进场。否则，凡由此造成纠纷，影响工程质量、工期的由承包人承担全部经济责任。</w:t>
      </w:r>
    </w:p>
    <w:p>
      <w:pPr>
        <w:pStyle w:val="217"/>
        <w:rPr>
          <w:color w:val="auto"/>
          <w:highlight w:val="none"/>
        </w:rPr>
      </w:pPr>
      <w:r>
        <w:rPr>
          <w:color w:val="auto"/>
          <w:highlight w:val="none"/>
        </w:rPr>
        <w:t>2.</w:t>
      </w:r>
      <w:r>
        <w:rPr>
          <w:rFonts w:hint="eastAsia"/>
          <w:color w:val="auto"/>
          <w:highlight w:val="none"/>
        </w:rPr>
        <w:t>不符合要求的材料、设备严禁入场：发包人有权拒绝不符合招标文件和规范要求的材料、设备进入施工现场；若发现承包人使用，有权命令拆除和更换，由此引致工期延误和费用由承包人负责。</w:t>
      </w:r>
    </w:p>
    <w:p>
      <w:pPr>
        <w:pStyle w:val="217"/>
        <w:rPr>
          <w:color w:val="auto"/>
          <w:highlight w:val="none"/>
        </w:rPr>
      </w:pPr>
      <w:r>
        <w:rPr>
          <w:color w:val="auto"/>
          <w:highlight w:val="none"/>
        </w:rPr>
        <w:t>3.</w:t>
      </w:r>
      <w:r>
        <w:rPr>
          <w:rFonts w:hint="eastAsia"/>
          <w:color w:val="auto"/>
          <w:highlight w:val="none"/>
        </w:rPr>
        <w:t>掌握材料信息，对重要的材料、构配件及设备在订货前必须征得监理同意报发包人备案方可订货。</w:t>
      </w:r>
    </w:p>
    <w:p>
      <w:pPr>
        <w:pStyle w:val="172"/>
        <w:rPr>
          <w:color w:val="auto"/>
          <w:highlight w:val="none"/>
        </w:rPr>
      </w:pPr>
      <w:r>
        <w:rPr>
          <w:color w:val="auto"/>
          <w:highlight w:val="none"/>
        </w:rPr>
        <w:t xml:space="preserve">3.6.3 </w:t>
      </w:r>
      <w:r>
        <w:rPr>
          <w:rFonts w:hint="eastAsia"/>
          <w:color w:val="auto"/>
          <w:highlight w:val="none"/>
        </w:rPr>
        <w:t>材料进场时管理要求</w:t>
      </w:r>
    </w:p>
    <w:p>
      <w:pPr>
        <w:pStyle w:val="217"/>
        <w:rPr>
          <w:color w:val="auto"/>
          <w:highlight w:val="none"/>
        </w:rPr>
      </w:pPr>
      <w:r>
        <w:rPr>
          <w:color w:val="auto"/>
          <w:highlight w:val="none"/>
        </w:rPr>
        <w:t>1.</w:t>
      </w:r>
      <w:r>
        <w:rPr>
          <w:rFonts w:hint="eastAsia"/>
          <w:color w:val="auto"/>
          <w:highlight w:val="none"/>
        </w:rPr>
        <w:t>物单必须相符。如有任何一项不符，应进行退货或要求供应商进一步提供材料的相关资料。</w:t>
      </w:r>
    </w:p>
    <w:p>
      <w:pPr>
        <w:pStyle w:val="217"/>
        <w:rPr>
          <w:color w:val="auto"/>
          <w:highlight w:val="none"/>
        </w:rPr>
      </w:pPr>
      <w:r>
        <w:rPr>
          <w:color w:val="auto"/>
          <w:highlight w:val="none"/>
        </w:rPr>
        <w:t>2.</w:t>
      </w:r>
      <w:r>
        <w:rPr>
          <w:rFonts w:hint="eastAsia"/>
          <w:color w:val="auto"/>
          <w:highlight w:val="none"/>
        </w:rPr>
        <w:t>进入施工现场的各种原材料、半成品、构配件都必须有相应的质量保证资料。</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）生产许可证或使用许可证。</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）产品合格证、质量证明书或质量试验报告单。合格证等都必须盖有单位的红章并标明出厂日期、生产批号或产品编号。</w:t>
      </w:r>
    </w:p>
    <w:p>
      <w:pPr>
        <w:pStyle w:val="172"/>
        <w:rPr>
          <w:color w:val="auto"/>
          <w:highlight w:val="none"/>
        </w:rPr>
      </w:pPr>
      <w:r>
        <w:rPr>
          <w:color w:val="auto"/>
          <w:highlight w:val="none"/>
        </w:rPr>
        <w:t xml:space="preserve">3.6.4 </w:t>
      </w:r>
      <w:r>
        <w:rPr>
          <w:rFonts w:hint="eastAsia"/>
          <w:color w:val="auto"/>
          <w:highlight w:val="none"/>
        </w:rPr>
        <w:t>材料进场后管理要求</w:t>
      </w:r>
    </w:p>
    <w:p>
      <w:pPr>
        <w:pStyle w:val="217"/>
        <w:rPr>
          <w:color w:val="auto"/>
          <w:highlight w:val="none"/>
        </w:rPr>
      </w:pPr>
      <w:r>
        <w:rPr>
          <w:color w:val="auto"/>
          <w:highlight w:val="none"/>
        </w:rPr>
        <w:t>1.</w:t>
      </w:r>
      <w:r>
        <w:rPr>
          <w:rFonts w:hint="eastAsia"/>
          <w:color w:val="auto"/>
          <w:highlight w:val="none"/>
        </w:rPr>
        <w:t>施工现场材料的基本要求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）工程上使用的所有原材料、半成品、构配件及设备，都必须事先经监理工程师审批后方可进入施工现场。</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）施工现场不能存放与本工程无关或不合格的材料。</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）所有进入现场的原材料与提交的资料在规格、型号、品种、编号上必须一致。</w:t>
      </w:r>
    </w:p>
    <w:p>
      <w:pPr>
        <w:pStyle w:val="217"/>
        <w:rPr>
          <w:color w:val="auto"/>
          <w:highlight w:val="none"/>
        </w:rPr>
      </w:pPr>
      <w:r>
        <w:rPr>
          <w:color w:val="auto"/>
          <w:highlight w:val="none"/>
        </w:rPr>
        <w:t>2.</w:t>
      </w:r>
      <w:r>
        <w:rPr>
          <w:rFonts w:hint="eastAsia"/>
          <w:color w:val="auto"/>
          <w:highlight w:val="none"/>
        </w:rPr>
        <w:t>按国家与地方有关规定的取样方法与取样频率进行抽样送检。</w:t>
      </w:r>
    </w:p>
    <w:p>
      <w:pPr>
        <w:pStyle w:val="217"/>
        <w:rPr>
          <w:color w:val="auto"/>
          <w:highlight w:val="none"/>
        </w:rPr>
      </w:pPr>
      <w:r>
        <w:rPr>
          <w:color w:val="auto"/>
          <w:highlight w:val="none"/>
        </w:rPr>
        <w:t>3.</w:t>
      </w:r>
      <w:r>
        <w:rPr>
          <w:rFonts w:hint="eastAsia"/>
          <w:color w:val="auto"/>
          <w:highlight w:val="none"/>
        </w:rPr>
        <w:t>合理组织材料供应，确保施工正常进行</w:t>
      </w:r>
    </w:p>
    <w:p>
      <w:pPr>
        <w:pStyle w:val="217"/>
        <w:rPr>
          <w:color w:val="auto"/>
          <w:highlight w:val="none"/>
        </w:rPr>
      </w:pPr>
      <w:r>
        <w:rPr>
          <w:rFonts w:hint="eastAsia"/>
          <w:color w:val="auto"/>
          <w:highlight w:val="none"/>
        </w:rPr>
        <w:t>承包人要合理地、科学地组织材料采购、加工、储备、运输，建立严密的计划、调度与管理体系，加快材料的周转，减少材料的占用量，按质、按量、如期地满足建设需要。</w:t>
      </w:r>
    </w:p>
    <w:p>
      <w:pPr>
        <w:pStyle w:val="217"/>
        <w:rPr>
          <w:color w:val="auto"/>
          <w:highlight w:val="none"/>
        </w:rPr>
      </w:pPr>
      <w:r>
        <w:rPr>
          <w:color w:val="auto"/>
          <w:highlight w:val="none"/>
        </w:rPr>
        <w:t>4.</w:t>
      </w:r>
      <w:r>
        <w:rPr>
          <w:rFonts w:hint="eastAsia"/>
          <w:color w:val="auto"/>
          <w:highlight w:val="none"/>
        </w:rPr>
        <w:t>合理组织材料使用，减少材料的损失，正确按定额计量使用材料。加强运输和仓库保管工作，加强材料限额管理和发放工作，健全现场管理制度以避免材料损失。</w:t>
      </w:r>
    </w:p>
    <w:p>
      <w:pPr>
        <w:pStyle w:val="217"/>
        <w:rPr>
          <w:color w:val="auto"/>
          <w:highlight w:val="none"/>
        </w:rPr>
      </w:pPr>
      <w:r>
        <w:rPr>
          <w:color w:val="auto"/>
          <w:highlight w:val="none"/>
        </w:rPr>
        <w:t>5.</w:t>
      </w:r>
      <w:r>
        <w:rPr>
          <w:rFonts w:hint="eastAsia"/>
          <w:color w:val="auto"/>
          <w:highlight w:val="none"/>
        </w:rPr>
        <w:t>未经监理工程师签字，建筑材料、建筑构配件和设备不得在工程上使用或者安装，承包人不得进行下一道工序的施工。</w:t>
      </w:r>
    </w:p>
    <w:p>
      <w:pPr>
        <w:pStyle w:val="172"/>
        <w:rPr>
          <w:color w:val="auto"/>
          <w:highlight w:val="none"/>
        </w:rPr>
      </w:pPr>
      <w:r>
        <w:rPr>
          <w:color w:val="auto"/>
          <w:highlight w:val="none"/>
        </w:rPr>
        <w:t xml:space="preserve">3.6.5 </w:t>
      </w:r>
      <w:r>
        <w:rPr>
          <w:rFonts w:hint="eastAsia"/>
          <w:color w:val="auto"/>
          <w:highlight w:val="none"/>
        </w:rPr>
        <w:t>工程材料（设备）现场检验和试验管理要求</w:t>
      </w:r>
    </w:p>
    <w:p>
      <w:pPr>
        <w:pStyle w:val="217"/>
        <w:rPr>
          <w:color w:val="auto"/>
          <w:highlight w:val="none"/>
        </w:rPr>
      </w:pPr>
      <w:r>
        <w:rPr>
          <w:color w:val="auto"/>
          <w:highlight w:val="none"/>
        </w:rPr>
        <w:t>1.</w:t>
      </w:r>
      <w:r>
        <w:rPr>
          <w:rFonts w:hint="eastAsia"/>
          <w:color w:val="auto"/>
          <w:highlight w:val="none"/>
        </w:rPr>
        <w:t>本工程所有工程材料（设备）根据国家及地方规范、规程、标准的要求需进行复试、检测的材料、试块、试件等，须由监理人员见证取样并送检</w:t>
      </w:r>
      <w:r>
        <w:rPr>
          <w:color w:val="auto"/>
          <w:highlight w:val="none"/>
        </w:rPr>
        <w:t>,</w:t>
      </w:r>
      <w:r>
        <w:rPr>
          <w:rFonts w:hint="eastAsia"/>
          <w:color w:val="auto"/>
          <w:highlight w:val="none"/>
        </w:rPr>
        <w:t>并将材料试验报告报送监理及发包人审查。</w:t>
      </w:r>
    </w:p>
    <w:p>
      <w:pPr>
        <w:pStyle w:val="217"/>
        <w:rPr>
          <w:color w:val="auto"/>
          <w:highlight w:val="none"/>
        </w:rPr>
      </w:pPr>
      <w:r>
        <w:rPr>
          <w:color w:val="auto"/>
          <w:highlight w:val="none"/>
        </w:rPr>
        <w:t>2.</w:t>
      </w:r>
      <w:r>
        <w:rPr>
          <w:rFonts w:hint="eastAsia"/>
          <w:color w:val="auto"/>
          <w:highlight w:val="none"/>
        </w:rPr>
        <w:t>承担建筑材料检测的单位应具备相应的资质，并应建立质量管理体系。</w:t>
      </w:r>
    </w:p>
    <w:p>
      <w:pPr>
        <w:pStyle w:val="217"/>
        <w:rPr>
          <w:color w:val="auto"/>
          <w:highlight w:val="none"/>
        </w:rPr>
      </w:pPr>
      <w:r>
        <w:rPr>
          <w:color w:val="auto"/>
          <w:highlight w:val="none"/>
        </w:rPr>
        <w:t>3.</w:t>
      </w:r>
      <w:r>
        <w:rPr>
          <w:rFonts w:hint="eastAsia"/>
          <w:color w:val="auto"/>
          <w:highlight w:val="none"/>
        </w:rPr>
        <w:t>承包人应严把质量关，凡因施工质量低劣引起的返工、补强、停工等所产生的费用和工期延误，均由承包人负责。如监理或发包人对承包人的工程质量有疑问时，监理或发包人可以委托具有资质的检测单位对其进行检测，检测结果合格，所发生的费用由发包人承担，反之，由承包人负责。</w:t>
      </w:r>
    </w:p>
    <w:p>
      <w:pPr>
        <w:pStyle w:val="217"/>
        <w:rPr>
          <w:color w:val="auto"/>
          <w:highlight w:val="none"/>
        </w:rPr>
      </w:pPr>
      <w:r>
        <w:rPr>
          <w:color w:val="auto"/>
          <w:highlight w:val="none"/>
        </w:rPr>
        <w:t>4.</w:t>
      </w:r>
      <w:r>
        <w:rPr>
          <w:rFonts w:hint="eastAsia"/>
          <w:color w:val="auto"/>
          <w:highlight w:val="none"/>
        </w:rPr>
        <w:t>承包人通过现场工艺试验选定的工艺流程、施工方法、施工参数、和质量控制标准等，均应编制现场工艺试验报告，报送监理工程师审批，承包人应按本技术要求条款中的规定或发包人指示，进行现场工艺试验（如：钢筋焊接试验和钢筋机械连接试验等），经发包人、监理</w:t>
      </w:r>
      <w:r>
        <w:rPr>
          <w:rFonts w:hint="eastAsia"/>
          <w:color w:val="auto"/>
          <w:highlight w:val="none"/>
          <w:lang w:eastAsia="zh-CN"/>
        </w:rPr>
        <w:t>书面</w:t>
      </w:r>
      <w:r>
        <w:rPr>
          <w:rFonts w:hint="eastAsia"/>
          <w:color w:val="auto"/>
          <w:highlight w:val="none"/>
        </w:rPr>
        <w:t>批准后方能用于施工。</w:t>
      </w:r>
    </w:p>
    <w:p>
      <w:pPr>
        <w:pStyle w:val="217"/>
        <w:rPr>
          <w:color w:val="auto"/>
          <w:highlight w:val="none"/>
        </w:rPr>
      </w:pPr>
      <w:r>
        <w:rPr>
          <w:color w:val="auto"/>
          <w:highlight w:val="none"/>
        </w:rPr>
        <w:t>5.</w:t>
      </w:r>
      <w:r>
        <w:rPr>
          <w:rFonts w:hint="eastAsia"/>
          <w:color w:val="auto"/>
          <w:highlight w:val="none"/>
        </w:rPr>
        <w:t>混凝土结构施工过程中，承包人需按规范留置同条件养护试件，结构实体钢筋保护层厚度检验的定位点及数量应经监理工程师核定，相关检验费用均包括在本次投标报价范围内。</w:t>
      </w:r>
    </w:p>
    <w:p>
      <w:pPr>
        <w:pStyle w:val="217"/>
        <w:rPr>
          <w:color w:val="auto"/>
          <w:highlight w:val="none"/>
        </w:rPr>
      </w:pPr>
      <w:r>
        <w:rPr>
          <w:color w:val="auto"/>
          <w:highlight w:val="none"/>
        </w:rPr>
        <w:t>6.</w:t>
      </w:r>
      <w:r>
        <w:rPr>
          <w:rFonts w:hint="eastAsia"/>
          <w:color w:val="auto"/>
          <w:highlight w:val="none"/>
        </w:rPr>
        <w:t>为了保证本装饰工程的质量，确保工程完工以后室内环境的空气质量符合国家标准要求，要求对石材、地坪漆、地砖、墙面乳胶漆、木地板、木门、胶合板、胶粘剂、木制品油漆等材料的原材料、辅助材料在使用前全部要求进行环保检测并提供有效检测报告。要求健康、卫生、安全、环保，最大程度地保证产品出厂时、消费使用过程中无毒、无害（无腐蚀性、无放射性、无生物危害、无有害挥发物）。</w:t>
      </w:r>
    </w:p>
    <w:p>
      <w:pPr>
        <w:pStyle w:val="217"/>
        <w:rPr>
          <w:color w:val="auto"/>
          <w:highlight w:val="none"/>
        </w:rPr>
      </w:pPr>
      <w:r>
        <w:rPr>
          <w:color w:val="auto"/>
          <w:highlight w:val="none"/>
        </w:rPr>
        <w:t>7.</w:t>
      </w:r>
      <w:r>
        <w:rPr>
          <w:rFonts w:hint="eastAsia"/>
          <w:color w:val="auto"/>
          <w:highlight w:val="none"/>
        </w:rPr>
        <w:t>承包人应委托检测部门对样板间室内环境污染物浓度进行检测，合格后方可全面展开施工。</w:t>
      </w:r>
    </w:p>
    <w:p>
      <w:pPr>
        <w:pStyle w:val="217"/>
        <w:rPr>
          <w:color w:val="auto"/>
          <w:highlight w:val="none"/>
        </w:rPr>
      </w:pPr>
      <w:r>
        <w:rPr>
          <w:color w:val="auto"/>
          <w:highlight w:val="none"/>
        </w:rPr>
        <w:t>8.</w:t>
      </w:r>
      <w:r>
        <w:rPr>
          <w:rFonts w:hint="eastAsia"/>
          <w:color w:val="auto"/>
          <w:highlight w:val="none"/>
        </w:rPr>
        <w:t>竣工检测：本工程完工以后，按中华人民共和国《民用建筑工程室内环境污染控制规范》</w:t>
      </w:r>
      <w:r>
        <w:rPr>
          <w:color w:val="auto"/>
          <w:highlight w:val="none"/>
        </w:rPr>
        <w:t>GB50325-2010</w:t>
      </w:r>
      <w:r>
        <w:rPr>
          <w:rFonts w:hint="eastAsia"/>
          <w:color w:val="auto"/>
          <w:highlight w:val="none"/>
        </w:rPr>
        <w:t>（</w:t>
      </w:r>
      <w:r>
        <w:rPr>
          <w:color w:val="auto"/>
          <w:highlight w:val="none"/>
        </w:rPr>
        <w:t>2013</w:t>
      </w:r>
      <w:r>
        <w:rPr>
          <w:rFonts w:hint="eastAsia"/>
          <w:color w:val="auto"/>
          <w:highlight w:val="none"/>
        </w:rPr>
        <w:t>版）进行检测。</w:t>
      </w:r>
    </w:p>
    <w:p>
      <w:pPr>
        <w:pStyle w:val="217"/>
        <w:rPr>
          <w:color w:val="auto"/>
          <w:highlight w:val="none"/>
        </w:rPr>
      </w:pPr>
      <w:r>
        <w:rPr>
          <w:color w:val="auto"/>
          <w:highlight w:val="none"/>
        </w:rPr>
        <w:t>9.</w:t>
      </w:r>
      <w:r>
        <w:rPr>
          <w:rFonts w:hint="eastAsia"/>
          <w:color w:val="auto"/>
          <w:highlight w:val="none"/>
        </w:rPr>
        <w:t>承包人进行的工程材料取样试验和现场工艺试验所发生的费用由承包人自己负责，如果某些材料取样试验和现场工艺试验必须到外地进行，发包人和监理人员的所有差旅费均由承包人承担。</w:t>
      </w:r>
    </w:p>
    <w:p>
      <w:pPr>
        <w:pStyle w:val="217"/>
        <w:rPr>
          <w:color w:val="auto"/>
          <w:highlight w:val="none"/>
        </w:rPr>
      </w:pPr>
      <w:r>
        <w:rPr>
          <w:color w:val="auto"/>
          <w:highlight w:val="none"/>
        </w:rPr>
        <w:t>10.</w:t>
      </w:r>
      <w:r>
        <w:rPr>
          <w:rFonts w:hint="eastAsia"/>
          <w:color w:val="auto"/>
          <w:highlight w:val="none"/>
        </w:rPr>
        <w:t>无论何时承包人准备好进行检验，都应留出足够时间预先就检查地点和时间通知发包人，承包人应保证从任何有关的第三方或制造商处获得必要的许可，以使发包人的检验人员能参加检验。</w:t>
      </w:r>
    </w:p>
    <w:p>
      <w:pPr>
        <w:pStyle w:val="172"/>
        <w:rPr>
          <w:color w:val="auto"/>
          <w:highlight w:val="none"/>
        </w:rPr>
      </w:pPr>
      <w:r>
        <w:rPr>
          <w:color w:val="auto"/>
          <w:highlight w:val="none"/>
        </w:rPr>
        <w:t xml:space="preserve">3.6.6 </w:t>
      </w:r>
      <w:r>
        <w:rPr>
          <w:rFonts w:hint="eastAsia"/>
          <w:color w:val="auto"/>
          <w:highlight w:val="none"/>
        </w:rPr>
        <w:t>工程材料（设备）监造及出厂检验管理要求</w:t>
      </w:r>
    </w:p>
    <w:p>
      <w:pPr>
        <w:pStyle w:val="217"/>
        <w:rPr>
          <w:color w:val="auto"/>
          <w:highlight w:val="none"/>
        </w:rPr>
      </w:pPr>
      <w:r>
        <w:rPr>
          <w:rFonts w:hint="eastAsia"/>
          <w:color w:val="auto"/>
          <w:highlight w:val="none"/>
        </w:rPr>
        <w:t>主要设备（材料）出厂前，发包人、监理和设计将组织人员赴供货厂家进行出厂检验，出厂检验所发生的费用由承包人负责，参加检验的发包人、监理和设计人员的食宿、交通费用由承包人承担。</w:t>
      </w:r>
      <w:r>
        <w:rPr>
          <w:color w:val="auto"/>
          <w:highlight w:val="none"/>
        </w:rPr>
        <w:t xml:space="preserve"> </w:t>
      </w:r>
    </w:p>
    <w:p>
      <w:pPr>
        <w:pStyle w:val="217"/>
        <w:rPr>
          <w:color w:val="auto"/>
          <w:highlight w:val="none"/>
        </w:rPr>
      </w:pPr>
      <w:r>
        <w:rPr>
          <w:color w:val="auto"/>
          <w:highlight w:val="none"/>
        </w:rPr>
        <w:t>1.</w:t>
      </w:r>
      <w:r>
        <w:rPr>
          <w:rFonts w:hint="eastAsia"/>
          <w:color w:val="auto"/>
          <w:highlight w:val="none"/>
        </w:rPr>
        <w:t>承包人选择的主要材料生产厂商</w:t>
      </w:r>
      <w:r>
        <w:rPr>
          <w:color w:val="auto"/>
          <w:highlight w:val="none"/>
        </w:rPr>
        <w:t>(</w:t>
      </w:r>
      <w:r>
        <w:rPr>
          <w:rFonts w:hint="eastAsia"/>
          <w:color w:val="auto"/>
          <w:highlight w:val="none"/>
        </w:rPr>
        <w:t>以下简称厂商</w:t>
      </w:r>
      <w:r>
        <w:rPr>
          <w:color w:val="auto"/>
          <w:highlight w:val="none"/>
        </w:rPr>
        <w:t>)</w:t>
      </w:r>
      <w:r>
        <w:rPr>
          <w:rFonts w:hint="eastAsia"/>
          <w:color w:val="auto"/>
          <w:highlight w:val="none"/>
        </w:rPr>
        <w:t>在产品生产期间，应邀请发包人代表到主要材料制造厂进行产品监造。当主要材料在中国制造，发包人进行监造时，供货商应提前二周发出通知；如果在规定的时间内发包人代表不到场，在发包人</w:t>
      </w:r>
      <w:r>
        <w:rPr>
          <w:rFonts w:hint="eastAsia"/>
          <w:color w:val="auto"/>
          <w:highlight w:val="none"/>
          <w:lang w:eastAsia="zh-CN"/>
        </w:rPr>
        <w:t>书面</w:t>
      </w:r>
      <w:r>
        <w:rPr>
          <w:rFonts w:hint="eastAsia"/>
          <w:color w:val="auto"/>
          <w:highlight w:val="none"/>
        </w:rPr>
        <w:t>同意的前提下，工作可按发包人在场的情况进行，并应及时把结果报告发包人。</w:t>
      </w:r>
    </w:p>
    <w:p>
      <w:pPr>
        <w:pStyle w:val="217"/>
        <w:rPr>
          <w:color w:val="auto"/>
          <w:highlight w:val="none"/>
        </w:rPr>
      </w:pPr>
      <w:r>
        <w:rPr>
          <w:color w:val="auto"/>
          <w:highlight w:val="none"/>
        </w:rPr>
        <w:t>2.</w:t>
      </w:r>
      <w:r>
        <w:rPr>
          <w:rFonts w:hint="eastAsia"/>
          <w:color w:val="auto"/>
          <w:highlight w:val="none"/>
        </w:rPr>
        <w:t>承包人必须在主要材料制造完成后的两周内将所有检验证书和报告提交监理工程师签证。</w:t>
      </w:r>
    </w:p>
    <w:p>
      <w:pPr>
        <w:pStyle w:val="217"/>
        <w:rPr>
          <w:color w:val="auto"/>
          <w:highlight w:val="none"/>
        </w:rPr>
      </w:pPr>
      <w:r>
        <w:rPr>
          <w:color w:val="auto"/>
          <w:highlight w:val="none"/>
        </w:rPr>
        <w:t>3.</w:t>
      </w:r>
      <w:r>
        <w:rPr>
          <w:rFonts w:hint="eastAsia"/>
          <w:color w:val="auto"/>
          <w:highlight w:val="none"/>
        </w:rPr>
        <w:t>主要材料的检验应在工厂完成，承包人应提供必要的技术资料、图纸、检验标准和计划，供发包人认可。如果测试工作超出了厂商的能力，则应安排到有测试条件、具备相应资质的第四方</w:t>
      </w:r>
      <w:r>
        <w:rPr>
          <w:color w:val="auto"/>
          <w:highlight w:val="none"/>
        </w:rPr>
        <w:t>(</w:t>
      </w:r>
      <w:r>
        <w:rPr>
          <w:rFonts w:hint="eastAsia"/>
          <w:color w:val="auto"/>
          <w:highlight w:val="none"/>
        </w:rPr>
        <w:t>指除发包人、承包人、制造方以外的另一方</w:t>
      </w:r>
      <w:r>
        <w:rPr>
          <w:color w:val="auto"/>
          <w:highlight w:val="none"/>
        </w:rPr>
        <w:t>)</w:t>
      </w:r>
      <w:r>
        <w:rPr>
          <w:rFonts w:hint="eastAsia"/>
          <w:color w:val="auto"/>
          <w:highlight w:val="none"/>
        </w:rPr>
        <w:t>进行。测试工作的任何变化都应事先征得发包人的书面确认．如果某些产品在其它场所制造和测试时，厂商应替发包人办理进入现场的证明并亲自陪同。</w:t>
      </w:r>
      <w:r>
        <w:rPr>
          <w:color w:val="auto"/>
          <w:highlight w:val="none"/>
        </w:rPr>
        <w:t xml:space="preserve">  </w:t>
      </w:r>
    </w:p>
    <w:p>
      <w:pPr>
        <w:pStyle w:val="217"/>
        <w:rPr>
          <w:color w:val="auto"/>
          <w:highlight w:val="none"/>
        </w:rPr>
      </w:pPr>
      <w:r>
        <w:rPr>
          <w:color w:val="auto"/>
          <w:highlight w:val="none"/>
        </w:rPr>
        <w:t>4.</w:t>
      </w:r>
      <w:r>
        <w:rPr>
          <w:rFonts w:hint="eastAsia"/>
          <w:color w:val="auto"/>
          <w:highlight w:val="none"/>
        </w:rPr>
        <w:t>制造期间，发包人拥有检查的权力，以及索取图纸和试验结果的权力，承包人应提供支持。如发包人代表有要求，承包人应解释监造、工厂检验的一切事项，直到发包人代表满意，如不符合本条款要求规定，承包人应按发包人要求作无偿改进。由此引起的延误，不得作为工期延期和增加费用的理由。</w:t>
      </w:r>
    </w:p>
    <w:p>
      <w:pPr>
        <w:pStyle w:val="217"/>
        <w:rPr>
          <w:color w:val="auto"/>
          <w:highlight w:val="none"/>
        </w:rPr>
      </w:pPr>
      <w:r>
        <w:rPr>
          <w:color w:val="auto"/>
          <w:highlight w:val="none"/>
        </w:rPr>
        <w:t>5.</w:t>
      </w:r>
      <w:r>
        <w:rPr>
          <w:rFonts w:hint="eastAsia"/>
          <w:color w:val="auto"/>
          <w:highlight w:val="none"/>
        </w:rPr>
        <w:t>承包人必须在每一个测试项目完成后的两周内，将测试证书和报告提交发包人。</w:t>
      </w:r>
    </w:p>
    <w:p>
      <w:pPr>
        <w:pStyle w:val="113"/>
        <w:spacing w:before="120" w:after="120"/>
        <w:outlineLvl w:val="2"/>
        <w:rPr>
          <w:color w:val="auto"/>
          <w:highlight w:val="none"/>
        </w:rPr>
      </w:pPr>
      <w:bookmarkStart w:id="7646" w:name="_Toc69114133"/>
      <w:bookmarkStart w:id="7647" w:name="_Toc505345705"/>
      <w:bookmarkStart w:id="7648" w:name="_Toc66890387"/>
      <w:bookmarkStart w:id="7649" w:name="_Toc66634392"/>
      <w:r>
        <w:rPr>
          <w:color w:val="auto"/>
          <w:highlight w:val="none"/>
        </w:rPr>
        <w:t xml:space="preserve">3.7 </w:t>
      </w:r>
      <w:r>
        <w:rPr>
          <w:rFonts w:hint="eastAsia"/>
          <w:color w:val="auto"/>
          <w:highlight w:val="none"/>
        </w:rPr>
        <w:t>深化设计</w:t>
      </w:r>
      <w:bookmarkEnd w:id="7646"/>
      <w:bookmarkEnd w:id="7647"/>
      <w:bookmarkEnd w:id="7648"/>
      <w:bookmarkEnd w:id="7649"/>
    </w:p>
    <w:p>
      <w:pPr>
        <w:pStyle w:val="217"/>
        <w:rPr>
          <w:color w:val="auto"/>
          <w:highlight w:val="none"/>
        </w:rPr>
      </w:pPr>
      <w:r>
        <w:rPr>
          <w:rFonts w:hint="eastAsia"/>
          <w:color w:val="auto"/>
          <w:highlight w:val="none"/>
        </w:rPr>
        <w:t>深化的设计图纸应满足原设计和施工技术规范要求，且经过设计与监理、发包人的</w:t>
      </w:r>
      <w:r>
        <w:rPr>
          <w:rFonts w:hint="eastAsia"/>
          <w:color w:val="auto"/>
          <w:highlight w:val="none"/>
          <w:lang w:eastAsia="zh-CN"/>
        </w:rPr>
        <w:t>书面</w:t>
      </w:r>
      <w:r>
        <w:rPr>
          <w:rFonts w:hint="eastAsia"/>
          <w:color w:val="auto"/>
          <w:highlight w:val="none"/>
        </w:rPr>
        <w:t>批准后方可实施。</w:t>
      </w:r>
    </w:p>
    <w:p>
      <w:pPr>
        <w:pStyle w:val="217"/>
        <w:rPr>
          <w:color w:val="auto"/>
          <w:highlight w:val="none"/>
        </w:rPr>
      </w:pPr>
      <w:r>
        <w:rPr>
          <w:rFonts w:hint="eastAsia"/>
          <w:color w:val="auto"/>
          <w:highlight w:val="none"/>
        </w:rPr>
        <w:t>所有深化设计及优化设计，应运用</w:t>
      </w:r>
      <w:r>
        <w:rPr>
          <w:color w:val="auto"/>
          <w:highlight w:val="none"/>
        </w:rPr>
        <w:t>BIM</w:t>
      </w:r>
      <w:r>
        <w:rPr>
          <w:rFonts w:hint="eastAsia"/>
          <w:color w:val="auto"/>
          <w:highlight w:val="none"/>
        </w:rPr>
        <w:t>智能建筑信息模型进行论证，过程及最终确定的方案应出具可视化汇报资料（三维图像、效果图、VR等）。</w:t>
      </w:r>
    </w:p>
    <w:p>
      <w:pPr>
        <w:pStyle w:val="217"/>
        <w:rPr>
          <w:color w:val="auto"/>
          <w:highlight w:val="none"/>
        </w:rPr>
      </w:pPr>
      <w:r>
        <w:rPr>
          <w:rFonts w:hint="eastAsia"/>
          <w:color w:val="auto"/>
          <w:highlight w:val="none"/>
        </w:rPr>
        <w:t>深化设计注意事项：</w:t>
      </w:r>
    </w:p>
    <w:p>
      <w:pPr>
        <w:pStyle w:val="217"/>
        <w:rPr>
          <w:color w:val="auto"/>
          <w:highlight w:val="none"/>
        </w:rPr>
      </w:pPr>
      <w:r>
        <w:rPr>
          <w:color w:val="auto"/>
          <w:highlight w:val="none"/>
        </w:rPr>
        <w:t>1.</w:t>
      </w:r>
      <w:r>
        <w:rPr>
          <w:rFonts w:hint="eastAsia"/>
          <w:color w:val="auto"/>
          <w:highlight w:val="none"/>
        </w:rPr>
        <w:t>深化设计应注意土建专业和机电专业（含业主指定专业承包商）的配合、工序衔接。承包人负责统筹协调本工程承包人承包范围和指定承包人承包范围的工作。</w:t>
      </w:r>
    </w:p>
    <w:p>
      <w:pPr>
        <w:pStyle w:val="217"/>
        <w:rPr>
          <w:color w:val="auto"/>
          <w:highlight w:val="none"/>
        </w:rPr>
      </w:pPr>
      <w:r>
        <w:rPr>
          <w:color w:val="auto"/>
          <w:highlight w:val="none"/>
        </w:rPr>
        <w:t>2.</w:t>
      </w:r>
      <w:r>
        <w:rPr>
          <w:rFonts w:hint="eastAsia"/>
          <w:color w:val="auto"/>
          <w:highlight w:val="none"/>
        </w:rPr>
        <w:t>深化设计不能对已完工部分造成破坏或对结构构件及建筑物功能产生不利影响。</w:t>
      </w:r>
    </w:p>
    <w:p>
      <w:pPr>
        <w:pStyle w:val="217"/>
        <w:rPr>
          <w:color w:val="auto"/>
          <w:highlight w:val="none"/>
        </w:rPr>
      </w:pPr>
      <w:r>
        <w:rPr>
          <w:color w:val="auto"/>
          <w:highlight w:val="none"/>
        </w:rPr>
        <w:t>3.</w:t>
      </w:r>
      <w:r>
        <w:rPr>
          <w:rFonts w:hint="eastAsia"/>
          <w:color w:val="auto"/>
          <w:highlight w:val="none"/>
        </w:rPr>
        <w:t>深化设计中可以包括装饰色彩组合设计，在施工前须得到发包人和设计师的认可。</w:t>
      </w:r>
    </w:p>
    <w:p>
      <w:pPr>
        <w:pStyle w:val="217"/>
        <w:rPr>
          <w:color w:val="auto"/>
          <w:highlight w:val="none"/>
        </w:rPr>
      </w:pPr>
      <w:r>
        <w:rPr>
          <w:color w:val="auto"/>
          <w:highlight w:val="none"/>
        </w:rPr>
        <w:t>4.</w:t>
      </w:r>
      <w:r>
        <w:rPr>
          <w:rFonts w:hint="eastAsia"/>
          <w:color w:val="auto"/>
          <w:highlight w:val="none"/>
        </w:rPr>
        <w:t>深化设计除了应符合招标规定的主要设备、材料、构配件外，还须包括工程施工及安装工程正常进行中所需的一切配件及辅材设备。</w:t>
      </w:r>
    </w:p>
    <w:p>
      <w:pPr>
        <w:pStyle w:val="217"/>
        <w:rPr>
          <w:color w:val="auto"/>
          <w:highlight w:val="none"/>
        </w:rPr>
      </w:pPr>
      <w:r>
        <w:rPr>
          <w:color w:val="auto"/>
          <w:highlight w:val="none"/>
        </w:rPr>
        <w:t>5.</w:t>
      </w:r>
      <w:r>
        <w:rPr>
          <w:rFonts w:hint="eastAsia"/>
          <w:color w:val="auto"/>
          <w:highlight w:val="none"/>
        </w:rPr>
        <w:t>深化设计应注意各专业系统之间及其与土建、装饰专业之间的协调、统一。</w:t>
      </w:r>
    </w:p>
    <w:p>
      <w:pPr>
        <w:pStyle w:val="217"/>
        <w:rPr>
          <w:rFonts w:ascii="黑体" w:hAnsi="黑体" w:eastAsia="黑体"/>
          <w:b/>
          <w:color w:val="auto"/>
          <w:sz w:val="32"/>
          <w:szCs w:val="32"/>
          <w:highlight w:val="none"/>
        </w:rPr>
      </w:pPr>
      <w:r>
        <w:rPr>
          <w:color w:val="auto"/>
          <w:highlight w:val="none"/>
        </w:rPr>
        <w:t>6.</w:t>
      </w:r>
      <w:r>
        <w:rPr>
          <w:rFonts w:hint="eastAsia"/>
          <w:color w:val="auto"/>
          <w:highlight w:val="none"/>
        </w:rPr>
        <w:t>所有深化设计内容须经设计单位、监理工程师、发包人确认后实施。</w:t>
      </w:r>
      <w:r>
        <w:rPr>
          <w:color w:val="auto"/>
          <w:highlight w:val="none"/>
        </w:rPr>
        <w:br w:type="page"/>
      </w:r>
    </w:p>
    <w:p>
      <w:pPr>
        <w:pStyle w:val="188"/>
        <w:spacing w:before="120" w:after="120"/>
        <w:outlineLvl w:val="1"/>
        <w:rPr>
          <w:color w:val="auto"/>
          <w:highlight w:val="none"/>
        </w:rPr>
      </w:pPr>
      <w:bookmarkStart w:id="7650" w:name="_Toc66634393"/>
      <w:bookmarkStart w:id="7651" w:name="_Toc69114134"/>
      <w:bookmarkStart w:id="7652" w:name="_Toc66890388"/>
      <w:bookmarkStart w:id="7653" w:name="_Toc505345706"/>
      <w:r>
        <w:rPr>
          <w:rFonts w:hint="eastAsia"/>
          <w:color w:val="auto"/>
          <w:highlight w:val="none"/>
        </w:rPr>
        <w:t>第</w:t>
      </w:r>
      <w:r>
        <w:rPr>
          <w:color w:val="auto"/>
          <w:highlight w:val="none"/>
        </w:rPr>
        <w:t>4</w:t>
      </w:r>
      <w:r>
        <w:rPr>
          <w:rFonts w:hint="eastAsia"/>
          <w:color w:val="auto"/>
          <w:highlight w:val="none"/>
        </w:rPr>
        <w:t>章</w:t>
      </w:r>
      <w:r>
        <w:rPr>
          <w:color w:val="auto"/>
          <w:highlight w:val="none"/>
        </w:rPr>
        <w:t xml:space="preserve">  </w:t>
      </w:r>
      <w:r>
        <w:rPr>
          <w:rFonts w:hint="eastAsia"/>
          <w:color w:val="auto"/>
          <w:highlight w:val="none"/>
        </w:rPr>
        <w:t>竣工验收</w:t>
      </w:r>
      <w:bookmarkEnd w:id="7650"/>
      <w:bookmarkEnd w:id="7651"/>
      <w:bookmarkEnd w:id="7652"/>
      <w:bookmarkEnd w:id="7653"/>
    </w:p>
    <w:p>
      <w:pPr>
        <w:pStyle w:val="113"/>
        <w:spacing w:before="120" w:after="120"/>
        <w:outlineLvl w:val="2"/>
        <w:rPr>
          <w:color w:val="auto"/>
          <w:highlight w:val="none"/>
        </w:rPr>
      </w:pPr>
      <w:bookmarkStart w:id="7654" w:name="_Toc66634394"/>
      <w:bookmarkStart w:id="7655" w:name="_Toc69114135"/>
      <w:bookmarkStart w:id="7656" w:name="_Toc505345707"/>
      <w:bookmarkStart w:id="7657" w:name="_Toc66890389"/>
      <w:r>
        <w:rPr>
          <w:color w:val="auto"/>
          <w:highlight w:val="none"/>
        </w:rPr>
        <w:t xml:space="preserve">4.1 </w:t>
      </w:r>
      <w:r>
        <w:rPr>
          <w:rFonts w:hint="eastAsia"/>
          <w:color w:val="auto"/>
          <w:highlight w:val="none"/>
        </w:rPr>
        <w:t>竣工验收及接收管理要求</w:t>
      </w:r>
      <w:bookmarkEnd w:id="7654"/>
      <w:bookmarkEnd w:id="7655"/>
      <w:bookmarkEnd w:id="7656"/>
      <w:bookmarkEnd w:id="7657"/>
    </w:p>
    <w:p>
      <w:pPr>
        <w:pStyle w:val="172"/>
        <w:rPr>
          <w:color w:val="auto"/>
          <w:highlight w:val="none"/>
        </w:rPr>
      </w:pPr>
      <w:r>
        <w:rPr>
          <w:color w:val="auto"/>
          <w:highlight w:val="none"/>
        </w:rPr>
        <w:t xml:space="preserve">4.1.1 </w:t>
      </w:r>
      <w:r>
        <w:rPr>
          <w:rFonts w:hint="eastAsia"/>
          <w:color w:val="auto"/>
          <w:highlight w:val="none"/>
        </w:rPr>
        <w:t>竣工验收管理</w:t>
      </w:r>
    </w:p>
    <w:p>
      <w:pPr>
        <w:pStyle w:val="217"/>
        <w:rPr>
          <w:color w:val="auto"/>
          <w:highlight w:val="none"/>
        </w:rPr>
      </w:pPr>
      <w:r>
        <w:rPr>
          <w:color w:val="auto"/>
          <w:highlight w:val="none"/>
        </w:rPr>
        <w:t>1.</w:t>
      </w:r>
      <w:r>
        <w:rPr>
          <w:rFonts w:hint="eastAsia"/>
          <w:color w:val="auto"/>
          <w:highlight w:val="none"/>
        </w:rPr>
        <w:t>在竣工验收前，承包人应对已完工程负责维护保养。相关费用包含在投标报价中。</w:t>
      </w:r>
    </w:p>
    <w:p>
      <w:pPr>
        <w:pStyle w:val="217"/>
        <w:rPr>
          <w:color w:val="auto"/>
          <w:highlight w:val="none"/>
        </w:rPr>
      </w:pPr>
      <w:r>
        <w:rPr>
          <w:color w:val="auto"/>
          <w:highlight w:val="none"/>
        </w:rPr>
        <w:t>2.</w:t>
      </w:r>
      <w:r>
        <w:rPr>
          <w:rFonts w:hint="eastAsia"/>
          <w:color w:val="auto"/>
          <w:highlight w:val="none"/>
        </w:rPr>
        <w:t>工程竣工验收前，应当按照规定和要求，在建筑物显著部位镶刻永久性责任铭牌，标明工程名称、建设、勘察、设计、施工、监理单位名称、相应的项目负责人姓名和工程竣工日期。相关费用包含在投标报价中。</w:t>
      </w:r>
    </w:p>
    <w:p>
      <w:pPr>
        <w:pStyle w:val="172"/>
        <w:rPr>
          <w:color w:val="auto"/>
          <w:highlight w:val="none"/>
        </w:rPr>
      </w:pPr>
      <w:r>
        <w:rPr>
          <w:color w:val="auto"/>
          <w:highlight w:val="none"/>
        </w:rPr>
        <w:t xml:space="preserve">4.1.2 </w:t>
      </w:r>
      <w:r>
        <w:rPr>
          <w:rFonts w:hint="eastAsia"/>
          <w:color w:val="auto"/>
          <w:highlight w:val="none"/>
        </w:rPr>
        <w:t>竣工资料汇总整理</w:t>
      </w:r>
    </w:p>
    <w:p>
      <w:pPr>
        <w:pStyle w:val="217"/>
        <w:rPr>
          <w:color w:val="auto"/>
          <w:highlight w:val="none"/>
        </w:rPr>
      </w:pPr>
      <w:r>
        <w:rPr>
          <w:color w:val="auto"/>
          <w:highlight w:val="none"/>
        </w:rPr>
        <w:t>1.</w:t>
      </w:r>
      <w:r>
        <w:rPr>
          <w:rFonts w:hint="eastAsia"/>
          <w:color w:val="auto"/>
          <w:highlight w:val="none"/>
        </w:rPr>
        <w:t>承包人应按照建设部的有关规定和深圳市城建档案馆、深圳市城市档案局的要求编制工程竣工文件（包括施工原始记录、照片、录相等资料），各分部（项）工程的竣工图应在有关工程完工后陆续提交监理工程师审查，整个工程的竣工文件经监理工程师审查同意、并报审深圳市城建档案管理部门验收合格后方能进行竣工验收。该竣工文件尚须满足本项目须获得相应奖项的文件归挡要求。</w:t>
      </w:r>
    </w:p>
    <w:p>
      <w:pPr>
        <w:pStyle w:val="217"/>
        <w:rPr>
          <w:color w:val="auto"/>
          <w:highlight w:val="none"/>
        </w:rPr>
      </w:pPr>
      <w:r>
        <w:rPr>
          <w:color w:val="auto"/>
          <w:highlight w:val="none"/>
        </w:rPr>
        <w:t>2.</w:t>
      </w:r>
      <w:r>
        <w:rPr>
          <w:rFonts w:hint="eastAsia"/>
          <w:color w:val="auto"/>
          <w:highlight w:val="none"/>
        </w:rPr>
        <w:t>承包人配合设计院编制竣工图。各指定承包人的竣工资料由各自单位在承包人的指导下编制。</w:t>
      </w:r>
    </w:p>
    <w:p>
      <w:pPr>
        <w:pStyle w:val="172"/>
        <w:rPr>
          <w:color w:val="auto"/>
          <w:highlight w:val="none"/>
        </w:rPr>
      </w:pPr>
      <w:r>
        <w:rPr>
          <w:color w:val="auto"/>
          <w:highlight w:val="none"/>
        </w:rPr>
        <w:t xml:space="preserve">4.1.3 </w:t>
      </w:r>
      <w:r>
        <w:rPr>
          <w:rFonts w:hint="eastAsia"/>
          <w:color w:val="auto"/>
          <w:highlight w:val="none"/>
        </w:rPr>
        <w:t>交接管理</w:t>
      </w:r>
    </w:p>
    <w:p>
      <w:pPr>
        <w:pStyle w:val="217"/>
        <w:rPr>
          <w:color w:val="auto"/>
          <w:highlight w:val="none"/>
        </w:rPr>
      </w:pPr>
      <w:r>
        <w:rPr>
          <w:rFonts w:hint="eastAsia"/>
          <w:color w:val="auto"/>
          <w:highlight w:val="none"/>
        </w:rPr>
        <w:t>向使用单位移交本项目前，承包人应取得竣工验收报告和消防验收许可，编制好使用手册，准备好竣工图等，并做对移交范围进行全面的清洁工作，达到监理工程师和发包人的要求，同时，对已完工程做好维护和保养工作。</w:t>
      </w:r>
    </w:p>
    <w:p>
      <w:pPr>
        <w:pStyle w:val="113"/>
        <w:spacing w:before="120" w:after="120"/>
        <w:outlineLvl w:val="2"/>
        <w:rPr>
          <w:color w:val="auto"/>
          <w:highlight w:val="none"/>
        </w:rPr>
      </w:pPr>
      <w:bookmarkStart w:id="7658" w:name="_Toc66890390"/>
      <w:bookmarkStart w:id="7659" w:name="_Toc69114136"/>
      <w:bookmarkStart w:id="7660" w:name="_Toc505345708"/>
      <w:bookmarkStart w:id="7661" w:name="_Toc66634395"/>
      <w:r>
        <w:rPr>
          <w:color w:val="auto"/>
          <w:highlight w:val="none"/>
        </w:rPr>
        <w:t xml:space="preserve">4.2 </w:t>
      </w:r>
      <w:r>
        <w:rPr>
          <w:rFonts w:hint="eastAsia"/>
          <w:color w:val="auto"/>
          <w:highlight w:val="none"/>
        </w:rPr>
        <w:t>零备件及工具</w:t>
      </w:r>
      <w:bookmarkEnd w:id="7658"/>
      <w:bookmarkEnd w:id="7659"/>
      <w:bookmarkEnd w:id="7660"/>
      <w:bookmarkEnd w:id="7661"/>
    </w:p>
    <w:p>
      <w:pPr>
        <w:pStyle w:val="217"/>
        <w:rPr>
          <w:color w:val="auto"/>
          <w:highlight w:val="none"/>
        </w:rPr>
      </w:pPr>
      <w:r>
        <w:rPr>
          <w:color w:val="auto"/>
          <w:highlight w:val="none"/>
        </w:rPr>
        <w:t>1.</w:t>
      </w:r>
      <w:r>
        <w:rPr>
          <w:rFonts w:hint="eastAsia"/>
          <w:color w:val="auto"/>
          <w:highlight w:val="none"/>
        </w:rPr>
        <w:t>承包人须安排及准备不少于合同中规定要求的零备件和替换材料，于缺陷保修期开始前交付业主。以保证设备系统能在不影响性能和稳定性下圆满地连续运转。这些零备件和替换材料如（不限于）：</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）提供足够六个月使用的系统润滑油。</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）每种已安装的阀门的密封圈。</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）适合设备维修和维护的专用板手。</w:t>
      </w:r>
    </w:p>
    <w:p>
      <w:pPr>
        <w:pStyle w:val="217"/>
        <w:rPr>
          <w:color w:val="auto"/>
          <w:highlight w:val="none"/>
        </w:rPr>
      </w:pPr>
      <w:r>
        <w:rPr>
          <w:color w:val="auto"/>
          <w:highlight w:val="none"/>
        </w:rPr>
        <w:t>2.</w:t>
      </w:r>
      <w:r>
        <w:rPr>
          <w:rFonts w:hint="eastAsia"/>
          <w:color w:val="auto"/>
          <w:highlight w:val="none"/>
        </w:rPr>
        <w:t>除提供上述要求的零备件外，本承包人另须提供一份由承包人建议的零备件及工具表，详细列明其一般的更换率，以供业主决定是否购买清单内的全部或部分零备件。承包人须预早提交以上的零备件及工具表供发包人</w:t>
      </w:r>
      <w:r>
        <w:rPr>
          <w:color w:val="auto"/>
          <w:highlight w:val="none"/>
        </w:rPr>
        <w:t>/</w:t>
      </w:r>
      <w:r>
        <w:rPr>
          <w:rFonts w:hint="eastAsia"/>
          <w:color w:val="auto"/>
          <w:highlight w:val="none"/>
        </w:rPr>
        <w:t>监理工程师考虑，以便指示承包人安排把有关零备件</w:t>
      </w:r>
      <w:r>
        <w:rPr>
          <w:color w:val="auto"/>
          <w:highlight w:val="none"/>
        </w:rPr>
        <w:t>/</w:t>
      </w:r>
      <w:r>
        <w:rPr>
          <w:rFonts w:hint="eastAsia"/>
          <w:color w:val="auto"/>
          <w:highlight w:val="none"/>
        </w:rPr>
        <w:t>工具于缺陷保修期开始前送抵工地。</w:t>
      </w:r>
    </w:p>
    <w:p>
      <w:pPr>
        <w:pStyle w:val="217"/>
        <w:rPr>
          <w:color w:val="auto"/>
          <w:highlight w:val="none"/>
        </w:rPr>
      </w:pPr>
      <w:r>
        <w:rPr>
          <w:color w:val="auto"/>
          <w:highlight w:val="none"/>
        </w:rPr>
        <w:t>3.</w:t>
      </w:r>
      <w:r>
        <w:rPr>
          <w:rFonts w:hint="eastAsia"/>
          <w:color w:val="auto"/>
          <w:highlight w:val="none"/>
        </w:rPr>
        <w:t>所有零备件及特别工具应与系统设备同期制造，并通过测试、调校、适当地包装和标签，并由本承包人负责运送到工地。</w:t>
      </w:r>
    </w:p>
    <w:p>
      <w:pPr>
        <w:pStyle w:val="217"/>
        <w:rPr>
          <w:color w:val="auto"/>
          <w:highlight w:val="none"/>
        </w:rPr>
      </w:pPr>
      <w:r>
        <w:rPr>
          <w:color w:val="auto"/>
          <w:highlight w:val="none"/>
        </w:rPr>
        <w:t>4.</w:t>
      </w:r>
      <w:r>
        <w:rPr>
          <w:rFonts w:hint="eastAsia"/>
          <w:color w:val="auto"/>
          <w:highlight w:val="none"/>
        </w:rPr>
        <w:t>所有用作维修保养所需的特别工具和仪器需由承包人提供，保管在由承包人免费提供的带锁的专用工具箱内。</w:t>
      </w:r>
    </w:p>
    <w:p>
      <w:pPr>
        <w:pStyle w:val="113"/>
        <w:spacing w:before="120" w:after="120"/>
        <w:outlineLvl w:val="2"/>
        <w:rPr>
          <w:color w:val="auto"/>
          <w:highlight w:val="none"/>
        </w:rPr>
      </w:pPr>
      <w:bookmarkStart w:id="7662" w:name="_Toc66890391"/>
      <w:bookmarkStart w:id="7663" w:name="_Toc505345709"/>
      <w:bookmarkStart w:id="7664" w:name="_Toc66634396"/>
      <w:bookmarkStart w:id="7665" w:name="_Toc69114137"/>
      <w:r>
        <w:rPr>
          <w:color w:val="auto"/>
          <w:highlight w:val="none"/>
        </w:rPr>
        <w:t xml:space="preserve">4.3 </w:t>
      </w:r>
      <w:r>
        <w:rPr>
          <w:rFonts w:hint="eastAsia"/>
          <w:color w:val="auto"/>
          <w:highlight w:val="none"/>
        </w:rPr>
        <w:t>维修与保养管理要求</w:t>
      </w:r>
      <w:bookmarkEnd w:id="7662"/>
      <w:bookmarkEnd w:id="7663"/>
      <w:bookmarkEnd w:id="7664"/>
      <w:bookmarkEnd w:id="7665"/>
    </w:p>
    <w:p>
      <w:pPr>
        <w:pStyle w:val="172"/>
        <w:rPr>
          <w:color w:val="auto"/>
          <w:highlight w:val="none"/>
        </w:rPr>
      </w:pPr>
      <w:r>
        <w:rPr>
          <w:color w:val="auto"/>
          <w:highlight w:val="none"/>
        </w:rPr>
        <w:t xml:space="preserve">4.3.1 </w:t>
      </w:r>
      <w:r>
        <w:rPr>
          <w:rFonts w:hint="eastAsia"/>
          <w:color w:val="auto"/>
          <w:highlight w:val="none"/>
        </w:rPr>
        <w:t>在缺陷保修期内，承包人须免费提供所需的工作人员和材料，作一般性的定期修保养，同时提供日夜二十四小时随传随到的紧急维修服务。</w:t>
      </w:r>
    </w:p>
    <w:p>
      <w:pPr>
        <w:pStyle w:val="172"/>
        <w:rPr>
          <w:color w:val="auto"/>
          <w:highlight w:val="none"/>
        </w:rPr>
      </w:pPr>
      <w:r>
        <w:rPr>
          <w:color w:val="auto"/>
          <w:highlight w:val="none"/>
        </w:rPr>
        <w:t xml:space="preserve">4.3.2 </w:t>
      </w:r>
      <w:r>
        <w:rPr>
          <w:rFonts w:hint="eastAsia"/>
          <w:color w:val="auto"/>
          <w:highlight w:val="none"/>
        </w:rPr>
        <w:t>为达到本工程合约的要求，维修保养工作应包括但不限于以下的项目：</w:t>
      </w:r>
    </w:p>
    <w:p>
      <w:pPr>
        <w:pStyle w:val="217"/>
        <w:rPr>
          <w:color w:val="auto"/>
          <w:highlight w:val="none"/>
        </w:rPr>
      </w:pPr>
      <w:r>
        <w:rPr>
          <w:color w:val="auto"/>
          <w:highlight w:val="none"/>
        </w:rPr>
        <w:t>1.</w:t>
      </w:r>
      <w:r>
        <w:rPr>
          <w:rFonts w:hint="eastAsia"/>
          <w:color w:val="auto"/>
          <w:highlight w:val="none"/>
        </w:rPr>
        <w:t>为保持系统的正常运作，如有需要时须对设备的组件进行维修或更换工作，包括：提供材料、一般性消耗件、润滑油、清洁剂、过滤器及劳务等。</w:t>
      </w:r>
    </w:p>
    <w:p>
      <w:pPr>
        <w:pStyle w:val="217"/>
        <w:rPr>
          <w:color w:val="auto"/>
          <w:highlight w:val="none"/>
        </w:rPr>
      </w:pPr>
      <w:r>
        <w:rPr>
          <w:color w:val="auto"/>
          <w:highlight w:val="none"/>
        </w:rPr>
        <w:t>2.</w:t>
      </w:r>
      <w:r>
        <w:rPr>
          <w:rFonts w:hint="eastAsia"/>
          <w:color w:val="auto"/>
          <w:highlight w:val="none"/>
        </w:rPr>
        <w:t>提供维修保养记录，并把记录书放置于适当地点，以便业主工作人员随时查阅有关设备的维修保养、组件更换次数、检查及维修日期等记录。</w:t>
      </w:r>
    </w:p>
    <w:p>
      <w:pPr>
        <w:pStyle w:val="172"/>
        <w:rPr>
          <w:color w:val="auto"/>
          <w:highlight w:val="none"/>
        </w:rPr>
      </w:pPr>
      <w:r>
        <w:rPr>
          <w:color w:val="auto"/>
          <w:highlight w:val="none"/>
        </w:rPr>
        <w:t xml:space="preserve">4.3.3 </w:t>
      </w:r>
      <w:r>
        <w:rPr>
          <w:rFonts w:hint="eastAsia"/>
          <w:color w:val="auto"/>
          <w:highlight w:val="none"/>
        </w:rPr>
        <w:t>按照以下要求安排定期维修及检查：</w:t>
      </w:r>
    </w:p>
    <w:p>
      <w:pPr>
        <w:pStyle w:val="217"/>
        <w:rPr>
          <w:color w:val="auto"/>
          <w:highlight w:val="none"/>
        </w:rPr>
      </w:pPr>
      <w:r>
        <w:rPr>
          <w:color w:val="auto"/>
          <w:highlight w:val="none"/>
        </w:rPr>
        <w:t>1.</w:t>
      </w:r>
      <w:r>
        <w:rPr>
          <w:rFonts w:hint="eastAsia"/>
          <w:color w:val="auto"/>
          <w:highlight w:val="none"/>
        </w:rPr>
        <w:t>每月的维修检查</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）对所有系统设备进行例行检查；</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）清理所有格栅／格网及主要设备；</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）调试所有设备。</w:t>
      </w:r>
    </w:p>
    <w:p>
      <w:pPr>
        <w:pStyle w:val="217"/>
        <w:rPr>
          <w:color w:val="auto"/>
          <w:highlight w:val="none"/>
        </w:rPr>
      </w:pPr>
      <w:r>
        <w:rPr>
          <w:color w:val="auto"/>
          <w:highlight w:val="none"/>
        </w:rPr>
        <w:t>2.</w:t>
      </w:r>
      <w:r>
        <w:rPr>
          <w:rFonts w:hint="eastAsia"/>
          <w:color w:val="auto"/>
          <w:highlight w:val="none"/>
        </w:rPr>
        <w:t>每季的维修检查</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）清理及润滑有关的设备配件</w:t>
      </w:r>
      <w:r>
        <w:rPr>
          <w:color w:val="auto"/>
          <w:highlight w:val="none"/>
        </w:rPr>
        <w:t>(</w:t>
      </w:r>
      <w:r>
        <w:rPr>
          <w:rFonts w:hint="eastAsia"/>
          <w:color w:val="auto"/>
          <w:highlight w:val="none"/>
        </w:rPr>
        <w:t>如：轴承、驱动轴、螺丝、隔震器、传动装置和所有机械部件</w:t>
      </w:r>
      <w:r>
        <w:rPr>
          <w:color w:val="auto"/>
          <w:highlight w:val="none"/>
        </w:rPr>
        <w:t>)</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）清理所有设备外壳及电动机。</w:t>
      </w:r>
    </w:p>
    <w:p>
      <w:pPr>
        <w:pStyle w:val="217"/>
        <w:rPr>
          <w:color w:val="auto"/>
          <w:highlight w:val="none"/>
        </w:rPr>
      </w:pPr>
      <w:r>
        <w:rPr>
          <w:color w:val="auto"/>
          <w:highlight w:val="none"/>
        </w:rPr>
        <w:t>3.</w:t>
      </w:r>
      <w:r>
        <w:rPr>
          <w:rFonts w:hint="eastAsia"/>
          <w:color w:val="auto"/>
          <w:highlight w:val="none"/>
        </w:rPr>
        <w:t>半年维修检查</w:t>
      </w:r>
      <w:r>
        <w:rPr>
          <w:color w:val="auto"/>
          <w:highlight w:val="none"/>
        </w:rPr>
        <w:t xml:space="preserve"> </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）检查有关设备的联轴器和隔震器；</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）更换润滑油过滤器及润滑油；</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）检查水泵轴承调校及叶轮的固定安装和防漏密封件。</w:t>
      </w:r>
    </w:p>
    <w:p>
      <w:pPr>
        <w:pStyle w:val="217"/>
        <w:rPr>
          <w:color w:val="auto"/>
          <w:highlight w:val="none"/>
        </w:rPr>
      </w:pPr>
      <w:r>
        <w:rPr>
          <w:color w:val="auto"/>
          <w:highlight w:val="none"/>
        </w:rPr>
        <w:t>4.</w:t>
      </w:r>
      <w:r>
        <w:rPr>
          <w:rFonts w:hint="eastAsia"/>
          <w:color w:val="auto"/>
          <w:highlight w:val="none"/>
        </w:rPr>
        <w:t>二年维修检查</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）检查及调校所有系统／设备以保证系统能按照制造商的标准进行；</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）检查及调校所有用于系统平衡的阀门。</w:t>
      </w:r>
    </w:p>
    <w:p>
      <w:pPr>
        <w:pStyle w:val="172"/>
        <w:rPr>
          <w:color w:val="auto"/>
          <w:highlight w:val="none"/>
        </w:rPr>
      </w:pPr>
      <w:r>
        <w:rPr>
          <w:color w:val="auto"/>
          <w:highlight w:val="none"/>
        </w:rPr>
        <w:t>4.3.4</w:t>
      </w:r>
      <w:r>
        <w:rPr>
          <w:rFonts w:hint="eastAsia"/>
          <w:color w:val="auto"/>
          <w:highlight w:val="none"/>
        </w:rPr>
        <w:t>在收到紧急事故召唤时，承包人须按正常工作时间及非工作时间分别于</w:t>
      </w:r>
      <w:r>
        <w:rPr>
          <w:color w:val="auto"/>
          <w:highlight w:val="none"/>
        </w:rPr>
        <w:t>2</w:t>
      </w:r>
      <w:r>
        <w:rPr>
          <w:rFonts w:hint="eastAsia"/>
          <w:color w:val="auto"/>
          <w:highlight w:val="none"/>
        </w:rPr>
        <w:t>小时及</w:t>
      </w:r>
      <w:r>
        <w:rPr>
          <w:color w:val="auto"/>
          <w:highlight w:val="none"/>
        </w:rPr>
        <w:t>6</w:t>
      </w:r>
      <w:r>
        <w:rPr>
          <w:rFonts w:hint="eastAsia"/>
          <w:color w:val="auto"/>
          <w:highlight w:val="none"/>
        </w:rPr>
        <w:t>小时之内到场进行抢修工作。</w:t>
      </w:r>
    </w:p>
    <w:p>
      <w:pPr>
        <w:pStyle w:val="172"/>
        <w:rPr>
          <w:color w:val="auto"/>
          <w:highlight w:val="none"/>
        </w:rPr>
      </w:pPr>
      <w:r>
        <w:rPr>
          <w:color w:val="auto"/>
          <w:highlight w:val="none"/>
        </w:rPr>
        <w:t>4.3.5</w:t>
      </w:r>
      <w:r>
        <w:rPr>
          <w:rFonts w:hint="eastAsia"/>
          <w:color w:val="auto"/>
          <w:highlight w:val="none"/>
        </w:rPr>
        <w:t>承包人应于维修保养期间对系统和设备作出适当保护，并在缺陷保修期满前，按需要将有关设备装置翻新上漆，使设备装置看似新装一样才作正式完成本合同责任。</w:t>
      </w:r>
    </w:p>
    <w:p>
      <w:pPr>
        <w:pStyle w:val="172"/>
        <w:rPr>
          <w:color w:val="auto"/>
          <w:highlight w:val="none"/>
        </w:rPr>
      </w:pPr>
      <w:r>
        <w:rPr>
          <w:color w:val="auto"/>
          <w:highlight w:val="none"/>
        </w:rPr>
        <w:t xml:space="preserve">4.3.6 </w:t>
      </w:r>
      <w:r>
        <w:rPr>
          <w:rFonts w:hint="eastAsia"/>
          <w:color w:val="auto"/>
          <w:highlight w:val="none"/>
        </w:rPr>
        <w:t>操作和保养手册</w:t>
      </w:r>
    </w:p>
    <w:p>
      <w:pPr>
        <w:pStyle w:val="217"/>
        <w:rPr>
          <w:color w:val="auto"/>
          <w:highlight w:val="none"/>
        </w:rPr>
      </w:pPr>
      <w:r>
        <w:rPr>
          <w:color w:val="auto"/>
          <w:highlight w:val="none"/>
        </w:rPr>
        <w:t>1.</w:t>
      </w:r>
      <w:r>
        <w:rPr>
          <w:rFonts w:hint="eastAsia"/>
          <w:color w:val="auto"/>
          <w:highlight w:val="none"/>
        </w:rPr>
        <w:t>承包人须于工地测试和运行进行前一个月，预先草拟一份包含临时图则、电脑软件表和维修保养程序的操作和维修保养手册草稿</w:t>
      </w:r>
      <w:r>
        <w:rPr>
          <w:color w:val="auto"/>
          <w:highlight w:val="none"/>
        </w:rPr>
        <w:t>(</w:t>
      </w:r>
      <w:r>
        <w:rPr>
          <w:rFonts w:hint="eastAsia"/>
          <w:color w:val="auto"/>
          <w:highlight w:val="none"/>
        </w:rPr>
        <w:t>后面简称</w:t>
      </w:r>
      <w:r>
        <w:rPr>
          <w:color w:val="auto"/>
          <w:highlight w:val="none"/>
        </w:rPr>
        <w:t>“</w:t>
      </w:r>
      <w:r>
        <w:rPr>
          <w:rFonts w:hint="eastAsia"/>
          <w:color w:val="auto"/>
          <w:highlight w:val="none"/>
        </w:rPr>
        <w:t>手册</w:t>
      </w:r>
      <w:r>
        <w:rPr>
          <w:color w:val="auto"/>
          <w:highlight w:val="none"/>
        </w:rPr>
        <w:t>”)</w:t>
      </w:r>
      <w:r>
        <w:rPr>
          <w:rFonts w:hint="eastAsia"/>
          <w:color w:val="auto"/>
          <w:highlight w:val="none"/>
        </w:rPr>
        <w:t>，以便业主的工程人员能预先对有关装置有所认识。而有关手册草稿除了一些资料因有关工程尚未完成而需以临时插页暂代外，其格式安排应与日后正式手册的编排相同。</w:t>
      </w:r>
    </w:p>
    <w:p>
      <w:pPr>
        <w:pStyle w:val="217"/>
        <w:rPr>
          <w:color w:val="auto"/>
          <w:highlight w:val="none"/>
        </w:rPr>
      </w:pPr>
      <w:r>
        <w:rPr>
          <w:color w:val="auto"/>
          <w:highlight w:val="none"/>
        </w:rPr>
        <w:t>2.</w:t>
      </w:r>
      <w:r>
        <w:rPr>
          <w:rFonts w:hint="eastAsia"/>
          <w:color w:val="auto"/>
          <w:highlight w:val="none"/>
        </w:rPr>
        <w:t>经批核的正式手册必须于缺陷保修期开始的六个星期内备妥及呈交，呈交数量至少三套。手册内所有资料应以中文编印，每一系统应独立成册，以减少每册的厚度，不同的内容或章节应以塑胶制索引标签分隔并附有清楚的目录指示，以便使用者翻查参考。</w:t>
      </w:r>
    </w:p>
    <w:p>
      <w:pPr>
        <w:pStyle w:val="217"/>
        <w:rPr>
          <w:color w:val="auto"/>
          <w:highlight w:val="none"/>
        </w:rPr>
      </w:pPr>
      <w:r>
        <w:rPr>
          <w:color w:val="auto"/>
          <w:highlight w:val="none"/>
        </w:rPr>
        <w:t>3.</w:t>
      </w:r>
      <w:r>
        <w:rPr>
          <w:rFonts w:hint="eastAsia"/>
          <w:color w:val="auto"/>
          <w:highlight w:val="none"/>
        </w:rPr>
        <w:t>设备的操作控制须采用“控制示意图”以清楚而简单的形式来表示，并以“控制连接图”方式表示装置内部各部件及电线的位置、安排和联接的资料。所有的控制图须包括或另提供详细的图例说明，以识别各部件和接点的位置并标注其特别功能、特征和用途，例如额定电流量、线圈电压、调节定位参数等。</w:t>
      </w:r>
    </w:p>
    <w:p>
      <w:pPr>
        <w:pStyle w:val="217"/>
        <w:rPr>
          <w:color w:val="auto"/>
          <w:highlight w:val="none"/>
        </w:rPr>
      </w:pPr>
      <w:r>
        <w:rPr>
          <w:color w:val="auto"/>
          <w:highlight w:val="none"/>
        </w:rPr>
        <w:t>4.</w:t>
      </w:r>
      <w:r>
        <w:rPr>
          <w:rFonts w:hint="eastAsia"/>
          <w:color w:val="auto"/>
          <w:highlight w:val="none"/>
        </w:rPr>
        <w:t>手册须同时附有本项目的“竣工图”目录，并按所属系统分别列于有关系统的章节内。如某一图纸同时适用于多个系统时，则需在每个有关系统章节内同时列出。</w:t>
      </w:r>
    </w:p>
    <w:p>
      <w:pPr>
        <w:pStyle w:val="217"/>
        <w:rPr>
          <w:color w:val="auto"/>
          <w:highlight w:val="none"/>
        </w:rPr>
      </w:pPr>
      <w:r>
        <w:rPr>
          <w:color w:val="auto"/>
          <w:highlight w:val="none"/>
        </w:rPr>
        <w:t>5.</w:t>
      </w:r>
      <w:r>
        <w:rPr>
          <w:rFonts w:hint="eastAsia"/>
          <w:color w:val="auto"/>
          <w:highlight w:val="none"/>
        </w:rPr>
        <w:t>内容：需包括手册的主旨并简要说明手册的内容和章节。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）系统说明：</w:t>
      </w:r>
    </w:p>
    <w:p>
      <w:pPr>
        <w:pStyle w:val="217"/>
        <w:rPr>
          <w:color w:val="auto"/>
          <w:highlight w:val="none"/>
        </w:rPr>
      </w:pPr>
      <w:r>
        <w:rPr>
          <w:color w:val="auto"/>
          <w:highlight w:val="none"/>
        </w:rPr>
        <w:t>1)</w:t>
      </w:r>
      <w:r>
        <w:rPr>
          <w:rFonts w:hint="eastAsia"/>
          <w:color w:val="auto"/>
          <w:highlight w:val="none"/>
        </w:rPr>
        <w:t>分别详尽介绍每个独立系统如何调节、控制、监察和调校。</w:t>
      </w:r>
    </w:p>
    <w:p>
      <w:pPr>
        <w:pStyle w:val="217"/>
        <w:rPr>
          <w:color w:val="auto"/>
          <w:highlight w:val="none"/>
        </w:rPr>
      </w:pPr>
      <w:r>
        <w:rPr>
          <w:color w:val="auto"/>
          <w:highlight w:val="none"/>
        </w:rPr>
        <w:t>2)</w:t>
      </w:r>
      <w:r>
        <w:rPr>
          <w:rFonts w:hint="eastAsia"/>
          <w:color w:val="auto"/>
          <w:highlight w:val="none"/>
        </w:rPr>
        <w:t>介绍各系统的主要装置和部件的大小规格和功能。</w:t>
      </w:r>
    </w:p>
    <w:p>
      <w:pPr>
        <w:pStyle w:val="217"/>
        <w:rPr>
          <w:color w:val="auto"/>
          <w:highlight w:val="none"/>
        </w:rPr>
      </w:pPr>
      <w:r>
        <w:rPr>
          <w:color w:val="auto"/>
          <w:highlight w:val="none"/>
        </w:rPr>
        <w:t>3)</w:t>
      </w:r>
      <w:r>
        <w:rPr>
          <w:rFonts w:hint="eastAsia"/>
          <w:color w:val="auto"/>
          <w:highlight w:val="none"/>
        </w:rPr>
        <w:t>供每个系统的可调节部件和保护装置的最初设定参数。</w:t>
      </w:r>
    </w:p>
    <w:p>
      <w:pPr>
        <w:pStyle w:val="217"/>
        <w:rPr>
          <w:color w:val="auto"/>
          <w:highlight w:val="none"/>
        </w:rPr>
      </w:pPr>
      <w:r>
        <w:rPr>
          <w:color w:val="auto"/>
          <w:highlight w:val="none"/>
        </w:rPr>
        <w:t>4)</w:t>
      </w:r>
      <w:r>
        <w:rPr>
          <w:rFonts w:hint="eastAsia"/>
          <w:color w:val="auto"/>
          <w:highlight w:val="none"/>
        </w:rPr>
        <w:t>系统设备的正常运作程序和在不正常情况下维持部分部件运作的应变程序。</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）技术说明：</w:t>
      </w:r>
    </w:p>
    <w:p>
      <w:pPr>
        <w:pStyle w:val="217"/>
        <w:rPr>
          <w:color w:val="auto"/>
          <w:highlight w:val="none"/>
        </w:rPr>
      </w:pPr>
      <w:r>
        <w:rPr>
          <w:color w:val="auto"/>
          <w:highlight w:val="none"/>
        </w:rPr>
        <w:t>1)</w:t>
      </w:r>
      <w:r>
        <w:rPr>
          <w:rFonts w:hint="eastAsia"/>
          <w:color w:val="auto"/>
          <w:highlight w:val="none"/>
        </w:rPr>
        <w:t>所有系统和设备的技术资料介绍，包括每块电路板的电路图，以及其所有电子元件的布置图；</w:t>
      </w:r>
    </w:p>
    <w:p>
      <w:pPr>
        <w:pStyle w:val="217"/>
        <w:rPr>
          <w:color w:val="auto"/>
          <w:highlight w:val="none"/>
        </w:rPr>
      </w:pPr>
      <w:r>
        <w:rPr>
          <w:color w:val="auto"/>
          <w:highlight w:val="none"/>
        </w:rPr>
        <w:t>2)</w:t>
      </w:r>
      <w:r>
        <w:rPr>
          <w:rFonts w:hint="eastAsia"/>
          <w:color w:val="auto"/>
          <w:highlight w:val="none"/>
        </w:rPr>
        <w:t>管道和接线图；</w:t>
      </w:r>
    </w:p>
    <w:p>
      <w:pPr>
        <w:pStyle w:val="217"/>
        <w:rPr>
          <w:color w:val="auto"/>
          <w:highlight w:val="none"/>
        </w:rPr>
      </w:pPr>
      <w:r>
        <w:rPr>
          <w:color w:val="auto"/>
          <w:highlight w:val="none"/>
        </w:rPr>
        <w:t>3)</w:t>
      </w:r>
      <w:r>
        <w:rPr>
          <w:rFonts w:hint="eastAsia"/>
          <w:color w:val="auto"/>
          <w:highlight w:val="none"/>
        </w:rPr>
        <w:t>所有专利设备需附有原厂所发的制造图纸，如有需要须同时提供部件剖析图以显示各部件的位置；</w:t>
      </w:r>
    </w:p>
    <w:p>
      <w:pPr>
        <w:pStyle w:val="217"/>
        <w:rPr>
          <w:color w:val="auto"/>
          <w:highlight w:val="none"/>
        </w:rPr>
      </w:pPr>
      <w:r>
        <w:rPr>
          <w:color w:val="auto"/>
          <w:highlight w:val="none"/>
        </w:rPr>
        <w:t>4)</w:t>
      </w:r>
      <w:r>
        <w:rPr>
          <w:rFonts w:hint="eastAsia"/>
          <w:color w:val="auto"/>
          <w:highlight w:val="none"/>
        </w:rPr>
        <w:t>设备表：列出生产制造商、型号、系列编号、经调试运行后所核定的设定参数，提供所有设备的产品说明书以及性能指标表等资料。</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）维修保养：</w:t>
      </w:r>
    </w:p>
    <w:p>
      <w:pPr>
        <w:pStyle w:val="217"/>
        <w:rPr>
          <w:color w:val="auto"/>
          <w:highlight w:val="none"/>
        </w:rPr>
      </w:pPr>
      <w:r>
        <w:rPr>
          <w:color w:val="auto"/>
          <w:highlight w:val="none"/>
        </w:rPr>
        <w:t>1)</w:t>
      </w:r>
      <w:r>
        <w:rPr>
          <w:rFonts w:hint="eastAsia"/>
          <w:color w:val="auto"/>
          <w:highlight w:val="none"/>
        </w:rPr>
        <w:t>所有系统的检查手册；</w:t>
      </w:r>
    </w:p>
    <w:p>
      <w:pPr>
        <w:pStyle w:val="217"/>
        <w:rPr>
          <w:color w:val="auto"/>
          <w:highlight w:val="none"/>
        </w:rPr>
      </w:pPr>
      <w:r>
        <w:rPr>
          <w:color w:val="auto"/>
          <w:highlight w:val="none"/>
        </w:rPr>
        <w:t>2)</w:t>
      </w:r>
      <w:r>
        <w:rPr>
          <w:rFonts w:hint="eastAsia"/>
          <w:color w:val="auto"/>
          <w:highlight w:val="none"/>
        </w:rPr>
        <w:t>所有系统的运作手册；</w:t>
      </w:r>
    </w:p>
    <w:p>
      <w:pPr>
        <w:pStyle w:val="217"/>
        <w:rPr>
          <w:color w:val="auto"/>
          <w:highlight w:val="none"/>
        </w:rPr>
      </w:pPr>
      <w:r>
        <w:rPr>
          <w:color w:val="auto"/>
          <w:highlight w:val="none"/>
        </w:rPr>
        <w:t>3)</w:t>
      </w:r>
      <w:r>
        <w:rPr>
          <w:rFonts w:hint="eastAsia"/>
          <w:color w:val="auto"/>
          <w:highlight w:val="none"/>
        </w:rPr>
        <w:t>更换装置部件的程序、要求和更换率；</w:t>
      </w:r>
    </w:p>
    <w:p>
      <w:pPr>
        <w:pStyle w:val="217"/>
        <w:rPr>
          <w:color w:val="auto"/>
          <w:highlight w:val="none"/>
        </w:rPr>
      </w:pPr>
      <w:r>
        <w:rPr>
          <w:color w:val="auto"/>
          <w:highlight w:val="none"/>
        </w:rPr>
        <w:t>4)</w:t>
      </w:r>
      <w:r>
        <w:rPr>
          <w:rFonts w:hint="eastAsia"/>
          <w:color w:val="auto"/>
          <w:highlight w:val="none"/>
        </w:rPr>
        <w:t>整个系统以至电路板的维修保养指示和说明、调校程序和寻找故障的指示及说明；</w:t>
      </w:r>
    </w:p>
    <w:p>
      <w:pPr>
        <w:pStyle w:val="217"/>
        <w:rPr>
          <w:color w:val="auto"/>
          <w:highlight w:val="none"/>
        </w:rPr>
      </w:pPr>
      <w:r>
        <w:rPr>
          <w:color w:val="auto"/>
          <w:highlight w:val="none"/>
        </w:rPr>
        <w:t>5)</w:t>
      </w:r>
      <w:r>
        <w:rPr>
          <w:rFonts w:hint="eastAsia"/>
          <w:color w:val="auto"/>
          <w:highlight w:val="none"/>
        </w:rPr>
        <w:t>进行系统操作和维修保养的程序和需要特别注意的事项；</w:t>
      </w:r>
    </w:p>
    <w:p>
      <w:pPr>
        <w:pStyle w:val="217"/>
        <w:rPr>
          <w:color w:val="auto"/>
          <w:highlight w:val="none"/>
        </w:rPr>
      </w:pPr>
      <w:r>
        <w:rPr>
          <w:color w:val="auto"/>
          <w:highlight w:val="none"/>
        </w:rPr>
        <w:t>6)</w:t>
      </w:r>
      <w:r>
        <w:rPr>
          <w:rFonts w:hint="eastAsia"/>
          <w:color w:val="auto"/>
          <w:highlight w:val="none"/>
        </w:rPr>
        <w:t>零备件储存和目录编册。</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）安全保险：</w:t>
      </w:r>
    </w:p>
    <w:p>
      <w:pPr>
        <w:pStyle w:val="217"/>
        <w:rPr>
          <w:color w:val="auto"/>
          <w:highlight w:val="none"/>
        </w:rPr>
      </w:pPr>
      <w:r>
        <w:rPr>
          <w:color w:val="auto"/>
          <w:highlight w:val="none"/>
        </w:rPr>
        <w:t>1)</w:t>
      </w:r>
      <w:r>
        <w:rPr>
          <w:rFonts w:hint="eastAsia"/>
          <w:color w:val="auto"/>
          <w:highlight w:val="none"/>
        </w:rPr>
        <w:t>各类设备的正确操作程序；</w:t>
      </w:r>
    </w:p>
    <w:p>
      <w:pPr>
        <w:pStyle w:val="217"/>
        <w:rPr>
          <w:color w:val="auto"/>
          <w:highlight w:val="none"/>
        </w:rPr>
      </w:pPr>
      <w:r>
        <w:rPr>
          <w:color w:val="auto"/>
          <w:highlight w:val="none"/>
        </w:rPr>
        <w:t>2)</w:t>
      </w:r>
      <w:r>
        <w:rPr>
          <w:rFonts w:hint="eastAsia"/>
          <w:color w:val="auto"/>
          <w:highlight w:val="none"/>
        </w:rPr>
        <w:t>对各项系统操作时可能发生的危险事故所应作的预防、应变和保护措施说明。</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）供应厂商指南：应列出每一种设备、材料和附件的供应厂商和代理商的名单、通信地址、联系电话及图文传真号码。</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）零备件表：应列出提供给业主的所有零备件和维修保养所用工具的清单。</w:t>
      </w:r>
    </w:p>
    <w:p>
      <w:pPr>
        <w:pStyle w:val="172"/>
        <w:rPr>
          <w:color w:val="auto"/>
          <w:highlight w:val="none"/>
        </w:rPr>
      </w:pPr>
      <w:r>
        <w:rPr>
          <w:color w:val="auto"/>
          <w:highlight w:val="none"/>
        </w:rPr>
        <w:t xml:space="preserve">4.3.7 </w:t>
      </w:r>
      <w:r>
        <w:rPr>
          <w:rFonts w:hint="eastAsia"/>
          <w:color w:val="auto"/>
          <w:highlight w:val="none"/>
        </w:rPr>
        <w:t>设备技术服务条件</w:t>
      </w:r>
    </w:p>
    <w:p>
      <w:pPr>
        <w:pStyle w:val="217"/>
        <w:rPr>
          <w:color w:val="auto"/>
          <w:highlight w:val="none"/>
        </w:rPr>
      </w:pPr>
      <w:r>
        <w:rPr>
          <w:color w:val="auto"/>
          <w:highlight w:val="none"/>
        </w:rPr>
        <w:t>1.</w:t>
      </w:r>
      <w:r>
        <w:rPr>
          <w:rFonts w:hint="eastAsia"/>
          <w:color w:val="auto"/>
          <w:highlight w:val="none"/>
        </w:rPr>
        <w:t>投标人应免费对用户进行设备操作使用和维护保养方面的培训</w:t>
      </w:r>
      <w:r>
        <w:rPr>
          <w:color w:val="auto"/>
          <w:highlight w:val="none"/>
        </w:rPr>
        <w:t>(</w:t>
      </w:r>
      <w:r>
        <w:rPr>
          <w:rFonts w:hint="eastAsia"/>
          <w:color w:val="auto"/>
          <w:highlight w:val="none"/>
        </w:rPr>
        <w:t>并提供安装使用维护说明书</w:t>
      </w:r>
      <w:r>
        <w:rPr>
          <w:color w:val="auto"/>
          <w:highlight w:val="none"/>
        </w:rPr>
        <w:t>)</w:t>
      </w:r>
      <w:r>
        <w:rPr>
          <w:rFonts w:hint="eastAsia"/>
          <w:color w:val="auto"/>
          <w:highlight w:val="none"/>
        </w:rPr>
        <w:t>。应负责指导设备安装、设备调试，确保所供设备验收合格，交付使用，直到工程保修期满。当设备到货情况与合同要求不符时，无论买方是否向卖方指出，卖方均应立即无偿补足、替换相关设备不得影响现场进度。在安装、调试、初步验收、最终验收过程中发现设备和零部件的质量达不到本需求书的要求时，无论买方是否向卖方指出，卖方均应立即无偿更换合格的设备和零部件并不得影响现场进度。在安装、调试、初步验收、最终验收过程中发生设备和零部件的损坏时，无论买方是否向卖方指出，卖方均应立即无条件先行进行维修、修理，必要时先行更换合格的设备和零部件并不得影响现场进度，由卖方负责与损坏责任方交涉损坏索赔事宜，买方应为此提供必要的协助。</w:t>
      </w:r>
    </w:p>
    <w:p>
      <w:pPr>
        <w:pStyle w:val="217"/>
        <w:rPr>
          <w:color w:val="auto"/>
          <w:highlight w:val="none"/>
        </w:rPr>
      </w:pPr>
      <w:r>
        <w:rPr>
          <w:color w:val="auto"/>
          <w:highlight w:val="none"/>
        </w:rPr>
        <w:t>2.</w:t>
      </w:r>
      <w:r>
        <w:rPr>
          <w:rFonts w:hint="eastAsia"/>
          <w:color w:val="auto"/>
          <w:highlight w:val="none"/>
        </w:rPr>
        <w:t>质保期内发生卖方原因引起的与设备和零部件有关的问题时，卖方应于收到用户通知后</w:t>
      </w:r>
      <w:r>
        <w:rPr>
          <w:color w:val="auto"/>
          <w:highlight w:val="none"/>
        </w:rPr>
        <w:t>8</w:t>
      </w:r>
      <w:r>
        <w:rPr>
          <w:rFonts w:hint="eastAsia"/>
          <w:color w:val="auto"/>
          <w:highlight w:val="none"/>
        </w:rPr>
        <w:t>小时内派遣相关人员到达现场，立即无偿更换或修理有问题的设备和零部件，提供免费服务，买方保留索赔的权利。质保期内发生非卖方原因引起的与设备和零部件有关的问题时</w:t>
      </w:r>
      <w:r>
        <w:rPr>
          <w:color w:val="auto"/>
          <w:highlight w:val="none"/>
        </w:rPr>
        <w:t xml:space="preserve">, </w:t>
      </w:r>
      <w:r>
        <w:rPr>
          <w:rFonts w:hint="eastAsia"/>
          <w:color w:val="auto"/>
          <w:highlight w:val="none"/>
        </w:rPr>
        <w:t>卖方应于收到用户通知后</w:t>
      </w:r>
      <w:r>
        <w:rPr>
          <w:color w:val="auto"/>
          <w:highlight w:val="none"/>
        </w:rPr>
        <w:t>8</w:t>
      </w:r>
      <w:r>
        <w:rPr>
          <w:rFonts w:hint="eastAsia"/>
          <w:color w:val="auto"/>
          <w:highlight w:val="none"/>
        </w:rPr>
        <w:t>小时内派遣相关人员到达现场进行维修和必要的更换，卖方只向买方收取零配件和人工等成本费。</w:t>
      </w:r>
    </w:p>
    <w:p>
      <w:pPr>
        <w:pStyle w:val="217"/>
        <w:rPr>
          <w:color w:val="auto"/>
          <w:highlight w:val="none"/>
        </w:rPr>
      </w:pPr>
      <w:r>
        <w:rPr>
          <w:color w:val="auto"/>
          <w:highlight w:val="none"/>
        </w:rPr>
        <w:t>3.</w:t>
      </w:r>
      <w:r>
        <w:rPr>
          <w:rFonts w:hint="eastAsia"/>
          <w:color w:val="auto"/>
          <w:highlight w:val="none"/>
        </w:rPr>
        <w:t>质保期外卖方应保证以优惠的价格提供维修保养服务和备件，当发生与设备和零部件有关的问题时，投标人应按照保质期内同样的要求进行维修处理，卖方应于收到用户通知后</w:t>
      </w:r>
      <w:r>
        <w:rPr>
          <w:color w:val="auto"/>
          <w:highlight w:val="none"/>
        </w:rPr>
        <w:t>8</w:t>
      </w:r>
      <w:r>
        <w:rPr>
          <w:rFonts w:hint="eastAsia"/>
          <w:color w:val="auto"/>
          <w:highlight w:val="none"/>
        </w:rPr>
        <w:t>小时内派遣相关人员到达现场进行维修和必要的更换，卖方只向买方收取零配件和人工等成本费。投标人应提供质保期满后</w:t>
      </w:r>
      <w:r>
        <w:rPr>
          <w:color w:val="auto"/>
          <w:highlight w:val="none"/>
        </w:rPr>
        <w:t>3</w:t>
      </w:r>
      <w:r>
        <w:rPr>
          <w:rFonts w:hint="eastAsia"/>
          <w:color w:val="auto"/>
          <w:highlight w:val="none"/>
        </w:rPr>
        <w:t>年内的维修保养价格。</w:t>
      </w:r>
    </w:p>
    <w:p>
      <w:pPr>
        <w:pStyle w:val="217"/>
        <w:rPr>
          <w:color w:val="auto"/>
          <w:highlight w:val="none"/>
        </w:rPr>
      </w:pPr>
      <w:r>
        <w:rPr>
          <w:color w:val="auto"/>
          <w:highlight w:val="none"/>
        </w:rPr>
        <w:t>4.</w:t>
      </w:r>
      <w:r>
        <w:rPr>
          <w:rFonts w:hint="eastAsia"/>
          <w:color w:val="auto"/>
          <w:highlight w:val="none"/>
        </w:rPr>
        <w:t>最终验收合格后，在设备的全部正常使用期间，发现设备和零部件的质量达不到本需求书的要求时，买方将以书面形式通知卖方进行索赔，卖方应于收到通知后一周内作出书面答复，以确认是否接受买方的索赔，若一周内未作出书面答复则视为该索赔要求已为卖方接受。</w:t>
      </w:r>
    </w:p>
    <w:p>
      <w:pPr>
        <w:pStyle w:val="217"/>
        <w:rPr>
          <w:color w:val="auto"/>
          <w:highlight w:val="none"/>
        </w:rPr>
      </w:pPr>
      <w:r>
        <w:rPr>
          <w:color w:val="auto"/>
          <w:highlight w:val="none"/>
        </w:rPr>
        <w:t>5.</w:t>
      </w:r>
      <w:r>
        <w:rPr>
          <w:rFonts w:hint="eastAsia"/>
          <w:color w:val="auto"/>
          <w:highlight w:val="none"/>
        </w:rPr>
        <w:t>因质量问题而提出索赔的解决方式：维修或修理，在买方许可条件下，在现场或工厂由卖方自费对有缺陷的设备和零部件进行修复，使之符合本需求书的要求；更换，卖方无偿以全新的、合格的产品替换有缺陷的设备和零部件，更换下来的、有缺陷的设备和零部件是卖方财产；退货，买方有权拒绝接受有质量问题的任何设备和零部件并退回给卖方，卖方须承担由此而发生的一切费用，买方认为有必要时有权解除合同并要求卖方支付违约金。</w:t>
      </w:r>
    </w:p>
    <w:p>
      <w:pPr>
        <w:pStyle w:val="217"/>
        <w:rPr>
          <w:color w:val="auto"/>
          <w:highlight w:val="none"/>
        </w:rPr>
      </w:pPr>
      <w:r>
        <w:rPr>
          <w:color w:val="auto"/>
          <w:highlight w:val="none"/>
        </w:rPr>
        <w:t>6.</w:t>
      </w:r>
      <w:r>
        <w:rPr>
          <w:rFonts w:hint="eastAsia"/>
          <w:color w:val="auto"/>
          <w:highlight w:val="none"/>
        </w:rPr>
        <w:t>在安装、调试、初步验收、最终验收过程中，由于卖方原因导致工期延长损失、其他返工损失等费用由卖方承担。</w:t>
      </w:r>
    </w:p>
    <w:p>
      <w:pPr>
        <w:pStyle w:val="217"/>
        <w:rPr>
          <w:color w:val="auto"/>
          <w:highlight w:val="none"/>
        </w:rPr>
      </w:pPr>
      <w:r>
        <w:rPr>
          <w:color w:val="auto"/>
          <w:highlight w:val="none"/>
        </w:rPr>
        <w:t>7.</w:t>
      </w:r>
      <w:r>
        <w:rPr>
          <w:rFonts w:hint="eastAsia"/>
          <w:color w:val="auto"/>
          <w:highlight w:val="none"/>
        </w:rPr>
        <w:t>最终验收合格后，设备的维修维护事宜由买卖双方另行商定。</w:t>
      </w:r>
    </w:p>
    <w:p>
      <w:pPr>
        <w:pStyle w:val="113"/>
        <w:spacing w:before="120" w:after="120"/>
        <w:outlineLvl w:val="2"/>
        <w:rPr>
          <w:color w:val="auto"/>
          <w:highlight w:val="none"/>
        </w:rPr>
      </w:pPr>
      <w:bookmarkStart w:id="7666" w:name="_Toc69114138"/>
      <w:bookmarkStart w:id="7667" w:name="_Toc66634397"/>
      <w:bookmarkStart w:id="7668" w:name="_Toc505345710"/>
      <w:bookmarkStart w:id="7669" w:name="_Toc66890392"/>
      <w:r>
        <w:rPr>
          <w:color w:val="auto"/>
          <w:highlight w:val="none"/>
        </w:rPr>
        <w:t xml:space="preserve">4.4 </w:t>
      </w:r>
      <w:r>
        <w:rPr>
          <w:rFonts w:hint="eastAsia"/>
          <w:color w:val="auto"/>
          <w:highlight w:val="none"/>
        </w:rPr>
        <w:t>废弃物及特殊工艺处理要求</w:t>
      </w:r>
      <w:bookmarkEnd w:id="7666"/>
      <w:bookmarkEnd w:id="7667"/>
      <w:bookmarkEnd w:id="7668"/>
      <w:bookmarkEnd w:id="7669"/>
    </w:p>
    <w:p>
      <w:pPr>
        <w:pStyle w:val="217"/>
        <w:rPr>
          <w:color w:val="auto"/>
          <w:highlight w:val="none"/>
        </w:rPr>
      </w:pPr>
      <w:r>
        <w:rPr>
          <w:rFonts w:hint="eastAsia"/>
          <w:color w:val="auto"/>
          <w:highlight w:val="none"/>
        </w:rPr>
        <w:t>本项目设计有实验室、食堂、医院等具有特殊工艺要求的建筑工程，承包人在施工过程中须严格按照设计要求及相应规范要求组织实施，以达到特定功能需求。</w:t>
      </w:r>
    </w:p>
    <w:p>
      <w:pPr>
        <w:widowControl/>
        <w:jc w:val="left"/>
        <w:rPr>
          <w:rFonts w:ascii="Times New Roman" w:hAnsi="Times New Roman"/>
          <w:color w:val="auto"/>
          <w:sz w:val="44"/>
          <w:szCs w:val="24"/>
          <w:highlight w:val="none"/>
        </w:rPr>
      </w:pPr>
      <w:bookmarkStart w:id="7670" w:name="_Toc505345711"/>
      <w:r>
        <w:rPr>
          <w:color w:val="auto"/>
          <w:highlight w:val="none"/>
        </w:rPr>
        <w:br w:type="page"/>
      </w:r>
    </w:p>
    <w:p>
      <w:pPr>
        <w:widowControl/>
        <w:jc w:val="left"/>
        <w:rPr>
          <w:color w:val="auto"/>
          <w:highlight w:val="none"/>
        </w:rPr>
      </w:pPr>
    </w:p>
    <w:p>
      <w:pPr>
        <w:widowControl/>
        <w:jc w:val="left"/>
        <w:rPr>
          <w:color w:val="auto"/>
          <w:highlight w:val="none"/>
        </w:rPr>
      </w:pPr>
    </w:p>
    <w:p>
      <w:pPr>
        <w:widowControl/>
        <w:jc w:val="left"/>
        <w:rPr>
          <w:color w:val="auto"/>
          <w:highlight w:val="none"/>
        </w:rPr>
      </w:pPr>
    </w:p>
    <w:p>
      <w:pPr>
        <w:widowControl/>
        <w:jc w:val="left"/>
        <w:rPr>
          <w:color w:val="auto"/>
          <w:highlight w:val="none"/>
        </w:rPr>
      </w:pPr>
    </w:p>
    <w:p>
      <w:pPr>
        <w:widowControl/>
        <w:jc w:val="left"/>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2"/>
        <w:outlineLvl w:val="0"/>
        <w:rPr>
          <w:color w:val="auto"/>
          <w:highlight w:val="none"/>
        </w:rPr>
      </w:pPr>
      <w:bookmarkStart w:id="7671" w:name="_Toc69114139"/>
      <w:bookmarkStart w:id="7672" w:name="_Toc66890393"/>
      <w:bookmarkStart w:id="7673" w:name="_Toc66634398"/>
      <w:r>
        <w:rPr>
          <w:rFonts w:hint="eastAsia"/>
          <w:color w:val="auto"/>
          <w:highlight w:val="none"/>
        </w:rPr>
        <w:t>第二部分</w:t>
      </w:r>
      <w:r>
        <w:rPr>
          <w:color w:val="auto"/>
          <w:highlight w:val="none"/>
        </w:rPr>
        <w:t xml:space="preserve">  </w:t>
      </w:r>
      <w:r>
        <w:rPr>
          <w:rFonts w:hint="eastAsia"/>
          <w:color w:val="auto"/>
          <w:highlight w:val="none"/>
        </w:rPr>
        <w:t>土建工程技术要求</w:t>
      </w:r>
      <w:bookmarkEnd w:id="7670"/>
      <w:bookmarkEnd w:id="7671"/>
      <w:bookmarkEnd w:id="7672"/>
      <w:bookmarkEnd w:id="7673"/>
    </w:p>
    <w:p>
      <w:pPr>
        <w:widowControl/>
        <w:jc w:val="left"/>
        <w:rPr>
          <w:rFonts w:ascii="Times New Roman" w:hAnsi="Times New Roman"/>
          <w:color w:val="auto"/>
          <w:sz w:val="44"/>
          <w:szCs w:val="24"/>
          <w:highlight w:val="none"/>
        </w:rPr>
      </w:pPr>
      <w:r>
        <w:rPr>
          <w:color w:val="auto"/>
          <w:highlight w:val="none"/>
        </w:rPr>
        <w:br w:type="page"/>
      </w:r>
    </w:p>
    <w:p>
      <w:pPr>
        <w:pStyle w:val="188"/>
        <w:spacing w:before="120" w:after="120"/>
        <w:outlineLvl w:val="1"/>
        <w:rPr>
          <w:color w:val="auto"/>
          <w:highlight w:val="none"/>
        </w:rPr>
      </w:pPr>
      <w:bookmarkStart w:id="7674" w:name="_Toc505345712"/>
      <w:bookmarkStart w:id="7675" w:name="_Toc66634399"/>
      <w:bookmarkStart w:id="7676" w:name="_Toc66890394"/>
      <w:bookmarkStart w:id="7677" w:name="_Toc69114140"/>
      <w:r>
        <w:rPr>
          <w:rFonts w:hint="eastAsia"/>
          <w:color w:val="auto"/>
          <w:highlight w:val="none"/>
        </w:rPr>
        <w:t>第</w:t>
      </w:r>
      <w:r>
        <w:rPr>
          <w:color w:val="auto"/>
          <w:highlight w:val="none"/>
        </w:rPr>
        <w:t>1</w:t>
      </w:r>
      <w:r>
        <w:rPr>
          <w:rFonts w:hint="eastAsia"/>
          <w:color w:val="auto"/>
          <w:highlight w:val="none"/>
        </w:rPr>
        <w:t>章</w:t>
      </w:r>
      <w:r>
        <w:rPr>
          <w:color w:val="auto"/>
          <w:highlight w:val="none"/>
        </w:rPr>
        <w:t xml:space="preserve">  </w:t>
      </w:r>
      <w:r>
        <w:rPr>
          <w:rFonts w:hint="eastAsia"/>
          <w:color w:val="auto"/>
          <w:highlight w:val="none"/>
        </w:rPr>
        <w:t>概</w:t>
      </w:r>
      <w:r>
        <w:rPr>
          <w:color w:val="auto"/>
          <w:highlight w:val="none"/>
        </w:rPr>
        <w:t xml:space="preserve">  </w:t>
      </w:r>
      <w:r>
        <w:rPr>
          <w:rFonts w:hint="eastAsia"/>
          <w:color w:val="auto"/>
          <w:highlight w:val="none"/>
        </w:rPr>
        <w:t>况</w:t>
      </w:r>
      <w:bookmarkEnd w:id="7674"/>
      <w:bookmarkEnd w:id="7675"/>
      <w:bookmarkEnd w:id="7676"/>
      <w:bookmarkEnd w:id="7677"/>
    </w:p>
    <w:p>
      <w:pPr>
        <w:pStyle w:val="113"/>
        <w:spacing w:before="120" w:after="120"/>
        <w:outlineLvl w:val="2"/>
        <w:rPr>
          <w:color w:val="auto"/>
          <w:highlight w:val="none"/>
        </w:rPr>
      </w:pPr>
      <w:bookmarkStart w:id="7678" w:name="_Toc505345713"/>
      <w:bookmarkStart w:id="7679" w:name="_Toc66890395"/>
      <w:bookmarkStart w:id="7680" w:name="_Toc66634400"/>
      <w:bookmarkStart w:id="7681" w:name="_Toc69114141"/>
      <w:r>
        <w:rPr>
          <w:color w:val="auto"/>
          <w:highlight w:val="none"/>
        </w:rPr>
        <w:t xml:space="preserve">1.1 </w:t>
      </w:r>
      <w:r>
        <w:rPr>
          <w:rFonts w:hint="eastAsia"/>
          <w:color w:val="auto"/>
          <w:highlight w:val="none"/>
        </w:rPr>
        <w:t>工程简介</w:t>
      </w:r>
      <w:bookmarkEnd w:id="7678"/>
      <w:bookmarkEnd w:id="7679"/>
      <w:bookmarkEnd w:id="7680"/>
      <w:bookmarkEnd w:id="7681"/>
    </w:p>
    <w:p>
      <w:pPr>
        <w:pStyle w:val="217"/>
        <w:rPr>
          <w:color w:val="auto"/>
          <w:highlight w:val="none"/>
        </w:rPr>
      </w:pPr>
      <w:r>
        <w:rPr>
          <w:rFonts w:hint="eastAsia"/>
          <w:color w:val="auto"/>
          <w:highlight w:val="none"/>
        </w:rPr>
        <w:t>工程名称：</w:t>
      </w:r>
      <w:r>
        <w:rPr>
          <w:rFonts w:hint="eastAsia"/>
          <w:color w:val="auto"/>
          <w:highlight w:val="none"/>
          <w:u w:val="single"/>
        </w:rPr>
        <w:t xml:space="preserve"> </w:t>
      </w:r>
      <w:r>
        <w:rPr>
          <w:color w:val="auto"/>
          <w:highlight w:val="none"/>
          <w:u w:val="single"/>
        </w:rPr>
        <w:t xml:space="preserve">                                     </w:t>
      </w:r>
      <w:r>
        <w:rPr>
          <w:rFonts w:hint="eastAsia"/>
          <w:color w:val="auto"/>
          <w:highlight w:val="none"/>
        </w:rPr>
        <w:t>；</w:t>
      </w:r>
    </w:p>
    <w:p>
      <w:pPr>
        <w:pStyle w:val="217"/>
        <w:rPr>
          <w:color w:val="auto"/>
          <w:highlight w:val="none"/>
        </w:rPr>
      </w:pPr>
      <w:r>
        <w:rPr>
          <w:rFonts w:hint="eastAsia"/>
          <w:color w:val="auto"/>
          <w:highlight w:val="none"/>
        </w:rPr>
        <w:t>工程地点：</w:t>
      </w:r>
      <w:r>
        <w:rPr>
          <w:rFonts w:hint="eastAsia"/>
          <w:color w:val="auto"/>
          <w:highlight w:val="none"/>
          <w:u w:val="single"/>
        </w:rPr>
        <w:t xml:space="preserve"> </w:t>
      </w:r>
      <w:r>
        <w:rPr>
          <w:color w:val="auto"/>
          <w:highlight w:val="none"/>
          <w:u w:val="single"/>
        </w:rPr>
        <w:t xml:space="preserve">                                     </w:t>
      </w:r>
      <w:bookmarkStart w:id="7682" w:name="_Toc505345714"/>
      <w:r>
        <w:rPr>
          <w:rFonts w:hint="eastAsia"/>
          <w:color w:val="auto"/>
          <w:highlight w:val="none"/>
        </w:rPr>
        <w:t>。</w:t>
      </w:r>
    </w:p>
    <w:p>
      <w:pPr>
        <w:pStyle w:val="113"/>
        <w:spacing w:before="120" w:after="120"/>
        <w:outlineLvl w:val="2"/>
        <w:rPr>
          <w:color w:val="auto"/>
          <w:highlight w:val="none"/>
        </w:rPr>
      </w:pPr>
      <w:bookmarkStart w:id="7683" w:name="_Toc66890396"/>
      <w:bookmarkStart w:id="7684" w:name="_Toc69114142"/>
      <w:bookmarkStart w:id="7685" w:name="_Toc66634401"/>
      <w:r>
        <w:rPr>
          <w:color w:val="auto"/>
          <w:highlight w:val="none"/>
        </w:rPr>
        <w:t xml:space="preserve">1.2 </w:t>
      </w:r>
      <w:r>
        <w:rPr>
          <w:rFonts w:hint="eastAsia"/>
          <w:color w:val="auto"/>
          <w:highlight w:val="none"/>
        </w:rPr>
        <w:t>工作范围</w:t>
      </w:r>
      <w:bookmarkEnd w:id="7682"/>
      <w:bookmarkEnd w:id="7683"/>
      <w:bookmarkEnd w:id="7684"/>
      <w:bookmarkEnd w:id="7685"/>
    </w:p>
    <w:p>
      <w:pPr>
        <w:pStyle w:val="172"/>
        <w:rPr>
          <w:color w:val="auto"/>
          <w:highlight w:val="none"/>
        </w:rPr>
      </w:pPr>
      <w:r>
        <w:rPr>
          <w:color w:val="auto"/>
          <w:highlight w:val="none"/>
        </w:rPr>
        <w:t xml:space="preserve">1.2.1 </w:t>
      </w:r>
      <w:r>
        <w:rPr>
          <w:rFonts w:hint="eastAsia"/>
          <w:color w:val="auto"/>
          <w:highlight w:val="none"/>
        </w:rPr>
        <w:t>工作范围见投标须知前附表和附件</w:t>
      </w:r>
    </w:p>
    <w:p>
      <w:pPr>
        <w:pStyle w:val="172"/>
        <w:rPr>
          <w:color w:val="auto"/>
          <w:highlight w:val="none"/>
        </w:rPr>
      </w:pPr>
      <w:r>
        <w:rPr>
          <w:color w:val="auto"/>
          <w:highlight w:val="none"/>
        </w:rPr>
        <w:t xml:space="preserve">1.2.2 </w:t>
      </w:r>
      <w:r>
        <w:rPr>
          <w:rFonts w:hint="eastAsia"/>
          <w:color w:val="auto"/>
          <w:highlight w:val="none"/>
        </w:rPr>
        <w:t>其它：</w:t>
      </w:r>
    </w:p>
    <w:p>
      <w:pPr>
        <w:pStyle w:val="217"/>
        <w:rPr>
          <w:color w:val="auto"/>
          <w:highlight w:val="none"/>
        </w:rPr>
      </w:pPr>
      <w:r>
        <w:rPr>
          <w:color w:val="auto"/>
          <w:highlight w:val="none"/>
        </w:rPr>
        <w:t>1.</w:t>
      </w:r>
      <w:r>
        <w:rPr>
          <w:rFonts w:hint="eastAsia"/>
          <w:color w:val="auto"/>
          <w:highlight w:val="none"/>
        </w:rPr>
        <w:t>承包人应负责完成承包范围内可能涉及到的所有需深化设计的项目和工作。</w:t>
      </w:r>
    </w:p>
    <w:p>
      <w:pPr>
        <w:pStyle w:val="217"/>
        <w:rPr>
          <w:color w:val="auto"/>
          <w:highlight w:val="none"/>
        </w:rPr>
      </w:pPr>
      <w:r>
        <w:rPr>
          <w:color w:val="auto"/>
          <w:highlight w:val="none"/>
        </w:rPr>
        <w:t>2.</w:t>
      </w:r>
      <w:r>
        <w:rPr>
          <w:rFonts w:hint="eastAsia"/>
          <w:color w:val="auto"/>
          <w:highlight w:val="none"/>
        </w:rPr>
        <w:t>总承包范围内的管线综合布线图的深化并应同时考虑与招标人指定承包工程的配合协调等。</w:t>
      </w:r>
    </w:p>
    <w:p>
      <w:pPr>
        <w:pStyle w:val="217"/>
        <w:rPr>
          <w:color w:val="auto"/>
          <w:highlight w:val="none"/>
        </w:rPr>
      </w:pPr>
      <w:r>
        <w:rPr>
          <w:color w:val="auto"/>
          <w:highlight w:val="none"/>
        </w:rPr>
        <w:t>3.</w:t>
      </w:r>
      <w:r>
        <w:rPr>
          <w:rFonts w:hint="eastAsia"/>
          <w:color w:val="auto"/>
          <w:highlight w:val="none"/>
        </w:rPr>
        <w:t>施工用水、电的内接安装及管理。</w:t>
      </w:r>
    </w:p>
    <w:p>
      <w:pPr>
        <w:pStyle w:val="217"/>
        <w:rPr>
          <w:color w:val="auto"/>
          <w:highlight w:val="none"/>
        </w:rPr>
      </w:pPr>
      <w:r>
        <w:rPr>
          <w:color w:val="auto"/>
          <w:highlight w:val="none"/>
        </w:rPr>
        <w:t>4.</w:t>
      </w:r>
      <w:r>
        <w:rPr>
          <w:rFonts w:hint="eastAsia"/>
          <w:color w:val="auto"/>
          <w:highlight w:val="none"/>
        </w:rPr>
        <w:t>本工程范围内的所有垃圾清运。</w:t>
      </w:r>
    </w:p>
    <w:p>
      <w:pPr>
        <w:pStyle w:val="217"/>
        <w:rPr>
          <w:color w:val="auto"/>
          <w:highlight w:val="none"/>
        </w:rPr>
      </w:pPr>
      <w:r>
        <w:rPr>
          <w:color w:val="auto"/>
          <w:highlight w:val="none"/>
        </w:rPr>
        <w:t>5.</w:t>
      </w:r>
      <w:r>
        <w:rPr>
          <w:rFonts w:hint="eastAsia"/>
          <w:color w:val="auto"/>
          <w:highlight w:val="none"/>
        </w:rPr>
        <w:t>本工程范围内的抽水、降水及排水工作；</w:t>
      </w:r>
    </w:p>
    <w:p>
      <w:pPr>
        <w:pStyle w:val="217"/>
        <w:rPr>
          <w:color w:val="auto"/>
          <w:highlight w:val="none"/>
        </w:rPr>
      </w:pPr>
      <w:r>
        <w:rPr>
          <w:color w:val="auto"/>
          <w:highlight w:val="none"/>
        </w:rPr>
        <w:t>6.</w:t>
      </w:r>
      <w:r>
        <w:rPr>
          <w:rFonts w:hint="eastAsia"/>
          <w:color w:val="auto"/>
          <w:highlight w:val="none"/>
        </w:rPr>
        <w:t>所有专业工程的预留、预埋、套管预埋（可能存在部分幕墙、电梯埋件）、管道井及墙（板）洞的封堵、设备基础等。</w:t>
      </w:r>
    </w:p>
    <w:p>
      <w:pPr>
        <w:pStyle w:val="217"/>
        <w:rPr>
          <w:color w:val="auto"/>
          <w:highlight w:val="none"/>
        </w:rPr>
      </w:pPr>
      <w:r>
        <w:rPr>
          <w:color w:val="auto"/>
          <w:highlight w:val="none"/>
        </w:rPr>
        <w:t>7.</w:t>
      </w:r>
      <w:r>
        <w:rPr>
          <w:rFonts w:hint="eastAsia"/>
          <w:color w:val="auto"/>
          <w:highlight w:val="none"/>
        </w:rPr>
        <w:t>负责由招标人指定承包的专业工程的设计与施工过程中的协调配合等。</w:t>
      </w:r>
    </w:p>
    <w:p>
      <w:pPr>
        <w:pStyle w:val="217"/>
        <w:rPr>
          <w:color w:val="auto"/>
          <w:highlight w:val="none"/>
        </w:rPr>
      </w:pPr>
      <w:r>
        <w:rPr>
          <w:color w:val="auto"/>
          <w:highlight w:val="none"/>
        </w:rPr>
        <w:t>8.</w:t>
      </w:r>
      <w:r>
        <w:rPr>
          <w:rFonts w:hint="eastAsia"/>
          <w:color w:val="auto"/>
          <w:highlight w:val="none"/>
        </w:rPr>
        <w:t>所有洞口安装完毕后的封堵、塞缝，包括粉刷找平、外墙门窗缝隙处与外墙相同要求的防水等。</w:t>
      </w:r>
    </w:p>
    <w:p>
      <w:pPr>
        <w:pStyle w:val="113"/>
        <w:spacing w:before="120" w:after="120"/>
        <w:outlineLvl w:val="2"/>
        <w:rPr>
          <w:color w:val="auto"/>
          <w:highlight w:val="none"/>
        </w:rPr>
      </w:pPr>
      <w:bookmarkStart w:id="7686" w:name="_Toc69114143"/>
      <w:bookmarkStart w:id="7687" w:name="_Toc505345715"/>
      <w:bookmarkStart w:id="7688" w:name="_Toc66634402"/>
      <w:bookmarkStart w:id="7689" w:name="_Toc66890397"/>
      <w:r>
        <w:rPr>
          <w:color w:val="auto"/>
          <w:highlight w:val="none"/>
        </w:rPr>
        <w:t xml:space="preserve">1.3 </w:t>
      </w:r>
      <w:r>
        <w:rPr>
          <w:rFonts w:hint="eastAsia"/>
          <w:color w:val="auto"/>
          <w:highlight w:val="none"/>
        </w:rPr>
        <w:t>法律、法规</w:t>
      </w:r>
      <w:bookmarkEnd w:id="7686"/>
      <w:bookmarkEnd w:id="7687"/>
      <w:bookmarkEnd w:id="7688"/>
      <w:bookmarkEnd w:id="7689"/>
    </w:p>
    <w:p>
      <w:pPr>
        <w:pStyle w:val="217"/>
        <w:rPr>
          <w:color w:val="auto"/>
          <w:highlight w:val="none"/>
        </w:rPr>
      </w:pPr>
      <w:r>
        <w:rPr>
          <w:color w:val="auto"/>
          <w:highlight w:val="none"/>
        </w:rPr>
        <w:t>1.</w:t>
      </w:r>
      <w:r>
        <w:rPr>
          <w:rFonts w:hint="eastAsia"/>
          <w:color w:val="auto"/>
          <w:highlight w:val="none"/>
        </w:rPr>
        <w:t>本项目应严格按照国家与地方投标时最新的法律法规及相关技术规范进行施工。</w:t>
      </w:r>
    </w:p>
    <w:p>
      <w:pPr>
        <w:pStyle w:val="217"/>
        <w:rPr>
          <w:color w:val="auto"/>
          <w:highlight w:val="none"/>
        </w:rPr>
      </w:pPr>
      <w:r>
        <w:rPr>
          <w:color w:val="auto"/>
          <w:highlight w:val="none"/>
        </w:rPr>
        <w:t>2.</w:t>
      </w:r>
      <w:r>
        <w:rPr>
          <w:rFonts w:hint="eastAsia"/>
          <w:color w:val="auto"/>
          <w:highlight w:val="none"/>
        </w:rPr>
        <w:t>施工图、设计变更、洽商记录等技术文件以及其它与本工程相关的规范、条例、法律条文等。</w:t>
      </w:r>
    </w:p>
    <w:p>
      <w:pPr>
        <w:pStyle w:val="217"/>
        <w:rPr>
          <w:color w:val="auto"/>
          <w:highlight w:val="none"/>
        </w:rPr>
      </w:pPr>
      <w:r>
        <w:rPr>
          <w:rFonts w:hint="eastAsia"/>
          <w:color w:val="auto"/>
          <w:highlight w:val="none"/>
        </w:rPr>
        <w:t>如上述标准及规范要求有出入则以较严格者为准，且在合同履行期间，本工程所采用的标准或规范按最新颁布的内容执行。</w:t>
      </w:r>
    </w:p>
    <w:p>
      <w:pPr>
        <w:rPr>
          <w:color w:val="auto"/>
          <w:highlight w:val="none"/>
        </w:rPr>
      </w:pPr>
    </w:p>
    <w:p>
      <w:pPr>
        <w:pStyle w:val="188"/>
        <w:spacing w:before="120" w:after="120"/>
        <w:outlineLvl w:val="1"/>
        <w:rPr>
          <w:color w:val="auto"/>
          <w:highlight w:val="none"/>
        </w:rPr>
      </w:pPr>
      <w:bookmarkStart w:id="7690" w:name="_Toc66634403"/>
      <w:bookmarkStart w:id="7691" w:name="_Toc505345716"/>
      <w:bookmarkStart w:id="7692" w:name="_Toc66890398"/>
      <w:bookmarkStart w:id="7693" w:name="_Toc69114144"/>
      <w:r>
        <w:rPr>
          <w:rFonts w:hint="eastAsia"/>
          <w:color w:val="auto"/>
          <w:highlight w:val="none"/>
        </w:rPr>
        <w:t>第</w:t>
      </w:r>
      <w:r>
        <w:rPr>
          <w:color w:val="auto"/>
          <w:highlight w:val="none"/>
        </w:rPr>
        <w:t>2</w:t>
      </w:r>
      <w:r>
        <w:rPr>
          <w:rFonts w:hint="eastAsia"/>
          <w:color w:val="auto"/>
          <w:highlight w:val="none"/>
        </w:rPr>
        <w:t>章</w:t>
      </w:r>
      <w:r>
        <w:rPr>
          <w:color w:val="auto"/>
          <w:highlight w:val="none"/>
        </w:rPr>
        <w:t xml:space="preserve">  </w:t>
      </w:r>
      <w:r>
        <w:rPr>
          <w:rFonts w:hint="eastAsia"/>
          <w:color w:val="auto"/>
          <w:highlight w:val="none"/>
        </w:rPr>
        <w:t>通用要求</w:t>
      </w:r>
      <w:bookmarkEnd w:id="7690"/>
      <w:bookmarkEnd w:id="7691"/>
      <w:bookmarkEnd w:id="7692"/>
      <w:bookmarkEnd w:id="7693"/>
    </w:p>
    <w:p>
      <w:pPr>
        <w:rPr>
          <w:color w:val="auto"/>
          <w:highlight w:val="none"/>
        </w:rPr>
      </w:pPr>
    </w:p>
    <w:p>
      <w:pPr>
        <w:pStyle w:val="113"/>
        <w:spacing w:before="120" w:after="120"/>
        <w:outlineLvl w:val="2"/>
        <w:rPr>
          <w:color w:val="auto"/>
          <w:highlight w:val="none"/>
        </w:rPr>
      </w:pPr>
      <w:bookmarkStart w:id="7694" w:name="_Toc69114145"/>
      <w:bookmarkStart w:id="7695" w:name="_Toc505345717"/>
      <w:bookmarkStart w:id="7696" w:name="_Toc66890399"/>
      <w:bookmarkStart w:id="7697" w:name="_Toc66634404"/>
      <w:r>
        <w:rPr>
          <w:color w:val="auto"/>
          <w:highlight w:val="none"/>
        </w:rPr>
        <w:t xml:space="preserve">2.1 </w:t>
      </w:r>
      <w:r>
        <w:rPr>
          <w:rFonts w:hint="eastAsia"/>
          <w:color w:val="auto"/>
          <w:highlight w:val="none"/>
        </w:rPr>
        <w:t>实施过程、协调与配合</w:t>
      </w:r>
      <w:bookmarkEnd w:id="7694"/>
      <w:bookmarkEnd w:id="7695"/>
      <w:bookmarkEnd w:id="7696"/>
      <w:bookmarkEnd w:id="7697"/>
    </w:p>
    <w:p>
      <w:pPr>
        <w:pStyle w:val="217"/>
        <w:rPr>
          <w:color w:val="auto"/>
          <w:highlight w:val="none"/>
        </w:rPr>
      </w:pPr>
      <w:r>
        <w:rPr>
          <w:color w:val="auto"/>
          <w:highlight w:val="none"/>
        </w:rPr>
        <w:t>1.</w:t>
      </w:r>
      <w:r>
        <w:rPr>
          <w:rFonts w:hint="eastAsia"/>
          <w:color w:val="auto"/>
          <w:highlight w:val="none"/>
        </w:rPr>
        <w:t>承包人须协助业主与政府有关部门及公用事业机构进行有效的协调和沟通。</w:t>
      </w:r>
    </w:p>
    <w:p>
      <w:pPr>
        <w:pStyle w:val="217"/>
        <w:rPr>
          <w:color w:val="auto"/>
          <w:highlight w:val="none"/>
        </w:rPr>
      </w:pPr>
      <w:r>
        <w:rPr>
          <w:color w:val="auto"/>
          <w:highlight w:val="none"/>
        </w:rPr>
        <w:t>2.</w:t>
      </w:r>
      <w:r>
        <w:rPr>
          <w:rFonts w:hint="eastAsia"/>
          <w:color w:val="auto"/>
          <w:highlight w:val="none"/>
        </w:rPr>
        <w:t>承包人须提供所需的有关资料，包括材料样品、产品说明书等向业主、监理申报，若所有送审的有关资料未能达到有关法规、规范、规程、合约及设计有关要求而需重新申报的，由此而导致工期延误及所引起的一切费用损失等全部由承包人负责。</w:t>
      </w:r>
    </w:p>
    <w:p>
      <w:pPr>
        <w:pStyle w:val="217"/>
        <w:rPr>
          <w:color w:val="auto"/>
          <w:highlight w:val="none"/>
        </w:rPr>
      </w:pPr>
      <w:r>
        <w:rPr>
          <w:color w:val="auto"/>
          <w:highlight w:val="none"/>
        </w:rPr>
        <w:t>3.</w:t>
      </w:r>
      <w:r>
        <w:rPr>
          <w:rFonts w:hint="eastAsia"/>
          <w:color w:val="auto"/>
          <w:highlight w:val="none"/>
        </w:rPr>
        <w:t>如因承包人与业主、监理缺乏协调而导致已完工程造成质量缺陷的，承包人除须支付所有有关的费用和负由此而导致工期延误的责任外，仍须对业主作出相应的赔偿。</w:t>
      </w:r>
    </w:p>
    <w:p>
      <w:pPr>
        <w:pStyle w:val="217"/>
        <w:rPr>
          <w:color w:val="auto"/>
          <w:highlight w:val="none"/>
        </w:rPr>
      </w:pPr>
      <w:r>
        <w:rPr>
          <w:color w:val="auto"/>
          <w:highlight w:val="none"/>
        </w:rPr>
        <w:t>4.</w:t>
      </w:r>
      <w:r>
        <w:rPr>
          <w:rFonts w:hint="eastAsia"/>
          <w:color w:val="auto"/>
          <w:highlight w:val="none"/>
        </w:rPr>
        <w:t>承包人应负责与设计单位在设计范围内进行协调，由于缺乏协调而导致工期延误和费用增加，承包人须对业主做出相应的赔偿。</w:t>
      </w:r>
    </w:p>
    <w:p>
      <w:pPr>
        <w:pStyle w:val="217"/>
        <w:rPr>
          <w:color w:val="auto"/>
          <w:highlight w:val="none"/>
        </w:rPr>
      </w:pPr>
      <w:r>
        <w:rPr>
          <w:color w:val="auto"/>
          <w:highlight w:val="none"/>
        </w:rPr>
        <w:t>5.</w:t>
      </w:r>
      <w:r>
        <w:rPr>
          <w:rFonts w:hint="eastAsia"/>
          <w:color w:val="auto"/>
          <w:highlight w:val="none"/>
        </w:rPr>
        <w:t>承包人应在图纸会审前对设计文件做全面复核。对于图纸中明显的错漏之处（如某专业图纸自身矛盾、各专业图纸相互矛盾、设计图纸表达不清等），承包商应在图纸会审之中提出，或者在相关内容施工前</w:t>
      </w:r>
      <w:r>
        <w:rPr>
          <w:color w:val="auto"/>
          <w:highlight w:val="none"/>
        </w:rPr>
        <w:t>7</w:t>
      </w:r>
      <w:r>
        <w:rPr>
          <w:rFonts w:hint="eastAsia"/>
          <w:color w:val="auto"/>
          <w:highlight w:val="none"/>
        </w:rPr>
        <w:t>天提出，以便给予相关单位充足的处理时间；对于其他对施工影响重大的问题，如实际施工可能难于达到业主、监理或设计标准者，设备尺寸与结构设计尺寸矛盾，造成设备无法安放等，承包商应在图纸会审之中提出，或者在相关内容施工前</w:t>
      </w:r>
      <w:r>
        <w:rPr>
          <w:color w:val="auto"/>
          <w:highlight w:val="none"/>
        </w:rPr>
        <w:t>28</w:t>
      </w:r>
      <w:r>
        <w:rPr>
          <w:rFonts w:hint="eastAsia"/>
          <w:color w:val="auto"/>
          <w:highlight w:val="none"/>
        </w:rPr>
        <w:t>天提出，以便给予相关单位充足的处理时间。否则，承包人不得以上述情况作为工期延误的理由。</w:t>
      </w:r>
    </w:p>
    <w:p>
      <w:pPr>
        <w:pStyle w:val="217"/>
        <w:rPr>
          <w:color w:val="auto"/>
          <w:highlight w:val="none"/>
        </w:rPr>
      </w:pPr>
      <w:r>
        <w:rPr>
          <w:color w:val="auto"/>
          <w:highlight w:val="none"/>
        </w:rPr>
        <w:t>6.</w:t>
      </w:r>
      <w:r>
        <w:rPr>
          <w:rFonts w:hint="eastAsia"/>
          <w:color w:val="auto"/>
          <w:highlight w:val="none"/>
        </w:rPr>
        <w:t>承包人应按照合同及招标文件约定的时间提交施工组织设计及重要的专项施工方案（由监理工程师根据工程特点确定）文件，以便监理工程师组织设计等相关单位进行会审，施工组织设计及专项施工方案必须经监理审批后实施。</w:t>
      </w:r>
    </w:p>
    <w:p>
      <w:pPr>
        <w:pStyle w:val="217"/>
        <w:rPr>
          <w:color w:val="auto"/>
          <w:highlight w:val="none"/>
        </w:rPr>
      </w:pPr>
      <w:r>
        <w:rPr>
          <w:color w:val="auto"/>
          <w:highlight w:val="none"/>
        </w:rPr>
        <w:t>7.</w:t>
      </w:r>
      <w:r>
        <w:rPr>
          <w:rFonts w:hint="eastAsia"/>
          <w:color w:val="auto"/>
          <w:highlight w:val="none"/>
        </w:rPr>
        <w:t>承包人负责的其他工作：</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）承包人范围内和发包人指定专业承包范围内的综合管线图的绘制。</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）按需要配合发包人指定指定承包人完成穿越混凝土墙壁、楼板等各类套管的预埋工作。</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）按总体施工进度，对孔洞和井坑进行回填修补及抹面（承包人与指定承包人的工程界面划分以《</w:t>
      </w:r>
      <w:r>
        <w:rPr>
          <w:rFonts w:hint="eastAsia"/>
          <w:color w:val="auto"/>
          <w:highlight w:val="none"/>
          <w:u w:val="single"/>
        </w:rPr>
        <w:t xml:space="preserve"> </w:t>
      </w:r>
      <w:r>
        <w:rPr>
          <w:color w:val="auto"/>
          <w:highlight w:val="none"/>
          <w:u w:val="single"/>
        </w:rPr>
        <w:t xml:space="preserve">                </w:t>
      </w:r>
      <w:r>
        <w:rPr>
          <w:rFonts w:hint="eastAsia"/>
          <w:color w:val="auto"/>
          <w:highlight w:val="none"/>
        </w:rPr>
        <w:t>工程界面划分》为准。但本承包人必须在完成其工作后，即时以书面通知指定承包人并确认可以进行回填、封闭、修补等工作。因缺乏书面通知而发生遗漏，继而引起返工等所有损失由本承包人负责。</w:t>
      </w:r>
    </w:p>
    <w:p>
      <w:pPr>
        <w:pStyle w:val="217"/>
        <w:rPr>
          <w:color w:val="auto"/>
          <w:highlight w:val="none"/>
        </w:rPr>
      </w:pPr>
      <w:r>
        <w:rPr>
          <w:color w:val="auto"/>
          <w:highlight w:val="none"/>
        </w:rPr>
        <w:t>8.</w:t>
      </w:r>
      <w:r>
        <w:rPr>
          <w:rFonts w:hint="eastAsia"/>
          <w:color w:val="auto"/>
          <w:highlight w:val="none"/>
        </w:rPr>
        <w:t>与指定承包人单位的协调及配合：</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）承包人须与本项目指定承包人单位协调与合作，以确保在分工点上能与指定承包人单位满意地配合，并确保其负责的工作是按照正确的程序和方式进行。</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）承包人须遵从业主和监理工程师分发且经设计签字、盖章批准的施工图纸进行施工。否则而导致建筑工程的修改或返工，承包人须负所有责任。</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）涉及有关本工程范围内的其他专业需配合的有关事项，须按已定的工程进度计划预先通知其他承包人。若土建工作完成后要求增加孔洞预留的，除设计变更引起外，所增加有关的费用将由承包人负责。</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）在主体施工期间，承包人须负责确保所有与空调、水、电、燃气等工作的配合。</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）承包人须与指定承包人单位的协调，使土建工作能满足工程进度。因缺乏协调而造成的一切后果如延误工期等，将由承包人负责。</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）承包人负责电梯供应商提供的电梯井道预埋件、电梯召唤面板底盒孔洞的预留；楼层显示孔洞的预留；电梯门套的填缝。提供电梯的标高、定位。</w:t>
      </w:r>
    </w:p>
    <w:p>
      <w:pPr>
        <w:pStyle w:val="217"/>
        <w:rPr>
          <w:color w:val="auto"/>
          <w:highlight w:val="none"/>
        </w:rPr>
      </w:pPr>
      <w:r>
        <w:rPr>
          <w:color w:val="auto"/>
          <w:highlight w:val="none"/>
        </w:rPr>
        <w:t>9.</w:t>
      </w:r>
      <w:r>
        <w:rPr>
          <w:rFonts w:hint="eastAsia"/>
          <w:color w:val="auto"/>
          <w:highlight w:val="none"/>
        </w:rPr>
        <w:t>其它</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承包人有义务在投标前到现场考察，以便对拟建场地及周围环境进行了解，在投标中充分考虑到进场临时道路、临时用水排水、临时用电、环境保护、文明施工、安全施工、临时设施、夜间施工、二次搬运、大型机械设备进、出场及安、拆，混凝土、钢筋混凝土、模板及支架、脚手架、已完工程及设施的保护，施工排水、降水、防洪防汛等措施。</w:t>
      </w:r>
      <w:r>
        <w:rPr>
          <w:color w:val="auto"/>
          <w:highlight w:val="none"/>
        </w:rPr>
        <w:t xml:space="preserve">                                                                                                                                                                                                                                                                                                                                                                                                                                                                                                                                                                                                                                                                                                                                                                                                                                                                                                                                                                                                                                                                                                                                                                                                                                                                                                                                                                                                                                                                                                                                                                                                                                                                                                                                                                                                                                                                                                                                                                                                                                                                                                                                                                                                                                                                                                                                                                                                                                                                                                                                                                                                                                                                                                                                                                                                                                                                                                                                                                                                                                                                                                                                                                                                                                                                                                                                                                                                                                                                                                                                                                                                                                                                                                                                                                          </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承包人应严把质量关，凡因施工质量低劣引起的返工、补强、停工等所产生的费用和工期延误，均由承包人负责。如监理或发包人对承包人的工程质量有疑问时，监理或发包人可以委托具有资质的检测单位对其进行检测，检测结果合格，所发生的费用由发包人承担，反之，由承包人负责。</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）按规范留置同条件养护试件，结构实体钢筋保护层厚度检验的定位点及数量应经监理工程师核定，相关检验费用均包括在本次投标报价范围内。</w:t>
      </w:r>
    </w:p>
    <w:p>
      <w:pPr>
        <w:pStyle w:val="113"/>
        <w:spacing w:before="120" w:after="120"/>
        <w:outlineLvl w:val="2"/>
        <w:rPr>
          <w:color w:val="auto"/>
          <w:highlight w:val="none"/>
        </w:rPr>
      </w:pPr>
      <w:bookmarkStart w:id="7698" w:name="_Toc505345718"/>
      <w:bookmarkStart w:id="7699" w:name="_Toc66890400"/>
      <w:bookmarkStart w:id="7700" w:name="_Toc69114146"/>
      <w:bookmarkStart w:id="7701" w:name="_Toc66634405"/>
      <w:r>
        <w:rPr>
          <w:color w:val="auto"/>
          <w:highlight w:val="none"/>
        </w:rPr>
        <w:t xml:space="preserve">2.2 </w:t>
      </w:r>
      <w:r>
        <w:rPr>
          <w:rFonts w:hint="eastAsia"/>
          <w:color w:val="auto"/>
          <w:highlight w:val="none"/>
        </w:rPr>
        <w:t>深化设计</w:t>
      </w:r>
      <w:bookmarkEnd w:id="7698"/>
      <w:bookmarkEnd w:id="7699"/>
      <w:bookmarkEnd w:id="7700"/>
      <w:bookmarkEnd w:id="7701"/>
    </w:p>
    <w:p>
      <w:pPr>
        <w:pStyle w:val="217"/>
        <w:rPr>
          <w:color w:val="auto"/>
          <w:highlight w:val="none"/>
        </w:rPr>
      </w:pPr>
      <w:r>
        <w:rPr>
          <w:rFonts w:hint="eastAsia"/>
          <w:color w:val="auto"/>
          <w:highlight w:val="none"/>
        </w:rPr>
        <w:t>深化的设计图纸，如门窗、幕墙、装修工程以及其它需要深化设计的内容，应满足施工技术要求，且必须经过设计单位确认，监理单位同意方可实施。需要进行强审的深化设计，必须请原强审单位审核，所发生的相关费用由承包人承担。</w:t>
      </w:r>
    </w:p>
    <w:p>
      <w:pPr>
        <w:pStyle w:val="113"/>
        <w:spacing w:before="120" w:after="120"/>
        <w:outlineLvl w:val="2"/>
        <w:rPr>
          <w:color w:val="auto"/>
          <w:highlight w:val="none"/>
        </w:rPr>
      </w:pPr>
      <w:bookmarkStart w:id="7702" w:name="_Toc66634406"/>
      <w:bookmarkStart w:id="7703" w:name="_Toc69114147"/>
      <w:bookmarkStart w:id="7704" w:name="_Toc505345719"/>
      <w:bookmarkStart w:id="7705" w:name="_Toc66890401"/>
      <w:r>
        <w:rPr>
          <w:color w:val="auto"/>
          <w:highlight w:val="none"/>
        </w:rPr>
        <w:t xml:space="preserve">2.3 </w:t>
      </w:r>
      <w:r>
        <w:rPr>
          <w:rFonts w:hint="eastAsia"/>
          <w:color w:val="auto"/>
          <w:highlight w:val="none"/>
        </w:rPr>
        <w:t>材料及设备</w:t>
      </w:r>
      <w:bookmarkEnd w:id="7702"/>
      <w:bookmarkEnd w:id="7703"/>
      <w:bookmarkEnd w:id="7704"/>
      <w:bookmarkEnd w:id="7705"/>
    </w:p>
    <w:p>
      <w:pPr>
        <w:pStyle w:val="172"/>
        <w:rPr>
          <w:color w:val="auto"/>
          <w:highlight w:val="none"/>
        </w:rPr>
      </w:pPr>
      <w:r>
        <w:rPr>
          <w:color w:val="auto"/>
          <w:highlight w:val="none"/>
        </w:rPr>
        <w:t xml:space="preserve">2.3.1 </w:t>
      </w:r>
      <w:r>
        <w:rPr>
          <w:rFonts w:hint="eastAsia"/>
          <w:color w:val="auto"/>
          <w:highlight w:val="none"/>
        </w:rPr>
        <w:t>材料进场前的要求</w:t>
      </w:r>
    </w:p>
    <w:p>
      <w:pPr>
        <w:pStyle w:val="217"/>
        <w:rPr>
          <w:color w:val="auto"/>
          <w:highlight w:val="none"/>
        </w:rPr>
      </w:pPr>
      <w:r>
        <w:rPr>
          <w:color w:val="auto"/>
          <w:highlight w:val="none"/>
        </w:rPr>
        <w:t>1.</w:t>
      </w:r>
      <w:r>
        <w:rPr>
          <w:rFonts w:hint="eastAsia"/>
          <w:color w:val="auto"/>
          <w:highlight w:val="none"/>
        </w:rPr>
        <w:t>仔细阅读工程设计文件、施工合同、施工组织设计及其它与工程所用材料有关的文件，熟悉这些文件对材料品种、规格、型号、强度等级、生产厂家与商标的规定要求。</w:t>
      </w:r>
    </w:p>
    <w:p>
      <w:pPr>
        <w:pStyle w:val="217"/>
        <w:rPr>
          <w:color w:val="auto"/>
          <w:highlight w:val="none"/>
        </w:rPr>
      </w:pPr>
      <w:r>
        <w:rPr>
          <w:color w:val="auto"/>
          <w:highlight w:val="none"/>
        </w:rPr>
        <w:t>2.</w:t>
      </w:r>
      <w:r>
        <w:rPr>
          <w:rFonts w:hint="eastAsia"/>
          <w:color w:val="auto"/>
          <w:highlight w:val="none"/>
        </w:rPr>
        <w:t>认真查阅所用材料的质量标准，对材料的基本性质、应用特性、适用范围应全面了解。</w:t>
      </w:r>
    </w:p>
    <w:p>
      <w:pPr>
        <w:pStyle w:val="217"/>
        <w:rPr>
          <w:color w:val="auto"/>
          <w:highlight w:val="none"/>
        </w:rPr>
      </w:pPr>
      <w:r>
        <w:rPr>
          <w:color w:val="auto"/>
          <w:highlight w:val="none"/>
        </w:rPr>
        <w:t>3.</w:t>
      </w:r>
      <w:r>
        <w:rPr>
          <w:rFonts w:hint="eastAsia"/>
          <w:color w:val="auto"/>
          <w:highlight w:val="none"/>
        </w:rPr>
        <w:t>掌握材料信息，对重要的材料、构配件及设备在订货前必须征得监理同意报业主备案方可订货。</w:t>
      </w:r>
    </w:p>
    <w:p>
      <w:pPr>
        <w:pStyle w:val="172"/>
        <w:rPr>
          <w:color w:val="auto"/>
          <w:highlight w:val="none"/>
        </w:rPr>
      </w:pPr>
      <w:r>
        <w:rPr>
          <w:color w:val="auto"/>
          <w:highlight w:val="none"/>
        </w:rPr>
        <w:t xml:space="preserve">2.3.2 </w:t>
      </w:r>
      <w:r>
        <w:rPr>
          <w:rFonts w:hint="eastAsia"/>
          <w:color w:val="auto"/>
          <w:highlight w:val="none"/>
        </w:rPr>
        <w:t>材料进场时的要求</w:t>
      </w:r>
    </w:p>
    <w:p>
      <w:pPr>
        <w:pStyle w:val="217"/>
        <w:rPr>
          <w:color w:val="auto"/>
          <w:highlight w:val="none"/>
        </w:rPr>
      </w:pPr>
      <w:r>
        <w:rPr>
          <w:color w:val="auto"/>
          <w:highlight w:val="none"/>
        </w:rPr>
        <w:t>1.</w:t>
      </w:r>
      <w:r>
        <w:rPr>
          <w:rFonts w:hint="eastAsia"/>
          <w:color w:val="auto"/>
          <w:highlight w:val="none"/>
        </w:rPr>
        <w:t>物单必须相符。如有任何一项不符，应进行退货或要求供应商进一步提供材料的相关资料。</w:t>
      </w:r>
    </w:p>
    <w:p>
      <w:pPr>
        <w:pStyle w:val="217"/>
        <w:rPr>
          <w:color w:val="auto"/>
          <w:highlight w:val="none"/>
        </w:rPr>
      </w:pPr>
      <w:r>
        <w:rPr>
          <w:color w:val="auto"/>
          <w:highlight w:val="none"/>
        </w:rPr>
        <w:t>2.</w:t>
      </w:r>
      <w:r>
        <w:rPr>
          <w:rFonts w:hint="eastAsia"/>
          <w:color w:val="auto"/>
          <w:highlight w:val="none"/>
        </w:rPr>
        <w:t>进入施工现场的各种原材料、半成品、构配件都必须有相应的质量保证资料。</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）生产许可证或使用许可证。</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）产品合格证、质量证明书或质量试验报告单。合格证等都必须盖有单位的红章并标明出厂日期、生产批号或产品编号。</w:t>
      </w:r>
    </w:p>
    <w:p>
      <w:pPr>
        <w:pStyle w:val="172"/>
        <w:rPr>
          <w:color w:val="auto"/>
          <w:highlight w:val="none"/>
        </w:rPr>
      </w:pPr>
      <w:r>
        <w:rPr>
          <w:color w:val="auto"/>
          <w:highlight w:val="none"/>
        </w:rPr>
        <w:t xml:space="preserve">2.3.3 </w:t>
      </w:r>
      <w:r>
        <w:rPr>
          <w:rFonts w:hint="eastAsia"/>
          <w:color w:val="auto"/>
          <w:highlight w:val="none"/>
        </w:rPr>
        <w:t>材料进场后的要求</w:t>
      </w:r>
    </w:p>
    <w:p>
      <w:pPr>
        <w:pStyle w:val="217"/>
        <w:rPr>
          <w:color w:val="auto"/>
          <w:highlight w:val="none"/>
        </w:rPr>
      </w:pPr>
      <w:r>
        <w:rPr>
          <w:color w:val="auto"/>
          <w:highlight w:val="none"/>
        </w:rPr>
        <w:t>1.</w:t>
      </w:r>
      <w:r>
        <w:rPr>
          <w:rFonts w:hint="eastAsia"/>
          <w:color w:val="auto"/>
          <w:highlight w:val="none"/>
        </w:rPr>
        <w:t>施工现场材料的基本要求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）工程上使用的所有原材料、半成品、构配件及设备，都必须事先经监理工程师审批后方可进入施工现场。</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）施工现场不能存放与本工程无关或不合格的材料。</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）所有进入现场的原材料与提交的资料在规格、型号、品种、编号上必须一致。</w:t>
      </w:r>
    </w:p>
    <w:p>
      <w:pPr>
        <w:pStyle w:val="217"/>
        <w:rPr>
          <w:color w:val="auto"/>
          <w:highlight w:val="none"/>
        </w:rPr>
      </w:pPr>
      <w:r>
        <w:rPr>
          <w:color w:val="auto"/>
          <w:highlight w:val="none"/>
        </w:rPr>
        <w:t>2.</w:t>
      </w:r>
      <w:r>
        <w:rPr>
          <w:rFonts w:hint="eastAsia"/>
          <w:color w:val="auto"/>
          <w:highlight w:val="none"/>
        </w:rPr>
        <w:t>按国家与地方有关规定的取样方法与取样频率进行抽样送检</w:t>
      </w:r>
    </w:p>
    <w:p>
      <w:pPr>
        <w:pStyle w:val="217"/>
        <w:rPr>
          <w:color w:val="auto"/>
          <w:highlight w:val="none"/>
        </w:rPr>
      </w:pPr>
      <w:r>
        <w:rPr>
          <w:rFonts w:hint="eastAsia"/>
          <w:color w:val="auto"/>
          <w:highlight w:val="none"/>
        </w:rPr>
        <w:t>本工程见证取样送检材料</w:t>
      </w:r>
      <w:r>
        <w:rPr>
          <w:rFonts w:hint="eastAsia"/>
          <w:color w:val="auto"/>
          <w:highlight w:val="none"/>
          <w:lang w:eastAsia="zh-CN"/>
        </w:rPr>
        <w:t>由发包人委托的单位进行</w:t>
      </w:r>
      <w:r>
        <w:rPr>
          <w:rFonts w:hint="eastAsia"/>
          <w:color w:val="auto"/>
          <w:highlight w:val="none"/>
        </w:rPr>
        <w:t>检测。</w:t>
      </w:r>
    </w:p>
    <w:p>
      <w:pPr>
        <w:pStyle w:val="217"/>
        <w:rPr>
          <w:color w:val="auto"/>
          <w:highlight w:val="none"/>
        </w:rPr>
      </w:pPr>
      <w:r>
        <w:rPr>
          <w:color w:val="auto"/>
          <w:highlight w:val="none"/>
        </w:rPr>
        <w:t>3.</w:t>
      </w:r>
      <w:r>
        <w:rPr>
          <w:rFonts w:hint="eastAsia"/>
          <w:color w:val="auto"/>
          <w:highlight w:val="none"/>
        </w:rPr>
        <w:t>合理组织材料供应，确保施工正常进行</w:t>
      </w:r>
    </w:p>
    <w:p>
      <w:pPr>
        <w:pStyle w:val="217"/>
        <w:rPr>
          <w:color w:val="auto"/>
          <w:highlight w:val="none"/>
        </w:rPr>
      </w:pPr>
      <w:r>
        <w:rPr>
          <w:rFonts w:hint="eastAsia"/>
          <w:color w:val="auto"/>
          <w:highlight w:val="none"/>
        </w:rPr>
        <w:t>承包商要合理地、科学地组织材料采购、加工、储备、运输，建立严密的计划、调度与管理体系，加快材料的周转，减少材料的占用量，按质、按量、如期地满足建设需要。</w:t>
      </w:r>
    </w:p>
    <w:p>
      <w:pPr>
        <w:pStyle w:val="217"/>
        <w:rPr>
          <w:color w:val="auto"/>
          <w:highlight w:val="none"/>
        </w:rPr>
      </w:pPr>
      <w:r>
        <w:rPr>
          <w:color w:val="auto"/>
          <w:highlight w:val="none"/>
        </w:rPr>
        <w:t>4.</w:t>
      </w:r>
      <w:r>
        <w:rPr>
          <w:rFonts w:hint="eastAsia"/>
          <w:color w:val="auto"/>
          <w:highlight w:val="none"/>
        </w:rPr>
        <w:t>合理组织材料使用，减少材料的损失，正确按定额计量使用材料。加强运输和仓库保管工作，加强材料限额管理和发放工作，健全现场管理制度以避免材料损失。</w:t>
      </w:r>
    </w:p>
    <w:p>
      <w:pPr>
        <w:pStyle w:val="217"/>
        <w:rPr>
          <w:color w:val="auto"/>
          <w:highlight w:val="none"/>
        </w:rPr>
      </w:pPr>
      <w:r>
        <w:rPr>
          <w:color w:val="auto"/>
          <w:highlight w:val="none"/>
        </w:rPr>
        <w:t>5.</w:t>
      </w:r>
      <w:r>
        <w:rPr>
          <w:rFonts w:hint="eastAsia"/>
          <w:color w:val="auto"/>
          <w:highlight w:val="none"/>
        </w:rPr>
        <w:t>未经监理工程师签字，建筑材料、建筑构配件和设备不得在工程上使用或者安装，承包人不得进行下一道工序的施工。</w:t>
      </w:r>
    </w:p>
    <w:p>
      <w:pPr>
        <w:pStyle w:val="172"/>
        <w:rPr>
          <w:color w:val="auto"/>
          <w:highlight w:val="none"/>
        </w:rPr>
      </w:pPr>
      <w:r>
        <w:rPr>
          <w:color w:val="auto"/>
          <w:highlight w:val="none"/>
        </w:rPr>
        <w:t xml:space="preserve">2.3.4 </w:t>
      </w:r>
      <w:r>
        <w:rPr>
          <w:rFonts w:hint="eastAsia"/>
          <w:color w:val="auto"/>
          <w:highlight w:val="none"/>
        </w:rPr>
        <w:t>材料技术参数</w:t>
      </w:r>
    </w:p>
    <w:p>
      <w:pPr>
        <w:pStyle w:val="217"/>
        <w:rPr>
          <w:color w:val="auto"/>
          <w:highlight w:val="none"/>
        </w:rPr>
      </w:pPr>
      <w:r>
        <w:rPr>
          <w:color w:val="auto"/>
          <w:highlight w:val="none"/>
        </w:rPr>
        <w:t>1.</w:t>
      </w:r>
      <w:r>
        <w:rPr>
          <w:rFonts w:hint="eastAsia"/>
          <w:color w:val="auto"/>
          <w:highlight w:val="none"/>
        </w:rPr>
        <w:t>承包人必须满足设计提交的材料清单所示规格要求，并提供实物样品和颜色色板，并由发包人、设计、监理确定。</w:t>
      </w:r>
    </w:p>
    <w:p>
      <w:pPr>
        <w:pStyle w:val="217"/>
        <w:rPr>
          <w:color w:val="auto"/>
          <w:highlight w:val="none"/>
        </w:rPr>
      </w:pPr>
      <w:r>
        <w:rPr>
          <w:color w:val="auto"/>
          <w:highlight w:val="none"/>
        </w:rPr>
        <w:t>2.</w:t>
      </w:r>
      <w:r>
        <w:rPr>
          <w:rFonts w:hint="eastAsia"/>
          <w:color w:val="auto"/>
          <w:highlight w:val="none"/>
        </w:rPr>
        <w:t>所用材料的品种、规格和质量须符合设计要求和国家现行标准的规定。当设计无要求时应符合国家现行标准的规定，严禁使用国家明令淘汰的材料。</w:t>
      </w:r>
    </w:p>
    <w:p>
      <w:pPr>
        <w:pStyle w:val="217"/>
        <w:rPr>
          <w:color w:val="auto"/>
          <w:highlight w:val="none"/>
        </w:rPr>
      </w:pPr>
      <w:r>
        <w:rPr>
          <w:color w:val="auto"/>
          <w:highlight w:val="none"/>
        </w:rPr>
        <w:t>3.</w:t>
      </w:r>
      <w:r>
        <w:rPr>
          <w:rFonts w:hint="eastAsia"/>
          <w:color w:val="auto"/>
          <w:highlight w:val="none"/>
        </w:rPr>
        <w:t>所用材料的燃烧性应符合现行国家标准《建筑内部装修设计防火规范》（</w:t>
      </w:r>
      <w:r>
        <w:rPr>
          <w:color w:val="auto"/>
          <w:highlight w:val="none"/>
        </w:rPr>
        <w:t>GB50222-1995</w:t>
      </w:r>
      <w:r>
        <w:rPr>
          <w:rFonts w:hint="eastAsia"/>
          <w:color w:val="auto"/>
          <w:highlight w:val="none"/>
        </w:rPr>
        <w:t>）、《建筑设计防火规范》（</w:t>
      </w:r>
      <w:r>
        <w:rPr>
          <w:color w:val="auto"/>
          <w:highlight w:val="none"/>
        </w:rPr>
        <w:t>GB50016-2014</w:t>
      </w:r>
      <w:r>
        <w:rPr>
          <w:rFonts w:hint="eastAsia"/>
          <w:color w:val="auto"/>
          <w:highlight w:val="none"/>
        </w:rPr>
        <w:t>）的相关要求。</w:t>
      </w:r>
    </w:p>
    <w:p>
      <w:pPr>
        <w:pStyle w:val="217"/>
        <w:rPr>
          <w:color w:val="auto"/>
          <w:highlight w:val="none"/>
        </w:rPr>
      </w:pPr>
      <w:r>
        <w:rPr>
          <w:color w:val="auto"/>
          <w:highlight w:val="none"/>
        </w:rPr>
        <w:t>4.</w:t>
      </w:r>
      <w:r>
        <w:rPr>
          <w:rFonts w:hint="eastAsia"/>
          <w:color w:val="auto"/>
          <w:highlight w:val="none"/>
        </w:rPr>
        <w:t>所用材料应符合国家有关建筑装饰装修材料有害物质限量标准的规定。</w:t>
      </w:r>
    </w:p>
    <w:p>
      <w:pPr>
        <w:pStyle w:val="217"/>
        <w:rPr>
          <w:color w:val="auto"/>
          <w:highlight w:val="none"/>
        </w:rPr>
      </w:pPr>
      <w:r>
        <w:rPr>
          <w:color w:val="auto"/>
          <w:highlight w:val="none"/>
        </w:rPr>
        <w:t>5.</w:t>
      </w:r>
      <w:r>
        <w:rPr>
          <w:rFonts w:hint="eastAsia"/>
          <w:color w:val="auto"/>
          <w:highlight w:val="none"/>
        </w:rPr>
        <w:t>所有材料进场时应对品种、规格、外观和尺寸进行验收。材料包装应完好，应有产品合格证书、中文说明书及相关性能的检测报告；进口产品应按规定进行商品检验。</w:t>
      </w:r>
    </w:p>
    <w:p>
      <w:pPr>
        <w:pStyle w:val="217"/>
        <w:rPr>
          <w:color w:val="auto"/>
          <w:highlight w:val="none"/>
        </w:rPr>
      </w:pPr>
      <w:r>
        <w:rPr>
          <w:color w:val="auto"/>
          <w:highlight w:val="none"/>
        </w:rPr>
        <w:t>6.</w:t>
      </w:r>
      <w:r>
        <w:rPr>
          <w:rFonts w:hint="eastAsia"/>
          <w:color w:val="auto"/>
          <w:highlight w:val="none"/>
        </w:rPr>
        <w:t>进场后需进行复检的材料种类及项目应符合《建筑装饰装修工程质量验收规范》（</w:t>
      </w:r>
      <w:r>
        <w:rPr>
          <w:color w:val="auto"/>
          <w:highlight w:val="none"/>
        </w:rPr>
        <w:t>GB50210-2001</w:t>
      </w:r>
      <w:r>
        <w:rPr>
          <w:rFonts w:hint="eastAsia"/>
          <w:color w:val="auto"/>
          <w:highlight w:val="none"/>
        </w:rPr>
        <w:t>）各章的规定。同一厂家生产的同一品种、同一类型的进场材料应至少抽取一组样品进行复检，当合同另有约定时应按合同执行。</w:t>
      </w:r>
    </w:p>
    <w:p>
      <w:pPr>
        <w:pStyle w:val="217"/>
        <w:rPr>
          <w:color w:val="auto"/>
          <w:highlight w:val="none"/>
        </w:rPr>
      </w:pPr>
      <w:r>
        <w:rPr>
          <w:color w:val="auto"/>
          <w:highlight w:val="none"/>
        </w:rPr>
        <w:t>7.</w:t>
      </w:r>
      <w:r>
        <w:rPr>
          <w:rFonts w:hint="eastAsia"/>
          <w:color w:val="auto"/>
          <w:highlight w:val="none"/>
        </w:rPr>
        <w:t>当国家规定或合同约定应对材料进行见证检测时，或对材料的质量发生争议时，应进行见证检测。</w:t>
      </w:r>
    </w:p>
    <w:p>
      <w:pPr>
        <w:pStyle w:val="217"/>
        <w:rPr>
          <w:color w:val="auto"/>
          <w:highlight w:val="none"/>
        </w:rPr>
      </w:pPr>
      <w:r>
        <w:rPr>
          <w:color w:val="auto"/>
          <w:highlight w:val="none"/>
        </w:rPr>
        <w:t>8.</w:t>
      </w:r>
      <w:r>
        <w:rPr>
          <w:rFonts w:hint="eastAsia"/>
          <w:color w:val="auto"/>
          <w:highlight w:val="none"/>
        </w:rPr>
        <w:t>承担建筑装饰装修材料检测的单位应具备相应的资质，并应建立质量管理体系。</w:t>
      </w:r>
    </w:p>
    <w:p>
      <w:pPr>
        <w:pStyle w:val="217"/>
        <w:rPr>
          <w:color w:val="auto"/>
          <w:highlight w:val="none"/>
        </w:rPr>
      </w:pPr>
      <w:r>
        <w:rPr>
          <w:color w:val="auto"/>
          <w:highlight w:val="none"/>
        </w:rPr>
        <w:t>9.</w:t>
      </w:r>
      <w:r>
        <w:rPr>
          <w:rFonts w:hint="eastAsia"/>
          <w:color w:val="auto"/>
          <w:highlight w:val="none"/>
        </w:rPr>
        <w:t>建筑装饰装修工程所使用的材料在运输、储存和施工过程中，必须采取有效措施防止损坏，变质和污染环境。</w:t>
      </w:r>
    </w:p>
    <w:p>
      <w:pPr>
        <w:pStyle w:val="217"/>
        <w:rPr>
          <w:color w:val="auto"/>
          <w:highlight w:val="none"/>
        </w:rPr>
      </w:pPr>
      <w:r>
        <w:rPr>
          <w:color w:val="auto"/>
          <w:highlight w:val="none"/>
        </w:rPr>
        <w:t>10.</w:t>
      </w:r>
      <w:r>
        <w:rPr>
          <w:rFonts w:hint="eastAsia"/>
          <w:color w:val="auto"/>
          <w:highlight w:val="none"/>
        </w:rPr>
        <w:t>建筑装饰装修工程所使用的材料应按设计要求进行防火、防腐和防虫处理。</w:t>
      </w:r>
    </w:p>
    <w:p>
      <w:pPr>
        <w:pStyle w:val="217"/>
        <w:rPr>
          <w:color w:val="auto"/>
          <w:highlight w:val="none"/>
        </w:rPr>
      </w:pPr>
      <w:r>
        <w:rPr>
          <w:color w:val="auto"/>
          <w:highlight w:val="none"/>
        </w:rPr>
        <w:t>11.</w:t>
      </w:r>
      <w:r>
        <w:rPr>
          <w:rFonts w:hint="eastAsia"/>
          <w:color w:val="auto"/>
          <w:highlight w:val="none"/>
        </w:rPr>
        <w:t>承包人施工前</w:t>
      </w:r>
      <w:r>
        <w:rPr>
          <w:color w:val="auto"/>
          <w:highlight w:val="none"/>
        </w:rPr>
        <w:t>1</w:t>
      </w:r>
      <w:r>
        <w:rPr>
          <w:rFonts w:hint="eastAsia"/>
          <w:color w:val="auto"/>
          <w:highlight w:val="none"/>
        </w:rPr>
        <w:t>个月提供主要材料的品牌和厂家报监理、设计、业主审批、考察、备案。凡未经审批合格或经检测不合格的材料，一律不得进场使用。否则，凡由此造成纠纷，影响工程质量、工期的由承包人承担全部责任。</w:t>
      </w:r>
    </w:p>
    <w:p>
      <w:pPr>
        <w:pStyle w:val="217"/>
        <w:rPr>
          <w:color w:val="auto"/>
          <w:highlight w:val="none"/>
        </w:rPr>
      </w:pPr>
      <w:r>
        <w:rPr>
          <w:color w:val="auto"/>
          <w:highlight w:val="none"/>
        </w:rPr>
        <w:t>12.</w:t>
      </w:r>
      <w:r>
        <w:rPr>
          <w:rFonts w:hint="eastAsia"/>
          <w:color w:val="auto"/>
          <w:highlight w:val="none"/>
        </w:rPr>
        <w:t>承包人必须响应土建工程材料表中对参考品牌的要求。特殊情况下采用其它替代品牌必须要获得发包人的书面批准方可使用，而且该设备和材料必须达到本招标文件的技术要求。</w:t>
      </w:r>
    </w:p>
    <w:p>
      <w:pPr>
        <w:rPr>
          <w:color w:val="auto"/>
          <w:highlight w:val="none"/>
        </w:rPr>
      </w:pPr>
    </w:p>
    <w:p>
      <w:pPr>
        <w:pStyle w:val="188"/>
        <w:spacing w:before="120" w:after="120"/>
        <w:outlineLvl w:val="1"/>
        <w:rPr>
          <w:color w:val="auto"/>
          <w:highlight w:val="none"/>
        </w:rPr>
      </w:pPr>
      <w:bookmarkStart w:id="7706" w:name="_Toc66634407"/>
      <w:bookmarkStart w:id="7707" w:name="_Toc66890402"/>
      <w:bookmarkStart w:id="7708" w:name="_Toc69114148"/>
      <w:bookmarkStart w:id="7709" w:name="_Toc505345720"/>
      <w:r>
        <w:rPr>
          <w:rFonts w:hint="eastAsia"/>
          <w:color w:val="auto"/>
          <w:highlight w:val="none"/>
        </w:rPr>
        <w:t>第</w:t>
      </w:r>
      <w:r>
        <w:rPr>
          <w:color w:val="auto"/>
          <w:highlight w:val="none"/>
        </w:rPr>
        <w:t>3</w:t>
      </w:r>
      <w:r>
        <w:rPr>
          <w:rFonts w:hint="eastAsia"/>
          <w:color w:val="auto"/>
          <w:highlight w:val="none"/>
        </w:rPr>
        <w:t>章</w:t>
      </w:r>
      <w:r>
        <w:rPr>
          <w:color w:val="auto"/>
          <w:highlight w:val="none"/>
        </w:rPr>
        <w:t xml:space="preserve">  </w:t>
      </w:r>
      <w:r>
        <w:rPr>
          <w:rFonts w:hint="eastAsia"/>
          <w:color w:val="auto"/>
          <w:highlight w:val="none"/>
        </w:rPr>
        <w:t>专用要求</w:t>
      </w:r>
      <w:bookmarkEnd w:id="7706"/>
      <w:bookmarkEnd w:id="7707"/>
      <w:bookmarkEnd w:id="7708"/>
      <w:bookmarkEnd w:id="7709"/>
    </w:p>
    <w:p>
      <w:pPr>
        <w:rPr>
          <w:color w:val="auto"/>
          <w:highlight w:val="none"/>
        </w:rPr>
      </w:pPr>
    </w:p>
    <w:p>
      <w:pPr>
        <w:pStyle w:val="217"/>
        <w:rPr>
          <w:color w:val="auto"/>
          <w:highlight w:val="none"/>
        </w:rPr>
      </w:pPr>
      <w:r>
        <w:rPr>
          <w:rFonts w:hint="eastAsia"/>
          <w:color w:val="auto"/>
          <w:highlight w:val="none"/>
        </w:rPr>
        <w:t>本专用要求须与</w:t>
      </w:r>
      <w:r>
        <w:rPr>
          <w:rFonts w:hint="eastAsia"/>
          <w:color w:val="auto"/>
          <w:highlight w:val="none"/>
          <w:u w:val="single"/>
        </w:rPr>
        <w:t xml:space="preserve"> </w:t>
      </w:r>
      <w:r>
        <w:rPr>
          <w:color w:val="auto"/>
          <w:highlight w:val="none"/>
          <w:u w:val="single"/>
        </w:rPr>
        <w:t xml:space="preserve">                     </w:t>
      </w:r>
      <w:r>
        <w:rPr>
          <w:rFonts w:hint="eastAsia"/>
          <w:color w:val="auto"/>
          <w:highlight w:val="none"/>
        </w:rPr>
        <w:t>工程施工图纸和经设计、业主、监理认可的深化设计图纸一起使用，专用要求未及之处应以图纸中的内容为主，工程应严格按图施工。除符合本专用要求外，承包商更应符合国家与地方的有关法律、法规和规范、规程要求。</w:t>
      </w:r>
    </w:p>
    <w:p>
      <w:pPr>
        <w:pStyle w:val="113"/>
        <w:spacing w:before="120" w:after="120"/>
        <w:outlineLvl w:val="2"/>
        <w:rPr>
          <w:rStyle w:val="306"/>
          <w:b w:val="0"/>
          <w:color w:val="auto"/>
          <w:sz w:val="36"/>
          <w:szCs w:val="20"/>
          <w:highlight w:val="none"/>
        </w:rPr>
      </w:pPr>
      <w:bookmarkStart w:id="7710" w:name="_Toc505345721"/>
      <w:bookmarkStart w:id="7711" w:name="_Toc66890403"/>
      <w:bookmarkStart w:id="7712" w:name="_Toc66634408"/>
      <w:bookmarkStart w:id="7713" w:name="_Toc69114149"/>
      <w:r>
        <w:rPr>
          <w:rStyle w:val="306"/>
          <w:b w:val="0"/>
          <w:color w:val="auto"/>
          <w:sz w:val="36"/>
          <w:szCs w:val="20"/>
          <w:highlight w:val="none"/>
        </w:rPr>
        <w:t xml:space="preserve">3.1 </w:t>
      </w:r>
      <w:r>
        <w:rPr>
          <w:rStyle w:val="306"/>
          <w:rFonts w:hint="eastAsia"/>
          <w:b w:val="0"/>
          <w:color w:val="auto"/>
          <w:sz w:val="36"/>
          <w:szCs w:val="20"/>
          <w:highlight w:val="none"/>
        </w:rPr>
        <w:t>基坑支护与土方工程</w:t>
      </w:r>
      <w:bookmarkEnd w:id="7710"/>
      <w:bookmarkEnd w:id="7711"/>
      <w:bookmarkEnd w:id="7712"/>
      <w:bookmarkEnd w:id="7713"/>
    </w:p>
    <w:p>
      <w:pPr>
        <w:pStyle w:val="172"/>
        <w:rPr>
          <w:color w:val="auto"/>
          <w:highlight w:val="none"/>
        </w:rPr>
      </w:pPr>
      <w:r>
        <w:rPr>
          <w:color w:val="auto"/>
          <w:highlight w:val="none"/>
        </w:rPr>
        <w:t xml:space="preserve">3.1.1 </w:t>
      </w:r>
      <w:r>
        <w:rPr>
          <w:rFonts w:hint="eastAsia"/>
          <w:color w:val="auto"/>
          <w:highlight w:val="none"/>
        </w:rPr>
        <w:t>基坑支护工程施工总体要求</w:t>
      </w:r>
    </w:p>
    <w:p>
      <w:pPr>
        <w:pStyle w:val="217"/>
        <w:rPr>
          <w:color w:val="auto"/>
          <w:highlight w:val="none"/>
        </w:rPr>
      </w:pPr>
      <w:r>
        <w:rPr>
          <w:color w:val="auto"/>
          <w:highlight w:val="none"/>
        </w:rPr>
        <w:t>1.</w:t>
      </w:r>
      <w:r>
        <w:rPr>
          <w:rFonts w:hint="eastAsia"/>
          <w:color w:val="auto"/>
          <w:highlight w:val="none"/>
        </w:rPr>
        <w:t>基坑支护施工总体要求：保证基坑安全和正常使用以及周边建筑物的安全使用，满足地下室及基础施工要求。</w:t>
      </w:r>
    </w:p>
    <w:p>
      <w:pPr>
        <w:pStyle w:val="217"/>
        <w:rPr>
          <w:color w:val="auto"/>
          <w:highlight w:val="none"/>
        </w:rPr>
      </w:pPr>
      <w:r>
        <w:rPr>
          <w:color w:val="auto"/>
          <w:highlight w:val="none"/>
        </w:rPr>
        <w:t>2.</w:t>
      </w:r>
      <w:r>
        <w:rPr>
          <w:rFonts w:hint="eastAsia"/>
          <w:color w:val="auto"/>
          <w:highlight w:val="none"/>
        </w:rPr>
        <w:t>应根据场地及周边区域工程地质条件、水文地质条件，周边环境情况和支护结构与基础型式的关系等因素，确定地下水的控制方法，进行抗渗稳定性验算，进行基坑底突涌稳定性验算，遇突发事件及时与设计院、业主、监理联系。</w:t>
      </w:r>
    </w:p>
    <w:p>
      <w:pPr>
        <w:pStyle w:val="217"/>
        <w:rPr>
          <w:color w:val="auto"/>
          <w:highlight w:val="none"/>
        </w:rPr>
      </w:pPr>
      <w:r>
        <w:rPr>
          <w:color w:val="auto"/>
          <w:highlight w:val="none"/>
        </w:rPr>
        <w:t>3.</w:t>
      </w:r>
      <w:r>
        <w:rPr>
          <w:rFonts w:hint="eastAsia"/>
          <w:color w:val="auto"/>
          <w:highlight w:val="none"/>
        </w:rPr>
        <w:t>要求编制基坑开挖与支护施工专项方案和施工过程中的监测措施报监理、业主审批。</w:t>
      </w:r>
    </w:p>
    <w:p>
      <w:pPr>
        <w:pStyle w:val="217"/>
        <w:rPr>
          <w:color w:val="auto"/>
          <w:highlight w:val="none"/>
        </w:rPr>
      </w:pPr>
      <w:r>
        <w:rPr>
          <w:color w:val="auto"/>
          <w:highlight w:val="none"/>
        </w:rPr>
        <w:t>4.</w:t>
      </w:r>
      <w:r>
        <w:rPr>
          <w:rFonts w:hint="eastAsia"/>
          <w:color w:val="auto"/>
          <w:highlight w:val="none"/>
        </w:rPr>
        <w:t>基坑支护施工特别说明：</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）本基坑结合明排、集水井抽水方式对地下水和地表水进行控制。</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）必要的施工坡道的预留。</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）施工必须充分考虑基础工程施工场地及施工安全的要求。</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）基坑土方须外运，现有施工出入口示意图如下所示：</w:t>
      </w:r>
    </w:p>
    <w:p>
      <w:pPr>
        <w:pStyle w:val="217"/>
        <w:ind w:firstLine="560"/>
        <w:jc w:val="center"/>
        <w:rPr>
          <w:color w:val="auto"/>
          <w:highlight w:val="none"/>
        </w:rPr>
      </w:pPr>
      <w:r>
        <w:rPr>
          <w:rFonts w:ascii="仿宋" w:hAnsi="仿宋" w:eastAsia="仿宋" w:cs="仿宋"/>
          <w:color w:val="auto"/>
          <w:sz w:val="28"/>
          <w:szCs w:val="28"/>
          <w:highlight w:val="none"/>
        </w:rPr>
        <w:drawing>
          <wp:inline distT="0" distB="0" distL="114300" distR="114300">
            <wp:extent cx="5273040" cy="4691380"/>
            <wp:effectExtent l="0" t="0" r="3810" b="13970"/>
            <wp:docPr id="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
                    <pic:cNvPicPr>
                      <a:picLocks noChangeAspect="1"/>
                    </pic:cNvPicPr>
                  </pic:nvPicPr>
                  <pic:blipFill>
                    <a:blip r:embed="rId96"/>
                    <a:stretch>
                      <a:fillRect/>
                    </a:stretch>
                  </pic:blipFill>
                  <pic:spPr>
                    <a:xfrm>
                      <a:off x="0" y="0"/>
                      <a:ext cx="5273040" cy="4691380"/>
                    </a:xfrm>
                    <a:prstGeom prst="rect">
                      <a:avLst/>
                    </a:prstGeom>
                    <a:noFill/>
                    <a:ln>
                      <a:noFill/>
                    </a:ln>
                  </pic:spPr>
                </pic:pic>
              </a:graphicData>
            </a:graphic>
          </wp:inline>
        </w:drawing>
      </w:r>
    </w:p>
    <w:p>
      <w:pPr>
        <w:pStyle w:val="172"/>
        <w:rPr>
          <w:color w:val="auto"/>
          <w:highlight w:val="none"/>
        </w:rPr>
      </w:pPr>
      <w:r>
        <w:rPr>
          <w:color w:val="auto"/>
          <w:highlight w:val="none"/>
        </w:rPr>
        <w:t xml:space="preserve">3.1.2 </w:t>
      </w:r>
      <w:r>
        <w:rPr>
          <w:rFonts w:hint="eastAsia"/>
          <w:color w:val="auto"/>
          <w:highlight w:val="none"/>
        </w:rPr>
        <w:t xml:space="preserve">基坑支护工程施工技术要求 </w:t>
      </w:r>
    </w:p>
    <w:p>
      <w:pPr>
        <w:pStyle w:val="119"/>
        <w:rPr>
          <w:color w:val="auto"/>
          <w:highlight w:val="none"/>
        </w:rPr>
      </w:pPr>
      <w:r>
        <w:rPr>
          <w:color w:val="auto"/>
          <w:highlight w:val="none"/>
        </w:rPr>
        <w:t xml:space="preserve">3.1.2.1 </w:t>
      </w:r>
      <w:r>
        <w:rPr>
          <w:rFonts w:hint="eastAsia"/>
          <w:color w:val="auto"/>
          <w:highlight w:val="none"/>
        </w:rPr>
        <w:t>基坑支护建筑材料和设备</w:t>
      </w:r>
    </w:p>
    <w:p>
      <w:pPr>
        <w:pStyle w:val="217"/>
        <w:rPr>
          <w:color w:val="auto"/>
          <w:highlight w:val="none"/>
        </w:rPr>
      </w:pPr>
      <w:r>
        <w:rPr>
          <w:color w:val="auto"/>
          <w:highlight w:val="none"/>
        </w:rPr>
        <w:t>1.</w:t>
      </w:r>
      <w:r>
        <w:rPr>
          <w:rFonts w:hint="eastAsia"/>
          <w:color w:val="auto"/>
          <w:highlight w:val="none"/>
        </w:rPr>
        <w:t>钢材</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）《钢筋混凝土用钢</w:t>
      </w:r>
      <w:r>
        <w:rPr>
          <w:color w:val="auto"/>
          <w:highlight w:val="none"/>
        </w:rPr>
        <w:t xml:space="preserve"> </w:t>
      </w:r>
      <w:r>
        <w:rPr>
          <w:rFonts w:hint="eastAsia"/>
          <w:color w:val="auto"/>
          <w:highlight w:val="none"/>
        </w:rPr>
        <w:t>第</w:t>
      </w:r>
      <w:r>
        <w:rPr>
          <w:color w:val="auto"/>
          <w:highlight w:val="none"/>
        </w:rPr>
        <w:t>1</w:t>
      </w:r>
      <w:r>
        <w:rPr>
          <w:rFonts w:hint="eastAsia"/>
          <w:color w:val="auto"/>
          <w:highlight w:val="none"/>
        </w:rPr>
        <w:t>部分：热轧光圆钢筋》</w:t>
      </w:r>
      <w:r>
        <w:rPr>
          <w:color w:val="auto"/>
          <w:highlight w:val="none"/>
        </w:rPr>
        <w:t>GB 1499.1-2008</w:t>
      </w:r>
      <w:r>
        <w:rPr>
          <w:rFonts w:hint="eastAsia"/>
          <w:color w:val="auto"/>
          <w:highlight w:val="none"/>
        </w:rPr>
        <w:t>及《钢筋混凝土用钢</w:t>
      </w:r>
      <w:r>
        <w:rPr>
          <w:color w:val="auto"/>
          <w:highlight w:val="none"/>
        </w:rPr>
        <w:t xml:space="preserve"> </w:t>
      </w:r>
      <w:r>
        <w:rPr>
          <w:rFonts w:hint="eastAsia"/>
          <w:color w:val="auto"/>
          <w:highlight w:val="none"/>
        </w:rPr>
        <w:t>第</w:t>
      </w:r>
      <w:r>
        <w:rPr>
          <w:color w:val="auto"/>
          <w:highlight w:val="none"/>
        </w:rPr>
        <w:t>2</w:t>
      </w:r>
      <w:r>
        <w:rPr>
          <w:rFonts w:hint="eastAsia"/>
          <w:color w:val="auto"/>
          <w:highlight w:val="none"/>
        </w:rPr>
        <w:t>部分：热轧带肋钢筋》</w:t>
      </w:r>
      <w:r>
        <w:rPr>
          <w:color w:val="auto"/>
          <w:highlight w:val="none"/>
        </w:rPr>
        <w:t>GB 1499.2-2007</w:t>
      </w:r>
      <w:r>
        <w:rPr>
          <w:rFonts w:hint="eastAsia"/>
          <w:color w:val="auto"/>
          <w:highlight w:val="none"/>
        </w:rPr>
        <w:t>的规定。</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）焊接材料：用电弧焊接</w:t>
      </w:r>
      <w:r>
        <w:rPr>
          <w:color w:val="auto"/>
          <w:highlight w:val="none"/>
        </w:rPr>
        <w:t>A3</w:t>
      </w:r>
      <w:r>
        <w:rPr>
          <w:rFonts w:hint="eastAsia"/>
          <w:color w:val="auto"/>
          <w:highlight w:val="none"/>
        </w:rPr>
        <w:t>钢和Ⅰ级钢筋时采用</w:t>
      </w:r>
      <w:r>
        <w:rPr>
          <w:color w:val="auto"/>
          <w:highlight w:val="none"/>
        </w:rPr>
        <w:t>E43</w:t>
      </w:r>
      <w:r>
        <w:rPr>
          <w:rFonts w:hint="eastAsia"/>
          <w:color w:val="auto"/>
          <w:highlight w:val="none"/>
        </w:rPr>
        <w:t>焊条。焊接Ⅱ级钢筋时用</w:t>
      </w:r>
      <w:r>
        <w:rPr>
          <w:color w:val="auto"/>
          <w:highlight w:val="none"/>
        </w:rPr>
        <w:t>E50</w:t>
      </w:r>
      <w:r>
        <w:rPr>
          <w:rFonts w:hint="eastAsia"/>
          <w:color w:val="auto"/>
          <w:highlight w:val="none"/>
        </w:rPr>
        <w:t>焊条。所用焊条应有出厂合格证和质量保证书</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本基坑支护的工程中所用钢材要求采用国内大型钢厂生产的优质钢材，材料进场时须提供出厂合格证，质量保证书和厂家质量检验报告。所用钢筋及其接头须严格进行先检后用，并符合国家有关规范、规程要求。</w:t>
      </w:r>
    </w:p>
    <w:p>
      <w:pPr>
        <w:pStyle w:val="217"/>
        <w:rPr>
          <w:color w:val="auto"/>
          <w:highlight w:val="none"/>
        </w:rPr>
      </w:pPr>
      <w:r>
        <w:rPr>
          <w:color w:val="auto"/>
          <w:highlight w:val="none"/>
        </w:rPr>
        <w:t>2.</w:t>
      </w:r>
      <w:r>
        <w:rPr>
          <w:rFonts w:hint="eastAsia"/>
          <w:color w:val="auto"/>
          <w:highlight w:val="none"/>
        </w:rPr>
        <w:t>钢绞线</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）锚具、夹具和连接器的性能应符合行业标准《预应力筋用锚具、夹具和连接器应用技术规程》</w:t>
      </w:r>
      <w:r>
        <w:rPr>
          <w:color w:val="auto"/>
          <w:highlight w:val="none"/>
        </w:rPr>
        <w:t>JGJ85-2002</w:t>
      </w:r>
      <w:r>
        <w:rPr>
          <w:rFonts w:hint="eastAsia"/>
          <w:color w:val="auto"/>
          <w:highlight w:val="none"/>
        </w:rPr>
        <w:t>的规定。</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）预应力筋</w:t>
      </w:r>
      <w:r>
        <w:rPr>
          <w:color w:val="auto"/>
          <w:highlight w:val="none"/>
        </w:rPr>
        <w:t>--</w:t>
      </w:r>
      <w:r>
        <w:rPr>
          <w:rFonts w:hint="eastAsia"/>
          <w:color w:val="auto"/>
          <w:highlight w:val="none"/>
        </w:rPr>
        <w:t>锚具组装件的锚固性能是评定锚具是否安全可靠的重要指标。</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）预应力筋用锚具的工艺性能应满足分级张拉、补张拉和放松预应力筋等张拉工艺要求。</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）预应力筋用夹具应具有良好的自锚性能、松锚性能和安全的重复使用性能。主要锚固零件宜采取镀膜防锈。</w:t>
      </w:r>
    </w:p>
    <w:p>
      <w:pPr>
        <w:pStyle w:val="217"/>
        <w:rPr>
          <w:color w:val="auto"/>
          <w:highlight w:val="none"/>
        </w:rPr>
      </w:pPr>
      <w:r>
        <w:rPr>
          <w:color w:val="auto"/>
          <w:highlight w:val="none"/>
        </w:rPr>
        <w:t>3.</w:t>
      </w:r>
      <w:r>
        <w:rPr>
          <w:rFonts w:hint="eastAsia"/>
          <w:color w:val="auto"/>
          <w:highlight w:val="none"/>
        </w:rPr>
        <w:t>混凝土</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）混凝土配合比设计执行《普通混凝土配合比设计规程》</w:t>
      </w:r>
      <w:r>
        <w:rPr>
          <w:color w:val="auto"/>
          <w:highlight w:val="none"/>
        </w:rPr>
        <w:t>JGJ55-2011</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）混凝土质量控制执行《混凝土质量控制标准》</w:t>
      </w:r>
      <w:r>
        <w:rPr>
          <w:color w:val="auto"/>
          <w:highlight w:val="none"/>
        </w:rPr>
        <w:t>GB50164-2011</w:t>
      </w:r>
      <w:r>
        <w:rPr>
          <w:rFonts w:hint="eastAsia"/>
          <w:color w:val="auto"/>
          <w:highlight w:val="none"/>
        </w:rPr>
        <w:t>。</w:t>
      </w:r>
    </w:p>
    <w:p>
      <w:pPr>
        <w:pStyle w:val="217"/>
        <w:rPr>
          <w:color w:val="auto"/>
          <w:highlight w:val="none"/>
        </w:rPr>
      </w:pPr>
      <w:r>
        <w:rPr>
          <w:color w:val="auto"/>
          <w:highlight w:val="none"/>
        </w:rPr>
        <w:t>4.</w:t>
      </w:r>
      <w:r>
        <w:rPr>
          <w:rFonts w:hint="eastAsia"/>
          <w:color w:val="auto"/>
          <w:highlight w:val="none"/>
        </w:rPr>
        <w:t>机械设备</w:t>
      </w:r>
    </w:p>
    <w:p>
      <w:pPr>
        <w:pStyle w:val="217"/>
        <w:rPr>
          <w:color w:val="auto"/>
          <w:highlight w:val="none"/>
        </w:rPr>
      </w:pPr>
      <w:r>
        <w:rPr>
          <w:rFonts w:hint="eastAsia"/>
          <w:color w:val="auto"/>
          <w:highlight w:val="none"/>
        </w:rPr>
        <w:t>承包人必须选用性能优良的机械设备，不符合工程要求和安全规范的设备不得进场，承包人需按照投标文件中注明的设备数量和规格安排进场，所有设备进场前必须向监理工程师报验。</w:t>
      </w:r>
    </w:p>
    <w:p>
      <w:pPr>
        <w:pStyle w:val="119"/>
        <w:rPr>
          <w:color w:val="auto"/>
          <w:highlight w:val="none"/>
        </w:rPr>
      </w:pPr>
      <w:r>
        <w:rPr>
          <w:color w:val="auto"/>
          <w:highlight w:val="none"/>
        </w:rPr>
        <w:t xml:space="preserve">3.1.2.2 </w:t>
      </w:r>
      <w:r>
        <w:rPr>
          <w:rFonts w:hint="eastAsia"/>
          <w:color w:val="auto"/>
          <w:highlight w:val="none"/>
        </w:rPr>
        <w:t>基坑支护结构技术要求</w:t>
      </w:r>
    </w:p>
    <w:p>
      <w:pPr>
        <w:pStyle w:val="217"/>
        <w:rPr>
          <w:color w:val="auto"/>
          <w:highlight w:val="none"/>
        </w:rPr>
      </w:pPr>
      <w:r>
        <w:rPr>
          <w:color w:val="auto"/>
          <w:highlight w:val="none"/>
        </w:rPr>
        <w:t>1.</w:t>
      </w:r>
      <w:r>
        <w:rPr>
          <w:rFonts w:hint="eastAsia"/>
          <w:color w:val="auto"/>
          <w:highlight w:val="none"/>
        </w:rPr>
        <w:t>本基坑支护工程应按《深圳地区建筑深基坑支护技术规范》</w:t>
      </w:r>
      <w:r>
        <w:rPr>
          <w:color w:val="auto"/>
          <w:highlight w:val="none"/>
        </w:rPr>
        <w:t>SJG05-2011</w:t>
      </w:r>
      <w:r>
        <w:rPr>
          <w:rFonts w:hint="eastAsia"/>
          <w:color w:val="auto"/>
          <w:highlight w:val="none"/>
        </w:rPr>
        <w:t>、《建筑基坑支护工程技术规程》</w:t>
      </w:r>
      <w:r>
        <w:rPr>
          <w:color w:val="auto"/>
          <w:highlight w:val="none"/>
        </w:rPr>
        <w:t>DBJ/T15-20-97</w:t>
      </w:r>
      <w:r>
        <w:rPr>
          <w:rFonts w:hint="eastAsia"/>
          <w:color w:val="auto"/>
          <w:highlight w:val="none"/>
        </w:rPr>
        <w:t>、《建筑基坑支护技术规程》</w:t>
      </w:r>
      <w:r>
        <w:rPr>
          <w:color w:val="auto"/>
          <w:highlight w:val="none"/>
        </w:rPr>
        <w:t>JGJ120-2012</w:t>
      </w:r>
      <w:r>
        <w:rPr>
          <w:rFonts w:hint="eastAsia"/>
          <w:color w:val="auto"/>
          <w:highlight w:val="none"/>
        </w:rPr>
        <w:t>的有关要求执行。</w:t>
      </w:r>
    </w:p>
    <w:p>
      <w:pPr>
        <w:pStyle w:val="217"/>
        <w:rPr>
          <w:color w:val="auto"/>
          <w:highlight w:val="none"/>
        </w:rPr>
      </w:pPr>
      <w:r>
        <w:rPr>
          <w:color w:val="auto"/>
          <w:highlight w:val="none"/>
        </w:rPr>
        <w:t>2.</w:t>
      </w:r>
      <w:r>
        <w:rPr>
          <w:rFonts w:hint="eastAsia"/>
          <w:color w:val="auto"/>
          <w:highlight w:val="none"/>
        </w:rPr>
        <w:t>本建筑基坑支护应保证安全和正常使用。</w:t>
      </w:r>
    </w:p>
    <w:p>
      <w:pPr>
        <w:pStyle w:val="217"/>
        <w:rPr>
          <w:color w:val="auto"/>
          <w:highlight w:val="none"/>
        </w:rPr>
      </w:pPr>
      <w:r>
        <w:rPr>
          <w:color w:val="auto"/>
          <w:highlight w:val="none"/>
        </w:rPr>
        <w:t>3.</w:t>
      </w:r>
      <w:r>
        <w:rPr>
          <w:rFonts w:hint="eastAsia"/>
          <w:color w:val="auto"/>
          <w:highlight w:val="none"/>
        </w:rPr>
        <w:t>承包人对于给定的原始基准点、基准面、参考标高进行复核，并报监理审批后，才能进行准确的测量放线并对其正确性负责。</w:t>
      </w:r>
    </w:p>
    <w:p>
      <w:pPr>
        <w:pStyle w:val="217"/>
        <w:rPr>
          <w:color w:val="auto"/>
          <w:highlight w:val="none"/>
        </w:rPr>
      </w:pPr>
      <w:r>
        <w:rPr>
          <w:color w:val="auto"/>
          <w:highlight w:val="none"/>
        </w:rPr>
        <w:t>4.</w:t>
      </w:r>
      <w:r>
        <w:rPr>
          <w:rFonts w:hint="eastAsia"/>
          <w:color w:val="auto"/>
          <w:highlight w:val="none"/>
        </w:rPr>
        <w:t>承包人要做好施工与材料设备及技术措施准备。</w:t>
      </w:r>
    </w:p>
    <w:p>
      <w:pPr>
        <w:pStyle w:val="217"/>
        <w:rPr>
          <w:color w:val="auto"/>
          <w:highlight w:val="none"/>
        </w:rPr>
      </w:pPr>
      <w:r>
        <w:rPr>
          <w:color w:val="auto"/>
          <w:highlight w:val="none"/>
        </w:rPr>
        <w:t>5.</w:t>
      </w:r>
      <w:r>
        <w:rPr>
          <w:rFonts w:hint="eastAsia"/>
          <w:color w:val="auto"/>
          <w:highlight w:val="none"/>
        </w:rPr>
        <w:t>施工前必须做好施工组织设计和技术交底。</w:t>
      </w:r>
    </w:p>
    <w:p>
      <w:pPr>
        <w:pStyle w:val="217"/>
        <w:rPr>
          <w:color w:val="auto"/>
          <w:highlight w:val="none"/>
        </w:rPr>
      </w:pPr>
      <w:r>
        <w:rPr>
          <w:color w:val="auto"/>
          <w:highlight w:val="none"/>
        </w:rPr>
        <w:t>6.</w:t>
      </w:r>
      <w:r>
        <w:rPr>
          <w:rFonts w:hint="eastAsia"/>
          <w:color w:val="auto"/>
          <w:highlight w:val="none"/>
        </w:rPr>
        <w:t>施工过程资料应按规范要求及时整理、完善；施工结束后，必须进行质量检验并提供完整的竣工报告。</w:t>
      </w:r>
    </w:p>
    <w:p>
      <w:pPr>
        <w:pStyle w:val="119"/>
        <w:rPr>
          <w:color w:val="auto"/>
          <w:highlight w:val="none"/>
        </w:rPr>
      </w:pPr>
      <w:r>
        <w:rPr>
          <w:color w:val="auto"/>
          <w:highlight w:val="none"/>
        </w:rPr>
        <w:t xml:space="preserve">3.1.2.3 </w:t>
      </w:r>
      <w:r>
        <w:rPr>
          <w:rFonts w:hint="eastAsia"/>
          <w:color w:val="auto"/>
          <w:highlight w:val="none"/>
        </w:rPr>
        <w:t>基坑支护质量检验和监测</w:t>
      </w:r>
    </w:p>
    <w:p>
      <w:pPr>
        <w:pStyle w:val="217"/>
        <w:rPr>
          <w:color w:val="auto"/>
          <w:highlight w:val="none"/>
        </w:rPr>
      </w:pPr>
      <w:r>
        <w:rPr>
          <w:color w:val="auto"/>
          <w:highlight w:val="none"/>
        </w:rPr>
        <w:t>1.</w:t>
      </w:r>
      <w:r>
        <w:rPr>
          <w:rFonts w:hint="eastAsia"/>
          <w:color w:val="auto"/>
          <w:highlight w:val="none"/>
        </w:rPr>
        <w:t>应委托有资质的检测单位进行相关检验和监测工作，并按相关要求提供检测报告。</w:t>
      </w:r>
    </w:p>
    <w:p>
      <w:pPr>
        <w:pStyle w:val="217"/>
        <w:rPr>
          <w:color w:val="auto"/>
          <w:highlight w:val="none"/>
        </w:rPr>
      </w:pPr>
      <w:r>
        <w:rPr>
          <w:color w:val="auto"/>
          <w:highlight w:val="none"/>
        </w:rPr>
        <w:t>2.</w:t>
      </w:r>
      <w:r>
        <w:rPr>
          <w:rFonts w:hint="eastAsia"/>
          <w:color w:val="auto"/>
          <w:highlight w:val="none"/>
        </w:rPr>
        <w:t>检验和监测方法、要求和数量按《深圳地区建筑深基坑支护技术规范》</w:t>
      </w:r>
      <w:r>
        <w:rPr>
          <w:color w:val="auto"/>
          <w:highlight w:val="none"/>
        </w:rPr>
        <w:t>SJG05-2011</w:t>
      </w:r>
      <w:r>
        <w:rPr>
          <w:rFonts w:hint="eastAsia"/>
          <w:color w:val="auto"/>
          <w:highlight w:val="none"/>
        </w:rPr>
        <w:t>、《建筑基坑支护工程技术规程》</w:t>
      </w:r>
      <w:r>
        <w:rPr>
          <w:color w:val="auto"/>
          <w:highlight w:val="none"/>
        </w:rPr>
        <w:t>DBJ/T15-20-97</w:t>
      </w:r>
      <w:r>
        <w:rPr>
          <w:rFonts w:hint="eastAsia"/>
          <w:color w:val="auto"/>
          <w:highlight w:val="none"/>
        </w:rPr>
        <w:t>、《建筑基坑支护技术规程》</w:t>
      </w:r>
      <w:r>
        <w:rPr>
          <w:color w:val="auto"/>
          <w:highlight w:val="none"/>
        </w:rPr>
        <w:t>JGJ120-2012</w:t>
      </w:r>
      <w:r>
        <w:rPr>
          <w:rFonts w:hint="eastAsia"/>
          <w:color w:val="auto"/>
          <w:highlight w:val="none"/>
        </w:rPr>
        <w:t>及《深圳地区基桩质量检测技术规程》</w:t>
      </w:r>
      <w:r>
        <w:rPr>
          <w:color w:val="auto"/>
          <w:highlight w:val="none"/>
        </w:rPr>
        <w:t>SJG09-2015</w:t>
      </w:r>
      <w:r>
        <w:rPr>
          <w:rFonts w:hint="eastAsia"/>
          <w:color w:val="auto"/>
          <w:highlight w:val="none"/>
        </w:rPr>
        <w:t>的有关要求执行。</w:t>
      </w:r>
    </w:p>
    <w:p>
      <w:pPr>
        <w:pStyle w:val="172"/>
        <w:rPr>
          <w:color w:val="auto"/>
          <w:highlight w:val="none"/>
        </w:rPr>
      </w:pPr>
      <w:r>
        <w:rPr>
          <w:color w:val="auto"/>
          <w:highlight w:val="none"/>
        </w:rPr>
        <w:t xml:space="preserve">3.1.3 </w:t>
      </w:r>
      <w:r>
        <w:rPr>
          <w:rFonts w:hint="eastAsia"/>
          <w:color w:val="auto"/>
          <w:highlight w:val="none"/>
        </w:rPr>
        <w:t>临时排水沟工程的施工技术要求</w:t>
      </w:r>
    </w:p>
    <w:p>
      <w:pPr>
        <w:pStyle w:val="217"/>
        <w:rPr>
          <w:color w:val="auto"/>
          <w:highlight w:val="none"/>
        </w:rPr>
      </w:pPr>
      <w:r>
        <w:rPr>
          <w:rFonts w:hint="eastAsia"/>
          <w:color w:val="auto"/>
          <w:highlight w:val="none"/>
        </w:rPr>
        <w:t>截、排水沟：按图纸设计尺寸，放样测量开挖排水槽沟。排水沟顶应低于两侧地面以便于汇集地表水。截、排水、跌水沟设置变形缝，变形缝间隔</w:t>
      </w:r>
      <w:r>
        <w:rPr>
          <w:color w:val="auto"/>
          <w:highlight w:val="none"/>
        </w:rPr>
        <w:t>20m</w:t>
      </w:r>
      <w:r>
        <w:rPr>
          <w:rFonts w:hint="eastAsia"/>
          <w:color w:val="auto"/>
          <w:highlight w:val="none"/>
        </w:rPr>
        <w:t>，地形转角变化段宜增设，变形缝两侧壁应平齐无搭叠。变形缝宽</w:t>
      </w:r>
      <w:r>
        <w:rPr>
          <w:color w:val="auto"/>
          <w:highlight w:val="none"/>
        </w:rPr>
        <w:t>20mm</w:t>
      </w:r>
      <w:r>
        <w:rPr>
          <w:rFonts w:hint="eastAsia"/>
          <w:color w:val="auto"/>
          <w:highlight w:val="none"/>
        </w:rPr>
        <w:t>，缝中填塞沥青麻筋。接缝中尚需填塞防水材料，防止砌体漏水，防水材料可贴置在接缝处已砌段的端面，也可在砌筑后再填塞，但均需沿壁内、外、顶三边填满、挤紧。填料填塞深度不得小于</w:t>
      </w:r>
      <w:r>
        <w:rPr>
          <w:color w:val="auto"/>
          <w:highlight w:val="none"/>
        </w:rPr>
        <w:t>15cm</w:t>
      </w:r>
      <w:r>
        <w:rPr>
          <w:rFonts w:hint="eastAsia"/>
          <w:color w:val="auto"/>
          <w:highlight w:val="none"/>
        </w:rPr>
        <w:t>，以满足防水要求。排水沟两侧与坡顶坡脚之间采用</w:t>
      </w:r>
      <w:r>
        <w:rPr>
          <w:color w:val="auto"/>
          <w:highlight w:val="none"/>
        </w:rPr>
        <w:t>C15</w:t>
      </w:r>
      <w:r>
        <w:rPr>
          <w:rFonts w:hint="eastAsia"/>
          <w:color w:val="auto"/>
          <w:highlight w:val="none"/>
        </w:rPr>
        <w:t>砼硬化</w:t>
      </w:r>
      <w:r>
        <w:rPr>
          <w:color w:val="auto"/>
          <w:highlight w:val="none"/>
        </w:rPr>
        <w:t>100mm</w:t>
      </w:r>
      <w:r>
        <w:rPr>
          <w:rFonts w:hint="eastAsia"/>
          <w:color w:val="auto"/>
          <w:highlight w:val="none"/>
        </w:rPr>
        <w:t>。</w:t>
      </w:r>
    </w:p>
    <w:p>
      <w:pPr>
        <w:pStyle w:val="172"/>
        <w:rPr>
          <w:color w:val="auto"/>
          <w:highlight w:val="none"/>
        </w:rPr>
      </w:pPr>
      <w:r>
        <w:rPr>
          <w:color w:val="auto"/>
          <w:highlight w:val="none"/>
        </w:rPr>
        <w:t xml:space="preserve">3.1.4 </w:t>
      </w:r>
      <w:r>
        <w:rPr>
          <w:rFonts w:hint="eastAsia"/>
          <w:color w:val="auto"/>
          <w:highlight w:val="none"/>
        </w:rPr>
        <w:t>土石方工程</w:t>
      </w:r>
    </w:p>
    <w:p>
      <w:pPr>
        <w:pStyle w:val="119"/>
        <w:rPr>
          <w:color w:val="auto"/>
          <w:highlight w:val="none"/>
        </w:rPr>
      </w:pPr>
      <w:r>
        <w:rPr>
          <w:color w:val="auto"/>
          <w:highlight w:val="none"/>
        </w:rPr>
        <w:t xml:space="preserve">3.1.4.1 </w:t>
      </w:r>
      <w:r>
        <w:rPr>
          <w:rFonts w:hint="eastAsia"/>
          <w:color w:val="auto"/>
          <w:highlight w:val="none"/>
        </w:rPr>
        <w:t>一般土石方工程规则</w:t>
      </w:r>
    </w:p>
    <w:p>
      <w:pPr>
        <w:pStyle w:val="217"/>
        <w:rPr>
          <w:color w:val="auto"/>
          <w:highlight w:val="none"/>
        </w:rPr>
      </w:pPr>
      <w:r>
        <w:rPr>
          <w:color w:val="auto"/>
          <w:highlight w:val="none"/>
        </w:rPr>
        <w:t>1.</w:t>
      </w:r>
      <w:r>
        <w:rPr>
          <w:rFonts w:hint="eastAsia"/>
          <w:color w:val="auto"/>
          <w:highlight w:val="none"/>
        </w:rPr>
        <w:t>本工程土方平衡调配应尽可能与城市规划相结合，综合考虑土方运距合理、施工程序合理等。</w:t>
      </w:r>
    </w:p>
    <w:p>
      <w:pPr>
        <w:pStyle w:val="217"/>
        <w:rPr>
          <w:color w:val="auto"/>
          <w:highlight w:val="none"/>
        </w:rPr>
      </w:pPr>
      <w:r>
        <w:rPr>
          <w:color w:val="auto"/>
          <w:highlight w:val="none"/>
        </w:rPr>
        <w:t>2.</w:t>
      </w:r>
      <w:r>
        <w:rPr>
          <w:rFonts w:hint="eastAsia"/>
          <w:color w:val="auto"/>
          <w:highlight w:val="none"/>
        </w:rPr>
        <w:t>土石方工程开工前，应查明场地范围内的地下构筑物和各种地下管线的位置和标高等，并采取必要的措施，以免因土石方施工而造成损坏。</w:t>
      </w:r>
    </w:p>
    <w:p>
      <w:pPr>
        <w:pStyle w:val="217"/>
        <w:rPr>
          <w:color w:val="auto"/>
          <w:highlight w:val="none"/>
        </w:rPr>
      </w:pPr>
      <w:r>
        <w:rPr>
          <w:color w:val="auto"/>
          <w:highlight w:val="none"/>
        </w:rPr>
        <w:t>3.</w:t>
      </w:r>
      <w:r>
        <w:rPr>
          <w:rFonts w:hint="eastAsia"/>
          <w:color w:val="auto"/>
          <w:highlight w:val="none"/>
        </w:rPr>
        <w:t>本工程基坑开挖承包方应根据实际情况采取有效措施，防止基坑底部土的隆起并避免危害周边环境。</w:t>
      </w:r>
    </w:p>
    <w:p>
      <w:pPr>
        <w:pStyle w:val="217"/>
        <w:rPr>
          <w:color w:val="auto"/>
          <w:highlight w:val="none"/>
        </w:rPr>
      </w:pPr>
      <w:r>
        <w:rPr>
          <w:color w:val="auto"/>
          <w:highlight w:val="none"/>
        </w:rPr>
        <w:t>4.</w:t>
      </w:r>
      <w:r>
        <w:rPr>
          <w:rFonts w:hint="eastAsia"/>
          <w:color w:val="auto"/>
          <w:highlight w:val="none"/>
        </w:rPr>
        <w:t>在基坑挖方前，应做好地面排水。</w:t>
      </w:r>
    </w:p>
    <w:p>
      <w:pPr>
        <w:pStyle w:val="217"/>
        <w:rPr>
          <w:color w:val="auto"/>
          <w:highlight w:val="none"/>
        </w:rPr>
      </w:pPr>
      <w:r>
        <w:rPr>
          <w:color w:val="auto"/>
          <w:highlight w:val="none"/>
        </w:rPr>
        <w:t>5.</w:t>
      </w:r>
      <w:r>
        <w:rPr>
          <w:rFonts w:hint="eastAsia"/>
          <w:color w:val="auto"/>
          <w:highlight w:val="none"/>
        </w:rPr>
        <w:t>土石方工程施工，应经常测量和校核其平面位置、水平标高等。平面控制桩的水准控制点应采取可靠的保护措施，定期复测和检查。土方不应堆在基坑边缘。</w:t>
      </w:r>
    </w:p>
    <w:p>
      <w:pPr>
        <w:pStyle w:val="217"/>
        <w:rPr>
          <w:color w:val="auto"/>
          <w:highlight w:val="none"/>
        </w:rPr>
      </w:pPr>
      <w:r>
        <w:rPr>
          <w:color w:val="auto"/>
          <w:highlight w:val="none"/>
        </w:rPr>
        <w:t>6.</w:t>
      </w:r>
      <w:r>
        <w:rPr>
          <w:rFonts w:hint="eastAsia"/>
          <w:color w:val="auto"/>
          <w:highlight w:val="none"/>
        </w:rPr>
        <w:t>对雨季施工还应遵守国家现行有关标准。</w:t>
      </w:r>
    </w:p>
    <w:p>
      <w:pPr>
        <w:pStyle w:val="217"/>
        <w:rPr>
          <w:color w:val="auto"/>
          <w:highlight w:val="none"/>
        </w:rPr>
      </w:pPr>
      <w:r>
        <w:rPr>
          <w:color w:val="auto"/>
          <w:highlight w:val="none"/>
        </w:rPr>
        <w:t>7.</w:t>
      </w:r>
      <w:r>
        <w:rPr>
          <w:rFonts w:hint="eastAsia"/>
          <w:color w:val="auto"/>
          <w:highlight w:val="none"/>
        </w:rPr>
        <w:t>基坑开挖前，进行边坡支护，基坑开挖施工方案须报监理、业主批准后方可施工。</w:t>
      </w:r>
    </w:p>
    <w:p>
      <w:pPr>
        <w:pStyle w:val="217"/>
        <w:rPr>
          <w:color w:val="auto"/>
          <w:highlight w:val="none"/>
        </w:rPr>
      </w:pPr>
      <w:r>
        <w:rPr>
          <w:color w:val="auto"/>
          <w:highlight w:val="none"/>
        </w:rPr>
        <w:t>8.</w:t>
      </w:r>
      <w:r>
        <w:rPr>
          <w:rFonts w:hint="eastAsia"/>
          <w:color w:val="auto"/>
          <w:highlight w:val="none"/>
        </w:rPr>
        <w:t>如需爆破，爆破材料应符合《爆破安全规程》（</w:t>
      </w:r>
      <w:r>
        <w:rPr>
          <w:color w:val="auto"/>
          <w:highlight w:val="none"/>
        </w:rPr>
        <w:t>GB6722—2014</w:t>
      </w:r>
      <w:r>
        <w:rPr>
          <w:rFonts w:hint="eastAsia"/>
          <w:color w:val="auto"/>
          <w:highlight w:val="none"/>
        </w:rPr>
        <w:t>）中有关条款的规定。</w:t>
      </w:r>
    </w:p>
    <w:p>
      <w:pPr>
        <w:pStyle w:val="119"/>
        <w:rPr>
          <w:color w:val="auto"/>
          <w:highlight w:val="none"/>
        </w:rPr>
      </w:pPr>
      <w:r>
        <w:rPr>
          <w:color w:val="auto"/>
          <w:highlight w:val="none"/>
        </w:rPr>
        <w:t xml:space="preserve">3.1.4.2 </w:t>
      </w:r>
      <w:r>
        <w:rPr>
          <w:rFonts w:hint="eastAsia"/>
          <w:color w:val="auto"/>
          <w:highlight w:val="none"/>
        </w:rPr>
        <w:t>土石方开挖施工技术要求</w:t>
      </w:r>
    </w:p>
    <w:p>
      <w:pPr>
        <w:pStyle w:val="217"/>
        <w:rPr>
          <w:color w:val="auto"/>
          <w:highlight w:val="none"/>
        </w:rPr>
      </w:pPr>
      <w:r>
        <w:rPr>
          <w:color w:val="auto"/>
          <w:highlight w:val="none"/>
        </w:rPr>
        <w:t>1.</w:t>
      </w:r>
      <w:r>
        <w:rPr>
          <w:rFonts w:hint="eastAsia"/>
          <w:color w:val="auto"/>
          <w:highlight w:val="none"/>
        </w:rPr>
        <w:t>土石方工程施工前，应准确放线。</w:t>
      </w:r>
    </w:p>
    <w:p>
      <w:pPr>
        <w:pStyle w:val="217"/>
        <w:rPr>
          <w:color w:val="auto"/>
          <w:highlight w:val="none"/>
        </w:rPr>
      </w:pPr>
      <w:r>
        <w:rPr>
          <w:color w:val="auto"/>
          <w:highlight w:val="none"/>
        </w:rPr>
        <w:t>2.</w:t>
      </w:r>
      <w:r>
        <w:rPr>
          <w:rFonts w:hint="eastAsia"/>
          <w:color w:val="auto"/>
          <w:highlight w:val="none"/>
        </w:rPr>
        <w:t>土石方工程施工前，应对排水措施进行设计；</w:t>
      </w:r>
    </w:p>
    <w:p>
      <w:pPr>
        <w:pStyle w:val="217"/>
        <w:rPr>
          <w:color w:val="auto"/>
          <w:highlight w:val="none"/>
        </w:rPr>
      </w:pPr>
      <w:r>
        <w:rPr>
          <w:color w:val="auto"/>
          <w:highlight w:val="none"/>
        </w:rPr>
        <w:t>3.</w:t>
      </w:r>
      <w:r>
        <w:rPr>
          <w:rFonts w:hint="eastAsia"/>
          <w:color w:val="auto"/>
          <w:highlight w:val="none"/>
        </w:rPr>
        <w:t>挖方应与喷锚支护施工密切结合，分段分层开挖，每段开挖长度不宜大于</w:t>
      </w:r>
      <w:r>
        <w:rPr>
          <w:color w:val="auto"/>
          <w:highlight w:val="none"/>
        </w:rPr>
        <w:t>20m</w:t>
      </w:r>
      <w:r>
        <w:rPr>
          <w:rFonts w:hint="eastAsia"/>
          <w:color w:val="auto"/>
          <w:highlight w:val="none"/>
        </w:rPr>
        <w:t>，每层开挖深度严格按土钉施工的工作面要求进行，每层开挖深度不应超过注浆土钉分层高度，不得超挖或欠挖。</w:t>
      </w:r>
    </w:p>
    <w:p>
      <w:pPr>
        <w:pStyle w:val="217"/>
        <w:rPr>
          <w:color w:val="auto"/>
          <w:highlight w:val="none"/>
        </w:rPr>
      </w:pPr>
      <w:r>
        <w:rPr>
          <w:color w:val="auto"/>
          <w:highlight w:val="none"/>
        </w:rPr>
        <w:t>4.</w:t>
      </w:r>
      <w:r>
        <w:rPr>
          <w:rFonts w:hint="eastAsia"/>
          <w:color w:val="auto"/>
          <w:highlight w:val="none"/>
        </w:rPr>
        <w:t>合理安排开挖顺序，使基坑坡面暴露时间最短。每层可先开挖基坑边缘区土石方，提供土钉施工工作面后开挖基坑中间区域。土石方外运时应注意避免损坏排水沟等设施。</w:t>
      </w:r>
    </w:p>
    <w:p>
      <w:pPr>
        <w:pStyle w:val="217"/>
        <w:rPr>
          <w:color w:val="auto"/>
          <w:highlight w:val="none"/>
        </w:rPr>
      </w:pPr>
      <w:r>
        <w:rPr>
          <w:color w:val="auto"/>
          <w:highlight w:val="none"/>
        </w:rPr>
        <w:t>5.</w:t>
      </w:r>
      <w:r>
        <w:rPr>
          <w:rFonts w:hint="eastAsia"/>
          <w:color w:val="auto"/>
          <w:highlight w:val="none"/>
        </w:rPr>
        <w:t>承包人应负责将弃土运至场外合法的弃土场内。</w:t>
      </w:r>
    </w:p>
    <w:p>
      <w:pPr>
        <w:pStyle w:val="217"/>
        <w:rPr>
          <w:color w:val="auto"/>
          <w:highlight w:val="none"/>
        </w:rPr>
      </w:pPr>
      <w:r>
        <w:rPr>
          <w:color w:val="auto"/>
          <w:highlight w:val="none"/>
        </w:rPr>
        <w:t>6.</w:t>
      </w:r>
      <w:r>
        <w:rPr>
          <w:rFonts w:hint="eastAsia"/>
          <w:color w:val="auto"/>
          <w:highlight w:val="none"/>
        </w:rPr>
        <w:t>承包人在基坑边缘堆置的土石方和建筑材料，或沿挖方边缘移动运输工具和机械，应距基坑上部边缘不少于</w:t>
      </w:r>
      <w:r>
        <w:rPr>
          <w:color w:val="auto"/>
          <w:highlight w:val="none"/>
        </w:rPr>
        <w:t>2m</w:t>
      </w:r>
      <w:r>
        <w:rPr>
          <w:rFonts w:hint="eastAsia"/>
          <w:color w:val="auto"/>
          <w:highlight w:val="none"/>
        </w:rPr>
        <w:t>，弃土堆置高度不应超过</w:t>
      </w:r>
      <w:r>
        <w:rPr>
          <w:color w:val="auto"/>
          <w:highlight w:val="none"/>
        </w:rPr>
        <w:t>1.5m</w:t>
      </w:r>
      <w:r>
        <w:rPr>
          <w:rFonts w:hint="eastAsia"/>
          <w:color w:val="auto"/>
          <w:highlight w:val="none"/>
        </w:rPr>
        <w:t>，并且不能超过设计荷载值，在垂直的坑壁边，此安全距离还应适当加大。</w:t>
      </w:r>
    </w:p>
    <w:p>
      <w:pPr>
        <w:pStyle w:val="217"/>
        <w:rPr>
          <w:color w:val="auto"/>
          <w:highlight w:val="none"/>
        </w:rPr>
      </w:pPr>
      <w:r>
        <w:rPr>
          <w:color w:val="auto"/>
          <w:highlight w:val="none"/>
        </w:rPr>
        <w:t>7.</w:t>
      </w:r>
      <w:r>
        <w:rPr>
          <w:rFonts w:hint="eastAsia"/>
          <w:color w:val="auto"/>
          <w:highlight w:val="none"/>
        </w:rPr>
        <w:t>承包人机具停放的位置应平稳，其中大、中型施工机具距坑边距离应根据设备重量、基坑支撑情况、土质情况等，要经计算确定。在基顶周边要设有围护栏杆和安全标志，同时严禁从基坑顶乱扔物体、工具入基坑内。</w:t>
      </w:r>
    </w:p>
    <w:p>
      <w:pPr>
        <w:pStyle w:val="217"/>
        <w:rPr>
          <w:color w:val="auto"/>
          <w:highlight w:val="none"/>
        </w:rPr>
      </w:pPr>
      <w:r>
        <w:rPr>
          <w:color w:val="auto"/>
          <w:highlight w:val="none"/>
        </w:rPr>
        <w:t>8.</w:t>
      </w:r>
      <w:r>
        <w:rPr>
          <w:rFonts w:hint="eastAsia"/>
          <w:color w:val="auto"/>
          <w:highlight w:val="none"/>
        </w:rPr>
        <w:t>承包人在开挖过程中应随时做好坑内明排水，并经常检查降水是否正常，水位是否达到设计要求，是否引起周围建筑物的下沉变形或基底土隆起等事故。如在恶劣的季节开挖，承包人应采取相应的和必要的技术措施，同时，坑面、坑底排水系统应良好。如潮汛期开挖土方应有防洪措施，防止坑外水浸入坑内。施工期间，地基与基础分部工程验收之前一切由于下雨积水、水管爆裂和其他因素存在于现场基坑内的积水应由承包人自行清除。</w:t>
      </w:r>
    </w:p>
    <w:p>
      <w:pPr>
        <w:pStyle w:val="217"/>
        <w:rPr>
          <w:color w:val="auto"/>
          <w:highlight w:val="none"/>
        </w:rPr>
      </w:pPr>
      <w:r>
        <w:rPr>
          <w:color w:val="auto"/>
          <w:highlight w:val="none"/>
        </w:rPr>
        <w:t>9.</w:t>
      </w:r>
      <w:r>
        <w:rPr>
          <w:rFonts w:hint="eastAsia"/>
          <w:color w:val="auto"/>
          <w:highlight w:val="none"/>
        </w:rPr>
        <w:t>土石方挖运至设计标高上</w:t>
      </w:r>
      <w:r>
        <w:rPr>
          <w:color w:val="auto"/>
          <w:highlight w:val="none"/>
        </w:rPr>
        <w:t>300mm</w:t>
      </w:r>
      <w:r>
        <w:rPr>
          <w:rFonts w:hint="eastAsia"/>
          <w:color w:val="auto"/>
          <w:highlight w:val="none"/>
        </w:rPr>
        <w:t>处，坑底保留</w:t>
      </w:r>
      <w:r>
        <w:rPr>
          <w:color w:val="auto"/>
          <w:highlight w:val="none"/>
        </w:rPr>
        <w:t>300mm</w:t>
      </w:r>
      <w:r>
        <w:rPr>
          <w:rFonts w:hint="eastAsia"/>
          <w:color w:val="auto"/>
          <w:highlight w:val="none"/>
        </w:rPr>
        <w:t>厚的土层用人工清底；如遇有局部超挖时，不得用素土回填，一般应用封底的混凝土加厚填平，且不得增加费用。</w:t>
      </w:r>
    </w:p>
    <w:p>
      <w:pPr>
        <w:pStyle w:val="217"/>
        <w:rPr>
          <w:color w:val="auto"/>
          <w:highlight w:val="none"/>
        </w:rPr>
      </w:pPr>
      <w:r>
        <w:rPr>
          <w:color w:val="auto"/>
          <w:highlight w:val="none"/>
        </w:rPr>
        <w:t>10.</w:t>
      </w:r>
      <w:r>
        <w:rPr>
          <w:rFonts w:hint="eastAsia"/>
          <w:color w:val="auto"/>
          <w:highlight w:val="none"/>
        </w:rPr>
        <w:t>严禁损坏支护结构、降排水设施，对周围地下管网要求承包人必须采取可靠的保护措施。</w:t>
      </w:r>
    </w:p>
    <w:p>
      <w:pPr>
        <w:pStyle w:val="217"/>
        <w:rPr>
          <w:color w:val="auto"/>
          <w:highlight w:val="none"/>
        </w:rPr>
      </w:pPr>
      <w:r>
        <w:rPr>
          <w:color w:val="auto"/>
          <w:highlight w:val="none"/>
        </w:rPr>
        <w:t>11.</w:t>
      </w:r>
      <w:r>
        <w:rPr>
          <w:rFonts w:hint="eastAsia"/>
          <w:color w:val="auto"/>
          <w:highlight w:val="none"/>
        </w:rPr>
        <w:t>土石方开挖过程中应随时对围护结构的内力变化与变形、基坑顶地面沉降、坑底隆起、地下水位变化以及邻近周围建筑物、构筑物、道路等的动态等进行了解，发现异常及时采取对策加以控制。</w:t>
      </w:r>
    </w:p>
    <w:p>
      <w:pPr>
        <w:pStyle w:val="217"/>
        <w:rPr>
          <w:color w:val="auto"/>
          <w:highlight w:val="none"/>
        </w:rPr>
      </w:pPr>
      <w:r>
        <w:rPr>
          <w:color w:val="auto"/>
          <w:highlight w:val="none"/>
        </w:rPr>
        <w:t>12.</w:t>
      </w:r>
      <w:r>
        <w:rPr>
          <w:rFonts w:hint="eastAsia"/>
          <w:color w:val="auto"/>
          <w:highlight w:val="none"/>
        </w:rPr>
        <w:t>本次报价应考虑土石方开挖、运输、弃土的费用。</w:t>
      </w:r>
    </w:p>
    <w:p>
      <w:pPr>
        <w:pStyle w:val="217"/>
        <w:rPr>
          <w:color w:val="auto"/>
          <w:highlight w:val="none"/>
        </w:rPr>
      </w:pPr>
      <w:r>
        <w:rPr>
          <w:color w:val="auto"/>
          <w:highlight w:val="none"/>
        </w:rPr>
        <w:t>13.</w:t>
      </w:r>
      <w:r>
        <w:rPr>
          <w:rFonts w:hint="eastAsia"/>
          <w:color w:val="auto"/>
          <w:highlight w:val="none"/>
        </w:rPr>
        <w:t>土石方运距及卸土点由投标人自行考虑，计入投标报价中。</w:t>
      </w:r>
    </w:p>
    <w:p>
      <w:pPr>
        <w:pStyle w:val="119"/>
        <w:rPr>
          <w:color w:val="auto"/>
          <w:highlight w:val="none"/>
        </w:rPr>
      </w:pPr>
      <w:r>
        <w:rPr>
          <w:color w:val="auto"/>
          <w:highlight w:val="none"/>
        </w:rPr>
        <w:t xml:space="preserve">3.1.4.3 </w:t>
      </w:r>
      <w:r>
        <w:rPr>
          <w:rFonts w:hint="eastAsia"/>
          <w:color w:val="auto"/>
          <w:highlight w:val="none"/>
        </w:rPr>
        <w:t>土方回填施工技术要求</w:t>
      </w:r>
    </w:p>
    <w:p>
      <w:pPr>
        <w:pStyle w:val="217"/>
        <w:rPr>
          <w:color w:val="auto"/>
          <w:highlight w:val="none"/>
        </w:rPr>
      </w:pPr>
      <w:r>
        <w:rPr>
          <w:color w:val="auto"/>
          <w:highlight w:val="none"/>
        </w:rPr>
        <w:t>1.</w:t>
      </w:r>
      <w:r>
        <w:rPr>
          <w:rFonts w:hint="eastAsia"/>
          <w:color w:val="auto"/>
          <w:highlight w:val="none"/>
        </w:rPr>
        <w:t>基础的现浇混凝土应达到一定的强度，方可回填。</w:t>
      </w:r>
    </w:p>
    <w:p>
      <w:pPr>
        <w:pStyle w:val="217"/>
        <w:rPr>
          <w:color w:val="auto"/>
          <w:highlight w:val="none"/>
        </w:rPr>
      </w:pPr>
      <w:r>
        <w:rPr>
          <w:color w:val="auto"/>
          <w:highlight w:val="none"/>
        </w:rPr>
        <w:t>2.</w:t>
      </w:r>
      <w:r>
        <w:rPr>
          <w:rFonts w:hint="eastAsia"/>
          <w:color w:val="auto"/>
          <w:highlight w:val="none"/>
        </w:rPr>
        <w:t>土方回填前应清除垃圾、树根等杂物，验收基底标高，检查合格后方可施工。</w:t>
      </w:r>
    </w:p>
    <w:p>
      <w:pPr>
        <w:pStyle w:val="217"/>
        <w:rPr>
          <w:color w:val="auto"/>
          <w:highlight w:val="none"/>
        </w:rPr>
      </w:pPr>
      <w:r>
        <w:rPr>
          <w:color w:val="auto"/>
          <w:highlight w:val="none"/>
        </w:rPr>
        <w:t>3.</w:t>
      </w:r>
      <w:r>
        <w:rPr>
          <w:rFonts w:hint="eastAsia"/>
          <w:color w:val="auto"/>
          <w:highlight w:val="none"/>
        </w:rPr>
        <w:t>对填方土料应按设计要求验收后方可填入。填方应尽量采用同类土填筑，要控制适宜含水量。当采用不同的土回填时，应按类有规则地分层铺填，将透水性较大的土层置于透水性较小的土层之下，不得混杂使用。</w:t>
      </w:r>
    </w:p>
    <w:p>
      <w:pPr>
        <w:pStyle w:val="217"/>
        <w:rPr>
          <w:color w:val="auto"/>
          <w:highlight w:val="none"/>
        </w:rPr>
      </w:pPr>
      <w:r>
        <w:rPr>
          <w:color w:val="auto"/>
          <w:highlight w:val="none"/>
        </w:rPr>
        <w:t>4.</w:t>
      </w:r>
      <w:r>
        <w:rPr>
          <w:rFonts w:hint="eastAsia"/>
          <w:color w:val="auto"/>
          <w:highlight w:val="none"/>
        </w:rPr>
        <w:t>回填管沟时，为防止管道中心线位移或损坏管道，应先在管子周围填土夯实，并应从管道两边同时进行，直至管顶</w:t>
      </w:r>
      <w:r>
        <w:rPr>
          <w:color w:val="auto"/>
          <w:highlight w:val="none"/>
        </w:rPr>
        <w:t>0.5m</w:t>
      </w:r>
      <w:r>
        <w:rPr>
          <w:rFonts w:hint="eastAsia"/>
          <w:color w:val="auto"/>
          <w:highlight w:val="none"/>
        </w:rPr>
        <w:t>以上，在不损坏管道的情况下，方可采用机械回填和压实。</w:t>
      </w:r>
    </w:p>
    <w:p>
      <w:pPr>
        <w:pStyle w:val="217"/>
        <w:rPr>
          <w:color w:val="auto"/>
          <w:highlight w:val="none"/>
        </w:rPr>
      </w:pPr>
      <w:r>
        <w:rPr>
          <w:color w:val="auto"/>
          <w:highlight w:val="none"/>
        </w:rPr>
        <w:t>5.</w:t>
      </w:r>
      <w:r>
        <w:rPr>
          <w:rFonts w:hint="eastAsia"/>
          <w:color w:val="auto"/>
          <w:highlight w:val="none"/>
        </w:rPr>
        <w:t>基坑回填土方时，应在相对的两侧或四侧同时进行，同时应检查排水措施，每层填筑厚度、含水量控制、压实程度。填筑厚度及压实遍数应根据土质、压实系数及所用机具确定。</w:t>
      </w:r>
    </w:p>
    <w:p>
      <w:pPr>
        <w:pStyle w:val="217"/>
        <w:rPr>
          <w:color w:val="auto"/>
          <w:highlight w:val="none"/>
        </w:rPr>
      </w:pPr>
      <w:r>
        <w:rPr>
          <w:color w:val="auto"/>
          <w:highlight w:val="none"/>
        </w:rPr>
        <w:t>6.</w:t>
      </w:r>
      <w:r>
        <w:rPr>
          <w:rFonts w:hint="eastAsia"/>
          <w:color w:val="auto"/>
          <w:highlight w:val="none"/>
        </w:rPr>
        <w:t>填土应预留一定的下沉高度，以备在堆重或干湿交替等自然因素作用下，土体逐渐沉落密实。当填土用机械分层夯实时，其预留下沉高度，要求不超过填方高度的</w:t>
      </w:r>
      <w:r>
        <w:rPr>
          <w:color w:val="auto"/>
          <w:highlight w:val="none"/>
        </w:rPr>
        <w:t>3</w:t>
      </w:r>
      <w:r>
        <w:rPr>
          <w:rFonts w:hint="eastAsia"/>
          <w:color w:val="auto"/>
          <w:highlight w:val="none"/>
        </w:rPr>
        <w:t>％。</w:t>
      </w:r>
    </w:p>
    <w:p>
      <w:pPr>
        <w:pStyle w:val="217"/>
        <w:rPr>
          <w:color w:val="auto"/>
          <w:highlight w:val="none"/>
        </w:rPr>
      </w:pPr>
      <w:r>
        <w:rPr>
          <w:color w:val="auto"/>
          <w:highlight w:val="none"/>
        </w:rPr>
        <w:t>7.</w:t>
      </w:r>
      <w:r>
        <w:rPr>
          <w:rFonts w:hint="eastAsia"/>
          <w:color w:val="auto"/>
          <w:highlight w:val="none"/>
        </w:rPr>
        <w:t>人力夯实要按一定方向进行，打夯时应一夯压半夯，夯夯相接，行行相连，每遍纵横交叉，分层夯打。夯实基槽及地坪时，行夯路线应由四边开始，然后再夯中间。蛙式打夯机等小型机具夯实之前，对填土应初步平整，打夯机依次夯打，均匀分布，不留间隙。</w:t>
      </w:r>
    </w:p>
    <w:p>
      <w:pPr>
        <w:pStyle w:val="172"/>
        <w:rPr>
          <w:color w:val="auto"/>
          <w:highlight w:val="none"/>
        </w:rPr>
      </w:pPr>
      <w:r>
        <w:rPr>
          <w:color w:val="auto"/>
          <w:highlight w:val="none"/>
        </w:rPr>
        <w:t xml:space="preserve">3.1.5 </w:t>
      </w:r>
      <w:r>
        <w:rPr>
          <w:rFonts w:hint="eastAsia"/>
          <w:color w:val="auto"/>
          <w:highlight w:val="none"/>
        </w:rPr>
        <w:t>旋挖灌注桩</w:t>
      </w:r>
    </w:p>
    <w:p>
      <w:pPr>
        <w:pStyle w:val="217"/>
        <w:rPr>
          <w:color w:val="auto"/>
          <w:highlight w:val="none"/>
        </w:rPr>
      </w:pPr>
      <w:r>
        <w:rPr>
          <w:color w:val="auto"/>
          <w:highlight w:val="none"/>
        </w:rPr>
        <w:t>1.</w:t>
      </w:r>
      <w:r>
        <w:rPr>
          <w:rFonts w:hint="eastAsia"/>
          <w:color w:val="auto"/>
          <w:highlight w:val="none"/>
        </w:rPr>
        <w:t>基坑支护工程旋挖桩的设计桩长是根据地质资料和支护结构计算确定的。</w:t>
      </w:r>
    </w:p>
    <w:p>
      <w:pPr>
        <w:pStyle w:val="217"/>
        <w:rPr>
          <w:color w:val="auto"/>
          <w:highlight w:val="none"/>
        </w:rPr>
      </w:pPr>
      <w:r>
        <w:rPr>
          <w:color w:val="auto"/>
          <w:highlight w:val="none"/>
        </w:rPr>
        <w:t>2.</w:t>
      </w:r>
      <w:r>
        <w:rPr>
          <w:rFonts w:hint="eastAsia"/>
          <w:color w:val="auto"/>
          <w:highlight w:val="none"/>
        </w:rPr>
        <w:t>旋挖灌注桩的机具选择、护筒埋设、泥浆制备、冲击成孔及清孔、钢筋笼制安、导管就位、水下砼灌注、桩头处理等要求应按现行规范和规程执行。</w:t>
      </w:r>
    </w:p>
    <w:p>
      <w:pPr>
        <w:pStyle w:val="217"/>
        <w:rPr>
          <w:color w:val="auto"/>
          <w:highlight w:val="none"/>
        </w:rPr>
      </w:pPr>
      <w:r>
        <w:rPr>
          <w:color w:val="auto"/>
          <w:highlight w:val="none"/>
        </w:rPr>
        <w:t>3.</w:t>
      </w:r>
      <w:r>
        <w:rPr>
          <w:rFonts w:hint="eastAsia"/>
          <w:color w:val="auto"/>
          <w:highlight w:val="none"/>
        </w:rPr>
        <w:t>混凝土灌注桩垂直度偏差不大于</w:t>
      </w:r>
      <w:r>
        <w:rPr>
          <w:color w:val="auto"/>
          <w:highlight w:val="none"/>
        </w:rPr>
        <w:t>1%</w:t>
      </w:r>
      <w:r>
        <w:rPr>
          <w:rFonts w:hint="eastAsia"/>
          <w:color w:val="auto"/>
          <w:highlight w:val="none"/>
        </w:rPr>
        <w:t>。桩位偏差垂直基坑走向不大于</w:t>
      </w:r>
      <w:r>
        <w:rPr>
          <w:color w:val="auto"/>
          <w:highlight w:val="none"/>
        </w:rPr>
        <w:t>50mm</w:t>
      </w:r>
      <w:r>
        <w:rPr>
          <w:rFonts w:hint="eastAsia"/>
          <w:color w:val="auto"/>
          <w:highlight w:val="none"/>
        </w:rPr>
        <w:t>，沿基坑走向不大于</w:t>
      </w:r>
      <w:r>
        <w:rPr>
          <w:color w:val="auto"/>
          <w:highlight w:val="none"/>
        </w:rPr>
        <w:t>200mm</w:t>
      </w:r>
      <w:r>
        <w:rPr>
          <w:rFonts w:hint="eastAsia"/>
          <w:color w:val="auto"/>
          <w:highlight w:val="none"/>
        </w:rPr>
        <w:t>。</w:t>
      </w:r>
    </w:p>
    <w:p>
      <w:pPr>
        <w:pStyle w:val="217"/>
        <w:rPr>
          <w:color w:val="auto"/>
          <w:highlight w:val="none"/>
        </w:rPr>
      </w:pPr>
      <w:r>
        <w:rPr>
          <w:color w:val="auto"/>
          <w:highlight w:val="none"/>
        </w:rPr>
        <w:t>4.</w:t>
      </w:r>
      <w:r>
        <w:rPr>
          <w:rFonts w:hint="eastAsia"/>
          <w:color w:val="auto"/>
          <w:highlight w:val="none"/>
        </w:rPr>
        <w:t>成孔质量检查包括：孔底标高、桩位偏差、桩孔垂直度、孔径及桩端扩底部分尺寸、泥浆的比重等应符合设计及规范要求。</w:t>
      </w:r>
    </w:p>
    <w:p>
      <w:pPr>
        <w:pStyle w:val="217"/>
        <w:rPr>
          <w:color w:val="auto"/>
          <w:highlight w:val="none"/>
        </w:rPr>
      </w:pPr>
      <w:r>
        <w:rPr>
          <w:color w:val="auto"/>
          <w:highlight w:val="none"/>
        </w:rPr>
        <w:t>5.</w:t>
      </w:r>
      <w:r>
        <w:rPr>
          <w:rFonts w:hint="eastAsia"/>
          <w:color w:val="auto"/>
          <w:highlight w:val="none"/>
        </w:rPr>
        <w:t>钢筋笼的制作与吊装须满足设计及规范要求，并注意以下的几点：</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）钢筋笼外侧设置耳筋，以确保钢筋保护层厚度；</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）钢筋伸入承台的锚固长度；</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）筋笼安装就位时的中心偏差与固定。</w:t>
      </w:r>
    </w:p>
    <w:p>
      <w:pPr>
        <w:pStyle w:val="217"/>
        <w:rPr>
          <w:color w:val="auto"/>
          <w:highlight w:val="none"/>
        </w:rPr>
      </w:pPr>
      <w:r>
        <w:rPr>
          <w:color w:val="auto"/>
          <w:highlight w:val="none"/>
        </w:rPr>
        <w:t>6.</w:t>
      </w:r>
      <w:r>
        <w:rPr>
          <w:rFonts w:hint="eastAsia"/>
          <w:color w:val="auto"/>
          <w:highlight w:val="none"/>
        </w:rPr>
        <w:t>导管接头宜选用螺纹套扣连接，使用前应进行水压试验检测接头密封性能，安装就位须注意距离孔底高度的控制，一般为</w:t>
      </w:r>
      <w:r>
        <w:rPr>
          <w:color w:val="auto"/>
          <w:highlight w:val="none"/>
        </w:rPr>
        <w:t>300</w:t>
      </w:r>
      <w:r>
        <w:rPr>
          <w:rFonts w:hint="eastAsia"/>
          <w:color w:val="auto"/>
          <w:highlight w:val="none"/>
        </w:rPr>
        <w:t>～</w:t>
      </w:r>
      <w:r>
        <w:rPr>
          <w:color w:val="auto"/>
          <w:highlight w:val="none"/>
        </w:rPr>
        <w:t>500mm</w:t>
      </w:r>
      <w:r>
        <w:rPr>
          <w:rFonts w:hint="eastAsia"/>
          <w:color w:val="auto"/>
          <w:highlight w:val="none"/>
        </w:rPr>
        <w:t>。</w:t>
      </w:r>
    </w:p>
    <w:p>
      <w:pPr>
        <w:pStyle w:val="217"/>
        <w:rPr>
          <w:color w:val="auto"/>
          <w:highlight w:val="none"/>
        </w:rPr>
      </w:pPr>
      <w:r>
        <w:rPr>
          <w:color w:val="auto"/>
          <w:highlight w:val="none"/>
        </w:rPr>
        <w:t>7.</w:t>
      </w:r>
      <w:r>
        <w:rPr>
          <w:rFonts w:hint="eastAsia"/>
          <w:color w:val="auto"/>
          <w:highlight w:val="none"/>
        </w:rPr>
        <w:t>灌注水下砼前必须进行孔底沉渣厚度的检测。必要时进行二次清孔，满足沉渣厚度不大于</w:t>
      </w:r>
      <w:r>
        <w:rPr>
          <w:color w:val="auto"/>
          <w:highlight w:val="none"/>
        </w:rPr>
        <w:t>100mm</w:t>
      </w:r>
      <w:r>
        <w:rPr>
          <w:rFonts w:hint="eastAsia"/>
          <w:color w:val="auto"/>
          <w:highlight w:val="none"/>
        </w:rPr>
        <w:t>的要求。另外根据导管的管径和导管上端漏斗的漏口形式采用适宜的隔水栓。</w:t>
      </w:r>
    </w:p>
    <w:p>
      <w:pPr>
        <w:pStyle w:val="217"/>
        <w:rPr>
          <w:color w:val="auto"/>
          <w:highlight w:val="none"/>
        </w:rPr>
      </w:pPr>
      <w:r>
        <w:rPr>
          <w:color w:val="auto"/>
          <w:highlight w:val="none"/>
        </w:rPr>
        <w:t>8.</w:t>
      </w:r>
      <w:r>
        <w:rPr>
          <w:rFonts w:hint="eastAsia"/>
          <w:color w:val="auto"/>
          <w:highlight w:val="none"/>
        </w:rPr>
        <w:t>水下砼的封底的初灌量须经计算确定，满足导管埋入砼内的长度</w:t>
      </w:r>
      <w:r>
        <w:rPr>
          <w:color w:val="auto"/>
          <w:highlight w:val="none"/>
        </w:rPr>
        <w:t>1.5m</w:t>
      </w:r>
      <w:r>
        <w:rPr>
          <w:rFonts w:hint="eastAsia"/>
          <w:color w:val="auto"/>
          <w:highlight w:val="none"/>
        </w:rPr>
        <w:t>。砼浇筑过程中，应有专人测量孔内砼面的高度，以便计算导管埋入深度并确定拔管长度。</w:t>
      </w:r>
    </w:p>
    <w:p>
      <w:pPr>
        <w:pStyle w:val="217"/>
        <w:rPr>
          <w:color w:val="auto"/>
          <w:highlight w:val="none"/>
        </w:rPr>
      </w:pPr>
      <w:r>
        <w:rPr>
          <w:color w:val="auto"/>
          <w:highlight w:val="none"/>
        </w:rPr>
        <w:t>9.</w:t>
      </w:r>
      <w:r>
        <w:rPr>
          <w:rFonts w:hint="eastAsia"/>
          <w:color w:val="auto"/>
          <w:highlight w:val="none"/>
        </w:rPr>
        <w:t>超灌高度应保证凿除浮浆后超过设计桩顶</w:t>
      </w:r>
      <w:r>
        <w:rPr>
          <w:color w:val="auto"/>
          <w:highlight w:val="none"/>
        </w:rPr>
        <w:t>300~400mm</w:t>
      </w:r>
      <w:r>
        <w:rPr>
          <w:rFonts w:hint="eastAsia"/>
          <w:color w:val="auto"/>
          <w:highlight w:val="none"/>
        </w:rPr>
        <w:t>。浇筑冠梁前，应清理桩顶残渣、浮土，将桩头超灌部分凿除。</w:t>
      </w:r>
    </w:p>
    <w:p>
      <w:pPr>
        <w:pStyle w:val="217"/>
        <w:rPr>
          <w:color w:val="auto"/>
          <w:highlight w:val="none"/>
        </w:rPr>
      </w:pPr>
      <w:r>
        <w:rPr>
          <w:color w:val="auto"/>
          <w:highlight w:val="none"/>
        </w:rPr>
        <w:t>10.</w:t>
      </w:r>
      <w:r>
        <w:rPr>
          <w:rFonts w:hint="eastAsia"/>
          <w:color w:val="auto"/>
          <w:highlight w:val="none"/>
        </w:rPr>
        <w:t>每批桩必须做好真实、准确的施工记录并按规定留取混凝土试块。</w:t>
      </w:r>
    </w:p>
    <w:p>
      <w:pPr>
        <w:pStyle w:val="217"/>
        <w:rPr>
          <w:color w:val="auto"/>
          <w:highlight w:val="none"/>
        </w:rPr>
      </w:pPr>
      <w:r>
        <w:rPr>
          <w:color w:val="auto"/>
          <w:highlight w:val="none"/>
        </w:rPr>
        <w:t>11.</w:t>
      </w:r>
      <w:r>
        <w:rPr>
          <w:rFonts w:hint="eastAsia"/>
          <w:color w:val="auto"/>
          <w:highlight w:val="none"/>
        </w:rPr>
        <w:t>灌注桩沉渣厚度测定的原则：</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）终孔时，测定孔底标高，应满足设计尺寸和入岩深度要求。</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）钢筋笼入孔定位，导管安装完毕，在水下砼灌注前测量孔底标高，并于终孔时测定的孔底标高比较，核算孔底沉渣厚度，应满足设计及规范要求。</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）终孔后未及时灌注砼的桩孔，于砼浇筑前必须进行沉渣厚度测定。</w:t>
      </w:r>
    </w:p>
    <w:p>
      <w:pPr>
        <w:pStyle w:val="217"/>
        <w:rPr>
          <w:color w:val="auto"/>
          <w:highlight w:val="none"/>
        </w:rPr>
      </w:pPr>
      <w:r>
        <w:rPr>
          <w:color w:val="auto"/>
          <w:highlight w:val="none"/>
        </w:rPr>
        <w:t>12.</w:t>
      </w:r>
      <w:r>
        <w:rPr>
          <w:rFonts w:hint="eastAsia"/>
          <w:color w:val="auto"/>
          <w:highlight w:val="none"/>
        </w:rPr>
        <w:t>支护桩正式施工前应进行试桩，以确定桩的成孔工艺。试桩由设计单位、监理单位和施工单位等相关人员现场确定，并应提前做好应急预防措施和各项记录事项，试桩过程中应做好各种监测及测量工作，为后续施工措施和方案的选择做指导。试桩数量不少于</w:t>
      </w:r>
      <w:r>
        <w:rPr>
          <w:color w:val="auto"/>
          <w:highlight w:val="none"/>
        </w:rPr>
        <w:t>3</w:t>
      </w:r>
      <w:r>
        <w:rPr>
          <w:rFonts w:hint="eastAsia"/>
          <w:color w:val="auto"/>
          <w:highlight w:val="none"/>
        </w:rPr>
        <w:t>根。</w:t>
      </w:r>
    </w:p>
    <w:p>
      <w:pPr>
        <w:pStyle w:val="217"/>
        <w:rPr>
          <w:color w:val="auto"/>
          <w:highlight w:val="none"/>
        </w:rPr>
      </w:pPr>
      <w:r>
        <w:rPr>
          <w:color w:val="auto"/>
          <w:highlight w:val="none"/>
        </w:rPr>
        <w:t>13.</w:t>
      </w:r>
      <w:r>
        <w:rPr>
          <w:rFonts w:hint="eastAsia"/>
          <w:color w:val="auto"/>
          <w:highlight w:val="none"/>
        </w:rPr>
        <w:t>旋挖桩施工中若遇岩石出露或遇孤石，可改用冲孔灌注桩。当支护桩提前触岩，未达设计桩长或设计桩底标高要求时，且无法判断桩底是岩面或是孤石时，可采用超前钻补勘，以明确终孔条件。</w:t>
      </w:r>
    </w:p>
    <w:p>
      <w:pPr>
        <w:pStyle w:val="172"/>
        <w:rPr>
          <w:color w:val="auto"/>
          <w:highlight w:val="none"/>
        </w:rPr>
      </w:pPr>
      <w:r>
        <w:rPr>
          <w:color w:val="auto"/>
          <w:highlight w:val="none"/>
        </w:rPr>
        <w:t xml:space="preserve">3.1.6 </w:t>
      </w:r>
      <w:r>
        <w:rPr>
          <w:rFonts w:hint="eastAsia"/>
          <w:color w:val="auto"/>
          <w:highlight w:val="none"/>
        </w:rPr>
        <w:t>土钉及喷射砼施工</w:t>
      </w:r>
    </w:p>
    <w:p>
      <w:pPr>
        <w:pStyle w:val="217"/>
        <w:rPr>
          <w:color w:val="auto"/>
          <w:highlight w:val="none"/>
        </w:rPr>
      </w:pPr>
      <w:r>
        <w:rPr>
          <w:color w:val="auto"/>
          <w:highlight w:val="none"/>
        </w:rPr>
        <w:t>1.</w:t>
      </w:r>
      <w:r>
        <w:rPr>
          <w:rFonts w:hint="eastAsia"/>
          <w:color w:val="auto"/>
          <w:highlight w:val="none"/>
        </w:rPr>
        <w:t>喷射砼及土钉施工与土方开挖应密切配合，按照设计要求分层分段开挖，每次开挖深度见相关剖面，开挖底面应位于各层土钉下</w:t>
      </w:r>
      <w:r>
        <w:rPr>
          <w:color w:val="auto"/>
          <w:highlight w:val="none"/>
        </w:rPr>
        <w:t>300</w:t>
      </w:r>
      <w:r>
        <w:rPr>
          <w:rFonts w:hint="eastAsia"/>
          <w:color w:val="auto"/>
          <w:highlight w:val="none"/>
        </w:rPr>
        <w:t>～</w:t>
      </w:r>
      <w:r>
        <w:rPr>
          <w:color w:val="auto"/>
          <w:highlight w:val="none"/>
        </w:rPr>
        <w:t>500mm</w:t>
      </w:r>
      <w:r>
        <w:rPr>
          <w:rFonts w:hint="eastAsia"/>
          <w:color w:val="auto"/>
          <w:highlight w:val="none"/>
        </w:rPr>
        <w:t>，然后及时修坡和施做支护，严禁超挖欠挖；</w:t>
      </w:r>
    </w:p>
    <w:p>
      <w:pPr>
        <w:pStyle w:val="217"/>
        <w:rPr>
          <w:color w:val="auto"/>
          <w:highlight w:val="none"/>
        </w:rPr>
      </w:pPr>
      <w:r>
        <w:rPr>
          <w:color w:val="auto"/>
          <w:highlight w:val="none"/>
        </w:rPr>
        <w:t>2.</w:t>
      </w:r>
      <w:r>
        <w:rPr>
          <w:rFonts w:hint="eastAsia"/>
          <w:color w:val="auto"/>
          <w:highlight w:val="none"/>
        </w:rPr>
        <w:t>喷射砼原材料宜采用</w:t>
      </w:r>
      <w:r>
        <w:rPr>
          <w:color w:val="auto"/>
          <w:highlight w:val="none"/>
        </w:rPr>
        <w:t>P.C.32.5R</w:t>
      </w:r>
      <w:r>
        <w:rPr>
          <w:rFonts w:hint="eastAsia"/>
          <w:color w:val="auto"/>
          <w:highlight w:val="none"/>
        </w:rPr>
        <w:t>复合水泥，干净中粗砂和粒径小于</w:t>
      </w:r>
      <w:r>
        <w:rPr>
          <w:color w:val="auto"/>
          <w:highlight w:val="none"/>
        </w:rPr>
        <w:t>15mm</w:t>
      </w:r>
      <w:r>
        <w:rPr>
          <w:rFonts w:hint="eastAsia"/>
          <w:color w:val="auto"/>
          <w:highlight w:val="none"/>
        </w:rPr>
        <w:t>的砾石，配合比为水泥：砂：石子＝</w:t>
      </w:r>
      <w:r>
        <w:rPr>
          <w:color w:val="auto"/>
          <w:highlight w:val="none"/>
        </w:rPr>
        <w:t>1</w:t>
      </w:r>
      <w:r>
        <w:rPr>
          <w:rFonts w:hint="eastAsia"/>
          <w:color w:val="auto"/>
          <w:highlight w:val="none"/>
        </w:rPr>
        <w:t>：</w:t>
      </w:r>
      <w:r>
        <w:rPr>
          <w:color w:val="auto"/>
          <w:highlight w:val="none"/>
        </w:rPr>
        <w:t>2</w:t>
      </w:r>
      <w:r>
        <w:rPr>
          <w:rFonts w:hint="eastAsia"/>
          <w:color w:val="auto"/>
          <w:highlight w:val="none"/>
        </w:rPr>
        <w:t>：</w:t>
      </w:r>
      <w:r>
        <w:rPr>
          <w:color w:val="auto"/>
          <w:highlight w:val="none"/>
        </w:rPr>
        <w:t>2.5</w:t>
      </w:r>
      <w:r>
        <w:rPr>
          <w:rFonts w:hint="eastAsia"/>
          <w:color w:val="auto"/>
          <w:highlight w:val="none"/>
        </w:rPr>
        <w:t>，喷料应搅拌均匀，随拌随用水灰比为</w:t>
      </w:r>
      <w:r>
        <w:rPr>
          <w:color w:val="auto"/>
          <w:highlight w:val="none"/>
        </w:rPr>
        <w:t>0.4</w:t>
      </w:r>
      <w:r>
        <w:rPr>
          <w:rFonts w:hint="eastAsia"/>
          <w:color w:val="auto"/>
          <w:highlight w:val="none"/>
        </w:rPr>
        <w:t>～</w:t>
      </w:r>
      <w:r>
        <w:rPr>
          <w:color w:val="auto"/>
          <w:highlight w:val="none"/>
        </w:rPr>
        <w:t>0.45</w:t>
      </w:r>
      <w:r>
        <w:rPr>
          <w:rFonts w:hint="eastAsia"/>
          <w:color w:val="auto"/>
          <w:highlight w:val="none"/>
        </w:rPr>
        <w:t>；</w:t>
      </w:r>
    </w:p>
    <w:p>
      <w:pPr>
        <w:pStyle w:val="217"/>
        <w:rPr>
          <w:color w:val="auto"/>
          <w:highlight w:val="none"/>
        </w:rPr>
      </w:pPr>
      <w:r>
        <w:rPr>
          <w:color w:val="auto"/>
          <w:highlight w:val="none"/>
        </w:rPr>
        <w:t>3.</w:t>
      </w:r>
      <w:r>
        <w:rPr>
          <w:rFonts w:hint="eastAsia"/>
          <w:color w:val="auto"/>
          <w:highlight w:val="none"/>
        </w:rPr>
        <w:t>喷射砼完成</w:t>
      </w:r>
      <w:r>
        <w:rPr>
          <w:color w:val="auto"/>
          <w:highlight w:val="none"/>
        </w:rPr>
        <w:t>7</w:t>
      </w:r>
      <w:r>
        <w:rPr>
          <w:rFonts w:hint="eastAsia"/>
          <w:color w:val="auto"/>
          <w:highlight w:val="none"/>
        </w:rPr>
        <w:t>日内需洒水养护，防止喷射砼面层开裂；</w:t>
      </w:r>
    </w:p>
    <w:p>
      <w:pPr>
        <w:pStyle w:val="217"/>
        <w:rPr>
          <w:color w:val="auto"/>
          <w:highlight w:val="none"/>
        </w:rPr>
      </w:pPr>
      <w:r>
        <w:rPr>
          <w:color w:val="auto"/>
          <w:highlight w:val="none"/>
        </w:rPr>
        <w:t>4.</w:t>
      </w:r>
      <w:r>
        <w:rPr>
          <w:rFonts w:hint="eastAsia"/>
          <w:color w:val="auto"/>
          <w:highlight w:val="none"/>
        </w:rPr>
        <w:t>上一排土钉、喷射砼完成</w:t>
      </w:r>
      <w:r>
        <w:rPr>
          <w:color w:val="auto"/>
          <w:highlight w:val="none"/>
        </w:rPr>
        <w:t>24</w:t>
      </w:r>
      <w:r>
        <w:rPr>
          <w:rFonts w:hint="eastAsia"/>
          <w:color w:val="auto"/>
          <w:highlight w:val="none"/>
        </w:rPr>
        <w:t>小时后方可进行下一层土方开挖。</w:t>
      </w:r>
    </w:p>
    <w:p>
      <w:pPr>
        <w:pStyle w:val="217"/>
        <w:rPr>
          <w:color w:val="auto"/>
          <w:highlight w:val="none"/>
        </w:rPr>
      </w:pPr>
      <w:r>
        <w:rPr>
          <w:color w:val="auto"/>
          <w:highlight w:val="none"/>
        </w:rPr>
        <w:t>5.</w:t>
      </w:r>
      <w:r>
        <w:rPr>
          <w:rFonts w:hint="eastAsia"/>
          <w:color w:val="auto"/>
          <w:highlight w:val="none"/>
        </w:rPr>
        <w:t>土钉正式施工前应进行</w:t>
      </w:r>
      <w:r>
        <w:rPr>
          <w:color w:val="auto"/>
          <w:highlight w:val="none"/>
        </w:rPr>
        <w:t>3</w:t>
      </w:r>
      <w:r>
        <w:rPr>
          <w:rFonts w:hint="eastAsia"/>
          <w:color w:val="auto"/>
          <w:highlight w:val="none"/>
        </w:rPr>
        <w:t>根抗拔力基本试验。基本试验应选在典型土层，即砾质粘性土层，以检验设计的合理性和施工水平等，具体位置现场确定。</w:t>
      </w:r>
    </w:p>
    <w:p>
      <w:pPr>
        <w:pStyle w:val="172"/>
        <w:rPr>
          <w:color w:val="auto"/>
          <w:highlight w:val="none"/>
        </w:rPr>
      </w:pPr>
      <w:r>
        <w:rPr>
          <w:color w:val="auto"/>
          <w:highlight w:val="none"/>
        </w:rPr>
        <w:t xml:space="preserve">3.1.7 </w:t>
      </w:r>
      <w:r>
        <w:rPr>
          <w:rFonts w:hint="eastAsia"/>
          <w:color w:val="auto"/>
          <w:highlight w:val="none"/>
        </w:rPr>
        <w:t>冠梁结构工程</w:t>
      </w:r>
    </w:p>
    <w:p>
      <w:pPr>
        <w:pStyle w:val="119"/>
        <w:rPr>
          <w:color w:val="auto"/>
          <w:highlight w:val="none"/>
        </w:rPr>
      </w:pPr>
      <w:r>
        <w:rPr>
          <w:color w:val="auto"/>
          <w:highlight w:val="none"/>
        </w:rPr>
        <w:t xml:space="preserve">3.1.7.1 </w:t>
      </w:r>
      <w:r>
        <w:rPr>
          <w:rFonts w:hint="eastAsia"/>
          <w:color w:val="auto"/>
          <w:highlight w:val="none"/>
        </w:rPr>
        <w:t>混凝土结构工程</w:t>
      </w:r>
    </w:p>
    <w:p>
      <w:pPr>
        <w:pStyle w:val="217"/>
        <w:rPr>
          <w:color w:val="auto"/>
          <w:highlight w:val="none"/>
        </w:rPr>
      </w:pPr>
      <w:r>
        <w:rPr>
          <w:color w:val="auto"/>
          <w:highlight w:val="none"/>
        </w:rPr>
        <w:t>1.</w:t>
      </w:r>
      <w:r>
        <w:rPr>
          <w:rFonts w:hint="eastAsia"/>
          <w:color w:val="auto"/>
          <w:highlight w:val="none"/>
        </w:rPr>
        <w:t>对冠梁施工前应根据设计图纸结合实际情况，编制技术措施合理、保证质量、具有可操作性的专项施工方案，报监理单位审核，经总监审批后方可施工。</w:t>
      </w:r>
    </w:p>
    <w:p>
      <w:pPr>
        <w:pStyle w:val="217"/>
        <w:rPr>
          <w:color w:val="auto"/>
          <w:highlight w:val="none"/>
        </w:rPr>
      </w:pPr>
      <w:r>
        <w:rPr>
          <w:color w:val="auto"/>
          <w:highlight w:val="none"/>
        </w:rPr>
        <w:t>2.</w:t>
      </w:r>
      <w:r>
        <w:rPr>
          <w:rFonts w:hint="eastAsia"/>
          <w:color w:val="auto"/>
          <w:highlight w:val="none"/>
        </w:rPr>
        <w:t>施工中应严格要求混凝土的性能，本工程要求使用优质高性能混凝土。</w:t>
      </w:r>
    </w:p>
    <w:p>
      <w:pPr>
        <w:pStyle w:val="217"/>
        <w:rPr>
          <w:color w:val="auto"/>
          <w:highlight w:val="none"/>
        </w:rPr>
      </w:pPr>
      <w:r>
        <w:rPr>
          <w:color w:val="auto"/>
          <w:highlight w:val="none"/>
        </w:rPr>
        <w:t>3.</w:t>
      </w:r>
      <w:r>
        <w:rPr>
          <w:rFonts w:hint="eastAsia"/>
          <w:color w:val="auto"/>
          <w:highlight w:val="none"/>
        </w:rPr>
        <w:t>冠梁钢筋采用砂浆垫块，严格控制保护层厚度。</w:t>
      </w:r>
    </w:p>
    <w:p>
      <w:pPr>
        <w:pStyle w:val="217"/>
        <w:rPr>
          <w:color w:val="auto"/>
          <w:highlight w:val="none"/>
        </w:rPr>
      </w:pPr>
      <w:r>
        <w:rPr>
          <w:color w:val="auto"/>
          <w:highlight w:val="none"/>
        </w:rPr>
        <w:t>4.</w:t>
      </w:r>
      <w:r>
        <w:rPr>
          <w:rFonts w:hint="eastAsia"/>
          <w:color w:val="auto"/>
          <w:highlight w:val="none"/>
        </w:rPr>
        <w:t>混凝土浇筑成型后，养护时间不得少于</w:t>
      </w:r>
      <w:r>
        <w:rPr>
          <w:color w:val="auto"/>
          <w:highlight w:val="none"/>
        </w:rPr>
        <w:t>7</w:t>
      </w:r>
      <w:r>
        <w:rPr>
          <w:rFonts w:hint="eastAsia"/>
          <w:color w:val="auto"/>
          <w:highlight w:val="none"/>
        </w:rPr>
        <w:t>天．提供</w:t>
      </w:r>
      <w:r>
        <w:rPr>
          <w:color w:val="auto"/>
          <w:highlight w:val="none"/>
        </w:rPr>
        <w:t>7</w:t>
      </w:r>
      <w:r>
        <w:rPr>
          <w:rFonts w:hint="eastAsia"/>
          <w:color w:val="auto"/>
          <w:highlight w:val="none"/>
        </w:rPr>
        <w:t>天同条件养护混凝士强度检测报告。拆模时间均须提供同条件混凝土强度检测报告，满足施工规范要求方可拆模。</w:t>
      </w:r>
    </w:p>
    <w:p>
      <w:pPr>
        <w:pStyle w:val="172"/>
        <w:rPr>
          <w:color w:val="auto"/>
          <w:highlight w:val="none"/>
        </w:rPr>
      </w:pPr>
      <w:r>
        <w:rPr>
          <w:color w:val="auto"/>
          <w:highlight w:val="none"/>
        </w:rPr>
        <w:t xml:space="preserve">3.1.8 </w:t>
      </w:r>
      <w:r>
        <w:rPr>
          <w:rFonts w:hint="eastAsia"/>
          <w:color w:val="auto"/>
          <w:highlight w:val="none"/>
        </w:rPr>
        <w:t>喷射混凝土</w:t>
      </w:r>
    </w:p>
    <w:p>
      <w:pPr>
        <w:pStyle w:val="217"/>
        <w:rPr>
          <w:color w:val="auto"/>
          <w:highlight w:val="none"/>
        </w:rPr>
      </w:pPr>
      <w:r>
        <w:rPr>
          <w:color w:val="auto"/>
          <w:highlight w:val="none"/>
        </w:rPr>
        <w:t>1.</w:t>
      </w:r>
      <w:r>
        <w:rPr>
          <w:rFonts w:hint="eastAsia"/>
          <w:color w:val="auto"/>
          <w:highlight w:val="none"/>
        </w:rPr>
        <w:t>混凝土面层</w:t>
      </w:r>
      <w:r>
        <w:rPr>
          <w:color w:val="auto"/>
          <w:highlight w:val="none"/>
        </w:rPr>
        <w:t>100mm</w:t>
      </w:r>
      <w:r>
        <w:rPr>
          <w:rFonts w:hint="eastAsia"/>
          <w:color w:val="auto"/>
          <w:highlight w:val="none"/>
        </w:rPr>
        <w:t>厚，并挂钢筋网，按φ</w:t>
      </w:r>
      <w:r>
        <w:rPr>
          <w:color w:val="auto"/>
          <w:highlight w:val="none"/>
        </w:rPr>
        <w:t>6@200</w:t>
      </w:r>
      <w:r>
        <w:rPr>
          <w:rFonts w:hint="eastAsia"/>
          <w:color w:val="auto"/>
          <w:highlight w:val="none"/>
        </w:rPr>
        <w:t>×</w:t>
      </w:r>
      <w:r>
        <w:rPr>
          <w:color w:val="auto"/>
          <w:highlight w:val="none"/>
        </w:rPr>
        <w:t>200</w:t>
      </w:r>
      <w:r>
        <w:rPr>
          <w:rFonts w:hint="eastAsia"/>
          <w:color w:val="auto"/>
          <w:highlight w:val="none"/>
        </w:rPr>
        <w:t>布置；</w:t>
      </w:r>
    </w:p>
    <w:p>
      <w:pPr>
        <w:pStyle w:val="217"/>
        <w:rPr>
          <w:color w:val="auto"/>
          <w:highlight w:val="none"/>
        </w:rPr>
      </w:pPr>
      <w:r>
        <w:rPr>
          <w:color w:val="auto"/>
          <w:highlight w:val="none"/>
        </w:rPr>
        <w:t>2.</w:t>
      </w:r>
      <w:r>
        <w:rPr>
          <w:rFonts w:hint="eastAsia"/>
          <w:color w:val="auto"/>
          <w:highlight w:val="none"/>
        </w:rPr>
        <w:t>喷射混凝土强度等级</w:t>
      </w:r>
      <w:r>
        <w:rPr>
          <w:color w:val="auto"/>
          <w:highlight w:val="none"/>
        </w:rPr>
        <w:t>C20</w:t>
      </w:r>
      <w:r>
        <w:rPr>
          <w:rFonts w:hint="eastAsia"/>
          <w:color w:val="auto"/>
          <w:highlight w:val="none"/>
        </w:rPr>
        <w:t>，水泥、砂、石子配合比例为</w:t>
      </w:r>
      <w:r>
        <w:rPr>
          <w:color w:val="auto"/>
          <w:highlight w:val="none"/>
        </w:rPr>
        <w:t>1</w:t>
      </w:r>
      <w:r>
        <w:rPr>
          <w:rFonts w:hint="eastAsia"/>
          <w:color w:val="auto"/>
          <w:highlight w:val="none"/>
        </w:rPr>
        <w:t>：</w:t>
      </w:r>
      <w:r>
        <w:rPr>
          <w:color w:val="auto"/>
          <w:highlight w:val="none"/>
        </w:rPr>
        <w:t>2</w:t>
      </w:r>
      <w:r>
        <w:rPr>
          <w:rFonts w:hint="eastAsia"/>
          <w:color w:val="auto"/>
          <w:highlight w:val="none"/>
        </w:rPr>
        <w:t>：</w:t>
      </w:r>
      <w:r>
        <w:rPr>
          <w:color w:val="auto"/>
          <w:highlight w:val="none"/>
        </w:rPr>
        <w:t>2.5</w:t>
      </w:r>
      <w:r>
        <w:rPr>
          <w:rFonts w:hint="eastAsia"/>
          <w:color w:val="auto"/>
          <w:highlight w:val="none"/>
        </w:rPr>
        <w:t>或根据配合比试验进行。</w:t>
      </w:r>
    </w:p>
    <w:p>
      <w:pPr>
        <w:pStyle w:val="172"/>
        <w:rPr>
          <w:color w:val="auto"/>
          <w:highlight w:val="none"/>
        </w:rPr>
      </w:pPr>
      <w:r>
        <w:rPr>
          <w:color w:val="auto"/>
          <w:highlight w:val="none"/>
        </w:rPr>
        <w:t xml:space="preserve">3.1.9 </w:t>
      </w:r>
      <w:r>
        <w:rPr>
          <w:rFonts w:hint="eastAsia"/>
          <w:color w:val="auto"/>
          <w:highlight w:val="none"/>
        </w:rPr>
        <w:t>降排水及回灌</w:t>
      </w:r>
    </w:p>
    <w:p>
      <w:pPr>
        <w:pStyle w:val="217"/>
        <w:rPr>
          <w:color w:val="auto"/>
          <w:highlight w:val="none"/>
        </w:rPr>
      </w:pPr>
      <w:r>
        <w:rPr>
          <w:rFonts w:hint="eastAsia"/>
          <w:color w:val="auto"/>
          <w:highlight w:val="none"/>
        </w:rPr>
        <w:t>承包人负责基坑抽水及排水工作，其费用已包含在承包人投标报价之中。</w:t>
      </w:r>
    </w:p>
    <w:p>
      <w:pPr>
        <w:pStyle w:val="217"/>
        <w:rPr>
          <w:color w:val="auto"/>
          <w:highlight w:val="none"/>
        </w:rPr>
      </w:pPr>
      <w:r>
        <w:rPr>
          <w:color w:val="auto"/>
          <w:highlight w:val="none"/>
        </w:rPr>
        <w:t>1.</w:t>
      </w:r>
      <w:r>
        <w:rPr>
          <w:rFonts w:hint="eastAsia"/>
          <w:color w:val="auto"/>
          <w:highlight w:val="none"/>
        </w:rPr>
        <w:t>排水沟</w:t>
      </w:r>
      <w:r>
        <w:rPr>
          <w:color w:val="auto"/>
          <w:highlight w:val="none"/>
        </w:rPr>
        <w:t xml:space="preserve"> </w:t>
      </w:r>
      <w:r>
        <w:rPr>
          <w:rFonts w:hint="eastAsia"/>
          <w:color w:val="auto"/>
          <w:highlight w:val="none"/>
        </w:rPr>
        <w:t>：坑顶和坑底设置排水沟，排水沟尺寸均为：</w:t>
      </w:r>
      <w:r>
        <w:rPr>
          <w:color w:val="auto"/>
          <w:highlight w:val="none"/>
        </w:rPr>
        <w:t>400</w:t>
      </w:r>
      <w:r>
        <w:rPr>
          <w:rFonts w:hint="eastAsia"/>
          <w:color w:val="auto"/>
          <w:highlight w:val="none"/>
        </w:rPr>
        <w:t>×</w:t>
      </w:r>
      <w:r>
        <w:rPr>
          <w:color w:val="auto"/>
          <w:highlight w:val="none"/>
        </w:rPr>
        <w:t>400</w:t>
      </w:r>
      <w:r>
        <w:rPr>
          <w:rFonts w:hint="eastAsia"/>
          <w:color w:val="auto"/>
          <w:highlight w:val="none"/>
        </w:rPr>
        <w:t>×</w:t>
      </w:r>
      <w:r>
        <w:rPr>
          <w:color w:val="auto"/>
          <w:highlight w:val="none"/>
        </w:rPr>
        <w:t>400mm</w:t>
      </w:r>
      <w:r>
        <w:rPr>
          <w:rFonts w:hint="eastAsia"/>
          <w:color w:val="auto"/>
          <w:highlight w:val="none"/>
        </w:rPr>
        <w:t>（顶宽×底宽×高）。坑底排水沟汇集坑内排出的水，坑顶排水沟拦截坑顶雨水，基坑顶四周排水沟范围以内做硬地化以防地表水渗入。</w:t>
      </w:r>
    </w:p>
    <w:p>
      <w:pPr>
        <w:pStyle w:val="217"/>
        <w:rPr>
          <w:color w:val="auto"/>
          <w:highlight w:val="none"/>
        </w:rPr>
      </w:pPr>
      <w:r>
        <w:rPr>
          <w:color w:val="auto"/>
          <w:highlight w:val="none"/>
        </w:rPr>
        <w:t>2.</w:t>
      </w:r>
      <w:r>
        <w:rPr>
          <w:rFonts w:hint="eastAsia"/>
          <w:color w:val="auto"/>
          <w:highlight w:val="none"/>
        </w:rPr>
        <w:t>集水井：基坑底部设集水井以汇集坑底排水沟排出的地面水和地下水，尺寸为</w:t>
      </w:r>
      <w:r>
        <w:rPr>
          <w:color w:val="auto"/>
          <w:highlight w:val="none"/>
        </w:rPr>
        <w:t>800</w:t>
      </w:r>
      <w:r>
        <w:rPr>
          <w:rFonts w:hint="eastAsia"/>
          <w:color w:val="auto"/>
          <w:highlight w:val="none"/>
        </w:rPr>
        <w:t>（长）</w:t>
      </w:r>
      <w:r>
        <w:rPr>
          <w:color w:val="auto"/>
          <w:highlight w:val="none"/>
        </w:rPr>
        <w:t>x800</w:t>
      </w:r>
      <w:r>
        <w:rPr>
          <w:rFonts w:hint="eastAsia"/>
          <w:color w:val="auto"/>
          <w:highlight w:val="none"/>
        </w:rPr>
        <w:t>（宽）</w:t>
      </w:r>
      <w:r>
        <w:rPr>
          <w:color w:val="auto"/>
          <w:highlight w:val="none"/>
        </w:rPr>
        <w:t>x800mm</w:t>
      </w:r>
      <w:r>
        <w:rPr>
          <w:rFonts w:hint="eastAsia"/>
          <w:color w:val="auto"/>
          <w:highlight w:val="none"/>
        </w:rPr>
        <w:t>（深），间距约按每</w:t>
      </w:r>
      <w:r>
        <w:rPr>
          <w:color w:val="auto"/>
          <w:highlight w:val="none"/>
        </w:rPr>
        <w:t>30m</w:t>
      </w:r>
      <w:r>
        <w:rPr>
          <w:rFonts w:hint="eastAsia"/>
          <w:color w:val="auto"/>
          <w:highlight w:val="none"/>
        </w:rPr>
        <w:t>设置一个。排入市政管道前应做三级沉砂池，长×宽×深</w:t>
      </w:r>
      <w:r>
        <w:rPr>
          <w:color w:val="auto"/>
          <w:highlight w:val="none"/>
        </w:rPr>
        <w:t>=3000</w:t>
      </w:r>
      <w:r>
        <w:rPr>
          <w:rFonts w:hint="eastAsia"/>
          <w:color w:val="auto"/>
          <w:highlight w:val="none"/>
        </w:rPr>
        <w:t>×</w:t>
      </w:r>
      <w:r>
        <w:rPr>
          <w:color w:val="auto"/>
          <w:highlight w:val="none"/>
        </w:rPr>
        <w:t>1500</w:t>
      </w:r>
      <w:r>
        <w:rPr>
          <w:rFonts w:hint="eastAsia"/>
          <w:color w:val="auto"/>
          <w:highlight w:val="none"/>
        </w:rPr>
        <w:t>×</w:t>
      </w:r>
      <w:r>
        <w:rPr>
          <w:color w:val="auto"/>
          <w:highlight w:val="none"/>
        </w:rPr>
        <w:t>1500mm</w:t>
      </w:r>
      <w:r>
        <w:rPr>
          <w:rFonts w:hint="eastAsia"/>
          <w:color w:val="auto"/>
          <w:highlight w:val="none"/>
        </w:rPr>
        <w:t>，构造设计详见大样图。</w:t>
      </w:r>
    </w:p>
    <w:p>
      <w:pPr>
        <w:pStyle w:val="217"/>
        <w:rPr>
          <w:color w:val="auto"/>
          <w:highlight w:val="none"/>
        </w:rPr>
      </w:pPr>
      <w:r>
        <w:rPr>
          <w:color w:val="auto"/>
          <w:highlight w:val="none"/>
        </w:rPr>
        <w:t>3.</w:t>
      </w:r>
      <w:r>
        <w:rPr>
          <w:rFonts w:hint="eastAsia"/>
          <w:color w:val="auto"/>
          <w:highlight w:val="none"/>
        </w:rPr>
        <w:t>坑内土体中地下水的排除。从经济、土方开挖的便利性考虑，本基坑设计采用坑内集水井抽水和排水沟明排方式排出坑内地下水，沿基坑边每</w:t>
      </w:r>
      <w:r>
        <w:rPr>
          <w:color w:val="auto"/>
          <w:highlight w:val="none"/>
        </w:rPr>
        <w:t>25m</w:t>
      </w:r>
      <w:r>
        <w:rPr>
          <w:rFonts w:hint="eastAsia"/>
          <w:color w:val="auto"/>
          <w:highlight w:val="none"/>
        </w:rPr>
        <w:t>挖</w:t>
      </w:r>
      <w:r>
        <w:rPr>
          <w:color w:val="auto"/>
          <w:highlight w:val="none"/>
        </w:rPr>
        <w:t>2m</w:t>
      </w:r>
      <w:r>
        <w:rPr>
          <w:rFonts w:hint="eastAsia"/>
          <w:color w:val="auto"/>
          <w:highlight w:val="none"/>
        </w:rPr>
        <w:t>×</w:t>
      </w:r>
      <w:r>
        <w:rPr>
          <w:color w:val="auto"/>
          <w:highlight w:val="none"/>
        </w:rPr>
        <w:t>2m</w:t>
      </w:r>
      <w:r>
        <w:rPr>
          <w:rFonts w:hint="eastAsia"/>
          <w:color w:val="auto"/>
          <w:highlight w:val="none"/>
        </w:rPr>
        <w:t>×</w:t>
      </w:r>
      <w:r>
        <w:rPr>
          <w:color w:val="auto"/>
          <w:highlight w:val="none"/>
        </w:rPr>
        <w:t>3m</w:t>
      </w:r>
      <w:r>
        <w:rPr>
          <w:rFonts w:hint="eastAsia"/>
          <w:color w:val="auto"/>
          <w:highlight w:val="none"/>
        </w:rPr>
        <w:t>左右降水坑</w:t>
      </w:r>
      <w:r>
        <w:rPr>
          <w:color w:val="auto"/>
          <w:highlight w:val="none"/>
        </w:rPr>
        <w:t>1</w:t>
      </w:r>
      <w:r>
        <w:rPr>
          <w:rFonts w:hint="eastAsia"/>
          <w:color w:val="auto"/>
          <w:highlight w:val="none"/>
        </w:rPr>
        <w:t>个（可用挖机直接成坑），在开挖的同时放入污水泵抽水。随开挖深度的增加，逐渐加深降水坑深度。</w:t>
      </w:r>
    </w:p>
    <w:p>
      <w:pPr>
        <w:pStyle w:val="217"/>
        <w:rPr>
          <w:color w:val="auto"/>
          <w:highlight w:val="none"/>
        </w:rPr>
      </w:pPr>
      <w:r>
        <w:rPr>
          <w:color w:val="auto"/>
          <w:highlight w:val="none"/>
        </w:rPr>
        <w:t>4.</w:t>
      </w:r>
      <w:r>
        <w:rPr>
          <w:rFonts w:hint="eastAsia"/>
          <w:color w:val="auto"/>
          <w:highlight w:val="none"/>
        </w:rPr>
        <w:t>雨季排水</w:t>
      </w:r>
    </w:p>
    <w:p>
      <w:pPr>
        <w:pStyle w:val="217"/>
        <w:rPr>
          <w:color w:val="auto"/>
          <w:highlight w:val="none"/>
        </w:rPr>
      </w:pPr>
      <w:r>
        <w:rPr>
          <w:color w:val="auto"/>
          <w:highlight w:val="none"/>
        </w:rPr>
        <w:t xml:space="preserve"> </w:t>
      </w:r>
      <w:r>
        <w:rPr>
          <w:rFonts w:hint="eastAsia"/>
          <w:color w:val="auto"/>
          <w:highlight w:val="none"/>
        </w:rPr>
        <w:t>台风暴雨季节，应合理组织地表水排放，在坑内适当位置挖掘超前集水坑，并通过排水沟，作好挖土期间的集水排水工作。</w:t>
      </w:r>
    </w:p>
    <w:p>
      <w:pPr>
        <w:pStyle w:val="217"/>
        <w:rPr>
          <w:color w:val="auto"/>
          <w:highlight w:val="none"/>
        </w:rPr>
      </w:pPr>
      <w:r>
        <w:rPr>
          <w:color w:val="auto"/>
          <w:highlight w:val="none"/>
        </w:rPr>
        <w:t>5.</w:t>
      </w:r>
      <w:r>
        <w:rPr>
          <w:rFonts w:hint="eastAsia"/>
          <w:color w:val="auto"/>
          <w:highlight w:val="none"/>
        </w:rPr>
        <w:t>回灌</w:t>
      </w:r>
    </w:p>
    <w:p>
      <w:pPr>
        <w:pStyle w:val="217"/>
        <w:rPr>
          <w:color w:val="auto"/>
          <w:highlight w:val="none"/>
        </w:rPr>
      </w:pPr>
      <w:r>
        <w:rPr>
          <w:rFonts w:hint="eastAsia"/>
          <w:color w:val="auto"/>
          <w:highlight w:val="none"/>
        </w:rPr>
        <w:t>根据水位及沉降监测结果，必要时可考虑设置回灌井进行回灌。</w:t>
      </w:r>
    </w:p>
    <w:p>
      <w:pPr>
        <w:pStyle w:val="172"/>
        <w:rPr>
          <w:color w:val="auto"/>
          <w:highlight w:val="none"/>
        </w:rPr>
      </w:pPr>
      <w:r>
        <w:rPr>
          <w:color w:val="auto"/>
          <w:highlight w:val="none"/>
        </w:rPr>
        <w:t xml:space="preserve">3.1.10 </w:t>
      </w:r>
      <w:r>
        <w:rPr>
          <w:rFonts w:hint="eastAsia"/>
          <w:color w:val="auto"/>
          <w:highlight w:val="none"/>
        </w:rPr>
        <w:t>施工应急预案</w:t>
      </w:r>
    </w:p>
    <w:p>
      <w:pPr>
        <w:pStyle w:val="217"/>
        <w:rPr>
          <w:color w:val="auto"/>
          <w:highlight w:val="none"/>
        </w:rPr>
      </w:pPr>
      <w:r>
        <w:rPr>
          <w:color w:val="auto"/>
          <w:highlight w:val="none"/>
        </w:rPr>
        <w:t>1.</w:t>
      </w:r>
      <w:r>
        <w:rPr>
          <w:rFonts w:hint="eastAsia"/>
          <w:color w:val="auto"/>
          <w:highlight w:val="none"/>
        </w:rPr>
        <w:t>在基坑支护过程中，挖土机操作人员应保证随叫随到，挖机设备应保证</w:t>
      </w:r>
      <w:r>
        <w:rPr>
          <w:color w:val="auto"/>
          <w:highlight w:val="none"/>
        </w:rPr>
        <w:t>1</w:t>
      </w:r>
      <w:r>
        <w:rPr>
          <w:rFonts w:hint="eastAsia"/>
          <w:color w:val="auto"/>
          <w:highlight w:val="none"/>
        </w:rPr>
        <w:t>台位于现场，以备不时之需。</w:t>
      </w:r>
    </w:p>
    <w:p>
      <w:pPr>
        <w:pStyle w:val="217"/>
        <w:rPr>
          <w:color w:val="auto"/>
          <w:highlight w:val="none"/>
        </w:rPr>
      </w:pPr>
      <w:r>
        <w:rPr>
          <w:color w:val="auto"/>
          <w:highlight w:val="none"/>
        </w:rPr>
        <w:t>2.</w:t>
      </w:r>
      <w:r>
        <w:rPr>
          <w:rFonts w:hint="eastAsia"/>
          <w:color w:val="auto"/>
          <w:highlight w:val="none"/>
        </w:rPr>
        <w:t>施工单位在现场应配备一定数量的砂包和工人，保证在出现异常情况如塌方、管涌时，可及时进行抢险工作。</w:t>
      </w:r>
    </w:p>
    <w:p>
      <w:pPr>
        <w:pStyle w:val="217"/>
        <w:rPr>
          <w:color w:val="auto"/>
          <w:highlight w:val="none"/>
        </w:rPr>
      </w:pPr>
      <w:r>
        <w:rPr>
          <w:color w:val="auto"/>
          <w:highlight w:val="none"/>
        </w:rPr>
        <w:t>3.</w:t>
      </w:r>
      <w:r>
        <w:rPr>
          <w:rFonts w:hint="eastAsia"/>
          <w:color w:val="auto"/>
          <w:highlight w:val="none"/>
        </w:rPr>
        <w:t>基坑施工和使用过程中，当出现支护体系变形过大时，可根据具体情况进行加固处理。</w:t>
      </w:r>
    </w:p>
    <w:p>
      <w:pPr>
        <w:pStyle w:val="217"/>
        <w:rPr>
          <w:color w:val="auto"/>
          <w:highlight w:val="none"/>
        </w:rPr>
      </w:pPr>
      <w:r>
        <w:rPr>
          <w:color w:val="auto"/>
          <w:highlight w:val="none"/>
        </w:rPr>
        <w:t>5.</w:t>
      </w:r>
      <w:r>
        <w:rPr>
          <w:rFonts w:hint="eastAsia"/>
          <w:color w:val="auto"/>
          <w:highlight w:val="none"/>
        </w:rPr>
        <w:t>当支护体系底部位移超过警戒值时，应对坑底土体进行分块、分段加固。加固范围为基坑底向外扩</w:t>
      </w:r>
      <w:r>
        <w:rPr>
          <w:color w:val="auto"/>
          <w:highlight w:val="none"/>
        </w:rPr>
        <w:t>15~20m</w:t>
      </w:r>
      <w:r>
        <w:rPr>
          <w:rFonts w:hint="eastAsia"/>
          <w:color w:val="auto"/>
          <w:highlight w:val="none"/>
        </w:rPr>
        <w:t>范围，采用高压注浆加固。</w:t>
      </w:r>
    </w:p>
    <w:p>
      <w:pPr>
        <w:pStyle w:val="217"/>
        <w:rPr>
          <w:color w:val="auto"/>
          <w:highlight w:val="none"/>
        </w:rPr>
      </w:pPr>
      <w:r>
        <w:rPr>
          <w:color w:val="auto"/>
          <w:highlight w:val="none"/>
        </w:rPr>
        <w:t>6.</w:t>
      </w:r>
      <w:r>
        <w:rPr>
          <w:rFonts w:hint="eastAsia"/>
          <w:color w:val="auto"/>
          <w:highlight w:val="none"/>
        </w:rPr>
        <w:t>若应力监测表明，支护桩有可能超过其设计承载力，应立即停止开挖，并通过调整腰梁截面、锚索竖向间距等形式变更设计，在取得有关方面</w:t>
      </w:r>
      <w:r>
        <w:rPr>
          <w:rFonts w:hint="eastAsia"/>
          <w:color w:val="auto"/>
          <w:highlight w:val="none"/>
          <w:lang w:eastAsia="zh-CN"/>
        </w:rPr>
        <w:t>书面</w:t>
      </w:r>
      <w:r>
        <w:rPr>
          <w:rFonts w:hint="eastAsia"/>
          <w:color w:val="auto"/>
          <w:highlight w:val="none"/>
        </w:rPr>
        <w:t>同意后继续施工。</w:t>
      </w:r>
    </w:p>
    <w:p>
      <w:pPr>
        <w:pStyle w:val="217"/>
        <w:rPr>
          <w:color w:val="auto"/>
          <w:highlight w:val="none"/>
        </w:rPr>
      </w:pPr>
      <w:r>
        <w:rPr>
          <w:color w:val="auto"/>
          <w:highlight w:val="none"/>
        </w:rPr>
        <w:t>7.</w:t>
      </w:r>
      <w:r>
        <w:rPr>
          <w:rFonts w:hint="eastAsia"/>
          <w:color w:val="auto"/>
          <w:highlight w:val="none"/>
        </w:rPr>
        <w:t>监测人员应及时提交监测结果，并综合分析各种监测资料，当监测数据达到预警值时必须立即通报有关单位和人员，做到信息化施工管理。</w:t>
      </w:r>
    </w:p>
    <w:p>
      <w:pPr>
        <w:pStyle w:val="172"/>
        <w:rPr>
          <w:color w:val="auto"/>
          <w:highlight w:val="none"/>
        </w:rPr>
      </w:pPr>
      <w:r>
        <w:rPr>
          <w:color w:val="auto"/>
          <w:highlight w:val="none"/>
        </w:rPr>
        <w:t xml:space="preserve">3.1.11 </w:t>
      </w:r>
      <w:r>
        <w:rPr>
          <w:rFonts w:hint="eastAsia"/>
          <w:color w:val="auto"/>
          <w:highlight w:val="none"/>
        </w:rPr>
        <w:t>基桩检测及配合工作</w:t>
      </w:r>
    </w:p>
    <w:p>
      <w:pPr>
        <w:pStyle w:val="217"/>
        <w:rPr>
          <w:color w:val="auto"/>
          <w:highlight w:val="none"/>
        </w:rPr>
      </w:pPr>
      <w:r>
        <w:rPr>
          <w:color w:val="auto"/>
          <w:highlight w:val="none"/>
        </w:rPr>
        <w:t>1.</w:t>
      </w:r>
      <w:r>
        <w:rPr>
          <w:rFonts w:hint="eastAsia"/>
          <w:color w:val="auto"/>
          <w:highlight w:val="none"/>
        </w:rPr>
        <w:t>检测</w:t>
      </w:r>
      <w:r>
        <w:rPr>
          <w:color w:val="auto"/>
          <w:highlight w:val="none"/>
        </w:rPr>
        <w:tab/>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）基桩检测按建设部标准《建筑基桩检测技术规范》（</w:t>
      </w:r>
      <w:r>
        <w:rPr>
          <w:color w:val="auto"/>
          <w:highlight w:val="none"/>
        </w:rPr>
        <w:t>JGJ106-2003</w:t>
      </w:r>
      <w:r>
        <w:rPr>
          <w:rFonts w:hint="eastAsia"/>
          <w:color w:val="auto"/>
          <w:highlight w:val="none"/>
        </w:rPr>
        <w:t>）、深圳市标准《建筑基桩检测规程》（</w:t>
      </w:r>
      <w:r>
        <w:rPr>
          <w:color w:val="auto"/>
          <w:highlight w:val="none"/>
        </w:rPr>
        <w:t>SJG 09-2007</w:t>
      </w:r>
      <w:r>
        <w:rPr>
          <w:rFonts w:hint="eastAsia"/>
          <w:color w:val="auto"/>
          <w:highlight w:val="none"/>
        </w:rPr>
        <w:t>）、《建筑桩基技术规范》（</w:t>
      </w:r>
      <w:r>
        <w:rPr>
          <w:color w:val="auto"/>
          <w:highlight w:val="none"/>
        </w:rPr>
        <w:t>JGJ94-2008</w:t>
      </w:r>
      <w:r>
        <w:rPr>
          <w:rFonts w:hint="eastAsia"/>
          <w:color w:val="auto"/>
          <w:highlight w:val="none"/>
        </w:rPr>
        <w:t>）、广东省标准《建筑地基基础设计规范》（</w:t>
      </w:r>
      <w:r>
        <w:rPr>
          <w:color w:val="auto"/>
          <w:highlight w:val="none"/>
        </w:rPr>
        <w:t>DBJ15-31-2003</w:t>
      </w:r>
      <w:r>
        <w:rPr>
          <w:rFonts w:hint="eastAsia"/>
          <w:color w:val="auto"/>
          <w:highlight w:val="none"/>
        </w:rPr>
        <w:t>）等现行标准规范和施工图设计文件的要求执行，如相互之间要求不一致时，则按最严格的要求执行。</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）检测由发包人委托</w:t>
      </w:r>
      <w:r>
        <w:rPr>
          <w:rFonts w:hint="eastAsia"/>
          <w:color w:val="auto"/>
          <w:highlight w:val="none"/>
          <w:lang w:eastAsia="zh-CN"/>
        </w:rPr>
        <w:t>的单位</w:t>
      </w:r>
      <w:r>
        <w:rPr>
          <w:rFonts w:hint="eastAsia"/>
          <w:color w:val="auto"/>
          <w:highlight w:val="none"/>
        </w:rPr>
        <w:t>进行。基桩检测方案由</w:t>
      </w:r>
      <w:r>
        <w:rPr>
          <w:rFonts w:hint="eastAsia"/>
          <w:color w:val="auto"/>
          <w:highlight w:val="none"/>
          <w:lang w:eastAsia="zh-CN"/>
        </w:rPr>
        <w:t>勘察、设计或监理单位</w:t>
      </w:r>
      <w:r>
        <w:rPr>
          <w:rFonts w:hint="eastAsia"/>
          <w:color w:val="auto"/>
          <w:highlight w:val="none"/>
        </w:rPr>
        <w:t>编制，经建设单位</w:t>
      </w:r>
      <w:r>
        <w:rPr>
          <w:rFonts w:hint="eastAsia"/>
          <w:color w:val="auto"/>
          <w:highlight w:val="none"/>
          <w:lang w:eastAsia="zh-CN"/>
        </w:rPr>
        <w:t>同意后实施</w:t>
      </w:r>
      <w:r>
        <w:rPr>
          <w:rFonts w:hint="eastAsia"/>
          <w:color w:val="auto"/>
          <w:highlight w:val="none"/>
        </w:rPr>
        <w:t>。</w:t>
      </w:r>
    </w:p>
    <w:p>
      <w:pPr>
        <w:pStyle w:val="217"/>
        <w:rPr>
          <w:color w:val="auto"/>
          <w:highlight w:val="none"/>
        </w:rPr>
      </w:pPr>
      <w:r>
        <w:rPr>
          <w:color w:val="auto"/>
          <w:highlight w:val="none"/>
        </w:rPr>
        <w:t>2.</w:t>
      </w:r>
      <w:r>
        <w:rPr>
          <w:rFonts w:hint="eastAsia"/>
          <w:color w:val="auto"/>
          <w:highlight w:val="none"/>
        </w:rPr>
        <w:t>承包人应配合检测单位进行基桩检测工作，并提供检测条件，包括但不限于：提供基桩检测的用水用电，进行桩顶泥渣、积水的清理，桩头的打磨，到达检测桩位的临时道路以及其周边场地的铺筑、平整等。</w:t>
      </w:r>
    </w:p>
    <w:p>
      <w:pPr>
        <w:pStyle w:val="113"/>
        <w:spacing w:before="120" w:after="120"/>
        <w:outlineLvl w:val="2"/>
        <w:rPr>
          <w:color w:val="auto"/>
          <w:highlight w:val="none"/>
        </w:rPr>
      </w:pPr>
      <w:bookmarkStart w:id="7714" w:name="_Toc505345722"/>
      <w:bookmarkStart w:id="7715" w:name="_Toc69114150"/>
      <w:bookmarkStart w:id="7716" w:name="_Toc66890404"/>
      <w:bookmarkStart w:id="7717" w:name="_Toc66634409"/>
      <w:r>
        <w:rPr>
          <w:color w:val="auto"/>
          <w:highlight w:val="none"/>
        </w:rPr>
        <w:t xml:space="preserve">3.2 </w:t>
      </w:r>
      <w:r>
        <w:rPr>
          <w:rFonts w:hint="eastAsia"/>
          <w:color w:val="auto"/>
          <w:highlight w:val="none"/>
        </w:rPr>
        <w:t>地基与基础工程</w:t>
      </w:r>
      <w:bookmarkEnd w:id="7714"/>
      <w:bookmarkEnd w:id="7715"/>
      <w:bookmarkEnd w:id="7716"/>
      <w:bookmarkEnd w:id="7717"/>
    </w:p>
    <w:p>
      <w:pPr>
        <w:pStyle w:val="172"/>
        <w:rPr>
          <w:color w:val="auto"/>
          <w:highlight w:val="none"/>
        </w:rPr>
      </w:pPr>
      <w:r>
        <w:rPr>
          <w:color w:val="auto"/>
          <w:highlight w:val="none"/>
        </w:rPr>
        <w:t xml:space="preserve">3.2.1 </w:t>
      </w:r>
      <w:r>
        <w:rPr>
          <w:rFonts w:hint="eastAsia"/>
          <w:color w:val="auto"/>
          <w:highlight w:val="none"/>
        </w:rPr>
        <w:t>基础垫层施工要求</w:t>
      </w:r>
    </w:p>
    <w:p>
      <w:pPr>
        <w:pStyle w:val="217"/>
        <w:rPr>
          <w:color w:val="auto"/>
          <w:highlight w:val="none"/>
        </w:rPr>
      </w:pPr>
      <w:r>
        <w:rPr>
          <w:color w:val="auto"/>
          <w:highlight w:val="none"/>
        </w:rPr>
        <w:t>1.</w:t>
      </w:r>
      <w:r>
        <w:rPr>
          <w:rFonts w:hint="eastAsia"/>
          <w:color w:val="auto"/>
          <w:highlight w:val="none"/>
        </w:rPr>
        <w:t>浇捣砼垫层时，需按要求留置标养及同条件试块，送试验室养护。</w:t>
      </w:r>
    </w:p>
    <w:p>
      <w:pPr>
        <w:pStyle w:val="217"/>
        <w:rPr>
          <w:color w:val="auto"/>
          <w:highlight w:val="none"/>
        </w:rPr>
      </w:pPr>
      <w:r>
        <w:rPr>
          <w:color w:val="auto"/>
          <w:highlight w:val="none"/>
        </w:rPr>
        <w:t>2.</w:t>
      </w:r>
      <w:r>
        <w:rPr>
          <w:rFonts w:hint="eastAsia"/>
          <w:color w:val="auto"/>
          <w:highlight w:val="none"/>
        </w:rPr>
        <w:t>在垫层浇筑前要对土方进行修整，应对基坑的标高进行标识，然后用水准尺对其进行测定标高。在素砼浇筑过程中，进行总体标高测定。在砼具体施工时，测量员应对全程进行控制施工。浇筑时采用泵送砼，由远而近，并不得在同一处连续布料，应在</w:t>
      </w:r>
      <w:r>
        <w:rPr>
          <w:color w:val="auto"/>
          <w:highlight w:val="none"/>
        </w:rPr>
        <w:t>2</w:t>
      </w:r>
      <w:r>
        <w:rPr>
          <w:rFonts w:hint="eastAsia"/>
          <w:color w:val="auto"/>
          <w:highlight w:val="none"/>
        </w:rPr>
        <w:t>米范围类水平移动布料，且垂直于浇筑，振捣泵送砼时，振动棒插入间距一般为</w:t>
      </w:r>
      <w:r>
        <w:rPr>
          <w:color w:val="auto"/>
          <w:highlight w:val="none"/>
        </w:rPr>
        <w:t>400MM</w:t>
      </w:r>
      <w:r>
        <w:rPr>
          <w:rFonts w:hint="eastAsia"/>
          <w:color w:val="auto"/>
          <w:highlight w:val="none"/>
        </w:rPr>
        <w:t>左右，振捣时间一般为</w:t>
      </w:r>
      <w:r>
        <w:rPr>
          <w:color w:val="auto"/>
          <w:highlight w:val="none"/>
        </w:rPr>
        <w:t>15-30S</w:t>
      </w:r>
      <w:r>
        <w:rPr>
          <w:rFonts w:hint="eastAsia"/>
          <w:color w:val="auto"/>
          <w:highlight w:val="none"/>
        </w:rPr>
        <w:t>，。确保顺利布料和振捣密实，采用平板振动器时，其移动间距应保证平板能覆盖已振实部分的边缘。砼振捣完毕后，表面要用磨板磨平。</w:t>
      </w:r>
    </w:p>
    <w:p>
      <w:pPr>
        <w:pStyle w:val="172"/>
        <w:rPr>
          <w:color w:val="auto"/>
          <w:highlight w:val="none"/>
        </w:rPr>
      </w:pPr>
      <w:r>
        <w:rPr>
          <w:color w:val="auto"/>
          <w:highlight w:val="none"/>
        </w:rPr>
        <w:t xml:space="preserve">3.2.2 </w:t>
      </w:r>
      <w:r>
        <w:rPr>
          <w:rFonts w:hint="eastAsia"/>
          <w:color w:val="auto"/>
          <w:highlight w:val="none"/>
        </w:rPr>
        <w:t>地下室结构工程</w:t>
      </w:r>
    </w:p>
    <w:p>
      <w:pPr>
        <w:pStyle w:val="119"/>
        <w:rPr>
          <w:color w:val="auto"/>
          <w:highlight w:val="none"/>
        </w:rPr>
      </w:pPr>
      <w:r>
        <w:rPr>
          <w:color w:val="auto"/>
          <w:highlight w:val="none"/>
        </w:rPr>
        <w:t xml:space="preserve">3.2.2.1 </w:t>
      </w:r>
      <w:r>
        <w:rPr>
          <w:rFonts w:hint="eastAsia"/>
          <w:color w:val="auto"/>
          <w:highlight w:val="none"/>
        </w:rPr>
        <w:t>地下结构工程一般要求</w:t>
      </w:r>
    </w:p>
    <w:p>
      <w:pPr>
        <w:pStyle w:val="217"/>
        <w:rPr>
          <w:color w:val="auto"/>
          <w:highlight w:val="none"/>
        </w:rPr>
      </w:pPr>
      <w:r>
        <w:rPr>
          <w:color w:val="auto"/>
          <w:highlight w:val="none"/>
        </w:rPr>
        <w:t>1.</w:t>
      </w:r>
      <w:r>
        <w:rPr>
          <w:rFonts w:hint="eastAsia"/>
          <w:color w:val="auto"/>
          <w:highlight w:val="none"/>
        </w:rPr>
        <w:t>施工进场后的基坑降水排水含在本次工程范围内，承包人应根据本工程场地地下水情况及各自施工措施方案，增加降水措施和调整现场排水管沟布置，并考虑交叉作业影响，以保证地下室正常施工和抗浮的需要。停止降水的时间应符合设计图纸要求或征得设计同意。相关费用列入措施费，一并计入本次报价中。</w:t>
      </w:r>
    </w:p>
    <w:p>
      <w:pPr>
        <w:pStyle w:val="217"/>
        <w:rPr>
          <w:color w:val="auto"/>
          <w:highlight w:val="none"/>
        </w:rPr>
      </w:pPr>
      <w:r>
        <w:rPr>
          <w:color w:val="auto"/>
          <w:highlight w:val="none"/>
        </w:rPr>
        <w:t>2.</w:t>
      </w:r>
      <w:r>
        <w:rPr>
          <w:rFonts w:hint="eastAsia"/>
          <w:color w:val="auto"/>
          <w:highlight w:val="none"/>
        </w:rPr>
        <w:t>地下室施工时应保证边坡的稳定和正常使用。后浇带部位应采取有效施工保护措施，后浇带封闭的时间、温度严格按设计要求执行，保持后浇带内清洁，钢筋无锈蚀，确保后浇带的施工质量。对应上述内容所应采取的措施，承包人应在施工组织设计中有明确表述，相关费用计入本次投标报价中。</w:t>
      </w:r>
    </w:p>
    <w:p>
      <w:pPr>
        <w:pStyle w:val="217"/>
        <w:rPr>
          <w:color w:val="auto"/>
          <w:highlight w:val="none"/>
        </w:rPr>
      </w:pPr>
      <w:r>
        <w:rPr>
          <w:color w:val="auto"/>
          <w:highlight w:val="none"/>
        </w:rPr>
        <w:t>3.</w:t>
      </w:r>
      <w:r>
        <w:rPr>
          <w:rFonts w:hint="eastAsia"/>
          <w:color w:val="auto"/>
          <w:highlight w:val="none"/>
        </w:rPr>
        <w:t>由于地下水对混凝土结构具有中等腐蚀性，承包人应按设计要求施工。</w:t>
      </w:r>
    </w:p>
    <w:p>
      <w:pPr>
        <w:pStyle w:val="217"/>
        <w:rPr>
          <w:color w:val="auto"/>
          <w:highlight w:val="none"/>
        </w:rPr>
      </w:pPr>
      <w:r>
        <w:rPr>
          <w:color w:val="auto"/>
          <w:highlight w:val="none"/>
        </w:rPr>
        <w:t>4.</w:t>
      </w:r>
      <w:r>
        <w:rPr>
          <w:rFonts w:hint="eastAsia"/>
          <w:color w:val="auto"/>
          <w:highlight w:val="none"/>
        </w:rPr>
        <w:t>应严格控制混凝土浇筑质量，外加剂的技术性能应符合国家或行业标准一等品及以上的质量要求。</w:t>
      </w:r>
    </w:p>
    <w:p>
      <w:pPr>
        <w:pStyle w:val="217"/>
        <w:rPr>
          <w:color w:val="auto"/>
          <w:highlight w:val="none"/>
        </w:rPr>
      </w:pPr>
      <w:r>
        <w:rPr>
          <w:color w:val="auto"/>
          <w:highlight w:val="none"/>
        </w:rPr>
        <w:t>5.</w:t>
      </w:r>
      <w:r>
        <w:rPr>
          <w:rFonts w:hint="eastAsia"/>
          <w:color w:val="auto"/>
          <w:highlight w:val="none"/>
        </w:rPr>
        <w:t>后浇带混凝土应采用强度等级提高一级的微膨胀混凝土，后浇带混凝土养护时间不得少于</w:t>
      </w:r>
      <w:r>
        <w:rPr>
          <w:color w:val="auto"/>
          <w:highlight w:val="none"/>
        </w:rPr>
        <w:t>28d</w:t>
      </w:r>
      <w:r>
        <w:rPr>
          <w:rFonts w:hint="eastAsia"/>
          <w:color w:val="auto"/>
          <w:highlight w:val="none"/>
        </w:rPr>
        <w:t>。</w:t>
      </w:r>
    </w:p>
    <w:p>
      <w:pPr>
        <w:pStyle w:val="217"/>
        <w:rPr>
          <w:color w:val="auto"/>
          <w:highlight w:val="none"/>
        </w:rPr>
      </w:pPr>
      <w:r>
        <w:rPr>
          <w:color w:val="auto"/>
          <w:highlight w:val="none"/>
        </w:rPr>
        <w:t>6.</w:t>
      </w:r>
      <w:r>
        <w:rPr>
          <w:rFonts w:hint="eastAsia"/>
          <w:color w:val="auto"/>
          <w:highlight w:val="none"/>
        </w:rPr>
        <w:t>后浇带处的支撑脚手架应自成体系，在后浇带施工完成并达到设计要求强度后才可以拆除。</w:t>
      </w:r>
    </w:p>
    <w:p>
      <w:pPr>
        <w:pStyle w:val="217"/>
        <w:rPr>
          <w:color w:val="auto"/>
          <w:highlight w:val="none"/>
        </w:rPr>
      </w:pPr>
      <w:r>
        <w:rPr>
          <w:color w:val="auto"/>
          <w:highlight w:val="none"/>
        </w:rPr>
        <w:t>7.</w:t>
      </w:r>
      <w:r>
        <w:rPr>
          <w:rFonts w:hint="eastAsia"/>
          <w:color w:val="auto"/>
          <w:highlight w:val="none"/>
        </w:rPr>
        <w:t>地下室底板及外墙防水采用抗渗砼自防水再加附加防水层做法。附加防水层设在迎水面，当无法做迎水面设防时，才允许将附加防水层设在背水面。要求施工时必须保证基层符合作业条件，原材料送检必须合格。</w:t>
      </w:r>
    </w:p>
    <w:p>
      <w:pPr>
        <w:pStyle w:val="217"/>
        <w:rPr>
          <w:color w:val="auto"/>
          <w:highlight w:val="none"/>
        </w:rPr>
      </w:pPr>
      <w:r>
        <w:rPr>
          <w:color w:val="auto"/>
          <w:highlight w:val="none"/>
        </w:rPr>
        <w:t>8.</w:t>
      </w:r>
      <w:r>
        <w:rPr>
          <w:rFonts w:hint="eastAsia"/>
          <w:color w:val="auto"/>
          <w:highlight w:val="none"/>
        </w:rPr>
        <w:t>承包人应采取足够可靠的施工措施保证混凝土施工质量，防止开裂，加强混凝土的养护。在符合规范、设计要求的前提下，承包人应根据本项目的特点，结合自身的经验，并在必要的试验基础上，制定有效的养护、保护措施。若因养护不当导致混凝土开裂，裂缝处理及相关费用由承包人负责。</w:t>
      </w:r>
    </w:p>
    <w:p>
      <w:pPr>
        <w:pStyle w:val="217"/>
        <w:rPr>
          <w:color w:val="auto"/>
          <w:highlight w:val="none"/>
        </w:rPr>
      </w:pPr>
      <w:r>
        <w:rPr>
          <w:color w:val="auto"/>
          <w:highlight w:val="none"/>
        </w:rPr>
        <w:t>9.</w:t>
      </w:r>
      <w:r>
        <w:rPr>
          <w:rFonts w:hint="eastAsia"/>
          <w:color w:val="auto"/>
          <w:highlight w:val="none"/>
        </w:rPr>
        <w:t>地下室外墙、人防区域的外墙混凝土墙体的模板的对拉螺栓必须按止水螺栓考虑，严格按止水要求截断和修补。</w:t>
      </w:r>
    </w:p>
    <w:p>
      <w:pPr>
        <w:pStyle w:val="217"/>
        <w:rPr>
          <w:color w:val="auto"/>
          <w:highlight w:val="none"/>
        </w:rPr>
      </w:pPr>
      <w:r>
        <w:rPr>
          <w:color w:val="auto"/>
          <w:highlight w:val="none"/>
        </w:rPr>
        <w:t>10.</w:t>
      </w:r>
      <w:r>
        <w:rPr>
          <w:rFonts w:hint="eastAsia"/>
          <w:color w:val="auto"/>
          <w:highlight w:val="none"/>
        </w:rPr>
        <w:t>地下室的剪力墙、梁、板的钢筋保护层垫块要求采用塑料垫块，严格控制保护层厚度。</w:t>
      </w:r>
    </w:p>
    <w:p>
      <w:pPr>
        <w:pStyle w:val="217"/>
        <w:rPr>
          <w:color w:val="auto"/>
          <w:highlight w:val="none"/>
        </w:rPr>
      </w:pPr>
      <w:r>
        <w:rPr>
          <w:color w:val="auto"/>
          <w:highlight w:val="none"/>
        </w:rPr>
        <w:t>11.</w:t>
      </w:r>
      <w:r>
        <w:rPr>
          <w:rFonts w:hint="eastAsia"/>
          <w:color w:val="auto"/>
          <w:highlight w:val="none"/>
        </w:rPr>
        <w:t>对于混凝土楼板上的预埋管线（塑料管材），直管线并列≥</w:t>
      </w:r>
      <w:r>
        <w:rPr>
          <w:color w:val="auto"/>
          <w:highlight w:val="none"/>
        </w:rPr>
        <w:t>5</w:t>
      </w:r>
      <w:r>
        <w:rPr>
          <w:rFonts w:hint="eastAsia"/>
          <w:color w:val="auto"/>
          <w:highlight w:val="none"/>
        </w:rPr>
        <w:t>根时，应在表面加铺钢筋网片Φ</w:t>
      </w:r>
      <w:r>
        <w:rPr>
          <w:color w:val="auto"/>
          <w:highlight w:val="none"/>
        </w:rPr>
        <w:t>6@200</w:t>
      </w:r>
      <w:r>
        <w:rPr>
          <w:rFonts w:hint="eastAsia"/>
          <w:color w:val="auto"/>
          <w:highlight w:val="none"/>
        </w:rPr>
        <w:t>作为保护及防止开裂措施，相关费用作为措施费考虑，并入投标报价中，结算时不作调整。</w:t>
      </w:r>
    </w:p>
    <w:p>
      <w:pPr>
        <w:pStyle w:val="217"/>
        <w:rPr>
          <w:color w:val="auto"/>
          <w:highlight w:val="none"/>
        </w:rPr>
      </w:pPr>
      <w:r>
        <w:rPr>
          <w:color w:val="auto"/>
          <w:highlight w:val="none"/>
        </w:rPr>
        <w:t>12.</w:t>
      </w:r>
      <w:r>
        <w:rPr>
          <w:rFonts w:hint="eastAsia"/>
          <w:color w:val="auto"/>
          <w:highlight w:val="none"/>
        </w:rPr>
        <w:t>混凝土浇筑成型后，养护时间要符合有关施工规范的要求，且不得少于</w:t>
      </w:r>
      <w:r>
        <w:rPr>
          <w:color w:val="auto"/>
          <w:highlight w:val="none"/>
        </w:rPr>
        <w:t>7</w:t>
      </w:r>
      <w:r>
        <w:rPr>
          <w:rFonts w:hint="eastAsia"/>
          <w:color w:val="auto"/>
          <w:highlight w:val="none"/>
        </w:rPr>
        <w:t>天，提供</w:t>
      </w:r>
      <w:r>
        <w:rPr>
          <w:color w:val="auto"/>
          <w:highlight w:val="none"/>
        </w:rPr>
        <w:t>7</w:t>
      </w:r>
      <w:r>
        <w:rPr>
          <w:rFonts w:hint="eastAsia"/>
          <w:color w:val="auto"/>
          <w:highlight w:val="none"/>
        </w:rPr>
        <w:t>天同条件养护混凝土强度检测报告。所有梁板拆模时间均须提供同条件混凝土强度检测报告，满足施工规范要求方可拆模，不能出现砼表面裂纹、脱皮现象。</w:t>
      </w:r>
    </w:p>
    <w:p>
      <w:pPr>
        <w:pStyle w:val="172"/>
        <w:rPr>
          <w:color w:val="auto"/>
          <w:highlight w:val="none"/>
        </w:rPr>
      </w:pPr>
      <w:r>
        <w:rPr>
          <w:color w:val="auto"/>
          <w:highlight w:val="none"/>
        </w:rPr>
        <w:t xml:space="preserve">3.2.3 </w:t>
      </w:r>
      <w:r>
        <w:rPr>
          <w:rFonts w:hint="eastAsia"/>
          <w:color w:val="auto"/>
          <w:highlight w:val="none"/>
        </w:rPr>
        <w:t>防水混凝土施工技术要求</w:t>
      </w:r>
    </w:p>
    <w:p>
      <w:pPr>
        <w:pStyle w:val="217"/>
        <w:rPr>
          <w:color w:val="auto"/>
          <w:highlight w:val="none"/>
        </w:rPr>
      </w:pPr>
      <w:r>
        <w:rPr>
          <w:color w:val="auto"/>
          <w:highlight w:val="none"/>
        </w:rPr>
        <w:t>1.</w:t>
      </w:r>
      <w:r>
        <w:rPr>
          <w:rFonts w:hint="eastAsia"/>
          <w:color w:val="auto"/>
          <w:highlight w:val="none"/>
        </w:rPr>
        <w:t>拌制混凝土所用材料的品种、规格和用量，每工作班检查不应少于两次。</w:t>
      </w:r>
    </w:p>
    <w:p>
      <w:pPr>
        <w:pStyle w:val="217"/>
        <w:rPr>
          <w:color w:val="auto"/>
          <w:highlight w:val="none"/>
        </w:rPr>
      </w:pPr>
      <w:r>
        <w:rPr>
          <w:color w:val="auto"/>
          <w:highlight w:val="none"/>
        </w:rPr>
        <w:t>2.</w:t>
      </w:r>
      <w:r>
        <w:rPr>
          <w:rFonts w:hint="eastAsia"/>
          <w:color w:val="auto"/>
          <w:highlight w:val="none"/>
        </w:rPr>
        <w:t>本工程所使用的所有混凝土均采用预拌商品混凝土。</w:t>
      </w:r>
    </w:p>
    <w:p>
      <w:pPr>
        <w:pStyle w:val="217"/>
        <w:rPr>
          <w:color w:val="auto"/>
          <w:highlight w:val="none"/>
        </w:rPr>
      </w:pPr>
      <w:r>
        <w:rPr>
          <w:color w:val="auto"/>
          <w:highlight w:val="none"/>
        </w:rPr>
        <w:t>3.</w:t>
      </w:r>
      <w:r>
        <w:rPr>
          <w:rFonts w:hint="eastAsia"/>
          <w:color w:val="auto"/>
          <w:highlight w:val="none"/>
        </w:rPr>
        <w:t>防水混凝土必须采用高频机械振捣密实，以混凝土泛浆和不冒气泡为准，应避免漏振、欠振和超振。掺加引气剂或引气型减水剂时，应采用高频插入式振捣器。</w:t>
      </w:r>
    </w:p>
    <w:p>
      <w:pPr>
        <w:pStyle w:val="217"/>
        <w:rPr>
          <w:color w:val="auto"/>
          <w:highlight w:val="none"/>
        </w:rPr>
      </w:pPr>
      <w:r>
        <w:rPr>
          <w:color w:val="auto"/>
          <w:highlight w:val="none"/>
        </w:rPr>
        <w:t>4.</w:t>
      </w:r>
      <w:r>
        <w:rPr>
          <w:rFonts w:hint="eastAsia"/>
          <w:color w:val="auto"/>
          <w:highlight w:val="none"/>
        </w:rPr>
        <w:t>防水混凝土应连续浇筑，宜少留施工缝。当留设施工缝时，施工缝防水的构造形式应符合防水规范及设计的相关规定。</w:t>
      </w:r>
    </w:p>
    <w:p>
      <w:pPr>
        <w:pStyle w:val="172"/>
        <w:rPr>
          <w:color w:val="auto"/>
          <w:highlight w:val="none"/>
        </w:rPr>
      </w:pPr>
      <w:r>
        <w:rPr>
          <w:color w:val="auto"/>
          <w:highlight w:val="none"/>
        </w:rPr>
        <w:t xml:space="preserve">3.2.4 </w:t>
      </w:r>
      <w:r>
        <w:rPr>
          <w:rFonts w:hint="eastAsia"/>
          <w:color w:val="auto"/>
          <w:highlight w:val="none"/>
        </w:rPr>
        <w:t>防水混凝土施工缝技术要求</w:t>
      </w:r>
    </w:p>
    <w:p>
      <w:pPr>
        <w:pStyle w:val="217"/>
        <w:rPr>
          <w:color w:val="auto"/>
          <w:highlight w:val="none"/>
        </w:rPr>
      </w:pPr>
      <w:r>
        <w:rPr>
          <w:color w:val="auto"/>
          <w:highlight w:val="none"/>
        </w:rPr>
        <w:t>1.</w:t>
      </w:r>
      <w:r>
        <w:rPr>
          <w:rFonts w:hint="eastAsia"/>
          <w:color w:val="auto"/>
          <w:highlight w:val="none"/>
        </w:rPr>
        <w:t>施工缝浇灌混凝土前，应将其表面浮浆和杂物清除，将其表面清理干净，做好界面处理，并及时浇注混凝土。</w:t>
      </w:r>
    </w:p>
    <w:p>
      <w:pPr>
        <w:pStyle w:val="217"/>
        <w:rPr>
          <w:color w:val="auto"/>
          <w:highlight w:val="none"/>
        </w:rPr>
      </w:pPr>
      <w:r>
        <w:rPr>
          <w:color w:val="auto"/>
          <w:highlight w:val="none"/>
        </w:rPr>
        <w:t>2.</w:t>
      </w:r>
      <w:r>
        <w:rPr>
          <w:rFonts w:hint="eastAsia"/>
          <w:color w:val="auto"/>
          <w:highlight w:val="none"/>
        </w:rPr>
        <w:t>遇水膨胀止水条为缓膨型，相关参数及性能指标不低于</w:t>
      </w:r>
      <w:r>
        <w:rPr>
          <w:color w:val="auto"/>
          <w:highlight w:val="none"/>
        </w:rPr>
        <w:t>PZ-250</w:t>
      </w:r>
      <w:r>
        <w:rPr>
          <w:rFonts w:hint="eastAsia"/>
          <w:color w:val="auto"/>
          <w:highlight w:val="none"/>
        </w:rPr>
        <w:t>，</w:t>
      </w:r>
      <w:r>
        <w:rPr>
          <w:color w:val="auto"/>
          <w:highlight w:val="none"/>
        </w:rPr>
        <w:t>7</w:t>
      </w:r>
      <w:r>
        <w:rPr>
          <w:rFonts w:hint="eastAsia"/>
          <w:color w:val="auto"/>
          <w:highlight w:val="none"/>
        </w:rPr>
        <w:t>天的膨胀率不应大于最终膨胀率的</w:t>
      </w:r>
      <w:r>
        <w:rPr>
          <w:color w:val="auto"/>
          <w:highlight w:val="none"/>
        </w:rPr>
        <w:t>60</w:t>
      </w:r>
      <w:r>
        <w:rPr>
          <w:rFonts w:hint="eastAsia"/>
          <w:color w:val="auto"/>
          <w:highlight w:val="none"/>
        </w:rPr>
        <w:t>％，并应在浇筑新混凝土时牢固可靠安装在预留槽内。</w:t>
      </w:r>
    </w:p>
    <w:p>
      <w:pPr>
        <w:pStyle w:val="217"/>
        <w:rPr>
          <w:color w:val="auto"/>
          <w:highlight w:val="none"/>
        </w:rPr>
      </w:pPr>
      <w:r>
        <w:rPr>
          <w:color w:val="auto"/>
          <w:highlight w:val="none"/>
        </w:rPr>
        <w:t>3.</w:t>
      </w:r>
      <w:r>
        <w:rPr>
          <w:rFonts w:hint="eastAsia"/>
          <w:color w:val="auto"/>
          <w:highlight w:val="none"/>
        </w:rPr>
        <w:t>施工时若地下水位较高需进行超前止水时，施工单位应根据实际情况制定处理方案，经设计、监理单位复核后方可施工。</w:t>
      </w:r>
    </w:p>
    <w:p>
      <w:pPr>
        <w:pStyle w:val="172"/>
        <w:rPr>
          <w:color w:val="auto"/>
          <w:highlight w:val="none"/>
        </w:rPr>
      </w:pPr>
      <w:r>
        <w:rPr>
          <w:color w:val="auto"/>
          <w:highlight w:val="none"/>
        </w:rPr>
        <w:t xml:space="preserve">3.2.5 </w:t>
      </w:r>
      <w:r>
        <w:rPr>
          <w:rFonts w:hint="eastAsia"/>
          <w:color w:val="auto"/>
          <w:highlight w:val="none"/>
        </w:rPr>
        <w:t>大体积防水混凝土施工技术要求</w:t>
      </w:r>
    </w:p>
    <w:p>
      <w:pPr>
        <w:pStyle w:val="217"/>
        <w:rPr>
          <w:color w:val="auto"/>
          <w:highlight w:val="none"/>
        </w:rPr>
      </w:pPr>
      <w:r>
        <w:rPr>
          <w:color w:val="auto"/>
          <w:highlight w:val="none"/>
        </w:rPr>
        <w:t>1.</w:t>
      </w:r>
      <w:r>
        <w:rPr>
          <w:rFonts w:hint="eastAsia"/>
          <w:color w:val="auto"/>
          <w:highlight w:val="none"/>
        </w:rPr>
        <w:t>用低热或中热水泥，掺加粉煤灰、磨细矿渣粉等掺合料；</w:t>
      </w:r>
    </w:p>
    <w:p>
      <w:pPr>
        <w:pStyle w:val="217"/>
        <w:rPr>
          <w:color w:val="auto"/>
          <w:highlight w:val="none"/>
        </w:rPr>
      </w:pPr>
      <w:r>
        <w:rPr>
          <w:color w:val="auto"/>
          <w:highlight w:val="none"/>
        </w:rPr>
        <w:t>2.</w:t>
      </w:r>
      <w:r>
        <w:rPr>
          <w:rFonts w:hint="eastAsia"/>
          <w:color w:val="auto"/>
          <w:highlight w:val="none"/>
        </w:rPr>
        <w:t>掺入减水剂、缓凝剂、膨胀剂等外加剂；</w:t>
      </w:r>
    </w:p>
    <w:p>
      <w:pPr>
        <w:pStyle w:val="217"/>
        <w:rPr>
          <w:color w:val="auto"/>
          <w:highlight w:val="none"/>
        </w:rPr>
      </w:pPr>
      <w:r>
        <w:rPr>
          <w:color w:val="auto"/>
          <w:highlight w:val="none"/>
        </w:rPr>
        <w:t>3.</w:t>
      </w:r>
      <w:r>
        <w:rPr>
          <w:rFonts w:hint="eastAsia"/>
          <w:color w:val="auto"/>
          <w:highlight w:val="none"/>
        </w:rPr>
        <w:t>在炎热季节施工时，施工单位应采取降低原材料温度、减少混凝土运输时吸收外界热量等降温措施；</w:t>
      </w:r>
      <w:r>
        <w:rPr>
          <w:color w:val="auto"/>
          <w:highlight w:val="none"/>
        </w:rPr>
        <w:t xml:space="preserve"> </w:t>
      </w:r>
    </w:p>
    <w:p>
      <w:pPr>
        <w:pStyle w:val="217"/>
        <w:rPr>
          <w:color w:val="auto"/>
          <w:highlight w:val="none"/>
        </w:rPr>
      </w:pPr>
      <w:r>
        <w:rPr>
          <w:color w:val="auto"/>
          <w:highlight w:val="none"/>
        </w:rPr>
        <w:t>4.</w:t>
      </w:r>
      <w:r>
        <w:rPr>
          <w:rFonts w:hint="eastAsia"/>
          <w:color w:val="auto"/>
          <w:highlight w:val="none"/>
        </w:rPr>
        <w:t>采取保温保湿养护。混凝土中心温度与表面温度的差值不应大于</w:t>
      </w:r>
      <w:r>
        <w:rPr>
          <w:color w:val="auto"/>
          <w:highlight w:val="none"/>
        </w:rPr>
        <w:t>25</w:t>
      </w:r>
      <w:r>
        <w:rPr>
          <w:rFonts w:hint="eastAsia"/>
          <w:color w:val="auto"/>
          <w:highlight w:val="none"/>
        </w:rPr>
        <w:t>℃，混凝土表面与大气温度的差值不应大于</w:t>
      </w:r>
      <w:r>
        <w:rPr>
          <w:color w:val="auto"/>
          <w:highlight w:val="none"/>
        </w:rPr>
        <w:t>25</w:t>
      </w:r>
      <w:r>
        <w:rPr>
          <w:rFonts w:hint="eastAsia"/>
          <w:color w:val="auto"/>
          <w:highlight w:val="none"/>
        </w:rPr>
        <w:t>℃。</w:t>
      </w:r>
    </w:p>
    <w:p>
      <w:pPr>
        <w:pStyle w:val="217"/>
        <w:rPr>
          <w:color w:val="auto"/>
          <w:highlight w:val="none"/>
        </w:rPr>
      </w:pPr>
      <w:r>
        <w:rPr>
          <w:color w:val="auto"/>
          <w:highlight w:val="none"/>
        </w:rPr>
        <w:t>5.</w:t>
      </w:r>
      <w:r>
        <w:rPr>
          <w:rFonts w:hint="eastAsia"/>
          <w:color w:val="auto"/>
          <w:highlight w:val="none"/>
        </w:rPr>
        <w:t>防水混凝土终凝后应立即进行养护，养护时间不应少于</w:t>
      </w:r>
      <w:r>
        <w:rPr>
          <w:color w:val="auto"/>
          <w:highlight w:val="none"/>
        </w:rPr>
        <w:t>14d</w:t>
      </w:r>
      <w:r>
        <w:rPr>
          <w:rFonts w:hint="eastAsia"/>
          <w:color w:val="auto"/>
          <w:highlight w:val="none"/>
        </w:rPr>
        <w:t>。</w:t>
      </w:r>
    </w:p>
    <w:p>
      <w:pPr>
        <w:pStyle w:val="172"/>
        <w:rPr>
          <w:color w:val="auto"/>
          <w:highlight w:val="none"/>
        </w:rPr>
      </w:pPr>
      <w:r>
        <w:rPr>
          <w:color w:val="auto"/>
          <w:highlight w:val="none"/>
        </w:rPr>
        <w:t xml:space="preserve">3.2.6 </w:t>
      </w:r>
      <w:r>
        <w:rPr>
          <w:rFonts w:hint="eastAsia"/>
          <w:color w:val="auto"/>
          <w:highlight w:val="none"/>
        </w:rPr>
        <w:t>防水施工工艺</w:t>
      </w:r>
    </w:p>
    <w:p>
      <w:pPr>
        <w:pStyle w:val="119"/>
        <w:rPr>
          <w:color w:val="auto"/>
          <w:highlight w:val="none"/>
        </w:rPr>
      </w:pPr>
      <w:r>
        <w:rPr>
          <w:color w:val="auto"/>
          <w:highlight w:val="none"/>
        </w:rPr>
        <w:t xml:space="preserve">3.2.6.1 </w:t>
      </w:r>
      <w:r>
        <w:rPr>
          <w:rFonts w:hint="eastAsia"/>
          <w:color w:val="auto"/>
          <w:highlight w:val="none"/>
        </w:rPr>
        <w:t>地下室底板防水</w:t>
      </w:r>
    </w:p>
    <w:p>
      <w:pPr>
        <w:pStyle w:val="217"/>
        <w:rPr>
          <w:color w:val="auto"/>
          <w:highlight w:val="none"/>
        </w:rPr>
      </w:pPr>
      <w:r>
        <w:rPr>
          <w:color w:val="auto"/>
          <w:highlight w:val="none"/>
        </w:rPr>
        <w:t>1.</w:t>
      </w:r>
      <w:r>
        <w:rPr>
          <w:rFonts w:hint="eastAsia"/>
          <w:color w:val="auto"/>
          <w:highlight w:val="none"/>
        </w:rPr>
        <w:t>工艺流程</w:t>
      </w:r>
    </w:p>
    <w:p>
      <w:pPr>
        <w:pStyle w:val="217"/>
        <w:rPr>
          <w:color w:val="auto"/>
          <w:highlight w:val="none"/>
        </w:rPr>
      </w:pPr>
      <w:r>
        <w:rPr>
          <w:rFonts w:hint="eastAsia"/>
          <w:color w:val="auto"/>
          <w:highlight w:val="none"/>
        </w:rPr>
        <w:t>基层表面清理修补→喷、涂基层处理剂→聚氨酯防水涂膜→节点附加增强处理→定位、弹线、试铺→铺贴防水卷材→收头处理、节点密封→清理、检查、修整→保护层施工。</w:t>
      </w:r>
    </w:p>
    <w:p>
      <w:pPr>
        <w:pStyle w:val="217"/>
        <w:rPr>
          <w:color w:val="auto"/>
          <w:highlight w:val="none"/>
        </w:rPr>
      </w:pPr>
      <w:r>
        <w:rPr>
          <w:color w:val="auto"/>
          <w:highlight w:val="none"/>
        </w:rPr>
        <w:t>2.</w:t>
      </w:r>
      <w:r>
        <w:rPr>
          <w:rFonts w:hint="eastAsia"/>
          <w:color w:val="auto"/>
          <w:highlight w:val="none"/>
        </w:rPr>
        <w:t>基层清理</w:t>
      </w:r>
    </w:p>
    <w:p>
      <w:pPr>
        <w:pStyle w:val="217"/>
        <w:rPr>
          <w:color w:val="auto"/>
          <w:highlight w:val="none"/>
        </w:rPr>
      </w:pPr>
      <w:r>
        <w:rPr>
          <w:rFonts w:hint="eastAsia"/>
          <w:color w:val="auto"/>
          <w:highlight w:val="none"/>
        </w:rPr>
        <w:t>基层做好后，基层干燥，含水率小于</w:t>
      </w:r>
      <w:r>
        <w:rPr>
          <w:color w:val="auto"/>
          <w:highlight w:val="none"/>
        </w:rPr>
        <w:t>9%</w:t>
      </w:r>
      <w:r>
        <w:rPr>
          <w:rFonts w:hint="eastAsia"/>
          <w:color w:val="auto"/>
          <w:highlight w:val="none"/>
        </w:rPr>
        <w:t>，基层表面应坚实具有一定的强度，清洁干净，表面无浮土、砂粒等污物，表面应平整、光滑、无松动，要求抹平压光，对于残留的砂浆块或突起物应以铲刀削平。</w:t>
      </w:r>
    </w:p>
    <w:p>
      <w:pPr>
        <w:pStyle w:val="217"/>
        <w:rPr>
          <w:color w:val="auto"/>
          <w:highlight w:val="none"/>
        </w:rPr>
      </w:pPr>
      <w:r>
        <w:rPr>
          <w:color w:val="auto"/>
          <w:highlight w:val="none"/>
        </w:rPr>
        <w:t>3.</w:t>
      </w:r>
      <w:r>
        <w:rPr>
          <w:rFonts w:hint="eastAsia"/>
          <w:color w:val="auto"/>
          <w:highlight w:val="none"/>
        </w:rPr>
        <w:t>喷涂基层处理剂</w:t>
      </w:r>
    </w:p>
    <w:p>
      <w:pPr>
        <w:pStyle w:val="217"/>
        <w:rPr>
          <w:color w:val="auto"/>
          <w:highlight w:val="none"/>
        </w:rPr>
      </w:pPr>
      <w:r>
        <w:rPr>
          <w:rFonts w:hint="eastAsia"/>
          <w:color w:val="auto"/>
          <w:highlight w:val="none"/>
        </w:rPr>
        <w:t>基层干燥后，涂刷基层处理剂（冷底子油）。一次喷、涂的面积根据基层处理剂干燥时间的长短和施工进度的快慢确定。面积过大，来不及铺贴卷材，时间过长易被风沙尘土污染或露水打湿；面积过小，影响下道工序的进行，拖延工期。用长把排刷把冷底子油涂刷在干净干燥的基层表面上，复杂部位用油漆刷刷涂，要求不露白，涂刷均匀。干燥</w:t>
      </w:r>
      <w:r>
        <w:rPr>
          <w:color w:val="auto"/>
          <w:highlight w:val="none"/>
        </w:rPr>
        <w:t>4h</w:t>
      </w:r>
      <w:r>
        <w:rPr>
          <w:rFonts w:hint="eastAsia"/>
          <w:color w:val="auto"/>
          <w:highlight w:val="none"/>
        </w:rPr>
        <w:t>以上至不粘脚后方可进行下道工序。基层处理剂涂刷后宜在当天铺完防水层。</w:t>
      </w:r>
    </w:p>
    <w:p>
      <w:pPr>
        <w:pStyle w:val="217"/>
        <w:rPr>
          <w:color w:val="auto"/>
          <w:highlight w:val="none"/>
        </w:rPr>
      </w:pPr>
      <w:r>
        <w:rPr>
          <w:color w:val="auto"/>
          <w:highlight w:val="none"/>
        </w:rPr>
        <w:t>4.</w:t>
      </w:r>
      <w:r>
        <w:rPr>
          <w:rFonts w:hint="eastAsia"/>
          <w:color w:val="auto"/>
          <w:highlight w:val="none"/>
        </w:rPr>
        <w:t>防水涂层施工</w:t>
      </w:r>
    </w:p>
    <w:p>
      <w:pPr>
        <w:pStyle w:val="217"/>
        <w:rPr>
          <w:color w:val="auto"/>
          <w:highlight w:val="none"/>
        </w:rPr>
      </w:pPr>
      <w:r>
        <w:rPr>
          <w:rFonts w:hint="eastAsia"/>
          <w:color w:val="auto"/>
          <w:highlight w:val="none"/>
        </w:rPr>
        <w:t>配置涂膜防水材料。</w:t>
      </w:r>
    </w:p>
    <w:p>
      <w:pPr>
        <w:pStyle w:val="217"/>
        <w:rPr>
          <w:color w:val="auto"/>
          <w:highlight w:val="none"/>
        </w:rPr>
      </w:pPr>
      <w:r>
        <w:rPr>
          <w:rFonts w:hint="eastAsia"/>
          <w:color w:val="auto"/>
          <w:highlight w:val="none"/>
        </w:rPr>
        <w:t>第一度涂层施工：在基层处理剂基本干燥固化后，用塑料或橡胶刮板均匀涂刮一层涂膜，涂刮时要求均匀一致，不得过厚或过薄，涂刮厚度</w:t>
      </w:r>
      <w:r>
        <w:rPr>
          <w:color w:val="auto"/>
          <w:highlight w:val="none"/>
        </w:rPr>
        <w:t xml:space="preserve">2mm </w:t>
      </w:r>
      <w:r>
        <w:rPr>
          <w:rFonts w:hint="eastAsia"/>
          <w:color w:val="auto"/>
          <w:highlight w:val="none"/>
        </w:rPr>
        <w:t>。开始涂刮时，应根据施工面积的大小、形状和环境，统一考虑施工退路和涂刮顺序。</w:t>
      </w:r>
    </w:p>
    <w:p>
      <w:pPr>
        <w:pStyle w:val="217"/>
        <w:rPr>
          <w:color w:val="auto"/>
          <w:highlight w:val="none"/>
        </w:rPr>
      </w:pPr>
      <w:r>
        <w:rPr>
          <w:rFonts w:hint="eastAsia"/>
          <w:color w:val="auto"/>
          <w:highlight w:val="none"/>
        </w:rPr>
        <w:t>第二度涂层施工：在第一度涂层固化</w:t>
      </w:r>
      <w:r>
        <w:rPr>
          <w:color w:val="auto"/>
          <w:highlight w:val="none"/>
        </w:rPr>
        <w:t xml:space="preserve">24 </w:t>
      </w:r>
      <w:r>
        <w:rPr>
          <w:rFonts w:hint="eastAsia"/>
          <w:color w:val="auto"/>
          <w:highlight w:val="none"/>
        </w:rPr>
        <w:t>小时后，再在其表面刮涂第二度涂层，涂刮方法同第一度涂层。为了确保防水工程质量，涂刮的方向必须与第一度的涂刮的方向垂直。重涂时间的间隔，由施工时的环境温度和涂膜固化的程度（以手触不粘为准）来确定，一般不得小于</w:t>
      </w:r>
      <w:r>
        <w:rPr>
          <w:color w:val="auto"/>
          <w:highlight w:val="none"/>
        </w:rPr>
        <w:t xml:space="preserve">24 </w:t>
      </w:r>
      <w:r>
        <w:rPr>
          <w:rFonts w:hint="eastAsia"/>
          <w:color w:val="auto"/>
          <w:highlight w:val="none"/>
        </w:rPr>
        <w:t>小时，也不宜大于</w:t>
      </w:r>
      <w:r>
        <w:rPr>
          <w:color w:val="auto"/>
          <w:highlight w:val="none"/>
        </w:rPr>
        <w:t xml:space="preserve">72 </w:t>
      </w:r>
      <w:r>
        <w:rPr>
          <w:rFonts w:hint="eastAsia"/>
          <w:color w:val="auto"/>
          <w:highlight w:val="none"/>
        </w:rPr>
        <w:t>小时。</w:t>
      </w:r>
    </w:p>
    <w:p>
      <w:pPr>
        <w:pStyle w:val="217"/>
        <w:rPr>
          <w:color w:val="auto"/>
          <w:highlight w:val="none"/>
        </w:rPr>
      </w:pPr>
      <w:r>
        <w:rPr>
          <w:rFonts w:hint="eastAsia"/>
          <w:color w:val="auto"/>
          <w:highlight w:val="none"/>
        </w:rPr>
        <w:t>节点加强处理的宽度应大于</w:t>
      </w:r>
      <w:r>
        <w:rPr>
          <w:color w:val="auto"/>
          <w:highlight w:val="none"/>
        </w:rPr>
        <w:t>100mm</w:t>
      </w:r>
      <w:r>
        <w:rPr>
          <w:rFonts w:hint="eastAsia"/>
          <w:color w:val="auto"/>
          <w:highlight w:val="none"/>
        </w:rPr>
        <w:t>。</w:t>
      </w:r>
    </w:p>
    <w:p>
      <w:pPr>
        <w:pStyle w:val="217"/>
        <w:rPr>
          <w:color w:val="auto"/>
          <w:highlight w:val="none"/>
        </w:rPr>
      </w:pPr>
      <w:r>
        <w:rPr>
          <w:color w:val="auto"/>
          <w:highlight w:val="none"/>
        </w:rPr>
        <w:t>5.</w:t>
      </w:r>
      <w:r>
        <w:rPr>
          <w:rFonts w:hint="eastAsia"/>
          <w:color w:val="auto"/>
          <w:highlight w:val="none"/>
        </w:rPr>
        <w:t>卷材铺设</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）定位弹线</w:t>
      </w:r>
    </w:p>
    <w:p>
      <w:pPr>
        <w:pStyle w:val="217"/>
        <w:rPr>
          <w:color w:val="auto"/>
          <w:highlight w:val="none"/>
        </w:rPr>
      </w:pPr>
      <w:r>
        <w:rPr>
          <w:rFonts w:hint="eastAsia"/>
          <w:color w:val="auto"/>
          <w:highlight w:val="none"/>
        </w:rPr>
        <w:t>在操作空间较大时特别是在长方向施放卷材铺贴控制线，以免卷材铺贴时出现错位、歪斜、搭接不当的现象。</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）卷材铺设</w:t>
      </w:r>
    </w:p>
    <w:p>
      <w:pPr>
        <w:pStyle w:val="217"/>
        <w:rPr>
          <w:color w:val="auto"/>
          <w:highlight w:val="none"/>
        </w:rPr>
      </w:pPr>
      <w:r>
        <w:rPr>
          <w:color w:val="auto"/>
          <w:highlight w:val="none"/>
        </w:rPr>
        <w:t xml:space="preserve">    </w:t>
      </w:r>
      <w:r>
        <w:rPr>
          <w:rFonts w:hint="eastAsia"/>
          <w:color w:val="auto"/>
          <w:highlight w:val="none"/>
        </w:rPr>
        <w:t>第一幅卷材下表面隔离膜全部揭除然后铺贴。从第二幅卷材开始，将下表面隔离膜在单侧边缘（长边或</w:t>
      </w:r>
      <w:r>
        <w:rPr>
          <w:color w:val="auto"/>
          <w:highlight w:val="none"/>
        </w:rPr>
        <w:t>/</w:t>
      </w:r>
      <w:r>
        <w:rPr>
          <w:rFonts w:hint="eastAsia"/>
          <w:color w:val="auto"/>
          <w:highlight w:val="none"/>
        </w:rPr>
        <w:t>短边）按搭接宽度为</w:t>
      </w:r>
      <w:r>
        <w:rPr>
          <w:color w:val="auto"/>
          <w:highlight w:val="none"/>
        </w:rPr>
        <w:t>100mm</w:t>
      </w:r>
      <w:r>
        <w:rPr>
          <w:rFonts w:hint="eastAsia"/>
          <w:color w:val="auto"/>
          <w:highlight w:val="none"/>
        </w:rPr>
        <w:t>，提前用裁纸刀小心划开（尽量避免划伤自粘橡胶沥青胶料特别是其下方的</w:t>
      </w:r>
      <w:r>
        <w:rPr>
          <w:color w:val="auto"/>
          <w:highlight w:val="none"/>
        </w:rPr>
        <w:t>SBS</w:t>
      </w:r>
      <w:r>
        <w:rPr>
          <w:rFonts w:hint="eastAsia"/>
          <w:color w:val="auto"/>
          <w:highlight w:val="none"/>
        </w:rPr>
        <w:t>改性沥青层），除预留搭接部位之外的卷材下表面隔离膜揭掉。注意小心操作，以免露出的胶料相互粘结，同时注意尽量不要让尘土污染卷材的胶料。</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）排气</w:t>
      </w:r>
    </w:p>
    <w:p>
      <w:pPr>
        <w:pStyle w:val="217"/>
        <w:rPr>
          <w:color w:val="auto"/>
          <w:highlight w:val="none"/>
        </w:rPr>
      </w:pPr>
      <w:r>
        <w:rPr>
          <w:rFonts w:hint="eastAsia"/>
          <w:color w:val="auto"/>
          <w:highlight w:val="none"/>
        </w:rPr>
        <w:t>卷材铺贴后，随即用抹子或刮板从上方拍</w:t>
      </w:r>
      <w:r>
        <w:rPr>
          <w:color w:val="auto"/>
          <w:highlight w:val="none"/>
        </w:rPr>
        <w:t>/</w:t>
      </w:r>
      <w:r>
        <w:rPr>
          <w:rFonts w:hint="eastAsia"/>
          <w:color w:val="auto"/>
          <w:highlight w:val="none"/>
        </w:rPr>
        <w:t>抹</w:t>
      </w:r>
      <w:r>
        <w:rPr>
          <w:color w:val="auto"/>
          <w:highlight w:val="none"/>
        </w:rPr>
        <w:t>/</w:t>
      </w:r>
      <w:r>
        <w:rPr>
          <w:rFonts w:hint="eastAsia"/>
          <w:color w:val="auto"/>
          <w:highlight w:val="none"/>
        </w:rPr>
        <w:t>刮压卷材，排出卷材与水泥素浆之间的空气，使卷材胶料与水泥素浆紧密贴合。</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）卷材搭接边粘结</w:t>
      </w:r>
    </w:p>
    <w:p>
      <w:pPr>
        <w:pStyle w:val="217"/>
        <w:rPr>
          <w:color w:val="auto"/>
          <w:highlight w:val="none"/>
        </w:rPr>
      </w:pPr>
      <w:r>
        <w:rPr>
          <w:color w:val="auto"/>
          <w:highlight w:val="none"/>
        </w:rPr>
        <w:t xml:space="preserve">    </w:t>
      </w:r>
      <w:r>
        <w:rPr>
          <w:rFonts w:hint="eastAsia"/>
          <w:color w:val="auto"/>
          <w:highlight w:val="none"/>
        </w:rPr>
        <w:t>待水泥素浆本身具有一定的强度即卷材与其之间具有一定的粘结力（一般需</w:t>
      </w:r>
      <w:r>
        <w:rPr>
          <w:color w:val="auto"/>
          <w:highlight w:val="none"/>
        </w:rPr>
        <w:t>2d</w:t>
      </w:r>
      <w:r>
        <w:rPr>
          <w:rFonts w:hint="eastAsia"/>
          <w:color w:val="auto"/>
          <w:highlight w:val="none"/>
        </w:rPr>
        <w:t>～</w:t>
      </w:r>
      <w:r>
        <w:rPr>
          <w:color w:val="auto"/>
          <w:highlight w:val="none"/>
        </w:rPr>
        <w:t>3d</w:t>
      </w:r>
      <w:r>
        <w:rPr>
          <w:rFonts w:hint="eastAsia"/>
          <w:color w:val="auto"/>
          <w:highlight w:val="none"/>
        </w:rPr>
        <w:t>）后，将卷材搭接部位的隔离膜揭掉，借助该部位胶料的粘性，用小压辊将搭接边压实，粘牢。卷材搭接封口及立面收头部位可涂刮专用密封膏进行加强密封。</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）节点加强处理</w:t>
      </w:r>
    </w:p>
    <w:p>
      <w:pPr>
        <w:pStyle w:val="217"/>
        <w:rPr>
          <w:color w:val="auto"/>
          <w:highlight w:val="none"/>
        </w:rPr>
      </w:pPr>
      <w:r>
        <w:rPr>
          <w:rFonts w:hint="eastAsia"/>
          <w:color w:val="auto"/>
          <w:highlight w:val="none"/>
        </w:rPr>
        <w:t>对工程设计及相关规范要求的需要进行加强处理的部位如阴阳角、管根等，揭掉卷材上表面隔离膜后，按照实际宽度要求进行加强处理，即施做“附加层”。</w:t>
      </w:r>
      <w:r>
        <w:rPr>
          <w:color w:val="auto"/>
          <w:highlight w:val="none"/>
        </w:rPr>
        <w:t xml:space="preserve">  </w:t>
      </w:r>
    </w:p>
    <w:p>
      <w:pPr>
        <w:pStyle w:val="217"/>
        <w:rPr>
          <w:rFonts w:hint="eastAsia"/>
          <w:color w:val="auto"/>
          <w:highlight w:val="none"/>
        </w:rPr>
      </w:pPr>
      <w:r>
        <w:rPr>
          <w:color w:val="auto"/>
          <w:highlight w:val="none"/>
        </w:rPr>
        <w:t xml:space="preserve"> </w:t>
      </w:r>
      <w:r>
        <w:rPr>
          <w:rFonts w:hint="eastAsia"/>
          <w:color w:val="auto"/>
          <w:highlight w:val="none"/>
        </w:rPr>
        <w:t>附加层宽度不应小于</w:t>
      </w:r>
      <w:r>
        <w:rPr>
          <w:color w:val="auto"/>
          <w:highlight w:val="none"/>
        </w:rPr>
        <w:t>500mm</w:t>
      </w:r>
      <w:r>
        <w:rPr>
          <w:rFonts w:hint="eastAsia"/>
          <w:color w:val="auto"/>
          <w:highlight w:val="none"/>
        </w:rPr>
        <w:t>。</w:t>
      </w:r>
    </w:p>
    <w:p>
      <w:pPr>
        <w:pStyle w:val="119"/>
        <w:rPr>
          <w:color w:val="auto"/>
          <w:highlight w:val="none"/>
        </w:rPr>
      </w:pPr>
      <w:r>
        <w:rPr>
          <w:color w:val="auto"/>
          <w:highlight w:val="none"/>
        </w:rPr>
        <w:t xml:space="preserve">3.2.6.2 </w:t>
      </w:r>
      <w:r>
        <w:rPr>
          <w:rFonts w:hint="eastAsia"/>
          <w:color w:val="auto"/>
          <w:highlight w:val="none"/>
        </w:rPr>
        <w:t>地下室外墙防水</w:t>
      </w:r>
    </w:p>
    <w:p>
      <w:pPr>
        <w:pStyle w:val="217"/>
        <w:rPr>
          <w:color w:val="auto"/>
          <w:highlight w:val="none"/>
        </w:rPr>
      </w:pPr>
      <w:r>
        <w:rPr>
          <w:color w:val="auto"/>
          <w:highlight w:val="none"/>
        </w:rPr>
        <w:t>1.</w:t>
      </w:r>
      <w:r>
        <w:rPr>
          <w:rFonts w:hint="eastAsia"/>
          <w:color w:val="auto"/>
          <w:highlight w:val="none"/>
        </w:rPr>
        <w:t>地下室外墙防水施工工艺</w:t>
      </w:r>
    </w:p>
    <w:p>
      <w:pPr>
        <w:pStyle w:val="217"/>
        <w:rPr>
          <w:rFonts w:hint="eastAsia"/>
          <w:color w:val="auto"/>
          <w:highlight w:val="none"/>
        </w:rPr>
      </w:pPr>
      <w:r>
        <w:rPr>
          <w:rFonts w:hint="eastAsia"/>
          <w:color w:val="auto"/>
          <w:highlight w:val="none"/>
        </w:rPr>
        <w:t>基层表面清理修补→喷、涂基层处理剂→聚氨酯防水涂膜→节点附加增强处理→定位、弹线、试铺→铺贴防水卷材→收头处理、节点密封→清理、检查、修整→保护层施工。</w:t>
      </w:r>
    </w:p>
    <w:p>
      <w:pPr>
        <w:pStyle w:val="119"/>
        <w:rPr>
          <w:color w:val="auto"/>
          <w:highlight w:val="none"/>
        </w:rPr>
      </w:pPr>
      <w:r>
        <w:rPr>
          <w:color w:val="auto"/>
          <w:highlight w:val="none"/>
        </w:rPr>
        <w:t xml:space="preserve">3.2.6.3 </w:t>
      </w:r>
      <w:r>
        <w:rPr>
          <w:rFonts w:hint="eastAsia"/>
          <w:color w:val="auto"/>
          <w:highlight w:val="none"/>
        </w:rPr>
        <w:t>地下室顶板防水</w:t>
      </w:r>
    </w:p>
    <w:p>
      <w:pPr>
        <w:pStyle w:val="217"/>
        <w:rPr>
          <w:color w:val="auto"/>
          <w:highlight w:val="none"/>
        </w:rPr>
      </w:pPr>
      <w:r>
        <w:rPr>
          <w:color w:val="auto"/>
          <w:highlight w:val="none"/>
        </w:rPr>
        <w:t>1.</w:t>
      </w:r>
      <w:r>
        <w:rPr>
          <w:rFonts w:hint="eastAsia"/>
          <w:color w:val="auto"/>
          <w:highlight w:val="none"/>
        </w:rPr>
        <w:t>地下室顶板防水施工工艺：</w:t>
      </w:r>
      <w:r>
        <w:rPr>
          <w:color w:val="auto"/>
          <w:highlight w:val="none"/>
        </w:rPr>
        <w:t>C25</w:t>
      </w:r>
      <w:r>
        <w:rPr>
          <w:rFonts w:hint="eastAsia"/>
          <w:color w:val="auto"/>
          <w:highlight w:val="none"/>
        </w:rPr>
        <w:t>细石混凝土找坡→喷、涂基层处理剂→聚氨酯防水涂膜→节点附加增强处理→定位、弹线、试铺→铺贴防水卷材→收头处理、节点密封→</w:t>
      </w:r>
      <w:r>
        <w:rPr>
          <w:color w:val="auto"/>
          <w:highlight w:val="none"/>
        </w:rPr>
        <w:t>C20</w:t>
      </w:r>
      <w:r>
        <w:rPr>
          <w:rFonts w:hint="eastAsia"/>
          <w:color w:val="auto"/>
          <w:highlight w:val="none"/>
        </w:rPr>
        <w:t>细石混凝土→耐根穿刺防水卷材层→无纺布隔离层→细石混凝土→塑料排水板→无纺布隔离层。</w:t>
      </w:r>
    </w:p>
    <w:p>
      <w:pPr>
        <w:pStyle w:val="217"/>
        <w:rPr>
          <w:color w:val="auto"/>
          <w:highlight w:val="none"/>
        </w:rPr>
      </w:pPr>
      <w:r>
        <w:rPr>
          <w:color w:val="auto"/>
          <w:highlight w:val="none"/>
        </w:rPr>
        <w:t>2.</w:t>
      </w:r>
      <w:r>
        <w:rPr>
          <w:rFonts w:hint="eastAsia"/>
          <w:color w:val="auto"/>
          <w:highlight w:val="none"/>
        </w:rPr>
        <w:t>耐根穿刺高分子自粘防水卷材施工工艺：</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）施工前准备：</w:t>
      </w:r>
    </w:p>
    <w:p>
      <w:pPr>
        <w:pStyle w:val="217"/>
        <w:rPr>
          <w:color w:val="auto"/>
          <w:highlight w:val="none"/>
        </w:rPr>
      </w:pPr>
      <w:r>
        <w:rPr>
          <w:color w:val="auto"/>
          <w:highlight w:val="none"/>
        </w:rPr>
        <w:t>1</w:t>
      </w:r>
      <w:r>
        <w:rPr>
          <w:rFonts w:hint="eastAsia"/>
          <w:color w:val="auto"/>
          <w:highlight w:val="none"/>
        </w:rPr>
        <w:t>）工具准备：开刀、扫帚、料桶、盒尺、橡胶板、木抹子、铁铲等。</w:t>
      </w:r>
    </w:p>
    <w:p>
      <w:pPr>
        <w:pStyle w:val="217"/>
        <w:rPr>
          <w:color w:val="auto"/>
          <w:highlight w:val="none"/>
        </w:rPr>
      </w:pPr>
      <w:r>
        <w:rPr>
          <w:color w:val="auto"/>
          <w:highlight w:val="none"/>
        </w:rPr>
        <w:t>2</w:t>
      </w:r>
      <w:r>
        <w:rPr>
          <w:rFonts w:hint="eastAsia"/>
          <w:color w:val="auto"/>
          <w:highlight w:val="none"/>
        </w:rPr>
        <w:t>）材料准备：耐根穿刺高分子自粘防水卷材、水泥、细砂、水等</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）顶板湿铺法：基层处理</w:t>
      </w:r>
      <w:r>
        <w:rPr>
          <w:color w:val="auto"/>
          <w:highlight w:val="none"/>
        </w:rPr>
        <w:t xml:space="preserve"> </w:t>
      </w:r>
      <w:r>
        <w:rPr>
          <w:rFonts w:hint="eastAsia"/>
          <w:color w:val="auto"/>
          <w:highlight w:val="none"/>
        </w:rPr>
        <w:t>→抹水泥胶粘剂→揭掉耐根穿刺高分子自粘防水卷材下表面的隔离膜</w:t>
      </w:r>
      <w:r>
        <w:rPr>
          <w:color w:val="auto"/>
          <w:highlight w:val="none"/>
        </w:rPr>
        <w:t xml:space="preserve"> </w:t>
      </w:r>
      <w:r>
        <w:rPr>
          <w:rFonts w:hint="eastAsia"/>
          <w:color w:val="auto"/>
          <w:highlight w:val="none"/>
        </w:rPr>
        <w:t>→铺贴耐根穿刺高分子自粘防水卷材</w:t>
      </w:r>
      <w:r>
        <w:rPr>
          <w:color w:val="auto"/>
          <w:highlight w:val="none"/>
        </w:rPr>
        <w:t xml:space="preserve"> </w:t>
      </w:r>
      <w:r>
        <w:rPr>
          <w:rFonts w:hint="eastAsia"/>
          <w:color w:val="auto"/>
          <w:highlight w:val="none"/>
        </w:rPr>
        <w:t>晾放</w:t>
      </w:r>
      <w:r>
        <w:rPr>
          <w:color w:val="auto"/>
          <w:highlight w:val="none"/>
        </w:rPr>
        <w:t>24</w:t>
      </w:r>
      <w:r>
        <w:rPr>
          <w:rFonts w:hint="eastAsia"/>
          <w:color w:val="auto"/>
          <w:highlight w:val="none"/>
        </w:rPr>
        <w:t>小时至</w:t>
      </w:r>
      <w:r>
        <w:rPr>
          <w:color w:val="auto"/>
          <w:highlight w:val="none"/>
        </w:rPr>
        <w:t>48</w:t>
      </w:r>
      <w:r>
        <w:rPr>
          <w:rFonts w:hint="eastAsia"/>
          <w:color w:val="auto"/>
          <w:highlight w:val="none"/>
        </w:rPr>
        <w:t>小时</w:t>
      </w:r>
      <w:r>
        <w:rPr>
          <w:color w:val="auto"/>
          <w:highlight w:val="none"/>
        </w:rPr>
        <w:t xml:space="preserve"> </w:t>
      </w:r>
      <w:r>
        <w:rPr>
          <w:rFonts w:hint="eastAsia"/>
          <w:color w:val="auto"/>
          <w:highlight w:val="none"/>
        </w:rPr>
        <w:t>→节点加强处理</w:t>
      </w:r>
      <w:r>
        <w:rPr>
          <w:color w:val="auto"/>
          <w:highlight w:val="none"/>
        </w:rPr>
        <w:t xml:space="preserve"> </w:t>
      </w:r>
      <w:r>
        <w:rPr>
          <w:rFonts w:hint="eastAsia"/>
          <w:color w:val="auto"/>
          <w:highlight w:val="none"/>
        </w:rPr>
        <w:t>→质量验收</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）耐根穿刺高分子自粘防水卷材整体施工细节：</w:t>
      </w:r>
    </w:p>
    <w:p>
      <w:pPr>
        <w:pStyle w:val="217"/>
        <w:rPr>
          <w:color w:val="auto"/>
          <w:highlight w:val="none"/>
        </w:rPr>
      </w:pPr>
      <w:r>
        <w:rPr>
          <w:color w:val="auto"/>
          <w:highlight w:val="none"/>
        </w:rPr>
        <w:t>1</w:t>
      </w:r>
      <w:r>
        <w:rPr>
          <w:rFonts w:hint="eastAsia"/>
          <w:color w:val="auto"/>
          <w:highlight w:val="none"/>
        </w:rPr>
        <w:t>）基层应坚实、平整、无麻面、无起砂、空壳等现象。</w:t>
      </w:r>
    </w:p>
    <w:p>
      <w:pPr>
        <w:pStyle w:val="217"/>
        <w:rPr>
          <w:color w:val="auto"/>
          <w:highlight w:val="none"/>
        </w:rPr>
      </w:pPr>
      <w:r>
        <w:rPr>
          <w:color w:val="auto"/>
          <w:highlight w:val="none"/>
        </w:rPr>
        <w:t>2</w:t>
      </w:r>
      <w:r>
        <w:rPr>
          <w:rFonts w:hint="eastAsia"/>
          <w:color w:val="auto"/>
          <w:highlight w:val="none"/>
        </w:rPr>
        <w:t>）抹水泥素浆：铺抹时应注意压实、抹平。</w:t>
      </w:r>
    </w:p>
    <w:p>
      <w:pPr>
        <w:pStyle w:val="217"/>
        <w:rPr>
          <w:color w:val="auto"/>
          <w:highlight w:val="none"/>
        </w:rPr>
      </w:pPr>
      <w:r>
        <w:rPr>
          <w:color w:val="auto"/>
          <w:highlight w:val="none"/>
        </w:rPr>
        <w:t>3</w:t>
      </w:r>
      <w:r>
        <w:rPr>
          <w:rFonts w:hint="eastAsia"/>
          <w:color w:val="auto"/>
          <w:highlight w:val="none"/>
        </w:rPr>
        <w:t>）在阴角处，应抹成圆弧形。铺抹水泥素浆的宽度比卷材的长、短边宜各宽出</w:t>
      </w:r>
      <w:r>
        <w:rPr>
          <w:color w:val="auto"/>
          <w:highlight w:val="none"/>
        </w:rPr>
        <w:t>100</w:t>
      </w:r>
      <w:r>
        <w:rPr>
          <w:rFonts w:hint="eastAsia"/>
          <w:color w:val="auto"/>
          <w:highlight w:val="none"/>
        </w:rPr>
        <w:t>～</w:t>
      </w:r>
      <w:r>
        <w:rPr>
          <w:color w:val="auto"/>
          <w:highlight w:val="none"/>
        </w:rPr>
        <w:t>300mm</w:t>
      </w:r>
      <w:r>
        <w:rPr>
          <w:rFonts w:hint="eastAsia"/>
          <w:color w:val="auto"/>
          <w:highlight w:val="none"/>
        </w:rPr>
        <w:t>，并在铺抹过程中利用导轨保证平整度。</w:t>
      </w:r>
    </w:p>
    <w:p>
      <w:pPr>
        <w:pStyle w:val="217"/>
        <w:rPr>
          <w:color w:val="auto"/>
          <w:highlight w:val="none"/>
        </w:rPr>
      </w:pPr>
      <w:r>
        <w:rPr>
          <w:color w:val="auto"/>
          <w:highlight w:val="none"/>
        </w:rPr>
        <w:t>4</w:t>
      </w:r>
      <w:r>
        <w:rPr>
          <w:rFonts w:hint="eastAsia"/>
          <w:color w:val="auto"/>
          <w:highlight w:val="none"/>
        </w:rPr>
        <w:t>）揭掉耐根穿刺高分子自粘防水卷材下表面的隔离膜。</w:t>
      </w:r>
    </w:p>
    <w:p>
      <w:pPr>
        <w:pStyle w:val="217"/>
        <w:rPr>
          <w:color w:val="auto"/>
          <w:highlight w:val="none"/>
        </w:rPr>
      </w:pPr>
      <w:r>
        <w:rPr>
          <w:color w:val="auto"/>
          <w:highlight w:val="none"/>
        </w:rPr>
        <w:t>5</w:t>
      </w:r>
      <w:r>
        <w:rPr>
          <w:rFonts w:hint="eastAsia"/>
          <w:color w:val="auto"/>
          <w:highlight w:val="none"/>
        </w:rPr>
        <w:t>）铺贴耐根穿刺高分子自粘防水卷材：将耐根穿刺高分子自粘防水卷材平铺在水泥素浆上。卷材与相邻卷材之间为平行对接，对接缝应尽量拼严。</w:t>
      </w:r>
    </w:p>
    <w:p>
      <w:pPr>
        <w:pStyle w:val="217"/>
        <w:rPr>
          <w:color w:val="auto"/>
          <w:highlight w:val="none"/>
        </w:rPr>
      </w:pPr>
      <w:r>
        <w:rPr>
          <w:color w:val="auto"/>
          <w:highlight w:val="none"/>
        </w:rPr>
        <w:t>6</w:t>
      </w:r>
      <w:r>
        <w:rPr>
          <w:rFonts w:hint="eastAsia"/>
          <w:color w:val="auto"/>
          <w:highlight w:val="none"/>
        </w:rPr>
        <w:t>）当采用搭接方式时，将下层卷材上表面搭接部位隔离膜及上层卷材下表面隔离膜揭除，然后搭接密实，搭接宽度≥</w:t>
      </w:r>
      <w:r>
        <w:rPr>
          <w:color w:val="auto"/>
          <w:highlight w:val="none"/>
        </w:rPr>
        <w:t>100mm</w:t>
      </w:r>
      <w:r>
        <w:rPr>
          <w:rFonts w:hint="eastAsia"/>
          <w:color w:val="auto"/>
          <w:highlight w:val="none"/>
        </w:rPr>
        <w:t>。</w:t>
      </w:r>
    </w:p>
    <w:p>
      <w:pPr>
        <w:pStyle w:val="217"/>
        <w:rPr>
          <w:color w:val="auto"/>
          <w:highlight w:val="none"/>
        </w:rPr>
      </w:pPr>
      <w:r>
        <w:rPr>
          <w:color w:val="auto"/>
          <w:highlight w:val="none"/>
        </w:rPr>
        <w:t>7</w:t>
      </w:r>
      <w:r>
        <w:rPr>
          <w:rFonts w:hint="eastAsia"/>
          <w:color w:val="auto"/>
          <w:highlight w:val="none"/>
        </w:rPr>
        <w:t>）晾放：晾放</w:t>
      </w:r>
      <w:r>
        <w:rPr>
          <w:color w:val="auto"/>
          <w:highlight w:val="none"/>
        </w:rPr>
        <w:t>24</w:t>
      </w:r>
      <w:r>
        <w:rPr>
          <w:rFonts w:hint="eastAsia"/>
          <w:color w:val="auto"/>
          <w:highlight w:val="none"/>
        </w:rPr>
        <w:t>小时至</w:t>
      </w:r>
      <w:r>
        <w:rPr>
          <w:color w:val="auto"/>
          <w:highlight w:val="none"/>
        </w:rPr>
        <w:t>48</w:t>
      </w:r>
      <w:r>
        <w:rPr>
          <w:rFonts w:hint="eastAsia"/>
          <w:color w:val="auto"/>
          <w:highlight w:val="none"/>
        </w:rPr>
        <w:t>小时（具体时间视环境温度而定，一般情况下，温度愈高所需时间愈短）。</w:t>
      </w:r>
    </w:p>
    <w:p>
      <w:pPr>
        <w:pStyle w:val="217"/>
        <w:rPr>
          <w:color w:val="auto"/>
          <w:highlight w:val="none"/>
        </w:rPr>
      </w:pPr>
      <w:r>
        <w:rPr>
          <w:color w:val="auto"/>
          <w:highlight w:val="none"/>
        </w:rPr>
        <w:t>8</w:t>
      </w:r>
      <w:r>
        <w:rPr>
          <w:rFonts w:hint="eastAsia"/>
          <w:color w:val="auto"/>
          <w:highlight w:val="none"/>
        </w:rPr>
        <w:t>）对接口密封：采用附加自粘封口条密封。对接口密封时，先将卷材搭接部位上表面的隔离膜揭除，再粘贴附加自粘封口条。若搭接部位被污染，需先清理干净。（当上、下层卷材之间采用搭接方式时，无需自粘封口条。）</w:t>
      </w:r>
    </w:p>
    <w:p>
      <w:pPr>
        <w:pStyle w:val="217"/>
        <w:rPr>
          <w:color w:val="auto"/>
          <w:highlight w:val="none"/>
        </w:rPr>
      </w:pPr>
      <w:r>
        <w:rPr>
          <w:color w:val="auto"/>
          <w:highlight w:val="none"/>
        </w:rPr>
        <w:t>9</w:t>
      </w:r>
      <w:r>
        <w:rPr>
          <w:rFonts w:hint="eastAsia"/>
          <w:color w:val="auto"/>
          <w:highlight w:val="none"/>
        </w:rPr>
        <w:t>）耐根穿刺高分子自粘防水卷材在铺贴时，在卷材收口处应临时密封（可用胶带或加厚水泥浆密封），以防止收头处水份过快散失</w:t>
      </w:r>
    </w:p>
    <w:p>
      <w:pPr>
        <w:pStyle w:val="217"/>
        <w:rPr>
          <w:color w:val="auto"/>
          <w:highlight w:val="none"/>
        </w:rPr>
      </w:pPr>
      <w:r>
        <w:rPr>
          <w:color w:val="auto"/>
          <w:highlight w:val="none"/>
        </w:rPr>
        <w:t>10</w:t>
      </w:r>
      <w:r>
        <w:rPr>
          <w:rFonts w:hint="eastAsia"/>
          <w:color w:val="auto"/>
          <w:highlight w:val="none"/>
        </w:rPr>
        <w:t>）节点加强处理：节点处在大面卷材施工完毕后进行加强处理。必须保证防水层的连续性、连贯性。附加层宽度不应小于</w:t>
      </w:r>
      <w:r>
        <w:rPr>
          <w:color w:val="auto"/>
          <w:highlight w:val="none"/>
        </w:rPr>
        <w:t>500mm</w:t>
      </w:r>
      <w:r>
        <w:rPr>
          <w:rFonts w:hint="eastAsia"/>
          <w:color w:val="auto"/>
          <w:highlight w:val="none"/>
        </w:rPr>
        <w:t>。</w:t>
      </w:r>
    </w:p>
    <w:p>
      <w:pPr>
        <w:pStyle w:val="217"/>
        <w:rPr>
          <w:color w:val="auto"/>
          <w:highlight w:val="none"/>
        </w:rPr>
      </w:pPr>
      <w:r>
        <w:rPr>
          <w:color w:val="auto"/>
          <w:highlight w:val="none"/>
        </w:rPr>
        <w:t>11</w:t>
      </w:r>
      <w:r>
        <w:rPr>
          <w:rFonts w:hint="eastAsia"/>
          <w:color w:val="auto"/>
          <w:highlight w:val="none"/>
        </w:rPr>
        <w:t>）耐根穿刺卷材防水层四周必须翻起到种植土屋面。</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）施工重点及难点描述：</w:t>
      </w:r>
    </w:p>
    <w:p>
      <w:pPr>
        <w:pStyle w:val="217"/>
        <w:rPr>
          <w:rFonts w:hint="eastAsia"/>
          <w:color w:val="auto"/>
          <w:highlight w:val="none"/>
        </w:rPr>
      </w:pPr>
      <w:r>
        <w:rPr>
          <w:rFonts w:hint="eastAsia"/>
          <w:color w:val="auto"/>
          <w:highlight w:val="none"/>
        </w:rPr>
        <w:t>地下室顶板耐根穿刺防水的施工重点是落水管口，必须进行加强处理。</w:t>
      </w:r>
    </w:p>
    <w:p>
      <w:pPr>
        <w:pStyle w:val="119"/>
        <w:rPr>
          <w:color w:val="auto"/>
          <w:highlight w:val="none"/>
        </w:rPr>
      </w:pPr>
      <w:r>
        <w:rPr>
          <w:color w:val="auto"/>
          <w:highlight w:val="none"/>
        </w:rPr>
        <w:t xml:space="preserve">3.2.6.4 </w:t>
      </w:r>
      <w:r>
        <w:rPr>
          <w:rFonts w:hint="eastAsia"/>
          <w:color w:val="auto"/>
          <w:highlight w:val="none"/>
        </w:rPr>
        <w:t>顶板防水层施工工艺</w:t>
      </w:r>
    </w:p>
    <w:p>
      <w:pPr>
        <w:pStyle w:val="217"/>
        <w:rPr>
          <w:color w:val="auto"/>
          <w:highlight w:val="none"/>
        </w:rPr>
      </w:pPr>
      <w:r>
        <w:rPr>
          <w:color w:val="auto"/>
          <w:highlight w:val="none"/>
        </w:rPr>
        <w:t>1.</w:t>
      </w:r>
      <w:r>
        <w:rPr>
          <w:rFonts w:hint="eastAsia"/>
          <w:color w:val="auto"/>
          <w:highlight w:val="none"/>
        </w:rPr>
        <w:t>工艺流程</w:t>
      </w:r>
    </w:p>
    <w:p>
      <w:pPr>
        <w:pStyle w:val="217"/>
        <w:rPr>
          <w:color w:val="auto"/>
          <w:highlight w:val="none"/>
        </w:rPr>
      </w:pPr>
      <w:r>
        <w:rPr>
          <w:rFonts w:hint="eastAsia"/>
          <w:color w:val="auto"/>
          <w:highlight w:val="none"/>
        </w:rPr>
        <w:t>清理基面</w:t>
      </w:r>
      <w:r>
        <w:rPr>
          <w:color w:val="auto"/>
          <w:highlight w:val="none"/>
        </w:rPr>
        <w:t>——</w:t>
      </w:r>
      <w:r>
        <w:rPr>
          <w:rFonts w:hint="eastAsia"/>
          <w:color w:val="auto"/>
          <w:highlight w:val="none"/>
        </w:rPr>
        <w:t>阴阳角、节点部位加强处理</w:t>
      </w:r>
      <w:r>
        <w:rPr>
          <w:color w:val="auto"/>
          <w:highlight w:val="none"/>
        </w:rPr>
        <w:t>——</w:t>
      </w:r>
      <w:r>
        <w:rPr>
          <w:rFonts w:hint="eastAsia"/>
          <w:color w:val="auto"/>
          <w:highlight w:val="none"/>
        </w:rPr>
        <w:t>基层处理剂</w:t>
      </w:r>
      <w:r>
        <w:rPr>
          <w:color w:val="auto"/>
          <w:highlight w:val="none"/>
        </w:rPr>
        <w:t>--</w:t>
      </w:r>
      <w:r>
        <w:rPr>
          <w:rFonts w:hint="eastAsia"/>
          <w:color w:val="auto"/>
          <w:highlight w:val="none"/>
        </w:rPr>
        <w:t>聚氨脂防水涂料</w:t>
      </w:r>
      <w:r>
        <w:rPr>
          <w:color w:val="auto"/>
          <w:highlight w:val="none"/>
        </w:rPr>
        <w:t>——</w:t>
      </w:r>
      <w:r>
        <w:rPr>
          <w:rFonts w:hint="eastAsia"/>
          <w:color w:val="auto"/>
          <w:highlight w:val="none"/>
        </w:rPr>
        <w:t>防水卷材</w:t>
      </w:r>
      <w:r>
        <w:rPr>
          <w:color w:val="auto"/>
          <w:highlight w:val="none"/>
        </w:rPr>
        <w:t>——</w:t>
      </w:r>
      <w:r>
        <w:rPr>
          <w:rFonts w:hint="eastAsia"/>
          <w:color w:val="auto"/>
          <w:highlight w:val="none"/>
        </w:rPr>
        <w:t>排气</w:t>
      </w:r>
      <w:r>
        <w:rPr>
          <w:color w:val="auto"/>
          <w:highlight w:val="none"/>
        </w:rPr>
        <w:t>——</w:t>
      </w:r>
      <w:r>
        <w:rPr>
          <w:rFonts w:hint="eastAsia"/>
          <w:color w:val="auto"/>
          <w:highlight w:val="none"/>
        </w:rPr>
        <w:t>晾放</w:t>
      </w:r>
      <w:r>
        <w:rPr>
          <w:color w:val="auto"/>
          <w:highlight w:val="none"/>
        </w:rPr>
        <w:t>——</w:t>
      </w:r>
      <w:r>
        <w:rPr>
          <w:rFonts w:hint="eastAsia"/>
          <w:color w:val="auto"/>
          <w:highlight w:val="none"/>
        </w:rPr>
        <w:t>收头、密封</w:t>
      </w:r>
      <w:r>
        <w:rPr>
          <w:color w:val="auto"/>
          <w:highlight w:val="none"/>
        </w:rPr>
        <w:t>——</w:t>
      </w:r>
      <w:r>
        <w:rPr>
          <w:rFonts w:hint="eastAsia"/>
          <w:color w:val="auto"/>
          <w:highlight w:val="none"/>
        </w:rPr>
        <w:t>检查验收</w:t>
      </w:r>
    </w:p>
    <w:p>
      <w:pPr>
        <w:pStyle w:val="217"/>
        <w:rPr>
          <w:color w:val="auto"/>
          <w:highlight w:val="none"/>
        </w:rPr>
      </w:pPr>
      <w:r>
        <w:rPr>
          <w:color w:val="auto"/>
          <w:highlight w:val="none"/>
        </w:rPr>
        <w:t>2.</w:t>
      </w:r>
      <w:r>
        <w:rPr>
          <w:rFonts w:hint="eastAsia"/>
          <w:color w:val="auto"/>
          <w:highlight w:val="none"/>
        </w:rPr>
        <w:t>作业条件</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）基层应干净、光滑、坚实、平整，不得有酥松、起砂、起皮现象；</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）基层应干净；</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）阴阳角做成钝角形；</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）各种预埋构、配件安装完毕、固定牢固。</w:t>
      </w:r>
    </w:p>
    <w:p>
      <w:pPr>
        <w:pStyle w:val="217"/>
        <w:rPr>
          <w:color w:val="auto"/>
          <w:highlight w:val="none"/>
        </w:rPr>
      </w:pPr>
      <w:r>
        <w:rPr>
          <w:color w:val="auto"/>
          <w:highlight w:val="none"/>
        </w:rPr>
        <w:t>3.</w:t>
      </w:r>
      <w:r>
        <w:rPr>
          <w:rFonts w:hint="eastAsia"/>
          <w:color w:val="auto"/>
          <w:highlight w:val="none"/>
        </w:rPr>
        <w:t>施工方法</w:t>
      </w:r>
    </w:p>
    <w:p>
      <w:pPr>
        <w:pStyle w:val="217"/>
        <w:rPr>
          <w:color w:val="auto"/>
          <w:highlight w:val="none"/>
        </w:rPr>
      </w:pPr>
      <w:r>
        <w:rPr>
          <w:rFonts w:hint="eastAsia"/>
          <w:color w:val="auto"/>
          <w:highlight w:val="none"/>
        </w:rPr>
        <w:t>检查验收基层后对基面进行清理。</w:t>
      </w:r>
    </w:p>
    <w:p>
      <w:pPr>
        <w:pStyle w:val="217"/>
        <w:rPr>
          <w:color w:val="auto"/>
          <w:highlight w:val="none"/>
        </w:rPr>
      </w:pPr>
      <w:r>
        <w:rPr>
          <w:rFonts w:hint="eastAsia"/>
          <w:color w:val="auto"/>
          <w:highlight w:val="none"/>
        </w:rPr>
        <w:t>液料、水泥、水按</w:t>
      </w:r>
      <w:r>
        <w:rPr>
          <w:color w:val="auto"/>
          <w:highlight w:val="none"/>
        </w:rPr>
        <w:t>1</w:t>
      </w:r>
      <w:r>
        <w:rPr>
          <w:rFonts w:hint="eastAsia"/>
          <w:color w:val="auto"/>
          <w:highlight w:val="none"/>
        </w:rPr>
        <w:t>：</w:t>
      </w:r>
      <w:r>
        <w:rPr>
          <w:color w:val="auto"/>
          <w:highlight w:val="none"/>
        </w:rPr>
        <w:t>1</w:t>
      </w:r>
      <w:r>
        <w:rPr>
          <w:rFonts w:hint="eastAsia"/>
          <w:color w:val="auto"/>
          <w:highlight w:val="none"/>
        </w:rPr>
        <w:t>：</w:t>
      </w:r>
      <w:r>
        <w:rPr>
          <w:color w:val="auto"/>
          <w:highlight w:val="none"/>
        </w:rPr>
        <w:t>0</w:t>
      </w:r>
      <w:r>
        <w:rPr>
          <w:rFonts w:hint="eastAsia"/>
          <w:color w:val="auto"/>
          <w:highlight w:val="none"/>
        </w:rPr>
        <w:t>～</w:t>
      </w:r>
      <w:r>
        <w:rPr>
          <w:color w:val="auto"/>
          <w:highlight w:val="none"/>
        </w:rPr>
        <w:t>0.2</w:t>
      </w:r>
      <w:r>
        <w:rPr>
          <w:rFonts w:hint="eastAsia"/>
          <w:color w:val="auto"/>
          <w:highlight w:val="none"/>
        </w:rPr>
        <w:t>（重量比）比例混合搅拌均匀，在管根、阴阳角、节点等容易发生渗漏的薄弱部位加强处理。</w:t>
      </w:r>
    </w:p>
    <w:p>
      <w:pPr>
        <w:pStyle w:val="217"/>
        <w:rPr>
          <w:color w:val="auto"/>
          <w:highlight w:val="none"/>
        </w:rPr>
      </w:pPr>
      <w:r>
        <w:rPr>
          <w:rFonts w:hint="eastAsia"/>
          <w:color w:val="auto"/>
          <w:highlight w:val="none"/>
        </w:rPr>
        <w:t>分层涂刷涂料防水层。注意分层涂刷均匀，不得有漏涂、堆积现象。上一层干燥后涂刷下一层，分层涂刷至设计厚度。采用滚铺法铺贴大面自粘防水卷材：用裁纸刀把隔离纸轻轻划开，注意不要划伤卷材，从卷材背面缓缓撕开隔离纸，并将卷材慢慢向前滚铺。卷材铺贴同时用抹子轻轻抹压卷材上表面，排出卷材下表面的空气，使卷材与</w:t>
      </w:r>
      <w:r>
        <w:rPr>
          <w:color w:val="auto"/>
          <w:highlight w:val="none"/>
        </w:rPr>
        <w:t>JS</w:t>
      </w:r>
      <w:r>
        <w:rPr>
          <w:rFonts w:hint="eastAsia"/>
          <w:color w:val="auto"/>
          <w:highlight w:val="none"/>
        </w:rPr>
        <w:t>聚合物水泥基防水涂料紧密粘结。</w:t>
      </w:r>
    </w:p>
    <w:p>
      <w:pPr>
        <w:pStyle w:val="217"/>
        <w:rPr>
          <w:color w:val="auto"/>
          <w:highlight w:val="none"/>
        </w:rPr>
      </w:pPr>
      <w:r>
        <w:rPr>
          <w:rFonts w:hint="eastAsia"/>
          <w:color w:val="auto"/>
          <w:highlight w:val="none"/>
        </w:rPr>
        <w:t>相邻卷材之间为搭接连接，卷材搭接宽度长、短边均为</w:t>
      </w:r>
      <w:r>
        <w:rPr>
          <w:color w:val="auto"/>
          <w:highlight w:val="none"/>
        </w:rPr>
        <w:t>100mm</w:t>
      </w:r>
      <w:r>
        <w:rPr>
          <w:rFonts w:hint="eastAsia"/>
          <w:color w:val="auto"/>
          <w:highlight w:val="none"/>
        </w:rPr>
        <w:t>，粘贴后随即用胶辊（刮板）用力滚压（赶压）排出空气，使卷材搭接边粘结严密。</w:t>
      </w:r>
    </w:p>
    <w:p>
      <w:pPr>
        <w:pStyle w:val="217"/>
        <w:rPr>
          <w:color w:val="auto"/>
          <w:highlight w:val="none"/>
        </w:rPr>
      </w:pPr>
      <w:r>
        <w:rPr>
          <w:rFonts w:hint="eastAsia"/>
          <w:color w:val="auto"/>
          <w:highlight w:val="none"/>
        </w:rPr>
        <w:t>卷材外露搭接缝、收头部位、管道包裹等相对薄弱的部位加强处理。</w:t>
      </w:r>
    </w:p>
    <w:p>
      <w:pPr>
        <w:pStyle w:val="217"/>
        <w:rPr>
          <w:color w:val="auto"/>
          <w:highlight w:val="none"/>
        </w:rPr>
      </w:pPr>
      <w:r>
        <w:rPr>
          <w:rFonts w:hint="eastAsia"/>
          <w:color w:val="auto"/>
          <w:highlight w:val="none"/>
        </w:rPr>
        <w:t>防水层施工完毕应尽快进行下道工序的施工。</w:t>
      </w:r>
    </w:p>
    <w:p>
      <w:pPr>
        <w:pStyle w:val="217"/>
        <w:rPr>
          <w:color w:val="auto"/>
          <w:highlight w:val="none"/>
        </w:rPr>
      </w:pPr>
      <w:r>
        <w:rPr>
          <w:color w:val="auto"/>
          <w:highlight w:val="none"/>
        </w:rPr>
        <w:t>4.</w:t>
      </w:r>
      <w:r>
        <w:rPr>
          <w:rFonts w:hint="eastAsia"/>
          <w:color w:val="auto"/>
          <w:highlight w:val="none"/>
        </w:rPr>
        <w:t>施工注意事项</w:t>
      </w:r>
    </w:p>
    <w:p>
      <w:pPr>
        <w:pStyle w:val="217"/>
        <w:rPr>
          <w:color w:val="auto"/>
          <w:highlight w:val="none"/>
        </w:rPr>
      </w:pPr>
      <w:r>
        <w:rPr>
          <w:rFonts w:hint="eastAsia"/>
          <w:color w:val="auto"/>
          <w:highlight w:val="none"/>
        </w:rPr>
        <w:t>施工防水层之前，须将各种管道及预埋件安装固定好，以避免在防水层施工好后，打洞凿孔，破坏防水层，留下渗漏隐患。</w:t>
      </w:r>
    </w:p>
    <w:p>
      <w:pPr>
        <w:pStyle w:val="217"/>
        <w:rPr>
          <w:color w:val="auto"/>
          <w:highlight w:val="none"/>
        </w:rPr>
      </w:pPr>
      <w:r>
        <w:rPr>
          <w:rFonts w:hint="eastAsia"/>
          <w:color w:val="auto"/>
          <w:highlight w:val="none"/>
        </w:rPr>
        <w:t>防水层收头部位要特别注意遮盖养护，以免粘结不牢、卷材翘边。</w:t>
      </w:r>
    </w:p>
    <w:p>
      <w:pPr>
        <w:pStyle w:val="217"/>
        <w:rPr>
          <w:color w:val="auto"/>
          <w:highlight w:val="none"/>
        </w:rPr>
      </w:pPr>
      <w:r>
        <w:rPr>
          <w:rFonts w:hint="eastAsia"/>
          <w:color w:val="auto"/>
          <w:highlight w:val="none"/>
        </w:rPr>
        <w:t>相邻两幅卷材的短边接缝应相互错开</w:t>
      </w:r>
      <w:r>
        <w:rPr>
          <w:color w:val="auto"/>
          <w:highlight w:val="none"/>
        </w:rPr>
        <w:t>1/3</w:t>
      </w:r>
      <w:r>
        <w:rPr>
          <w:rFonts w:hint="eastAsia"/>
          <w:color w:val="auto"/>
          <w:highlight w:val="none"/>
        </w:rPr>
        <w:t>幅宽以上。</w:t>
      </w:r>
    </w:p>
    <w:p>
      <w:pPr>
        <w:pStyle w:val="217"/>
        <w:rPr>
          <w:color w:val="auto"/>
          <w:highlight w:val="none"/>
        </w:rPr>
      </w:pPr>
      <w:r>
        <w:rPr>
          <w:rFonts w:hint="eastAsia"/>
          <w:color w:val="auto"/>
          <w:highlight w:val="none"/>
        </w:rPr>
        <w:t>注意天气的影响，尽量避免恶劣天气条件施工。</w:t>
      </w:r>
    </w:p>
    <w:p>
      <w:pPr>
        <w:pStyle w:val="217"/>
        <w:rPr>
          <w:color w:val="auto"/>
          <w:highlight w:val="none"/>
        </w:rPr>
      </w:pPr>
      <w:r>
        <w:rPr>
          <w:color w:val="auto"/>
          <w:highlight w:val="none"/>
        </w:rPr>
        <w:t>5.</w:t>
      </w:r>
      <w:r>
        <w:rPr>
          <w:rFonts w:hint="eastAsia"/>
          <w:color w:val="auto"/>
          <w:highlight w:val="none"/>
        </w:rPr>
        <w:t>质量要求</w:t>
      </w:r>
    </w:p>
    <w:p>
      <w:pPr>
        <w:pStyle w:val="217"/>
        <w:rPr>
          <w:color w:val="auto"/>
          <w:highlight w:val="none"/>
        </w:rPr>
      </w:pPr>
      <w:r>
        <w:rPr>
          <w:rFonts w:hint="eastAsia"/>
          <w:color w:val="auto"/>
          <w:highlight w:val="none"/>
        </w:rPr>
        <w:t>卷材接缝严密，无破损、断裂、异状粘结等缺陷。</w:t>
      </w:r>
    </w:p>
    <w:p>
      <w:pPr>
        <w:pStyle w:val="217"/>
        <w:rPr>
          <w:color w:val="auto"/>
          <w:highlight w:val="none"/>
        </w:rPr>
      </w:pPr>
      <w:r>
        <w:rPr>
          <w:rFonts w:hint="eastAsia"/>
          <w:color w:val="auto"/>
          <w:highlight w:val="none"/>
        </w:rPr>
        <w:t>节点部位加强处理按规范要求施工。</w:t>
      </w:r>
    </w:p>
    <w:p>
      <w:pPr>
        <w:pStyle w:val="217"/>
        <w:rPr>
          <w:color w:val="auto"/>
          <w:highlight w:val="none"/>
        </w:rPr>
      </w:pPr>
      <w:r>
        <w:rPr>
          <w:rFonts w:hint="eastAsia"/>
          <w:color w:val="auto"/>
          <w:highlight w:val="none"/>
        </w:rPr>
        <w:t>卷材搭接宽度的允许偏差为－</w:t>
      </w:r>
      <w:r>
        <w:rPr>
          <w:color w:val="auto"/>
          <w:highlight w:val="none"/>
        </w:rPr>
        <w:t>10mm</w:t>
      </w:r>
      <w:r>
        <w:rPr>
          <w:rFonts w:hint="eastAsia"/>
          <w:color w:val="auto"/>
          <w:highlight w:val="none"/>
        </w:rPr>
        <w:t>。</w:t>
      </w:r>
    </w:p>
    <w:p>
      <w:pPr>
        <w:pStyle w:val="113"/>
        <w:spacing w:before="120" w:after="120"/>
        <w:ind w:firstLine="138" w:firstLineChars="49"/>
        <w:outlineLvl w:val="2"/>
        <w:rPr>
          <w:color w:val="auto"/>
          <w:highlight w:val="none"/>
        </w:rPr>
      </w:pPr>
      <w:bookmarkStart w:id="7718" w:name="_Toc66634410"/>
      <w:bookmarkStart w:id="7719" w:name="_Toc69114151"/>
      <w:bookmarkStart w:id="7720" w:name="_Toc66890405"/>
      <w:bookmarkStart w:id="7721" w:name="_Toc505345723"/>
      <w:r>
        <w:rPr>
          <w:color w:val="auto"/>
          <w:highlight w:val="none"/>
        </w:rPr>
        <w:t xml:space="preserve">3.3 </w:t>
      </w:r>
      <w:r>
        <w:rPr>
          <w:rFonts w:hint="eastAsia"/>
          <w:color w:val="auto"/>
          <w:highlight w:val="none"/>
        </w:rPr>
        <w:t>主体结构工程</w:t>
      </w:r>
      <w:bookmarkEnd w:id="7718"/>
      <w:bookmarkEnd w:id="7719"/>
      <w:bookmarkEnd w:id="7720"/>
      <w:bookmarkEnd w:id="7721"/>
    </w:p>
    <w:p>
      <w:pPr>
        <w:pStyle w:val="172"/>
        <w:rPr>
          <w:color w:val="auto"/>
          <w:highlight w:val="none"/>
        </w:rPr>
      </w:pPr>
      <w:r>
        <w:rPr>
          <w:color w:val="auto"/>
          <w:highlight w:val="none"/>
        </w:rPr>
        <w:t xml:space="preserve">3.3.1 </w:t>
      </w:r>
      <w:r>
        <w:rPr>
          <w:rFonts w:hint="eastAsia"/>
          <w:color w:val="auto"/>
          <w:highlight w:val="none"/>
        </w:rPr>
        <w:t>特别技术要求</w:t>
      </w:r>
    </w:p>
    <w:p>
      <w:pPr>
        <w:pStyle w:val="217"/>
        <w:rPr>
          <w:color w:val="auto"/>
          <w:highlight w:val="none"/>
        </w:rPr>
      </w:pPr>
      <w:r>
        <w:rPr>
          <w:color w:val="auto"/>
          <w:highlight w:val="none"/>
        </w:rPr>
        <w:t>1.</w:t>
      </w:r>
      <w:r>
        <w:rPr>
          <w:rFonts w:hint="eastAsia"/>
          <w:color w:val="auto"/>
          <w:highlight w:val="none"/>
        </w:rPr>
        <w:t>本工程施工期间，中标单位必须确保周边建筑物、构筑物、管线、设施及周边环境不受到破坏和损伤。有关技术安全措施费已包含在投标报价中。若有任何损坏，须立即通知有关部门和建设单位，并由承包人自行承担损失及全部修复费用。</w:t>
      </w:r>
    </w:p>
    <w:p>
      <w:pPr>
        <w:pStyle w:val="217"/>
        <w:rPr>
          <w:color w:val="auto"/>
          <w:highlight w:val="none"/>
        </w:rPr>
      </w:pPr>
      <w:r>
        <w:rPr>
          <w:color w:val="auto"/>
          <w:highlight w:val="none"/>
        </w:rPr>
        <w:t>2.</w:t>
      </w:r>
      <w:r>
        <w:rPr>
          <w:rFonts w:hint="eastAsia"/>
          <w:color w:val="auto"/>
          <w:highlight w:val="none"/>
        </w:rPr>
        <w:t>承包人应认真了解现场场地的地址特点等因素对现场施工、住宿、材料二次搬运等带来的影响和费用，并提出合理的有效措施，确保工期和质量，相关费用列入施工措施费计入投标报价，结算时不作调整。</w:t>
      </w:r>
    </w:p>
    <w:p>
      <w:pPr>
        <w:pStyle w:val="217"/>
        <w:rPr>
          <w:color w:val="auto"/>
          <w:highlight w:val="none"/>
        </w:rPr>
      </w:pPr>
      <w:r>
        <w:rPr>
          <w:color w:val="auto"/>
          <w:highlight w:val="none"/>
        </w:rPr>
        <w:t>3.</w:t>
      </w:r>
      <w:r>
        <w:rPr>
          <w:rFonts w:hint="eastAsia"/>
          <w:color w:val="auto"/>
          <w:highlight w:val="none"/>
        </w:rPr>
        <w:t>承包人施工时设置沉降、位移监测点。</w:t>
      </w:r>
    </w:p>
    <w:p>
      <w:pPr>
        <w:pStyle w:val="217"/>
        <w:rPr>
          <w:color w:val="auto"/>
          <w:highlight w:val="none"/>
        </w:rPr>
      </w:pPr>
      <w:r>
        <w:rPr>
          <w:color w:val="auto"/>
          <w:highlight w:val="none"/>
        </w:rPr>
        <w:t>4.</w:t>
      </w:r>
      <w:r>
        <w:rPr>
          <w:rFonts w:hint="eastAsia"/>
          <w:color w:val="auto"/>
          <w:highlight w:val="none"/>
        </w:rPr>
        <w:t>本工程所选建筑原材料应符合相关规范要求，使用前应向监理工程师提供产品出厂合格证、试验资料等质量证明文件，由监理工程师进行抽样有见证送检，经有资质质量检测部门认证合格后，方可使用，未经检验或检验不合格的产品不得用于本工程施工。</w:t>
      </w:r>
    </w:p>
    <w:p>
      <w:pPr>
        <w:pStyle w:val="217"/>
        <w:rPr>
          <w:color w:val="auto"/>
          <w:highlight w:val="none"/>
        </w:rPr>
      </w:pPr>
      <w:r>
        <w:rPr>
          <w:color w:val="auto"/>
          <w:highlight w:val="none"/>
        </w:rPr>
        <w:t>5.</w:t>
      </w:r>
      <w:r>
        <w:rPr>
          <w:rFonts w:hint="eastAsia"/>
          <w:color w:val="auto"/>
          <w:highlight w:val="none"/>
        </w:rPr>
        <w:t>钢材连接须进行工艺试验，抽样送检合格，经监理工程师审查后方可进行施工。</w:t>
      </w:r>
    </w:p>
    <w:p>
      <w:pPr>
        <w:pStyle w:val="217"/>
        <w:rPr>
          <w:color w:val="auto"/>
          <w:highlight w:val="none"/>
        </w:rPr>
      </w:pPr>
      <w:r>
        <w:rPr>
          <w:color w:val="auto"/>
          <w:highlight w:val="none"/>
        </w:rPr>
        <w:t>6.</w:t>
      </w:r>
      <w:r>
        <w:rPr>
          <w:rFonts w:hint="eastAsia"/>
          <w:color w:val="auto"/>
          <w:highlight w:val="none"/>
        </w:rPr>
        <w:t>砂、石需进行各项试验，严禁使用海砂。</w:t>
      </w:r>
    </w:p>
    <w:p>
      <w:pPr>
        <w:pStyle w:val="217"/>
        <w:rPr>
          <w:color w:val="auto"/>
          <w:highlight w:val="none"/>
        </w:rPr>
      </w:pPr>
      <w:r>
        <w:rPr>
          <w:color w:val="auto"/>
          <w:highlight w:val="none"/>
        </w:rPr>
        <w:t>7.</w:t>
      </w:r>
      <w:r>
        <w:rPr>
          <w:rFonts w:hint="eastAsia"/>
          <w:color w:val="auto"/>
          <w:highlight w:val="none"/>
        </w:rPr>
        <w:t>本工程混凝土投标人需充分考虑商品混凝土供应商的供货能力、产品质量和服务。</w:t>
      </w:r>
    </w:p>
    <w:p>
      <w:pPr>
        <w:pStyle w:val="217"/>
        <w:rPr>
          <w:color w:val="auto"/>
          <w:highlight w:val="none"/>
        </w:rPr>
      </w:pPr>
      <w:r>
        <w:rPr>
          <w:color w:val="auto"/>
          <w:highlight w:val="none"/>
        </w:rPr>
        <w:t>8.</w:t>
      </w:r>
      <w:r>
        <w:rPr>
          <w:rFonts w:hint="eastAsia"/>
          <w:color w:val="auto"/>
          <w:highlight w:val="none"/>
        </w:rPr>
        <w:t>本工程所使用的</w:t>
      </w:r>
      <w:r>
        <w:rPr>
          <w:color w:val="auto"/>
          <w:highlight w:val="none"/>
        </w:rPr>
        <w:t>C15</w:t>
      </w:r>
      <w:r>
        <w:rPr>
          <w:rFonts w:hint="eastAsia"/>
          <w:color w:val="auto"/>
          <w:highlight w:val="none"/>
        </w:rPr>
        <w:t>及以上标号混凝土，全部采用商品混凝土，禁止使用含有氯盐的外加剂。</w:t>
      </w:r>
    </w:p>
    <w:p>
      <w:pPr>
        <w:pStyle w:val="217"/>
        <w:rPr>
          <w:color w:val="auto"/>
          <w:highlight w:val="none"/>
        </w:rPr>
      </w:pPr>
      <w:r>
        <w:rPr>
          <w:color w:val="auto"/>
          <w:highlight w:val="none"/>
        </w:rPr>
        <w:t>9.</w:t>
      </w:r>
      <w:r>
        <w:rPr>
          <w:rFonts w:hint="eastAsia"/>
          <w:color w:val="auto"/>
          <w:highlight w:val="none"/>
        </w:rPr>
        <w:t>本工程水位标高见地质勘察报告，应做好雨季施工水位观测工作。</w:t>
      </w:r>
    </w:p>
    <w:p>
      <w:pPr>
        <w:pStyle w:val="217"/>
        <w:rPr>
          <w:color w:val="auto"/>
          <w:highlight w:val="none"/>
        </w:rPr>
      </w:pPr>
      <w:r>
        <w:rPr>
          <w:color w:val="auto"/>
          <w:highlight w:val="none"/>
        </w:rPr>
        <w:t>10.</w:t>
      </w:r>
      <w:r>
        <w:rPr>
          <w:rFonts w:hint="eastAsia"/>
          <w:color w:val="auto"/>
          <w:highlight w:val="none"/>
        </w:rPr>
        <w:t>承包人需配备现场安全主任，专职安全员、质量检查员，建立完善的自检制度，做好自检记录，接受甲方、监理和主管部门的检查监督，确保工程质量与工程安全。</w:t>
      </w:r>
    </w:p>
    <w:p>
      <w:pPr>
        <w:pStyle w:val="217"/>
        <w:rPr>
          <w:color w:val="auto"/>
          <w:highlight w:val="none"/>
        </w:rPr>
      </w:pPr>
      <w:r>
        <w:rPr>
          <w:color w:val="auto"/>
          <w:highlight w:val="none"/>
        </w:rPr>
        <w:t>11.</w:t>
      </w:r>
      <w:r>
        <w:rPr>
          <w:rFonts w:hint="eastAsia"/>
          <w:color w:val="auto"/>
          <w:highlight w:val="none"/>
        </w:rPr>
        <w:t>凡属隐蔽工程，承包人应提前</w:t>
      </w:r>
      <w:r>
        <w:rPr>
          <w:color w:val="auto"/>
          <w:highlight w:val="none"/>
        </w:rPr>
        <w:t>24</w:t>
      </w:r>
      <w:r>
        <w:rPr>
          <w:rFonts w:hint="eastAsia"/>
          <w:color w:val="auto"/>
          <w:highlight w:val="none"/>
        </w:rPr>
        <w:t>小时通知监理，派人进行隐藏工程验收并由总监理工程师书面签署隐蔽验收意见。未经验收的隐蔽工程，承包人不得自行隐蔽。</w:t>
      </w:r>
    </w:p>
    <w:p>
      <w:pPr>
        <w:pStyle w:val="217"/>
        <w:rPr>
          <w:color w:val="auto"/>
          <w:highlight w:val="none"/>
        </w:rPr>
      </w:pPr>
      <w:r>
        <w:rPr>
          <w:color w:val="auto"/>
          <w:highlight w:val="none"/>
        </w:rPr>
        <w:t>12.</w:t>
      </w:r>
      <w:r>
        <w:rPr>
          <w:rFonts w:hint="eastAsia"/>
          <w:color w:val="auto"/>
          <w:highlight w:val="none"/>
        </w:rPr>
        <w:t>承包人需充分考虑因工期因素而导致的模板、周转材料的使用数量。</w:t>
      </w:r>
    </w:p>
    <w:p>
      <w:pPr>
        <w:pStyle w:val="217"/>
        <w:rPr>
          <w:color w:val="auto"/>
          <w:highlight w:val="none"/>
        </w:rPr>
      </w:pPr>
      <w:r>
        <w:rPr>
          <w:color w:val="auto"/>
          <w:highlight w:val="none"/>
        </w:rPr>
        <w:t>13.</w:t>
      </w:r>
      <w:r>
        <w:rPr>
          <w:rFonts w:hint="eastAsia"/>
          <w:color w:val="auto"/>
          <w:highlight w:val="none"/>
        </w:rPr>
        <w:t>承包人应遵守有关环境保护的法律法规，并采取有效措施控制施工现场的各种粉尘、废气、废气物、噪音、振动等对周边环境造成的污染和危害。</w:t>
      </w:r>
    </w:p>
    <w:p>
      <w:pPr>
        <w:pStyle w:val="172"/>
        <w:rPr>
          <w:color w:val="auto"/>
          <w:highlight w:val="none"/>
        </w:rPr>
      </w:pPr>
      <w:r>
        <w:rPr>
          <w:color w:val="auto"/>
          <w:highlight w:val="none"/>
        </w:rPr>
        <w:t xml:space="preserve">3.3.2 </w:t>
      </w:r>
      <w:r>
        <w:rPr>
          <w:rFonts w:hint="eastAsia"/>
          <w:color w:val="auto"/>
          <w:highlight w:val="none"/>
        </w:rPr>
        <w:t>一般主体结构工程要求</w:t>
      </w:r>
    </w:p>
    <w:p>
      <w:pPr>
        <w:pStyle w:val="119"/>
        <w:rPr>
          <w:color w:val="auto"/>
          <w:highlight w:val="none"/>
        </w:rPr>
      </w:pPr>
      <w:r>
        <w:rPr>
          <w:color w:val="auto"/>
          <w:highlight w:val="none"/>
        </w:rPr>
        <w:t xml:space="preserve">3.3.2.1 </w:t>
      </w:r>
      <w:r>
        <w:rPr>
          <w:rFonts w:hint="eastAsia"/>
          <w:color w:val="auto"/>
          <w:highlight w:val="none"/>
        </w:rPr>
        <w:t>一般要求：</w:t>
      </w:r>
    </w:p>
    <w:p>
      <w:pPr>
        <w:pStyle w:val="217"/>
        <w:rPr>
          <w:color w:val="auto"/>
          <w:highlight w:val="none"/>
        </w:rPr>
      </w:pPr>
      <w:r>
        <w:rPr>
          <w:color w:val="auto"/>
          <w:highlight w:val="none"/>
        </w:rPr>
        <w:t>1.</w:t>
      </w:r>
      <w:r>
        <w:rPr>
          <w:rFonts w:hint="eastAsia"/>
          <w:color w:val="auto"/>
          <w:highlight w:val="none"/>
        </w:rPr>
        <w:t>对防水工程、超高层模板支撑体系、墙柱混凝土浇筑等关键工序，承包人施工前应编制结合实际的技术措施合理、保证质量、具有可操作性的专项施工方案，报监理单位审核，特别是超高层模板支撑体系必须组织专家审查，并按专家提出意见修改，经总监审批后方可施工。</w:t>
      </w:r>
      <w:r>
        <w:rPr>
          <w:color w:val="auto"/>
          <w:highlight w:val="none"/>
        </w:rPr>
        <w:t xml:space="preserve"> </w:t>
      </w:r>
    </w:p>
    <w:p>
      <w:pPr>
        <w:pStyle w:val="217"/>
        <w:rPr>
          <w:color w:val="auto"/>
          <w:highlight w:val="none"/>
        </w:rPr>
      </w:pPr>
      <w:r>
        <w:rPr>
          <w:color w:val="auto"/>
          <w:highlight w:val="none"/>
        </w:rPr>
        <w:t>2.</w:t>
      </w:r>
      <w:r>
        <w:rPr>
          <w:rFonts w:hint="eastAsia"/>
          <w:color w:val="auto"/>
          <w:highlight w:val="none"/>
        </w:rPr>
        <w:t>施工中应严格要求墙、柱、梁、板混凝土的性能，本工程要求使用优质高性能混凝土。</w:t>
      </w:r>
    </w:p>
    <w:p>
      <w:pPr>
        <w:pStyle w:val="217"/>
        <w:rPr>
          <w:color w:val="auto"/>
          <w:highlight w:val="none"/>
        </w:rPr>
      </w:pPr>
      <w:r>
        <w:rPr>
          <w:color w:val="auto"/>
          <w:highlight w:val="none"/>
        </w:rPr>
        <w:t>3.</w:t>
      </w:r>
      <w:r>
        <w:rPr>
          <w:rFonts w:hint="eastAsia"/>
          <w:color w:val="auto"/>
          <w:highlight w:val="none"/>
        </w:rPr>
        <w:t>所有穿墙、楼屋面板洞口的封堵均由承包商负责完成，对有防水要求的，应达到不渗漏标准。</w:t>
      </w:r>
    </w:p>
    <w:p>
      <w:pPr>
        <w:pStyle w:val="217"/>
        <w:rPr>
          <w:color w:val="auto"/>
          <w:highlight w:val="none"/>
        </w:rPr>
      </w:pPr>
      <w:r>
        <w:rPr>
          <w:color w:val="auto"/>
          <w:highlight w:val="none"/>
        </w:rPr>
        <w:t>4.</w:t>
      </w:r>
      <w:r>
        <w:rPr>
          <w:rFonts w:hint="eastAsia"/>
          <w:color w:val="auto"/>
          <w:highlight w:val="none"/>
        </w:rPr>
        <w:t>所有模板上洞口需用铁皮修补平整。</w:t>
      </w:r>
    </w:p>
    <w:p>
      <w:pPr>
        <w:pStyle w:val="217"/>
        <w:rPr>
          <w:color w:val="auto"/>
          <w:highlight w:val="none"/>
        </w:rPr>
      </w:pPr>
      <w:r>
        <w:rPr>
          <w:color w:val="auto"/>
          <w:highlight w:val="none"/>
        </w:rPr>
        <w:t>5.</w:t>
      </w:r>
      <w:r>
        <w:rPr>
          <w:rFonts w:hint="eastAsia"/>
          <w:color w:val="auto"/>
          <w:highlight w:val="none"/>
        </w:rPr>
        <w:t>上部结构楼层梁、板垫块要求采用成品垫块，严格控制保护层厚度。</w:t>
      </w:r>
    </w:p>
    <w:p>
      <w:pPr>
        <w:pStyle w:val="217"/>
        <w:rPr>
          <w:color w:val="auto"/>
          <w:highlight w:val="none"/>
        </w:rPr>
      </w:pPr>
      <w:r>
        <w:rPr>
          <w:color w:val="auto"/>
          <w:highlight w:val="none"/>
        </w:rPr>
        <w:t>6.</w:t>
      </w:r>
      <w:r>
        <w:rPr>
          <w:rFonts w:hint="eastAsia"/>
          <w:color w:val="auto"/>
          <w:highlight w:val="none"/>
        </w:rPr>
        <w:t>楼板的板面负筋应采用马凳支撑，其型式及布置间距应保证钢筋在施工时不变形。此部分相关措施费用投标人应予以考虑并列入施工措施费，结算不再调整。</w:t>
      </w:r>
    </w:p>
    <w:p>
      <w:pPr>
        <w:pStyle w:val="217"/>
        <w:rPr>
          <w:color w:val="auto"/>
          <w:highlight w:val="none"/>
        </w:rPr>
      </w:pPr>
      <w:r>
        <w:rPr>
          <w:color w:val="auto"/>
          <w:highlight w:val="none"/>
        </w:rPr>
        <w:t>7.</w:t>
      </w:r>
      <w:r>
        <w:rPr>
          <w:rFonts w:hint="eastAsia"/>
          <w:color w:val="auto"/>
          <w:highlight w:val="none"/>
        </w:rPr>
        <w:t>对于混凝土楼板上的预埋管线</w:t>
      </w:r>
      <w:r>
        <w:rPr>
          <w:color w:val="auto"/>
          <w:highlight w:val="none"/>
        </w:rPr>
        <w:t>(</w:t>
      </w:r>
      <w:r>
        <w:rPr>
          <w:rFonts w:hint="eastAsia"/>
          <w:color w:val="auto"/>
          <w:highlight w:val="none"/>
        </w:rPr>
        <w:t>塑料管材</w:t>
      </w:r>
      <w:r>
        <w:rPr>
          <w:color w:val="auto"/>
          <w:highlight w:val="none"/>
        </w:rPr>
        <w:t>)</w:t>
      </w:r>
      <w:r>
        <w:rPr>
          <w:rFonts w:hint="eastAsia"/>
          <w:color w:val="auto"/>
          <w:highlight w:val="none"/>
        </w:rPr>
        <w:t>，直管线并列≥</w:t>
      </w:r>
      <w:r>
        <w:rPr>
          <w:color w:val="auto"/>
          <w:highlight w:val="none"/>
        </w:rPr>
        <w:t>5</w:t>
      </w:r>
      <w:r>
        <w:rPr>
          <w:rFonts w:hint="eastAsia"/>
          <w:color w:val="auto"/>
          <w:highlight w:val="none"/>
        </w:rPr>
        <w:t>根时，按设计要求加强处理及防止开裂措施，相关费用作为措施费考虑，并列入投标报价中，结算时不作调整。</w:t>
      </w:r>
    </w:p>
    <w:p>
      <w:pPr>
        <w:pStyle w:val="217"/>
        <w:rPr>
          <w:color w:val="auto"/>
          <w:highlight w:val="none"/>
        </w:rPr>
      </w:pPr>
      <w:r>
        <w:rPr>
          <w:color w:val="auto"/>
          <w:highlight w:val="none"/>
        </w:rPr>
        <w:t>8.</w:t>
      </w:r>
      <w:r>
        <w:rPr>
          <w:rFonts w:hint="eastAsia"/>
          <w:color w:val="auto"/>
          <w:highlight w:val="none"/>
        </w:rPr>
        <w:t>楼板混凝土浇筑成型后，养护时间不得少于</w:t>
      </w:r>
      <w:r>
        <w:rPr>
          <w:color w:val="auto"/>
          <w:highlight w:val="none"/>
        </w:rPr>
        <w:t>7</w:t>
      </w:r>
      <w:r>
        <w:rPr>
          <w:rFonts w:hint="eastAsia"/>
          <w:color w:val="auto"/>
          <w:highlight w:val="none"/>
        </w:rPr>
        <w:t>天．提供</w:t>
      </w:r>
      <w:r>
        <w:rPr>
          <w:color w:val="auto"/>
          <w:highlight w:val="none"/>
        </w:rPr>
        <w:t>7</w:t>
      </w:r>
      <w:r>
        <w:rPr>
          <w:rFonts w:hint="eastAsia"/>
          <w:color w:val="auto"/>
          <w:highlight w:val="none"/>
        </w:rPr>
        <w:t>天同条件养护混凝土强度检测报告。所有梁板拆模时间均须提供同条件混凝土强度检测报告，满足施工规范要求方可拆模。</w:t>
      </w:r>
    </w:p>
    <w:p>
      <w:pPr>
        <w:pStyle w:val="217"/>
        <w:rPr>
          <w:color w:val="auto"/>
          <w:highlight w:val="none"/>
        </w:rPr>
      </w:pPr>
      <w:r>
        <w:rPr>
          <w:color w:val="auto"/>
          <w:highlight w:val="none"/>
        </w:rPr>
        <w:t>9.</w:t>
      </w:r>
      <w:r>
        <w:rPr>
          <w:rFonts w:hint="eastAsia"/>
          <w:color w:val="auto"/>
          <w:highlight w:val="none"/>
        </w:rPr>
        <w:t>涉及屋面的管道、设备或预埋件等，应在防水层施工前安设完毕，防水层施工完毕后应避免在其上凿孔或打洞。</w:t>
      </w:r>
    </w:p>
    <w:p>
      <w:pPr>
        <w:pStyle w:val="119"/>
        <w:rPr>
          <w:color w:val="auto"/>
          <w:highlight w:val="none"/>
        </w:rPr>
      </w:pPr>
      <w:r>
        <w:rPr>
          <w:color w:val="auto"/>
          <w:highlight w:val="none"/>
        </w:rPr>
        <w:t xml:space="preserve">3.3.2.2 </w:t>
      </w:r>
      <w:r>
        <w:rPr>
          <w:rFonts w:hint="eastAsia"/>
          <w:color w:val="auto"/>
          <w:highlight w:val="none"/>
        </w:rPr>
        <w:t>原状混凝土顶棚、墙面的特殊要求：</w:t>
      </w:r>
    </w:p>
    <w:p>
      <w:pPr>
        <w:pStyle w:val="217"/>
        <w:rPr>
          <w:color w:val="auto"/>
          <w:highlight w:val="none"/>
        </w:rPr>
      </w:pPr>
      <w:r>
        <w:rPr>
          <w:color w:val="auto"/>
          <w:highlight w:val="none"/>
        </w:rPr>
        <w:t>1.</w:t>
      </w:r>
      <w:r>
        <w:rPr>
          <w:rFonts w:hint="eastAsia"/>
          <w:color w:val="auto"/>
          <w:highlight w:val="none"/>
        </w:rPr>
        <w:t>现场观察样板</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）现场制作典型节点样板，完成后各方评审整改；</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）整改后的样板作为验收样板</w:t>
      </w:r>
    </w:p>
    <w:p>
      <w:pPr>
        <w:pStyle w:val="217"/>
        <w:rPr>
          <w:color w:val="auto"/>
          <w:highlight w:val="none"/>
        </w:rPr>
      </w:pPr>
      <w:r>
        <w:rPr>
          <w:color w:val="auto"/>
          <w:highlight w:val="none"/>
        </w:rPr>
        <w:t>2.</w:t>
      </w:r>
      <w:r>
        <w:rPr>
          <w:rFonts w:hint="eastAsia"/>
          <w:color w:val="auto"/>
          <w:highlight w:val="none"/>
        </w:rPr>
        <w:t>专项施工方案</w:t>
      </w:r>
    </w:p>
    <w:p>
      <w:pPr>
        <w:pStyle w:val="217"/>
        <w:rPr>
          <w:color w:val="auto"/>
          <w:highlight w:val="none"/>
        </w:rPr>
      </w:pPr>
      <w:r>
        <w:rPr>
          <w:rFonts w:hint="eastAsia"/>
          <w:color w:val="auto"/>
          <w:highlight w:val="none"/>
        </w:rPr>
        <w:t>专项方案已完成并经评审</w:t>
      </w:r>
    </w:p>
    <w:p>
      <w:pPr>
        <w:pStyle w:val="217"/>
        <w:rPr>
          <w:color w:val="auto"/>
          <w:highlight w:val="none"/>
        </w:rPr>
      </w:pPr>
      <w:r>
        <w:rPr>
          <w:color w:val="auto"/>
          <w:highlight w:val="none"/>
        </w:rPr>
        <w:t>3.</w:t>
      </w:r>
      <w:r>
        <w:rPr>
          <w:rFonts w:hint="eastAsia"/>
          <w:color w:val="auto"/>
          <w:highlight w:val="none"/>
        </w:rPr>
        <w:t>现场施工控制</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）模板专项分片隐蔽检查，首先承包商自检，提交自检表（包括拼缝及平整度等）及照片，监理现场复核，验收部抽查。建立专项文件夹存放验收照片及自检表；</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）钢筋隐蔽验收时，再次关注模板是否有损坏；</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）培训及交底砼工，如何振捣密实；</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）后浇带溢出砼及时清理；</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）模板拆除后，检查砼表面，不得私自修补缺陷，待修补样板评审通过后方可进行；</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）梁及墙的对穿螺栓排列须均匀，间距尽量一致，孔洞的修补待样板评审后方可进行；</w:t>
      </w:r>
    </w:p>
    <w:p>
      <w:pPr>
        <w:pStyle w:val="217"/>
        <w:rPr>
          <w:color w:val="auto"/>
          <w:highlight w:val="none"/>
        </w:rPr>
      </w:pPr>
      <w:r>
        <w:rPr>
          <w:rFonts w:hint="eastAsia"/>
          <w:color w:val="auto"/>
          <w:highlight w:val="none"/>
        </w:rPr>
        <w:t>（</w:t>
      </w:r>
      <w:r>
        <w:rPr>
          <w:color w:val="auto"/>
          <w:highlight w:val="none"/>
        </w:rPr>
        <w:t>7</w:t>
      </w:r>
      <w:r>
        <w:rPr>
          <w:rFonts w:hint="eastAsia"/>
          <w:color w:val="auto"/>
          <w:highlight w:val="none"/>
        </w:rPr>
        <w:t>）钢筋保护层不小于规范要求，尤其是检查紧贴模板的箍筋、折弯筋等</w:t>
      </w:r>
    </w:p>
    <w:p>
      <w:pPr>
        <w:pStyle w:val="217"/>
        <w:rPr>
          <w:color w:val="auto"/>
          <w:highlight w:val="none"/>
        </w:rPr>
      </w:pPr>
      <w:r>
        <w:rPr>
          <w:rFonts w:hint="eastAsia"/>
          <w:color w:val="auto"/>
          <w:highlight w:val="none"/>
        </w:rPr>
        <w:t>（</w:t>
      </w:r>
      <w:r>
        <w:rPr>
          <w:color w:val="auto"/>
          <w:highlight w:val="none"/>
        </w:rPr>
        <w:t>8</w:t>
      </w:r>
      <w:r>
        <w:rPr>
          <w:rFonts w:hint="eastAsia"/>
          <w:color w:val="auto"/>
          <w:highlight w:val="none"/>
        </w:rPr>
        <w:t>）模板必须是新模，坚固、不偏斜。如用木模板，必须为防水夹板模，防止木脱色；缝口严密、不漏浆、内清洁、钢筋不贴板。</w:t>
      </w:r>
    </w:p>
    <w:p>
      <w:pPr>
        <w:pStyle w:val="217"/>
        <w:rPr>
          <w:color w:val="auto"/>
          <w:highlight w:val="none"/>
        </w:rPr>
      </w:pPr>
      <w:r>
        <w:rPr>
          <w:color w:val="auto"/>
          <w:highlight w:val="none"/>
        </w:rPr>
        <w:t>4.</w:t>
      </w:r>
      <w:r>
        <w:rPr>
          <w:rFonts w:hint="eastAsia"/>
          <w:color w:val="auto"/>
          <w:highlight w:val="none"/>
        </w:rPr>
        <w:t>脱模检查评估</w:t>
      </w:r>
    </w:p>
    <w:p>
      <w:pPr>
        <w:pStyle w:val="217"/>
        <w:rPr>
          <w:color w:val="auto"/>
          <w:highlight w:val="none"/>
        </w:rPr>
      </w:pPr>
      <w:r>
        <w:rPr>
          <w:color w:val="auto"/>
          <w:highlight w:val="none"/>
        </w:rPr>
        <w:t xml:space="preserve">(1) </w:t>
      </w:r>
      <w:r>
        <w:rPr>
          <w:rFonts w:hint="eastAsia"/>
          <w:color w:val="auto"/>
          <w:highlight w:val="none"/>
        </w:rPr>
        <w:t>原状面范围模板每拆除一次，均须评估验收后方可下道工序；</w:t>
      </w:r>
    </w:p>
    <w:p>
      <w:pPr>
        <w:pStyle w:val="217"/>
        <w:rPr>
          <w:color w:val="auto"/>
          <w:highlight w:val="none"/>
        </w:rPr>
      </w:pPr>
      <w:r>
        <w:rPr>
          <w:color w:val="auto"/>
          <w:highlight w:val="none"/>
        </w:rPr>
        <w:t xml:space="preserve">(2) </w:t>
      </w:r>
      <w:r>
        <w:rPr>
          <w:rFonts w:hint="eastAsia"/>
          <w:color w:val="auto"/>
          <w:highlight w:val="none"/>
        </w:rPr>
        <w:t>改进后续施工工艺；</w:t>
      </w:r>
    </w:p>
    <w:p>
      <w:pPr>
        <w:pStyle w:val="217"/>
        <w:rPr>
          <w:color w:val="auto"/>
          <w:highlight w:val="none"/>
        </w:rPr>
      </w:pPr>
      <w:r>
        <w:rPr>
          <w:color w:val="auto"/>
          <w:highlight w:val="none"/>
        </w:rPr>
        <w:t>5.</w:t>
      </w:r>
      <w:r>
        <w:rPr>
          <w:rFonts w:hint="eastAsia"/>
          <w:color w:val="auto"/>
          <w:highlight w:val="none"/>
        </w:rPr>
        <w:t>质量问题处理</w:t>
      </w:r>
    </w:p>
    <w:p>
      <w:pPr>
        <w:pStyle w:val="217"/>
        <w:rPr>
          <w:color w:val="auto"/>
          <w:highlight w:val="none"/>
        </w:rPr>
      </w:pPr>
      <w:r>
        <w:rPr>
          <w:rFonts w:hint="eastAsia"/>
          <w:color w:val="auto"/>
          <w:highlight w:val="none"/>
        </w:rPr>
        <w:t>原状砼原则上禁止进行修补，如因质量问题进行修补，必须报监理、发包人</w:t>
      </w:r>
      <w:r>
        <w:rPr>
          <w:rFonts w:hint="eastAsia"/>
          <w:color w:val="auto"/>
          <w:highlight w:val="none"/>
          <w:lang w:eastAsia="zh-CN"/>
        </w:rPr>
        <w:t>书面</w:t>
      </w:r>
      <w:r>
        <w:rPr>
          <w:rFonts w:hint="eastAsia"/>
          <w:color w:val="auto"/>
          <w:highlight w:val="none"/>
        </w:rPr>
        <w:t>同意。</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）蜂窝、麻面、孔洞、露筋处理措施，先按图纸要求做样板，评审同意后再正式施工</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）较大或较多质量问题或整改不及时者，暂扣相关模板工程款。</w:t>
      </w:r>
    </w:p>
    <w:p>
      <w:pPr>
        <w:pStyle w:val="119"/>
        <w:rPr>
          <w:color w:val="auto"/>
          <w:highlight w:val="none"/>
        </w:rPr>
      </w:pPr>
      <w:r>
        <w:rPr>
          <w:color w:val="auto"/>
          <w:highlight w:val="none"/>
        </w:rPr>
        <w:t xml:space="preserve">3.3.2.3 </w:t>
      </w:r>
      <w:r>
        <w:rPr>
          <w:rFonts w:hint="eastAsia"/>
          <w:color w:val="auto"/>
          <w:highlight w:val="none"/>
        </w:rPr>
        <w:t>模板工程</w:t>
      </w:r>
    </w:p>
    <w:p>
      <w:pPr>
        <w:pStyle w:val="217"/>
        <w:rPr>
          <w:color w:val="auto"/>
          <w:highlight w:val="none"/>
        </w:rPr>
      </w:pPr>
      <w:r>
        <w:rPr>
          <w:color w:val="auto"/>
          <w:highlight w:val="none"/>
        </w:rPr>
        <w:t>1.</w:t>
      </w:r>
      <w:r>
        <w:rPr>
          <w:rFonts w:hint="eastAsia"/>
          <w:color w:val="auto"/>
          <w:highlight w:val="none"/>
        </w:rPr>
        <w:t>一般模板工程规则：</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）应保证工程结构和构件各部分形状尺寸和相互位置的正确。</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）具有足够的强度、刚度和稳定性，能可靠地承受新浇的混凝土的重量和侧压力，以及在施工过程中产生的荷载。</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）构造简单，拆装方便，并便于钢筋的绑扎与安装，符合混凝土的浇筑及养护等工艺要求。</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）模板接缝应严密，不得漏浆。</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）要求破旧或变形的模版不再循环使用，且每栋单体建筑应使用不少于</w:t>
      </w:r>
      <w:r>
        <w:rPr>
          <w:color w:val="auto"/>
          <w:highlight w:val="none"/>
        </w:rPr>
        <w:t>2</w:t>
      </w:r>
      <w:r>
        <w:rPr>
          <w:rFonts w:hint="eastAsia"/>
          <w:color w:val="auto"/>
          <w:highlight w:val="none"/>
        </w:rPr>
        <w:t>套模板。</w:t>
      </w:r>
    </w:p>
    <w:p>
      <w:pPr>
        <w:pStyle w:val="217"/>
        <w:rPr>
          <w:color w:val="auto"/>
          <w:highlight w:val="none"/>
        </w:rPr>
      </w:pPr>
      <w:r>
        <w:rPr>
          <w:color w:val="auto"/>
          <w:highlight w:val="none"/>
        </w:rPr>
        <w:t>2.</w:t>
      </w:r>
      <w:r>
        <w:rPr>
          <w:rFonts w:hint="eastAsia"/>
          <w:color w:val="auto"/>
          <w:highlight w:val="none"/>
        </w:rPr>
        <w:t>模板工程的技术要求：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）模板设计要求：</w:t>
      </w:r>
    </w:p>
    <w:p>
      <w:pPr>
        <w:pStyle w:val="217"/>
        <w:rPr>
          <w:color w:val="auto"/>
          <w:highlight w:val="none"/>
        </w:rPr>
      </w:pPr>
      <w:r>
        <w:rPr>
          <w:color w:val="auto"/>
          <w:highlight w:val="none"/>
        </w:rPr>
        <w:t>1</w:t>
      </w:r>
      <w:r>
        <w:rPr>
          <w:rFonts w:hint="eastAsia"/>
          <w:color w:val="auto"/>
          <w:highlight w:val="none"/>
        </w:rPr>
        <w:t>）应按照《混凝土结构工程施工质量验收规范》</w:t>
      </w:r>
      <w:r>
        <w:rPr>
          <w:color w:val="auto"/>
          <w:highlight w:val="none"/>
        </w:rPr>
        <w:t>GB50204—2011</w:t>
      </w:r>
      <w:r>
        <w:rPr>
          <w:rFonts w:hint="eastAsia"/>
          <w:color w:val="auto"/>
          <w:highlight w:val="none"/>
        </w:rPr>
        <w:t>中的有关规定进行模板设计。</w:t>
      </w:r>
    </w:p>
    <w:p>
      <w:pPr>
        <w:pStyle w:val="217"/>
        <w:rPr>
          <w:color w:val="auto"/>
          <w:highlight w:val="none"/>
        </w:rPr>
      </w:pPr>
      <w:r>
        <w:rPr>
          <w:color w:val="auto"/>
          <w:highlight w:val="none"/>
        </w:rPr>
        <w:t>2</w:t>
      </w:r>
      <w:r>
        <w:rPr>
          <w:rFonts w:hint="eastAsia"/>
          <w:color w:val="auto"/>
          <w:highlight w:val="none"/>
        </w:rPr>
        <w:t>）应依据图纸编制施工方案，进行模板设计，并用根据施工条件确定的荷载对模板及其支撑体系进行验算。</w:t>
      </w:r>
    </w:p>
    <w:p>
      <w:pPr>
        <w:pStyle w:val="217"/>
        <w:rPr>
          <w:color w:val="auto"/>
          <w:highlight w:val="none"/>
        </w:rPr>
      </w:pPr>
      <w:r>
        <w:rPr>
          <w:color w:val="auto"/>
          <w:highlight w:val="none"/>
        </w:rPr>
        <w:t>3</w:t>
      </w:r>
      <w:r>
        <w:rPr>
          <w:rFonts w:hint="eastAsia"/>
          <w:color w:val="auto"/>
          <w:highlight w:val="none"/>
        </w:rPr>
        <w:t>）模板安装及浇筑混凝土时．应对模板及其支撑体系进行观察和维护。发现异常情况时，应及时进行处理。</w:t>
      </w:r>
    </w:p>
    <w:p>
      <w:pPr>
        <w:pStyle w:val="217"/>
        <w:rPr>
          <w:color w:val="auto"/>
          <w:highlight w:val="none"/>
        </w:rPr>
      </w:pPr>
      <w:r>
        <w:rPr>
          <w:color w:val="auto"/>
          <w:highlight w:val="none"/>
        </w:rPr>
        <w:t>4</w:t>
      </w:r>
      <w:r>
        <w:rPr>
          <w:rFonts w:hint="eastAsia"/>
          <w:color w:val="auto"/>
          <w:highlight w:val="none"/>
        </w:rPr>
        <w:t>）对模板工程所用的材料必须认真选取。</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）模板支撑技术要求：</w:t>
      </w:r>
    </w:p>
    <w:p>
      <w:pPr>
        <w:pStyle w:val="217"/>
        <w:rPr>
          <w:color w:val="auto"/>
          <w:highlight w:val="none"/>
        </w:rPr>
      </w:pPr>
      <w:r>
        <w:rPr>
          <w:color w:val="auto"/>
          <w:highlight w:val="none"/>
        </w:rPr>
        <w:t>1</w:t>
      </w:r>
      <w:r>
        <w:rPr>
          <w:rFonts w:hint="eastAsia"/>
          <w:color w:val="auto"/>
          <w:highlight w:val="none"/>
        </w:rPr>
        <w:t>）模板支撑系统应根据不同的结构类型和模板类型来选配，以便相协调配套。使用时，应对支承系统进行必要的验算和复核，尤其是支柱间距应经计算确定，确保其可靠稳固、不变形。</w:t>
      </w:r>
    </w:p>
    <w:p>
      <w:pPr>
        <w:pStyle w:val="217"/>
        <w:rPr>
          <w:color w:val="auto"/>
          <w:highlight w:val="none"/>
        </w:rPr>
      </w:pPr>
      <w:r>
        <w:rPr>
          <w:color w:val="auto"/>
          <w:highlight w:val="none"/>
        </w:rPr>
        <w:t>2</w:t>
      </w:r>
      <w:r>
        <w:rPr>
          <w:rFonts w:hint="eastAsia"/>
          <w:color w:val="auto"/>
          <w:highlight w:val="none"/>
        </w:rPr>
        <w:t>）支撑体系的基底必须坚实可靠，竖向支撑基底如为土层时，应在支撑底铺垫型钢或垫板等材料或硬化。必须支顶牢固，拉结和加固应可靠，必要时应采用打入地锚或在混凝土中预埋铁件和短钢筋头做撑脚。</w:t>
      </w:r>
    </w:p>
    <w:p>
      <w:pPr>
        <w:pStyle w:val="217"/>
        <w:rPr>
          <w:color w:val="auto"/>
          <w:highlight w:val="none"/>
        </w:rPr>
      </w:pPr>
      <w:r>
        <w:rPr>
          <w:color w:val="auto"/>
          <w:highlight w:val="none"/>
        </w:rPr>
        <w:t>3</w:t>
      </w:r>
      <w:r>
        <w:rPr>
          <w:rFonts w:hint="eastAsia"/>
          <w:color w:val="auto"/>
          <w:highlight w:val="none"/>
        </w:rPr>
        <w:t>）对超大结构或大荷载结构以及超高结构形式模板支撑体系，应进行专门的设计、计算选用。</w:t>
      </w:r>
    </w:p>
    <w:p>
      <w:pPr>
        <w:pStyle w:val="217"/>
        <w:rPr>
          <w:color w:val="auto"/>
          <w:highlight w:val="none"/>
        </w:rPr>
      </w:pPr>
      <w:r>
        <w:rPr>
          <w:color w:val="auto"/>
          <w:highlight w:val="none"/>
        </w:rPr>
        <w:t>4</w:t>
      </w:r>
      <w:r>
        <w:rPr>
          <w:rFonts w:hint="eastAsia"/>
          <w:color w:val="auto"/>
          <w:highlight w:val="none"/>
        </w:rPr>
        <w:t>）一般模板体系应与操作平台体系断开，严禁以模板支撑架作为脚手架。模板支撑、斜拉杆、剪刀撑、链条或拉筋的花篮螺栓，严禁松动或改变位置。</w:t>
      </w:r>
      <w:r>
        <w:rPr>
          <w:color w:val="auto"/>
          <w:highlight w:val="none"/>
        </w:rPr>
        <w:t xml:space="preserve">    </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）模板安装技术要求：</w:t>
      </w:r>
    </w:p>
    <w:p>
      <w:pPr>
        <w:pStyle w:val="217"/>
        <w:rPr>
          <w:color w:val="auto"/>
          <w:highlight w:val="none"/>
        </w:rPr>
      </w:pPr>
      <w:r>
        <w:rPr>
          <w:color w:val="auto"/>
          <w:highlight w:val="none"/>
        </w:rPr>
        <w:t>1</w:t>
      </w:r>
      <w:r>
        <w:rPr>
          <w:rFonts w:hint="eastAsia"/>
          <w:color w:val="auto"/>
          <w:highlight w:val="none"/>
        </w:rPr>
        <w:t>）所有预埋件及预留孔洞，在安装前应与图纸对照，确认无误后准确固定在设计位置上，必要时可用电焊或套框方法将其固定。对小型空洞、套框内可满填软质材料，防止漏浆。</w:t>
      </w:r>
    </w:p>
    <w:p>
      <w:pPr>
        <w:pStyle w:val="217"/>
        <w:rPr>
          <w:color w:val="auto"/>
          <w:highlight w:val="none"/>
        </w:rPr>
      </w:pPr>
      <w:r>
        <w:rPr>
          <w:color w:val="auto"/>
          <w:highlight w:val="none"/>
        </w:rPr>
        <w:t>2</w:t>
      </w:r>
      <w:r>
        <w:rPr>
          <w:rFonts w:hint="eastAsia"/>
          <w:color w:val="auto"/>
          <w:highlight w:val="none"/>
        </w:rPr>
        <w:t>）测量、放线、弹线工作要时先制定好实施方案，所有测量器具必须符合计量检定标准，并妥善保管，施工中的轴线、标高、几何尺寸必须测放准确，标注清楚，引用方便。</w:t>
      </w:r>
    </w:p>
    <w:p>
      <w:pPr>
        <w:pStyle w:val="217"/>
        <w:rPr>
          <w:color w:val="auto"/>
          <w:highlight w:val="none"/>
        </w:rPr>
      </w:pPr>
      <w:r>
        <w:rPr>
          <w:color w:val="auto"/>
          <w:highlight w:val="none"/>
        </w:rPr>
        <w:t>3</w:t>
      </w:r>
      <w:r>
        <w:rPr>
          <w:rFonts w:hint="eastAsia"/>
          <w:color w:val="auto"/>
          <w:highlight w:val="none"/>
        </w:rPr>
        <w:t>）模板施工前，要求场地干净、平整、模板下口及连接处的混凝土或砌体，要求边角整齐、表面平直，必要时可能先进行人工修整，以确保模板工程质量。</w:t>
      </w:r>
      <w:r>
        <w:rPr>
          <w:color w:val="auto"/>
          <w:highlight w:val="none"/>
        </w:rPr>
        <w:t xml:space="preserve">  </w:t>
      </w:r>
    </w:p>
    <w:p>
      <w:pPr>
        <w:pStyle w:val="217"/>
        <w:rPr>
          <w:color w:val="auto"/>
          <w:highlight w:val="none"/>
        </w:rPr>
      </w:pPr>
      <w:r>
        <w:rPr>
          <w:color w:val="auto"/>
          <w:highlight w:val="none"/>
        </w:rPr>
        <w:t>4</w:t>
      </w:r>
      <w:r>
        <w:rPr>
          <w:rFonts w:hint="eastAsia"/>
          <w:color w:val="auto"/>
          <w:highlight w:val="none"/>
        </w:rPr>
        <w:t>）接头处模板、梁柱板交叉处模板，应认真检查，防止烂根、移位、胀模等不良现象。</w:t>
      </w:r>
    </w:p>
    <w:p>
      <w:pPr>
        <w:pStyle w:val="217"/>
        <w:rPr>
          <w:color w:val="auto"/>
          <w:highlight w:val="none"/>
        </w:rPr>
      </w:pPr>
      <w:r>
        <w:rPr>
          <w:color w:val="auto"/>
          <w:highlight w:val="none"/>
        </w:rPr>
        <w:t>5</w:t>
      </w:r>
      <w:r>
        <w:rPr>
          <w:rFonts w:hint="eastAsia"/>
          <w:color w:val="auto"/>
          <w:highlight w:val="none"/>
        </w:rPr>
        <w:t>）对己施工完毕的部分钢筋或预埋件、设备管线等应进行检查，若影响模板施工处应及时整改。</w:t>
      </w:r>
    </w:p>
    <w:p>
      <w:pPr>
        <w:pStyle w:val="217"/>
        <w:rPr>
          <w:color w:val="auto"/>
          <w:highlight w:val="none"/>
        </w:rPr>
      </w:pPr>
      <w:r>
        <w:rPr>
          <w:color w:val="auto"/>
          <w:highlight w:val="none"/>
        </w:rPr>
        <w:t>6</w:t>
      </w:r>
      <w:r>
        <w:rPr>
          <w:rFonts w:hint="eastAsia"/>
          <w:color w:val="auto"/>
          <w:highlight w:val="none"/>
        </w:rPr>
        <w:t>）模板及其支撑体系应联结整体，竖向结构模板应加设支撑应扣成整体斜撑与剪刀撑。水平模板结构应加强支撑系统的整体联结，对木支撑应加钉拉杆，对钢管排架应加设横杆及斜撑。</w:t>
      </w:r>
    </w:p>
    <w:p>
      <w:pPr>
        <w:pStyle w:val="217"/>
        <w:rPr>
          <w:color w:val="auto"/>
          <w:highlight w:val="none"/>
        </w:rPr>
      </w:pPr>
      <w:r>
        <w:rPr>
          <w:color w:val="auto"/>
          <w:highlight w:val="none"/>
        </w:rPr>
        <w:t>7</w:t>
      </w:r>
      <w:r>
        <w:rPr>
          <w:rFonts w:hint="eastAsia"/>
          <w:color w:val="auto"/>
          <w:highlight w:val="none"/>
        </w:rPr>
        <w:t>）所有可调节的模板及支撑系统在模板验收后，不得任意改动。</w:t>
      </w:r>
    </w:p>
    <w:p>
      <w:pPr>
        <w:pStyle w:val="217"/>
        <w:rPr>
          <w:color w:val="auto"/>
          <w:highlight w:val="none"/>
        </w:rPr>
      </w:pPr>
      <w:r>
        <w:rPr>
          <w:color w:val="auto"/>
          <w:highlight w:val="none"/>
        </w:rPr>
        <w:t>8</w:t>
      </w:r>
      <w:r>
        <w:rPr>
          <w:rFonts w:hint="eastAsia"/>
          <w:color w:val="auto"/>
          <w:highlight w:val="none"/>
        </w:rPr>
        <w:t>）在模板安装和浇筑混凝土时，应检查漏浆与变形情况。对大跨度结构应测量模板及支架的沉降，发生异常情况时应及时处理。</w:t>
      </w:r>
    </w:p>
    <w:p>
      <w:pPr>
        <w:pStyle w:val="217"/>
        <w:rPr>
          <w:color w:val="auto"/>
          <w:highlight w:val="none"/>
        </w:rPr>
      </w:pPr>
      <w:r>
        <w:rPr>
          <w:color w:val="auto"/>
          <w:highlight w:val="none"/>
        </w:rPr>
        <w:t>9</w:t>
      </w:r>
      <w:r>
        <w:rPr>
          <w:rFonts w:hint="eastAsia"/>
          <w:color w:val="auto"/>
          <w:highlight w:val="none"/>
        </w:rPr>
        <w:t>）平台模板完成后，在后续工作中吊起的钢管、钢筋等材料应限量、均匀分布在模板上，严禁超载和集中堆放。在混凝土浇筑时，应采用低落料以减小冲击，并应均匀散布在操作板上，再用铁铲送料到位。使用泵送混凝土时，泵管与模板间应加专用撑脚。</w:t>
      </w:r>
    </w:p>
    <w:p>
      <w:pPr>
        <w:pStyle w:val="217"/>
        <w:rPr>
          <w:color w:val="auto"/>
          <w:highlight w:val="none"/>
        </w:rPr>
      </w:pPr>
      <w:r>
        <w:rPr>
          <w:color w:val="auto"/>
          <w:highlight w:val="none"/>
        </w:rPr>
        <w:t>10</w:t>
      </w:r>
      <w:r>
        <w:rPr>
          <w:rFonts w:hint="eastAsia"/>
          <w:color w:val="auto"/>
          <w:highlight w:val="none"/>
        </w:rPr>
        <w:t>）在安装电气、管道等时严禁在模板上乱开乱挖孔洞，应事先制定好操作要求和方案后再行施工；对开洞处应采取措施。妥善处理气焊和电焊时应注意保护模板。</w:t>
      </w:r>
    </w:p>
    <w:p>
      <w:pPr>
        <w:pStyle w:val="217"/>
        <w:rPr>
          <w:color w:val="auto"/>
          <w:highlight w:val="none"/>
        </w:rPr>
      </w:pPr>
      <w:r>
        <w:rPr>
          <w:color w:val="auto"/>
          <w:highlight w:val="none"/>
        </w:rPr>
        <w:t>11</w:t>
      </w:r>
      <w:r>
        <w:rPr>
          <w:rFonts w:hint="eastAsia"/>
          <w:color w:val="auto"/>
          <w:highlight w:val="none"/>
        </w:rPr>
        <w:t>）对于人防区域剪力墙、地下室有防水要求的外墙混凝土、有防辐射作用的墙体混凝土在模板安装时不得使用可回收对拉螺栓。</w:t>
      </w:r>
    </w:p>
    <w:p>
      <w:pPr>
        <w:pStyle w:val="217"/>
        <w:rPr>
          <w:color w:val="auto"/>
          <w:highlight w:val="none"/>
        </w:rPr>
      </w:pPr>
      <w:r>
        <w:rPr>
          <w:color w:val="auto"/>
          <w:highlight w:val="none"/>
        </w:rPr>
        <w:t>12</w:t>
      </w:r>
      <w:r>
        <w:rPr>
          <w:rFonts w:hint="eastAsia"/>
          <w:color w:val="auto"/>
          <w:highlight w:val="none"/>
        </w:rPr>
        <w:t>）模板脱模剂的技术要求：模板安装前应均匀涂刷水性脱模剂。</w:t>
      </w:r>
    </w:p>
    <w:p>
      <w:pPr>
        <w:pStyle w:val="119"/>
        <w:rPr>
          <w:color w:val="auto"/>
          <w:highlight w:val="none"/>
        </w:rPr>
      </w:pPr>
      <w:r>
        <w:rPr>
          <w:color w:val="auto"/>
          <w:highlight w:val="none"/>
        </w:rPr>
        <w:t xml:space="preserve">3.3.2.4 </w:t>
      </w:r>
      <w:r>
        <w:rPr>
          <w:rFonts w:hint="eastAsia"/>
          <w:color w:val="auto"/>
          <w:highlight w:val="none"/>
        </w:rPr>
        <w:t>钢筋工程</w:t>
      </w:r>
    </w:p>
    <w:p>
      <w:pPr>
        <w:pStyle w:val="217"/>
        <w:rPr>
          <w:color w:val="auto"/>
          <w:highlight w:val="none"/>
        </w:rPr>
      </w:pPr>
      <w:r>
        <w:rPr>
          <w:color w:val="auto"/>
          <w:highlight w:val="none"/>
        </w:rPr>
        <w:t>1.</w:t>
      </w:r>
      <w:r>
        <w:rPr>
          <w:rFonts w:hint="eastAsia"/>
          <w:color w:val="auto"/>
          <w:highlight w:val="none"/>
        </w:rPr>
        <w:t>钢筋加工的技术要求：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钢筋除锈：钢筋在使用之前必须保证其表面的洁净，清除钢筋表面油渍、漆污、铁锈等，以便保证钢筋与混凝土之间的握裹力。对于在除锈过程中发现的钢筋表面的氧化铁皮鳞现象严重并且已经损伤到钢筋的截面，或是在除锈后发现仍有严重的麻坑、斑点、锈蚀截面时，该级别钢筋应剔除不用或是降级使用。</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）钢筋调直；调直后的钢筋应保证平直，无局部弯折。无明显擦伤且抗拉强度不得低于设计要求。</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钢筋切断：在进行钢筋切断时要长短搭配，统筹排料；一般按照先断长料，后断短料的原则，以减少损耗，节约钢筋。如发现钢筋有劈裂、偏头或严重弯头现象，必须切除。如发现钢筋的硬度与该类型有很大出入，应查明原委后再作处理。</w:t>
      </w:r>
    </w:p>
    <w:p>
      <w:pPr>
        <w:pStyle w:val="217"/>
        <w:rPr>
          <w:color w:val="auto"/>
          <w:highlight w:val="none"/>
        </w:rPr>
      </w:pPr>
      <w:r>
        <w:rPr>
          <w:color w:val="auto"/>
          <w:highlight w:val="none"/>
        </w:rPr>
        <w:t>2.</w:t>
      </w:r>
      <w:r>
        <w:rPr>
          <w:rFonts w:hint="eastAsia"/>
          <w:color w:val="auto"/>
          <w:highlight w:val="none"/>
        </w:rPr>
        <w:t>钢筋连接必须满足设计、规范要求。</w:t>
      </w:r>
    </w:p>
    <w:p>
      <w:pPr>
        <w:pStyle w:val="217"/>
        <w:rPr>
          <w:color w:val="auto"/>
          <w:highlight w:val="none"/>
        </w:rPr>
      </w:pPr>
      <w:r>
        <w:rPr>
          <w:rFonts w:hint="eastAsia"/>
          <w:color w:val="auto"/>
          <w:highlight w:val="none"/>
        </w:rPr>
        <w:t>钢筋接长长度最短不得小于</w:t>
      </w:r>
      <w:r>
        <w:rPr>
          <w:color w:val="auto"/>
          <w:highlight w:val="none"/>
        </w:rPr>
        <w:t>1000mm</w:t>
      </w:r>
      <w:r>
        <w:rPr>
          <w:rFonts w:hint="eastAsia"/>
          <w:color w:val="auto"/>
          <w:highlight w:val="none"/>
        </w:rPr>
        <w:t>；钢材连接须进行工艺试验，抽样送检合格，经监理工程师审查后方可进行施工。</w:t>
      </w:r>
    </w:p>
    <w:p>
      <w:pPr>
        <w:pStyle w:val="217"/>
        <w:rPr>
          <w:color w:val="auto"/>
          <w:highlight w:val="none"/>
        </w:rPr>
      </w:pPr>
      <w:r>
        <w:rPr>
          <w:rFonts w:hint="eastAsia"/>
          <w:color w:val="auto"/>
          <w:highlight w:val="none"/>
        </w:rPr>
        <w:t>钢筋连接可采用以下方式：闪光对焊、电弧焊、电渣压力焊、直螺纹套筒方式。</w:t>
      </w:r>
    </w:p>
    <w:p>
      <w:pPr>
        <w:pStyle w:val="217"/>
        <w:rPr>
          <w:color w:val="auto"/>
          <w:highlight w:val="none"/>
        </w:rPr>
      </w:pPr>
      <w:r>
        <w:rPr>
          <w:rFonts w:hint="eastAsia"/>
          <w:color w:val="auto"/>
          <w:highlight w:val="none"/>
        </w:rPr>
        <w:t>钢筋闪光对焊技术要求：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）钢筋的对接应优先采用闪光对焊；当钢筋在</w:t>
      </w:r>
      <w:r>
        <w:rPr>
          <w:color w:val="auto"/>
          <w:highlight w:val="none"/>
        </w:rPr>
        <w:t>I</w:t>
      </w:r>
      <w:r>
        <w:rPr>
          <w:rFonts w:hint="eastAsia"/>
          <w:color w:val="auto"/>
          <w:highlight w:val="none"/>
        </w:rPr>
        <w:t>～</w:t>
      </w:r>
      <w:r>
        <w:rPr>
          <w:color w:val="auto"/>
          <w:highlight w:val="none"/>
        </w:rPr>
        <w:t>III</w:t>
      </w:r>
      <w:r>
        <w:rPr>
          <w:rFonts w:hint="eastAsia"/>
          <w:color w:val="auto"/>
          <w:highlight w:val="none"/>
        </w:rPr>
        <w:t>级且直径在</w:t>
      </w:r>
      <w:r>
        <w:rPr>
          <w:color w:val="auto"/>
          <w:highlight w:val="none"/>
        </w:rPr>
        <w:t>22mm</w:t>
      </w:r>
      <w:r>
        <w:rPr>
          <w:rFonts w:hint="eastAsia"/>
          <w:color w:val="auto"/>
          <w:highlight w:val="none"/>
        </w:rPr>
        <w:t>以下采用“连续闪光焊”，连续闪光焊能焊接的钢筋上限直径，应根据焊机容量、钢筋级别等具体情况而定。</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）对焊前应清除钢筋端头约</w:t>
      </w:r>
      <w:r>
        <w:rPr>
          <w:color w:val="auto"/>
          <w:highlight w:val="none"/>
        </w:rPr>
        <w:t>150mm</w:t>
      </w:r>
      <w:r>
        <w:rPr>
          <w:rFonts w:hint="eastAsia"/>
          <w:color w:val="auto"/>
          <w:highlight w:val="none"/>
        </w:rPr>
        <w:t>范围内的铁锈、污泥等，以免在夹具和钢筋间因接触不良而引起“打火”。此外，如钢筋头有弯曲，应予调直或切除。</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）当调换焊工或更换焊接钢筋的规格和品种时，应先制作对焊试样</w:t>
      </w:r>
      <w:r>
        <w:rPr>
          <w:color w:val="auto"/>
          <w:highlight w:val="none"/>
        </w:rPr>
        <w:t>(</w:t>
      </w:r>
      <w:r>
        <w:rPr>
          <w:rFonts w:hint="eastAsia"/>
          <w:color w:val="auto"/>
          <w:highlight w:val="none"/>
        </w:rPr>
        <w:t>不少于</w:t>
      </w:r>
      <w:r>
        <w:rPr>
          <w:color w:val="auto"/>
          <w:highlight w:val="none"/>
        </w:rPr>
        <w:t>2</w:t>
      </w:r>
      <w:r>
        <w:rPr>
          <w:rFonts w:hint="eastAsia"/>
          <w:color w:val="auto"/>
          <w:highlight w:val="none"/>
        </w:rPr>
        <w:t>个</w:t>
      </w:r>
      <w:r>
        <w:rPr>
          <w:color w:val="auto"/>
          <w:highlight w:val="none"/>
        </w:rPr>
        <w:t>)</w:t>
      </w:r>
      <w:r>
        <w:rPr>
          <w:rFonts w:hint="eastAsia"/>
          <w:color w:val="auto"/>
          <w:highlight w:val="none"/>
        </w:rPr>
        <w:t>进行冷弯试验。合格后，才能成批焊接。</w:t>
      </w:r>
    </w:p>
    <w:p>
      <w:pPr>
        <w:pStyle w:val="217"/>
        <w:rPr>
          <w:color w:val="auto"/>
          <w:highlight w:val="none"/>
        </w:rPr>
      </w:pPr>
      <w:r>
        <w:rPr>
          <w:color w:val="auto"/>
          <w:highlight w:val="none"/>
        </w:rPr>
        <w:t>3.</w:t>
      </w:r>
      <w:r>
        <w:rPr>
          <w:rFonts w:hint="eastAsia"/>
          <w:color w:val="auto"/>
          <w:highlight w:val="none"/>
        </w:rPr>
        <w:t>钢筋安装技术要求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）钢筋代换的原则：当施工中遇有钢筋的品种或规格与设计要求不符时，可参考以下原则进行钢筋代换：</w:t>
      </w:r>
    </w:p>
    <w:p>
      <w:pPr>
        <w:pStyle w:val="217"/>
        <w:rPr>
          <w:color w:val="auto"/>
          <w:highlight w:val="none"/>
        </w:rPr>
      </w:pPr>
      <w:r>
        <w:rPr>
          <w:color w:val="auto"/>
          <w:highlight w:val="none"/>
        </w:rPr>
        <w:t>1</w:t>
      </w:r>
      <w:r>
        <w:rPr>
          <w:rFonts w:hint="eastAsia"/>
          <w:color w:val="auto"/>
          <w:highlight w:val="none"/>
        </w:rPr>
        <w:t>）等强度代换：当构件受强度控制时，钢筋可按面积相等原则进行代换；</w:t>
      </w:r>
    </w:p>
    <w:p>
      <w:pPr>
        <w:pStyle w:val="217"/>
        <w:rPr>
          <w:color w:val="auto"/>
          <w:highlight w:val="none"/>
        </w:rPr>
      </w:pPr>
      <w:r>
        <w:rPr>
          <w:color w:val="auto"/>
          <w:highlight w:val="none"/>
        </w:rPr>
        <w:t>2</w:t>
      </w:r>
      <w:r>
        <w:rPr>
          <w:rFonts w:hint="eastAsia"/>
          <w:color w:val="auto"/>
          <w:highlight w:val="none"/>
        </w:rPr>
        <w:t>）等面积代换：当构件按最小配筋率配筋时，钢筋可按面积相等原则进行代换；</w:t>
      </w:r>
    </w:p>
    <w:p>
      <w:pPr>
        <w:pStyle w:val="217"/>
        <w:rPr>
          <w:color w:val="auto"/>
          <w:highlight w:val="none"/>
        </w:rPr>
      </w:pPr>
      <w:r>
        <w:rPr>
          <w:color w:val="auto"/>
          <w:highlight w:val="none"/>
        </w:rPr>
        <w:t>3</w:t>
      </w:r>
      <w:r>
        <w:rPr>
          <w:rFonts w:hint="eastAsia"/>
          <w:color w:val="auto"/>
          <w:highlight w:val="none"/>
        </w:rPr>
        <w:t>）当构件受裂缝宽度或挠度控制时，代换后应进行裂缝宽度或挠度验收。</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）钢筋代换的注意事项：钢筋代换时，必须充分了解设计意图和代换材料性能，并严格遵守现行混凝土结构设计规范的各项规定；凡重要结构中的钢筋代换，应征得设计单位同意。</w:t>
      </w:r>
    </w:p>
    <w:p>
      <w:pPr>
        <w:pStyle w:val="217"/>
        <w:rPr>
          <w:color w:val="auto"/>
          <w:highlight w:val="none"/>
        </w:rPr>
      </w:pPr>
      <w:r>
        <w:rPr>
          <w:color w:val="auto"/>
          <w:highlight w:val="none"/>
        </w:rPr>
        <w:t>1</w:t>
      </w:r>
      <w:r>
        <w:rPr>
          <w:rFonts w:hint="eastAsia"/>
          <w:color w:val="auto"/>
          <w:highlight w:val="none"/>
        </w:rPr>
        <w:t>）施工中不宜以强度等级较高的钢筋代替原设计中的钢筋。如必须代换时，应按钢筋抗拉力设计值相等的原则进行代换。</w:t>
      </w:r>
    </w:p>
    <w:p>
      <w:pPr>
        <w:pStyle w:val="217"/>
        <w:rPr>
          <w:color w:val="auto"/>
          <w:highlight w:val="none"/>
        </w:rPr>
      </w:pPr>
      <w:r>
        <w:rPr>
          <w:color w:val="auto"/>
          <w:highlight w:val="none"/>
        </w:rPr>
        <w:t>2</w:t>
      </w:r>
      <w:r>
        <w:rPr>
          <w:rFonts w:hint="eastAsia"/>
          <w:color w:val="auto"/>
          <w:highlight w:val="none"/>
        </w:rPr>
        <w:t>）钢筋代换后，应满足配筋构造规定，如钢筋的最小直径、间距、根数、锚固长度等。</w:t>
      </w:r>
    </w:p>
    <w:p>
      <w:pPr>
        <w:pStyle w:val="217"/>
        <w:rPr>
          <w:color w:val="auto"/>
          <w:highlight w:val="none"/>
        </w:rPr>
      </w:pPr>
      <w:r>
        <w:rPr>
          <w:color w:val="auto"/>
          <w:highlight w:val="none"/>
        </w:rPr>
        <w:t>3</w:t>
      </w:r>
      <w:r>
        <w:rPr>
          <w:rFonts w:hint="eastAsia"/>
          <w:color w:val="auto"/>
          <w:highlight w:val="none"/>
        </w:rPr>
        <w:t>）同一截面内，可同时配有不同种类和直径的代换钢筋，但每根钢筋的拉力差不应过大</w:t>
      </w:r>
      <w:r>
        <w:rPr>
          <w:color w:val="auto"/>
          <w:highlight w:val="none"/>
        </w:rPr>
        <w:t>(</w:t>
      </w:r>
      <w:r>
        <w:rPr>
          <w:rFonts w:hint="eastAsia"/>
          <w:color w:val="auto"/>
          <w:highlight w:val="none"/>
        </w:rPr>
        <w:t>如同品种钢筋的直径差值一般不大于</w:t>
      </w:r>
      <w:r>
        <w:rPr>
          <w:color w:val="auto"/>
          <w:highlight w:val="none"/>
        </w:rPr>
        <w:t>5mm)</w:t>
      </w:r>
      <w:r>
        <w:rPr>
          <w:rFonts w:hint="eastAsia"/>
          <w:color w:val="auto"/>
          <w:highlight w:val="none"/>
        </w:rPr>
        <w:t>，以免构件受力不匀。</w:t>
      </w:r>
    </w:p>
    <w:p>
      <w:pPr>
        <w:pStyle w:val="217"/>
        <w:rPr>
          <w:color w:val="auto"/>
          <w:highlight w:val="none"/>
        </w:rPr>
      </w:pPr>
      <w:r>
        <w:rPr>
          <w:color w:val="auto"/>
          <w:highlight w:val="none"/>
        </w:rPr>
        <w:t>4</w:t>
      </w:r>
      <w:r>
        <w:rPr>
          <w:rFonts w:hint="eastAsia"/>
          <w:color w:val="auto"/>
          <w:highlight w:val="none"/>
        </w:rPr>
        <w:t>）梁的纵向受力钢筋与弯起钢筋应分别代换，以保证截面与斜截面强度。</w:t>
      </w:r>
    </w:p>
    <w:p>
      <w:pPr>
        <w:pStyle w:val="217"/>
        <w:rPr>
          <w:color w:val="auto"/>
          <w:highlight w:val="none"/>
        </w:rPr>
      </w:pPr>
      <w:r>
        <w:rPr>
          <w:color w:val="auto"/>
          <w:highlight w:val="none"/>
        </w:rPr>
        <w:t>5</w:t>
      </w:r>
      <w:r>
        <w:rPr>
          <w:rFonts w:hint="eastAsia"/>
          <w:color w:val="auto"/>
          <w:highlight w:val="none"/>
        </w:rPr>
        <w:t>）偏心受压构件或偏心受拉构件作钢筋代换时，不取整个截面配筋量计算，应按受力面</w:t>
      </w:r>
      <w:r>
        <w:rPr>
          <w:color w:val="auto"/>
          <w:highlight w:val="none"/>
        </w:rPr>
        <w:t>(</w:t>
      </w:r>
      <w:r>
        <w:rPr>
          <w:rFonts w:hint="eastAsia"/>
          <w:color w:val="auto"/>
          <w:highlight w:val="none"/>
        </w:rPr>
        <w:t>受压或受拉</w:t>
      </w:r>
      <w:r>
        <w:rPr>
          <w:color w:val="auto"/>
          <w:highlight w:val="none"/>
        </w:rPr>
        <w:t>)</w:t>
      </w:r>
      <w:r>
        <w:rPr>
          <w:rFonts w:hint="eastAsia"/>
          <w:color w:val="auto"/>
          <w:highlight w:val="none"/>
        </w:rPr>
        <w:t>分别代换。</w:t>
      </w:r>
    </w:p>
    <w:p>
      <w:pPr>
        <w:pStyle w:val="217"/>
        <w:rPr>
          <w:color w:val="auto"/>
          <w:highlight w:val="none"/>
        </w:rPr>
      </w:pPr>
      <w:r>
        <w:rPr>
          <w:color w:val="auto"/>
          <w:highlight w:val="none"/>
        </w:rPr>
        <w:t>6</w:t>
      </w:r>
      <w:r>
        <w:rPr>
          <w:rFonts w:hint="eastAsia"/>
          <w:color w:val="auto"/>
          <w:highlight w:val="none"/>
        </w:rPr>
        <w:t>）当构件受裂缝宽度控制时，如以小直径代换大直径钢筋，强度等级低的钢筋代替高的钢筋，则可不作裂缝宽度验算。</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）钢筋绑扎的施工工艺：</w:t>
      </w:r>
    </w:p>
    <w:p>
      <w:pPr>
        <w:pStyle w:val="217"/>
        <w:rPr>
          <w:color w:val="auto"/>
          <w:highlight w:val="none"/>
        </w:rPr>
      </w:pPr>
      <w:r>
        <w:rPr>
          <w:color w:val="auto"/>
          <w:highlight w:val="none"/>
        </w:rPr>
        <w:t>1</w:t>
      </w:r>
      <w:r>
        <w:rPr>
          <w:rFonts w:hint="eastAsia"/>
          <w:color w:val="auto"/>
          <w:highlight w:val="none"/>
        </w:rPr>
        <w:t>）准备工作：</w:t>
      </w:r>
    </w:p>
    <w:p>
      <w:pPr>
        <w:pStyle w:val="217"/>
        <w:rPr>
          <w:color w:val="auto"/>
          <w:highlight w:val="none"/>
        </w:rPr>
      </w:pPr>
      <w:r>
        <w:rPr>
          <w:rFonts w:hint="eastAsia"/>
          <w:color w:val="auto"/>
          <w:highlight w:val="none"/>
        </w:rPr>
        <w:t>核对成品钢筋的钢号、直径、形状、尺寸和数量等是否与料单、料牌相符。如有错漏，应纠正增补。</w:t>
      </w:r>
    </w:p>
    <w:p>
      <w:pPr>
        <w:pStyle w:val="217"/>
        <w:rPr>
          <w:color w:val="auto"/>
          <w:highlight w:val="none"/>
        </w:rPr>
      </w:pPr>
      <w:r>
        <w:rPr>
          <w:rFonts w:hint="eastAsia"/>
          <w:color w:val="auto"/>
          <w:highlight w:val="none"/>
        </w:rPr>
        <w:t>准备绑扎用的铁丝、绑扎工具</w:t>
      </w:r>
      <w:r>
        <w:rPr>
          <w:color w:val="auto"/>
          <w:highlight w:val="none"/>
        </w:rPr>
        <w:t>(</w:t>
      </w:r>
      <w:r>
        <w:rPr>
          <w:rFonts w:hint="eastAsia"/>
          <w:color w:val="auto"/>
          <w:highlight w:val="none"/>
        </w:rPr>
        <w:t>如钢筋钩、带扳口的小撬棍</w:t>
      </w:r>
      <w:r>
        <w:rPr>
          <w:color w:val="auto"/>
          <w:highlight w:val="none"/>
        </w:rPr>
        <w:t>)</w:t>
      </w:r>
      <w:r>
        <w:rPr>
          <w:rFonts w:hint="eastAsia"/>
          <w:color w:val="auto"/>
          <w:highlight w:val="none"/>
        </w:rPr>
        <w:t>、绑扎架等。</w:t>
      </w:r>
    </w:p>
    <w:p>
      <w:pPr>
        <w:pStyle w:val="217"/>
        <w:rPr>
          <w:color w:val="auto"/>
          <w:highlight w:val="none"/>
        </w:rPr>
      </w:pPr>
      <w:r>
        <w:rPr>
          <w:rFonts w:hint="eastAsia"/>
          <w:color w:val="auto"/>
          <w:highlight w:val="none"/>
        </w:rPr>
        <w:t>准备控制混凝土保护层的水泥砂浆垫块。</w:t>
      </w:r>
    </w:p>
    <w:p>
      <w:pPr>
        <w:pStyle w:val="217"/>
        <w:rPr>
          <w:color w:val="auto"/>
          <w:highlight w:val="none"/>
        </w:rPr>
      </w:pPr>
      <w:r>
        <w:rPr>
          <w:rFonts w:hint="eastAsia"/>
          <w:color w:val="auto"/>
          <w:highlight w:val="none"/>
        </w:rPr>
        <w:t>划出钢筋位置线。钢筋接头的位置，应根据来料规格，结合规范对有关接头的位置、数量的规定，使其错开，在模板上划线。</w:t>
      </w:r>
    </w:p>
    <w:p>
      <w:pPr>
        <w:pStyle w:val="217"/>
        <w:rPr>
          <w:color w:val="auto"/>
          <w:highlight w:val="none"/>
        </w:rPr>
      </w:pPr>
      <w:r>
        <w:rPr>
          <w:rFonts w:hint="eastAsia"/>
          <w:color w:val="auto"/>
          <w:highlight w:val="none"/>
        </w:rPr>
        <w:t>绑扎接头的搭接长度应满足设计与规范有关要求。</w:t>
      </w:r>
    </w:p>
    <w:p>
      <w:pPr>
        <w:pStyle w:val="217"/>
        <w:rPr>
          <w:color w:val="auto"/>
          <w:highlight w:val="none"/>
        </w:rPr>
      </w:pPr>
      <w:r>
        <w:rPr>
          <w:color w:val="auto"/>
          <w:highlight w:val="none"/>
        </w:rPr>
        <w:t>2</w:t>
      </w:r>
      <w:r>
        <w:rPr>
          <w:rFonts w:hint="eastAsia"/>
          <w:color w:val="auto"/>
          <w:highlight w:val="none"/>
        </w:rPr>
        <w:t>）基础</w:t>
      </w:r>
    </w:p>
    <w:p>
      <w:pPr>
        <w:pStyle w:val="217"/>
        <w:rPr>
          <w:color w:val="auto"/>
          <w:highlight w:val="none"/>
        </w:rPr>
      </w:pPr>
      <w:r>
        <w:rPr>
          <w:rFonts w:hint="eastAsia"/>
          <w:color w:val="auto"/>
          <w:highlight w:val="none"/>
        </w:rPr>
        <w:t>钢筋网的绑扎。四周两行钢筋交叉点应每点扎牢，中间部分交叉点可相隔交错扎牢，但必须保证受力钢筋不位移。双向主筋的钢筋网，则须将全部钢筋相交扎牢。绑扎时应注意相邻绑扎点的铁丝扣要成八字形，以免网片歪斜变形。</w:t>
      </w:r>
    </w:p>
    <w:p>
      <w:pPr>
        <w:pStyle w:val="217"/>
        <w:rPr>
          <w:color w:val="auto"/>
          <w:highlight w:val="none"/>
        </w:rPr>
      </w:pPr>
      <w:r>
        <w:rPr>
          <w:rFonts w:hint="eastAsia"/>
          <w:color w:val="auto"/>
          <w:highlight w:val="none"/>
        </w:rPr>
        <w:t>基础底板采用双层钢筋网片时，在上层钢筋网下面应设置钢筋撑脚或混凝土撑脚，以保证钢筋位置正确。钢筋撑脚每隔</w:t>
      </w:r>
      <w:r>
        <w:rPr>
          <w:color w:val="auto"/>
          <w:highlight w:val="none"/>
        </w:rPr>
        <w:t>1m</w:t>
      </w:r>
      <w:r>
        <w:rPr>
          <w:rFonts w:hint="eastAsia"/>
          <w:color w:val="auto"/>
          <w:highlight w:val="none"/>
        </w:rPr>
        <w:t>放置一个。其直径选用：详见施图纸。</w:t>
      </w:r>
    </w:p>
    <w:p>
      <w:pPr>
        <w:pStyle w:val="217"/>
        <w:rPr>
          <w:color w:val="auto"/>
          <w:highlight w:val="none"/>
        </w:rPr>
      </w:pPr>
      <w:r>
        <w:rPr>
          <w:rFonts w:hint="eastAsia"/>
          <w:color w:val="auto"/>
          <w:highlight w:val="none"/>
        </w:rPr>
        <w:t>钢筋的弯钩应朝上，不要倒向一边；但双层钢筋网的上层钢筋弯钩应朝下。</w:t>
      </w:r>
    </w:p>
    <w:p>
      <w:pPr>
        <w:pStyle w:val="217"/>
        <w:rPr>
          <w:color w:val="auto"/>
          <w:highlight w:val="none"/>
        </w:rPr>
      </w:pPr>
      <w:r>
        <w:rPr>
          <w:rFonts w:hint="eastAsia"/>
          <w:color w:val="auto"/>
          <w:highlight w:val="none"/>
        </w:rPr>
        <w:t>独立柱基础为双向弯曲，其底面短边的钢筋应放在长边钢筋的上面。</w:t>
      </w:r>
    </w:p>
    <w:p>
      <w:pPr>
        <w:pStyle w:val="217"/>
        <w:rPr>
          <w:color w:val="auto"/>
          <w:highlight w:val="none"/>
        </w:rPr>
      </w:pPr>
      <w:r>
        <w:rPr>
          <w:rFonts w:hint="eastAsia"/>
          <w:color w:val="auto"/>
          <w:highlight w:val="none"/>
        </w:rPr>
        <w:t>现浇柱与基础连接用的插筋，其箍筋应比柱的箍筋缩小一个柱筋直径，以便连接。插筋位置一定要固定牢靠，以免造成偏移。</w:t>
      </w:r>
    </w:p>
    <w:p>
      <w:pPr>
        <w:pStyle w:val="217"/>
        <w:rPr>
          <w:color w:val="auto"/>
          <w:highlight w:val="none"/>
        </w:rPr>
      </w:pPr>
      <w:r>
        <w:rPr>
          <w:color w:val="auto"/>
          <w:highlight w:val="none"/>
        </w:rPr>
        <w:t>3</w:t>
      </w:r>
      <w:r>
        <w:rPr>
          <w:rFonts w:hint="eastAsia"/>
          <w:color w:val="auto"/>
          <w:highlight w:val="none"/>
        </w:rPr>
        <w:t>）柱</w:t>
      </w:r>
    </w:p>
    <w:p>
      <w:pPr>
        <w:pStyle w:val="217"/>
        <w:rPr>
          <w:color w:val="auto"/>
          <w:highlight w:val="none"/>
        </w:rPr>
      </w:pPr>
      <w:r>
        <w:rPr>
          <w:rFonts w:hint="eastAsia"/>
          <w:color w:val="auto"/>
          <w:highlight w:val="none"/>
        </w:rPr>
        <w:t>箍筋的接头</w:t>
      </w:r>
      <w:r>
        <w:rPr>
          <w:color w:val="auto"/>
          <w:highlight w:val="none"/>
        </w:rPr>
        <w:t>(</w:t>
      </w:r>
      <w:r>
        <w:rPr>
          <w:rFonts w:hint="eastAsia"/>
          <w:color w:val="auto"/>
          <w:highlight w:val="none"/>
        </w:rPr>
        <w:t>弯钩叠合处</w:t>
      </w:r>
      <w:r>
        <w:rPr>
          <w:color w:val="auto"/>
          <w:highlight w:val="none"/>
        </w:rPr>
        <w:t>)</w:t>
      </w:r>
      <w:r>
        <w:rPr>
          <w:rFonts w:hint="eastAsia"/>
          <w:color w:val="auto"/>
          <w:highlight w:val="none"/>
        </w:rPr>
        <w:t>应交错布置在四角纵向钢筋上；箍筋转角与纵向钢筋交叉点均应扎牢</w:t>
      </w:r>
      <w:r>
        <w:rPr>
          <w:color w:val="auto"/>
          <w:highlight w:val="none"/>
        </w:rPr>
        <w:t>(</w:t>
      </w:r>
      <w:r>
        <w:rPr>
          <w:rFonts w:hint="eastAsia"/>
          <w:color w:val="auto"/>
          <w:highlight w:val="none"/>
        </w:rPr>
        <w:t>箍筋平直部分与纵向钢筋交叉点可间隔扎牢</w:t>
      </w:r>
      <w:r>
        <w:rPr>
          <w:color w:val="auto"/>
          <w:highlight w:val="none"/>
        </w:rPr>
        <w:t>)</w:t>
      </w:r>
      <w:r>
        <w:rPr>
          <w:rFonts w:hint="eastAsia"/>
          <w:color w:val="auto"/>
          <w:highlight w:val="none"/>
        </w:rPr>
        <w:t>，绑扎箍筋时绑扣相互间应成八字形。</w:t>
      </w:r>
    </w:p>
    <w:p>
      <w:pPr>
        <w:pStyle w:val="217"/>
        <w:rPr>
          <w:color w:val="auto"/>
          <w:highlight w:val="none"/>
        </w:rPr>
      </w:pPr>
      <w:r>
        <w:rPr>
          <w:rFonts w:hint="eastAsia"/>
          <w:color w:val="auto"/>
          <w:highlight w:val="none"/>
        </w:rPr>
        <w:t>下层柱的钢筋露出楼面部分，宜用工具式柱箍将其收进一个柱箍直径，以利上层柱的钢筋连接。当柱截面有变化时，其下层钢筋的露出部分，必须在绑扎梁的钢筋之前，先行收缩准确。</w:t>
      </w:r>
    </w:p>
    <w:p>
      <w:pPr>
        <w:pStyle w:val="217"/>
        <w:rPr>
          <w:color w:val="auto"/>
          <w:highlight w:val="none"/>
        </w:rPr>
      </w:pPr>
      <w:r>
        <w:rPr>
          <w:rFonts w:hint="eastAsia"/>
          <w:color w:val="auto"/>
          <w:highlight w:val="none"/>
        </w:rPr>
        <w:t>框架梁、牛腿及柱帽等钢筋，应放在柱的纵向钢筋内侧。</w:t>
      </w:r>
    </w:p>
    <w:p>
      <w:pPr>
        <w:pStyle w:val="217"/>
        <w:rPr>
          <w:color w:val="auto"/>
          <w:highlight w:val="none"/>
        </w:rPr>
      </w:pPr>
      <w:r>
        <w:rPr>
          <w:rFonts w:hint="eastAsia"/>
          <w:color w:val="auto"/>
          <w:highlight w:val="none"/>
        </w:rPr>
        <w:t>柱钢筋的绑扎，应在模板安装前进行。</w:t>
      </w:r>
    </w:p>
    <w:p>
      <w:pPr>
        <w:pStyle w:val="217"/>
        <w:rPr>
          <w:color w:val="auto"/>
          <w:highlight w:val="none"/>
        </w:rPr>
      </w:pPr>
      <w:r>
        <w:rPr>
          <w:color w:val="auto"/>
          <w:highlight w:val="none"/>
        </w:rPr>
        <w:t>4</w:t>
      </w:r>
      <w:r>
        <w:rPr>
          <w:rFonts w:hint="eastAsia"/>
          <w:color w:val="auto"/>
          <w:highlight w:val="none"/>
        </w:rPr>
        <w:t>）梁与板</w:t>
      </w:r>
    </w:p>
    <w:p>
      <w:pPr>
        <w:pStyle w:val="217"/>
        <w:rPr>
          <w:color w:val="auto"/>
          <w:highlight w:val="none"/>
        </w:rPr>
      </w:pPr>
      <w:r>
        <w:rPr>
          <w:rFonts w:hint="eastAsia"/>
          <w:color w:val="auto"/>
          <w:highlight w:val="none"/>
        </w:rPr>
        <w:t>纵向受力钢筋采用双层排列时，两排钢筋之间应垫以直径≥</w:t>
      </w:r>
      <w:r>
        <w:rPr>
          <w:color w:val="auto"/>
          <w:highlight w:val="none"/>
        </w:rPr>
        <w:t>25mm</w:t>
      </w:r>
      <w:r>
        <w:rPr>
          <w:rFonts w:hint="eastAsia"/>
          <w:color w:val="auto"/>
          <w:highlight w:val="none"/>
        </w:rPr>
        <w:t>的短钢筋，以保持设计距离。</w:t>
      </w:r>
    </w:p>
    <w:p>
      <w:pPr>
        <w:pStyle w:val="217"/>
        <w:rPr>
          <w:color w:val="auto"/>
          <w:highlight w:val="none"/>
        </w:rPr>
      </w:pPr>
      <w:r>
        <w:rPr>
          <w:rFonts w:hint="eastAsia"/>
          <w:color w:val="auto"/>
          <w:highlight w:val="none"/>
        </w:rPr>
        <w:t>箍筋的接头（弯钩叠合处）应交错布置在两根架立钢筋上，其余同柱。</w:t>
      </w:r>
    </w:p>
    <w:p>
      <w:pPr>
        <w:pStyle w:val="217"/>
        <w:rPr>
          <w:color w:val="auto"/>
          <w:highlight w:val="none"/>
        </w:rPr>
      </w:pPr>
      <w:r>
        <w:rPr>
          <w:rFonts w:hint="eastAsia"/>
          <w:color w:val="auto"/>
          <w:highlight w:val="none"/>
        </w:rPr>
        <w:t>板的钢筋网绑扎与基础相同，但应注意板上部的负筋，要防止被踩下；特别是悬臂板，要严格控制负筋位置，以免拆模后断裂。</w:t>
      </w:r>
    </w:p>
    <w:p>
      <w:pPr>
        <w:pStyle w:val="217"/>
        <w:rPr>
          <w:color w:val="auto"/>
          <w:highlight w:val="none"/>
        </w:rPr>
      </w:pPr>
      <w:r>
        <w:rPr>
          <w:rFonts w:hint="eastAsia"/>
          <w:color w:val="auto"/>
          <w:highlight w:val="none"/>
        </w:rPr>
        <w:t>板、次梁与主梁交叉处，板的钢筋在上，次梁的钢筋居中，主梁的钢筋在下；当有圈梁或垫梁时，主梁的钢筋在上。</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）钢筋直螺纹接头连接质量的要求</w:t>
      </w:r>
    </w:p>
    <w:p>
      <w:pPr>
        <w:pStyle w:val="217"/>
        <w:rPr>
          <w:color w:val="auto"/>
          <w:highlight w:val="none"/>
        </w:rPr>
      </w:pPr>
      <w:r>
        <w:rPr>
          <w:rFonts w:hint="eastAsia"/>
          <w:color w:val="auto"/>
          <w:highlight w:val="none"/>
        </w:rPr>
        <w:t>钢筋直螺纹接头连接按发包人技术指引，质量按国家行业标准《钢筋机械连接技术规程》</w:t>
      </w:r>
      <w:r>
        <w:rPr>
          <w:color w:val="auto"/>
          <w:highlight w:val="none"/>
        </w:rPr>
        <w:t>JGJ107-2010</w:t>
      </w:r>
      <w:r>
        <w:rPr>
          <w:rFonts w:hint="eastAsia"/>
          <w:color w:val="auto"/>
          <w:highlight w:val="none"/>
        </w:rPr>
        <w:t>（以下简称《规程》）的要求，保证结构工程质量和结构安全性能。</w:t>
      </w:r>
    </w:p>
    <w:p>
      <w:pPr>
        <w:pStyle w:val="217"/>
        <w:rPr>
          <w:color w:val="auto"/>
          <w:highlight w:val="none"/>
        </w:rPr>
      </w:pPr>
      <w:r>
        <w:rPr>
          <w:rFonts w:hint="eastAsia"/>
          <w:color w:val="auto"/>
          <w:highlight w:val="none"/>
        </w:rPr>
        <w:t>具体内容如下：</w:t>
      </w:r>
    </w:p>
    <w:p>
      <w:pPr>
        <w:pStyle w:val="217"/>
        <w:rPr>
          <w:color w:val="auto"/>
          <w:highlight w:val="none"/>
        </w:rPr>
      </w:pPr>
      <w:r>
        <w:rPr>
          <w:color w:val="auto"/>
          <w:highlight w:val="none"/>
        </w:rPr>
        <w:t>1</w:t>
      </w:r>
      <w:r>
        <w:rPr>
          <w:rFonts w:hint="eastAsia"/>
          <w:color w:val="auto"/>
          <w:highlight w:val="none"/>
        </w:rPr>
        <w:t>）原材料进场管理：</w:t>
      </w:r>
    </w:p>
    <w:p>
      <w:pPr>
        <w:pStyle w:val="217"/>
        <w:rPr>
          <w:color w:val="auto"/>
          <w:highlight w:val="none"/>
        </w:rPr>
      </w:pPr>
      <w:r>
        <w:rPr>
          <w:rFonts w:hint="eastAsia"/>
          <w:color w:val="auto"/>
          <w:highlight w:val="none"/>
        </w:rPr>
        <w:t>①每批连接套筒进场必须满足以下条件：</w:t>
      </w:r>
    </w:p>
    <w:p>
      <w:pPr>
        <w:pStyle w:val="217"/>
        <w:rPr>
          <w:color w:val="auto"/>
          <w:highlight w:val="none"/>
        </w:rPr>
      </w:pPr>
      <w:r>
        <w:rPr>
          <w:rFonts w:hint="eastAsia"/>
          <w:color w:val="auto"/>
          <w:highlight w:val="none"/>
        </w:rPr>
        <w:t>具备产品合格证和有效期内的型式检验报告，产品合格证应包括适用钢筋直径和接头性能等级、套筒类型、生产单位、生产日期以及可追溯产品原材料力学性能和加工质量的生产批号。施工单位应对产品合格证和型式检验报告的真实性负责；</w:t>
      </w:r>
    </w:p>
    <w:p>
      <w:pPr>
        <w:pStyle w:val="217"/>
        <w:rPr>
          <w:color w:val="auto"/>
          <w:highlight w:val="none"/>
        </w:rPr>
      </w:pPr>
      <w:r>
        <w:rPr>
          <w:rFonts w:hint="eastAsia"/>
          <w:color w:val="auto"/>
          <w:highlight w:val="none"/>
        </w:rPr>
        <w:t>每个套筒表面必须有与合格证相对应的生产批号标识。</w:t>
      </w:r>
    </w:p>
    <w:p>
      <w:pPr>
        <w:pStyle w:val="217"/>
        <w:rPr>
          <w:color w:val="auto"/>
          <w:highlight w:val="none"/>
        </w:rPr>
      </w:pPr>
      <w:r>
        <w:rPr>
          <w:rFonts w:hint="eastAsia"/>
          <w:color w:val="auto"/>
          <w:highlight w:val="none"/>
        </w:rPr>
        <w:t>②钢筋原材料进场，首先做重量偏差检验，合格后再做力学性能检验。检验重量偏差的试样应从不同根钢筋上截取，数量不少于</w:t>
      </w:r>
      <w:r>
        <w:rPr>
          <w:color w:val="auto"/>
          <w:highlight w:val="none"/>
        </w:rPr>
        <w:t>5</w:t>
      </w:r>
      <w:r>
        <w:rPr>
          <w:rFonts w:hint="eastAsia"/>
          <w:color w:val="auto"/>
          <w:highlight w:val="none"/>
        </w:rPr>
        <w:t>支，每支试样长度大于</w:t>
      </w:r>
      <w:r>
        <w:rPr>
          <w:color w:val="auto"/>
          <w:highlight w:val="none"/>
        </w:rPr>
        <w:t>500mm</w:t>
      </w:r>
      <w:r>
        <w:rPr>
          <w:rFonts w:hint="eastAsia"/>
          <w:color w:val="auto"/>
          <w:highlight w:val="none"/>
        </w:rPr>
        <w:t>，小于</w:t>
      </w:r>
      <w:r>
        <w:rPr>
          <w:color w:val="auto"/>
          <w:highlight w:val="none"/>
        </w:rPr>
        <w:t>550mm</w:t>
      </w:r>
      <w:r>
        <w:rPr>
          <w:rFonts w:hint="eastAsia"/>
          <w:color w:val="auto"/>
          <w:highlight w:val="none"/>
        </w:rPr>
        <w:t>，两端用无齿锯切平，如重量偏差大于允许偏差</w:t>
      </w:r>
      <w:r>
        <w:rPr>
          <w:color w:val="auto"/>
          <w:highlight w:val="none"/>
        </w:rPr>
        <w:t>,</w:t>
      </w:r>
      <w:r>
        <w:rPr>
          <w:rFonts w:hint="eastAsia"/>
          <w:color w:val="auto"/>
          <w:highlight w:val="none"/>
        </w:rPr>
        <w:t>直接判定该批钢筋不合格</w:t>
      </w:r>
      <w:r>
        <w:rPr>
          <w:color w:val="auto"/>
          <w:highlight w:val="none"/>
        </w:rPr>
        <w:t>,</w:t>
      </w:r>
      <w:r>
        <w:rPr>
          <w:rFonts w:hint="eastAsia"/>
          <w:color w:val="auto"/>
          <w:highlight w:val="none"/>
        </w:rPr>
        <w:t>不再进行复式抽检。严禁重量偏差超出国家标准的钢筋用于工程项目中。重量偏差的检验依据为《钢筋混凝土用钢第</w:t>
      </w:r>
      <w:r>
        <w:rPr>
          <w:color w:val="auto"/>
          <w:highlight w:val="none"/>
        </w:rPr>
        <w:t>2</w:t>
      </w:r>
      <w:r>
        <w:rPr>
          <w:rFonts w:hint="eastAsia"/>
          <w:color w:val="auto"/>
          <w:highlight w:val="none"/>
        </w:rPr>
        <w:t>部分：热轧带肋钢筋》</w:t>
      </w:r>
      <w:r>
        <w:rPr>
          <w:color w:val="auto"/>
          <w:highlight w:val="none"/>
        </w:rPr>
        <w:t>GB1499.2-2007</w:t>
      </w:r>
      <w:r>
        <w:rPr>
          <w:rFonts w:hint="eastAsia"/>
          <w:color w:val="auto"/>
          <w:highlight w:val="none"/>
        </w:rPr>
        <w:t>。</w:t>
      </w:r>
    </w:p>
    <w:p>
      <w:pPr>
        <w:pStyle w:val="217"/>
        <w:rPr>
          <w:color w:val="auto"/>
          <w:highlight w:val="none"/>
        </w:rPr>
      </w:pPr>
      <w:r>
        <w:rPr>
          <w:rFonts w:hint="eastAsia"/>
          <w:color w:val="auto"/>
          <w:highlight w:val="none"/>
        </w:rPr>
        <w:t>③进场后的钢筋应做好标识，同规格不同厂家的钢筋必须分别堆放，并做好标识。</w:t>
      </w:r>
    </w:p>
    <w:p>
      <w:pPr>
        <w:pStyle w:val="217"/>
        <w:rPr>
          <w:color w:val="auto"/>
          <w:highlight w:val="none"/>
        </w:rPr>
      </w:pPr>
      <w:r>
        <w:rPr>
          <w:color w:val="auto"/>
          <w:highlight w:val="none"/>
        </w:rPr>
        <w:t>2</w:t>
      </w:r>
      <w:r>
        <w:rPr>
          <w:rFonts w:hint="eastAsia"/>
          <w:color w:val="auto"/>
          <w:highlight w:val="none"/>
        </w:rPr>
        <w:t>）工艺检验和钢筋丝头加工的管理：</w:t>
      </w:r>
    </w:p>
    <w:p>
      <w:pPr>
        <w:pStyle w:val="217"/>
        <w:rPr>
          <w:color w:val="auto"/>
          <w:highlight w:val="none"/>
        </w:rPr>
      </w:pPr>
      <w:r>
        <w:rPr>
          <w:rFonts w:hint="eastAsia"/>
          <w:color w:val="auto"/>
          <w:highlight w:val="none"/>
        </w:rPr>
        <w:t>①严格按先工艺检验后现场加工的原则进行管理。工艺检验试件每种规格同时做</w:t>
      </w:r>
      <w:r>
        <w:rPr>
          <w:color w:val="auto"/>
          <w:highlight w:val="none"/>
        </w:rPr>
        <w:t>9</w:t>
      </w:r>
      <w:r>
        <w:rPr>
          <w:rFonts w:hint="eastAsia"/>
          <w:color w:val="auto"/>
          <w:highlight w:val="none"/>
        </w:rPr>
        <w:t>根连接试件，由监理工程师随机抽取其中三根，组成一组送检，工艺检验合格后，才能开始大批量现场加工，并将其余两组拆开作为样品分别由项目组和监理单位保管，在大批量加工过程中监理人员应随时用样品对比加工件进行对比检查，发现问题，及时纠正。对比检查的内容包括丝头长度、丝头端面、丝头与套筒的配合等加工质量。</w:t>
      </w:r>
    </w:p>
    <w:p>
      <w:pPr>
        <w:pStyle w:val="217"/>
        <w:rPr>
          <w:color w:val="auto"/>
          <w:highlight w:val="none"/>
        </w:rPr>
      </w:pPr>
      <w:r>
        <w:rPr>
          <w:rFonts w:hint="eastAsia"/>
          <w:color w:val="auto"/>
          <w:highlight w:val="none"/>
        </w:rPr>
        <w:t>②加工钢筋丝头前，钢筋端面一律用无齿锯切平，或用更加先进的钢筋切断设备切平，丝头端面应与钢筋轴向垂直。</w:t>
      </w:r>
    </w:p>
    <w:p>
      <w:pPr>
        <w:pStyle w:val="217"/>
        <w:rPr>
          <w:color w:val="auto"/>
          <w:highlight w:val="none"/>
        </w:rPr>
      </w:pPr>
      <w:r>
        <w:rPr>
          <w:rFonts w:hint="eastAsia"/>
          <w:color w:val="auto"/>
          <w:highlight w:val="none"/>
        </w:rPr>
        <w:t>③钢筋丝头的加工长度应为正公差，保证丝头在套筒内可相互顶紧，以减少残余变形。</w:t>
      </w:r>
    </w:p>
    <w:p>
      <w:pPr>
        <w:pStyle w:val="217"/>
        <w:rPr>
          <w:color w:val="auto"/>
          <w:highlight w:val="none"/>
        </w:rPr>
      </w:pPr>
      <w:r>
        <w:rPr>
          <w:rFonts w:hint="eastAsia"/>
          <w:color w:val="auto"/>
          <w:highlight w:val="none"/>
        </w:rPr>
        <w:t>④钢筋丝头经监理人员验收合格后，安装丝头保护套，避免在运输和浇筑混凝土时造成丝头损坏或污染。</w:t>
      </w:r>
    </w:p>
    <w:p>
      <w:pPr>
        <w:pStyle w:val="217"/>
        <w:rPr>
          <w:color w:val="auto"/>
          <w:highlight w:val="none"/>
        </w:rPr>
      </w:pPr>
      <w:r>
        <w:rPr>
          <w:rFonts w:hint="eastAsia"/>
          <w:color w:val="auto"/>
          <w:highlight w:val="none"/>
        </w:rPr>
        <w:t>⑤监理单位必须委派专人在钢筋加工场对丝头进行检查，合格半成品必须做统一标识，严禁不合格半成品用于工程项目中；在填写隐蔽记录过程中，施工单位应对钢筋接头做比较详尽地描述，监理单位在隐蔽验收时对钢筋接头进行重点检查。</w:t>
      </w:r>
    </w:p>
    <w:p>
      <w:pPr>
        <w:pStyle w:val="217"/>
        <w:rPr>
          <w:color w:val="auto"/>
          <w:highlight w:val="none"/>
        </w:rPr>
      </w:pPr>
      <w:r>
        <w:rPr>
          <w:rFonts w:hint="eastAsia"/>
          <w:color w:val="auto"/>
          <w:highlight w:val="none"/>
        </w:rPr>
        <w:t>⑥套筒供应商应提供合格螺纹量规，包括螺纹规和各种规格的通规和止规，在丝头加工过程中监理人员按《规程》要求进行抽检</w:t>
      </w:r>
      <w:r>
        <w:rPr>
          <w:color w:val="auto"/>
          <w:highlight w:val="none"/>
        </w:rPr>
        <w:t>,</w:t>
      </w:r>
      <w:r>
        <w:rPr>
          <w:rFonts w:hint="eastAsia"/>
          <w:color w:val="auto"/>
          <w:highlight w:val="none"/>
        </w:rPr>
        <w:t>抽检数量为</w:t>
      </w:r>
      <w:r>
        <w:rPr>
          <w:color w:val="auto"/>
          <w:highlight w:val="none"/>
        </w:rPr>
        <w:t>10%</w:t>
      </w:r>
      <w:r>
        <w:rPr>
          <w:rFonts w:hint="eastAsia"/>
          <w:color w:val="auto"/>
          <w:highlight w:val="none"/>
        </w:rPr>
        <w:t>，检验合格率不应小于</w:t>
      </w:r>
      <w:r>
        <w:rPr>
          <w:color w:val="auto"/>
          <w:highlight w:val="none"/>
        </w:rPr>
        <w:t>95%</w:t>
      </w:r>
      <w:r>
        <w:rPr>
          <w:rFonts w:hint="eastAsia"/>
          <w:color w:val="auto"/>
          <w:highlight w:val="none"/>
        </w:rPr>
        <w:t>，并做好相应记录。</w:t>
      </w:r>
    </w:p>
    <w:p>
      <w:pPr>
        <w:pStyle w:val="217"/>
        <w:rPr>
          <w:color w:val="auto"/>
          <w:highlight w:val="none"/>
        </w:rPr>
      </w:pPr>
      <w:r>
        <w:rPr>
          <w:rFonts w:hint="eastAsia"/>
          <w:color w:val="auto"/>
          <w:highlight w:val="none"/>
        </w:rPr>
        <w:t>⑦在施工过程中，更换钢筋生产厂时，必须补充进行工艺检验。施工单位在施工过程中应尽可能的同种规格始终采购同一厂家的钢筋。</w:t>
      </w:r>
    </w:p>
    <w:p>
      <w:pPr>
        <w:pStyle w:val="217"/>
        <w:rPr>
          <w:color w:val="auto"/>
          <w:highlight w:val="none"/>
        </w:rPr>
      </w:pPr>
      <w:r>
        <w:rPr>
          <w:color w:val="auto"/>
          <w:highlight w:val="none"/>
        </w:rPr>
        <w:t>3</w:t>
      </w:r>
      <w:r>
        <w:rPr>
          <w:rFonts w:hint="eastAsia"/>
          <w:color w:val="auto"/>
          <w:highlight w:val="none"/>
        </w:rPr>
        <w:t>）安装和现场抽检管理：</w:t>
      </w:r>
    </w:p>
    <w:p>
      <w:pPr>
        <w:pStyle w:val="217"/>
        <w:rPr>
          <w:color w:val="auto"/>
          <w:highlight w:val="none"/>
        </w:rPr>
      </w:pPr>
      <w:r>
        <w:rPr>
          <w:rFonts w:hint="eastAsia"/>
          <w:color w:val="auto"/>
          <w:highlight w:val="none"/>
        </w:rPr>
        <w:t>①安装接头时可用管钳扳手拧紧，应使钢筋丝头在套筒中央位置顶紧。标准型接头安装后的外露螺纹不宜超过</w:t>
      </w:r>
      <w:r>
        <w:rPr>
          <w:color w:val="auto"/>
          <w:highlight w:val="none"/>
        </w:rPr>
        <w:t>2P</w:t>
      </w:r>
      <w:r>
        <w:rPr>
          <w:rFonts w:hint="eastAsia"/>
          <w:color w:val="auto"/>
          <w:highlight w:val="none"/>
        </w:rPr>
        <w:t>。安装后用扭力扳手校核扭紧扭矩，拧紧扭矩值应符合《规程》的要求。</w:t>
      </w:r>
    </w:p>
    <w:p>
      <w:pPr>
        <w:pStyle w:val="217"/>
        <w:rPr>
          <w:color w:val="auto"/>
          <w:highlight w:val="none"/>
        </w:rPr>
      </w:pPr>
      <w:r>
        <w:rPr>
          <w:rFonts w:hint="eastAsia"/>
          <w:color w:val="auto"/>
          <w:highlight w:val="none"/>
        </w:rPr>
        <w:t>②监理人员必须随时用扭力扳手进行抽查，发现问题，做好记录，及时分析出问题的环节，并及时处理。</w:t>
      </w:r>
    </w:p>
    <w:p>
      <w:pPr>
        <w:pStyle w:val="217"/>
        <w:rPr>
          <w:color w:val="auto"/>
          <w:highlight w:val="none"/>
        </w:rPr>
      </w:pPr>
      <w:r>
        <w:rPr>
          <w:rFonts w:hint="eastAsia"/>
          <w:color w:val="auto"/>
          <w:highlight w:val="none"/>
        </w:rPr>
        <w:t>③浇筑混凝土时严禁用连接套筒代替钢筋丝头保护套，如有发现将严肃处理。</w:t>
      </w:r>
    </w:p>
    <w:p>
      <w:pPr>
        <w:pStyle w:val="217"/>
        <w:rPr>
          <w:color w:val="auto"/>
          <w:highlight w:val="none"/>
        </w:rPr>
      </w:pPr>
      <w:r>
        <w:rPr>
          <w:rFonts w:hint="eastAsia"/>
          <w:color w:val="auto"/>
          <w:highlight w:val="none"/>
        </w:rPr>
        <w:t>④现场抽检时，监理单位必须做到全过程跟踪见证，而不仅仅是见证送检，在试件截取前后，严禁施工单位进行二次扭紧或更换试件。项目组专业工程师应不定期的对现场抽检和送检进行全过程监督。</w:t>
      </w:r>
    </w:p>
    <w:p>
      <w:pPr>
        <w:pStyle w:val="217"/>
        <w:rPr>
          <w:color w:val="auto"/>
          <w:highlight w:val="none"/>
        </w:rPr>
      </w:pPr>
      <w:r>
        <w:rPr>
          <w:rFonts w:hint="eastAsia"/>
          <w:color w:val="auto"/>
          <w:highlight w:val="none"/>
        </w:rPr>
        <w:t>⑤发包人组织的专项检查组，不定期的对已安装好的接头进行抽查，抽查时增加残余变形检验，以考核施工单位加工和安装的工艺水平及质量状况。</w:t>
      </w:r>
      <w:r>
        <w:rPr>
          <w:color w:val="auto"/>
          <w:highlight w:val="none"/>
        </w:rPr>
        <w:t xml:space="preserve">   </w:t>
      </w:r>
    </w:p>
    <w:p>
      <w:pPr>
        <w:pStyle w:val="119"/>
        <w:rPr>
          <w:color w:val="auto"/>
          <w:highlight w:val="none"/>
        </w:rPr>
      </w:pPr>
      <w:r>
        <w:rPr>
          <w:color w:val="auto"/>
          <w:highlight w:val="none"/>
        </w:rPr>
        <w:t>3.3.2.5</w:t>
      </w:r>
      <w:r>
        <w:rPr>
          <w:rFonts w:hint="eastAsia"/>
          <w:color w:val="auto"/>
          <w:highlight w:val="none"/>
        </w:rPr>
        <w:t>混凝土工程</w:t>
      </w:r>
    </w:p>
    <w:p>
      <w:pPr>
        <w:pStyle w:val="217"/>
        <w:rPr>
          <w:color w:val="auto"/>
          <w:highlight w:val="none"/>
        </w:rPr>
      </w:pPr>
      <w:r>
        <w:rPr>
          <w:color w:val="auto"/>
          <w:highlight w:val="none"/>
        </w:rPr>
        <w:t>1.</w:t>
      </w:r>
      <w:r>
        <w:rPr>
          <w:rFonts w:hint="eastAsia"/>
          <w:color w:val="auto"/>
          <w:highlight w:val="none"/>
        </w:rPr>
        <w:t>基础混凝土的浇筑</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）本工程基础混凝土浇筑应从板的短方向开始沿板长的方向，由一端向另一端浇筑；也可以分两小组从中间开始向两端进行浇筑。</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设备基础浇筑地脚螺栓部位的混凝土时，严禁将混凝土斜向堆放振捣，以防固定螺栓的模板位移，或者引起螺栓下部位移而发生偏差。对于重要设备基础地脚螺栓，在混凝土浇筑过程中，应用经纬仪随时观测并及时纠正偏差。地脚螺栓的丝口部位应在浇筑前用油布扎好，防止水泥浆污染和碰坏丝牙。预留螺栓孔、楔形木塞或模板，在振捣混凝土时，应注意保持位置垂直不偏移。当混凝土浇筑到地脚螺栓底部和浇筑至螺栓高度</w:t>
      </w:r>
      <w:r>
        <w:rPr>
          <w:color w:val="auto"/>
          <w:highlight w:val="none"/>
        </w:rPr>
        <w:t>1/3</w:t>
      </w:r>
      <w:r>
        <w:rPr>
          <w:rFonts w:hint="eastAsia"/>
          <w:color w:val="auto"/>
          <w:highlight w:val="none"/>
        </w:rPr>
        <w:t>时，应进行两次复验，发现偏差及时纠正。</w:t>
      </w:r>
    </w:p>
    <w:p>
      <w:pPr>
        <w:pStyle w:val="217"/>
        <w:rPr>
          <w:color w:val="auto"/>
          <w:highlight w:val="none"/>
        </w:rPr>
      </w:pPr>
      <w:r>
        <w:rPr>
          <w:color w:val="auto"/>
          <w:highlight w:val="none"/>
        </w:rPr>
        <w:t>2.</w:t>
      </w:r>
      <w:r>
        <w:rPr>
          <w:rFonts w:hint="eastAsia"/>
          <w:color w:val="auto"/>
          <w:highlight w:val="none"/>
        </w:rPr>
        <w:t>框架混凝土的浇筑</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）多层框架按分层分段施工，水平方向可以结构平面设置的后浇带分段，垂直方向按结构层次分层。在每层中先浇筑柱，再浇筑梁板。</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）柱子浇筑宜在梁板模板安装后，钢筋未绑扎前进行，以便利用梁板模板稳定柱模和作为浇筑柱混凝土操作平台用。</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）浇筑混凝土时，浇筑层的厚度不得超过插入式振捣器作用部分长度的</w:t>
      </w:r>
      <w:r>
        <w:rPr>
          <w:color w:val="auto"/>
          <w:highlight w:val="none"/>
        </w:rPr>
        <w:t>1.2</w:t>
      </w:r>
      <w:r>
        <w:rPr>
          <w:rFonts w:hint="eastAsia"/>
          <w:color w:val="auto"/>
          <w:highlight w:val="none"/>
        </w:rPr>
        <w:t>倍值。混凝土浇筑过程中，要分批做坍落度，与原规定不符时，应予调整配合比。</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混凝土浇筑过程中，要保证混凝土保护层厚度及钢筋位置的正确性。不得踩踏钢筋，移动预埋件和预留孔洞的原来位置，如发现偏差和位移，应及时校正。特别要重视竖向结构的保护层和板负弯距部分钢筋的位置。</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）竖向结构应分段浇筑，采用竖向串筒导送混凝土时，竖向结构的浇筑高度可不加限制。无筒时高度一般不超过</w:t>
      </w:r>
      <w:r>
        <w:rPr>
          <w:color w:val="auto"/>
          <w:highlight w:val="none"/>
        </w:rPr>
        <w:t>2m</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）在浇筑薄墙、立柱等狭深结构时，为避免混凝土浇筑至一定高度后，由于积聚大量浆水而可能造成混凝土强度不均的现象，宜在浇筑到适当的高度时，适当减少混凝土的配合比用水量。</w:t>
      </w:r>
    </w:p>
    <w:p>
      <w:pPr>
        <w:pStyle w:val="217"/>
        <w:rPr>
          <w:color w:val="auto"/>
          <w:highlight w:val="none"/>
        </w:rPr>
      </w:pPr>
      <w:r>
        <w:rPr>
          <w:rFonts w:hint="eastAsia"/>
          <w:color w:val="auto"/>
          <w:highlight w:val="none"/>
        </w:rPr>
        <w:t>（</w:t>
      </w:r>
      <w:r>
        <w:rPr>
          <w:color w:val="auto"/>
          <w:highlight w:val="none"/>
        </w:rPr>
        <w:t>7</w:t>
      </w:r>
      <w:r>
        <w:rPr>
          <w:rFonts w:hint="eastAsia"/>
          <w:color w:val="auto"/>
          <w:highlight w:val="none"/>
        </w:rPr>
        <w:t>）肋形楼板的梁板应同时浇筑，浇筑方法应先将梁根据高度分层浇捣成阶梯形，当达到板底位置时即与板的混凝土一起浇筑。</w:t>
      </w:r>
    </w:p>
    <w:p>
      <w:pPr>
        <w:pStyle w:val="217"/>
        <w:rPr>
          <w:color w:val="auto"/>
          <w:highlight w:val="none"/>
        </w:rPr>
      </w:pPr>
      <w:r>
        <w:rPr>
          <w:color w:val="auto"/>
          <w:highlight w:val="none"/>
        </w:rPr>
        <w:t>3.</w:t>
      </w:r>
      <w:r>
        <w:rPr>
          <w:rFonts w:hint="eastAsia"/>
          <w:color w:val="auto"/>
          <w:highlight w:val="none"/>
        </w:rPr>
        <w:t>施工缝和后浇带设置要点</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）施工缝</w:t>
      </w:r>
    </w:p>
    <w:p>
      <w:pPr>
        <w:pStyle w:val="217"/>
        <w:rPr>
          <w:color w:val="auto"/>
          <w:highlight w:val="none"/>
        </w:rPr>
      </w:pPr>
      <w:r>
        <w:rPr>
          <w:color w:val="auto"/>
          <w:highlight w:val="none"/>
        </w:rPr>
        <w:t>1</w:t>
      </w:r>
      <w:r>
        <w:rPr>
          <w:rFonts w:hint="eastAsia"/>
          <w:color w:val="auto"/>
          <w:highlight w:val="none"/>
        </w:rPr>
        <w:t>）由于施工技术和施工组织上的原因，不能连续将结构整体浇筑完成，并且间歇的时间预计超出规范规定的时间时，应预先选定适当的部位设置施工缝。</w:t>
      </w:r>
    </w:p>
    <w:p>
      <w:pPr>
        <w:pStyle w:val="217"/>
        <w:rPr>
          <w:color w:val="auto"/>
          <w:highlight w:val="none"/>
        </w:rPr>
      </w:pPr>
      <w:r>
        <w:rPr>
          <w:color w:val="auto"/>
          <w:highlight w:val="none"/>
        </w:rPr>
        <w:t>2</w:t>
      </w:r>
      <w:r>
        <w:rPr>
          <w:rFonts w:hint="eastAsia"/>
          <w:color w:val="auto"/>
          <w:highlight w:val="none"/>
        </w:rPr>
        <w:t>）设置施工缝应该严格按照规定，认真对待。如果位置不当或处理不好，会引起质量事故，轻则开裂渗漏；重则危及结构安全，影响使用。因此，不能不给予高度重视。</w:t>
      </w:r>
    </w:p>
    <w:p>
      <w:pPr>
        <w:pStyle w:val="217"/>
        <w:rPr>
          <w:color w:val="auto"/>
          <w:highlight w:val="none"/>
        </w:rPr>
      </w:pPr>
      <w:r>
        <w:rPr>
          <w:color w:val="auto"/>
          <w:highlight w:val="none"/>
        </w:rPr>
        <w:t>3</w:t>
      </w:r>
      <w:r>
        <w:rPr>
          <w:rFonts w:hint="eastAsia"/>
          <w:color w:val="auto"/>
          <w:highlight w:val="none"/>
        </w:rPr>
        <w:t>）施工缝的位置应设置在结构受剪力较小且便于施工的部位。留缝应符合下列规定。</w:t>
      </w:r>
    </w:p>
    <w:p>
      <w:pPr>
        <w:pStyle w:val="217"/>
        <w:rPr>
          <w:color w:val="auto"/>
          <w:highlight w:val="none"/>
        </w:rPr>
      </w:pPr>
      <w:r>
        <w:rPr>
          <w:rFonts w:hint="eastAsia"/>
          <w:color w:val="auto"/>
          <w:highlight w:val="none"/>
        </w:rPr>
        <w:t>①柱的施工缝留置在基础的顶面、下面。</w:t>
      </w:r>
    </w:p>
    <w:p>
      <w:pPr>
        <w:pStyle w:val="217"/>
        <w:rPr>
          <w:color w:val="auto"/>
          <w:highlight w:val="none"/>
        </w:rPr>
      </w:pPr>
      <w:r>
        <w:rPr>
          <w:rFonts w:hint="eastAsia"/>
          <w:color w:val="auto"/>
          <w:highlight w:val="none"/>
        </w:rPr>
        <w:t>②和板连成整体的大断面梁的水平施工缝，留置在板底以下</w:t>
      </w:r>
      <w:r>
        <w:rPr>
          <w:color w:val="auto"/>
          <w:highlight w:val="none"/>
        </w:rPr>
        <w:t>20</w:t>
      </w:r>
      <w:r>
        <w:rPr>
          <w:rFonts w:hint="eastAsia"/>
          <w:color w:val="auto"/>
          <w:highlight w:val="none"/>
        </w:rPr>
        <w:t>～</w:t>
      </w:r>
      <w:r>
        <w:rPr>
          <w:color w:val="auto"/>
          <w:highlight w:val="none"/>
        </w:rPr>
        <w:t>30mm</w:t>
      </w:r>
      <w:r>
        <w:rPr>
          <w:rFonts w:hint="eastAsia"/>
          <w:color w:val="auto"/>
          <w:highlight w:val="none"/>
        </w:rPr>
        <w:t>处。当板下有梁托时，留在梁托下部。</w:t>
      </w:r>
    </w:p>
    <w:p>
      <w:pPr>
        <w:pStyle w:val="217"/>
        <w:rPr>
          <w:color w:val="auto"/>
          <w:highlight w:val="none"/>
        </w:rPr>
      </w:pPr>
      <w:r>
        <w:rPr>
          <w:rFonts w:hint="eastAsia"/>
          <w:color w:val="auto"/>
          <w:highlight w:val="none"/>
        </w:rPr>
        <w:t>③多孔单向板施工缝，留置在平行于板的短边的任何位置。</w:t>
      </w:r>
      <w:r>
        <w:rPr>
          <w:color w:val="auto"/>
          <w:highlight w:val="none"/>
        </w:rPr>
        <w:t xml:space="preserve">    </w:t>
      </w:r>
    </w:p>
    <w:p>
      <w:pPr>
        <w:pStyle w:val="217"/>
        <w:rPr>
          <w:color w:val="auto"/>
          <w:highlight w:val="none"/>
        </w:rPr>
      </w:pPr>
      <w:r>
        <w:rPr>
          <w:rFonts w:hint="eastAsia"/>
          <w:color w:val="auto"/>
          <w:highlight w:val="none"/>
        </w:rPr>
        <w:t>④有主次梁的楼板，直顺着次梁的水平方向浇筑，施工缝应留置在次梁跨度的中间三分之一范围内。</w:t>
      </w:r>
      <w:r>
        <w:rPr>
          <w:color w:val="auto"/>
          <w:highlight w:val="none"/>
        </w:rPr>
        <w:t xml:space="preserve"> </w:t>
      </w:r>
    </w:p>
    <w:p>
      <w:pPr>
        <w:pStyle w:val="217"/>
        <w:rPr>
          <w:color w:val="auto"/>
          <w:highlight w:val="none"/>
        </w:rPr>
      </w:pPr>
      <w:r>
        <w:rPr>
          <w:rFonts w:hint="eastAsia"/>
          <w:color w:val="auto"/>
          <w:highlight w:val="none"/>
        </w:rPr>
        <w:t>⑤墙上的施工缝留置在门窗过梁跨中</w:t>
      </w:r>
      <w:r>
        <w:rPr>
          <w:color w:val="auto"/>
          <w:highlight w:val="none"/>
        </w:rPr>
        <w:t>l</w:t>
      </w:r>
      <w:r>
        <w:rPr>
          <w:rFonts w:hint="eastAsia"/>
          <w:color w:val="auto"/>
          <w:highlight w:val="none"/>
        </w:rPr>
        <w:t>／</w:t>
      </w:r>
      <w:r>
        <w:rPr>
          <w:color w:val="auto"/>
          <w:highlight w:val="none"/>
        </w:rPr>
        <w:t>3</w:t>
      </w:r>
      <w:r>
        <w:rPr>
          <w:rFonts w:hint="eastAsia"/>
          <w:color w:val="auto"/>
          <w:highlight w:val="none"/>
        </w:rPr>
        <w:t>范围内，也可留置在纵横墙的交接处。</w:t>
      </w:r>
    </w:p>
    <w:p>
      <w:pPr>
        <w:pStyle w:val="217"/>
        <w:rPr>
          <w:color w:val="auto"/>
          <w:highlight w:val="none"/>
        </w:rPr>
      </w:pPr>
      <w:r>
        <w:rPr>
          <w:rFonts w:hint="eastAsia"/>
          <w:color w:val="auto"/>
          <w:highlight w:val="none"/>
        </w:rPr>
        <w:t>⑥肋形楼盖应沿着次梁的方向浇灌混凝土，其施工缝应留置在次梁跨中的</w:t>
      </w:r>
      <w:r>
        <w:rPr>
          <w:color w:val="auto"/>
          <w:highlight w:val="none"/>
        </w:rPr>
        <w:t>1/3</w:t>
      </w:r>
      <w:r>
        <w:rPr>
          <w:rFonts w:hint="eastAsia"/>
          <w:color w:val="auto"/>
          <w:highlight w:val="none"/>
        </w:rPr>
        <w:t>区段内；如浇灌平板楼盖，施工缝应平行于板的短边。</w:t>
      </w:r>
    </w:p>
    <w:p>
      <w:pPr>
        <w:pStyle w:val="217"/>
        <w:rPr>
          <w:color w:val="auto"/>
          <w:highlight w:val="none"/>
        </w:rPr>
      </w:pPr>
      <w:r>
        <w:rPr>
          <w:rFonts w:hint="eastAsia"/>
          <w:color w:val="auto"/>
          <w:highlight w:val="none"/>
        </w:rPr>
        <w:t>⑦钢筋混凝土柱、墙的施工缝见标准设计图集（</w:t>
      </w:r>
      <w:r>
        <w:rPr>
          <w:color w:val="auto"/>
          <w:highlight w:val="none"/>
        </w:rPr>
        <w:t>11G101-1</w:t>
      </w:r>
      <w:r>
        <w:rPr>
          <w:rFonts w:hint="eastAsia"/>
          <w:color w:val="auto"/>
          <w:highlight w:val="none"/>
        </w:rPr>
        <w:t>）有关柱、墙配筋构造。</w:t>
      </w:r>
    </w:p>
    <w:p>
      <w:pPr>
        <w:pStyle w:val="217"/>
        <w:rPr>
          <w:color w:val="auto"/>
          <w:highlight w:val="none"/>
        </w:rPr>
      </w:pPr>
      <w:r>
        <w:rPr>
          <w:rFonts w:hint="eastAsia"/>
          <w:color w:val="auto"/>
          <w:highlight w:val="none"/>
        </w:rPr>
        <w:t>⑧地下室底板（基础）与外墙交接处的施工缝应设置在板面</w:t>
      </w:r>
      <w:r>
        <w:rPr>
          <w:color w:val="auto"/>
          <w:highlight w:val="none"/>
        </w:rPr>
        <w:t>500</w:t>
      </w:r>
      <w:r>
        <w:rPr>
          <w:rFonts w:hint="eastAsia"/>
          <w:color w:val="auto"/>
          <w:highlight w:val="none"/>
        </w:rPr>
        <w:t>以上位置，接缝处加设钢板止水带。</w:t>
      </w:r>
    </w:p>
    <w:p>
      <w:pPr>
        <w:pStyle w:val="217"/>
        <w:rPr>
          <w:color w:val="auto"/>
          <w:highlight w:val="none"/>
        </w:rPr>
      </w:pPr>
      <w:r>
        <w:rPr>
          <w:rFonts w:hint="eastAsia"/>
          <w:color w:val="auto"/>
          <w:highlight w:val="none"/>
        </w:rPr>
        <w:t>⑨大体积混凝土结构及其他结构复杂的工程，施工缝的位置应按设计要求留置。下列情况可作参考：一般设备地坑及水池的施工缝可留在坑壁上或底混凝土面距坑</w:t>
      </w:r>
      <w:r>
        <w:rPr>
          <w:color w:val="auto"/>
          <w:highlight w:val="none"/>
        </w:rPr>
        <w:t>(</w:t>
      </w:r>
      <w:r>
        <w:rPr>
          <w:rFonts w:hint="eastAsia"/>
          <w:color w:val="auto"/>
          <w:highlight w:val="none"/>
        </w:rPr>
        <w:t>池</w:t>
      </w:r>
      <w:r>
        <w:rPr>
          <w:color w:val="auto"/>
          <w:highlight w:val="none"/>
        </w:rPr>
        <w:t>)30~50mm</w:t>
      </w:r>
      <w:r>
        <w:rPr>
          <w:rFonts w:hint="eastAsia"/>
          <w:color w:val="auto"/>
          <w:highlight w:val="none"/>
        </w:rPr>
        <w:t>范围内；承受动力作用的设备基础，不应留施工缝；如必须留施工缝时，应征得设计单位同意。</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）后浇带的设置</w:t>
      </w:r>
    </w:p>
    <w:p>
      <w:pPr>
        <w:pStyle w:val="217"/>
        <w:rPr>
          <w:color w:val="auto"/>
          <w:highlight w:val="none"/>
        </w:rPr>
      </w:pPr>
      <w:r>
        <w:rPr>
          <w:rFonts w:hint="eastAsia"/>
          <w:color w:val="auto"/>
          <w:highlight w:val="none"/>
        </w:rPr>
        <w:t>后浇带是为在现浇钢筋混凝土结构施工过程中，克服由于温度、收缩而可能产生有害裂缝而设置的临时施工缝。该缝应根据设计要求保留一段时间后再浇筑，将整个结构连成整体。</w:t>
      </w:r>
    </w:p>
    <w:p>
      <w:pPr>
        <w:pStyle w:val="217"/>
        <w:rPr>
          <w:color w:val="auto"/>
          <w:highlight w:val="none"/>
        </w:rPr>
      </w:pPr>
      <w:r>
        <w:rPr>
          <w:color w:val="auto"/>
          <w:highlight w:val="none"/>
        </w:rPr>
        <w:t>1</w:t>
      </w:r>
      <w:r>
        <w:rPr>
          <w:rFonts w:hint="eastAsia"/>
          <w:color w:val="auto"/>
          <w:highlight w:val="none"/>
        </w:rPr>
        <w:t>）后浇带的间距、位置、宽度应符合设计要求。后浇带的设置距离，一般考虑有效降低温差和收缩应力的条件下，通过计算来获得。</w:t>
      </w:r>
    </w:p>
    <w:p>
      <w:pPr>
        <w:pStyle w:val="217"/>
        <w:rPr>
          <w:color w:val="auto"/>
          <w:highlight w:val="none"/>
        </w:rPr>
      </w:pPr>
      <w:r>
        <w:rPr>
          <w:color w:val="auto"/>
          <w:highlight w:val="none"/>
        </w:rPr>
        <w:t>2</w:t>
      </w:r>
      <w:r>
        <w:rPr>
          <w:rFonts w:hint="eastAsia"/>
          <w:color w:val="auto"/>
          <w:highlight w:val="none"/>
        </w:rPr>
        <w:t>）后浇带的保留时间应根据设计确定。</w:t>
      </w:r>
    </w:p>
    <w:p>
      <w:pPr>
        <w:pStyle w:val="217"/>
        <w:rPr>
          <w:color w:val="auto"/>
          <w:highlight w:val="none"/>
        </w:rPr>
      </w:pPr>
      <w:r>
        <w:rPr>
          <w:color w:val="auto"/>
          <w:highlight w:val="none"/>
        </w:rPr>
        <w:t>3</w:t>
      </w:r>
      <w:r>
        <w:rPr>
          <w:rFonts w:hint="eastAsia"/>
          <w:color w:val="auto"/>
          <w:highlight w:val="none"/>
        </w:rPr>
        <w:t>）后浇带的宽度、钢筋按设计要求。</w:t>
      </w:r>
    </w:p>
    <w:p>
      <w:pPr>
        <w:pStyle w:val="217"/>
        <w:rPr>
          <w:color w:val="auto"/>
          <w:highlight w:val="none"/>
        </w:rPr>
      </w:pPr>
      <w:r>
        <w:rPr>
          <w:color w:val="auto"/>
          <w:highlight w:val="none"/>
        </w:rPr>
        <w:t>4</w:t>
      </w:r>
      <w:r>
        <w:rPr>
          <w:rFonts w:hint="eastAsia"/>
          <w:color w:val="auto"/>
          <w:highlight w:val="none"/>
        </w:rPr>
        <w:t>）后浇带在浇筑混凝土前，必须将整个混凝土表面按照施工缝的要求进行处理。填充后浇带的混凝土为比原混凝土高一强度等级的微膨胀混凝土，并保持至少</w:t>
      </w:r>
      <w:r>
        <w:rPr>
          <w:color w:val="auto"/>
          <w:highlight w:val="none"/>
        </w:rPr>
        <w:t>15d</w:t>
      </w:r>
      <w:r>
        <w:rPr>
          <w:rFonts w:hint="eastAsia"/>
          <w:color w:val="auto"/>
          <w:highlight w:val="none"/>
        </w:rPr>
        <w:t>的湿润养护。</w:t>
      </w:r>
    </w:p>
    <w:p>
      <w:pPr>
        <w:pStyle w:val="217"/>
        <w:rPr>
          <w:color w:val="auto"/>
          <w:highlight w:val="none"/>
        </w:rPr>
      </w:pPr>
      <w:r>
        <w:rPr>
          <w:color w:val="auto"/>
          <w:highlight w:val="none"/>
        </w:rPr>
        <w:t>5</w:t>
      </w:r>
      <w:r>
        <w:rPr>
          <w:rFonts w:hint="eastAsia"/>
          <w:color w:val="auto"/>
          <w:highlight w:val="none"/>
        </w:rPr>
        <w:t>）</w:t>
      </w:r>
      <w:r>
        <w:rPr>
          <w:color w:val="auto"/>
          <w:highlight w:val="none"/>
        </w:rPr>
        <w:t xml:space="preserve"> </w:t>
      </w:r>
      <w:r>
        <w:rPr>
          <w:rFonts w:hint="eastAsia"/>
          <w:color w:val="auto"/>
          <w:highlight w:val="none"/>
        </w:rPr>
        <w:t>后浇带两侧的模板在未封缝期间的不利受力状态应进行荷载验算，并采取有效措施后，方可拆除底模及其支撑。</w:t>
      </w:r>
    </w:p>
    <w:p>
      <w:pPr>
        <w:pStyle w:val="217"/>
        <w:rPr>
          <w:color w:val="auto"/>
          <w:highlight w:val="none"/>
        </w:rPr>
      </w:pPr>
      <w:r>
        <w:rPr>
          <w:color w:val="auto"/>
          <w:highlight w:val="none"/>
        </w:rPr>
        <w:t>6</w:t>
      </w:r>
      <w:r>
        <w:rPr>
          <w:rFonts w:hint="eastAsia"/>
          <w:color w:val="auto"/>
          <w:highlight w:val="none"/>
        </w:rPr>
        <w:t>）后浇带混凝土浇筑时的温度宜低于主体混凝土浇筑时的温度。</w:t>
      </w:r>
    </w:p>
    <w:p>
      <w:pPr>
        <w:pStyle w:val="217"/>
        <w:rPr>
          <w:color w:val="auto"/>
          <w:highlight w:val="none"/>
        </w:rPr>
      </w:pPr>
      <w:r>
        <w:rPr>
          <w:color w:val="auto"/>
          <w:highlight w:val="none"/>
        </w:rPr>
        <w:t>7</w:t>
      </w:r>
      <w:r>
        <w:rPr>
          <w:rFonts w:hint="eastAsia"/>
          <w:color w:val="auto"/>
          <w:highlight w:val="none"/>
        </w:rPr>
        <w:t>）后浇带应贯通地上及地下结构，遇梁则断梁，遇墙则断墙，遇板则断板，钢筋可不断开。为便于清理，也可间隔断开钢筋。梁钢筋在后浇带内通过不得切断。但浇筑封缝混凝土前，应清理干净并按要求焊接或机械连接。</w:t>
      </w:r>
    </w:p>
    <w:p>
      <w:pPr>
        <w:pStyle w:val="217"/>
        <w:rPr>
          <w:color w:val="auto"/>
          <w:highlight w:val="none"/>
        </w:rPr>
      </w:pPr>
      <w:r>
        <w:rPr>
          <w:color w:val="auto"/>
          <w:highlight w:val="none"/>
        </w:rPr>
        <w:t>8</w:t>
      </w:r>
      <w:r>
        <w:rPr>
          <w:rFonts w:hint="eastAsia"/>
          <w:color w:val="auto"/>
          <w:highlight w:val="none"/>
        </w:rPr>
        <w:t>）后浇带的施工缝可做成平头缝。</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）施工缝的处理</w:t>
      </w:r>
    </w:p>
    <w:p>
      <w:pPr>
        <w:pStyle w:val="217"/>
        <w:rPr>
          <w:color w:val="auto"/>
          <w:highlight w:val="none"/>
        </w:rPr>
      </w:pPr>
      <w:r>
        <w:rPr>
          <w:rFonts w:hint="eastAsia"/>
          <w:color w:val="auto"/>
          <w:highlight w:val="none"/>
        </w:rPr>
        <w:t>在施工缝处继续浇筑混凝土时，已浇筑的混凝土抗压强度至少要达到</w:t>
      </w:r>
      <w:r>
        <w:rPr>
          <w:color w:val="auto"/>
          <w:highlight w:val="none"/>
        </w:rPr>
        <w:t>l.2MPa</w:t>
      </w:r>
      <w:r>
        <w:rPr>
          <w:rFonts w:hint="eastAsia"/>
          <w:color w:val="auto"/>
          <w:highlight w:val="none"/>
        </w:rPr>
        <w:t>，同时必须对施工缝进行必要的处理后，方可浇注混凝土。混凝土抗压强度达到</w:t>
      </w:r>
      <w:r>
        <w:rPr>
          <w:color w:val="auto"/>
          <w:highlight w:val="none"/>
        </w:rPr>
        <w:t>l.2 MPa</w:t>
      </w:r>
      <w:r>
        <w:rPr>
          <w:rFonts w:hint="eastAsia"/>
          <w:color w:val="auto"/>
          <w:highlight w:val="none"/>
        </w:rPr>
        <w:t>的时间可通过试验确定或对照有关经验曲线确定。</w:t>
      </w:r>
    </w:p>
    <w:p>
      <w:pPr>
        <w:pStyle w:val="217"/>
        <w:rPr>
          <w:color w:val="auto"/>
          <w:highlight w:val="none"/>
        </w:rPr>
      </w:pPr>
      <w:r>
        <w:rPr>
          <w:color w:val="auto"/>
          <w:highlight w:val="none"/>
        </w:rPr>
        <w:t>1</w:t>
      </w:r>
      <w:r>
        <w:rPr>
          <w:rFonts w:hint="eastAsia"/>
          <w:color w:val="auto"/>
          <w:highlight w:val="none"/>
        </w:rPr>
        <w:t>）在已硬化的混凝土表面上继续浇筑混凝土前，应清除垃圾、水泥薄膜、表面松动砂石和软弱混凝土层，同时还应加以凿毛，用水冲洗干净并充分湿润，一般不宜少于</w:t>
      </w:r>
      <w:r>
        <w:rPr>
          <w:color w:val="auto"/>
          <w:highlight w:val="none"/>
        </w:rPr>
        <w:t>24h</w:t>
      </w:r>
      <w:r>
        <w:rPr>
          <w:rFonts w:hint="eastAsia"/>
          <w:color w:val="auto"/>
          <w:highlight w:val="none"/>
        </w:rPr>
        <w:t>，残留在混凝土表面的积水应予清除。</w:t>
      </w:r>
    </w:p>
    <w:p>
      <w:pPr>
        <w:pStyle w:val="217"/>
        <w:rPr>
          <w:color w:val="auto"/>
          <w:highlight w:val="none"/>
        </w:rPr>
      </w:pPr>
      <w:r>
        <w:rPr>
          <w:color w:val="auto"/>
          <w:highlight w:val="none"/>
        </w:rPr>
        <w:t>2</w:t>
      </w:r>
      <w:r>
        <w:rPr>
          <w:rFonts w:hint="eastAsia"/>
          <w:color w:val="auto"/>
          <w:highlight w:val="none"/>
        </w:rPr>
        <w:t>）注意施工缝位置附近的钢筋，要做到钢筋周围的混凝土不受松动和损坏。钢筋上的油污、水泥砂浆及浮锈物也应清除。</w:t>
      </w:r>
    </w:p>
    <w:p>
      <w:pPr>
        <w:pStyle w:val="217"/>
        <w:rPr>
          <w:color w:val="auto"/>
          <w:highlight w:val="none"/>
        </w:rPr>
      </w:pPr>
      <w:r>
        <w:rPr>
          <w:color w:val="auto"/>
          <w:highlight w:val="none"/>
        </w:rPr>
        <w:t>3</w:t>
      </w:r>
      <w:r>
        <w:rPr>
          <w:rFonts w:hint="eastAsia"/>
          <w:color w:val="auto"/>
          <w:highlight w:val="none"/>
        </w:rPr>
        <w:t>）在浇筑前，水平施工缝宜先铺上</w:t>
      </w:r>
      <w:r>
        <w:rPr>
          <w:color w:val="auto"/>
          <w:highlight w:val="none"/>
        </w:rPr>
        <w:t>lO~15mm</w:t>
      </w:r>
      <w:r>
        <w:rPr>
          <w:rFonts w:hint="eastAsia"/>
          <w:color w:val="auto"/>
          <w:highlight w:val="none"/>
        </w:rPr>
        <w:t>厚的水泥砂浆一层，其配合比与混凝土内的砂浆成分相同。</w:t>
      </w:r>
    </w:p>
    <w:p>
      <w:pPr>
        <w:pStyle w:val="217"/>
        <w:rPr>
          <w:color w:val="auto"/>
          <w:highlight w:val="none"/>
        </w:rPr>
      </w:pPr>
      <w:r>
        <w:rPr>
          <w:color w:val="auto"/>
          <w:highlight w:val="none"/>
        </w:rPr>
        <w:t>4</w:t>
      </w:r>
      <w:r>
        <w:rPr>
          <w:rFonts w:hint="eastAsia"/>
          <w:color w:val="auto"/>
          <w:highlight w:val="none"/>
        </w:rPr>
        <w:t>）从施工缝处开始继续浇筑时，要注意避免直接靠近缝边下料。机械振捣前，宜向施工缝处逐渐推进，并距</w:t>
      </w:r>
      <w:r>
        <w:rPr>
          <w:color w:val="auto"/>
          <w:highlight w:val="none"/>
        </w:rPr>
        <w:t>80-lOOcm</w:t>
      </w:r>
      <w:r>
        <w:rPr>
          <w:rFonts w:hint="eastAsia"/>
          <w:color w:val="auto"/>
          <w:highlight w:val="none"/>
        </w:rPr>
        <w:t>处停止振捣，但应加强对施工缝的捣实工作，使其紧密结合。</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）养护工作的要点：</w:t>
      </w:r>
    </w:p>
    <w:p>
      <w:pPr>
        <w:pStyle w:val="217"/>
        <w:rPr>
          <w:color w:val="auto"/>
          <w:highlight w:val="none"/>
        </w:rPr>
      </w:pPr>
      <w:r>
        <w:rPr>
          <w:color w:val="auto"/>
          <w:highlight w:val="none"/>
        </w:rPr>
        <w:t>1</w:t>
      </w:r>
      <w:r>
        <w:rPr>
          <w:rFonts w:hint="eastAsia"/>
          <w:color w:val="auto"/>
          <w:highlight w:val="none"/>
        </w:rPr>
        <w:t>）覆盖浇水养护</w:t>
      </w:r>
    </w:p>
    <w:p>
      <w:pPr>
        <w:pStyle w:val="217"/>
        <w:rPr>
          <w:color w:val="auto"/>
          <w:highlight w:val="none"/>
        </w:rPr>
      </w:pPr>
      <w:r>
        <w:rPr>
          <w:rFonts w:hint="eastAsia"/>
          <w:color w:val="auto"/>
          <w:highlight w:val="none"/>
        </w:rPr>
        <w:t>利用平均气温高于</w:t>
      </w:r>
      <w:r>
        <w:rPr>
          <w:color w:val="auto"/>
          <w:highlight w:val="none"/>
        </w:rPr>
        <w:t>+5</w:t>
      </w:r>
      <w:r>
        <w:rPr>
          <w:rFonts w:hint="eastAsia"/>
          <w:color w:val="auto"/>
          <w:highlight w:val="none"/>
        </w:rPr>
        <w:t>℃的自然条件，用适当的材料对混凝土表面加以覆盖并浇水，使混凝土在一定的时间内保持水泥水化作用所需要的适当温度和湿度条件。</w:t>
      </w:r>
    </w:p>
    <w:p>
      <w:pPr>
        <w:pStyle w:val="217"/>
        <w:rPr>
          <w:color w:val="auto"/>
          <w:highlight w:val="none"/>
        </w:rPr>
      </w:pPr>
      <w:r>
        <w:rPr>
          <w:rFonts w:hint="eastAsia"/>
          <w:color w:val="auto"/>
          <w:highlight w:val="none"/>
        </w:rPr>
        <w:t>覆盖养护需符合下列规定：</w:t>
      </w:r>
    </w:p>
    <w:p>
      <w:pPr>
        <w:pStyle w:val="217"/>
        <w:rPr>
          <w:color w:val="auto"/>
          <w:highlight w:val="none"/>
        </w:rPr>
      </w:pPr>
      <w:r>
        <w:rPr>
          <w:rFonts w:hint="eastAsia"/>
          <w:color w:val="auto"/>
          <w:highlight w:val="none"/>
        </w:rPr>
        <w:t>①覆盖浇水养护应在混凝土完毕后</w:t>
      </w:r>
      <w:r>
        <w:rPr>
          <w:color w:val="auto"/>
          <w:highlight w:val="none"/>
        </w:rPr>
        <w:t>12h</w:t>
      </w:r>
      <w:r>
        <w:rPr>
          <w:rFonts w:hint="eastAsia"/>
          <w:color w:val="auto"/>
          <w:highlight w:val="none"/>
        </w:rPr>
        <w:t>以内进行。</w:t>
      </w:r>
    </w:p>
    <w:p>
      <w:pPr>
        <w:pStyle w:val="217"/>
        <w:rPr>
          <w:color w:val="auto"/>
          <w:highlight w:val="none"/>
        </w:rPr>
      </w:pPr>
      <w:r>
        <w:rPr>
          <w:rFonts w:hint="eastAsia"/>
          <w:color w:val="auto"/>
          <w:highlight w:val="none"/>
        </w:rPr>
        <w:t>②混凝土的浇水养护时间，对采用硅酸盐水泥或矿渣硅酸盐水泥拌制的混凝土，不得少于</w:t>
      </w:r>
      <w:r>
        <w:rPr>
          <w:color w:val="auto"/>
          <w:highlight w:val="none"/>
        </w:rPr>
        <w:t>7d</w:t>
      </w:r>
      <w:r>
        <w:rPr>
          <w:rFonts w:hint="eastAsia"/>
          <w:color w:val="auto"/>
          <w:highlight w:val="none"/>
        </w:rPr>
        <w:t>，对掺用缓凝型外加剂或有抗溶性要求的混凝土，不得少于</w:t>
      </w:r>
      <w:r>
        <w:rPr>
          <w:color w:val="auto"/>
          <w:highlight w:val="none"/>
        </w:rPr>
        <w:t>14d</w:t>
      </w:r>
      <w:r>
        <w:rPr>
          <w:rFonts w:hint="eastAsia"/>
          <w:color w:val="auto"/>
          <w:highlight w:val="none"/>
        </w:rPr>
        <w:t>。</w:t>
      </w:r>
    </w:p>
    <w:p>
      <w:pPr>
        <w:pStyle w:val="217"/>
        <w:rPr>
          <w:color w:val="auto"/>
          <w:highlight w:val="none"/>
        </w:rPr>
      </w:pPr>
      <w:r>
        <w:rPr>
          <w:rFonts w:hint="eastAsia"/>
          <w:color w:val="auto"/>
          <w:highlight w:val="none"/>
        </w:rPr>
        <w:t>当采用其他品种水泥时，混凝土的养护应根据所采用水泥的技术性能确定。</w:t>
      </w:r>
    </w:p>
    <w:p>
      <w:pPr>
        <w:pStyle w:val="217"/>
        <w:rPr>
          <w:color w:val="auto"/>
          <w:highlight w:val="none"/>
        </w:rPr>
      </w:pPr>
      <w:r>
        <w:rPr>
          <w:rFonts w:hint="eastAsia"/>
          <w:color w:val="auto"/>
          <w:highlight w:val="none"/>
        </w:rPr>
        <w:t>③浇水次数应根据保持混凝土处于湿润的状态来决定。</w:t>
      </w:r>
    </w:p>
    <w:p>
      <w:pPr>
        <w:pStyle w:val="217"/>
        <w:rPr>
          <w:color w:val="auto"/>
          <w:highlight w:val="none"/>
        </w:rPr>
      </w:pPr>
      <w:r>
        <w:rPr>
          <w:rFonts w:hint="eastAsia"/>
          <w:color w:val="auto"/>
          <w:highlight w:val="none"/>
        </w:rPr>
        <w:t>④混凝土的养护用水与拌制水相同。</w:t>
      </w:r>
    </w:p>
    <w:p>
      <w:pPr>
        <w:pStyle w:val="217"/>
        <w:rPr>
          <w:color w:val="auto"/>
          <w:highlight w:val="none"/>
        </w:rPr>
      </w:pPr>
      <w:r>
        <w:rPr>
          <w:rFonts w:hint="eastAsia"/>
          <w:color w:val="auto"/>
          <w:highlight w:val="none"/>
        </w:rPr>
        <w:t>⑤当日平均气温低于</w:t>
      </w:r>
      <w:r>
        <w:rPr>
          <w:color w:val="auto"/>
          <w:highlight w:val="none"/>
        </w:rPr>
        <w:t>5</w:t>
      </w:r>
      <w:r>
        <w:rPr>
          <w:rFonts w:hint="eastAsia"/>
          <w:color w:val="auto"/>
          <w:highlight w:val="none"/>
        </w:rPr>
        <w:t>℃时，不得浇水。</w:t>
      </w:r>
    </w:p>
    <w:p>
      <w:pPr>
        <w:pStyle w:val="217"/>
        <w:rPr>
          <w:color w:val="auto"/>
          <w:highlight w:val="none"/>
        </w:rPr>
      </w:pPr>
      <w:r>
        <w:rPr>
          <w:rFonts w:hint="eastAsia"/>
          <w:color w:val="auto"/>
          <w:highlight w:val="none"/>
        </w:rPr>
        <w:t>大面积结构，如地坪、楼板、屋面等可采用蓄水养护。储水池一类工程可于拆除内模混凝土达到一定强度后注水养护。</w:t>
      </w:r>
    </w:p>
    <w:p>
      <w:pPr>
        <w:pStyle w:val="217"/>
        <w:rPr>
          <w:color w:val="auto"/>
          <w:highlight w:val="none"/>
        </w:rPr>
      </w:pPr>
      <w:r>
        <w:rPr>
          <w:color w:val="auto"/>
          <w:highlight w:val="none"/>
        </w:rPr>
        <w:t>2</w:t>
      </w:r>
      <w:r>
        <w:rPr>
          <w:rFonts w:hint="eastAsia"/>
          <w:color w:val="auto"/>
          <w:highlight w:val="none"/>
        </w:rPr>
        <w:t>）薄膜布养护</w:t>
      </w:r>
    </w:p>
    <w:p>
      <w:pPr>
        <w:pStyle w:val="217"/>
        <w:rPr>
          <w:color w:val="auto"/>
          <w:highlight w:val="none"/>
        </w:rPr>
      </w:pPr>
      <w:r>
        <w:rPr>
          <w:rFonts w:hint="eastAsia"/>
          <w:color w:val="auto"/>
          <w:highlight w:val="none"/>
        </w:rPr>
        <w:t>在有条件的情况下，可采用不透水、气的薄膜布</w:t>
      </w:r>
      <w:r>
        <w:rPr>
          <w:color w:val="auto"/>
          <w:highlight w:val="none"/>
        </w:rPr>
        <w:t>(</w:t>
      </w:r>
      <w:r>
        <w:rPr>
          <w:rFonts w:hint="eastAsia"/>
          <w:color w:val="auto"/>
          <w:highlight w:val="none"/>
        </w:rPr>
        <w:t>如塑料薄膜布</w:t>
      </w:r>
      <w:r>
        <w:rPr>
          <w:color w:val="auto"/>
          <w:highlight w:val="none"/>
        </w:rPr>
        <w:t>)</w:t>
      </w:r>
      <w:r>
        <w:rPr>
          <w:rFonts w:hint="eastAsia"/>
          <w:color w:val="auto"/>
          <w:highlight w:val="none"/>
        </w:rPr>
        <w:t>养护。用薄膜布把混凝土表面敝露的部分全部严密地覆盖起来，保证混凝土在不失水的情况下得到充分的养护。这种方法的优点是不必浇水，操作方便，能重复使用，能提高混凝土的早期强度，加速模具的周转。但应该保持薄膜布内有凝结水。</w:t>
      </w:r>
    </w:p>
    <w:p>
      <w:pPr>
        <w:pStyle w:val="217"/>
        <w:rPr>
          <w:color w:val="auto"/>
          <w:highlight w:val="none"/>
        </w:rPr>
      </w:pPr>
      <w:r>
        <w:rPr>
          <w:color w:val="auto"/>
          <w:highlight w:val="none"/>
        </w:rPr>
        <w:t>3</w:t>
      </w:r>
      <w:r>
        <w:rPr>
          <w:rFonts w:hint="eastAsia"/>
          <w:color w:val="auto"/>
          <w:highlight w:val="none"/>
        </w:rPr>
        <w:t>）薄膜养生液养护</w:t>
      </w:r>
    </w:p>
    <w:p>
      <w:pPr>
        <w:pStyle w:val="217"/>
        <w:rPr>
          <w:color w:val="auto"/>
          <w:highlight w:val="none"/>
        </w:rPr>
      </w:pPr>
      <w:r>
        <w:rPr>
          <w:rFonts w:hint="eastAsia"/>
          <w:color w:val="auto"/>
          <w:highlight w:val="none"/>
        </w:rPr>
        <w:t>混凝土的表面不便浇水或使用塑料薄膜布养护时，可采用涂刷薄膜养生液防止混凝土内部水分蒸发的方法进行养护。</w:t>
      </w:r>
    </w:p>
    <w:p>
      <w:pPr>
        <w:pStyle w:val="217"/>
        <w:rPr>
          <w:color w:val="auto"/>
          <w:highlight w:val="none"/>
        </w:rPr>
      </w:pPr>
      <w:r>
        <w:rPr>
          <w:rFonts w:hint="eastAsia"/>
          <w:color w:val="auto"/>
          <w:highlight w:val="none"/>
        </w:rPr>
        <w:t>薄膜养生液养护是将可成膜的溶液喷洒在混凝土表面上，溶液挥发后在混凝土表面凝结成一层薄膜，使混凝土表面与空气隔绝，封闭混凝土中的水分不再被蒸发。而完成水化作用。</w:t>
      </w:r>
    </w:p>
    <w:p>
      <w:pPr>
        <w:pStyle w:val="217"/>
        <w:rPr>
          <w:color w:val="auto"/>
          <w:highlight w:val="none"/>
        </w:rPr>
      </w:pPr>
      <w:r>
        <w:rPr>
          <w:color w:val="auto"/>
          <w:highlight w:val="none"/>
        </w:rPr>
        <w:t>4.</w:t>
      </w:r>
      <w:r>
        <w:rPr>
          <w:rFonts w:hint="eastAsia"/>
          <w:color w:val="auto"/>
          <w:highlight w:val="none"/>
        </w:rPr>
        <w:t>原状混凝土清水漆技术要求：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）清水漆品牌必须是国产品牌，须先做好样板，经甲方、监理认可后方可大面积施工；</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）修补调整材</w:t>
      </w:r>
      <w:r>
        <w:rPr>
          <w:color w:val="auto"/>
          <w:highlight w:val="none"/>
        </w:rPr>
        <w:t>,</w:t>
      </w:r>
      <w:r>
        <w:rPr>
          <w:rFonts w:hint="eastAsia"/>
          <w:color w:val="auto"/>
          <w:highlight w:val="none"/>
        </w:rPr>
        <w:t>进行找补颜色；</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）要求清水混凝土保护剂涂刷二遍，使用周期须达到</w:t>
      </w:r>
      <w:r>
        <w:rPr>
          <w:color w:val="auto"/>
          <w:highlight w:val="none"/>
        </w:rPr>
        <w:t>20</w:t>
      </w:r>
      <w:r>
        <w:rPr>
          <w:rFonts w:hint="eastAsia"/>
          <w:color w:val="auto"/>
          <w:highlight w:val="none"/>
        </w:rPr>
        <w:t>年；</w:t>
      </w:r>
      <w:r>
        <w:rPr>
          <w:color w:val="auto"/>
          <w:highlight w:val="none"/>
        </w:rPr>
        <w:t> </w:t>
      </w:r>
      <w:r>
        <w:rPr>
          <w:color w:val="auto"/>
          <w:highlight w:val="none"/>
        </w:rPr>
        <w:br w:type="textWrapping"/>
      </w:r>
      <w:r>
        <w:rPr>
          <w:rFonts w:hint="eastAsia"/>
          <w:color w:val="auto"/>
          <w:highlight w:val="none"/>
        </w:rPr>
        <w:t>清水漆质量要求：</w:t>
      </w:r>
    </w:p>
    <w:p>
      <w:pPr>
        <w:pStyle w:val="217"/>
        <w:rPr>
          <w:color w:val="auto"/>
          <w:highlight w:val="none"/>
        </w:rPr>
      </w:pPr>
      <w:r>
        <w:rPr>
          <w:color w:val="auto"/>
          <w:highlight w:val="none"/>
        </w:rPr>
        <w:t>1</w:t>
      </w:r>
      <w:r>
        <w:rPr>
          <w:rFonts w:hint="eastAsia"/>
          <w:color w:val="auto"/>
          <w:highlight w:val="none"/>
        </w:rPr>
        <w:t>）清水漆表面无污染无色差，须透出原状混凝土的本色；</w:t>
      </w:r>
    </w:p>
    <w:p>
      <w:pPr>
        <w:pStyle w:val="217"/>
        <w:rPr>
          <w:color w:val="auto"/>
          <w:highlight w:val="none"/>
        </w:rPr>
      </w:pPr>
      <w:r>
        <w:rPr>
          <w:color w:val="auto"/>
          <w:highlight w:val="none"/>
        </w:rPr>
        <w:t>2</w:t>
      </w:r>
      <w:r>
        <w:rPr>
          <w:rFonts w:hint="eastAsia"/>
          <w:color w:val="auto"/>
          <w:highlight w:val="none"/>
        </w:rPr>
        <w:t>）漆面不得出现漏刷，起皱，流坠鼓泡、开裂等现象。</w:t>
      </w:r>
    </w:p>
    <w:p>
      <w:pPr>
        <w:pStyle w:val="119"/>
        <w:rPr>
          <w:color w:val="auto"/>
          <w:highlight w:val="none"/>
        </w:rPr>
      </w:pPr>
      <w:r>
        <w:rPr>
          <w:color w:val="auto"/>
          <w:highlight w:val="none"/>
        </w:rPr>
        <w:t xml:space="preserve">3.3.2.6 </w:t>
      </w:r>
      <w:r>
        <w:rPr>
          <w:rFonts w:hint="eastAsia"/>
          <w:color w:val="auto"/>
          <w:highlight w:val="none"/>
        </w:rPr>
        <w:t>砌体工程</w:t>
      </w:r>
    </w:p>
    <w:p>
      <w:pPr>
        <w:pStyle w:val="217"/>
        <w:rPr>
          <w:color w:val="auto"/>
          <w:highlight w:val="none"/>
        </w:rPr>
      </w:pPr>
      <w:r>
        <w:rPr>
          <w:color w:val="auto"/>
          <w:highlight w:val="none"/>
        </w:rPr>
        <w:t>1.</w:t>
      </w:r>
      <w:r>
        <w:rPr>
          <w:rFonts w:hint="eastAsia"/>
          <w:color w:val="auto"/>
          <w:highlight w:val="none"/>
        </w:rPr>
        <w:t>砌筑砂浆</w:t>
      </w:r>
    </w:p>
    <w:p>
      <w:pPr>
        <w:pStyle w:val="217"/>
        <w:rPr>
          <w:color w:val="auto"/>
          <w:highlight w:val="none"/>
        </w:rPr>
      </w:pPr>
      <w:r>
        <w:rPr>
          <w:rFonts w:hint="eastAsia"/>
          <w:color w:val="auto"/>
          <w:highlight w:val="none"/>
        </w:rPr>
        <w:t>砌筑砂浆采用搅拌场预拌砂浆，不得现场搅拌。</w:t>
      </w:r>
      <w:r>
        <w:rPr>
          <w:color w:val="auto"/>
          <w:highlight w:val="none"/>
        </w:rPr>
        <w:t xml:space="preserve"> </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）砌筑砂浆的原材料</w:t>
      </w:r>
    </w:p>
    <w:p>
      <w:pPr>
        <w:pStyle w:val="217"/>
        <w:rPr>
          <w:color w:val="auto"/>
          <w:highlight w:val="none"/>
        </w:rPr>
      </w:pPr>
      <w:r>
        <w:rPr>
          <w:color w:val="auto"/>
          <w:highlight w:val="none"/>
        </w:rPr>
        <w:t>1</w:t>
      </w:r>
      <w:r>
        <w:rPr>
          <w:rFonts w:hint="eastAsia"/>
          <w:color w:val="auto"/>
          <w:highlight w:val="none"/>
        </w:rPr>
        <w:t>）水泥</w:t>
      </w:r>
    </w:p>
    <w:p>
      <w:pPr>
        <w:pStyle w:val="217"/>
        <w:rPr>
          <w:color w:val="auto"/>
          <w:highlight w:val="none"/>
        </w:rPr>
      </w:pPr>
      <w:r>
        <w:rPr>
          <w:rFonts w:hint="eastAsia"/>
          <w:color w:val="auto"/>
          <w:highlight w:val="none"/>
        </w:rPr>
        <w:t>砌筑用水泥对品种、强度等级没有限制，但使用水泥时，应注意水泥的品种性能及适用范围。宜选用普通硅酸盐水泥，不宜选用强度等级太高的水泥，水泥砂浆不宜选用水泥强度等级大于</w:t>
      </w:r>
      <w:r>
        <w:rPr>
          <w:color w:val="auto"/>
          <w:highlight w:val="none"/>
        </w:rPr>
        <w:t>32.5</w:t>
      </w:r>
      <w:r>
        <w:rPr>
          <w:rFonts w:hint="eastAsia"/>
          <w:color w:val="auto"/>
          <w:highlight w:val="none"/>
        </w:rPr>
        <w:t>级的水泥，混合砂浆选用水泥强度不宜大于</w:t>
      </w:r>
      <w:r>
        <w:rPr>
          <w:color w:val="auto"/>
          <w:highlight w:val="none"/>
        </w:rPr>
        <w:t>42.5</w:t>
      </w:r>
      <w:r>
        <w:rPr>
          <w:rFonts w:hint="eastAsia"/>
          <w:color w:val="auto"/>
          <w:highlight w:val="none"/>
        </w:rPr>
        <w:t>级的水泥。对不同厂家、品种、强度等级的水泥应分别存放，不得混合使用。</w:t>
      </w:r>
    </w:p>
    <w:p>
      <w:pPr>
        <w:pStyle w:val="217"/>
        <w:rPr>
          <w:color w:val="auto"/>
          <w:highlight w:val="none"/>
        </w:rPr>
      </w:pPr>
      <w:r>
        <w:rPr>
          <w:rFonts w:hint="eastAsia"/>
          <w:color w:val="auto"/>
          <w:highlight w:val="none"/>
        </w:rPr>
        <w:t>水泥进入施工场地应有出厂质量保证书，且品种和强度等级应符合设计要求。对进场的水泥质量应按有关规定进行复检，复检达不到质量标准不得使用。严禁使用安定性不合格的水泥。</w:t>
      </w:r>
    </w:p>
    <w:p>
      <w:pPr>
        <w:pStyle w:val="217"/>
        <w:rPr>
          <w:color w:val="auto"/>
          <w:highlight w:val="none"/>
        </w:rPr>
      </w:pPr>
      <w:r>
        <w:rPr>
          <w:color w:val="auto"/>
          <w:highlight w:val="none"/>
        </w:rPr>
        <w:t>2</w:t>
      </w:r>
      <w:r>
        <w:rPr>
          <w:rFonts w:hint="eastAsia"/>
          <w:color w:val="auto"/>
          <w:highlight w:val="none"/>
        </w:rPr>
        <w:t>）砂</w:t>
      </w:r>
    </w:p>
    <w:p>
      <w:pPr>
        <w:pStyle w:val="217"/>
        <w:rPr>
          <w:color w:val="auto"/>
          <w:highlight w:val="none"/>
        </w:rPr>
      </w:pPr>
      <w:r>
        <w:rPr>
          <w:rFonts w:hint="eastAsia"/>
          <w:color w:val="auto"/>
          <w:highlight w:val="none"/>
        </w:rPr>
        <w:t>砖砌体、砌块砌体及料石砌体用的砂浆宜用中砂，并应过筛，不得含有草根、土块、石块等杂物。砂应进行抽样检验并符合现行国家标准的要求。</w:t>
      </w:r>
    </w:p>
    <w:p>
      <w:pPr>
        <w:pStyle w:val="217"/>
        <w:rPr>
          <w:color w:val="auto"/>
          <w:highlight w:val="none"/>
        </w:rPr>
      </w:pPr>
      <w:r>
        <w:rPr>
          <w:color w:val="auto"/>
          <w:highlight w:val="none"/>
        </w:rPr>
        <w:t>3</w:t>
      </w:r>
      <w:r>
        <w:rPr>
          <w:rFonts w:hint="eastAsia"/>
          <w:color w:val="auto"/>
          <w:highlight w:val="none"/>
        </w:rPr>
        <w:t>）水</w:t>
      </w:r>
      <w:r>
        <w:rPr>
          <w:color w:val="auto"/>
          <w:highlight w:val="none"/>
        </w:rPr>
        <w:t xml:space="preserve">  </w:t>
      </w:r>
    </w:p>
    <w:p>
      <w:pPr>
        <w:pStyle w:val="217"/>
        <w:rPr>
          <w:color w:val="auto"/>
          <w:highlight w:val="none"/>
        </w:rPr>
      </w:pPr>
      <w:r>
        <w:rPr>
          <w:rFonts w:hint="eastAsia"/>
          <w:color w:val="auto"/>
          <w:highlight w:val="none"/>
        </w:rPr>
        <w:t>宜采用饮用水。当采用其他来源水时，水质必须符合中华人民共和国建设部标准《混凝土拌合用水标准》（</w:t>
      </w:r>
      <w:r>
        <w:rPr>
          <w:color w:val="auto"/>
          <w:highlight w:val="none"/>
        </w:rPr>
        <w:t>JGJ63-89</w:t>
      </w:r>
      <w:r>
        <w:rPr>
          <w:rFonts w:hint="eastAsia"/>
          <w:color w:val="auto"/>
          <w:highlight w:val="none"/>
        </w:rPr>
        <w:t>）的规定。</w:t>
      </w:r>
    </w:p>
    <w:p>
      <w:pPr>
        <w:pStyle w:val="217"/>
        <w:rPr>
          <w:color w:val="auto"/>
          <w:highlight w:val="none"/>
        </w:rPr>
      </w:pPr>
      <w:r>
        <w:rPr>
          <w:color w:val="auto"/>
          <w:highlight w:val="none"/>
        </w:rPr>
        <w:t>4</w:t>
      </w:r>
      <w:r>
        <w:rPr>
          <w:rFonts w:hint="eastAsia"/>
          <w:color w:val="auto"/>
          <w:highlight w:val="none"/>
        </w:rPr>
        <w:t>）外加剂</w:t>
      </w:r>
      <w:r>
        <w:rPr>
          <w:color w:val="auto"/>
          <w:highlight w:val="none"/>
        </w:rPr>
        <w:t xml:space="preserve">  </w:t>
      </w:r>
    </w:p>
    <w:p>
      <w:pPr>
        <w:pStyle w:val="217"/>
        <w:rPr>
          <w:color w:val="auto"/>
          <w:highlight w:val="none"/>
        </w:rPr>
      </w:pPr>
      <w:r>
        <w:rPr>
          <w:rFonts w:hint="eastAsia"/>
          <w:color w:val="auto"/>
          <w:highlight w:val="none"/>
        </w:rPr>
        <w:t>引气剂、早强剂、缓凝剂及防冻剂应符合国家质量标准或施工合同确定的标准，并应具有法定检测机构出具的该产品砌体强度型式检验报告，还应经砂浆性能试验合格后方可使用。其掺量应通过试验确定。</w:t>
      </w:r>
      <w:r>
        <w:rPr>
          <w:color w:val="auto"/>
          <w:highlight w:val="none"/>
        </w:rPr>
        <w:t xml:space="preserve">   </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）砌筑砂浆的配置</w:t>
      </w:r>
      <w:r>
        <w:rPr>
          <w:color w:val="auto"/>
          <w:highlight w:val="none"/>
        </w:rPr>
        <w:t xml:space="preserve"> </w:t>
      </w:r>
    </w:p>
    <w:p>
      <w:pPr>
        <w:pStyle w:val="217"/>
        <w:rPr>
          <w:color w:val="auto"/>
          <w:highlight w:val="none"/>
        </w:rPr>
      </w:pPr>
      <w:r>
        <w:rPr>
          <w:rFonts w:hint="eastAsia"/>
          <w:color w:val="auto"/>
          <w:highlight w:val="none"/>
        </w:rPr>
        <w:t>砂浆强度等级是以标准养护</w:t>
      </w:r>
      <w:r>
        <w:rPr>
          <w:color w:val="auto"/>
          <w:highlight w:val="none"/>
        </w:rPr>
        <w:t>(20</w:t>
      </w:r>
      <w:r>
        <w:rPr>
          <w:rFonts w:hint="eastAsia"/>
          <w:color w:val="auto"/>
          <w:highlight w:val="none"/>
        </w:rPr>
        <w:t>±</w:t>
      </w:r>
      <w:r>
        <w:rPr>
          <w:color w:val="auto"/>
          <w:highlight w:val="none"/>
        </w:rPr>
        <w:t>5</w:t>
      </w:r>
      <w:r>
        <w:rPr>
          <w:rFonts w:hint="eastAsia"/>
          <w:color w:val="auto"/>
          <w:highlight w:val="none"/>
        </w:rPr>
        <w:t>℃</w:t>
      </w:r>
      <w:r>
        <w:rPr>
          <w:color w:val="auto"/>
          <w:highlight w:val="none"/>
        </w:rPr>
        <w:t>)</w:t>
      </w:r>
      <w:r>
        <w:rPr>
          <w:rFonts w:hint="eastAsia"/>
          <w:color w:val="auto"/>
          <w:highlight w:val="none"/>
        </w:rPr>
        <w:t>及正常湿度条件下的室内不通风处养护）、龄期为</w:t>
      </w:r>
      <w:r>
        <w:rPr>
          <w:color w:val="auto"/>
          <w:highlight w:val="none"/>
        </w:rPr>
        <w:t>28d</w:t>
      </w:r>
      <w:r>
        <w:rPr>
          <w:rFonts w:hint="eastAsia"/>
          <w:color w:val="auto"/>
          <w:highlight w:val="none"/>
        </w:rPr>
        <w:t>的试块抗压强度为准。确定砂浆等级时，应采用同类块体为砂浆强度试块底模。</w:t>
      </w:r>
    </w:p>
    <w:p>
      <w:pPr>
        <w:pStyle w:val="217"/>
        <w:rPr>
          <w:color w:val="auto"/>
          <w:highlight w:val="none"/>
        </w:rPr>
      </w:pPr>
      <w:r>
        <w:rPr>
          <w:rFonts w:hint="eastAsia"/>
          <w:color w:val="auto"/>
          <w:highlight w:val="none"/>
        </w:rPr>
        <w:t>根据《砌筑砂浆配合比设计规程》</w:t>
      </w:r>
      <w:r>
        <w:rPr>
          <w:color w:val="auto"/>
          <w:highlight w:val="none"/>
        </w:rPr>
        <w:t>(JGJ98—2010),</w:t>
      </w:r>
      <w:r>
        <w:rPr>
          <w:rFonts w:hint="eastAsia"/>
          <w:color w:val="auto"/>
          <w:highlight w:val="none"/>
        </w:rPr>
        <w:t>设计强度等级砂浆相应的抗压强度值应符合《砌体结构设计规范》的规定。</w:t>
      </w:r>
      <w:r>
        <w:rPr>
          <w:color w:val="auto"/>
          <w:highlight w:val="none"/>
        </w:rPr>
        <w:t xml:space="preserve"> </w:t>
      </w:r>
    </w:p>
    <w:p>
      <w:pPr>
        <w:pStyle w:val="217"/>
        <w:rPr>
          <w:color w:val="auto"/>
          <w:highlight w:val="none"/>
        </w:rPr>
      </w:pPr>
      <w:r>
        <w:rPr>
          <w:rFonts w:hint="eastAsia"/>
          <w:color w:val="auto"/>
          <w:highlight w:val="none"/>
        </w:rPr>
        <w:t>砂浆应采用机械拌合，拌合时间自投料结束算起：水泥砂浆不少于</w:t>
      </w:r>
      <w:r>
        <w:rPr>
          <w:color w:val="auto"/>
          <w:highlight w:val="none"/>
        </w:rPr>
        <w:t>2min</w:t>
      </w:r>
      <w:r>
        <w:rPr>
          <w:rFonts w:hint="eastAsia"/>
          <w:color w:val="auto"/>
          <w:highlight w:val="none"/>
        </w:rPr>
        <w:t>；砂浆的配合比应根据现场材料经试验确定，施工过程中如果砂浆的组成材料有变更时，应调整配合比。</w:t>
      </w:r>
    </w:p>
    <w:p>
      <w:pPr>
        <w:pStyle w:val="217"/>
        <w:rPr>
          <w:color w:val="auto"/>
          <w:highlight w:val="none"/>
        </w:rPr>
      </w:pPr>
      <w:r>
        <w:rPr>
          <w:rFonts w:hint="eastAsia"/>
          <w:color w:val="auto"/>
          <w:highlight w:val="none"/>
        </w:rPr>
        <w:t>砂浆的配合比应采用重量比。</w:t>
      </w:r>
    </w:p>
    <w:p>
      <w:pPr>
        <w:pStyle w:val="217"/>
        <w:rPr>
          <w:color w:val="auto"/>
          <w:highlight w:val="none"/>
        </w:rPr>
      </w:pPr>
      <w:r>
        <w:rPr>
          <w:rFonts w:hint="eastAsia"/>
          <w:color w:val="auto"/>
          <w:highlight w:val="none"/>
        </w:rPr>
        <w:t>水泥及外加剂的配料精度应控制在±</w:t>
      </w:r>
      <w:r>
        <w:rPr>
          <w:color w:val="auto"/>
          <w:highlight w:val="none"/>
        </w:rPr>
        <w:t>2%</w:t>
      </w:r>
      <w:r>
        <w:rPr>
          <w:rFonts w:hint="eastAsia"/>
          <w:color w:val="auto"/>
          <w:highlight w:val="none"/>
        </w:rPr>
        <w:t>以内；砂、石灰膏等配料精度应控制在±</w:t>
      </w:r>
      <w:r>
        <w:rPr>
          <w:color w:val="auto"/>
          <w:highlight w:val="none"/>
        </w:rPr>
        <w:t>5%</w:t>
      </w:r>
      <w:r>
        <w:rPr>
          <w:rFonts w:hint="eastAsia"/>
          <w:color w:val="auto"/>
          <w:highlight w:val="none"/>
        </w:rPr>
        <w:t>以内。砂浆应采用机械拌和。</w:t>
      </w:r>
    </w:p>
    <w:p>
      <w:pPr>
        <w:pStyle w:val="217"/>
        <w:rPr>
          <w:color w:val="auto"/>
          <w:highlight w:val="none"/>
        </w:rPr>
      </w:pPr>
      <w:r>
        <w:rPr>
          <w:color w:val="auto"/>
          <w:highlight w:val="none"/>
        </w:rPr>
        <w:t>2.</w:t>
      </w:r>
      <w:r>
        <w:rPr>
          <w:rFonts w:hint="eastAsia"/>
          <w:color w:val="auto"/>
          <w:highlight w:val="none"/>
        </w:rPr>
        <w:t>加气混凝土砌块</w:t>
      </w:r>
      <w:r>
        <w:rPr>
          <w:color w:val="auto"/>
          <w:highlight w:val="none"/>
        </w:rPr>
        <w:tab/>
      </w:r>
      <w:r>
        <w:rPr>
          <w:color w:val="auto"/>
          <w:highlight w:val="none"/>
        </w:rPr>
        <w:tab/>
      </w:r>
    </w:p>
    <w:p>
      <w:pPr>
        <w:pStyle w:val="217"/>
        <w:rPr>
          <w:color w:val="auto"/>
          <w:highlight w:val="none"/>
        </w:rPr>
      </w:pPr>
      <w:r>
        <w:rPr>
          <w:rFonts w:hint="eastAsia"/>
          <w:color w:val="auto"/>
          <w:highlight w:val="none"/>
        </w:rPr>
        <w:t>本工程内外填充墙均采用加气混凝土砌块砌块墙体，外墙</w:t>
      </w:r>
      <w:r>
        <w:rPr>
          <w:color w:val="auto"/>
          <w:highlight w:val="none"/>
        </w:rPr>
        <w:t>200</w:t>
      </w:r>
      <w:r>
        <w:rPr>
          <w:rFonts w:hint="eastAsia"/>
          <w:color w:val="auto"/>
          <w:highlight w:val="none"/>
        </w:rPr>
        <w:t>厚</w:t>
      </w:r>
      <w:r>
        <w:rPr>
          <w:color w:val="auto"/>
          <w:highlight w:val="none"/>
        </w:rPr>
        <w:t>A5.0</w:t>
      </w:r>
      <w:r>
        <w:rPr>
          <w:rFonts w:hint="eastAsia"/>
          <w:color w:val="auto"/>
          <w:highlight w:val="none"/>
        </w:rPr>
        <w:t>（</w:t>
      </w:r>
      <w:r>
        <w:rPr>
          <w:color w:val="auto"/>
          <w:highlight w:val="none"/>
        </w:rPr>
        <w:t>B06</w:t>
      </w:r>
      <w:r>
        <w:rPr>
          <w:rFonts w:hint="eastAsia"/>
          <w:color w:val="auto"/>
          <w:highlight w:val="none"/>
        </w:rPr>
        <w:t>）、内墙</w:t>
      </w:r>
      <w:r>
        <w:rPr>
          <w:color w:val="auto"/>
          <w:highlight w:val="none"/>
        </w:rPr>
        <w:t>200</w:t>
      </w:r>
      <w:r>
        <w:rPr>
          <w:rFonts w:hint="eastAsia"/>
          <w:color w:val="auto"/>
          <w:highlight w:val="none"/>
        </w:rPr>
        <w:t>厚（局部为</w:t>
      </w:r>
      <w:r>
        <w:rPr>
          <w:color w:val="auto"/>
          <w:highlight w:val="none"/>
        </w:rPr>
        <w:t>100</w:t>
      </w:r>
      <w:r>
        <w:rPr>
          <w:rFonts w:hint="eastAsia"/>
          <w:color w:val="auto"/>
          <w:highlight w:val="none"/>
        </w:rPr>
        <w:t>厚）</w:t>
      </w:r>
      <w:r>
        <w:rPr>
          <w:color w:val="auto"/>
          <w:highlight w:val="none"/>
        </w:rPr>
        <w:t>A5.0</w:t>
      </w:r>
      <w:r>
        <w:rPr>
          <w:rFonts w:hint="eastAsia"/>
          <w:color w:val="auto"/>
          <w:highlight w:val="none"/>
        </w:rPr>
        <w:t>（</w:t>
      </w:r>
      <w:r>
        <w:rPr>
          <w:color w:val="auto"/>
          <w:highlight w:val="none"/>
        </w:rPr>
        <w:t>B06</w:t>
      </w:r>
      <w:r>
        <w:rPr>
          <w:rFonts w:hint="eastAsia"/>
          <w:color w:val="auto"/>
          <w:highlight w:val="none"/>
        </w:rPr>
        <w:t>）一等加气混凝土砌块。采用</w:t>
      </w:r>
      <w:r>
        <w:rPr>
          <w:color w:val="auto"/>
          <w:highlight w:val="none"/>
        </w:rPr>
        <w:t>Mb5</w:t>
      </w:r>
      <w:r>
        <w:rPr>
          <w:rFonts w:hint="eastAsia"/>
          <w:color w:val="auto"/>
          <w:highlight w:val="none"/>
        </w:rPr>
        <w:t>专用水泥沙浆。</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）材料选用</w:t>
      </w:r>
    </w:p>
    <w:p>
      <w:pPr>
        <w:pStyle w:val="217"/>
        <w:rPr>
          <w:color w:val="auto"/>
          <w:highlight w:val="none"/>
        </w:rPr>
      </w:pPr>
      <w:r>
        <w:rPr>
          <w:rFonts w:hint="eastAsia"/>
          <w:color w:val="auto"/>
          <w:highlight w:val="none"/>
        </w:rPr>
        <w:t>加气砼砌块生产龄期不应小于</w:t>
      </w:r>
      <w:r>
        <w:rPr>
          <w:color w:val="auto"/>
          <w:highlight w:val="none"/>
        </w:rPr>
        <w:t>28d</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）砌砖的现场准备工作</w:t>
      </w:r>
    </w:p>
    <w:p>
      <w:pPr>
        <w:pStyle w:val="217"/>
        <w:rPr>
          <w:color w:val="auto"/>
          <w:highlight w:val="none"/>
        </w:rPr>
      </w:pPr>
      <w:r>
        <w:rPr>
          <w:color w:val="auto"/>
          <w:highlight w:val="none"/>
        </w:rPr>
        <w:t>1</w:t>
      </w:r>
      <w:r>
        <w:rPr>
          <w:rFonts w:hint="eastAsia"/>
          <w:color w:val="auto"/>
          <w:highlight w:val="none"/>
        </w:rPr>
        <w:t>）检查和复核测设的墙体平面尺寸和标高，以及皮数杆设立情况。</w:t>
      </w:r>
    </w:p>
    <w:p>
      <w:pPr>
        <w:pStyle w:val="217"/>
        <w:rPr>
          <w:color w:val="auto"/>
          <w:highlight w:val="none"/>
        </w:rPr>
      </w:pPr>
      <w:r>
        <w:rPr>
          <w:color w:val="auto"/>
          <w:highlight w:val="none"/>
        </w:rPr>
        <w:t>2</w:t>
      </w:r>
      <w:r>
        <w:rPr>
          <w:rFonts w:hint="eastAsia"/>
          <w:color w:val="auto"/>
          <w:highlight w:val="none"/>
        </w:rPr>
        <w:t>）检查基底的清理情况，砂浆、杂物等要清除干净。基底若为垫层或砖砌体，应事先浇水湿润。</w:t>
      </w:r>
    </w:p>
    <w:p>
      <w:pPr>
        <w:pStyle w:val="217"/>
        <w:rPr>
          <w:color w:val="auto"/>
          <w:highlight w:val="none"/>
        </w:rPr>
      </w:pPr>
      <w:r>
        <w:rPr>
          <w:color w:val="auto"/>
          <w:highlight w:val="none"/>
        </w:rPr>
        <w:t>3</w:t>
      </w:r>
      <w:r>
        <w:rPr>
          <w:rFonts w:hint="eastAsia"/>
          <w:color w:val="auto"/>
          <w:highlight w:val="none"/>
        </w:rPr>
        <w:t>）检查核对门口、窗口等与砖缝的对应情况。</w:t>
      </w:r>
    </w:p>
    <w:p>
      <w:pPr>
        <w:pStyle w:val="217"/>
        <w:rPr>
          <w:color w:val="auto"/>
          <w:highlight w:val="none"/>
        </w:rPr>
      </w:pPr>
      <w:r>
        <w:rPr>
          <w:color w:val="auto"/>
          <w:highlight w:val="none"/>
        </w:rPr>
        <w:t>4</w:t>
      </w:r>
      <w:r>
        <w:rPr>
          <w:rFonts w:hint="eastAsia"/>
          <w:color w:val="auto"/>
          <w:highlight w:val="none"/>
        </w:rPr>
        <w:t>）砖在砌筑前一天就应浇水湿润，严禁干砖上墙。</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）砌筑方法：</w:t>
      </w:r>
    </w:p>
    <w:p>
      <w:pPr>
        <w:pStyle w:val="217"/>
        <w:rPr>
          <w:color w:val="auto"/>
          <w:highlight w:val="none"/>
        </w:rPr>
      </w:pPr>
      <w:r>
        <w:rPr>
          <w:color w:val="auto"/>
          <w:highlight w:val="none"/>
        </w:rPr>
        <w:t>1</w:t>
      </w:r>
      <w:r>
        <w:rPr>
          <w:rFonts w:hint="eastAsia"/>
          <w:color w:val="auto"/>
          <w:highlight w:val="none"/>
        </w:rPr>
        <w:t>）工人砌墙的砌筑形式要符合规范要求，按皮数杆拉线控制砖层水平；内外墙砖应相互咬槎，不允许出现竖向通缝；若留直槎，必须按规定设置拉结钢筋，并检查拉结筋的长度、间距以及拉结筋部位砂浆的饱满程度。</w:t>
      </w:r>
    </w:p>
    <w:p>
      <w:pPr>
        <w:pStyle w:val="217"/>
        <w:rPr>
          <w:color w:val="auto"/>
          <w:highlight w:val="none"/>
        </w:rPr>
      </w:pPr>
      <w:r>
        <w:rPr>
          <w:color w:val="auto"/>
          <w:highlight w:val="none"/>
        </w:rPr>
        <w:t>2</w:t>
      </w:r>
      <w:r>
        <w:rPr>
          <w:rFonts w:hint="eastAsia"/>
          <w:color w:val="auto"/>
          <w:highlight w:val="none"/>
        </w:rPr>
        <w:t>）砌体的水平灰缝厚度和竖向灰缝宽度，灰缝一般为</w:t>
      </w:r>
      <w:r>
        <w:rPr>
          <w:color w:val="auto"/>
          <w:highlight w:val="none"/>
        </w:rPr>
        <w:t>10mm</w:t>
      </w:r>
      <w:r>
        <w:rPr>
          <w:rFonts w:hint="eastAsia"/>
          <w:color w:val="auto"/>
          <w:highlight w:val="none"/>
        </w:rPr>
        <w:t>，不小于</w:t>
      </w:r>
      <w:r>
        <w:rPr>
          <w:color w:val="auto"/>
          <w:highlight w:val="none"/>
        </w:rPr>
        <w:t>10mm</w:t>
      </w:r>
      <w:r>
        <w:rPr>
          <w:rFonts w:hint="eastAsia"/>
          <w:color w:val="auto"/>
          <w:highlight w:val="none"/>
        </w:rPr>
        <w:t>，也不应大于</w:t>
      </w:r>
      <w:r>
        <w:rPr>
          <w:color w:val="auto"/>
          <w:highlight w:val="none"/>
        </w:rPr>
        <w:t>12mm</w:t>
      </w:r>
      <w:r>
        <w:rPr>
          <w:rFonts w:hint="eastAsia"/>
          <w:color w:val="auto"/>
          <w:highlight w:val="none"/>
        </w:rPr>
        <w:t>。砖层水平灰缝砂浆的饱满度不得低于</w:t>
      </w:r>
      <w:r>
        <w:rPr>
          <w:color w:val="auto"/>
          <w:highlight w:val="none"/>
        </w:rPr>
        <w:t>80</w:t>
      </w:r>
      <w:r>
        <w:rPr>
          <w:rFonts w:hint="eastAsia"/>
          <w:color w:val="auto"/>
          <w:highlight w:val="none"/>
        </w:rPr>
        <w:t>％；竖缝内砂浆应饱满（对外墙必须达到此要求，否则，雨水渗到墙内壁，将使墙饰面发霉）。</w:t>
      </w:r>
    </w:p>
    <w:p>
      <w:pPr>
        <w:pStyle w:val="217"/>
        <w:rPr>
          <w:color w:val="auto"/>
          <w:highlight w:val="none"/>
        </w:rPr>
      </w:pPr>
      <w:r>
        <w:rPr>
          <w:color w:val="auto"/>
          <w:highlight w:val="none"/>
        </w:rPr>
        <w:t>3</w:t>
      </w:r>
      <w:r>
        <w:rPr>
          <w:rFonts w:hint="eastAsia"/>
          <w:color w:val="auto"/>
          <w:highlight w:val="none"/>
        </w:rPr>
        <w:t>）砌体中的预埋件、预留洞以及配筋要符合设计要求，对埋于砖砌体中的木砌要做好防腐处理。木砖的数量，应按图纸或有关规定设置，一般不超过</w:t>
      </w:r>
      <w:r>
        <w:rPr>
          <w:color w:val="auto"/>
          <w:highlight w:val="none"/>
        </w:rPr>
        <w:t>3</w:t>
      </w:r>
      <w:r>
        <w:rPr>
          <w:rFonts w:hint="eastAsia"/>
          <w:color w:val="auto"/>
          <w:highlight w:val="none"/>
        </w:rPr>
        <w:t>皮砖一块，单砖墙或轻质隔墙要用混凝土木砖，否则门窗框容易松动。</w:t>
      </w:r>
    </w:p>
    <w:p>
      <w:pPr>
        <w:pStyle w:val="217"/>
        <w:rPr>
          <w:color w:val="auto"/>
          <w:highlight w:val="none"/>
        </w:rPr>
      </w:pPr>
      <w:r>
        <w:rPr>
          <w:color w:val="auto"/>
          <w:highlight w:val="none"/>
        </w:rPr>
        <w:t>4</w:t>
      </w:r>
      <w:r>
        <w:rPr>
          <w:rFonts w:hint="eastAsia"/>
          <w:color w:val="auto"/>
          <w:highlight w:val="none"/>
        </w:rPr>
        <w:t>）砖柱横、竖向灰缝的砂浆都必须饱满，每砌完一层砖，都要进行一次竖缝刮浆塞缝工作，以提高砌体强度。</w:t>
      </w:r>
    </w:p>
    <w:p>
      <w:pPr>
        <w:pStyle w:val="217"/>
        <w:rPr>
          <w:color w:val="auto"/>
          <w:highlight w:val="none"/>
        </w:rPr>
      </w:pPr>
      <w:r>
        <w:rPr>
          <w:color w:val="auto"/>
          <w:highlight w:val="none"/>
        </w:rPr>
        <w:t>5</w:t>
      </w:r>
      <w:r>
        <w:rPr>
          <w:rFonts w:hint="eastAsia"/>
          <w:color w:val="auto"/>
          <w:highlight w:val="none"/>
        </w:rPr>
        <w:t>）抗震设防区的砖砌体，应符合相应的构造要求。</w:t>
      </w:r>
    </w:p>
    <w:p>
      <w:pPr>
        <w:pStyle w:val="217"/>
        <w:rPr>
          <w:color w:val="auto"/>
          <w:highlight w:val="none"/>
        </w:rPr>
      </w:pPr>
      <w:r>
        <w:rPr>
          <w:color w:val="auto"/>
          <w:highlight w:val="none"/>
        </w:rPr>
        <w:t>6</w:t>
      </w:r>
      <w:r>
        <w:rPr>
          <w:rFonts w:hint="eastAsia"/>
          <w:color w:val="auto"/>
          <w:highlight w:val="none"/>
        </w:rPr>
        <w:t>）内外墙要同步砌筑，尽量不留槎。对不能同时砌筑而又必须留置的临时间断处应砌成斜槎，斜槎水平投影长度不应小于高度的</w:t>
      </w:r>
      <w:r>
        <w:rPr>
          <w:color w:val="auto"/>
          <w:highlight w:val="none"/>
        </w:rPr>
        <w:t>2</w:t>
      </w:r>
      <w:r>
        <w:rPr>
          <w:rFonts w:hint="eastAsia"/>
          <w:color w:val="auto"/>
          <w:highlight w:val="none"/>
        </w:rPr>
        <w:t>／</w:t>
      </w:r>
      <w:r>
        <w:rPr>
          <w:color w:val="auto"/>
          <w:highlight w:val="none"/>
        </w:rPr>
        <w:t>3</w:t>
      </w:r>
      <w:r>
        <w:rPr>
          <w:rFonts w:hint="eastAsia"/>
          <w:color w:val="auto"/>
          <w:highlight w:val="none"/>
        </w:rPr>
        <w:t>。</w:t>
      </w:r>
    </w:p>
    <w:p>
      <w:pPr>
        <w:pStyle w:val="217"/>
        <w:rPr>
          <w:color w:val="auto"/>
          <w:highlight w:val="none"/>
        </w:rPr>
      </w:pPr>
      <w:r>
        <w:rPr>
          <w:color w:val="auto"/>
          <w:highlight w:val="none"/>
        </w:rPr>
        <w:t>7</w:t>
      </w:r>
      <w:r>
        <w:rPr>
          <w:rFonts w:hint="eastAsia"/>
          <w:color w:val="auto"/>
          <w:highlight w:val="none"/>
        </w:rPr>
        <w:t>）构造柱要求：在墙的端部（无混凝土墙、柱时）及转角、丁字接头处必须设置构造柱及拉筋。沿墙长每隔</w:t>
      </w:r>
      <w:r>
        <w:rPr>
          <w:color w:val="auto"/>
          <w:highlight w:val="none"/>
        </w:rPr>
        <w:t>3.5</w:t>
      </w:r>
      <w:r>
        <w:rPr>
          <w:rFonts w:hint="eastAsia"/>
          <w:color w:val="auto"/>
          <w:highlight w:val="none"/>
        </w:rPr>
        <w:t>～</w:t>
      </w:r>
      <w:r>
        <w:rPr>
          <w:color w:val="auto"/>
          <w:highlight w:val="none"/>
        </w:rPr>
        <w:t>4</w:t>
      </w:r>
      <w:r>
        <w:rPr>
          <w:rFonts w:hint="eastAsia"/>
          <w:color w:val="auto"/>
          <w:highlight w:val="none"/>
        </w:rPr>
        <w:t>米设构造柱。砌至楼板、梁底的砌体，必须用斜砌块楔紧或采用其他楔紧措施，不砌到楼板、梁底的砌体，须设压顶。</w:t>
      </w:r>
    </w:p>
    <w:p>
      <w:pPr>
        <w:pStyle w:val="217"/>
        <w:rPr>
          <w:color w:val="auto"/>
          <w:highlight w:val="none"/>
        </w:rPr>
      </w:pPr>
      <w:r>
        <w:rPr>
          <w:color w:val="auto"/>
          <w:highlight w:val="none"/>
        </w:rPr>
        <w:t>8</w:t>
      </w:r>
      <w:r>
        <w:rPr>
          <w:rFonts w:hint="eastAsia"/>
          <w:color w:val="auto"/>
          <w:highlight w:val="none"/>
        </w:rPr>
        <w:t>）当高度大于</w:t>
      </w:r>
      <w:r>
        <w:rPr>
          <w:color w:val="auto"/>
          <w:highlight w:val="none"/>
        </w:rPr>
        <w:t>4</w:t>
      </w:r>
      <w:r>
        <w:rPr>
          <w:rFonts w:hint="eastAsia"/>
          <w:color w:val="auto"/>
          <w:highlight w:val="none"/>
        </w:rPr>
        <w:t>米时，应每隔</w:t>
      </w:r>
      <w:r>
        <w:rPr>
          <w:color w:val="auto"/>
          <w:highlight w:val="none"/>
        </w:rPr>
        <w:t>2</w:t>
      </w:r>
      <w:r>
        <w:rPr>
          <w:rFonts w:hint="eastAsia"/>
          <w:color w:val="auto"/>
          <w:highlight w:val="none"/>
        </w:rPr>
        <w:t>米（或窗上下、门上）加设通长混凝土构造腰带（详见结构总说明要求）。</w:t>
      </w:r>
    </w:p>
    <w:p>
      <w:pPr>
        <w:pStyle w:val="217"/>
        <w:rPr>
          <w:color w:val="auto"/>
          <w:highlight w:val="none"/>
        </w:rPr>
      </w:pPr>
      <w:r>
        <w:rPr>
          <w:color w:val="auto"/>
          <w:highlight w:val="none"/>
        </w:rPr>
        <w:t>9</w:t>
      </w:r>
      <w:r>
        <w:rPr>
          <w:rFonts w:hint="eastAsia"/>
          <w:color w:val="auto"/>
          <w:highlight w:val="none"/>
        </w:rPr>
        <w:t>）砖墙中的门窗洞及设备留孔，其洞顶均设过梁：过梁做法见施工图。</w:t>
      </w:r>
    </w:p>
    <w:p>
      <w:pPr>
        <w:pStyle w:val="119"/>
        <w:rPr>
          <w:color w:val="auto"/>
          <w:highlight w:val="none"/>
        </w:rPr>
      </w:pPr>
      <w:r>
        <w:rPr>
          <w:color w:val="auto"/>
          <w:highlight w:val="none"/>
        </w:rPr>
        <w:t xml:space="preserve">3.3.2.7 </w:t>
      </w:r>
      <w:r>
        <w:rPr>
          <w:rFonts w:hint="eastAsia"/>
          <w:color w:val="auto"/>
          <w:highlight w:val="none"/>
        </w:rPr>
        <w:t>钢结构工程</w:t>
      </w:r>
    </w:p>
    <w:p>
      <w:pPr>
        <w:pStyle w:val="217"/>
        <w:rPr>
          <w:color w:val="auto"/>
          <w:highlight w:val="none"/>
        </w:rPr>
      </w:pPr>
      <w:r>
        <w:rPr>
          <w:color w:val="auto"/>
          <w:highlight w:val="none"/>
        </w:rPr>
        <w:t>1.</w:t>
      </w:r>
      <w:r>
        <w:rPr>
          <w:rFonts w:hint="eastAsia"/>
          <w:color w:val="auto"/>
          <w:highlight w:val="none"/>
        </w:rPr>
        <w:t>钢结构制作要求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）总则</w:t>
      </w:r>
    </w:p>
    <w:p>
      <w:pPr>
        <w:pStyle w:val="217"/>
        <w:rPr>
          <w:color w:val="auto"/>
          <w:highlight w:val="none"/>
        </w:rPr>
      </w:pPr>
      <w:r>
        <w:rPr>
          <w:color w:val="auto"/>
          <w:highlight w:val="none"/>
        </w:rPr>
        <w:t>1</w:t>
      </w:r>
      <w:r>
        <w:rPr>
          <w:rFonts w:hint="eastAsia"/>
          <w:color w:val="auto"/>
          <w:highlight w:val="none"/>
        </w:rPr>
        <w:t>）构建制作、安装允许偏差和验收符合《钢结构工程施工质量验收规范》（</w:t>
      </w:r>
      <w:r>
        <w:rPr>
          <w:color w:val="auto"/>
          <w:highlight w:val="none"/>
        </w:rPr>
        <w:t>GB50205-2001</w:t>
      </w:r>
      <w:r>
        <w:rPr>
          <w:rFonts w:hint="eastAsia"/>
          <w:color w:val="auto"/>
          <w:highlight w:val="none"/>
        </w:rPr>
        <w:t>）的规定。</w:t>
      </w:r>
    </w:p>
    <w:p>
      <w:pPr>
        <w:pStyle w:val="217"/>
        <w:rPr>
          <w:color w:val="auto"/>
          <w:highlight w:val="none"/>
        </w:rPr>
      </w:pPr>
      <w:r>
        <w:rPr>
          <w:color w:val="auto"/>
          <w:highlight w:val="none"/>
        </w:rPr>
        <w:t>2</w:t>
      </w:r>
      <w:r>
        <w:rPr>
          <w:rFonts w:hint="eastAsia"/>
          <w:color w:val="auto"/>
          <w:highlight w:val="none"/>
        </w:rPr>
        <w:t>）本工程放样人员应阅读全部图纸，核对安装尺寸。画线时，应根据施工工艺要求，预估安装焊接以及加工焊接的焊接变形量。构件分段须与设计部门商定。</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）制造</w:t>
      </w:r>
    </w:p>
    <w:p>
      <w:pPr>
        <w:pStyle w:val="217"/>
        <w:rPr>
          <w:color w:val="auto"/>
          <w:highlight w:val="none"/>
        </w:rPr>
      </w:pPr>
      <w:r>
        <w:rPr>
          <w:color w:val="auto"/>
          <w:highlight w:val="none"/>
        </w:rPr>
        <w:t>1</w:t>
      </w:r>
      <w:r>
        <w:rPr>
          <w:rFonts w:hint="eastAsia"/>
          <w:color w:val="auto"/>
          <w:highlight w:val="none"/>
        </w:rPr>
        <w:t>）焊接钢柱、钢梁、钢支撑等钢构件均应在采用埋弧自动焊接成型，施焊工艺及板材上的坡口尺寸，符合国家标准（</w:t>
      </w:r>
      <w:r>
        <w:rPr>
          <w:color w:val="auto"/>
          <w:highlight w:val="none"/>
        </w:rPr>
        <w:t>GB986-88</w:t>
      </w:r>
      <w:r>
        <w:rPr>
          <w:rFonts w:hint="eastAsia"/>
          <w:color w:val="auto"/>
          <w:highlight w:val="none"/>
        </w:rPr>
        <w:t>）及《建筑构造焊接规程》（</w:t>
      </w:r>
      <w:r>
        <w:rPr>
          <w:color w:val="auto"/>
          <w:highlight w:val="none"/>
        </w:rPr>
        <w:t>JGJ 81-2002</w:t>
      </w:r>
      <w:r>
        <w:rPr>
          <w:rFonts w:hint="eastAsia"/>
          <w:color w:val="auto"/>
          <w:highlight w:val="none"/>
        </w:rPr>
        <w:t>）的有关规定。</w:t>
      </w:r>
    </w:p>
    <w:p>
      <w:pPr>
        <w:pStyle w:val="217"/>
        <w:rPr>
          <w:color w:val="auto"/>
          <w:highlight w:val="none"/>
        </w:rPr>
      </w:pPr>
      <w:r>
        <w:rPr>
          <w:rFonts w:hint="eastAsia"/>
          <w:color w:val="auto"/>
          <w:highlight w:val="none"/>
        </w:rPr>
        <w:t>焊接方法、工艺评定、试验内容和结果尚应得到监理单位的认可。</w:t>
      </w:r>
    </w:p>
    <w:p>
      <w:pPr>
        <w:pStyle w:val="217"/>
        <w:rPr>
          <w:color w:val="auto"/>
          <w:highlight w:val="none"/>
        </w:rPr>
      </w:pPr>
      <w:r>
        <w:rPr>
          <w:color w:val="auto"/>
          <w:highlight w:val="none"/>
        </w:rPr>
        <w:t>2</w:t>
      </w:r>
      <w:r>
        <w:rPr>
          <w:rFonts w:hint="eastAsia"/>
          <w:color w:val="auto"/>
          <w:highlight w:val="none"/>
        </w:rPr>
        <w:t>）钢梁预留孔洞，按照设计图纸所示尺寸、位置制孔，并按设计要求进行补强，在工地安装时，未经设计允许，不得以任何方法制孔。</w:t>
      </w:r>
    </w:p>
    <w:p>
      <w:pPr>
        <w:pStyle w:val="217"/>
        <w:rPr>
          <w:color w:val="auto"/>
          <w:highlight w:val="none"/>
        </w:rPr>
      </w:pPr>
      <w:r>
        <w:rPr>
          <w:color w:val="auto"/>
          <w:highlight w:val="none"/>
        </w:rPr>
        <w:t>3</w:t>
      </w:r>
      <w:r>
        <w:rPr>
          <w:rFonts w:hint="eastAsia"/>
          <w:color w:val="auto"/>
          <w:highlight w:val="none"/>
        </w:rPr>
        <w:t>）梁柱上的加劲板，支承板等采用手工电弧焊在加工车间完成，施焊工艺及板材上的坡口尺寸，符合（</w:t>
      </w:r>
      <w:r>
        <w:rPr>
          <w:color w:val="auto"/>
          <w:highlight w:val="none"/>
        </w:rPr>
        <w:t>GB985-88</w:t>
      </w:r>
      <w:r>
        <w:rPr>
          <w:rFonts w:hint="eastAsia"/>
          <w:color w:val="auto"/>
          <w:highlight w:val="none"/>
        </w:rPr>
        <w:t>）的有关要求施工。</w:t>
      </w:r>
    </w:p>
    <w:p>
      <w:pPr>
        <w:pStyle w:val="217"/>
        <w:rPr>
          <w:color w:val="auto"/>
          <w:highlight w:val="none"/>
        </w:rPr>
      </w:pPr>
      <w:r>
        <w:rPr>
          <w:color w:val="auto"/>
          <w:highlight w:val="none"/>
        </w:rPr>
        <w:t>4</w:t>
      </w:r>
      <w:r>
        <w:rPr>
          <w:rFonts w:hint="eastAsia"/>
          <w:color w:val="auto"/>
          <w:highlight w:val="none"/>
        </w:rPr>
        <w:t>）钢梁详图中，在指定部位所设抗剪拴钉，必须在浇筑混凝土前施焊，并须认真进行质量检查，不合格者应予以补焊。</w:t>
      </w:r>
    </w:p>
    <w:p>
      <w:pPr>
        <w:pStyle w:val="217"/>
        <w:rPr>
          <w:color w:val="auto"/>
          <w:highlight w:val="none"/>
        </w:rPr>
      </w:pPr>
      <w:r>
        <w:rPr>
          <w:color w:val="auto"/>
          <w:highlight w:val="none"/>
        </w:rPr>
        <w:t>5</w:t>
      </w:r>
      <w:r>
        <w:rPr>
          <w:rFonts w:hint="eastAsia"/>
          <w:color w:val="auto"/>
          <w:highlight w:val="none"/>
        </w:rPr>
        <w:t>）梁上翼缘栓钉的施工技术要求：</w:t>
      </w:r>
    </w:p>
    <w:p>
      <w:pPr>
        <w:pStyle w:val="217"/>
        <w:rPr>
          <w:color w:val="auto"/>
          <w:highlight w:val="none"/>
        </w:rPr>
      </w:pPr>
      <w:r>
        <w:rPr>
          <w:rFonts w:hint="eastAsia"/>
          <w:color w:val="auto"/>
          <w:highlight w:val="none"/>
        </w:rPr>
        <w:t>①梁上翼缘栓钉应按有关规范要求作抗拔试验。</w:t>
      </w:r>
    </w:p>
    <w:p>
      <w:pPr>
        <w:pStyle w:val="217"/>
        <w:rPr>
          <w:color w:val="auto"/>
          <w:highlight w:val="none"/>
        </w:rPr>
      </w:pPr>
      <w:r>
        <w:rPr>
          <w:rFonts w:hint="eastAsia"/>
          <w:color w:val="auto"/>
          <w:highlight w:val="none"/>
        </w:rPr>
        <w:t>②栓钉应穿透将栓钉、压型钢板焊牢在钢梁，焊后栓钉高度应大于压型钢板波高加</w:t>
      </w:r>
      <w:r>
        <w:rPr>
          <w:color w:val="auto"/>
          <w:highlight w:val="none"/>
        </w:rPr>
        <w:t>30mm</w:t>
      </w:r>
      <w:r>
        <w:rPr>
          <w:rFonts w:hint="eastAsia"/>
          <w:color w:val="auto"/>
          <w:highlight w:val="none"/>
        </w:rPr>
        <w:t>。</w:t>
      </w:r>
    </w:p>
    <w:p>
      <w:pPr>
        <w:pStyle w:val="217"/>
        <w:rPr>
          <w:color w:val="auto"/>
          <w:highlight w:val="none"/>
        </w:rPr>
      </w:pPr>
      <w:r>
        <w:rPr>
          <w:rFonts w:hint="eastAsia"/>
          <w:color w:val="auto"/>
          <w:highlight w:val="none"/>
        </w:rPr>
        <w:t>栓钉顶面的混凝土保护层厚度不应小于</w:t>
      </w:r>
      <w:r>
        <w:rPr>
          <w:color w:val="auto"/>
          <w:highlight w:val="none"/>
        </w:rPr>
        <w:t>15mm</w:t>
      </w:r>
      <w:r>
        <w:rPr>
          <w:rFonts w:hint="eastAsia"/>
          <w:color w:val="auto"/>
          <w:highlight w:val="none"/>
        </w:rPr>
        <w:t>。</w:t>
      </w:r>
    </w:p>
    <w:p>
      <w:pPr>
        <w:pStyle w:val="217"/>
        <w:rPr>
          <w:color w:val="auto"/>
          <w:highlight w:val="none"/>
        </w:rPr>
      </w:pPr>
      <w:r>
        <w:rPr>
          <w:color w:val="auto"/>
          <w:highlight w:val="none"/>
        </w:rPr>
        <w:t>6</w:t>
      </w:r>
      <w:r>
        <w:rPr>
          <w:rFonts w:hint="eastAsia"/>
          <w:color w:val="auto"/>
          <w:highlight w:val="none"/>
        </w:rPr>
        <w:t>）所有构件均应铣两端，并与柱、梁轴线成标准角度。</w:t>
      </w:r>
    </w:p>
    <w:p>
      <w:pPr>
        <w:pStyle w:val="217"/>
        <w:rPr>
          <w:color w:val="auto"/>
          <w:highlight w:val="none"/>
        </w:rPr>
      </w:pPr>
      <w:r>
        <w:rPr>
          <w:color w:val="auto"/>
          <w:highlight w:val="none"/>
        </w:rPr>
        <w:t>7</w:t>
      </w:r>
      <w:r>
        <w:rPr>
          <w:rFonts w:hint="eastAsia"/>
          <w:color w:val="auto"/>
          <w:highlight w:val="none"/>
        </w:rPr>
        <w:t>）高强度螺栓应在车间内钻孔，制孔要求见《钢结构高强度螺栓连接的设计、施工及验收规范》</w:t>
      </w:r>
      <w:r>
        <w:rPr>
          <w:color w:val="auto"/>
          <w:highlight w:val="none"/>
        </w:rPr>
        <w:t>3.2.1</w:t>
      </w:r>
      <w:r>
        <w:rPr>
          <w:rFonts w:hint="eastAsia"/>
          <w:color w:val="auto"/>
          <w:highlight w:val="none"/>
        </w:rPr>
        <w:t>条的有关要求。</w:t>
      </w:r>
    </w:p>
    <w:p>
      <w:pPr>
        <w:pStyle w:val="217"/>
        <w:rPr>
          <w:color w:val="auto"/>
          <w:highlight w:val="none"/>
        </w:rPr>
      </w:pPr>
      <w:r>
        <w:rPr>
          <w:color w:val="auto"/>
          <w:highlight w:val="none"/>
        </w:rPr>
        <w:t>8</w:t>
      </w:r>
      <w:r>
        <w:rPr>
          <w:rFonts w:hint="eastAsia"/>
          <w:color w:val="auto"/>
          <w:highlight w:val="none"/>
        </w:rPr>
        <w:t>）所有钢构件制作以前，需足尺放样，核对无误后方可下料制造。</w:t>
      </w:r>
    </w:p>
    <w:p>
      <w:pPr>
        <w:pStyle w:val="217"/>
        <w:rPr>
          <w:color w:val="auto"/>
          <w:highlight w:val="none"/>
        </w:rPr>
      </w:pPr>
      <w:r>
        <w:rPr>
          <w:color w:val="auto"/>
          <w:highlight w:val="none"/>
        </w:rPr>
        <w:t>9</w:t>
      </w:r>
      <w:r>
        <w:rPr>
          <w:rFonts w:hint="eastAsia"/>
          <w:color w:val="auto"/>
          <w:highlight w:val="none"/>
        </w:rPr>
        <w:t>）板材气割或机械剪切下料后，对于需要边缘加工的零件，其刨削量不应小于</w:t>
      </w:r>
      <w:r>
        <w:rPr>
          <w:color w:val="auto"/>
          <w:highlight w:val="none"/>
        </w:rPr>
        <w:t>2mm</w:t>
      </w:r>
      <w:r>
        <w:rPr>
          <w:rFonts w:hint="eastAsia"/>
          <w:color w:val="auto"/>
          <w:highlight w:val="none"/>
        </w:rPr>
        <w:t>。</w:t>
      </w:r>
    </w:p>
    <w:p>
      <w:pPr>
        <w:pStyle w:val="217"/>
        <w:rPr>
          <w:color w:val="auto"/>
          <w:highlight w:val="none"/>
        </w:rPr>
      </w:pPr>
      <w:r>
        <w:rPr>
          <w:color w:val="auto"/>
          <w:highlight w:val="none"/>
        </w:rPr>
        <w:t>10</w:t>
      </w:r>
      <w:r>
        <w:rPr>
          <w:rFonts w:hint="eastAsia"/>
          <w:color w:val="auto"/>
          <w:highlight w:val="none"/>
        </w:rPr>
        <w:t>）对于跨度较大的梁、</w:t>
      </w:r>
      <w:r>
        <w:rPr>
          <w:color w:val="auto"/>
          <w:highlight w:val="none"/>
        </w:rPr>
        <w:t xml:space="preserve"> </w:t>
      </w:r>
      <w:r>
        <w:rPr>
          <w:rFonts w:hint="eastAsia"/>
          <w:color w:val="auto"/>
          <w:highlight w:val="none"/>
        </w:rPr>
        <w:t>桁架，应按有关要求进行起拱。对于起拱的构件，应在其顶部标识清楚，以免安装时出错。（注：切不可反向起拱。）</w:t>
      </w:r>
    </w:p>
    <w:p>
      <w:pPr>
        <w:pStyle w:val="217"/>
        <w:rPr>
          <w:color w:val="auto"/>
          <w:highlight w:val="none"/>
        </w:rPr>
      </w:pPr>
      <w:r>
        <w:rPr>
          <w:color w:val="auto"/>
          <w:highlight w:val="none"/>
        </w:rPr>
        <w:t>11</w:t>
      </w:r>
      <w:r>
        <w:rPr>
          <w:rFonts w:hint="eastAsia"/>
          <w:color w:val="auto"/>
          <w:highlight w:val="none"/>
        </w:rPr>
        <w:t>）钢结构的冷矫正和冷弯加工的最小曲率半径及最大弯曲矢高应符合《钢结构工程施工质量验收规范》的要求。</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）构件连接</w:t>
      </w:r>
    </w:p>
    <w:p>
      <w:pPr>
        <w:pStyle w:val="217"/>
        <w:rPr>
          <w:color w:val="auto"/>
          <w:highlight w:val="none"/>
        </w:rPr>
      </w:pPr>
      <w:r>
        <w:rPr>
          <w:color w:val="auto"/>
          <w:highlight w:val="none"/>
        </w:rPr>
        <w:t>1</w:t>
      </w:r>
      <w:r>
        <w:rPr>
          <w:rFonts w:hint="eastAsia"/>
          <w:color w:val="auto"/>
          <w:highlight w:val="none"/>
        </w:rPr>
        <w:t>）工字形构件腹板及翼缘间的连接焊缝，应以设计图纸相关要求为准。</w:t>
      </w:r>
    </w:p>
    <w:p>
      <w:pPr>
        <w:pStyle w:val="217"/>
        <w:rPr>
          <w:color w:val="auto"/>
          <w:highlight w:val="none"/>
        </w:rPr>
      </w:pPr>
      <w:r>
        <w:rPr>
          <w:color w:val="auto"/>
          <w:highlight w:val="none"/>
        </w:rPr>
        <w:t>2</w:t>
      </w:r>
      <w:r>
        <w:rPr>
          <w:rFonts w:hint="eastAsia"/>
          <w:color w:val="auto"/>
          <w:highlight w:val="none"/>
        </w:rPr>
        <w:t>）工字形截面杆件在与其它杆件翼缘对应位置设置的隔板应采用全熔透对接焊缝与壁板相连，参见国标（</w:t>
      </w:r>
      <w:r>
        <w:rPr>
          <w:color w:val="auto"/>
          <w:highlight w:val="none"/>
        </w:rPr>
        <w:t>01</w:t>
      </w:r>
      <w:r>
        <w:rPr>
          <w:rFonts w:hint="eastAsia"/>
          <w:color w:val="auto"/>
          <w:highlight w:val="none"/>
        </w:rPr>
        <w:t>（</w:t>
      </w:r>
      <w:r>
        <w:rPr>
          <w:color w:val="auto"/>
          <w:highlight w:val="none"/>
        </w:rPr>
        <w:t>04</w:t>
      </w:r>
      <w:r>
        <w:rPr>
          <w:rFonts w:hint="eastAsia"/>
          <w:color w:val="auto"/>
          <w:highlight w:val="none"/>
        </w:rPr>
        <w:t>）</w:t>
      </w:r>
      <w:r>
        <w:rPr>
          <w:color w:val="auto"/>
          <w:highlight w:val="none"/>
        </w:rPr>
        <w:t>SG519</w:t>
      </w:r>
      <w:r>
        <w:rPr>
          <w:rFonts w:hint="eastAsia"/>
          <w:color w:val="auto"/>
          <w:highlight w:val="none"/>
        </w:rPr>
        <w:t>）页</w:t>
      </w:r>
      <w:r>
        <w:rPr>
          <w:color w:val="auto"/>
          <w:highlight w:val="none"/>
        </w:rPr>
        <w:t>10</w:t>
      </w:r>
      <w:r>
        <w:rPr>
          <w:rFonts w:hint="eastAsia"/>
          <w:color w:val="auto"/>
          <w:highlight w:val="none"/>
        </w:rPr>
        <w:t>剖面</w:t>
      </w:r>
      <w:r>
        <w:rPr>
          <w:color w:val="auto"/>
          <w:highlight w:val="none"/>
        </w:rPr>
        <w:t>1-1</w:t>
      </w:r>
      <w:r>
        <w:rPr>
          <w:rFonts w:hint="eastAsia"/>
          <w:color w:val="auto"/>
          <w:highlight w:val="none"/>
        </w:rPr>
        <w:t>的有关要求。</w:t>
      </w:r>
    </w:p>
    <w:p>
      <w:pPr>
        <w:pStyle w:val="217"/>
        <w:rPr>
          <w:color w:val="auto"/>
          <w:highlight w:val="none"/>
        </w:rPr>
      </w:pPr>
      <w:r>
        <w:rPr>
          <w:color w:val="auto"/>
          <w:highlight w:val="none"/>
        </w:rPr>
        <w:t>3</w:t>
      </w:r>
      <w:r>
        <w:rPr>
          <w:rFonts w:hint="eastAsia"/>
          <w:color w:val="auto"/>
          <w:highlight w:val="none"/>
        </w:rPr>
        <w:t>）工字形截面杆件上下翼缘和腹板的拼接缝应错开，并避免与加劲板重合。腹板拼接缝与它平行的加劲板至少相距</w:t>
      </w:r>
      <w:r>
        <w:rPr>
          <w:color w:val="auto"/>
          <w:highlight w:val="none"/>
        </w:rPr>
        <w:t>200mm</w:t>
      </w:r>
      <w:r>
        <w:rPr>
          <w:rFonts w:hint="eastAsia"/>
          <w:color w:val="auto"/>
          <w:highlight w:val="none"/>
        </w:rPr>
        <w:t>，腹板拼缝与上下翼缘拼缝至少相距</w:t>
      </w:r>
      <w:r>
        <w:rPr>
          <w:color w:val="auto"/>
          <w:highlight w:val="none"/>
        </w:rPr>
        <w:t>500mm</w:t>
      </w:r>
      <w:r>
        <w:rPr>
          <w:rFonts w:hint="eastAsia"/>
          <w:color w:val="auto"/>
          <w:highlight w:val="none"/>
        </w:rPr>
        <w:t>。对接焊缝应符合（</w:t>
      </w:r>
      <w:r>
        <w:rPr>
          <w:color w:val="auto"/>
          <w:highlight w:val="none"/>
        </w:rPr>
        <w:t>GB50205-2001</w:t>
      </w:r>
      <w:r>
        <w:rPr>
          <w:rFonts w:hint="eastAsia"/>
          <w:color w:val="auto"/>
          <w:highlight w:val="none"/>
        </w:rPr>
        <w:t>）规范的要求，且不低于一级。</w:t>
      </w:r>
    </w:p>
    <w:p>
      <w:pPr>
        <w:pStyle w:val="217"/>
        <w:rPr>
          <w:color w:val="auto"/>
          <w:highlight w:val="none"/>
        </w:rPr>
      </w:pPr>
      <w:r>
        <w:rPr>
          <w:color w:val="auto"/>
          <w:highlight w:val="none"/>
        </w:rPr>
        <w:t>4</w:t>
      </w:r>
      <w:r>
        <w:rPr>
          <w:rFonts w:hint="eastAsia"/>
          <w:color w:val="auto"/>
          <w:highlight w:val="none"/>
        </w:rPr>
        <w:t>）坡口焊施焊后，需在焊缝背面清除焊根后进行补焊，并保证焊缝质量。</w:t>
      </w:r>
    </w:p>
    <w:p>
      <w:pPr>
        <w:pStyle w:val="217"/>
        <w:rPr>
          <w:color w:val="auto"/>
          <w:highlight w:val="none"/>
        </w:rPr>
      </w:pPr>
      <w:r>
        <w:rPr>
          <w:color w:val="auto"/>
          <w:highlight w:val="none"/>
        </w:rPr>
        <w:t>5</w:t>
      </w:r>
      <w:r>
        <w:rPr>
          <w:rFonts w:hint="eastAsia"/>
          <w:color w:val="auto"/>
          <w:highlight w:val="none"/>
        </w:rPr>
        <w:t>）板件拼接和杆件对接的全熔透焊缝为一级焊缝；角焊缝均为三级；其余焊缝而为二级。</w:t>
      </w:r>
    </w:p>
    <w:p>
      <w:pPr>
        <w:pStyle w:val="217"/>
        <w:rPr>
          <w:color w:val="auto"/>
          <w:highlight w:val="none"/>
        </w:rPr>
      </w:pPr>
      <w:r>
        <w:rPr>
          <w:color w:val="auto"/>
          <w:highlight w:val="none"/>
        </w:rPr>
        <w:t>6</w:t>
      </w:r>
      <w:r>
        <w:rPr>
          <w:rFonts w:hint="eastAsia"/>
          <w:color w:val="auto"/>
          <w:highlight w:val="none"/>
        </w:rPr>
        <w:t>）贴角焊缝的焊缝厚度除图中注明者外，不小于</w:t>
      </w:r>
      <w:r>
        <w:rPr>
          <w:color w:val="auto"/>
          <w:highlight w:val="none"/>
        </w:rPr>
        <w:t>6mm</w:t>
      </w:r>
      <w:r>
        <w:rPr>
          <w:rFonts w:hint="eastAsia"/>
          <w:color w:val="auto"/>
          <w:highlight w:val="none"/>
        </w:rPr>
        <w:t>，长度均为满焊。</w:t>
      </w:r>
    </w:p>
    <w:p>
      <w:pPr>
        <w:pStyle w:val="217"/>
        <w:rPr>
          <w:color w:val="auto"/>
          <w:highlight w:val="none"/>
        </w:rPr>
      </w:pPr>
      <w:r>
        <w:rPr>
          <w:color w:val="auto"/>
          <w:highlight w:val="none"/>
        </w:rPr>
        <w:t>7</w:t>
      </w:r>
      <w:r>
        <w:rPr>
          <w:rFonts w:hint="eastAsia"/>
          <w:color w:val="auto"/>
          <w:highlight w:val="none"/>
        </w:rPr>
        <w:t>）焊接原则顺序：</w:t>
      </w:r>
    </w:p>
    <w:p>
      <w:pPr>
        <w:pStyle w:val="217"/>
        <w:rPr>
          <w:color w:val="auto"/>
          <w:highlight w:val="none"/>
        </w:rPr>
      </w:pPr>
      <w:r>
        <w:rPr>
          <w:rFonts w:hint="eastAsia"/>
          <w:color w:val="auto"/>
          <w:highlight w:val="none"/>
        </w:rPr>
        <w:t>①尽量采用对称焊法，使焊接变形和收缩量最小。</w:t>
      </w:r>
    </w:p>
    <w:p>
      <w:pPr>
        <w:pStyle w:val="217"/>
        <w:rPr>
          <w:color w:val="auto"/>
          <w:highlight w:val="none"/>
        </w:rPr>
      </w:pPr>
      <w:r>
        <w:rPr>
          <w:rFonts w:hint="eastAsia"/>
          <w:color w:val="auto"/>
          <w:highlight w:val="none"/>
        </w:rPr>
        <w:t>②收缩量大的部分先焊，收缩量小的部分后焊。</w:t>
      </w:r>
    </w:p>
    <w:p>
      <w:pPr>
        <w:pStyle w:val="217"/>
        <w:rPr>
          <w:color w:val="auto"/>
          <w:highlight w:val="none"/>
        </w:rPr>
      </w:pPr>
      <w:r>
        <w:rPr>
          <w:rFonts w:hint="eastAsia"/>
          <w:color w:val="auto"/>
          <w:highlight w:val="none"/>
        </w:rPr>
        <w:t>③应使焊接过程加热量平衡。</w:t>
      </w:r>
    </w:p>
    <w:p>
      <w:pPr>
        <w:pStyle w:val="217"/>
        <w:rPr>
          <w:color w:val="auto"/>
          <w:highlight w:val="none"/>
        </w:rPr>
      </w:pPr>
      <w:r>
        <w:rPr>
          <w:rFonts w:hint="eastAsia"/>
          <w:color w:val="auto"/>
          <w:highlight w:val="none"/>
        </w:rPr>
        <w:t>④焊接过程应注意清渣，彻底清除焊根缺陷。</w:t>
      </w:r>
    </w:p>
    <w:p>
      <w:pPr>
        <w:pStyle w:val="217"/>
        <w:rPr>
          <w:color w:val="auto"/>
          <w:highlight w:val="none"/>
        </w:rPr>
      </w:pPr>
      <w:r>
        <w:rPr>
          <w:rFonts w:hint="eastAsia"/>
          <w:color w:val="auto"/>
          <w:highlight w:val="none"/>
        </w:rPr>
        <w:t>⑤严格禁止无合格证书人员上岗操作。</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）高强度螺栓的连接要求</w:t>
      </w:r>
    </w:p>
    <w:p>
      <w:pPr>
        <w:pStyle w:val="217"/>
        <w:rPr>
          <w:color w:val="auto"/>
          <w:highlight w:val="none"/>
        </w:rPr>
      </w:pPr>
      <w:r>
        <w:rPr>
          <w:color w:val="auto"/>
          <w:highlight w:val="none"/>
        </w:rPr>
        <w:t>1</w:t>
      </w:r>
      <w:r>
        <w:rPr>
          <w:rFonts w:hint="eastAsia"/>
          <w:color w:val="auto"/>
          <w:highlight w:val="none"/>
        </w:rPr>
        <w:t>）高强螺栓的连接施工按照《钢结构高强度螺栓连接的设计，施工及验收规程》</w:t>
      </w:r>
      <w:r>
        <w:rPr>
          <w:color w:val="auto"/>
          <w:highlight w:val="none"/>
        </w:rPr>
        <w:t>(JGJ82-91)</w:t>
      </w:r>
      <w:r>
        <w:rPr>
          <w:rFonts w:hint="eastAsia"/>
          <w:color w:val="auto"/>
          <w:highlight w:val="none"/>
        </w:rPr>
        <w:t>的规定进行，所有构件连接接触面，经喷砂处理后，其摩擦面的抗滑移系数：</w:t>
      </w:r>
      <w:r>
        <w:rPr>
          <w:color w:val="auto"/>
          <w:highlight w:val="none"/>
        </w:rPr>
        <w:t>Q235</w:t>
      </w:r>
      <w:r>
        <w:rPr>
          <w:rFonts w:hint="eastAsia"/>
          <w:color w:val="auto"/>
          <w:highlight w:val="none"/>
        </w:rPr>
        <w:t>钢为不低于</w:t>
      </w:r>
      <w:r>
        <w:rPr>
          <w:color w:val="auto"/>
          <w:highlight w:val="none"/>
        </w:rPr>
        <w:t>0.4</w:t>
      </w:r>
      <w:r>
        <w:rPr>
          <w:rFonts w:hint="eastAsia"/>
          <w:color w:val="auto"/>
          <w:highlight w:val="none"/>
        </w:rPr>
        <w:t>，在施工前应做抗滑移系数试验，并应得到监理单位的认可。</w:t>
      </w:r>
    </w:p>
    <w:p>
      <w:pPr>
        <w:pStyle w:val="217"/>
        <w:rPr>
          <w:color w:val="auto"/>
          <w:highlight w:val="none"/>
        </w:rPr>
      </w:pPr>
      <w:r>
        <w:rPr>
          <w:color w:val="auto"/>
          <w:highlight w:val="none"/>
        </w:rPr>
        <w:t>2</w:t>
      </w:r>
      <w:r>
        <w:rPr>
          <w:rFonts w:hint="eastAsia"/>
          <w:color w:val="auto"/>
          <w:highlight w:val="none"/>
        </w:rPr>
        <w:t>）构件的加工</w:t>
      </w:r>
      <w:r>
        <w:rPr>
          <w:color w:val="auto"/>
          <w:highlight w:val="none"/>
        </w:rPr>
        <w:t xml:space="preserve"> </w:t>
      </w:r>
      <w:r>
        <w:rPr>
          <w:rFonts w:hint="eastAsia"/>
          <w:color w:val="auto"/>
          <w:highlight w:val="none"/>
        </w:rPr>
        <w:t>运输</w:t>
      </w:r>
      <w:r>
        <w:rPr>
          <w:color w:val="auto"/>
          <w:highlight w:val="none"/>
        </w:rPr>
        <w:t xml:space="preserve"> </w:t>
      </w:r>
      <w:r>
        <w:rPr>
          <w:rFonts w:hint="eastAsia"/>
          <w:color w:val="auto"/>
          <w:highlight w:val="none"/>
        </w:rPr>
        <w:t>存放需保证摩擦面喷砂效果符合设计要求，安装前需检查合格后，方能进行高强螺栓组装。</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）焊缝检查及检测</w:t>
      </w:r>
    </w:p>
    <w:p>
      <w:pPr>
        <w:pStyle w:val="217"/>
        <w:rPr>
          <w:color w:val="auto"/>
          <w:highlight w:val="none"/>
        </w:rPr>
      </w:pPr>
      <w:r>
        <w:rPr>
          <w:color w:val="auto"/>
          <w:highlight w:val="none"/>
        </w:rPr>
        <w:t>1</w:t>
      </w:r>
      <w:r>
        <w:rPr>
          <w:rFonts w:hint="eastAsia"/>
          <w:color w:val="auto"/>
          <w:highlight w:val="none"/>
        </w:rPr>
        <w:t>）焊接施工单位在施工过程中，必须做好记录，施工结束时，应准备一切必要的资料以备检查。</w:t>
      </w:r>
    </w:p>
    <w:p>
      <w:pPr>
        <w:pStyle w:val="217"/>
        <w:rPr>
          <w:color w:val="auto"/>
          <w:highlight w:val="none"/>
        </w:rPr>
      </w:pPr>
      <w:r>
        <w:rPr>
          <w:color w:val="auto"/>
          <w:highlight w:val="none"/>
        </w:rPr>
        <w:t>2</w:t>
      </w:r>
      <w:r>
        <w:rPr>
          <w:rFonts w:hint="eastAsia"/>
          <w:color w:val="auto"/>
          <w:highlight w:val="none"/>
        </w:rPr>
        <w:t>）焊缝表面缺陷尺寸检查：</w:t>
      </w:r>
    </w:p>
    <w:p>
      <w:pPr>
        <w:pStyle w:val="217"/>
        <w:rPr>
          <w:color w:val="auto"/>
          <w:highlight w:val="none"/>
        </w:rPr>
      </w:pPr>
      <w:r>
        <w:rPr>
          <w:rFonts w:hint="eastAsia"/>
          <w:color w:val="auto"/>
          <w:highlight w:val="none"/>
        </w:rPr>
        <w:t>所有焊缝应做</w:t>
      </w:r>
      <w:r>
        <w:rPr>
          <w:color w:val="auto"/>
          <w:highlight w:val="none"/>
        </w:rPr>
        <w:t>100%</w:t>
      </w:r>
      <w:r>
        <w:rPr>
          <w:rFonts w:hint="eastAsia"/>
          <w:color w:val="auto"/>
          <w:highlight w:val="none"/>
        </w:rPr>
        <w:t>检查，检查标准按现行国家有关规范进行。</w:t>
      </w:r>
    </w:p>
    <w:p>
      <w:pPr>
        <w:pStyle w:val="217"/>
        <w:rPr>
          <w:color w:val="auto"/>
          <w:highlight w:val="none"/>
        </w:rPr>
      </w:pPr>
      <w:r>
        <w:rPr>
          <w:color w:val="auto"/>
          <w:highlight w:val="none"/>
        </w:rPr>
        <w:t>3</w:t>
      </w:r>
      <w:r>
        <w:rPr>
          <w:rFonts w:hint="eastAsia"/>
          <w:color w:val="auto"/>
          <w:highlight w:val="none"/>
        </w:rPr>
        <w:t>）焊缝内部缺陷检测：</w:t>
      </w:r>
    </w:p>
    <w:p>
      <w:pPr>
        <w:pStyle w:val="217"/>
        <w:rPr>
          <w:color w:val="auto"/>
          <w:highlight w:val="none"/>
        </w:rPr>
      </w:pPr>
      <w:r>
        <w:rPr>
          <w:rFonts w:hint="eastAsia"/>
          <w:color w:val="auto"/>
          <w:highlight w:val="none"/>
        </w:rPr>
        <w:t>①应严格按照《钢结构工程施工质量验收规范》要求进行。</w:t>
      </w:r>
    </w:p>
    <w:p>
      <w:pPr>
        <w:pStyle w:val="217"/>
        <w:rPr>
          <w:color w:val="auto"/>
          <w:highlight w:val="none"/>
        </w:rPr>
      </w:pPr>
      <w:r>
        <w:rPr>
          <w:rFonts w:hint="eastAsia"/>
          <w:color w:val="auto"/>
          <w:highlight w:val="none"/>
        </w:rPr>
        <w:t>②熔透焊缝（一级焊缝），应进行</w:t>
      </w:r>
      <w:r>
        <w:rPr>
          <w:color w:val="auto"/>
          <w:highlight w:val="none"/>
        </w:rPr>
        <w:t>100%</w:t>
      </w:r>
      <w:r>
        <w:rPr>
          <w:rFonts w:hint="eastAsia"/>
          <w:color w:val="auto"/>
          <w:highlight w:val="none"/>
        </w:rPr>
        <w:t>的检验，其合格等级应为现行国家标准《钢焊缝手工超声波探伤方法及质量分级法》（</w:t>
      </w:r>
      <w:r>
        <w:rPr>
          <w:color w:val="auto"/>
          <w:highlight w:val="none"/>
        </w:rPr>
        <w:t>GB11345</w:t>
      </w:r>
      <w:r>
        <w:rPr>
          <w:rFonts w:hint="eastAsia"/>
          <w:color w:val="auto"/>
          <w:highlight w:val="none"/>
        </w:rPr>
        <w:t>）</w:t>
      </w:r>
      <w:r>
        <w:rPr>
          <w:color w:val="auto"/>
          <w:highlight w:val="none"/>
        </w:rPr>
        <w:t>B</w:t>
      </w:r>
      <w:r>
        <w:rPr>
          <w:rFonts w:hint="eastAsia"/>
          <w:color w:val="auto"/>
          <w:highlight w:val="none"/>
        </w:rPr>
        <w:t>级检验的Ⅱ级及Ⅱ级以上；其余熔透焊缝（二级焊缝），应进行抽检，抽检比例应不小于</w:t>
      </w:r>
      <w:r>
        <w:rPr>
          <w:color w:val="auto"/>
          <w:highlight w:val="none"/>
        </w:rPr>
        <w:t>20%</w:t>
      </w:r>
      <w:r>
        <w:rPr>
          <w:rFonts w:hint="eastAsia"/>
          <w:color w:val="auto"/>
          <w:highlight w:val="none"/>
        </w:rPr>
        <w:t>，其合格等级应为现行国家标准《钢焊缝手工超声波探伤方法及质量分级法》（</w:t>
      </w:r>
      <w:r>
        <w:rPr>
          <w:color w:val="auto"/>
          <w:highlight w:val="none"/>
        </w:rPr>
        <w:t>GB11345</w:t>
      </w:r>
      <w:r>
        <w:rPr>
          <w:rFonts w:hint="eastAsia"/>
          <w:color w:val="auto"/>
          <w:highlight w:val="none"/>
        </w:rPr>
        <w:t>）</w:t>
      </w:r>
      <w:r>
        <w:rPr>
          <w:color w:val="auto"/>
          <w:highlight w:val="none"/>
        </w:rPr>
        <w:t>B</w:t>
      </w:r>
      <w:r>
        <w:rPr>
          <w:rFonts w:hint="eastAsia"/>
          <w:color w:val="auto"/>
          <w:highlight w:val="none"/>
        </w:rPr>
        <w:t>级检验的Ⅲ级及Ⅲ级以上。</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）安装</w:t>
      </w:r>
    </w:p>
    <w:p>
      <w:pPr>
        <w:pStyle w:val="217"/>
        <w:rPr>
          <w:color w:val="auto"/>
          <w:highlight w:val="none"/>
        </w:rPr>
      </w:pPr>
      <w:r>
        <w:rPr>
          <w:color w:val="auto"/>
          <w:highlight w:val="none"/>
        </w:rPr>
        <w:t>1</w:t>
      </w:r>
      <w:r>
        <w:rPr>
          <w:rFonts w:hint="eastAsia"/>
          <w:color w:val="auto"/>
          <w:highlight w:val="none"/>
        </w:rPr>
        <w:t>）由构件拼接焊接引起钢柱的收缩变形或其它因素引起的压缩变形，需在构件制作时，逐节进行考虑并确定构件的实际长度。</w:t>
      </w:r>
    </w:p>
    <w:p>
      <w:pPr>
        <w:pStyle w:val="217"/>
        <w:rPr>
          <w:color w:val="auto"/>
          <w:highlight w:val="none"/>
        </w:rPr>
      </w:pPr>
      <w:r>
        <w:rPr>
          <w:color w:val="auto"/>
          <w:highlight w:val="none"/>
        </w:rPr>
        <w:t>2</w:t>
      </w:r>
      <w:r>
        <w:rPr>
          <w:rFonts w:hint="eastAsia"/>
          <w:color w:val="auto"/>
          <w:highlight w:val="none"/>
        </w:rPr>
        <w:t>）对于多构件汇交复杂节点，重要安装接头和工地拼装接头，宜在工厂中进行预拼装。</w:t>
      </w:r>
    </w:p>
    <w:p>
      <w:pPr>
        <w:pStyle w:val="217"/>
        <w:rPr>
          <w:color w:val="auto"/>
          <w:highlight w:val="none"/>
        </w:rPr>
      </w:pPr>
      <w:r>
        <w:rPr>
          <w:color w:val="auto"/>
          <w:highlight w:val="none"/>
        </w:rPr>
        <w:t>3</w:t>
      </w:r>
      <w:r>
        <w:rPr>
          <w:rFonts w:hint="eastAsia"/>
          <w:color w:val="auto"/>
          <w:highlight w:val="none"/>
        </w:rPr>
        <w:t>）支座柱脚锚栓埋设偏差要求：每一柱脚锚栓之间埋设偏差需小于</w:t>
      </w:r>
      <w:r>
        <w:rPr>
          <w:color w:val="auto"/>
          <w:highlight w:val="none"/>
        </w:rPr>
        <w:t>2mm</w:t>
      </w:r>
      <w:r>
        <w:rPr>
          <w:rFonts w:hint="eastAsia"/>
          <w:color w:val="auto"/>
          <w:highlight w:val="none"/>
        </w:rPr>
        <w:t>。</w:t>
      </w:r>
    </w:p>
    <w:p>
      <w:pPr>
        <w:pStyle w:val="217"/>
        <w:rPr>
          <w:color w:val="auto"/>
          <w:highlight w:val="none"/>
        </w:rPr>
      </w:pPr>
      <w:r>
        <w:rPr>
          <w:color w:val="auto"/>
          <w:highlight w:val="none"/>
        </w:rPr>
        <w:t>4</w:t>
      </w:r>
      <w:r>
        <w:rPr>
          <w:rFonts w:hint="eastAsia"/>
          <w:color w:val="auto"/>
          <w:highlight w:val="none"/>
        </w:rPr>
        <w:t>）钢结构施工时，宜设置可靠地支护体系，保证结构在各种荷载作用之下结构的稳定性和安全性。</w:t>
      </w:r>
    </w:p>
    <w:p>
      <w:pPr>
        <w:pStyle w:val="217"/>
        <w:rPr>
          <w:color w:val="auto"/>
          <w:highlight w:val="none"/>
        </w:rPr>
      </w:pPr>
      <w:r>
        <w:rPr>
          <w:color w:val="auto"/>
          <w:highlight w:val="none"/>
        </w:rPr>
        <w:t>5</w:t>
      </w:r>
      <w:r>
        <w:rPr>
          <w:rFonts w:hint="eastAsia"/>
          <w:color w:val="auto"/>
          <w:highlight w:val="none"/>
        </w:rPr>
        <w:t>）钢构件在运输吊装过程中应采取措施防止过量变形和失稳。</w:t>
      </w:r>
    </w:p>
    <w:p>
      <w:pPr>
        <w:pStyle w:val="217"/>
        <w:rPr>
          <w:color w:val="auto"/>
          <w:highlight w:val="none"/>
        </w:rPr>
      </w:pPr>
      <w:r>
        <w:rPr>
          <w:rFonts w:hint="eastAsia"/>
          <w:color w:val="auto"/>
          <w:highlight w:val="none"/>
        </w:rPr>
        <w:t>（</w:t>
      </w:r>
      <w:r>
        <w:rPr>
          <w:color w:val="auto"/>
          <w:highlight w:val="none"/>
        </w:rPr>
        <w:t>7</w:t>
      </w:r>
      <w:r>
        <w:rPr>
          <w:rFonts w:hint="eastAsia"/>
          <w:color w:val="auto"/>
          <w:highlight w:val="none"/>
        </w:rPr>
        <w:t>）钢构件除锈及涂装要求</w:t>
      </w:r>
    </w:p>
    <w:p>
      <w:pPr>
        <w:pStyle w:val="217"/>
        <w:rPr>
          <w:color w:val="auto"/>
          <w:highlight w:val="none"/>
        </w:rPr>
      </w:pPr>
      <w:r>
        <w:rPr>
          <w:color w:val="auto"/>
          <w:highlight w:val="none"/>
        </w:rPr>
        <w:t>1</w:t>
      </w:r>
      <w:r>
        <w:rPr>
          <w:rFonts w:hint="eastAsia"/>
          <w:color w:val="auto"/>
          <w:highlight w:val="none"/>
        </w:rPr>
        <w:t>）钢构件出厂前不需要涂漆部位：</w:t>
      </w:r>
    </w:p>
    <w:p>
      <w:pPr>
        <w:pStyle w:val="217"/>
        <w:rPr>
          <w:color w:val="auto"/>
          <w:highlight w:val="none"/>
        </w:rPr>
      </w:pPr>
      <w:r>
        <w:rPr>
          <w:rFonts w:hint="eastAsia"/>
          <w:color w:val="auto"/>
          <w:highlight w:val="none"/>
        </w:rPr>
        <w:t>①高强度螺栓节点摩擦面；</w:t>
      </w:r>
    </w:p>
    <w:p>
      <w:pPr>
        <w:pStyle w:val="217"/>
        <w:rPr>
          <w:color w:val="auto"/>
          <w:highlight w:val="none"/>
        </w:rPr>
      </w:pPr>
      <w:r>
        <w:rPr>
          <w:rFonts w:hint="eastAsia"/>
          <w:color w:val="auto"/>
          <w:highlight w:val="none"/>
        </w:rPr>
        <w:t>②工字形柱内的封闭区；</w:t>
      </w:r>
    </w:p>
    <w:p>
      <w:pPr>
        <w:pStyle w:val="217"/>
        <w:rPr>
          <w:color w:val="auto"/>
          <w:highlight w:val="none"/>
        </w:rPr>
      </w:pPr>
      <w:r>
        <w:rPr>
          <w:rFonts w:hint="eastAsia"/>
          <w:color w:val="auto"/>
          <w:highlight w:val="none"/>
        </w:rPr>
        <w:t>③地脚螺栓和底板；</w:t>
      </w:r>
    </w:p>
    <w:p>
      <w:pPr>
        <w:pStyle w:val="217"/>
        <w:rPr>
          <w:color w:val="auto"/>
          <w:highlight w:val="none"/>
        </w:rPr>
      </w:pPr>
      <w:r>
        <w:rPr>
          <w:rFonts w:hint="eastAsia"/>
          <w:color w:val="auto"/>
          <w:highlight w:val="none"/>
        </w:rPr>
        <w:t>④工地焊接部位及两侧</w:t>
      </w:r>
      <w:r>
        <w:rPr>
          <w:color w:val="auto"/>
          <w:highlight w:val="none"/>
        </w:rPr>
        <w:t>100mm</w:t>
      </w:r>
      <w:r>
        <w:rPr>
          <w:rFonts w:hint="eastAsia"/>
          <w:color w:val="auto"/>
          <w:highlight w:val="none"/>
        </w:rPr>
        <w:t>、且要满足超声波探伤要求范围。但工地焊接部位及两侧应进行不影响焊接的防锈处理，在除锈后刷涂防锈保护漆，漆膜总厚度不小于</w:t>
      </w:r>
      <w:r>
        <w:rPr>
          <w:color w:val="auto"/>
          <w:highlight w:val="none"/>
        </w:rPr>
        <w:t>125</w:t>
      </w:r>
      <w:r>
        <w:rPr>
          <w:rFonts w:hint="eastAsia"/>
          <w:color w:val="auto"/>
          <w:highlight w:val="none"/>
        </w:rPr>
        <w:t>微米。</w:t>
      </w:r>
    </w:p>
    <w:p>
      <w:pPr>
        <w:pStyle w:val="217"/>
        <w:rPr>
          <w:color w:val="auto"/>
          <w:highlight w:val="none"/>
        </w:rPr>
      </w:pPr>
      <w:r>
        <w:rPr>
          <w:rFonts w:hint="eastAsia"/>
          <w:color w:val="auto"/>
          <w:highlight w:val="none"/>
        </w:rPr>
        <w:t>⑤除上述所列范围以外的钢构件表面，均应在除锈后，刷除锈底漆二道出厂。</w:t>
      </w:r>
    </w:p>
    <w:p>
      <w:pPr>
        <w:pStyle w:val="217"/>
        <w:rPr>
          <w:color w:val="auto"/>
          <w:highlight w:val="none"/>
        </w:rPr>
      </w:pPr>
      <w:r>
        <w:rPr>
          <w:rFonts w:hint="eastAsia"/>
          <w:color w:val="auto"/>
          <w:highlight w:val="none"/>
        </w:rPr>
        <w:t>⑥构件安装后需补涂漆部位：</w:t>
      </w:r>
    </w:p>
    <w:p>
      <w:pPr>
        <w:pStyle w:val="217"/>
        <w:rPr>
          <w:color w:val="auto"/>
          <w:highlight w:val="none"/>
        </w:rPr>
      </w:pPr>
      <w:r>
        <w:rPr>
          <w:rFonts w:hint="eastAsia"/>
          <w:color w:val="auto"/>
          <w:highlight w:val="none"/>
        </w:rPr>
        <w:t>⑦接合部的外露部位和紧固件，如高强度螺栓未涂漆部分；</w:t>
      </w:r>
    </w:p>
    <w:p>
      <w:pPr>
        <w:pStyle w:val="217"/>
        <w:rPr>
          <w:color w:val="auto"/>
          <w:highlight w:val="none"/>
        </w:rPr>
      </w:pPr>
      <w:r>
        <w:rPr>
          <w:rFonts w:hint="eastAsia"/>
          <w:color w:val="auto"/>
          <w:highlight w:val="none"/>
        </w:rPr>
        <w:t>⑧工地焊接区；</w:t>
      </w:r>
    </w:p>
    <w:p>
      <w:pPr>
        <w:pStyle w:val="217"/>
        <w:rPr>
          <w:color w:val="auto"/>
          <w:highlight w:val="none"/>
        </w:rPr>
      </w:pPr>
      <w:r>
        <w:rPr>
          <w:rFonts w:hint="eastAsia"/>
          <w:color w:val="auto"/>
          <w:highlight w:val="none"/>
        </w:rPr>
        <w:t>⑨经碰撞脱落的工厂油漆部分，均涂防锈底漆一道。</w:t>
      </w:r>
    </w:p>
    <w:p>
      <w:pPr>
        <w:pStyle w:val="217"/>
        <w:rPr>
          <w:color w:val="auto"/>
          <w:highlight w:val="none"/>
        </w:rPr>
      </w:pPr>
      <w:r>
        <w:rPr>
          <w:color w:val="auto"/>
          <w:highlight w:val="none"/>
        </w:rPr>
        <w:t>2</w:t>
      </w:r>
      <w:r>
        <w:rPr>
          <w:rFonts w:hint="eastAsia"/>
          <w:color w:val="auto"/>
          <w:highlight w:val="none"/>
        </w:rPr>
        <w:t>）构件涂装防锈要求：</w:t>
      </w:r>
    </w:p>
    <w:p>
      <w:pPr>
        <w:pStyle w:val="217"/>
        <w:rPr>
          <w:color w:val="auto"/>
          <w:highlight w:val="none"/>
        </w:rPr>
      </w:pPr>
      <w:r>
        <w:rPr>
          <w:rFonts w:hint="eastAsia"/>
          <w:color w:val="auto"/>
          <w:highlight w:val="none"/>
        </w:rPr>
        <w:t>①钢构件表面，均应在除锈后，刷防锈底漆二道，保证最终达到二底、一中、一面配套防锈层，漆干膜总厚度不小于</w:t>
      </w:r>
      <w:r>
        <w:rPr>
          <w:color w:val="auto"/>
          <w:highlight w:val="none"/>
        </w:rPr>
        <w:t>125um.</w:t>
      </w:r>
      <w:r>
        <w:rPr>
          <w:rFonts w:hint="eastAsia"/>
          <w:color w:val="auto"/>
          <w:highlight w:val="none"/>
        </w:rPr>
        <w:t>。面漆色样由业主确认。</w:t>
      </w:r>
    </w:p>
    <w:p>
      <w:pPr>
        <w:pStyle w:val="217"/>
        <w:rPr>
          <w:color w:val="auto"/>
          <w:highlight w:val="none"/>
        </w:rPr>
      </w:pPr>
      <w:r>
        <w:rPr>
          <w:rFonts w:hint="eastAsia"/>
          <w:color w:val="auto"/>
          <w:highlight w:val="none"/>
        </w:rPr>
        <w:t>②所有构件涂漆前均应严格进行金属表面喷射或其他方法的防锈处理，其级别达到国家标准（</w:t>
      </w:r>
      <w:r>
        <w:rPr>
          <w:color w:val="auto"/>
          <w:highlight w:val="none"/>
        </w:rPr>
        <w:t>GB8923-88</w:t>
      </w:r>
      <w:r>
        <w:rPr>
          <w:rFonts w:hint="eastAsia"/>
          <w:color w:val="auto"/>
          <w:highlight w:val="none"/>
        </w:rPr>
        <w:t>）中的</w:t>
      </w:r>
      <w:r>
        <w:rPr>
          <w:color w:val="auto"/>
          <w:highlight w:val="none"/>
        </w:rPr>
        <w:t>Sa21/2</w:t>
      </w:r>
      <w:r>
        <w:rPr>
          <w:rFonts w:hint="eastAsia"/>
          <w:color w:val="auto"/>
          <w:highlight w:val="none"/>
        </w:rPr>
        <w:t>等级，并按有关要求涂底漆后出厂。</w:t>
      </w:r>
    </w:p>
    <w:p>
      <w:pPr>
        <w:pStyle w:val="217"/>
        <w:rPr>
          <w:color w:val="auto"/>
          <w:highlight w:val="none"/>
        </w:rPr>
      </w:pPr>
      <w:r>
        <w:rPr>
          <w:rFonts w:hint="eastAsia"/>
          <w:color w:val="auto"/>
          <w:highlight w:val="none"/>
        </w:rPr>
        <w:t>③涂漆后的漆膜外观应均匀、平整、丰满而有光泽，不允许有咬底、裂纹、剥落、针孔等缺陷。涂层厚度用磁性测厚仪测定，总厚度应达到有关设计要求。色样由业主确定。</w:t>
      </w:r>
      <w:r>
        <w:rPr>
          <w:color w:val="auto"/>
          <w:highlight w:val="none"/>
        </w:rPr>
        <w:t xml:space="preserve"> </w:t>
      </w:r>
    </w:p>
    <w:p>
      <w:pPr>
        <w:rPr>
          <w:color w:val="auto"/>
          <w:highlight w:val="none"/>
        </w:rPr>
      </w:pPr>
      <w:r>
        <w:rPr>
          <w:color w:val="auto"/>
          <w:highlight w:val="none"/>
        </w:rPr>
        <w:t>2.</w:t>
      </w:r>
      <w:r>
        <w:rPr>
          <w:rFonts w:hint="eastAsia"/>
          <w:color w:val="auto"/>
          <w:highlight w:val="none"/>
        </w:rPr>
        <w:t>钢结构防腐涂装</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）施工准备</w:t>
      </w:r>
      <w:r>
        <w:rPr>
          <w:color w:val="auto"/>
          <w:highlight w:val="none"/>
        </w:rPr>
        <w:t xml:space="preserve"> </w:t>
      </w:r>
    </w:p>
    <w:p>
      <w:pPr>
        <w:pStyle w:val="217"/>
        <w:rPr>
          <w:color w:val="auto"/>
          <w:highlight w:val="none"/>
        </w:rPr>
      </w:pPr>
      <w:r>
        <w:rPr>
          <w:color w:val="auto"/>
          <w:highlight w:val="none"/>
        </w:rPr>
        <w:t>1</w:t>
      </w:r>
      <w:r>
        <w:rPr>
          <w:rFonts w:hint="eastAsia"/>
          <w:color w:val="auto"/>
          <w:highlight w:val="none"/>
        </w:rPr>
        <w:t>）材料</w:t>
      </w:r>
    </w:p>
    <w:p>
      <w:pPr>
        <w:pStyle w:val="217"/>
        <w:rPr>
          <w:color w:val="auto"/>
          <w:highlight w:val="none"/>
        </w:rPr>
      </w:pPr>
      <w:r>
        <w:rPr>
          <w:rFonts w:hint="eastAsia"/>
          <w:color w:val="auto"/>
          <w:highlight w:val="none"/>
        </w:rPr>
        <w:t>建筑钢结构工程防腐材料的选用应符合设计要求。防腐蚀材料有底漆、面漆和稀料等。建筑钢结构工程防腐底漆有红丹油性防锈漆、钼铬红环氧酯防锈漆等；建筑钢结构防腐面漆有各色醇酸磁漆和各色醇酸调合漆等。各种防腐材料应符合国家有关技术指标的规定，还应有产品出厂合格证。</w:t>
      </w:r>
    </w:p>
    <w:p>
      <w:pPr>
        <w:pStyle w:val="217"/>
        <w:rPr>
          <w:color w:val="auto"/>
          <w:highlight w:val="none"/>
        </w:rPr>
      </w:pPr>
      <w:r>
        <w:rPr>
          <w:color w:val="auto"/>
          <w:highlight w:val="none"/>
        </w:rPr>
        <w:t>2</w:t>
      </w:r>
      <w:r>
        <w:rPr>
          <w:rFonts w:hint="eastAsia"/>
          <w:color w:val="auto"/>
          <w:highlight w:val="none"/>
        </w:rPr>
        <w:t>）主要机具：</w:t>
      </w:r>
    </w:p>
    <w:p>
      <w:pPr>
        <w:pStyle w:val="217"/>
        <w:rPr>
          <w:color w:val="auto"/>
          <w:highlight w:val="none"/>
        </w:rPr>
      </w:pPr>
      <w:r>
        <w:rPr>
          <w:rFonts w:hint="eastAsia"/>
          <w:color w:val="auto"/>
          <w:highlight w:val="none"/>
        </w:rPr>
        <w:t>喷砂枪、气泵、回收装置、喷漆枪、喷漆气泵、胶管、铲刀、手砂轮、砂布、钢丝刷、棉丝、小压缩机、油漆小桶、刷子、酸洗槽和附件等。</w:t>
      </w:r>
    </w:p>
    <w:p>
      <w:pPr>
        <w:pStyle w:val="217"/>
        <w:rPr>
          <w:color w:val="auto"/>
          <w:highlight w:val="none"/>
        </w:rPr>
      </w:pPr>
      <w:r>
        <w:rPr>
          <w:color w:val="auto"/>
          <w:highlight w:val="none"/>
        </w:rPr>
        <w:t>3</w:t>
      </w:r>
      <w:r>
        <w:rPr>
          <w:rFonts w:hint="eastAsia"/>
          <w:color w:val="auto"/>
          <w:highlight w:val="none"/>
        </w:rPr>
        <w:t>）作业条件：</w:t>
      </w:r>
    </w:p>
    <w:p>
      <w:pPr>
        <w:pStyle w:val="217"/>
        <w:rPr>
          <w:color w:val="auto"/>
          <w:highlight w:val="none"/>
        </w:rPr>
      </w:pPr>
      <w:r>
        <w:rPr>
          <w:rFonts w:hint="eastAsia"/>
          <w:color w:val="auto"/>
          <w:highlight w:val="none"/>
        </w:rPr>
        <w:t>①油漆工施工作业应有特殊工种作业操作证。</w:t>
      </w:r>
    </w:p>
    <w:p>
      <w:pPr>
        <w:pStyle w:val="217"/>
        <w:rPr>
          <w:color w:val="auto"/>
          <w:highlight w:val="none"/>
        </w:rPr>
      </w:pPr>
      <w:r>
        <w:rPr>
          <w:rFonts w:hint="eastAsia"/>
          <w:color w:val="auto"/>
          <w:highlight w:val="none"/>
        </w:rPr>
        <w:t>②防腐涂装工程前钢结构工程已检查验收，并符合设计要求。</w:t>
      </w:r>
    </w:p>
    <w:p>
      <w:pPr>
        <w:pStyle w:val="217"/>
        <w:rPr>
          <w:color w:val="auto"/>
          <w:highlight w:val="none"/>
        </w:rPr>
      </w:pPr>
      <w:r>
        <w:rPr>
          <w:rFonts w:hint="eastAsia"/>
          <w:color w:val="auto"/>
          <w:highlight w:val="none"/>
        </w:rPr>
        <w:t>③防腐涂装作业场地应有安全防护措施，有防火和通风措施，防止发生火灾和人员中毒事故。</w:t>
      </w:r>
    </w:p>
    <w:p>
      <w:pPr>
        <w:pStyle w:val="217"/>
        <w:rPr>
          <w:color w:val="auto"/>
          <w:highlight w:val="none"/>
        </w:rPr>
      </w:pPr>
      <w:r>
        <w:rPr>
          <w:rFonts w:hint="eastAsia"/>
          <w:color w:val="auto"/>
          <w:highlight w:val="none"/>
        </w:rPr>
        <w:t>④露天防腐施工作业应选择适当的天气，大风、遇雨、严寒等均不应作业。</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）操作工艺</w:t>
      </w:r>
    </w:p>
    <w:p>
      <w:pPr>
        <w:pStyle w:val="217"/>
        <w:rPr>
          <w:color w:val="auto"/>
          <w:highlight w:val="none"/>
        </w:rPr>
      </w:pPr>
      <w:r>
        <w:rPr>
          <w:color w:val="auto"/>
          <w:highlight w:val="none"/>
        </w:rPr>
        <w:t>1</w:t>
      </w:r>
      <w:r>
        <w:rPr>
          <w:rFonts w:hint="eastAsia"/>
          <w:color w:val="auto"/>
          <w:highlight w:val="none"/>
        </w:rPr>
        <w:t>）工艺流程：</w:t>
      </w:r>
    </w:p>
    <w:p>
      <w:pPr>
        <w:pStyle w:val="217"/>
        <w:rPr>
          <w:color w:val="auto"/>
          <w:highlight w:val="none"/>
        </w:rPr>
      </w:pPr>
      <w:r>
        <w:rPr>
          <w:rFonts w:hint="eastAsia"/>
          <w:color w:val="auto"/>
          <w:highlight w:val="none"/>
        </w:rPr>
        <w:t>基面清理</w:t>
      </w:r>
      <w:r>
        <w:rPr>
          <w:color w:val="auto"/>
          <w:highlight w:val="none"/>
        </w:rPr>
        <w:t xml:space="preserve"> </w:t>
      </w:r>
      <w:r>
        <w:rPr>
          <w:rFonts w:hint="eastAsia"/>
          <w:color w:val="auto"/>
          <w:highlight w:val="none"/>
        </w:rPr>
        <w:t>→</w:t>
      </w:r>
      <w:r>
        <w:rPr>
          <w:color w:val="auto"/>
          <w:highlight w:val="none"/>
        </w:rPr>
        <w:t xml:space="preserve"> </w:t>
      </w:r>
      <w:r>
        <w:rPr>
          <w:rFonts w:hint="eastAsia"/>
          <w:color w:val="auto"/>
          <w:highlight w:val="none"/>
        </w:rPr>
        <w:t>底漆涂装</w:t>
      </w:r>
      <w:r>
        <w:rPr>
          <w:color w:val="auto"/>
          <w:highlight w:val="none"/>
        </w:rPr>
        <w:t xml:space="preserve"> </w:t>
      </w:r>
      <w:r>
        <w:rPr>
          <w:rFonts w:hint="eastAsia"/>
          <w:color w:val="auto"/>
          <w:highlight w:val="none"/>
        </w:rPr>
        <w:t>→</w:t>
      </w:r>
      <w:r>
        <w:rPr>
          <w:color w:val="auto"/>
          <w:highlight w:val="none"/>
        </w:rPr>
        <w:t xml:space="preserve"> </w:t>
      </w:r>
      <w:r>
        <w:rPr>
          <w:rFonts w:hint="eastAsia"/>
          <w:color w:val="auto"/>
          <w:highlight w:val="none"/>
        </w:rPr>
        <w:t>面漆涂装</w:t>
      </w:r>
      <w:r>
        <w:rPr>
          <w:color w:val="auto"/>
          <w:highlight w:val="none"/>
        </w:rPr>
        <w:t xml:space="preserve"> </w:t>
      </w:r>
      <w:r>
        <w:rPr>
          <w:rFonts w:hint="eastAsia"/>
          <w:color w:val="auto"/>
          <w:highlight w:val="none"/>
        </w:rPr>
        <w:t>→</w:t>
      </w:r>
      <w:r>
        <w:rPr>
          <w:color w:val="auto"/>
          <w:highlight w:val="none"/>
        </w:rPr>
        <w:t xml:space="preserve"> </w:t>
      </w:r>
      <w:r>
        <w:rPr>
          <w:rFonts w:hint="eastAsia"/>
          <w:color w:val="auto"/>
          <w:highlight w:val="none"/>
        </w:rPr>
        <w:t>检查验收</w:t>
      </w:r>
      <w:r>
        <w:rPr>
          <w:color w:val="auto"/>
          <w:highlight w:val="none"/>
        </w:rPr>
        <w:t xml:space="preserve"> </w:t>
      </w:r>
    </w:p>
    <w:p>
      <w:pPr>
        <w:pStyle w:val="217"/>
        <w:rPr>
          <w:color w:val="auto"/>
          <w:highlight w:val="none"/>
        </w:rPr>
      </w:pPr>
      <w:r>
        <w:rPr>
          <w:color w:val="auto"/>
          <w:highlight w:val="none"/>
        </w:rPr>
        <w:t>2</w:t>
      </w:r>
      <w:r>
        <w:rPr>
          <w:rFonts w:hint="eastAsia"/>
          <w:color w:val="auto"/>
          <w:highlight w:val="none"/>
        </w:rPr>
        <w:t>）基面清理：</w:t>
      </w:r>
    </w:p>
    <w:p>
      <w:pPr>
        <w:pStyle w:val="217"/>
        <w:rPr>
          <w:color w:val="auto"/>
          <w:highlight w:val="none"/>
        </w:rPr>
      </w:pPr>
      <w:r>
        <w:rPr>
          <w:rFonts w:hint="eastAsia"/>
          <w:color w:val="auto"/>
          <w:highlight w:val="none"/>
        </w:rPr>
        <w:t>①建筑钢结构工程的油漆涂装应在钢结构安装验收合格后进行。油漆涂刷前，应将需涂装部位的铁锈、焊缝药皮、焊接飞溅物、油污、尘土等杂物清理干净。</w:t>
      </w:r>
    </w:p>
    <w:p>
      <w:pPr>
        <w:pStyle w:val="217"/>
        <w:rPr>
          <w:color w:val="auto"/>
          <w:highlight w:val="none"/>
        </w:rPr>
      </w:pPr>
      <w:r>
        <w:rPr>
          <w:rFonts w:hint="eastAsia"/>
          <w:color w:val="auto"/>
          <w:highlight w:val="none"/>
        </w:rPr>
        <w:t>②基面清理除锈质量的好坏，直接关系到涂层质量的好坏。因此涂装工艺的基面除锈质量分为一级和二级，见表</w:t>
      </w:r>
      <w:r>
        <w:rPr>
          <w:color w:val="auto"/>
          <w:highlight w:val="none"/>
        </w:rPr>
        <w:t>5-25</w:t>
      </w:r>
      <w:r>
        <w:rPr>
          <w:rFonts w:hint="eastAsia"/>
          <w:color w:val="auto"/>
          <w:highlight w:val="none"/>
        </w:rPr>
        <w:t>的规定。</w:t>
      </w:r>
    </w:p>
    <w:p>
      <w:pPr>
        <w:rPr>
          <w:color w:val="auto"/>
          <w:highlight w:val="none"/>
        </w:rPr>
      </w:pPr>
    </w:p>
    <w:p>
      <w:pPr>
        <w:pStyle w:val="217"/>
        <w:rPr>
          <w:color w:val="auto"/>
          <w:highlight w:val="none"/>
        </w:rPr>
      </w:pPr>
      <w:r>
        <w:rPr>
          <w:rFonts w:hint="eastAsia"/>
          <w:color w:val="auto"/>
          <w:highlight w:val="none"/>
        </w:rPr>
        <w:t>钢结构除锈质量等级</w:t>
      </w:r>
      <w:r>
        <w:rPr>
          <w:color w:val="auto"/>
          <w:highlight w:val="none"/>
        </w:rPr>
        <w:t> </w:t>
      </w:r>
      <w:r>
        <w:rPr>
          <w:rFonts w:hint="eastAsia"/>
          <w:color w:val="auto"/>
          <w:highlight w:val="none"/>
        </w:rPr>
        <w:t>表</w:t>
      </w:r>
      <w:r>
        <w:rPr>
          <w:color w:val="auto"/>
          <w:highlight w:val="none"/>
        </w:rPr>
        <w:t>5-25</w:t>
      </w:r>
    </w:p>
    <w:tbl>
      <w:tblPr>
        <w:tblStyle w:val="43"/>
        <w:tblW w:w="852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827"/>
        <w:gridCol w:w="3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rPr>
                <w:color w:val="auto"/>
                <w:highlight w:val="none"/>
              </w:rPr>
            </w:pPr>
            <w:r>
              <w:rPr>
                <w:rFonts w:hint="eastAsia"/>
                <w:color w:val="auto"/>
                <w:highlight w:val="none"/>
              </w:rPr>
              <w:t>等级</w:t>
            </w:r>
          </w:p>
        </w:tc>
        <w:tc>
          <w:tcPr>
            <w:tcW w:w="3827" w:type="dxa"/>
            <w:noWrap w:val="0"/>
            <w:vAlign w:val="top"/>
          </w:tcPr>
          <w:p>
            <w:pPr>
              <w:rPr>
                <w:color w:val="auto"/>
                <w:highlight w:val="none"/>
              </w:rPr>
            </w:pPr>
            <w:r>
              <w:rPr>
                <w:rFonts w:hint="eastAsia"/>
                <w:color w:val="auto"/>
                <w:highlight w:val="none"/>
              </w:rPr>
              <w:t>质量标准</w:t>
            </w:r>
          </w:p>
        </w:tc>
        <w:tc>
          <w:tcPr>
            <w:tcW w:w="3884" w:type="dxa"/>
            <w:noWrap w:val="0"/>
            <w:vAlign w:val="top"/>
          </w:tcPr>
          <w:p>
            <w:pPr>
              <w:rPr>
                <w:color w:val="auto"/>
                <w:highlight w:val="none"/>
              </w:rPr>
            </w:pPr>
            <w:r>
              <w:rPr>
                <w:rFonts w:hint="eastAsia"/>
                <w:color w:val="auto"/>
                <w:highlight w:val="none"/>
              </w:rPr>
              <w:t>除锈方法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rPr>
                <w:color w:val="auto"/>
                <w:highlight w:val="none"/>
              </w:rPr>
            </w:pPr>
            <w:r>
              <w:rPr>
                <w:color w:val="auto"/>
                <w:highlight w:val="none"/>
              </w:rPr>
              <w:t>1</w:t>
            </w:r>
          </w:p>
        </w:tc>
        <w:tc>
          <w:tcPr>
            <w:tcW w:w="3827" w:type="dxa"/>
            <w:noWrap w:val="0"/>
            <w:vAlign w:val="top"/>
          </w:tcPr>
          <w:p>
            <w:pPr>
              <w:rPr>
                <w:color w:val="auto"/>
                <w:highlight w:val="none"/>
              </w:rPr>
            </w:pPr>
            <w:r>
              <w:rPr>
                <w:rFonts w:hint="eastAsia"/>
                <w:color w:val="auto"/>
                <w:highlight w:val="none"/>
              </w:rPr>
              <w:t>钢材表面露出金属色泽</w:t>
            </w:r>
          </w:p>
        </w:tc>
        <w:tc>
          <w:tcPr>
            <w:tcW w:w="3884" w:type="dxa"/>
            <w:noWrap w:val="0"/>
            <w:vAlign w:val="top"/>
          </w:tcPr>
          <w:p>
            <w:pPr>
              <w:rPr>
                <w:color w:val="auto"/>
                <w:highlight w:val="none"/>
              </w:rPr>
            </w:pPr>
            <w:r>
              <w:rPr>
                <w:rFonts w:hint="eastAsia"/>
                <w:color w:val="auto"/>
                <w:highlight w:val="none"/>
              </w:rPr>
              <w:t>喷砂、抛丸、酸洗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pPr>
              <w:rPr>
                <w:color w:val="auto"/>
                <w:highlight w:val="none"/>
              </w:rPr>
            </w:pPr>
            <w:r>
              <w:rPr>
                <w:color w:val="auto"/>
                <w:highlight w:val="none"/>
              </w:rPr>
              <w:t>2</w:t>
            </w:r>
          </w:p>
        </w:tc>
        <w:tc>
          <w:tcPr>
            <w:tcW w:w="3827" w:type="dxa"/>
            <w:noWrap w:val="0"/>
            <w:vAlign w:val="top"/>
          </w:tcPr>
          <w:p>
            <w:pPr>
              <w:rPr>
                <w:color w:val="auto"/>
                <w:highlight w:val="none"/>
              </w:rPr>
            </w:pPr>
            <w:r>
              <w:rPr>
                <w:rFonts w:hint="eastAsia"/>
                <w:color w:val="auto"/>
                <w:highlight w:val="none"/>
              </w:rPr>
              <w:t>钢材表面允许存留干净的轧制表皮</w:t>
            </w:r>
          </w:p>
        </w:tc>
        <w:tc>
          <w:tcPr>
            <w:tcW w:w="3884" w:type="dxa"/>
            <w:noWrap w:val="0"/>
            <w:vAlign w:val="top"/>
          </w:tcPr>
          <w:p>
            <w:pPr>
              <w:rPr>
                <w:color w:val="auto"/>
                <w:highlight w:val="none"/>
              </w:rPr>
            </w:pPr>
            <w:r>
              <w:rPr>
                <w:rFonts w:hint="eastAsia"/>
                <w:color w:val="auto"/>
                <w:highlight w:val="none"/>
              </w:rPr>
              <w:t>一般工具</w:t>
            </w:r>
            <w:r>
              <w:rPr>
                <w:color w:val="auto"/>
                <w:highlight w:val="none"/>
              </w:rPr>
              <w:t> (</w:t>
            </w:r>
            <w:r>
              <w:rPr>
                <w:rFonts w:hint="eastAsia"/>
                <w:color w:val="auto"/>
                <w:highlight w:val="none"/>
              </w:rPr>
              <w:t>钢丝刷、砂布</w:t>
            </w:r>
            <w:r>
              <w:rPr>
                <w:color w:val="auto"/>
                <w:highlight w:val="none"/>
              </w:rPr>
              <w:t>) </w:t>
            </w:r>
            <w:r>
              <w:rPr>
                <w:rFonts w:hint="eastAsia"/>
                <w:color w:val="auto"/>
                <w:highlight w:val="none"/>
              </w:rPr>
              <w:t>清除</w:t>
            </w:r>
            <w:r>
              <w:rPr>
                <w:color w:val="auto"/>
                <w:highlight w:val="none"/>
              </w:rPr>
              <w:t xml:space="preserve"> </w:t>
            </w:r>
          </w:p>
        </w:tc>
      </w:tr>
    </w:tbl>
    <w:p>
      <w:pPr>
        <w:rPr>
          <w:color w:val="auto"/>
          <w:highlight w:val="none"/>
        </w:rPr>
      </w:pPr>
    </w:p>
    <w:p>
      <w:pPr>
        <w:pStyle w:val="217"/>
        <w:rPr>
          <w:color w:val="auto"/>
          <w:highlight w:val="none"/>
        </w:rPr>
      </w:pPr>
      <w:r>
        <w:rPr>
          <w:rFonts w:hint="eastAsia"/>
          <w:color w:val="auto"/>
          <w:highlight w:val="none"/>
        </w:rPr>
        <w:t>③为了保证涂装质量，根据不同需要可以分别选用以下除锈工艺。</w:t>
      </w:r>
    </w:p>
    <w:p>
      <w:pPr>
        <w:pStyle w:val="217"/>
        <w:rPr>
          <w:color w:val="auto"/>
          <w:highlight w:val="none"/>
        </w:rPr>
      </w:pPr>
      <w:r>
        <w:rPr>
          <w:rFonts w:hint="eastAsia"/>
          <w:color w:val="auto"/>
          <w:highlight w:val="none"/>
        </w:rPr>
        <w:t>④喷砂除锈，它是利用压缩空气的压力，连续不断地用石英砂或铁砂冲击钢构件的表面，把钢材表面的铁锈、油污等杂物清理干净，露出金属钢材本色的一种除锈方法。这种方法效率高，除锈彻底，是比较先进的除锈工艺。</w:t>
      </w:r>
    </w:p>
    <w:p>
      <w:pPr>
        <w:pStyle w:val="217"/>
        <w:rPr>
          <w:color w:val="auto"/>
          <w:highlight w:val="none"/>
        </w:rPr>
      </w:pPr>
      <w:r>
        <w:rPr>
          <w:rFonts w:hint="eastAsia"/>
          <w:color w:val="auto"/>
          <w:highlight w:val="none"/>
        </w:rPr>
        <w:t>⑤酸洗除锈，它是把需涂装的钢构件浸放在酸池内，用酸除去构件表面的油污和铁锈。采用酸洗工艺效率也高，除锈比较彻底，但是酸洗以后必须用热水或清水冲洗构件，如果有残酸存在，构件的锈蚀会更加厉害。</w:t>
      </w:r>
    </w:p>
    <w:p>
      <w:pPr>
        <w:pStyle w:val="217"/>
        <w:rPr>
          <w:color w:val="auto"/>
          <w:highlight w:val="none"/>
        </w:rPr>
      </w:pPr>
      <w:r>
        <w:rPr>
          <w:rFonts w:hint="eastAsia"/>
          <w:color w:val="auto"/>
          <w:highlight w:val="none"/>
        </w:rPr>
        <w:t>⑥人工除锈，是由人工用一些比较简单的工具，如刮刀、砂轮、砂布、钢丝刷等工具，清除钢构件上的铁锈。这种方法工作效率低，劳动条件差，除锈也不彻底。</w:t>
      </w:r>
    </w:p>
    <w:p>
      <w:pPr>
        <w:pStyle w:val="217"/>
        <w:rPr>
          <w:color w:val="auto"/>
          <w:highlight w:val="none"/>
        </w:rPr>
      </w:pPr>
      <w:r>
        <w:rPr>
          <w:color w:val="auto"/>
          <w:highlight w:val="none"/>
        </w:rPr>
        <w:t>3</w:t>
      </w:r>
      <w:r>
        <w:rPr>
          <w:rFonts w:hint="eastAsia"/>
          <w:color w:val="auto"/>
          <w:highlight w:val="none"/>
        </w:rPr>
        <w:t>）底漆涂装：</w:t>
      </w:r>
    </w:p>
    <w:p>
      <w:pPr>
        <w:pStyle w:val="217"/>
        <w:rPr>
          <w:color w:val="auto"/>
          <w:highlight w:val="none"/>
        </w:rPr>
      </w:pPr>
      <w:r>
        <w:rPr>
          <w:rFonts w:hint="eastAsia"/>
          <w:color w:val="auto"/>
          <w:highlight w:val="none"/>
        </w:rPr>
        <w:t>①调合红丹防锈漆，控制油漆的粘度、稠度、稀度，兑制时应充分的搅拌，使油漆色泽、粘度均匀一致。</w:t>
      </w:r>
    </w:p>
    <w:p>
      <w:pPr>
        <w:pStyle w:val="217"/>
        <w:rPr>
          <w:color w:val="auto"/>
          <w:highlight w:val="none"/>
        </w:rPr>
      </w:pPr>
      <w:r>
        <w:rPr>
          <w:rFonts w:hint="eastAsia"/>
          <w:color w:val="auto"/>
          <w:highlight w:val="none"/>
        </w:rPr>
        <w:t>②刷第一层底漆时涂刷方向应该一致，接槎整齐。</w:t>
      </w:r>
    </w:p>
    <w:p>
      <w:pPr>
        <w:pStyle w:val="217"/>
        <w:rPr>
          <w:color w:val="auto"/>
          <w:highlight w:val="none"/>
        </w:rPr>
      </w:pPr>
      <w:r>
        <w:rPr>
          <w:rFonts w:hint="eastAsia"/>
          <w:color w:val="auto"/>
          <w:highlight w:val="none"/>
        </w:rPr>
        <w:t>③刷漆时应采用勤沾、短刷的原则，防止刷子带漆太多而流坠。</w:t>
      </w:r>
    </w:p>
    <w:p>
      <w:pPr>
        <w:pStyle w:val="217"/>
        <w:rPr>
          <w:color w:val="auto"/>
          <w:highlight w:val="none"/>
        </w:rPr>
      </w:pPr>
      <w:r>
        <w:rPr>
          <w:rFonts w:hint="eastAsia"/>
          <w:color w:val="auto"/>
          <w:highlight w:val="none"/>
        </w:rPr>
        <w:t>④待第一遍刷完后，应保持一定的时间间隙，防止第一遍未干就上第二遍，这样会使漆液流坠发皱，质量下降。</w:t>
      </w:r>
    </w:p>
    <w:p>
      <w:pPr>
        <w:pStyle w:val="217"/>
        <w:rPr>
          <w:color w:val="auto"/>
          <w:highlight w:val="none"/>
        </w:rPr>
      </w:pPr>
      <w:r>
        <w:rPr>
          <w:rFonts w:hint="eastAsia"/>
          <w:color w:val="auto"/>
          <w:highlight w:val="none"/>
        </w:rPr>
        <w:t>⑤待第一遍干燥后，再刷第二遍，第二遍涂刷方向应与第一遍涂刷方向垂直，这样会使漆膜厚度均匀一致。</w:t>
      </w:r>
    </w:p>
    <w:p>
      <w:pPr>
        <w:pStyle w:val="217"/>
        <w:rPr>
          <w:color w:val="auto"/>
          <w:highlight w:val="none"/>
        </w:rPr>
      </w:pPr>
      <w:r>
        <w:rPr>
          <w:rFonts w:hint="eastAsia"/>
          <w:color w:val="auto"/>
          <w:highlight w:val="none"/>
        </w:rPr>
        <w:t>⑥底漆涂装后起码需</w:t>
      </w:r>
      <w:r>
        <w:rPr>
          <w:color w:val="auto"/>
          <w:highlight w:val="none"/>
        </w:rPr>
        <w:t>4</w:t>
      </w:r>
      <w:r>
        <w:rPr>
          <w:rFonts w:hint="eastAsia"/>
          <w:color w:val="auto"/>
          <w:highlight w:val="none"/>
        </w:rPr>
        <w:t>～</w:t>
      </w:r>
      <w:r>
        <w:rPr>
          <w:color w:val="auto"/>
          <w:highlight w:val="none"/>
        </w:rPr>
        <w:t>8h</w:t>
      </w:r>
      <w:r>
        <w:rPr>
          <w:rFonts w:hint="eastAsia"/>
          <w:color w:val="auto"/>
          <w:highlight w:val="none"/>
        </w:rPr>
        <w:t>后才能达到表干、表干前不应涂装面漆。</w:t>
      </w:r>
    </w:p>
    <w:p>
      <w:pPr>
        <w:pStyle w:val="217"/>
        <w:rPr>
          <w:color w:val="auto"/>
          <w:highlight w:val="none"/>
        </w:rPr>
      </w:pPr>
      <w:r>
        <w:rPr>
          <w:color w:val="auto"/>
          <w:highlight w:val="none"/>
        </w:rPr>
        <w:t>4</w:t>
      </w:r>
      <w:r>
        <w:rPr>
          <w:rFonts w:hint="eastAsia"/>
          <w:color w:val="auto"/>
          <w:highlight w:val="none"/>
        </w:rPr>
        <w:t>）面漆涂装：</w:t>
      </w:r>
    </w:p>
    <w:p>
      <w:pPr>
        <w:pStyle w:val="217"/>
        <w:rPr>
          <w:color w:val="auto"/>
          <w:highlight w:val="none"/>
        </w:rPr>
      </w:pPr>
      <w:r>
        <w:rPr>
          <w:rFonts w:hint="eastAsia"/>
          <w:color w:val="auto"/>
          <w:highlight w:val="none"/>
        </w:rPr>
        <w:t>①建筑钢结构涂装底漆与面漆一般中间间隙时间较长。钢构件涂装防锈漆后送到工地去组装，组装结束后才统一涂装面漆。这样在涂装面漆前需对钢结构表面进行清理，清除安装焊缝焊药，对烧去或碰去漆的构件，还应事先补漆。</w:t>
      </w:r>
    </w:p>
    <w:p>
      <w:pPr>
        <w:pStyle w:val="217"/>
        <w:rPr>
          <w:color w:val="auto"/>
          <w:highlight w:val="none"/>
        </w:rPr>
      </w:pPr>
      <w:r>
        <w:rPr>
          <w:rFonts w:hint="eastAsia"/>
          <w:color w:val="auto"/>
          <w:highlight w:val="none"/>
        </w:rPr>
        <w:t>②面漆的调制应选择颜色完全一致的面漆，兑制的稀料应合适，面漆使用前应充分搅拌，保持色泽均匀。其工作粘度、稠度应保证涂装时不流坠，不显刷纹。</w:t>
      </w:r>
    </w:p>
    <w:p>
      <w:pPr>
        <w:pStyle w:val="217"/>
        <w:rPr>
          <w:color w:val="auto"/>
          <w:highlight w:val="none"/>
        </w:rPr>
      </w:pPr>
      <w:r>
        <w:rPr>
          <w:rFonts w:hint="eastAsia"/>
          <w:color w:val="auto"/>
          <w:highlight w:val="none"/>
        </w:rPr>
        <w:t>③面漆在使用过程中应不断搅和，涂刷的方法和方向与上述工艺相同。</w:t>
      </w:r>
    </w:p>
    <w:p>
      <w:pPr>
        <w:pStyle w:val="217"/>
        <w:rPr>
          <w:color w:val="auto"/>
          <w:highlight w:val="none"/>
        </w:rPr>
      </w:pPr>
      <w:r>
        <w:rPr>
          <w:rFonts w:hint="eastAsia"/>
          <w:color w:val="auto"/>
          <w:highlight w:val="none"/>
        </w:rPr>
        <w:t>④涂装工艺采用喷涂施工时，应调整好喷嘴口径、喷涂压力，喷枪胶管能自由拉伸到作业区域，空气压缩机气压应在</w:t>
      </w:r>
      <w:r>
        <w:rPr>
          <w:color w:val="auto"/>
          <w:highlight w:val="none"/>
        </w:rPr>
        <w:t>0.4</w:t>
      </w:r>
      <w:r>
        <w:rPr>
          <w:rFonts w:hint="eastAsia"/>
          <w:color w:val="auto"/>
          <w:highlight w:val="none"/>
        </w:rPr>
        <w:t>～</w:t>
      </w:r>
      <w:r>
        <w:rPr>
          <w:color w:val="auto"/>
          <w:highlight w:val="none"/>
        </w:rPr>
        <w:t>0.7N/mm2</w:t>
      </w:r>
      <w:r>
        <w:rPr>
          <w:rFonts w:hint="eastAsia"/>
          <w:color w:val="auto"/>
          <w:highlight w:val="none"/>
        </w:rPr>
        <w:t>。</w:t>
      </w:r>
    </w:p>
    <w:p>
      <w:pPr>
        <w:pStyle w:val="217"/>
        <w:rPr>
          <w:color w:val="auto"/>
          <w:highlight w:val="none"/>
        </w:rPr>
      </w:pPr>
      <w:r>
        <w:rPr>
          <w:rFonts w:hint="eastAsia"/>
          <w:color w:val="auto"/>
          <w:highlight w:val="none"/>
        </w:rPr>
        <w:t>⑤喷涂时应保持好喷嘴与涂层的距离，一般喷枪与作业面距离应在</w:t>
      </w:r>
      <w:r>
        <w:rPr>
          <w:color w:val="auto"/>
          <w:highlight w:val="none"/>
        </w:rPr>
        <w:t>100mm</w:t>
      </w:r>
      <w:r>
        <w:rPr>
          <w:rFonts w:hint="eastAsia"/>
          <w:color w:val="auto"/>
          <w:highlight w:val="none"/>
        </w:rPr>
        <w:t>左右，喷枪与钢结构基面角度应该保持垂直，或喷嘴略为上倾为宜。</w:t>
      </w:r>
    </w:p>
    <w:p>
      <w:pPr>
        <w:pStyle w:val="217"/>
        <w:rPr>
          <w:color w:val="auto"/>
          <w:highlight w:val="none"/>
        </w:rPr>
      </w:pPr>
      <w:r>
        <w:rPr>
          <w:rFonts w:hint="eastAsia"/>
          <w:color w:val="auto"/>
          <w:highlight w:val="none"/>
        </w:rPr>
        <w:t>⑥喷涂时喷嘴应该平行移动，移动时应平稳，速度一致，保持涂层均匀。但是采用喷涂时，一般涂层厚度较薄，故应多喷几遍，每层喷涂时应待上层漆膜已经干燥时进行。</w:t>
      </w:r>
    </w:p>
    <w:p>
      <w:pPr>
        <w:pStyle w:val="217"/>
        <w:rPr>
          <w:color w:val="auto"/>
          <w:highlight w:val="none"/>
        </w:rPr>
      </w:pPr>
      <w:r>
        <w:rPr>
          <w:color w:val="auto"/>
          <w:highlight w:val="none"/>
        </w:rPr>
        <w:t>5</w:t>
      </w:r>
      <w:r>
        <w:rPr>
          <w:rFonts w:hint="eastAsia"/>
          <w:color w:val="auto"/>
          <w:highlight w:val="none"/>
        </w:rPr>
        <w:t>）涂层检查与验收：</w:t>
      </w:r>
    </w:p>
    <w:p>
      <w:pPr>
        <w:pStyle w:val="217"/>
        <w:rPr>
          <w:color w:val="auto"/>
          <w:highlight w:val="none"/>
        </w:rPr>
      </w:pPr>
      <w:r>
        <w:rPr>
          <w:rFonts w:hint="eastAsia"/>
          <w:color w:val="auto"/>
          <w:highlight w:val="none"/>
        </w:rPr>
        <w:t>①表面涂装施工时和施工后，应对涂装过的工件进行保护，防止飞扬尘土和其它杂物。</w:t>
      </w:r>
    </w:p>
    <w:p>
      <w:pPr>
        <w:pStyle w:val="217"/>
        <w:rPr>
          <w:color w:val="auto"/>
          <w:highlight w:val="none"/>
        </w:rPr>
      </w:pPr>
      <w:r>
        <w:rPr>
          <w:rFonts w:hint="eastAsia"/>
          <w:color w:val="auto"/>
          <w:highlight w:val="none"/>
        </w:rPr>
        <w:t>②涂装后的处理检查，应该是涂层颜色一致，色泽鲜明光亮，不起皱皮，不起疙瘩。</w:t>
      </w:r>
    </w:p>
    <w:p>
      <w:pPr>
        <w:pStyle w:val="217"/>
        <w:rPr>
          <w:color w:val="auto"/>
          <w:highlight w:val="none"/>
        </w:rPr>
      </w:pPr>
      <w:r>
        <w:rPr>
          <w:rFonts w:hint="eastAsia"/>
          <w:color w:val="auto"/>
          <w:highlight w:val="none"/>
        </w:rPr>
        <w:t>③涂装漆膜厚度的测定，用触点式漆膜测厚仪测定漆膜厚度，漆膜测厚仪一般测定</w:t>
      </w:r>
      <w:r>
        <w:rPr>
          <w:color w:val="auto"/>
          <w:highlight w:val="none"/>
        </w:rPr>
        <w:t>3</w:t>
      </w:r>
      <w:r>
        <w:rPr>
          <w:rFonts w:hint="eastAsia"/>
          <w:color w:val="auto"/>
          <w:highlight w:val="none"/>
        </w:rPr>
        <w:t>点厚度，取其平均值。</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）质量标准</w:t>
      </w:r>
      <w:r>
        <w:rPr>
          <w:color w:val="auto"/>
          <w:highlight w:val="none"/>
        </w:rPr>
        <w:t xml:space="preserve"> </w:t>
      </w:r>
    </w:p>
    <w:p>
      <w:pPr>
        <w:pStyle w:val="217"/>
        <w:rPr>
          <w:color w:val="auto"/>
          <w:highlight w:val="none"/>
        </w:rPr>
      </w:pPr>
      <w:r>
        <w:rPr>
          <w:color w:val="auto"/>
          <w:highlight w:val="none"/>
        </w:rPr>
        <w:t>1</w:t>
      </w:r>
      <w:r>
        <w:rPr>
          <w:rFonts w:hint="eastAsia"/>
          <w:color w:val="auto"/>
          <w:highlight w:val="none"/>
        </w:rPr>
        <w:t>）保证项目应符合下列规定：</w:t>
      </w:r>
    </w:p>
    <w:p>
      <w:pPr>
        <w:pStyle w:val="217"/>
        <w:rPr>
          <w:color w:val="auto"/>
          <w:highlight w:val="none"/>
        </w:rPr>
      </w:pPr>
      <w:r>
        <w:rPr>
          <w:rFonts w:hint="eastAsia"/>
          <w:color w:val="auto"/>
          <w:highlight w:val="none"/>
        </w:rPr>
        <w:t>①涂料、稀释剂和固化剂等品种、型号和质量，应符合设计要求和国家现行有关标准的规定。</w:t>
      </w:r>
    </w:p>
    <w:p>
      <w:pPr>
        <w:pStyle w:val="217"/>
        <w:rPr>
          <w:color w:val="auto"/>
          <w:highlight w:val="none"/>
        </w:rPr>
      </w:pPr>
      <w:r>
        <w:rPr>
          <w:rFonts w:hint="eastAsia"/>
          <w:color w:val="auto"/>
          <w:highlight w:val="none"/>
        </w:rPr>
        <w:t>检验方法：检查质量证明书或复验报告。</w:t>
      </w:r>
    </w:p>
    <w:p>
      <w:pPr>
        <w:pStyle w:val="217"/>
        <w:rPr>
          <w:color w:val="auto"/>
          <w:highlight w:val="none"/>
        </w:rPr>
      </w:pPr>
      <w:r>
        <w:rPr>
          <w:rFonts w:hint="eastAsia"/>
          <w:color w:val="auto"/>
          <w:highlight w:val="none"/>
        </w:rPr>
        <w:t>②涂装前钢材表面除锈应符合设计要求和国家现行有关标准的规定：经化学除锈的钢材表面应露出金属色泽。处理后的钢材表面应无焊渣、焊疤、灰尘、油污、水和毛刺等。</w:t>
      </w:r>
    </w:p>
    <w:p>
      <w:pPr>
        <w:pStyle w:val="217"/>
        <w:rPr>
          <w:color w:val="auto"/>
          <w:highlight w:val="none"/>
        </w:rPr>
      </w:pPr>
      <w:r>
        <w:rPr>
          <w:rFonts w:hint="eastAsia"/>
          <w:color w:val="auto"/>
          <w:highlight w:val="none"/>
        </w:rPr>
        <w:t>检验方法：用铲刀检查和用现行国家标准《涂装前钢材表面锈蚀等级和除锈等级》规定的图片对照观察检查。</w:t>
      </w:r>
    </w:p>
    <w:p>
      <w:pPr>
        <w:pStyle w:val="217"/>
        <w:rPr>
          <w:color w:val="auto"/>
          <w:highlight w:val="none"/>
        </w:rPr>
      </w:pPr>
      <w:r>
        <w:rPr>
          <w:rFonts w:hint="eastAsia"/>
          <w:color w:val="auto"/>
          <w:highlight w:val="none"/>
        </w:rPr>
        <w:t>③不得误涂、漏涂，涂层应无脱皮和返锈。</w:t>
      </w:r>
    </w:p>
    <w:p>
      <w:pPr>
        <w:pStyle w:val="217"/>
        <w:rPr>
          <w:color w:val="auto"/>
          <w:highlight w:val="none"/>
        </w:rPr>
      </w:pPr>
      <w:r>
        <w:rPr>
          <w:rFonts w:hint="eastAsia"/>
          <w:color w:val="auto"/>
          <w:highlight w:val="none"/>
        </w:rPr>
        <w:t>检验方法：观察检查。</w:t>
      </w:r>
    </w:p>
    <w:p>
      <w:pPr>
        <w:pStyle w:val="217"/>
        <w:rPr>
          <w:color w:val="auto"/>
          <w:highlight w:val="none"/>
        </w:rPr>
      </w:pPr>
      <w:r>
        <w:rPr>
          <w:color w:val="auto"/>
          <w:highlight w:val="none"/>
        </w:rPr>
        <w:t>2</w:t>
      </w:r>
      <w:r>
        <w:rPr>
          <w:rFonts w:hint="eastAsia"/>
          <w:color w:val="auto"/>
          <w:highlight w:val="none"/>
        </w:rPr>
        <w:t>）基本项目应符合下列规定：</w:t>
      </w:r>
    </w:p>
    <w:p>
      <w:pPr>
        <w:pStyle w:val="217"/>
        <w:rPr>
          <w:color w:val="auto"/>
          <w:highlight w:val="none"/>
        </w:rPr>
      </w:pPr>
      <w:r>
        <w:rPr>
          <w:rFonts w:hint="eastAsia"/>
          <w:color w:val="auto"/>
          <w:highlight w:val="none"/>
        </w:rPr>
        <w:t>①涂装工程的外观质量：</w:t>
      </w:r>
    </w:p>
    <w:p>
      <w:pPr>
        <w:pStyle w:val="217"/>
        <w:rPr>
          <w:color w:val="auto"/>
          <w:highlight w:val="none"/>
        </w:rPr>
      </w:pPr>
      <w:r>
        <w:rPr>
          <w:rFonts w:hint="eastAsia"/>
          <w:color w:val="auto"/>
          <w:highlight w:val="none"/>
        </w:rPr>
        <w:t>合格：涂刷应均匀，无明显皱皮、气泡，附着良好。</w:t>
      </w:r>
    </w:p>
    <w:p>
      <w:pPr>
        <w:pStyle w:val="217"/>
        <w:rPr>
          <w:color w:val="auto"/>
          <w:highlight w:val="none"/>
        </w:rPr>
      </w:pPr>
      <w:r>
        <w:rPr>
          <w:rFonts w:hint="eastAsia"/>
          <w:color w:val="auto"/>
          <w:highlight w:val="none"/>
        </w:rPr>
        <w:t>优良：涂刷应均匀，色泽一致，无皱皮、流坠和气泡，附着良好，分色线清楚、整齐。</w:t>
      </w:r>
    </w:p>
    <w:p>
      <w:pPr>
        <w:pStyle w:val="217"/>
        <w:rPr>
          <w:color w:val="auto"/>
          <w:highlight w:val="none"/>
        </w:rPr>
      </w:pPr>
      <w:r>
        <w:rPr>
          <w:rFonts w:hint="eastAsia"/>
          <w:color w:val="auto"/>
          <w:highlight w:val="none"/>
        </w:rPr>
        <w:t>检验方法：观察检查。</w:t>
      </w:r>
    </w:p>
    <w:p>
      <w:pPr>
        <w:pStyle w:val="217"/>
        <w:rPr>
          <w:color w:val="auto"/>
          <w:highlight w:val="none"/>
        </w:rPr>
      </w:pPr>
      <w:r>
        <w:rPr>
          <w:rFonts w:hint="eastAsia"/>
          <w:color w:val="auto"/>
          <w:highlight w:val="none"/>
        </w:rPr>
        <w:t>②构件补刷漆的质量：</w:t>
      </w:r>
    </w:p>
    <w:p>
      <w:pPr>
        <w:pStyle w:val="217"/>
        <w:rPr>
          <w:color w:val="auto"/>
          <w:highlight w:val="none"/>
        </w:rPr>
      </w:pPr>
      <w:r>
        <w:rPr>
          <w:rFonts w:hint="eastAsia"/>
          <w:color w:val="auto"/>
          <w:highlight w:val="none"/>
        </w:rPr>
        <w:t>合格：补刷漆漆膜应完整。</w:t>
      </w:r>
    </w:p>
    <w:p>
      <w:pPr>
        <w:pStyle w:val="217"/>
        <w:rPr>
          <w:color w:val="auto"/>
          <w:highlight w:val="none"/>
        </w:rPr>
      </w:pPr>
      <w:r>
        <w:rPr>
          <w:rFonts w:hint="eastAsia"/>
          <w:color w:val="auto"/>
          <w:highlight w:val="none"/>
        </w:rPr>
        <w:t>优良：按涂装工艺分层补刷，漆膜完整，附着良好。</w:t>
      </w:r>
    </w:p>
    <w:p>
      <w:pPr>
        <w:pStyle w:val="217"/>
        <w:rPr>
          <w:color w:val="auto"/>
          <w:highlight w:val="none"/>
        </w:rPr>
      </w:pPr>
      <w:r>
        <w:rPr>
          <w:rFonts w:hint="eastAsia"/>
          <w:color w:val="auto"/>
          <w:highlight w:val="none"/>
        </w:rPr>
        <w:t>检查数量：按每类构件数抽查</w:t>
      </w:r>
      <w:r>
        <w:rPr>
          <w:color w:val="auto"/>
          <w:highlight w:val="none"/>
        </w:rPr>
        <w:t>10%</w:t>
      </w:r>
      <w:r>
        <w:rPr>
          <w:rFonts w:hint="eastAsia"/>
          <w:color w:val="auto"/>
          <w:highlight w:val="none"/>
        </w:rPr>
        <w:t>，但均不应少于</w:t>
      </w:r>
      <w:r>
        <w:rPr>
          <w:color w:val="auto"/>
          <w:highlight w:val="none"/>
        </w:rPr>
        <w:t>3</w:t>
      </w:r>
      <w:r>
        <w:rPr>
          <w:rFonts w:hint="eastAsia"/>
          <w:color w:val="auto"/>
          <w:highlight w:val="none"/>
        </w:rPr>
        <w:t>件。</w:t>
      </w:r>
    </w:p>
    <w:p>
      <w:pPr>
        <w:pStyle w:val="217"/>
        <w:rPr>
          <w:color w:val="auto"/>
          <w:highlight w:val="none"/>
        </w:rPr>
      </w:pPr>
      <w:r>
        <w:rPr>
          <w:rFonts w:hint="eastAsia"/>
          <w:color w:val="auto"/>
          <w:highlight w:val="none"/>
        </w:rPr>
        <w:t>检验方法：观察检查。</w:t>
      </w:r>
    </w:p>
    <w:p>
      <w:pPr>
        <w:pStyle w:val="217"/>
        <w:rPr>
          <w:color w:val="auto"/>
          <w:highlight w:val="none"/>
        </w:rPr>
      </w:pPr>
      <w:r>
        <w:rPr>
          <w:color w:val="auto"/>
          <w:highlight w:val="none"/>
        </w:rPr>
        <w:t>3</w:t>
      </w:r>
      <w:r>
        <w:rPr>
          <w:rFonts w:hint="eastAsia"/>
          <w:color w:val="auto"/>
          <w:highlight w:val="none"/>
        </w:rPr>
        <w:t>）涂料、涂装遍数、涂层厚度均应复合设计要求。当设计对涂层厚度无要求时，涂层干漆膜总厚度：室外应为</w:t>
      </w:r>
      <w:r>
        <w:rPr>
          <w:color w:val="auto"/>
          <w:highlight w:val="none"/>
        </w:rPr>
        <w:t>150</w:t>
      </w:r>
      <w:r>
        <w:rPr>
          <w:rFonts w:hint="eastAsia"/>
          <w:color w:val="auto"/>
          <w:highlight w:val="none"/>
        </w:rPr>
        <w:t>µ</w:t>
      </w:r>
      <w:r>
        <w:rPr>
          <w:color w:val="auto"/>
          <w:highlight w:val="none"/>
        </w:rPr>
        <w:t>m</w:t>
      </w:r>
      <w:r>
        <w:rPr>
          <w:rFonts w:hint="eastAsia"/>
          <w:color w:val="auto"/>
          <w:highlight w:val="none"/>
        </w:rPr>
        <w:t>，室内应为</w:t>
      </w:r>
      <w:r>
        <w:rPr>
          <w:color w:val="auto"/>
          <w:highlight w:val="none"/>
        </w:rPr>
        <w:t>125</w:t>
      </w:r>
      <w:r>
        <w:rPr>
          <w:rFonts w:hint="eastAsia"/>
          <w:color w:val="auto"/>
          <w:highlight w:val="none"/>
        </w:rPr>
        <w:t>µ</w:t>
      </w:r>
      <w:r>
        <w:rPr>
          <w:color w:val="auto"/>
          <w:highlight w:val="none"/>
        </w:rPr>
        <w:t>m</w:t>
      </w:r>
      <w:r>
        <w:rPr>
          <w:rFonts w:hint="eastAsia"/>
          <w:color w:val="auto"/>
          <w:highlight w:val="none"/>
        </w:rPr>
        <w:t>，其允许偏差为</w:t>
      </w:r>
      <w:r>
        <w:rPr>
          <w:color w:val="auto"/>
          <w:highlight w:val="none"/>
        </w:rPr>
        <w:t>-25</w:t>
      </w:r>
      <w:r>
        <w:rPr>
          <w:rFonts w:hint="eastAsia"/>
          <w:color w:val="auto"/>
          <w:highlight w:val="none"/>
        </w:rPr>
        <w:t>µ</w:t>
      </w:r>
      <w:r>
        <w:rPr>
          <w:color w:val="auto"/>
          <w:highlight w:val="none"/>
        </w:rPr>
        <w:t>m</w:t>
      </w:r>
      <w:r>
        <w:rPr>
          <w:rFonts w:hint="eastAsia"/>
          <w:color w:val="auto"/>
          <w:highlight w:val="none"/>
        </w:rPr>
        <w:t>每遍涂层干漆膜厚度的允许偏差为</w:t>
      </w:r>
      <w:r>
        <w:rPr>
          <w:color w:val="auto"/>
          <w:highlight w:val="none"/>
        </w:rPr>
        <w:t>-5</w:t>
      </w:r>
      <w:r>
        <w:rPr>
          <w:rFonts w:hint="eastAsia"/>
          <w:color w:val="auto"/>
          <w:highlight w:val="none"/>
        </w:rPr>
        <w:t>µ</w:t>
      </w:r>
      <w:r>
        <w:rPr>
          <w:color w:val="auto"/>
          <w:highlight w:val="none"/>
        </w:rPr>
        <w:t>m</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）成品保护</w:t>
      </w:r>
      <w:r>
        <w:rPr>
          <w:color w:val="auto"/>
          <w:highlight w:val="none"/>
        </w:rPr>
        <w:t xml:space="preserve"> </w:t>
      </w:r>
    </w:p>
    <w:p>
      <w:pPr>
        <w:pStyle w:val="217"/>
        <w:rPr>
          <w:color w:val="auto"/>
          <w:highlight w:val="none"/>
        </w:rPr>
      </w:pPr>
      <w:r>
        <w:rPr>
          <w:color w:val="auto"/>
          <w:highlight w:val="none"/>
        </w:rPr>
        <w:t>1</w:t>
      </w:r>
      <w:r>
        <w:rPr>
          <w:rFonts w:hint="eastAsia"/>
          <w:color w:val="auto"/>
          <w:highlight w:val="none"/>
        </w:rPr>
        <w:t>）钢构件涂装后应加以临时围护隔离，防止踏踩，损伤涂层。</w:t>
      </w:r>
    </w:p>
    <w:p>
      <w:pPr>
        <w:pStyle w:val="217"/>
        <w:rPr>
          <w:color w:val="auto"/>
          <w:highlight w:val="none"/>
        </w:rPr>
      </w:pPr>
      <w:r>
        <w:rPr>
          <w:color w:val="auto"/>
          <w:highlight w:val="none"/>
        </w:rPr>
        <w:t>2</w:t>
      </w:r>
      <w:r>
        <w:rPr>
          <w:rFonts w:hint="eastAsia"/>
          <w:color w:val="auto"/>
          <w:highlight w:val="none"/>
        </w:rPr>
        <w:t>）钢构件涂装后，在</w:t>
      </w:r>
      <w:r>
        <w:rPr>
          <w:color w:val="auto"/>
          <w:highlight w:val="none"/>
        </w:rPr>
        <w:t>4h</w:t>
      </w:r>
      <w:r>
        <w:rPr>
          <w:rFonts w:hint="eastAsia"/>
          <w:color w:val="auto"/>
          <w:highlight w:val="none"/>
        </w:rPr>
        <w:t>之内如遇有大风或下雨时，应加以覆盖，防止粘染尘土和水气、影响涂层的附着力。</w:t>
      </w:r>
    </w:p>
    <w:p>
      <w:pPr>
        <w:pStyle w:val="217"/>
        <w:rPr>
          <w:color w:val="auto"/>
          <w:highlight w:val="none"/>
        </w:rPr>
      </w:pPr>
      <w:r>
        <w:rPr>
          <w:color w:val="auto"/>
          <w:highlight w:val="none"/>
        </w:rPr>
        <w:t>3</w:t>
      </w:r>
      <w:r>
        <w:rPr>
          <w:rFonts w:hint="eastAsia"/>
          <w:color w:val="auto"/>
          <w:highlight w:val="none"/>
        </w:rPr>
        <w:t>）涂装后的构件需要运输时，应注意防止磕碰，防止在地面拖拉，防止涂层损坏。</w:t>
      </w:r>
    </w:p>
    <w:p>
      <w:pPr>
        <w:pStyle w:val="217"/>
        <w:rPr>
          <w:color w:val="auto"/>
          <w:highlight w:val="none"/>
        </w:rPr>
      </w:pPr>
      <w:r>
        <w:rPr>
          <w:color w:val="auto"/>
          <w:highlight w:val="none"/>
        </w:rPr>
        <w:t>4</w:t>
      </w:r>
      <w:r>
        <w:rPr>
          <w:rFonts w:hint="eastAsia"/>
          <w:color w:val="auto"/>
          <w:highlight w:val="none"/>
        </w:rPr>
        <w:t>）涂装后的钢构件勿接触酸类液体，防止咬伤涂层。</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）应注意的质量问题</w:t>
      </w:r>
      <w:r>
        <w:rPr>
          <w:color w:val="auto"/>
          <w:highlight w:val="none"/>
        </w:rPr>
        <w:t xml:space="preserve"> </w:t>
      </w:r>
    </w:p>
    <w:p>
      <w:pPr>
        <w:pStyle w:val="217"/>
        <w:rPr>
          <w:color w:val="auto"/>
          <w:highlight w:val="none"/>
        </w:rPr>
      </w:pPr>
      <w:r>
        <w:rPr>
          <w:color w:val="auto"/>
          <w:highlight w:val="none"/>
        </w:rPr>
        <w:t>1</w:t>
      </w:r>
      <w:r>
        <w:rPr>
          <w:rFonts w:hint="eastAsia"/>
          <w:color w:val="auto"/>
          <w:highlight w:val="none"/>
        </w:rPr>
        <w:t>）涂层作业气温应在</w:t>
      </w:r>
      <w:r>
        <w:rPr>
          <w:color w:val="auto"/>
          <w:highlight w:val="none"/>
        </w:rPr>
        <w:t>5</w:t>
      </w:r>
      <w:r>
        <w:rPr>
          <w:rFonts w:hint="eastAsia"/>
          <w:color w:val="auto"/>
          <w:highlight w:val="none"/>
        </w:rPr>
        <w:t>～</w:t>
      </w:r>
      <w:r>
        <w:rPr>
          <w:color w:val="auto"/>
          <w:highlight w:val="none"/>
        </w:rPr>
        <w:t>38</w:t>
      </w:r>
      <w:r>
        <w:rPr>
          <w:rFonts w:hint="eastAsia"/>
          <w:color w:val="auto"/>
          <w:highlight w:val="none"/>
        </w:rPr>
        <w:t>℃之间为宜，当天气温度低于</w:t>
      </w:r>
      <w:r>
        <w:rPr>
          <w:color w:val="auto"/>
          <w:highlight w:val="none"/>
        </w:rPr>
        <w:t>5</w:t>
      </w:r>
      <w:r>
        <w:rPr>
          <w:rFonts w:hint="eastAsia"/>
          <w:color w:val="auto"/>
          <w:highlight w:val="none"/>
        </w:rPr>
        <w:t>℃时，应选用相应的低温涂层材料施涂。</w:t>
      </w:r>
    </w:p>
    <w:p>
      <w:pPr>
        <w:pStyle w:val="217"/>
        <w:rPr>
          <w:color w:val="auto"/>
          <w:highlight w:val="none"/>
        </w:rPr>
      </w:pPr>
      <w:r>
        <w:rPr>
          <w:color w:val="auto"/>
          <w:highlight w:val="none"/>
        </w:rPr>
        <w:t>2</w:t>
      </w:r>
      <w:r>
        <w:rPr>
          <w:rFonts w:hint="eastAsia"/>
          <w:color w:val="auto"/>
          <w:highlight w:val="none"/>
        </w:rPr>
        <w:t>）当气温高于</w:t>
      </w:r>
      <w:r>
        <w:rPr>
          <w:color w:val="auto"/>
          <w:highlight w:val="none"/>
        </w:rPr>
        <w:t>40</w:t>
      </w:r>
      <w:r>
        <w:rPr>
          <w:rFonts w:hint="eastAsia"/>
          <w:color w:val="auto"/>
          <w:highlight w:val="none"/>
        </w:rPr>
        <w:t>℃时，应停止涂层作业。因构件温度超过</w:t>
      </w:r>
      <w:r>
        <w:rPr>
          <w:color w:val="auto"/>
          <w:highlight w:val="none"/>
        </w:rPr>
        <w:t>40</w:t>
      </w:r>
      <w:r>
        <w:rPr>
          <w:rFonts w:hint="eastAsia"/>
          <w:color w:val="auto"/>
          <w:highlight w:val="none"/>
        </w:rPr>
        <w:t>℃时，在钢材表面涂刷油漆会产生气泡，降低漆膜的附着力。</w:t>
      </w:r>
    </w:p>
    <w:p>
      <w:pPr>
        <w:pStyle w:val="217"/>
        <w:rPr>
          <w:color w:val="auto"/>
          <w:highlight w:val="none"/>
        </w:rPr>
      </w:pPr>
      <w:r>
        <w:rPr>
          <w:color w:val="auto"/>
          <w:highlight w:val="none"/>
        </w:rPr>
        <w:t>3</w:t>
      </w:r>
      <w:r>
        <w:rPr>
          <w:rFonts w:hint="eastAsia"/>
          <w:color w:val="auto"/>
          <w:highlight w:val="none"/>
        </w:rPr>
        <w:t>）当空气湿度大于</w:t>
      </w:r>
      <w:r>
        <w:rPr>
          <w:color w:val="auto"/>
          <w:highlight w:val="none"/>
        </w:rPr>
        <w:t>85%</w:t>
      </w:r>
      <w:r>
        <w:rPr>
          <w:rFonts w:hint="eastAsia"/>
          <w:color w:val="auto"/>
          <w:highlight w:val="none"/>
        </w:rPr>
        <w:t>，或构件表面有结露时，不宜进行涂层作业。</w:t>
      </w:r>
    </w:p>
    <w:p>
      <w:pPr>
        <w:pStyle w:val="217"/>
        <w:rPr>
          <w:color w:val="auto"/>
          <w:highlight w:val="none"/>
        </w:rPr>
      </w:pPr>
      <w:r>
        <w:rPr>
          <w:color w:val="auto"/>
          <w:highlight w:val="none"/>
        </w:rPr>
        <w:t>4</w:t>
      </w:r>
      <w:r>
        <w:rPr>
          <w:rFonts w:hint="eastAsia"/>
          <w:color w:val="auto"/>
          <w:highlight w:val="none"/>
        </w:rPr>
        <w:t>）钢构件制作前，应对构件隐蔽部位、结构夹层难以除锈的部位，提前除锈，提前涂刷。</w:t>
      </w:r>
    </w:p>
    <w:p>
      <w:pPr>
        <w:pStyle w:val="217"/>
        <w:rPr>
          <w:color w:val="auto"/>
          <w:highlight w:val="none"/>
        </w:rPr>
      </w:pPr>
      <w:r>
        <w:rPr>
          <w:color w:val="auto"/>
          <w:highlight w:val="none"/>
        </w:rPr>
        <w:t>3.</w:t>
      </w:r>
      <w:r>
        <w:rPr>
          <w:rFonts w:hint="eastAsia"/>
          <w:color w:val="auto"/>
          <w:highlight w:val="none"/>
        </w:rPr>
        <w:t>防火涂料涂装</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）防火涂装</w:t>
      </w:r>
    </w:p>
    <w:p>
      <w:pPr>
        <w:pStyle w:val="217"/>
        <w:rPr>
          <w:color w:val="auto"/>
          <w:highlight w:val="none"/>
        </w:rPr>
      </w:pPr>
      <w:r>
        <w:rPr>
          <w:color w:val="auto"/>
          <w:highlight w:val="none"/>
        </w:rPr>
        <w:t>1</w:t>
      </w:r>
      <w:r>
        <w:rPr>
          <w:rFonts w:hint="eastAsia"/>
          <w:color w:val="auto"/>
          <w:highlight w:val="none"/>
        </w:rPr>
        <w:t>）防火涂料涂装前钢材表面除锈及防锈底漆涂装应符合设计要求和国家现行有关标准的规定。</w:t>
      </w:r>
    </w:p>
    <w:p>
      <w:pPr>
        <w:pStyle w:val="217"/>
        <w:rPr>
          <w:color w:val="auto"/>
          <w:highlight w:val="none"/>
        </w:rPr>
      </w:pPr>
      <w:r>
        <w:rPr>
          <w:color w:val="auto"/>
          <w:highlight w:val="none"/>
        </w:rPr>
        <w:t>2</w:t>
      </w:r>
      <w:r>
        <w:rPr>
          <w:rFonts w:hint="eastAsia"/>
          <w:color w:val="auto"/>
          <w:highlight w:val="none"/>
        </w:rPr>
        <w:t>）本工程钢结构耐火等级和钢构件耐火极限以设计图纸为准。钢结构防火涂料的粘结强度、抗压强度应符合国家现行标准《钢结构防火涂料应用技术规程》</w:t>
      </w:r>
      <w:r>
        <w:rPr>
          <w:color w:val="auto"/>
          <w:highlight w:val="none"/>
        </w:rPr>
        <w:t>CECS24:90</w:t>
      </w:r>
      <w:r>
        <w:rPr>
          <w:rFonts w:hint="eastAsia"/>
          <w:color w:val="auto"/>
          <w:highlight w:val="none"/>
        </w:rPr>
        <w:t>的规定。检验方法应符合现行国家标准《建筑构件防火喷涂材料性能试验方法》</w:t>
      </w:r>
      <w:r>
        <w:rPr>
          <w:color w:val="auto"/>
          <w:highlight w:val="none"/>
        </w:rPr>
        <w:t>GB9978</w:t>
      </w:r>
      <w:r>
        <w:rPr>
          <w:rFonts w:hint="eastAsia"/>
          <w:color w:val="auto"/>
          <w:highlight w:val="none"/>
        </w:rPr>
        <w:t>的规定。</w:t>
      </w:r>
    </w:p>
    <w:p>
      <w:pPr>
        <w:pStyle w:val="217"/>
        <w:rPr>
          <w:color w:val="auto"/>
          <w:highlight w:val="none"/>
        </w:rPr>
      </w:pPr>
      <w:r>
        <w:rPr>
          <w:color w:val="auto"/>
          <w:highlight w:val="none"/>
        </w:rPr>
        <w:t>3</w:t>
      </w:r>
      <w:r>
        <w:rPr>
          <w:rFonts w:hint="eastAsia"/>
          <w:color w:val="auto"/>
          <w:highlight w:val="none"/>
        </w:rPr>
        <w:t>）薄涂型防火涂料的涂层厚度应符合有关耐火极限的设计要求。厚涂型防火涂料涂层的厚度</w:t>
      </w:r>
      <w:r>
        <w:rPr>
          <w:color w:val="auto"/>
          <w:highlight w:val="none"/>
        </w:rPr>
        <w:t>80%</w:t>
      </w:r>
      <w:r>
        <w:rPr>
          <w:rFonts w:hint="eastAsia"/>
          <w:color w:val="auto"/>
          <w:highlight w:val="none"/>
        </w:rPr>
        <w:t>及以上面积应符合有关耐火极限的设计要求，且最薄处厚度不应低于设计要求的</w:t>
      </w:r>
      <w:r>
        <w:rPr>
          <w:color w:val="auto"/>
          <w:highlight w:val="none"/>
        </w:rPr>
        <w:t>85%</w:t>
      </w:r>
      <w:r>
        <w:rPr>
          <w:rFonts w:hint="eastAsia"/>
          <w:color w:val="auto"/>
          <w:highlight w:val="none"/>
        </w:rPr>
        <w:t>。</w:t>
      </w:r>
    </w:p>
    <w:p>
      <w:pPr>
        <w:pStyle w:val="217"/>
        <w:rPr>
          <w:color w:val="auto"/>
          <w:highlight w:val="none"/>
        </w:rPr>
      </w:pPr>
      <w:r>
        <w:rPr>
          <w:color w:val="auto"/>
          <w:highlight w:val="none"/>
        </w:rPr>
        <w:t>4</w:t>
      </w:r>
      <w:r>
        <w:rPr>
          <w:rFonts w:hint="eastAsia"/>
          <w:color w:val="auto"/>
          <w:highlight w:val="none"/>
        </w:rPr>
        <w:t>）薄涂型防火涂料涂层表面裂纹宽度不应大于</w:t>
      </w:r>
      <w:r>
        <w:rPr>
          <w:color w:val="auto"/>
          <w:highlight w:val="none"/>
        </w:rPr>
        <w:t>0.5mm</w:t>
      </w:r>
      <w:r>
        <w:rPr>
          <w:rFonts w:hint="eastAsia"/>
          <w:color w:val="auto"/>
          <w:highlight w:val="none"/>
        </w:rPr>
        <w:t>；厚涂型防火涂料涂层表面裂纹宽度不应大于</w:t>
      </w:r>
      <w:r>
        <w:rPr>
          <w:color w:val="auto"/>
          <w:highlight w:val="none"/>
        </w:rPr>
        <w:t>1mm</w:t>
      </w:r>
      <w:r>
        <w:rPr>
          <w:rFonts w:hint="eastAsia"/>
          <w:color w:val="auto"/>
          <w:highlight w:val="none"/>
        </w:rPr>
        <w:t>。</w:t>
      </w:r>
    </w:p>
    <w:p>
      <w:pPr>
        <w:pStyle w:val="217"/>
        <w:rPr>
          <w:color w:val="auto"/>
          <w:highlight w:val="none"/>
        </w:rPr>
      </w:pPr>
      <w:r>
        <w:rPr>
          <w:color w:val="auto"/>
          <w:highlight w:val="none"/>
        </w:rPr>
        <w:t>5</w:t>
      </w:r>
      <w:r>
        <w:rPr>
          <w:rFonts w:hint="eastAsia"/>
          <w:color w:val="auto"/>
          <w:highlight w:val="none"/>
        </w:rPr>
        <w:t>）防火涂料涂装基层不应有油污、灰尘和泥砂等污垢。</w:t>
      </w:r>
    </w:p>
    <w:p>
      <w:pPr>
        <w:pStyle w:val="217"/>
        <w:rPr>
          <w:color w:val="auto"/>
          <w:highlight w:val="none"/>
        </w:rPr>
      </w:pPr>
      <w:r>
        <w:rPr>
          <w:color w:val="auto"/>
          <w:highlight w:val="none"/>
        </w:rPr>
        <w:t>6</w:t>
      </w:r>
      <w:r>
        <w:rPr>
          <w:rFonts w:hint="eastAsia"/>
          <w:color w:val="auto"/>
          <w:highlight w:val="none"/>
        </w:rPr>
        <w:t>）防火涂料不应有误涂、漏涂，涂层应闭合无脱层、空鼓、明显凹陷、粉化松散和浮浆等外观缺陷，乳突已剔除。</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）防火涂料的施工</w:t>
      </w:r>
    </w:p>
    <w:p>
      <w:pPr>
        <w:pStyle w:val="217"/>
        <w:rPr>
          <w:color w:val="auto"/>
          <w:highlight w:val="none"/>
        </w:rPr>
      </w:pPr>
      <w:r>
        <w:rPr>
          <w:color w:val="auto"/>
          <w:highlight w:val="none"/>
        </w:rPr>
        <w:t>1</w:t>
      </w:r>
      <w:r>
        <w:rPr>
          <w:rFonts w:hint="eastAsia"/>
          <w:color w:val="auto"/>
          <w:highlight w:val="none"/>
        </w:rPr>
        <w:t>）一般要求</w:t>
      </w:r>
    </w:p>
    <w:p>
      <w:pPr>
        <w:pStyle w:val="217"/>
        <w:rPr>
          <w:color w:val="auto"/>
          <w:highlight w:val="none"/>
        </w:rPr>
      </w:pPr>
      <w:r>
        <w:rPr>
          <w:rFonts w:hint="eastAsia"/>
          <w:color w:val="auto"/>
          <w:highlight w:val="none"/>
        </w:rPr>
        <w:t>①钢结构防火喷涂施工，应由经过培训合格专业施工队施工，或者由研制该防火涂料的工程技术人员指导下施工，以确保工程质量。</w:t>
      </w:r>
    </w:p>
    <w:p>
      <w:pPr>
        <w:pStyle w:val="217"/>
        <w:rPr>
          <w:color w:val="auto"/>
          <w:highlight w:val="none"/>
        </w:rPr>
      </w:pPr>
      <w:r>
        <w:rPr>
          <w:rFonts w:hint="eastAsia"/>
          <w:color w:val="auto"/>
          <w:highlight w:val="none"/>
        </w:rPr>
        <w:t>②通常情况下，应在钢结构安装就位，及其在相关连的构件安装完毕，并经验收合格之后，才能进行喷涂施工。如若提前施工，对钢构件实施防火喷涂后，再进行吊装，则安装好后应对损坏的涂层及钢结构的接点进行补喷。</w:t>
      </w:r>
    </w:p>
    <w:p>
      <w:pPr>
        <w:pStyle w:val="217"/>
        <w:rPr>
          <w:color w:val="auto"/>
          <w:highlight w:val="none"/>
        </w:rPr>
      </w:pPr>
      <w:r>
        <w:rPr>
          <w:rFonts w:hint="eastAsia"/>
          <w:color w:val="auto"/>
          <w:highlight w:val="none"/>
        </w:rPr>
        <w:t>③喷涂前，钢结构表面应除锈，并根据使用要求确定防锈处理。除锈和防火处理应符合现行《钢结构工程施工质量验收规范》</w:t>
      </w:r>
      <w:r>
        <w:rPr>
          <w:color w:val="auto"/>
          <w:highlight w:val="none"/>
        </w:rPr>
        <w:t>GB50205-</w:t>
      </w:r>
      <w:r>
        <w:rPr>
          <w:rFonts w:hint="eastAsia"/>
          <w:color w:val="auto"/>
          <w:highlight w:val="none"/>
        </w:rPr>
        <w:t>中有关规定。防锈底漆与防火涂料不应发生化学反应。如认证本防火涂料具有防锈作用，也可不涂防锈底漆。</w:t>
      </w:r>
    </w:p>
    <w:p>
      <w:pPr>
        <w:pStyle w:val="217"/>
        <w:rPr>
          <w:color w:val="auto"/>
          <w:highlight w:val="none"/>
        </w:rPr>
      </w:pPr>
      <w:r>
        <w:rPr>
          <w:rFonts w:hint="eastAsia"/>
          <w:color w:val="auto"/>
          <w:highlight w:val="none"/>
        </w:rPr>
        <w:t>④施工钢结构防火涂料应在室内装饰之前和不被后期工程所损坏的条件下进行。施工时，对不需作防火保护的构件应遮挡保护。刚施工的涂层，应防止雨淋、脏液污染和机械撞击。</w:t>
      </w:r>
    </w:p>
    <w:p>
      <w:pPr>
        <w:pStyle w:val="217"/>
        <w:rPr>
          <w:color w:val="auto"/>
          <w:highlight w:val="none"/>
        </w:rPr>
      </w:pPr>
      <w:r>
        <w:rPr>
          <w:rFonts w:hint="eastAsia"/>
          <w:color w:val="auto"/>
          <w:highlight w:val="none"/>
        </w:rPr>
        <w:t>⑤施工过程中和涂层干燥固化前，环境温度宜保持在</w:t>
      </w:r>
      <w:r>
        <w:rPr>
          <w:color w:val="auto"/>
          <w:highlight w:val="none"/>
        </w:rPr>
        <w:t>5~38%</w:t>
      </w:r>
      <w:r>
        <w:rPr>
          <w:rFonts w:hint="eastAsia"/>
          <w:color w:val="auto"/>
          <w:highlight w:val="none"/>
        </w:rPr>
        <w:t>，相对湿度不宜大于</w:t>
      </w:r>
      <w:r>
        <w:rPr>
          <w:color w:val="auto"/>
          <w:highlight w:val="none"/>
        </w:rPr>
        <w:t>90%</w:t>
      </w:r>
      <w:r>
        <w:rPr>
          <w:rFonts w:hint="eastAsia"/>
          <w:color w:val="auto"/>
          <w:highlight w:val="none"/>
        </w:rPr>
        <w:t>，空气应流动。当风速大于</w:t>
      </w:r>
      <w:r>
        <w:rPr>
          <w:color w:val="auto"/>
          <w:highlight w:val="none"/>
        </w:rPr>
        <w:t>5m/S</w:t>
      </w:r>
      <w:r>
        <w:rPr>
          <w:rFonts w:hint="eastAsia"/>
          <w:color w:val="auto"/>
          <w:highlight w:val="none"/>
        </w:rPr>
        <w:t>或雨后和构件表面结冰时，不宜作业。</w:t>
      </w:r>
    </w:p>
    <w:p>
      <w:pPr>
        <w:pStyle w:val="217"/>
        <w:rPr>
          <w:color w:val="auto"/>
          <w:highlight w:val="none"/>
        </w:rPr>
      </w:pPr>
      <w:r>
        <w:rPr>
          <w:color w:val="auto"/>
          <w:highlight w:val="none"/>
        </w:rPr>
        <w:t>2</w:t>
      </w:r>
      <w:r>
        <w:rPr>
          <w:rFonts w:hint="eastAsia"/>
          <w:color w:val="auto"/>
          <w:highlight w:val="none"/>
        </w:rPr>
        <w:t>）防火涂料施工</w:t>
      </w:r>
    </w:p>
    <w:p>
      <w:pPr>
        <w:pStyle w:val="217"/>
        <w:rPr>
          <w:color w:val="auto"/>
          <w:highlight w:val="none"/>
        </w:rPr>
      </w:pPr>
      <w:r>
        <w:rPr>
          <w:rFonts w:hint="eastAsia"/>
          <w:color w:val="auto"/>
          <w:highlight w:val="none"/>
        </w:rPr>
        <w:t>施工方法一般是采用喷涂施工。涂料的搅拌与配置，应符合下列规定：</w:t>
      </w:r>
    </w:p>
    <w:p>
      <w:pPr>
        <w:pStyle w:val="217"/>
        <w:rPr>
          <w:color w:val="auto"/>
          <w:highlight w:val="none"/>
        </w:rPr>
      </w:pPr>
      <w:r>
        <w:rPr>
          <w:rFonts w:hint="eastAsia"/>
          <w:color w:val="auto"/>
          <w:highlight w:val="none"/>
        </w:rPr>
        <w:t>①由工厂制造好的单组分湿涂料，现场搅拌均匀。应按涂料说明书规定配比混合搅拌，边配边用。特别是化学固化干燥的涂料，配制的涂料必须在规定的时间内用完。</w:t>
      </w:r>
    </w:p>
    <w:p>
      <w:pPr>
        <w:pStyle w:val="217"/>
        <w:rPr>
          <w:color w:val="auto"/>
          <w:highlight w:val="none"/>
        </w:rPr>
      </w:pPr>
      <w:r>
        <w:rPr>
          <w:rFonts w:hint="eastAsia"/>
          <w:color w:val="auto"/>
          <w:highlight w:val="none"/>
        </w:rPr>
        <w:t>②搅拌和调配涂料，使稠度适宜，即能在输送管道中畅通流动。喷涂后不会流淌和下坠。</w:t>
      </w:r>
    </w:p>
    <w:p>
      <w:pPr>
        <w:pStyle w:val="217"/>
        <w:rPr>
          <w:color w:val="auto"/>
          <w:highlight w:val="none"/>
        </w:rPr>
      </w:pPr>
      <w:r>
        <w:rPr>
          <w:color w:val="auto"/>
          <w:highlight w:val="none"/>
        </w:rPr>
        <w:t>3</w:t>
      </w:r>
      <w:r>
        <w:rPr>
          <w:rFonts w:hint="eastAsia"/>
          <w:color w:val="auto"/>
          <w:highlight w:val="none"/>
        </w:rPr>
        <w:t>）施工操作应符合下列规定：</w:t>
      </w:r>
    </w:p>
    <w:p>
      <w:pPr>
        <w:pStyle w:val="217"/>
        <w:rPr>
          <w:color w:val="auto"/>
          <w:highlight w:val="none"/>
        </w:rPr>
      </w:pPr>
      <w:r>
        <w:rPr>
          <w:rFonts w:hint="eastAsia"/>
          <w:color w:val="auto"/>
          <w:highlight w:val="none"/>
        </w:rPr>
        <w:t>①喷涂应分若干次完成，必须在前一次喷层基本干燥或固化后再接着喷。</w:t>
      </w:r>
    </w:p>
    <w:p>
      <w:pPr>
        <w:pStyle w:val="217"/>
        <w:rPr>
          <w:color w:val="auto"/>
          <w:highlight w:val="none"/>
        </w:rPr>
      </w:pPr>
      <w:r>
        <w:rPr>
          <w:rFonts w:hint="eastAsia"/>
          <w:color w:val="auto"/>
          <w:highlight w:val="none"/>
        </w:rPr>
        <w:t>②喷涂保护方式，喷涂次数与涂层厚度应根据防火设计要求确定。</w:t>
      </w:r>
    </w:p>
    <w:p>
      <w:pPr>
        <w:pStyle w:val="217"/>
        <w:rPr>
          <w:color w:val="auto"/>
          <w:highlight w:val="none"/>
        </w:rPr>
      </w:pPr>
      <w:r>
        <w:rPr>
          <w:rFonts w:hint="eastAsia"/>
          <w:color w:val="auto"/>
          <w:highlight w:val="none"/>
        </w:rPr>
        <w:t>③施工过程中，操作者应采用测针检测涂层厚度，直到符合设计规定的厚度。</w:t>
      </w:r>
    </w:p>
    <w:p>
      <w:pPr>
        <w:pStyle w:val="217"/>
        <w:rPr>
          <w:color w:val="auto"/>
          <w:highlight w:val="none"/>
        </w:rPr>
      </w:pPr>
      <w:r>
        <w:rPr>
          <w:color w:val="auto"/>
          <w:highlight w:val="none"/>
        </w:rPr>
        <w:t>4</w:t>
      </w:r>
      <w:r>
        <w:rPr>
          <w:rFonts w:hint="eastAsia"/>
          <w:color w:val="auto"/>
          <w:highlight w:val="none"/>
        </w:rPr>
        <w:t>）涂层质量应符合以下要求：</w:t>
      </w:r>
    </w:p>
    <w:p>
      <w:pPr>
        <w:pStyle w:val="217"/>
        <w:rPr>
          <w:color w:val="auto"/>
          <w:highlight w:val="none"/>
        </w:rPr>
      </w:pPr>
      <w:r>
        <w:rPr>
          <w:rFonts w:hint="eastAsia"/>
          <w:color w:val="auto"/>
          <w:highlight w:val="none"/>
        </w:rPr>
        <w:t>①涂层应在规定时间内干燥固化，各层间粘结牢固，不出现粉化、空鼓、脱落和明显裂纹。</w:t>
      </w:r>
    </w:p>
    <w:p>
      <w:pPr>
        <w:pStyle w:val="217"/>
        <w:rPr>
          <w:color w:val="auto"/>
          <w:highlight w:val="none"/>
        </w:rPr>
      </w:pPr>
      <w:r>
        <w:rPr>
          <w:rFonts w:hint="eastAsia"/>
          <w:color w:val="auto"/>
          <w:highlight w:val="none"/>
        </w:rPr>
        <w:t>②钢结构的接头，转角处的涂层均匀一致，无漏涂现象。</w:t>
      </w:r>
    </w:p>
    <w:p>
      <w:pPr>
        <w:pStyle w:val="217"/>
        <w:rPr>
          <w:color w:val="auto"/>
          <w:highlight w:val="none"/>
        </w:rPr>
      </w:pPr>
      <w:r>
        <w:rPr>
          <w:rFonts w:hint="eastAsia"/>
          <w:color w:val="auto"/>
          <w:highlight w:val="none"/>
        </w:rPr>
        <w:t>③涂层厚度应达到设计要求。如某些部位的涂层厚度未达到规定厚度值的</w:t>
      </w:r>
      <w:r>
        <w:rPr>
          <w:color w:val="auto"/>
          <w:highlight w:val="none"/>
        </w:rPr>
        <w:t>85%</w:t>
      </w:r>
      <w:r>
        <w:rPr>
          <w:rFonts w:hint="eastAsia"/>
          <w:color w:val="auto"/>
          <w:highlight w:val="none"/>
        </w:rPr>
        <w:t>以上，或者虽达到规定厚度值的</w:t>
      </w:r>
      <w:r>
        <w:rPr>
          <w:color w:val="auto"/>
          <w:highlight w:val="none"/>
        </w:rPr>
        <w:t>85%</w:t>
      </w:r>
      <w:r>
        <w:rPr>
          <w:rFonts w:hint="eastAsia"/>
          <w:color w:val="auto"/>
          <w:highlight w:val="none"/>
        </w:rPr>
        <w:t>以上，但未达规定厚度部位的连续面积的长度超过</w:t>
      </w:r>
      <w:r>
        <w:rPr>
          <w:color w:val="auto"/>
          <w:highlight w:val="none"/>
        </w:rPr>
        <w:t>1mm</w:t>
      </w:r>
      <w:r>
        <w:rPr>
          <w:rFonts w:hint="eastAsia"/>
          <w:color w:val="auto"/>
          <w:highlight w:val="none"/>
        </w:rPr>
        <w:t>时，应补喷，使之符合规定的厚度。</w:t>
      </w:r>
    </w:p>
    <w:p>
      <w:pPr>
        <w:pStyle w:val="172"/>
        <w:rPr>
          <w:color w:val="auto"/>
          <w:highlight w:val="none"/>
        </w:rPr>
      </w:pPr>
      <w:r>
        <w:rPr>
          <w:color w:val="auto"/>
          <w:highlight w:val="none"/>
        </w:rPr>
        <w:t xml:space="preserve">3.3.3 </w:t>
      </w:r>
      <w:r>
        <w:rPr>
          <w:rFonts w:hint="eastAsia"/>
          <w:color w:val="auto"/>
          <w:highlight w:val="none"/>
        </w:rPr>
        <w:t>装配式结构工程要求</w:t>
      </w:r>
    </w:p>
    <w:p>
      <w:pPr>
        <w:pStyle w:val="119"/>
        <w:rPr>
          <w:color w:val="auto"/>
          <w:highlight w:val="none"/>
        </w:rPr>
      </w:pPr>
      <w:r>
        <w:rPr>
          <w:color w:val="auto"/>
          <w:highlight w:val="none"/>
        </w:rPr>
        <w:t>3.3.3.1</w:t>
      </w:r>
      <w:r>
        <w:rPr>
          <w:rFonts w:hint="eastAsia"/>
          <w:color w:val="auto"/>
          <w:highlight w:val="none"/>
        </w:rPr>
        <w:t>预制率和装配率计算细则</w:t>
      </w:r>
    </w:p>
    <w:p>
      <w:pPr>
        <w:pStyle w:val="217"/>
        <w:rPr>
          <w:color w:val="auto"/>
          <w:highlight w:val="none"/>
        </w:rPr>
      </w:pPr>
      <w:r>
        <w:rPr>
          <w:color w:val="auto"/>
          <w:highlight w:val="none"/>
        </w:rPr>
        <w:t>1.</w:t>
      </w:r>
      <w:r>
        <w:rPr>
          <w:rFonts w:hint="eastAsia"/>
          <w:color w:val="auto"/>
          <w:highlight w:val="none"/>
        </w:rPr>
        <w:t>一般规定</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）标准层是指建筑单体室外地坪以上采用统一标准设计、平面布局相同的楼层。</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）不同标准层的预制率和装配率，应在建筑工程设计文件中详细列明。</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）本计算细则适用于装配式钢筋混凝土结构的住宅产业化项目</w:t>
      </w:r>
      <w:r>
        <w:rPr>
          <w:color w:val="auto"/>
          <w:highlight w:val="none"/>
        </w:rPr>
        <w:t>,</w:t>
      </w:r>
      <w:r>
        <w:rPr>
          <w:rFonts w:hint="eastAsia"/>
          <w:color w:val="auto"/>
          <w:highlight w:val="none"/>
        </w:rPr>
        <w:t>钢结构、木结构等其他类型结构体系的计算细则另行制定。</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）本计算细则由市住房和建设局负责管理和对条文解释。本计算细则在执行过程中如有意见和建议，请与市住房和建设局联系。</w:t>
      </w:r>
    </w:p>
    <w:p>
      <w:pPr>
        <w:pStyle w:val="217"/>
        <w:rPr>
          <w:color w:val="auto"/>
          <w:highlight w:val="none"/>
        </w:rPr>
      </w:pPr>
      <w:r>
        <w:rPr>
          <w:color w:val="auto"/>
          <w:highlight w:val="none"/>
        </w:rPr>
        <w:t>2.</w:t>
      </w:r>
      <w:r>
        <w:rPr>
          <w:rFonts w:hint="eastAsia"/>
          <w:color w:val="auto"/>
          <w:highlight w:val="none"/>
        </w:rPr>
        <w:t>预制率计算细则</w:t>
      </w:r>
    </w:p>
    <w:p>
      <w:pPr>
        <w:pStyle w:val="217"/>
        <w:ind w:firstLine="482"/>
        <w:rPr>
          <w:color w:val="auto"/>
          <w:highlight w:val="none"/>
        </w:rPr>
      </w:pPr>
      <w:r>
        <w:rPr>
          <w:rFonts w:hint="eastAsia"/>
          <w:b/>
          <w:bCs/>
          <w:color w:val="auto"/>
          <w:highlight w:val="none"/>
        </w:rPr>
        <w:t>（</w:t>
      </w:r>
      <w:r>
        <w:rPr>
          <w:b/>
          <w:bCs/>
          <w:color w:val="auto"/>
          <w:highlight w:val="none"/>
        </w:rPr>
        <w:t>1</w:t>
      </w:r>
      <w:r>
        <w:rPr>
          <w:rFonts w:hint="eastAsia"/>
          <w:b/>
          <w:bCs/>
          <w:color w:val="auto"/>
          <w:highlight w:val="none"/>
        </w:rPr>
        <w:t>）预制率定义</w:t>
      </w:r>
    </w:p>
    <w:p>
      <w:pPr>
        <w:pStyle w:val="217"/>
        <w:rPr>
          <w:color w:val="auto"/>
          <w:highlight w:val="none"/>
        </w:rPr>
      </w:pPr>
      <w:r>
        <w:rPr>
          <w:rFonts w:hint="eastAsia"/>
          <w:color w:val="auto"/>
          <w:highlight w:val="none"/>
        </w:rPr>
        <w:t>预制率是指建筑标准层特定部位采用预制构件混凝土体积占标准层全部混凝土体积的百分比。</w:t>
      </w:r>
    </w:p>
    <w:p>
      <w:pPr>
        <w:pStyle w:val="217"/>
        <w:ind w:firstLine="482"/>
        <w:rPr>
          <w:b/>
          <w:bCs/>
          <w:color w:val="auto"/>
          <w:highlight w:val="none"/>
        </w:rPr>
      </w:pPr>
      <w:r>
        <w:rPr>
          <w:rFonts w:hint="eastAsia"/>
          <w:b/>
          <w:bCs/>
          <w:color w:val="auto"/>
          <w:highlight w:val="none"/>
        </w:rPr>
        <w:t>（</w:t>
      </w:r>
      <w:r>
        <w:rPr>
          <w:b/>
          <w:bCs/>
          <w:color w:val="auto"/>
          <w:highlight w:val="none"/>
        </w:rPr>
        <w:t>2</w:t>
      </w:r>
      <w:r>
        <w:rPr>
          <w:rFonts w:hint="eastAsia"/>
          <w:b/>
          <w:bCs/>
          <w:color w:val="auto"/>
          <w:highlight w:val="none"/>
        </w:rPr>
        <w:t>）计算公式</w:t>
      </w:r>
    </w:p>
    <w:p>
      <w:pPr>
        <w:pStyle w:val="217"/>
        <w:ind w:firstLine="482"/>
        <w:rPr>
          <w:color w:val="auto"/>
          <w:highlight w:val="none"/>
        </w:rPr>
      </w:pPr>
      <w:r>
        <w:rPr>
          <w:rFonts w:hint="eastAsia"/>
          <w:b/>
          <w:bCs/>
          <w:color w:val="auto"/>
          <w:highlight w:val="none"/>
        </w:rPr>
        <w:t>预制率</w:t>
      </w:r>
      <w:r>
        <w:rPr>
          <w:b/>
          <w:bCs/>
          <w:color w:val="auto"/>
          <w:highlight w:val="none"/>
        </w:rPr>
        <w:t>V=</w:t>
      </w:r>
      <w:r>
        <w:rPr>
          <w:rFonts w:hint="eastAsia"/>
          <w:b/>
          <w:bCs/>
          <w:color w:val="auto"/>
          <w:highlight w:val="none"/>
        </w:rPr>
        <w:t>（标准层预制混凝土构件混凝土总体积）÷（标准层全部混凝土总体积）</w:t>
      </w:r>
      <w:r>
        <w:rPr>
          <w:b/>
          <w:bCs/>
          <w:color w:val="auto"/>
          <w:highlight w:val="none"/>
        </w:rPr>
        <w:t>*100%</w:t>
      </w:r>
    </w:p>
    <w:p>
      <w:pPr>
        <w:pStyle w:val="217"/>
        <w:ind w:firstLine="482"/>
        <w:rPr>
          <w:color w:val="auto"/>
          <w:highlight w:val="none"/>
        </w:rPr>
      </w:pPr>
      <w:r>
        <w:rPr>
          <w:rFonts w:hint="eastAsia"/>
          <w:b/>
          <w:bCs/>
          <w:color w:val="auto"/>
          <w:highlight w:val="none"/>
        </w:rPr>
        <w:t>标准层预制构件混凝土总体积</w:t>
      </w:r>
      <w:r>
        <w:rPr>
          <w:color w:val="auto"/>
          <w:highlight w:val="none"/>
        </w:rPr>
        <w:t>=</w:t>
      </w:r>
      <w:r>
        <w:rPr>
          <w:rFonts w:hint="eastAsia"/>
          <w:color w:val="auto"/>
          <w:highlight w:val="none"/>
        </w:rPr>
        <w:t>主体和围护结构预制混凝土构件总体积</w:t>
      </w:r>
      <w:r>
        <w:rPr>
          <w:color w:val="auto"/>
          <w:highlight w:val="none"/>
        </w:rPr>
        <w:t>*a+</w:t>
      </w:r>
      <w:r>
        <w:rPr>
          <w:rFonts w:hint="eastAsia"/>
          <w:color w:val="auto"/>
          <w:highlight w:val="none"/>
        </w:rPr>
        <w:t>非承重内隔墙预制混凝土构件总体积</w:t>
      </w:r>
      <w:r>
        <w:rPr>
          <w:color w:val="auto"/>
          <w:highlight w:val="none"/>
        </w:rPr>
        <w:t>*b</w:t>
      </w:r>
    </w:p>
    <w:p>
      <w:pPr>
        <w:pStyle w:val="217"/>
        <w:rPr>
          <w:color w:val="auto"/>
          <w:highlight w:val="none"/>
        </w:rPr>
      </w:pPr>
      <w:r>
        <w:rPr>
          <w:rFonts w:hint="eastAsia"/>
          <w:color w:val="auto"/>
          <w:highlight w:val="none"/>
        </w:rPr>
        <w:t>各类预制混凝土构件体积应乘以相应系数计入到总体积中，其中：</w:t>
      </w:r>
    </w:p>
    <w:p>
      <w:pPr>
        <w:pStyle w:val="217"/>
        <w:rPr>
          <w:color w:val="auto"/>
          <w:highlight w:val="none"/>
        </w:rPr>
      </w:pPr>
      <w:r>
        <w:rPr>
          <w:rFonts w:hint="eastAsia"/>
          <w:color w:val="auto"/>
          <w:highlight w:val="none"/>
        </w:rPr>
        <w:t>主体和围护结构预制混凝土构件的系数</w:t>
      </w:r>
      <w:r>
        <w:rPr>
          <w:color w:val="auto"/>
          <w:highlight w:val="none"/>
        </w:rPr>
        <w:t>a</w:t>
      </w:r>
      <w:r>
        <w:rPr>
          <w:rFonts w:hint="eastAsia"/>
          <w:color w:val="auto"/>
          <w:highlight w:val="none"/>
        </w:rPr>
        <w:t>为</w:t>
      </w:r>
      <w:r>
        <w:rPr>
          <w:color w:val="auto"/>
          <w:highlight w:val="none"/>
        </w:rPr>
        <w:t>1</w:t>
      </w:r>
      <w:r>
        <w:rPr>
          <w:rFonts w:hint="eastAsia"/>
          <w:color w:val="auto"/>
          <w:highlight w:val="none"/>
        </w:rPr>
        <w:t>；</w:t>
      </w:r>
    </w:p>
    <w:p>
      <w:pPr>
        <w:pStyle w:val="217"/>
        <w:rPr>
          <w:color w:val="auto"/>
          <w:highlight w:val="none"/>
        </w:rPr>
      </w:pPr>
      <w:r>
        <w:rPr>
          <w:rFonts w:hint="eastAsia"/>
          <w:color w:val="auto"/>
          <w:highlight w:val="none"/>
        </w:rPr>
        <w:t>非承重内隔墙预制混凝土构件的系数</w:t>
      </w:r>
      <w:r>
        <w:rPr>
          <w:color w:val="auto"/>
          <w:highlight w:val="none"/>
        </w:rPr>
        <w:t>b</w:t>
      </w:r>
      <w:r>
        <w:rPr>
          <w:rFonts w:hint="eastAsia"/>
          <w:color w:val="auto"/>
          <w:highlight w:val="none"/>
        </w:rPr>
        <w:t>为</w:t>
      </w:r>
      <w:r>
        <w:rPr>
          <w:color w:val="auto"/>
          <w:highlight w:val="none"/>
        </w:rPr>
        <w:t>0.5</w:t>
      </w:r>
      <w:r>
        <w:rPr>
          <w:rFonts w:hint="eastAsia"/>
          <w:color w:val="auto"/>
          <w:highlight w:val="none"/>
        </w:rPr>
        <w:t>。</w:t>
      </w:r>
    </w:p>
    <w:p>
      <w:pPr>
        <w:pStyle w:val="217"/>
        <w:ind w:firstLine="482"/>
        <w:rPr>
          <w:color w:val="auto"/>
          <w:highlight w:val="none"/>
        </w:rPr>
      </w:pPr>
      <w:r>
        <w:rPr>
          <w:rFonts w:hint="eastAsia"/>
          <w:b/>
          <w:bCs/>
          <w:color w:val="auto"/>
          <w:highlight w:val="none"/>
        </w:rPr>
        <w:t>标准层全部混凝土总体积</w:t>
      </w:r>
      <w:r>
        <w:rPr>
          <w:color w:val="auto"/>
          <w:highlight w:val="none"/>
        </w:rPr>
        <w:t>=</w:t>
      </w:r>
      <w:r>
        <w:rPr>
          <w:rFonts w:hint="eastAsia"/>
          <w:color w:val="auto"/>
          <w:highlight w:val="none"/>
        </w:rPr>
        <w:t>主体和围护结构预制混凝土构件总体积</w:t>
      </w:r>
      <w:r>
        <w:rPr>
          <w:color w:val="auto"/>
          <w:highlight w:val="none"/>
        </w:rPr>
        <w:t>+</w:t>
      </w:r>
      <w:r>
        <w:rPr>
          <w:rFonts w:hint="eastAsia"/>
          <w:color w:val="auto"/>
          <w:highlight w:val="none"/>
        </w:rPr>
        <w:t>非承重内隔墙预制混凝土构件总体积</w:t>
      </w:r>
      <w:r>
        <w:rPr>
          <w:color w:val="auto"/>
          <w:highlight w:val="none"/>
        </w:rPr>
        <w:t>+</w:t>
      </w:r>
      <w:r>
        <w:rPr>
          <w:rFonts w:hint="eastAsia"/>
          <w:color w:val="auto"/>
          <w:highlight w:val="none"/>
        </w:rPr>
        <w:t>现浇混凝土总体积</w:t>
      </w:r>
    </w:p>
    <w:p>
      <w:pPr>
        <w:pStyle w:val="217"/>
        <w:ind w:firstLine="482"/>
        <w:rPr>
          <w:color w:val="auto"/>
          <w:highlight w:val="none"/>
        </w:rPr>
      </w:pPr>
      <w:r>
        <w:rPr>
          <w:rFonts w:hint="eastAsia"/>
          <w:b/>
          <w:bCs/>
          <w:color w:val="auto"/>
          <w:highlight w:val="none"/>
        </w:rPr>
        <w:t>注：</w:t>
      </w:r>
      <w:r>
        <w:rPr>
          <w:rFonts w:hint="eastAsia"/>
          <w:color w:val="auto"/>
          <w:highlight w:val="none"/>
        </w:rPr>
        <w:t>非承重内隔墙预制混凝土构件总体积</w:t>
      </w:r>
      <w:r>
        <w:rPr>
          <w:color w:val="auto"/>
          <w:highlight w:val="none"/>
        </w:rPr>
        <w:t>*b/</w:t>
      </w:r>
      <w:r>
        <w:rPr>
          <w:rFonts w:hint="eastAsia"/>
          <w:color w:val="auto"/>
          <w:highlight w:val="none"/>
        </w:rPr>
        <w:t>标准层全部混凝土总体积≤</w:t>
      </w:r>
      <w:r>
        <w:rPr>
          <w:color w:val="auto"/>
          <w:highlight w:val="none"/>
        </w:rPr>
        <w:t>7.5%</w:t>
      </w:r>
    </w:p>
    <w:p>
      <w:pPr>
        <w:pStyle w:val="217"/>
        <w:rPr>
          <w:color w:val="auto"/>
          <w:highlight w:val="none"/>
        </w:rPr>
      </w:pPr>
      <w:r>
        <w:rPr>
          <w:color w:val="auto"/>
          <w:highlight w:val="none"/>
        </w:rPr>
        <w:t>3.</w:t>
      </w:r>
      <w:r>
        <w:rPr>
          <w:rFonts w:hint="eastAsia"/>
          <w:color w:val="auto"/>
          <w:highlight w:val="none"/>
        </w:rPr>
        <w:t>装配率计算细则</w:t>
      </w:r>
    </w:p>
    <w:p>
      <w:pPr>
        <w:pStyle w:val="217"/>
        <w:ind w:firstLine="482"/>
        <w:rPr>
          <w:b/>
          <w:bCs/>
          <w:color w:val="auto"/>
          <w:highlight w:val="none"/>
        </w:rPr>
      </w:pPr>
      <w:r>
        <w:rPr>
          <w:rFonts w:hint="eastAsia"/>
          <w:b/>
          <w:bCs/>
          <w:color w:val="auto"/>
          <w:highlight w:val="none"/>
        </w:rPr>
        <w:t>（</w:t>
      </w:r>
      <w:r>
        <w:rPr>
          <w:b/>
          <w:bCs/>
          <w:color w:val="auto"/>
          <w:highlight w:val="none"/>
        </w:rPr>
        <w:t>1</w:t>
      </w:r>
      <w:r>
        <w:rPr>
          <w:rFonts w:hint="eastAsia"/>
          <w:b/>
          <w:bCs/>
          <w:color w:val="auto"/>
          <w:highlight w:val="none"/>
        </w:rPr>
        <w:t>）装配率定义</w:t>
      </w:r>
    </w:p>
    <w:p>
      <w:pPr>
        <w:pStyle w:val="217"/>
        <w:rPr>
          <w:b/>
          <w:bCs/>
          <w:color w:val="auto"/>
          <w:highlight w:val="none"/>
        </w:rPr>
      </w:pPr>
      <w:r>
        <w:rPr>
          <w:rFonts w:hint="eastAsia"/>
          <w:color w:val="auto"/>
          <w:highlight w:val="none"/>
        </w:rPr>
        <w:t>装配率是指建筑标准层特定部位采用预制构件和装配式模板技术施工时，采用预制构件所免除的模板面积与采用装配式模板的面积之和，占传统现浇所需模板总面积的百分比。</w:t>
      </w:r>
    </w:p>
    <w:p>
      <w:pPr>
        <w:pStyle w:val="217"/>
        <w:ind w:firstLine="482"/>
        <w:rPr>
          <w:b/>
          <w:bCs/>
          <w:color w:val="auto"/>
          <w:highlight w:val="none"/>
        </w:rPr>
      </w:pPr>
      <w:r>
        <w:rPr>
          <w:rFonts w:hint="eastAsia"/>
          <w:b/>
          <w:bCs/>
          <w:color w:val="auto"/>
          <w:highlight w:val="none"/>
        </w:rPr>
        <w:t>（</w:t>
      </w:r>
      <w:r>
        <w:rPr>
          <w:b/>
          <w:bCs/>
          <w:color w:val="auto"/>
          <w:highlight w:val="none"/>
        </w:rPr>
        <w:t>2</w:t>
      </w:r>
      <w:r>
        <w:rPr>
          <w:rFonts w:hint="eastAsia"/>
          <w:b/>
          <w:bCs/>
          <w:color w:val="auto"/>
          <w:highlight w:val="none"/>
        </w:rPr>
        <w:t>）计算公式</w:t>
      </w:r>
    </w:p>
    <w:p>
      <w:pPr>
        <w:pStyle w:val="217"/>
        <w:ind w:firstLine="482"/>
        <w:rPr>
          <w:b/>
          <w:bCs/>
          <w:color w:val="auto"/>
          <w:highlight w:val="none"/>
        </w:rPr>
      </w:pPr>
      <w:r>
        <w:rPr>
          <w:rFonts w:hint="eastAsia"/>
          <w:b/>
          <w:bCs/>
          <w:color w:val="auto"/>
          <w:highlight w:val="none"/>
        </w:rPr>
        <w:t>装配率</w:t>
      </w:r>
      <w:r>
        <w:rPr>
          <w:b/>
          <w:bCs/>
          <w:color w:val="auto"/>
          <w:highlight w:val="none"/>
        </w:rPr>
        <w:t>S=</w:t>
      </w:r>
      <w:r>
        <w:rPr>
          <w:rFonts w:hint="eastAsia"/>
          <w:b/>
          <w:bCs/>
          <w:color w:val="auto"/>
          <w:highlight w:val="none"/>
        </w:rPr>
        <w:t>（标准层装配式工法构件总表面积）÷（标准层混凝土总表面积）</w:t>
      </w:r>
      <w:r>
        <w:rPr>
          <w:b/>
          <w:bCs/>
          <w:color w:val="auto"/>
          <w:highlight w:val="none"/>
        </w:rPr>
        <w:t>*100%</w:t>
      </w:r>
    </w:p>
    <w:p>
      <w:pPr>
        <w:pStyle w:val="217"/>
        <w:ind w:firstLine="482"/>
        <w:rPr>
          <w:color w:val="auto"/>
          <w:highlight w:val="none"/>
        </w:rPr>
      </w:pPr>
      <w:r>
        <w:rPr>
          <w:rFonts w:hint="eastAsia"/>
          <w:b/>
          <w:bCs/>
          <w:color w:val="auto"/>
          <w:highlight w:val="none"/>
        </w:rPr>
        <w:t>标准层装配式工法构件总表面积</w:t>
      </w:r>
      <w:r>
        <w:rPr>
          <w:color w:val="auto"/>
          <w:highlight w:val="none"/>
        </w:rPr>
        <w:t>=</w:t>
      </w:r>
      <w:r>
        <w:rPr>
          <w:rFonts w:hint="eastAsia"/>
          <w:color w:val="auto"/>
          <w:highlight w:val="none"/>
        </w:rPr>
        <w:t>主体和围护结构预制混凝土构件免除传统模板的表面积</w:t>
      </w:r>
      <w:r>
        <w:rPr>
          <w:color w:val="auto"/>
          <w:highlight w:val="none"/>
        </w:rPr>
        <w:t>*a+</w:t>
      </w:r>
      <w:r>
        <w:rPr>
          <w:rFonts w:hint="eastAsia"/>
          <w:color w:val="auto"/>
          <w:highlight w:val="none"/>
        </w:rPr>
        <w:t>非承重内隔墙预制混凝土构件免除抹灰的表面积</w:t>
      </w:r>
      <w:r>
        <w:rPr>
          <w:color w:val="auto"/>
          <w:highlight w:val="none"/>
        </w:rPr>
        <w:t>*b+</w:t>
      </w:r>
      <w:r>
        <w:rPr>
          <w:rFonts w:hint="eastAsia"/>
          <w:color w:val="auto"/>
          <w:highlight w:val="none"/>
        </w:rPr>
        <w:t>现浇结构采用定型装配式模板免除抹灰的表面积</w:t>
      </w:r>
      <w:r>
        <w:rPr>
          <w:color w:val="auto"/>
          <w:highlight w:val="none"/>
        </w:rPr>
        <w:t>*c</w:t>
      </w:r>
    </w:p>
    <w:p>
      <w:pPr>
        <w:pStyle w:val="217"/>
        <w:rPr>
          <w:color w:val="auto"/>
          <w:highlight w:val="none"/>
        </w:rPr>
      </w:pPr>
      <w:r>
        <w:rPr>
          <w:rFonts w:hint="eastAsia"/>
          <w:color w:val="auto"/>
          <w:highlight w:val="none"/>
        </w:rPr>
        <w:t>各类装配式工法构件表面积应乘以相应系数计入到总表面积中，其中：主体和围护结构预制混凝土构件的系数</w:t>
      </w:r>
      <w:r>
        <w:rPr>
          <w:color w:val="auto"/>
          <w:highlight w:val="none"/>
        </w:rPr>
        <w:t>a</w:t>
      </w:r>
      <w:r>
        <w:rPr>
          <w:rFonts w:hint="eastAsia"/>
          <w:color w:val="auto"/>
          <w:highlight w:val="none"/>
        </w:rPr>
        <w:t>为</w:t>
      </w:r>
      <w:r>
        <w:rPr>
          <w:color w:val="auto"/>
          <w:highlight w:val="none"/>
        </w:rPr>
        <w:t>1</w:t>
      </w:r>
      <w:r>
        <w:rPr>
          <w:rFonts w:hint="eastAsia"/>
          <w:color w:val="auto"/>
          <w:highlight w:val="none"/>
        </w:rPr>
        <w:t>；</w:t>
      </w:r>
    </w:p>
    <w:p>
      <w:pPr>
        <w:pStyle w:val="217"/>
        <w:rPr>
          <w:color w:val="auto"/>
          <w:highlight w:val="none"/>
        </w:rPr>
      </w:pPr>
      <w:r>
        <w:rPr>
          <w:rFonts w:hint="eastAsia"/>
          <w:color w:val="auto"/>
          <w:highlight w:val="none"/>
        </w:rPr>
        <w:t>非承重内隔墙预制混凝土构件的系数</w:t>
      </w:r>
      <w:r>
        <w:rPr>
          <w:color w:val="auto"/>
          <w:highlight w:val="none"/>
        </w:rPr>
        <w:t>b</w:t>
      </w:r>
      <w:r>
        <w:rPr>
          <w:rFonts w:hint="eastAsia"/>
          <w:color w:val="auto"/>
          <w:highlight w:val="none"/>
        </w:rPr>
        <w:t>为</w:t>
      </w:r>
      <w:r>
        <w:rPr>
          <w:color w:val="auto"/>
          <w:highlight w:val="none"/>
        </w:rPr>
        <w:t>0.5</w:t>
      </w:r>
      <w:r>
        <w:rPr>
          <w:rFonts w:hint="eastAsia"/>
          <w:color w:val="auto"/>
          <w:highlight w:val="none"/>
        </w:rPr>
        <w:t>；</w:t>
      </w:r>
    </w:p>
    <w:p>
      <w:pPr>
        <w:pStyle w:val="217"/>
        <w:rPr>
          <w:color w:val="auto"/>
          <w:highlight w:val="none"/>
        </w:rPr>
      </w:pPr>
      <w:r>
        <w:rPr>
          <w:rFonts w:hint="eastAsia"/>
          <w:color w:val="auto"/>
          <w:highlight w:val="none"/>
        </w:rPr>
        <w:t>现浇结构采用定型装配式模板、现场绑扎钢筋网和骨架的系数</w:t>
      </w:r>
      <w:r>
        <w:rPr>
          <w:color w:val="auto"/>
          <w:highlight w:val="none"/>
        </w:rPr>
        <w:t>c</w:t>
      </w:r>
      <w:r>
        <w:rPr>
          <w:rFonts w:hint="eastAsia"/>
          <w:color w:val="auto"/>
          <w:highlight w:val="none"/>
        </w:rPr>
        <w:t>为</w:t>
      </w:r>
      <w:r>
        <w:rPr>
          <w:color w:val="auto"/>
          <w:highlight w:val="none"/>
        </w:rPr>
        <w:t>0.5</w:t>
      </w:r>
      <w:r>
        <w:rPr>
          <w:rFonts w:hint="eastAsia"/>
          <w:color w:val="auto"/>
          <w:highlight w:val="none"/>
        </w:rPr>
        <w:t>；若采用定型装配式模板、同时采用预制钢筋网和骨架的系数</w:t>
      </w:r>
      <w:r>
        <w:rPr>
          <w:color w:val="auto"/>
          <w:highlight w:val="none"/>
        </w:rPr>
        <w:t>c</w:t>
      </w:r>
      <w:r>
        <w:rPr>
          <w:rFonts w:hint="eastAsia"/>
          <w:color w:val="auto"/>
          <w:highlight w:val="none"/>
        </w:rPr>
        <w:t>为</w:t>
      </w:r>
      <w:r>
        <w:rPr>
          <w:color w:val="auto"/>
          <w:highlight w:val="none"/>
        </w:rPr>
        <w:t>0.8</w:t>
      </w:r>
      <w:r>
        <w:rPr>
          <w:rFonts w:hint="eastAsia"/>
          <w:color w:val="auto"/>
          <w:highlight w:val="none"/>
        </w:rPr>
        <w:t>。</w:t>
      </w:r>
    </w:p>
    <w:p>
      <w:pPr>
        <w:pStyle w:val="217"/>
        <w:ind w:firstLine="482"/>
        <w:rPr>
          <w:color w:val="auto"/>
          <w:highlight w:val="none"/>
        </w:rPr>
      </w:pPr>
      <w:r>
        <w:rPr>
          <w:rFonts w:hint="eastAsia"/>
          <w:b/>
          <w:bCs/>
          <w:color w:val="auto"/>
          <w:highlight w:val="none"/>
        </w:rPr>
        <w:t>标准层混凝土总表面积</w:t>
      </w:r>
      <w:r>
        <w:rPr>
          <w:color w:val="auto"/>
          <w:highlight w:val="none"/>
        </w:rPr>
        <w:t>=</w:t>
      </w:r>
      <w:r>
        <w:rPr>
          <w:rFonts w:hint="eastAsia"/>
          <w:color w:val="auto"/>
          <w:highlight w:val="none"/>
        </w:rPr>
        <w:t>主体和围护结构预制混凝土构件免除传统模板的表面积</w:t>
      </w:r>
      <w:r>
        <w:rPr>
          <w:color w:val="auto"/>
          <w:highlight w:val="none"/>
        </w:rPr>
        <w:t>+</w:t>
      </w:r>
      <w:r>
        <w:rPr>
          <w:rFonts w:hint="eastAsia"/>
          <w:color w:val="auto"/>
          <w:highlight w:val="none"/>
        </w:rPr>
        <w:t>非承重内隔墙预制混凝土构件免除抹灰的表面积</w:t>
      </w:r>
      <w:r>
        <w:rPr>
          <w:color w:val="auto"/>
          <w:highlight w:val="none"/>
        </w:rPr>
        <w:t>+</w:t>
      </w:r>
      <w:r>
        <w:rPr>
          <w:rFonts w:hint="eastAsia"/>
          <w:color w:val="auto"/>
          <w:highlight w:val="none"/>
        </w:rPr>
        <w:t>现浇结构采用定型装配式模板的表面积</w:t>
      </w:r>
      <w:r>
        <w:rPr>
          <w:color w:val="auto"/>
          <w:highlight w:val="none"/>
        </w:rPr>
        <w:t>+</w:t>
      </w:r>
      <w:r>
        <w:rPr>
          <w:rFonts w:hint="eastAsia"/>
          <w:color w:val="auto"/>
          <w:highlight w:val="none"/>
        </w:rPr>
        <w:t>现浇结构采用传统模板的表面积</w:t>
      </w:r>
    </w:p>
    <w:p>
      <w:pPr>
        <w:pStyle w:val="217"/>
        <w:rPr>
          <w:color w:val="auto"/>
          <w:highlight w:val="none"/>
        </w:rPr>
      </w:pPr>
      <w:r>
        <w:rPr>
          <w:color w:val="auto"/>
          <w:highlight w:val="none"/>
        </w:rPr>
        <w:t>4.</w:t>
      </w:r>
      <w:r>
        <w:rPr>
          <w:rFonts w:hint="eastAsia"/>
          <w:color w:val="auto"/>
          <w:highlight w:val="none"/>
        </w:rPr>
        <w:t>预制混凝土构件类型说明</w:t>
      </w:r>
    </w:p>
    <w:p>
      <w:pPr>
        <w:pStyle w:val="217"/>
        <w:ind w:firstLine="482"/>
        <w:rPr>
          <w:b/>
          <w:bCs/>
          <w:color w:val="auto"/>
          <w:highlight w:val="none"/>
        </w:rPr>
      </w:pPr>
      <w:r>
        <w:rPr>
          <w:rFonts w:hint="eastAsia"/>
          <w:b/>
          <w:bCs/>
          <w:color w:val="auto"/>
          <w:highlight w:val="none"/>
        </w:rPr>
        <w:t>（</w:t>
      </w:r>
      <w:r>
        <w:rPr>
          <w:b/>
          <w:bCs/>
          <w:color w:val="auto"/>
          <w:highlight w:val="none"/>
        </w:rPr>
        <w:t>1</w:t>
      </w:r>
      <w:r>
        <w:rPr>
          <w:rFonts w:hint="eastAsia"/>
          <w:b/>
          <w:bCs/>
          <w:color w:val="auto"/>
          <w:highlight w:val="none"/>
        </w:rPr>
        <w:t>）主体和围护结构预制混凝土构件</w:t>
      </w:r>
    </w:p>
    <w:p>
      <w:pPr>
        <w:pStyle w:val="217"/>
        <w:rPr>
          <w:color w:val="auto"/>
          <w:highlight w:val="none"/>
        </w:rPr>
      </w:pPr>
      <w:r>
        <w:rPr>
          <w:color w:val="auto"/>
          <w:highlight w:val="none"/>
        </w:rPr>
        <w:t>1)</w:t>
      </w:r>
      <w:r>
        <w:rPr>
          <w:rFonts w:hint="eastAsia"/>
          <w:color w:val="auto"/>
          <w:highlight w:val="none"/>
        </w:rPr>
        <w:t>预制墙体</w:t>
      </w:r>
    </w:p>
    <w:p>
      <w:pPr>
        <w:pStyle w:val="217"/>
        <w:rPr>
          <w:color w:val="auto"/>
          <w:highlight w:val="none"/>
        </w:rPr>
      </w:pPr>
      <w:r>
        <w:rPr>
          <w:rFonts w:hint="eastAsia"/>
          <w:color w:val="auto"/>
          <w:highlight w:val="none"/>
        </w:rPr>
        <w:t>包括：预制剪力墙、预制外挂墙板、预制夹心保温外墙等。</w:t>
      </w:r>
    </w:p>
    <w:p>
      <w:pPr>
        <w:pStyle w:val="217"/>
        <w:rPr>
          <w:color w:val="auto"/>
          <w:highlight w:val="none"/>
        </w:rPr>
      </w:pPr>
      <w:r>
        <w:rPr>
          <w:color w:val="auto"/>
          <w:highlight w:val="none"/>
        </w:rPr>
        <w:t>2)</w:t>
      </w:r>
      <w:r>
        <w:rPr>
          <w:rFonts w:hint="eastAsia"/>
          <w:color w:val="auto"/>
          <w:highlight w:val="none"/>
        </w:rPr>
        <w:t>预制楼板</w:t>
      </w:r>
    </w:p>
    <w:p>
      <w:pPr>
        <w:pStyle w:val="217"/>
        <w:rPr>
          <w:color w:val="auto"/>
          <w:highlight w:val="none"/>
        </w:rPr>
      </w:pPr>
      <w:r>
        <w:rPr>
          <w:rFonts w:hint="eastAsia"/>
          <w:color w:val="auto"/>
          <w:highlight w:val="none"/>
        </w:rPr>
        <w:t>包括：预制实心板、预制叠合板、预制阳台、预制走廊、预制空调板等。</w:t>
      </w:r>
    </w:p>
    <w:p>
      <w:pPr>
        <w:pStyle w:val="217"/>
        <w:rPr>
          <w:color w:val="auto"/>
          <w:highlight w:val="none"/>
        </w:rPr>
      </w:pPr>
      <w:r>
        <w:rPr>
          <w:color w:val="auto"/>
          <w:highlight w:val="none"/>
        </w:rPr>
        <w:t>3)</w:t>
      </w:r>
      <w:r>
        <w:rPr>
          <w:rFonts w:hint="eastAsia"/>
          <w:color w:val="auto"/>
          <w:highlight w:val="none"/>
        </w:rPr>
        <w:t>预制楼梯</w:t>
      </w:r>
    </w:p>
    <w:p>
      <w:pPr>
        <w:pStyle w:val="217"/>
        <w:rPr>
          <w:color w:val="auto"/>
          <w:highlight w:val="none"/>
        </w:rPr>
      </w:pPr>
      <w:r>
        <w:rPr>
          <w:rFonts w:hint="eastAsia"/>
          <w:color w:val="auto"/>
          <w:highlight w:val="none"/>
        </w:rPr>
        <w:t>包括：预制楼梯段、预制休息平台等。</w:t>
      </w:r>
    </w:p>
    <w:p>
      <w:pPr>
        <w:pStyle w:val="217"/>
        <w:rPr>
          <w:color w:val="auto"/>
          <w:highlight w:val="none"/>
        </w:rPr>
      </w:pPr>
      <w:r>
        <w:rPr>
          <w:color w:val="auto"/>
          <w:highlight w:val="none"/>
        </w:rPr>
        <w:t>4)</w:t>
      </w:r>
      <w:r>
        <w:rPr>
          <w:rFonts w:hint="eastAsia"/>
          <w:color w:val="auto"/>
          <w:highlight w:val="none"/>
        </w:rPr>
        <w:t>预制梁</w:t>
      </w:r>
    </w:p>
    <w:p>
      <w:pPr>
        <w:pStyle w:val="217"/>
        <w:rPr>
          <w:color w:val="auto"/>
          <w:highlight w:val="none"/>
        </w:rPr>
      </w:pPr>
      <w:r>
        <w:rPr>
          <w:rFonts w:hint="eastAsia"/>
          <w:color w:val="auto"/>
          <w:highlight w:val="none"/>
        </w:rPr>
        <w:t>包括：预制实心梁、预制叠合梁、预制</w:t>
      </w:r>
      <w:r>
        <w:rPr>
          <w:color w:val="auto"/>
          <w:highlight w:val="none"/>
        </w:rPr>
        <w:t>U</w:t>
      </w:r>
      <w:r>
        <w:rPr>
          <w:rFonts w:hint="eastAsia"/>
          <w:color w:val="auto"/>
          <w:highlight w:val="none"/>
        </w:rPr>
        <w:t>型梁等。</w:t>
      </w:r>
    </w:p>
    <w:p>
      <w:pPr>
        <w:pStyle w:val="217"/>
        <w:rPr>
          <w:color w:val="auto"/>
          <w:highlight w:val="none"/>
        </w:rPr>
      </w:pPr>
      <w:r>
        <w:rPr>
          <w:color w:val="auto"/>
          <w:highlight w:val="none"/>
        </w:rPr>
        <w:t>5)</w:t>
      </w:r>
      <w:r>
        <w:rPr>
          <w:rFonts w:hint="eastAsia"/>
          <w:color w:val="auto"/>
          <w:highlight w:val="none"/>
        </w:rPr>
        <w:t>预制柱</w:t>
      </w:r>
    </w:p>
    <w:p>
      <w:pPr>
        <w:pStyle w:val="217"/>
        <w:rPr>
          <w:color w:val="auto"/>
          <w:highlight w:val="none"/>
        </w:rPr>
      </w:pPr>
      <w:r>
        <w:rPr>
          <w:rFonts w:hint="eastAsia"/>
          <w:color w:val="auto"/>
          <w:highlight w:val="none"/>
        </w:rPr>
        <w:t>包括：预制实心柱、预制空心柱等。</w:t>
      </w:r>
    </w:p>
    <w:p>
      <w:pPr>
        <w:pStyle w:val="217"/>
        <w:rPr>
          <w:color w:val="auto"/>
          <w:highlight w:val="none"/>
        </w:rPr>
      </w:pPr>
      <w:r>
        <w:rPr>
          <w:color w:val="auto"/>
          <w:highlight w:val="none"/>
        </w:rPr>
        <w:t>6)</w:t>
      </w:r>
      <w:r>
        <w:rPr>
          <w:rFonts w:hint="eastAsia"/>
          <w:color w:val="auto"/>
          <w:highlight w:val="none"/>
        </w:rPr>
        <w:t>其他预制构件</w:t>
      </w:r>
    </w:p>
    <w:p>
      <w:pPr>
        <w:pStyle w:val="217"/>
        <w:rPr>
          <w:color w:val="auto"/>
          <w:highlight w:val="none"/>
        </w:rPr>
      </w:pPr>
      <w:r>
        <w:rPr>
          <w:rFonts w:hint="eastAsia"/>
          <w:color w:val="auto"/>
          <w:highlight w:val="none"/>
        </w:rPr>
        <w:t>包括：预制整体厨房、预制整体卫生间、预制阳台栏板、预制走廊栏板、预制花槽等。</w:t>
      </w:r>
    </w:p>
    <w:p>
      <w:pPr>
        <w:pStyle w:val="217"/>
        <w:ind w:firstLine="482"/>
        <w:rPr>
          <w:b/>
          <w:bCs/>
          <w:color w:val="auto"/>
          <w:highlight w:val="none"/>
        </w:rPr>
      </w:pPr>
      <w:r>
        <w:rPr>
          <w:rFonts w:hint="eastAsia"/>
          <w:b/>
          <w:bCs/>
          <w:color w:val="auto"/>
          <w:highlight w:val="none"/>
        </w:rPr>
        <w:t>（</w:t>
      </w:r>
      <w:r>
        <w:rPr>
          <w:b/>
          <w:bCs/>
          <w:color w:val="auto"/>
          <w:highlight w:val="none"/>
        </w:rPr>
        <w:t>2</w:t>
      </w:r>
      <w:r>
        <w:rPr>
          <w:rFonts w:hint="eastAsia"/>
          <w:b/>
          <w:bCs/>
          <w:color w:val="auto"/>
          <w:highlight w:val="none"/>
        </w:rPr>
        <w:t>）非承重内隔墙预制混凝土构件</w:t>
      </w:r>
    </w:p>
    <w:p>
      <w:pPr>
        <w:pStyle w:val="217"/>
        <w:rPr>
          <w:color w:val="auto"/>
          <w:highlight w:val="none"/>
        </w:rPr>
      </w:pPr>
      <w:r>
        <w:rPr>
          <w:rFonts w:hint="eastAsia"/>
          <w:color w:val="auto"/>
          <w:highlight w:val="none"/>
        </w:rPr>
        <w:t>包括：预制内隔墙板、预制混凝土条板等。</w:t>
      </w:r>
    </w:p>
    <w:p>
      <w:pPr>
        <w:pStyle w:val="217"/>
        <w:rPr>
          <w:color w:val="auto"/>
          <w:highlight w:val="none"/>
        </w:rPr>
      </w:pPr>
      <w:r>
        <w:rPr>
          <w:rFonts w:hint="eastAsia"/>
          <w:color w:val="auto"/>
          <w:highlight w:val="none"/>
        </w:rPr>
        <w:t>不包括混凝土砖、空心砖、加气混凝土砌块等块材隔墙和石膏条板、硅酸钙板、铝板等装饰板材的内隔墙。</w:t>
      </w:r>
    </w:p>
    <w:p>
      <w:pPr>
        <w:pStyle w:val="217"/>
        <w:rPr>
          <w:color w:val="auto"/>
          <w:highlight w:val="none"/>
        </w:rPr>
      </w:pPr>
      <w:r>
        <w:rPr>
          <w:color w:val="auto"/>
          <w:highlight w:val="none"/>
        </w:rPr>
        <w:t>5.</w:t>
      </w:r>
      <w:r>
        <w:rPr>
          <w:rFonts w:hint="eastAsia"/>
          <w:color w:val="auto"/>
          <w:highlight w:val="none"/>
        </w:rPr>
        <w:t>关于非混凝土预制构件的预制率和装配率计算说明</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）非混凝土预制构件不计入预制率。</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）标准层厨房、卫生间若采用工厂生产、现场一体化装配安装的成套厨卫家居解决方案的产品，标准层装配率中分别按照</w:t>
      </w:r>
      <w:r>
        <w:rPr>
          <w:color w:val="auto"/>
          <w:highlight w:val="none"/>
        </w:rPr>
        <w:t>5%</w:t>
      </w:r>
      <w:r>
        <w:rPr>
          <w:rFonts w:hint="eastAsia"/>
          <w:color w:val="auto"/>
          <w:highlight w:val="none"/>
        </w:rPr>
        <w:t>计入</w:t>
      </w:r>
      <w:r>
        <w:rPr>
          <w:color w:val="auto"/>
          <w:highlight w:val="none"/>
        </w:rPr>
        <w:t>,</w:t>
      </w:r>
      <w:r>
        <w:rPr>
          <w:rFonts w:hint="eastAsia"/>
          <w:color w:val="auto"/>
          <w:highlight w:val="none"/>
        </w:rPr>
        <w:t>在计算中若不是全部户型采用整体式厨房和卫生间，则按</w:t>
      </w:r>
      <w:r>
        <w:rPr>
          <w:color w:val="auto"/>
          <w:highlight w:val="none"/>
        </w:rPr>
        <w:t>5%</w:t>
      </w:r>
      <w:r>
        <w:rPr>
          <w:rFonts w:hint="eastAsia"/>
          <w:color w:val="auto"/>
          <w:highlight w:val="none"/>
        </w:rPr>
        <w:t>乘以采用户数除以总户数计入装配率。其他非混凝土预制构件不计入装配率。</w:t>
      </w:r>
    </w:p>
    <w:p>
      <w:pPr>
        <w:pStyle w:val="119"/>
        <w:rPr>
          <w:color w:val="auto"/>
          <w:highlight w:val="none"/>
        </w:rPr>
      </w:pPr>
      <w:r>
        <w:rPr>
          <w:color w:val="auto"/>
          <w:highlight w:val="none"/>
        </w:rPr>
        <w:t>3.3.3.2</w:t>
      </w:r>
      <w:r>
        <w:rPr>
          <w:rFonts w:hint="eastAsia"/>
          <w:color w:val="auto"/>
          <w:highlight w:val="none"/>
        </w:rPr>
        <w:t>技术要求</w:t>
      </w:r>
    </w:p>
    <w:p>
      <w:pPr>
        <w:pStyle w:val="217"/>
        <w:rPr>
          <w:color w:val="auto"/>
          <w:highlight w:val="none"/>
        </w:rPr>
      </w:pPr>
      <w:r>
        <w:rPr>
          <w:color w:val="auto"/>
          <w:highlight w:val="none"/>
        </w:rPr>
        <w:t>1.</w:t>
      </w:r>
      <w:r>
        <w:rPr>
          <w:rFonts w:hint="eastAsia"/>
          <w:color w:val="auto"/>
          <w:highlight w:val="none"/>
        </w:rPr>
        <w:t>设计要求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）符合国家和深圳市住宅的各类现行标准和规范要求</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）建筑设计应执行模数协调原则，宜采用定型化、集成化、模块化设计，以少规格的建筑部品构件实现多样化的组合。</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）主体结构技术应与外围护技术、装饰装修技术、设施设备系统技术相协调，并形成完整、系统的建筑技术体系。</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）建筑的基本户型单元应具有标准化、模块化、系列化组合的成都，符合建筑的模数化和多样化要求。</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）建筑装饰装修、机电设备系统的设计应与建筑设计同步，并实现一体化、标准化。</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）应采用建筑信息模型（</w:t>
      </w:r>
      <w:r>
        <w:rPr>
          <w:color w:val="auto"/>
          <w:highlight w:val="none"/>
        </w:rPr>
        <w:t>BIM</w:t>
      </w:r>
      <w:r>
        <w:rPr>
          <w:rFonts w:hint="eastAsia"/>
          <w:color w:val="auto"/>
          <w:highlight w:val="none"/>
        </w:rPr>
        <w:t>）技术，监理规划</w:t>
      </w:r>
      <w:r>
        <w:rPr>
          <w:color w:val="auto"/>
          <w:highlight w:val="none"/>
        </w:rPr>
        <w:t>-</w:t>
      </w:r>
      <w:r>
        <w:rPr>
          <w:rFonts w:hint="eastAsia"/>
          <w:color w:val="auto"/>
          <w:highlight w:val="none"/>
        </w:rPr>
        <w:t>设计</w:t>
      </w:r>
      <w:r>
        <w:rPr>
          <w:color w:val="auto"/>
          <w:highlight w:val="none"/>
        </w:rPr>
        <w:t>-</w:t>
      </w:r>
      <w:r>
        <w:rPr>
          <w:rFonts w:hint="eastAsia"/>
          <w:color w:val="auto"/>
          <w:highlight w:val="none"/>
        </w:rPr>
        <w:t>制造</w:t>
      </w:r>
      <w:r>
        <w:rPr>
          <w:color w:val="auto"/>
          <w:highlight w:val="none"/>
        </w:rPr>
        <w:t>-</w:t>
      </w:r>
      <w:r>
        <w:rPr>
          <w:rFonts w:hint="eastAsia"/>
          <w:color w:val="auto"/>
          <w:highlight w:val="none"/>
        </w:rPr>
        <w:t>建造</w:t>
      </w:r>
      <w:r>
        <w:rPr>
          <w:color w:val="auto"/>
          <w:highlight w:val="none"/>
        </w:rPr>
        <w:t>-</w:t>
      </w:r>
      <w:r>
        <w:rPr>
          <w:rFonts w:hint="eastAsia"/>
          <w:color w:val="auto"/>
          <w:highlight w:val="none"/>
        </w:rPr>
        <w:t>运营等全过程的模型信息库。</w:t>
      </w:r>
    </w:p>
    <w:p>
      <w:pPr>
        <w:pStyle w:val="217"/>
        <w:rPr>
          <w:color w:val="auto"/>
          <w:highlight w:val="none"/>
        </w:rPr>
      </w:pPr>
      <w:r>
        <w:rPr>
          <w:color w:val="auto"/>
          <w:highlight w:val="none"/>
        </w:rPr>
        <w:t>2.</w:t>
      </w:r>
      <w:r>
        <w:rPr>
          <w:rFonts w:hint="eastAsia"/>
          <w:color w:val="auto"/>
          <w:highlight w:val="none"/>
        </w:rPr>
        <w:t>预制装配要求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）应采用预制外墙、楼板、楼梯等混凝土构件，宜采用预制梁、柱等混凝土构件，以预制构件体积占混凝土总体积计算预制率，以免除现浇模板面积占传统现浇施工方法所需模板总面积计算装配率。</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）现浇部分宜采用钢模，铝模及标准定性模具等装配式模板技术，宜采用预制钢筋网和骨架，在装配率计算中，以采用装配式模板的面积占传统现浇现浇需模板总面积的比例同样计入装配率。</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）宜采用预制内隔墙。屋面、裙楼、墙面装饰、地下室、校区道路、景观等公共部位宜采用预制构件。</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）标准层同时满足以下装配率和预制率的要求。</w:t>
      </w:r>
    </w:p>
    <w:p>
      <w:pPr>
        <w:pStyle w:val="217"/>
        <w:rPr>
          <w:color w:val="auto"/>
          <w:highlight w:val="none"/>
        </w:rPr>
      </w:pPr>
      <w:r>
        <w:rPr>
          <w:rFonts w:hint="eastAsia"/>
          <w:color w:val="auto"/>
          <w:highlight w:val="none"/>
        </w:rPr>
        <w:t>预制范围：应至少包括预制外墙、预制楼板、预制楼梯等。</w:t>
      </w:r>
    </w:p>
    <w:p>
      <w:pPr>
        <w:pStyle w:val="217"/>
        <w:rPr>
          <w:color w:val="auto"/>
          <w:highlight w:val="none"/>
        </w:rPr>
      </w:pPr>
      <w:r>
        <w:rPr>
          <w:rFonts w:hint="eastAsia"/>
          <w:color w:val="auto"/>
          <w:highlight w:val="none"/>
        </w:rPr>
        <w:t>预制率指标：应不低于</w:t>
      </w:r>
      <w:r>
        <w:rPr>
          <w:color w:val="auto"/>
          <w:highlight w:val="none"/>
        </w:rPr>
        <w:t>15%</w:t>
      </w:r>
      <w:r>
        <w:rPr>
          <w:rFonts w:hint="eastAsia"/>
          <w:color w:val="auto"/>
          <w:highlight w:val="none"/>
        </w:rPr>
        <w:t>。</w:t>
      </w:r>
    </w:p>
    <w:p>
      <w:pPr>
        <w:pStyle w:val="217"/>
        <w:rPr>
          <w:color w:val="auto"/>
          <w:highlight w:val="none"/>
        </w:rPr>
      </w:pPr>
      <w:r>
        <w:rPr>
          <w:rFonts w:hint="eastAsia"/>
          <w:color w:val="auto"/>
          <w:highlight w:val="none"/>
        </w:rPr>
        <w:t>装配范围：应至少包括墙体、楼板、楼梯。</w:t>
      </w:r>
    </w:p>
    <w:p>
      <w:pPr>
        <w:pStyle w:val="217"/>
        <w:rPr>
          <w:color w:val="auto"/>
          <w:highlight w:val="none"/>
        </w:rPr>
      </w:pPr>
      <w:r>
        <w:rPr>
          <w:rFonts w:hint="eastAsia"/>
          <w:color w:val="auto"/>
          <w:highlight w:val="none"/>
        </w:rPr>
        <w:t>装配率指标：应不低于</w:t>
      </w:r>
      <w:r>
        <w:rPr>
          <w:color w:val="auto"/>
          <w:highlight w:val="none"/>
        </w:rPr>
        <w:t>30%</w:t>
      </w:r>
      <w:r>
        <w:rPr>
          <w:rFonts w:hint="eastAsia"/>
          <w:color w:val="auto"/>
          <w:highlight w:val="none"/>
        </w:rPr>
        <w:t>。</w:t>
      </w:r>
    </w:p>
    <w:p>
      <w:pPr>
        <w:pStyle w:val="217"/>
        <w:rPr>
          <w:color w:val="auto"/>
          <w:highlight w:val="none"/>
        </w:rPr>
      </w:pPr>
      <w:r>
        <w:rPr>
          <w:color w:val="auto"/>
          <w:highlight w:val="none"/>
        </w:rPr>
        <w:t>3.</w:t>
      </w:r>
      <w:r>
        <w:rPr>
          <w:rFonts w:hint="eastAsia"/>
          <w:color w:val="auto"/>
          <w:highlight w:val="none"/>
        </w:rPr>
        <w:t>施工要求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预制构件拆分设计应对构件尺寸、形状进行优化，确保构件重复率高，满足建筑使用功能，便于生产、运输、安装。预制构件加工前，应配合进行深化设计，深化设计应进行预制构件施工过程的受力验算。包括制造、运输、安装等环节。深化设计图中各种预埋件、连接件设计应到位，尺寸定位准确、清晰。预制构件在工厂制造阶段应完成装修，采用集成化方法，将管线集中埋设，现场直接接驳水电线路。</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）预制构件施工企业应对预制构件的生产、运输、现场装配等环节分别定制专项技术方案，建立健全质量管理体系，做好构件生产和施工阶段的质量控制和验收。形成和保留完整的质量控制资料。</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）预制构件在生产和安装过程中应采用工具化定型模板、专用支架和设备机具，宜采用自动化生产线生产。</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）预制构件在存储和运输过程中应采取保护措施，防止预制构件扭曲、变形和损坏。</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）预制构件受理钢筋连接可采用套筒灌浆连接或浆锚搭接连接，其连接技术应满足国家现行相关标准、规范的要求。</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）宜采用高层施工升降平台等机械化施工技术。</w:t>
      </w:r>
    </w:p>
    <w:p>
      <w:pPr>
        <w:pStyle w:val="217"/>
        <w:rPr>
          <w:color w:val="auto"/>
          <w:highlight w:val="none"/>
        </w:rPr>
      </w:pPr>
      <w:r>
        <w:rPr>
          <w:color w:val="auto"/>
          <w:highlight w:val="none"/>
        </w:rPr>
        <w:t>4.</w:t>
      </w:r>
      <w:r>
        <w:rPr>
          <w:rFonts w:hint="eastAsia"/>
          <w:color w:val="auto"/>
          <w:highlight w:val="none"/>
        </w:rPr>
        <w:t>成套技术要求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）厨卫尺寸应基本一致，内装宜采用整体式厨房和卫生间。</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）宜采用雨水收集精华、中水处理回用、人工湿地污水处理、屋顶绿化、智能化家居等产业化集成技术。</w:t>
      </w:r>
    </w:p>
    <w:p>
      <w:pPr>
        <w:pStyle w:val="217"/>
        <w:rPr>
          <w:color w:val="auto"/>
          <w:highlight w:val="none"/>
        </w:rPr>
      </w:pPr>
    </w:p>
    <w:p>
      <w:pPr>
        <w:pStyle w:val="113"/>
        <w:spacing w:before="120" w:after="120"/>
        <w:outlineLvl w:val="2"/>
        <w:rPr>
          <w:color w:val="auto"/>
          <w:highlight w:val="none"/>
        </w:rPr>
      </w:pPr>
      <w:bookmarkStart w:id="7722" w:name="_Toc66634411"/>
      <w:bookmarkStart w:id="7723" w:name="_Toc66890406"/>
      <w:bookmarkStart w:id="7724" w:name="_Toc505345724"/>
      <w:bookmarkStart w:id="7725" w:name="_Toc69114152"/>
      <w:r>
        <w:rPr>
          <w:color w:val="auto"/>
          <w:highlight w:val="none"/>
        </w:rPr>
        <w:t xml:space="preserve">3.4 </w:t>
      </w:r>
      <w:r>
        <w:rPr>
          <w:rFonts w:hint="eastAsia"/>
          <w:color w:val="auto"/>
          <w:highlight w:val="none"/>
        </w:rPr>
        <w:t>建筑装饰装修工程</w:t>
      </w:r>
      <w:bookmarkEnd w:id="7722"/>
      <w:bookmarkEnd w:id="7723"/>
      <w:bookmarkEnd w:id="7724"/>
      <w:bookmarkEnd w:id="7725"/>
    </w:p>
    <w:p>
      <w:pPr>
        <w:pStyle w:val="217"/>
        <w:rPr>
          <w:color w:val="auto"/>
          <w:highlight w:val="none"/>
        </w:rPr>
      </w:pPr>
      <w:r>
        <w:rPr>
          <w:rFonts w:hint="eastAsia"/>
          <w:color w:val="auto"/>
          <w:highlight w:val="none"/>
        </w:rPr>
        <w:t>特别说明：建筑装饰装修工程施工中，严禁违反设计擅自改动建筑主体、承重结构或主要使用功能，严禁未经、监理及业主确认拆改水、暖、电、燃气、通风等配套设施。装修施工前需根据深化设计图纸进行定位放线。</w:t>
      </w:r>
    </w:p>
    <w:p>
      <w:pPr>
        <w:pStyle w:val="172"/>
        <w:rPr>
          <w:color w:val="auto"/>
          <w:highlight w:val="none"/>
        </w:rPr>
      </w:pPr>
      <w:r>
        <w:rPr>
          <w:color w:val="auto"/>
          <w:highlight w:val="none"/>
        </w:rPr>
        <w:t xml:space="preserve">3.4.1 </w:t>
      </w:r>
      <w:r>
        <w:rPr>
          <w:rFonts w:hint="eastAsia"/>
          <w:color w:val="auto"/>
          <w:highlight w:val="none"/>
        </w:rPr>
        <w:t>地面工程</w:t>
      </w:r>
    </w:p>
    <w:p>
      <w:pPr>
        <w:pStyle w:val="119"/>
        <w:rPr>
          <w:color w:val="auto"/>
          <w:highlight w:val="none"/>
        </w:rPr>
      </w:pPr>
      <w:r>
        <w:rPr>
          <w:color w:val="auto"/>
          <w:highlight w:val="none"/>
        </w:rPr>
        <w:t xml:space="preserve">3.4.1.1 </w:t>
      </w:r>
      <w:r>
        <w:rPr>
          <w:rFonts w:hint="eastAsia"/>
          <w:color w:val="auto"/>
          <w:highlight w:val="none"/>
        </w:rPr>
        <w:t>整体面层施工技术要求</w:t>
      </w:r>
    </w:p>
    <w:p>
      <w:pPr>
        <w:pStyle w:val="217"/>
        <w:rPr>
          <w:color w:val="auto"/>
          <w:highlight w:val="none"/>
        </w:rPr>
      </w:pPr>
      <w:r>
        <w:rPr>
          <w:color w:val="auto"/>
          <w:highlight w:val="none"/>
        </w:rPr>
        <w:t>1.</w:t>
      </w:r>
      <w:r>
        <w:rPr>
          <w:rFonts w:hint="eastAsia"/>
          <w:color w:val="auto"/>
          <w:highlight w:val="none"/>
        </w:rPr>
        <w:t>细石混凝土面层：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）根据面层水平标高线，横竖拉线，用相同配合比的细石混凝土做标筋，必须采取措施保证面层与结构层的连接。</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）细石混凝土按灰饼和标筋高度浇铺后，刮平，用铁抹抹平、压光。面层抹压完</w:t>
      </w:r>
      <w:r>
        <w:rPr>
          <w:color w:val="auto"/>
          <w:highlight w:val="none"/>
        </w:rPr>
        <w:t>24h</w:t>
      </w:r>
      <w:r>
        <w:rPr>
          <w:rFonts w:hint="eastAsia"/>
          <w:color w:val="auto"/>
          <w:highlight w:val="none"/>
        </w:rPr>
        <w:t>后，进行浇水养护。养护期间，面层严禁上人和使用。</w:t>
      </w:r>
    </w:p>
    <w:p>
      <w:pPr>
        <w:pStyle w:val="217"/>
        <w:rPr>
          <w:color w:val="auto"/>
          <w:highlight w:val="none"/>
        </w:rPr>
      </w:pPr>
      <w:r>
        <w:rPr>
          <w:color w:val="auto"/>
          <w:highlight w:val="none"/>
        </w:rPr>
        <w:t>2.</w:t>
      </w:r>
      <w:r>
        <w:rPr>
          <w:rFonts w:hint="eastAsia"/>
          <w:color w:val="auto"/>
          <w:highlight w:val="none"/>
        </w:rPr>
        <w:t>水泥砂浆面层：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）施工应在地面（楼面）的垫层做完以及墙、顶抹灰做完后进行。</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）施工前，要求预埋在地面内的各种管线已安装固定，所有孔洞已用细石混凝土灌实，地漏和排水口已采取临时封堵，门框安装完毕以及墙面水平标高线已弹好。</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）基层需要清理干净并洒水湿润。必须采取措施保证面层与结构层的连接，并进行养护。</w:t>
      </w:r>
    </w:p>
    <w:p>
      <w:pPr>
        <w:pStyle w:val="217"/>
        <w:rPr>
          <w:color w:val="auto"/>
          <w:highlight w:val="none"/>
        </w:rPr>
      </w:pPr>
      <w:r>
        <w:rPr>
          <w:color w:val="auto"/>
          <w:highlight w:val="none"/>
        </w:rPr>
        <w:t>3.</w:t>
      </w:r>
      <w:r>
        <w:rPr>
          <w:rFonts w:hint="eastAsia"/>
          <w:color w:val="auto"/>
          <w:highlight w:val="none"/>
        </w:rPr>
        <w:t>水泥砂浆防水面层：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）分层铺抹或喷涂，铺抹时应压实、抹平，最后一层表面应提浆压光。</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）防水层各层应紧密贴合，每层就尽量连续施工，必须留施工缝时应采用阶梯坡形槎，但离开阴阳角处不得小于</w:t>
      </w:r>
      <w:r>
        <w:rPr>
          <w:color w:val="auto"/>
          <w:highlight w:val="none"/>
        </w:rPr>
        <w:t>200mm</w:t>
      </w:r>
      <w:r>
        <w:rPr>
          <w:rFonts w:hint="eastAsia"/>
          <w:color w:val="auto"/>
          <w:highlight w:val="none"/>
        </w:rPr>
        <w:t>；施工缝的接茬应依层次顺序操作，层层搭接紧密。</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）防水层的阴阳角处应做成圆弧形。</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）水泥砂浆防水层不宜在雨天及</w:t>
      </w:r>
      <w:r>
        <w:rPr>
          <w:color w:val="auto"/>
          <w:highlight w:val="none"/>
        </w:rPr>
        <w:t>5</w:t>
      </w:r>
      <w:r>
        <w:rPr>
          <w:rFonts w:hint="eastAsia"/>
          <w:color w:val="auto"/>
          <w:highlight w:val="none"/>
        </w:rPr>
        <w:t>级以上大风中施工。冬季施工时，气温不应低于</w:t>
      </w:r>
      <w:r>
        <w:rPr>
          <w:color w:val="auto"/>
          <w:highlight w:val="none"/>
        </w:rPr>
        <w:t>5</w:t>
      </w:r>
      <w:r>
        <w:rPr>
          <w:rFonts w:hint="eastAsia"/>
          <w:color w:val="auto"/>
          <w:highlight w:val="none"/>
        </w:rPr>
        <w:t>℃，且基层表面温度应保持</w:t>
      </w:r>
      <w:r>
        <w:rPr>
          <w:color w:val="auto"/>
          <w:highlight w:val="none"/>
        </w:rPr>
        <w:t>0</w:t>
      </w:r>
      <w:r>
        <w:rPr>
          <w:rFonts w:hint="eastAsia"/>
          <w:color w:val="auto"/>
          <w:highlight w:val="none"/>
        </w:rPr>
        <w:t>℃以上。夏季施工时，掺用氯化物金属盐类防水剂的防水砂浆施工时，不应在</w:t>
      </w:r>
      <w:r>
        <w:rPr>
          <w:color w:val="auto"/>
          <w:highlight w:val="none"/>
        </w:rPr>
        <w:t>35</w:t>
      </w:r>
      <w:r>
        <w:rPr>
          <w:rFonts w:hint="eastAsia"/>
          <w:color w:val="auto"/>
          <w:highlight w:val="none"/>
        </w:rPr>
        <w:t>℃以上或烈日照射下施工。否则应采取防冻、降温、挡风、防雨等措施。</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）为了防止离析、凝固，以保证砂浆的和易性，砂浆的最大存放时间不宜过长。聚合物水泥砂浆拌合物应在</w:t>
      </w:r>
      <w:r>
        <w:rPr>
          <w:color w:val="auto"/>
          <w:highlight w:val="none"/>
        </w:rPr>
        <w:t>1h</w:t>
      </w:r>
      <w:r>
        <w:rPr>
          <w:rFonts w:hint="eastAsia"/>
          <w:color w:val="auto"/>
          <w:highlight w:val="none"/>
        </w:rPr>
        <w:t>之内用完，且施工中不得任意加水。掺外加剂水泥砂浆防水层均需分两层敷抹，表面层要压光，总厚度不应小于</w:t>
      </w:r>
      <w:r>
        <w:rPr>
          <w:color w:val="auto"/>
          <w:highlight w:val="none"/>
        </w:rPr>
        <w:t>20mm</w:t>
      </w:r>
      <w:r>
        <w:rPr>
          <w:rFonts w:hint="eastAsia"/>
          <w:color w:val="auto"/>
          <w:highlight w:val="none"/>
        </w:rPr>
        <w:t>。</w:t>
      </w:r>
    </w:p>
    <w:p>
      <w:pPr>
        <w:pStyle w:val="119"/>
        <w:rPr>
          <w:color w:val="auto"/>
          <w:highlight w:val="none"/>
        </w:rPr>
      </w:pPr>
      <w:r>
        <w:rPr>
          <w:color w:val="auto"/>
          <w:highlight w:val="none"/>
        </w:rPr>
        <w:t xml:space="preserve">3.4.1.2 </w:t>
      </w:r>
      <w:r>
        <w:rPr>
          <w:rFonts w:hint="eastAsia"/>
          <w:color w:val="auto"/>
          <w:highlight w:val="none"/>
        </w:rPr>
        <w:t>板块面层</w:t>
      </w:r>
      <w:r>
        <w:rPr>
          <w:color w:val="auto"/>
          <w:highlight w:val="none"/>
        </w:rPr>
        <w:t>——</w:t>
      </w:r>
      <w:r>
        <w:rPr>
          <w:rFonts w:hint="eastAsia"/>
          <w:color w:val="auto"/>
          <w:highlight w:val="none"/>
        </w:rPr>
        <w:t>瓷砖</w:t>
      </w:r>
    </w:p>
    <w:p>
      <w:pPr>
        <w:pStyle w:val="217"/>
        <w:rPr>
          <w:color w:val="auto"/>
          <w:highlight w:val="none"/>
        </w:rPr>
      </w:pPr>
      <w:r>
        <w:rPr>
          <w:rFonts w:hint="eastAsia"/>
          <w:color w:val="auto"/>
          <w:highlight w:val="none"/>
        </w:rPr>
        <w:t>板块面层材料应符合现行行业标准的规定，并应符合现行的国家规范质量的规定。用于擦缝的颜料应采用耐光、耐碱颜料的矿物颜料。</w:t>
      </w:r>
    </w:p>
    <w:p>
      <w:pPr>
        <w:pStyle w:val="217"/>
        <w:rPr>
          <w:color w:val="auto"/>
          <w:highlight w:val="none"/>
        </w:rPr>
      </w:pPr>
      <w:r>
        <w:rPr>
          <w:color w:val="auto"/>
          <w:highlight w:val="none"/>
        </w:rPr>
        <w:t>1.</w:t>
      </w:r>
      <w:r>
        <w:rPr>
          <w:rFonts w:hint="eastAsia"/>
          <w:color w:val="auto"/>
          <w:highlight w:val="none"/>
        </w:rPr>
        <w:t>材料要求：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）硅酸盐水泥、普通硅酸盐水泥或矿渣硅酸盐水泥，其强度等级不小于</w:t>
      </w:r>
      <w:r>
        <w:rPr>
          <w:color w:val="auto"/>
          <w:highlight w:val="none"/>
        </w:rPr>
        <w:t>42.5MPa</w:t>
      </w:r>
      <w:r>
        <w:rPr>
          <w:rFonts w:hint="eastAsia"/>
          <w:color w:val="auto"/>
          <w:highlight w:val="none"/>
        </w:rPr>
        <w:t>。硅酸盐白水泥，强度等级不小于</w:t>
      </w:r>
      <w:r>
        <w:rPr>
          <w:color w:val="auto"/>
          <w:highlight w:val="none"/>
        </w:rPr>
        <w:t>42.5MPa</w:t>
      </w:r>
      <w:r>
        <w:rPr>
          <w:rFonts w:hint="eastAsia"/>
          <w:color w:val="auto"/>
          <w:highlight w:val="none"/>
        </w:rPr>
        <w:t>。粗砂或中砂，用时过筛，其含泥量不大于</w:t>
      </w:r>
      <w:r>
        <w:rPr>
          <w:color w:val="auto"/>
          <w:highlight w:val="none"/>
        </w:rPr>
        <w:t>3%</w:t>
      </w:r>
      <w:r>
        <w:rPr>
          <w:rFonts w:hint="eastAsia"/>
          <w:color w:val="auto"/>
          <w:highlight w:val="none"/>
        </w:rPr>
        <w:t>。熟化石灰，磨细生石灰粉熟化</w:t>
      </w:r>
      <w:r>
        <w:rPr>
          <w:color w:val="auto"/>
          <w:highlight w:val="none"/>
        </w:rPr>
        <w:t>48h</w:t>
      </w:r>
      <w:r>
        <w:rPr>
          <w:rFonts w:hint="eastAsia"/>
          <w:color w:val="auto"/>
          <w:highlight w:val="none"/>
        </w:rPr>
        <w:t>后可使用。</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）地砖的选型要按设计图纸选出样品并在现场铺贴样板，经业主认可才进行采购。</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）瓷砖面层的表面应洁净、图案清晰，色泽一致，接缝平整，深浅一致，周边顺直。板块无裂纹、掉角和缺楞等缺陷。所用材料应有出厂合格证，强度和品种不同的板块不得混杂使用。</w:t>
      </w:r>
    </w:p>
    <w:p>
      <w:pPr>
        <w:pStyle w:val="217"/>
        <w:rPr>
          <w:color w:val="auto"/>
          <w:highlight w:val="none"/>
        </w:rPr>
      </w:pPr>
      <w:r>
        <w:rPr>
          <w:color w:val="auto"/>
          <w:highlight w:val="none"/>
        </w:rPr>
        <w:t>2.</w:t>
      </w:r>
      <w:r>
        <w:rPr>
          <w:rFonts w:hint="eastAsia"/>
          <w:color w:val="auto"/>
          <w:highlight w:val="none"/>
        </w:rPr>
        <w:t>板块面层施工技术要求</w:t>
      </w:r>
    </w:p>
    <w:p>
      <w:pPr>
        <w:pStyle w:val="217"/>
        <w:rPr>
          <w:color w:val="auto"/>
          <w:highlight w:val="none"/>
        </w:rPr>
      </w:pPr>
      <w:r>
        <w:rPr>
          <w:rFonts w:hint="eastAsia"/>
          <w:color w:val="auto"/>
          <w:highlight w:val="none"/>
        </w:rPr>
        <w:t>承包人应在地砖地面饰面施工前，组织花纹、颜色的分类和选配、排版工作，以达到同一块地面上地砖饰面具有统一和谐的外观效果。而同一范围内的同类饰面不得出现明显的色泽、纹理不协调和突兀的情况。材料色泽及纹理组合现场观察样板必须经建筑设计师</w:t>
      </w:r>
      <w:r>
        <w:rPr>
          <w:rFonts w:hint="eastAsia"/>
          <w:color w:val="auto"/>
          <w:highlight w:val="none"/>
          <w:lang w:eastAsia="zh-CN"/>
        </w:rPr>
        <w:t>书面</w:t>
      </w:r>
      <w:r>
        <w:rPr>
          <w:rFonts w:hint="eastAsia"/>
          <w:color w:val="auto"/>
          <w:highlight w:val="none"/>
        </w:rPr>
        <w:t>批准后方可施工。</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）砖面层施工前，需确保穿过地面的套管已做完，管洞已堵实，防水层已按设计要求做好并已做好隐检手续，墙面抹灰已做完，水平标高线已弹好。</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）基层面层需要清理并洒水湿润。根据水平标高线，测量并弹出面层标高。根据地砖尺寸在基面上弹地砖铺设基准线。铺设前，对地砖进行挑选并湿润地砖。</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）地砖长边尺寸大于</w:t>
      </w:r>
      <w:r>
        <w:rPr>
          <w:color w:val="auto"/>
          <w:highlight w:val="none"/>
        </w:rPr>
        <w:t>800mm</w:t>
      </w:r>
      <w:r>
        <w:rPr>
          <w:rFonts w:hint="eastAsia"/>
          <w:color w:val="auto"/>
          <w:highlight w:val="none"/>
        </w:rPr>
        <w:t>（含</w:t>
      </w:r>
      <w:r>
        <w:rPr>
          <w:color w:val="auto"/>
          <w:highlight w:val="none"/>
        </w:rPr>
        <w:t>800mm</w:t>
      </w:r>
      <w:r>
        <w:rPr>
          <w:rFonts w:hint="eastAsia"/>
          <w:color w:val="auto"/>
          <w:highlight w:val="none"/>
        </w:rPr>
        <w:t>）须采用泥胶泥进行铺贴。地砖铺设完后需在</w:t>
      </w:r>
      <w:r>
        <w:rPr>
          <w:color w:val="auto"/>
          <w:highlight w:val="none"/>
        </w:rPr>
        <w:t>24</w:t>
      </w:r>
      <w:r>
        <w:rPr>
          <w:rFonts w:hint="eastAsia"/>
          <w:color w:val="auto"/>
          <w:highlight w:val="none"/>
        </w:rPr>
        <w:t>小时之内擦缝，铺设地砖的养护不少于</w:t>
      </w:r>
      <w:r>
        <w:rPr>
          <w:color w:val="auto"/>
          <w:highlight w:val="none"/>
        </w:rPr>
        <w:t>7</w:t>
      </w:r>
      <w:r>
        <w:rPr>
          <w:rFonts w:hint="eastAsia"/>
          <w:color w:val="auto"/>
          <w:highlight w:val="none"/>
        </w:rPr>
        <w:t>天。</w:t>
      </w:r>
    </w:p>
    <w:p>
      <w:pPr>
        <w:pStyle w:val="217"/>
        <w:rPr>
          <w:color w:val="auto"/>
          <w:highlight w:val="none"/>
        </w:rPr>
      </w:pPr>
      <w:r>
        <w:rPr>
          <w:color w:val="auto"/>
          <w:highlight w:val="none"/>
        </w:rPr>
        <w:t>3.</w:t>
      </w:r>
      <w:r>
        <w:rPr>
          <w:rFonts w:hint="eastAsia"/>
          <w:color w:val="auto"/>
          <w:highlight w:val="none"/>
        </w:rPr>
        <w:t>质量检验要求</w:t>
      </w:r>
    </w:p>
    <w:p>
      <w:pPr>
        <w:pStyle w:val="217"/>
        <w:rPr>
          <w:color w:val="auto"/>
          <w:highlight w:val="none"/>
        </w:rPr>
      </w:pPr>
      <w:r>
        <w:rPr>
          <w:rFonts w:hint="eastAsia"/>
          <w:color w:val="auto"/>
          <w:highlight w:val="none"/>
        </w:rPr>
        <w:t>地面平整色泽基本调和，不得有空鼓现象。表面平整≤</w:t>
      </w:r>
      <w:r>
        <w:rPr>
          <w:color w:val="auto"/>
          <w:highlight w:val="none"/>
        </w:rPr>
        <w:t>1mm</w:t>
      </w:r>
      <w:r>
        <w:rPr>
          <w:rFonts w:hint="eastAsia"/>
          <w:color w:val="auto"/>
          <w:highlight w:val="none"/>
        </w:rPr>
        <w:t>（光面），（用</w:t>
      </w:r>
      <w:r>
        <w:rPr>
          <w:color w:val="auto"/>
          <w:highlight w:val="none"/>
        </w:rPr>
        <w:t>2m</w:t>
      </w:r>
      <w:r>
        <w:rPr>
          <w:rFonts w:hint="eastAsia"/>
          <w:color w:val="auto"/>
          <w:highlight w:val="none"/>
        </w:rPr>
        <w:t>靠尺和锲形塞尺检查）</w:t>
      </w:r>
      <w:r>
        <w:rPr>
          <w:color w:val="auto"/>
          <w:highlight w:val="none"/>
        </w:rPr>
        <w:t xml:space="preserve">, </w:t>
      </w:r>
      <w:r>
        <w:rPr>
          <w:rFonts w:hint="eastAsia"/>
          <w:color w:val="auto"/>
          <w:highlight w:val="none"/>
        </w:rPr>
        <w:t>接缝平直≤</w:t>
      </w:r>
      <w:r>
        <w:rPr>
          <w:color w:val="auto"/>
          <w:highlight w:val="none"/>
        </w:rPr>
        <w:t>2mm</w:t>
      </w:r>
      <w:r>
        <w:rPr>
          <w:rFonts w:hint="eastAsia"/>
          <w:color w:val="auto"/>
          <w:highlight w:val="none"/>
        </w:rPr>
        <w:t>（拉</w:t>
      </w:r>
      <w:r>
        <w:rPr>
          <w:color w:val="auto"/>
          <w:highlight w:val="none"/>
        </w:rPr>
        <w:t>5m</w:t>
      </w:r>
      <w:r>
        <w:rPr>
          <w:rFonts w:hint="eastAsia"/>
          <w:color w:val="auto"/>
          <w:highlight w:val="none"/>
        </w:rPr>
        <w:t>线检查</w:t>
      </w:r>
      <w:r>
        <w:rPr>
          <w:color w:val="auto"/>
          <w:highlight w:val="none"/>
        </w:rPr>
        <w:t>,</w:t>
      </w:r>
      <w:r>
        <w:rPr>
          <w:rFonts w:hint="eastAsia"/>
          <w:color w:val="auto"/>
          <w:highlight w:val="none"/>
        </w:rPr>
        <w:t>不足</w:t>
      </w:r>
      <w:r>
        <w:rPr>
          <w:color w:val="auto"/>
          <w:highlight w:val="none"/>
        </w:rPr>
        <w:t>5m</w:t>
      </w:r>
      <w:r>
        <w:rPr>
          <w:rFonts w:hint="eastAsia"/>
          <w:color w:val="auto"/>
          <w:highlight w:val="none"/>
        </w:rPr>
        <w:t>拉通线检查）</w:t>
      </w:r>
      <w:r>
        <w:rPr>
          <w:color w:val="auto"/>
          <w:highlight w:val="none"/>
        </w:rPr>
        <w:t>;</w:t>
      </w:r>
      <w:r>
        <w:rPr>
          <w:rFonts w:hint="eastAsia"/>
          <w:color w:val="auto"/>
          <w:highlight w:val="none"/>
        </w:rPr>
        <w:t>接缝高低≤</w:t>
      </w:r>
      <w:r>
        <w:rPr>
          <w:color w:val="auto"/>
          <w:highlight w:val="none"/>
        </w:rPr>
        <w:t>0.3mm;</w:t>
      </w:r>
      <w:r>
        <w:rPr>
          <w:rFonts w:hint="eastAsia"/>
          <w:color w:val="auto"/>
          <w:highlight w:val="none"/>
        </w:rPr>
        <w:t>接缝宽度≤</w:t>
      </w:r>
      <w:r>
        <w:rPr>
          <w:color w:val="auto"/>
          <w:highlight w:val="none"/>
        </w:rPr>
        <w:t>0.5mm</w:t>
      </w:r>
      <w:r>
        <w:rPr>
          <w:rFonts w:hint="eastAsia"/>
          <w:color w:val="auto"/>
          <w:highlight w:val="none"/>
        </w:rPr>
        <w:t>。</w:t>
      </w:r>
    </w:p>
    <w:p>
      <w:pPr>
        <w:pStyle w:val="217"/>
        <w:rPr>
          <w:color w:val="auto"/>
          <w:highlight w:val="none"/>
        </w:rPr>
      </w:pPr>
      <w:r>
        <w:rPr>
          <w:color w:val="auto"/>
          <w:highlight w:val="none"/>
        </w:rPr>
        <w:t>4.</w:t>
      </w:r>
      <w:r>
        <w:rPr>
          <w:rFonts w:hint="eastAsia"/>
          <w:color w:val="auto"/>
          <w:highlight w:val="none"/>
        </w:rPr>
        <w:t>成品、半成品保护</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）瓷砖摆放在指定的材料堆放处，且分类进行堆放整齐，不得长期受雨淋和水泡，现场搬运时应按要求进行。</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）施工人员应穿软底鞋，并要做到随砌随揩净。</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）铺砌好地面的房间应临时封闭，当必需进入施工时，应在地面上作必要的铺垫保护，要避免重物铁器碰伤或划痕。</w:t>
      </w:r>
    </w:p>
    <w:p>
      <w:pPr>
        <w:pStyle w:val="119"/>
        <w:rPr>
          <w:color w:val="auto"/>
          <w:highlight w:val="none"/>
        </w:rPr>
      </w:pPr>
      <w:r>
        <w:rPr>
          <w:color w:val="auto"/>
          <w:highlight w:val="none"/>
        </w:rPr>
        <w:t>3.4.1.3 PVC</w:t>
      </w:r>
      <w:r>
        <w:rPr>
          <w:rFonts w:hint="eastAsia"/>
          <w:color w:val="auto"/>
          <w:highlight w:val="none"/>
        </w:rPr>
        <w:t>地板</w:t>
      </w:r>
    </w:p>
    <w:p>
      <w:pPr>
        <w:pStyle w:val="217"/>
        <w:rPr>
          <w:color w:val="auto"/>
          <w:highlight w:val="none"/>
        </w:rPr>
      </w:pPr>
      <w:r>
        <w:rPr>
          <w:color w:val="auto"/>
          <w:highlight w:val="none"/>
        </w:rPr>
        <w:t>1.PVC</w:t>
      </w:r>
      <w:r>
        <w:rPr>
          <w:rFonts w:hint="eastAsia"/>
          <w:color w:val="auto"/>
          <w:highlight w:val="none"/>
        </w:rPr>
        <w:t>地板的材料要求</w:t>
      </w:r>
    </w:p>
    <w:p>
      <w:pPr>
        <w:pStyle w:val="217"/>
        <w:rPr>
          <w:color w:val="auto"/>
          <w:highlight w:val="none"/>
        </w:rPr>
      </w:pPr>
      <w:r>
        <w:rPr>
          <w:rFonts w:hint="eastAsia"/>
          <w:color w:val="auto"/>
          <w:highlight w:val="none"/>
        </w:rPr>
        <w:t>承包人必须应在地面饰面施工前，组织花纹、颜色的分类和选配工作，以达到同一面墙或同一块地面上的</w:t>
      </w:r>
      <w:r>
        <w:rPr>
          <w:color w:val="auto"/>
          <w:highlight w:val="none"/>
        </w:rPr>
        <w:t>PVC</w:t>
      </w:r>
      <w:r>
        <w:rPr>
          <w:rFonts w:hint="eastAsia"/>
          <w:color w:val="auto"/>
          <w:highlight w:val="none"/>
        </w:rPr>
        <w:t>卷材铺装饰面具有统一和谐的外观效果；而同一范围内的同类</w:t>
      </w:r>
      <w:r>
        <w:rPr>
          <w:color w:val="auto"/>
          <w:highlight w:val="none"/>
        </w:rPr>
        <w:t>PVC</w:t>
      </w:r>
      <w:r>
        <w:rPr>
          <w:rFonts w:hint="eastAsia"/>
          <w:color w:val="auto"/>
          <w:highlight w:val="none"/>
        </w:rPr>
        <w:t>卷材铺装饰面不得出现明显的色泽、纹理不协调或突兀的情况。</w:t>
      </w:r>
      <w:r>
        <w:rPr>
          <w:color w:val="auto"/>
          <w:highlight w:val="none"/>
        </w:rPr>
        <w:t>PVC</w:t>
      </w:r>
      <w:r>
        <w:rPr>
          <w:rFonts w:hint="eastAsia"/>
          <w:color w:val="auto"/>
          <w:highlight w:val="none"/>
        </w:rPr>
        <w:t>卷材色泽及纹理组合现场观察样板必须经甲方</w:t>
      </w:r>
      <w:r>
        <w:rPr>
          <w:rFonts w:hint="eastAsia"/>
          <w:color w:val="auto"/>
          <w:highlight w:val="none"/>
          <w:lang w:eastAsia="zh-CN"/>
        </w:rPr>
        <w:t>书面</w:t>
      </w:r>
      <w:r>
        <w:rPr>
          <w:rFonts w:hint="eastAsia"/>
          <w:color w:val="auto"/>
          <w:highlight w:val="none"/>
        </w:rPr>
        <w:t>批准才可施工。</w:t>
      </w:r>
    </w:p>
    <w:p>
      <w:pPr>
        <w:pStyle w:val="217"/>
        <w:rPr>
          <w:color w:val="auto"/>
          <w:highlight w:val="none"/>
        </w:rPr>
      </w:pPr>
      <w:r>
        <w:rPr>
          <w:color w:val="auto"/>
          <w:highlight w:val="none"/>
        </w:rPr>
        <w:t>2.PVC</w:t>
      </w:r>
      <w:r>
        <w:rPr>
          <w:rFonts w:hint="eastAsia"/>
          <w:color w:val="auto"/>
          <w:highlight w:val="none"/>
        </w:rPr>
        <w:t>地板的铺装要求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w:t>
      </w:r>
      <w:r>
        <w:rPr>
          <w:color w:val="auto"/>
          <w:highlight w:val="none"/>
        </w:rPr>
        <w:t>PVC</w:t>
      </w:r>
      <w:r>
        <w:rPr>
          <w:rFonts w:hint="eastAsia"/>
          <w:color w:val="auto"/>
          <w:highlight w:val="none"/>
        </w:rPr>
        <w:t>地板铺装前需先进行自流平的施工，自流平的最薄厚度为</w:t>
      </w:r>
      <w:r>
        <w:rPr>
          <w:color w:val="auto"/>
          <w:highlight w:val="none"/>
        </w:rPr>
        <w:t>5</w:t>
      </w:r>
      <w:r>
        <w:rPr>
          <w:rFonts w:hint="eastAsia"/>
          <w:color w:val="auto"/>
          <w:highlight w:val="none"/>
        </w:rPr>
        <w:t>㎜，强度</w:t>
      </w:r>
      <w:r>
        <w:rPr>
          <w:color w:val="auto"/>
          <w:highlight w:val="none"/>
        </w:rPr>
        <w:t>C25</w:t>
      </w:r>
      <w:r>
        <w:rPr>
          <w:rFonts w:hint="eastAsia"/>
          <w:color w:val="auto"/>
          <w:highlight w:val="none"/>
        </w:rPr>
        <w:t>以上；</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w:t>
      </w:r>
      <w:r>
        <w:rPr>
          <w:color w:val="auto"/>
          <w:highlight w:val="none"/>
        </w:rPr>
        <w:t>PVC</w:t>
      </w:r>
      <w:r>
        <w:rPr>
          <w:rFonts w:hint="eastAsia"/>
          <w:color w:val="auto"/>
          <w:highlight w:val="none"/>
        </w:rPr>
        <w:t>地板拼接采用同品质同色焊条焊接，拼接接缝应平直、光滑、粘接牢固，外观无明显色差；</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w:t>
      </w:r>
      <w:r>
        <w:rPr>
          <w:color w:val="auto"/>
          <w:highlight w:val="none"/>
        </w:rPr>
        <w:t>PVC</w:t>
      </w:r>
      <w:r>
        <w:rPr>
          <w:rFonts w:hint="eastAsia"/>
          <w:color w:val="auto"/>
          <w:highlight w:val="none"/>
        </w:rPr>
        <w:t>地板的铺装要求平整、无空鼓、粘接牢固、边缘整齐、无色差等。</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w:t>
      </w:r>
      <w:r>
        <w:rPr>
          <w:color w:val="auto"/>
          <w:highlight w:val="none"/>
        </w:rPr>
        <w:t>PVC</w:t>
      </w:r>
      <w:r>
        <w:rPr>
          <w:rFonts w:hint="eastAsia"/>
          <w:color w:val="auto"/>
          <w:highlight w:val="none"/>
        </w:rPr>
        <w:t>地板踢脚高</w:t>
      </w:r>
      <w:r>
        <w:rPr>
          <w:color w:val="auto"/>
          <w:highlight w:val="none"/>
        </w:rPr>
        <w:t>12cm</w:t>
      </w:r>
      <w:r>
        <w:rPr>
          <w:rFonts w:hint="eastAsia"/>
          <w:color w:val="auto"/>
          <w:highlight w:val="none"/>
        </w:rPr>
        <w:t>，地面与墙面交接处必须圆弧上墙铺装。</w:t>
      </w:r>
      <w:r>
        <w:rPr>
          <w:color w:val="auto"/>
          <w:highlight w:val="none"/>
        </w:rPr>
        <w:t xml:space="preserve"> </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）跨越变形逢处按照变形缝节点处理；踢脚收头采用不锈钢压条；压条外表面与墙面面层平齐，以免积灰；不同材料交接处采用不锈钢压条收头。</w:t>
      </w:r>
    </w:p>
    <w:p>
      <w:pPr>
        <w:pStyle w:val="217"/>
        <w:rPr>
          <w:color w:val="auto"/>
          <w:highlight w:val="none"/>
        </w:rPr>
      </w:pPr>
      <w:r>
        <w:rPr>
          <w:color w:val="auto"/>
          <w:highlight w:val="none"/>
        </w:rPr>
        <w:t>3.PVC</w:t>
      </w:r>
      <w:r>
        <w:rPr>
          <w:rFonts w:hint="eastAsia"/>
          <w:color w:val="auto"/>
          <w:highlight w:val="none"/>
        </w:rPr>
        <w:t>地板配套辅料的要求：（界面剂、自流平、胶水）</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w:t>
      </w:r>
      <w:r>
        <w:rPr>
          <w:color w:val="auto"/>
          <w:highlight w:val="none"/>
        </w:rPr>
        <w:t>PVC</w:t>
      </w:r>
      <w:r>
        <w:rPr>
          <w:rFonts w:hint="eastAsia"/>
          <w:color w:val="auto"/>
          <w:highlight w:val="none"/>
        </w:rPr>
        <w:t>卷材、自流平材料及胶粘剂辅助材料等应符合施工规范要求，对所进场材料必须经监理见证送检合格后方能使用。</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）自流平及胶粘剂辅助材料应符合设计要求的物料比例。</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）样本：投标人应投标时候提供样板，规格尺寸要求为</w:t>
      </w:r>
      <w:r>
        <w:rPr>
          <w:color w:val="auto"/>
          <w:highlight w:val="none"/>
        </w:rPr>
        <w:t>30cm</w:t>
      </w:r>
      <w:r>
        <w:rPr>
          <w:rFonts w:hint="eastAsia"/>
          <w:color w:val="auto"/>
          <w:highlight w:val="none"/>
        </w:rPr>
        <w:t>×</w:t>
      </w:r>
      <w:r>
        <w:rPr>
          <w:color w:val="auto"/>
          <w:highlight w:val="none"/>
        </w:rPr>
        <w:t>30cm</w:t>
      </w:r>
      <w:r>
        <w:rPr>
          <w:rFonts w:hint="eastAsia"/>
          <w:color w:val="auto"/>
          <w:highlight w:val="none"/>
        </w:rPr>
        <w:t>，中标后并按样板采购。</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）保护原有工程：用板块、防尘纸等设备保护原有工程，滴于已饰面的工程上的污物须立刻清除；施工、清理时必须对使用的凿（锤、刀、）子等物品必须小心轻放。</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）清理：机械及工具应确保清洁，不可混有上次使用时留下的杂质。</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）背材的准备</w:t>
      </w:r>
    </w:p>
    <w:p>
      <w:pPr>
        <w:pStyle w:val="217"/>
        <w:rPr>
          <w:color w:val="auto"/>
          <w:highlight w:val="none"/>
        </w:rPr>
      </w:pPr>
      <w:r>
        <w:rPr>
          <w:rFonts w:hint="eastAsia"/>
          <w:color w:val="auto"/>
          <w:highlight w:val="none"/>
        </w:rPr>
        <w:t>由于</w:t>
      </w:r>
      <w:r>
        <w:rPr>
          <w:color w:val="auto"/>
          <w:highlight w:val="none"/>
        </w:rPr>
        <w:t>PVC</w:t>
      </w:r>
      <w:r>
        <w:rPr>
          <w:rFonts w:hint="eastAsia"/>
          <w:color w:val="auto"/>
          <w:highlight w:val="none"/>
        </w:rPr>
        <w:t>卷材粘贴在楼地面层上，对基层找平层、平整度、洁净度、湿度等要求高，为了保证橡胶卷铺贴后的效果，施工前基层地面须具备以下条件：</w:t>
      </w:r>
    </w:p>
    <w:p>
      <w:pPr>
        <w:pStyle w:val="217"/>
        <w:rPr>
          <w:color w:val="auto"/>
          <w:highlight w:val="none"/>
        </w:rPr>
      </w:pPr>
      <w:r>
        <w:rPr>
          <w:color w:val="auto"/>
          <w:highlight w:val="none"/>
        </w:rPr>
        <w:t>1</w:t>
      </w:r>
      <w:r>
        <w:rPr>
          <w:rFonts w:hint="eastAsia"/>
          <w:color w:val="auto"/>
          <w:highlight w:val="none"/>
        </w:rPr>
        <w:t>）</w:t>
      </w:r>
      <w:r>
        <w:rPr>
          <w:color w:val="auto"/>
          <w:highlight w:val="none"/>
        </w:rPr>
        <w:t>PVC</w:t>
      </w:r>
      <w:r>
        <w:rPr>
          <w:rFonts w:hint="eastAsia"/>
          <w:color w:val="auto"/>
          <w:highlight w:val="none"/>
        </w:rPr>
        <w:t>地板属于粘贴型施工方式，地面必须平整光滑、不空鼓起砂、干燥、无油污、无腊液物质等。</w:t>
      </w:r>
    </w:p>
    <w:p>
      <w:pPr>
        <w:pStyle w:val="217"/>
        <w:rPr>
          <w:color w:val="auto"/>
          <w:highlight w:val="none"/>
        </w:rPr>
      </w:pPr>
      <w:r>
        <w:rPr>
          <w:color w:val="auto"/>
          <w:highlight w:val="none"/>
        </w:rPr>
        <w:t>2</w:t>
      </w:r>
      <w:r>
        <w:rPr>
          <w:rFonts w:hint="eastAsia"/>
          <w:color w:val="auto"/>
          <w:highlight w:val="none"/>
        </w:rPr>
        <w:t>）</w:t>
      </w:r>
      <w:r>
        <w:rPr>
          <w:color w:val="auto"/>
          <w:highlight w:val="none"/>
        </w:rPr>
        <w:t>PVC</w:t>
      </w:r>
      <w:r>
        <w:rPr>
          <w:rFonts w:hint="eastAsia"/>
          <w:color w:val="auto"/>
          <w:highlight w:val="none"/>
        </w:rPr>
        <w:t>卷材安装对地面的平整度要求以</w:t>
      </w:r>
      <w:r>
        <w:rPr>
          <w:color w:val="auto"/>
          <w:highlight w:val="none"/>
        </w:rPr>
        <w:t>2m</w:t>
      </w:r>
      <w:r>
        <w:rPr>
          <w:rFonts w:hint="eastAsia"/>
          <w:color w:val="auto"/>
          <w:highlight w:val="none"/>
        </w:rPr>
        <w:t>内高差小于</w:t>
      </w:r>
      <w:r>
        <w:rPr>
          <w:color w:val="auto"/>
          <w:highlight w:val="none"/>
        </w:rPr>
        <w:t>2mm</w:t>
      </w:r>
      <w:r>
        <w:rPr>
          <w:rFonts w:hint="eastAsia"/>
          <w:color w:val="auto"/>
          <w:highlight w:val="none"/>
        </w:rPr>
        <w:t>。</w:t>
      </w:r>
    </w:p>
    <w:p>
      <w:pPr>
        <w:pStyle w:val="217"/>
        <w:rPr>
          <w:color w:val="auto"/>
          <w:highlight w:val="none"/>
        </w:rPr>
      </w:pPr>
      <w:r>
        <w:rPr>
          <w:color w:val="auto"/>
          <w:highlight w:val="none"/>
        </w:rPr>
        <w:t>3</w:t>
      </w:r>
      <w:r>
        <w:rPr>
          <w:rFonts w:hint="eastAsia"/>
          <w:color w:val="auto"/>
          <w:highlight w:val="none"/>
        </w:rPr>
        <w:t>）基层找平后不可有镘刀痕、凹凸不平等痕迹。</w:t>
      </w:r>
    </w:p>
    <w:p>
      <w:pPr>
        <w:pStyle w:val="217"/>
        <w:rPr>
          <w:color w:val="auto"/>
          <w:highlight w:val="none"/>
        </w:rPr>
      </w:pPr>
      <w:r>
        <w:rPr>
          <w:color w:val="auto"/>
          <w:highlight w:val="none"/>
        </w:rPr>
        <w:t>4</w:t>
      </w:r>
      <w:r>
        <w:rPr>
          <w:rFonts w:hint="eastAsia"/>
          <w:color w:val="auto"/>
          <w:highlight w:val="none"/>
        </w:rPr>
        <w:t>）墙角及找平层交界处须平直，不得有凸起现象。</w:t>
      </w:r>
    </w:p>
    <w:p>
      <w:pPr>
        <w:pStyle w:val="217"/>
        <w:rPr>
          <w:color w:val="auto"/>
          <w:highlight w:val="none"/>
        </w:rPr>
      </w:pPr>
      <w:r>
        <w:rPr>
          <w:color w:val="auto"/>
          <w:highlight w:val="none"/>
        </w:rPr>
        <w:t>5</w:t>
      </w:r>
      <w:r>
        <w:rPr>
          <w:rFonts w:hint="eastAsia"/>
          <w:color w:val="auto"/>
          <w:highlight w:val="none"/>
        </w:rPr>
        <w:t>）找平层抗压强度以混凝土回弹仪测试需达到</w:t>
      </w:r>
      <w:r>
        <w:rPr>
          <w:color w:val="auto"/>
          <w:highlight w:val="none"/>
        </w:rPr>
        <w:t>20Mpa</w:t>
      </w:r>
      <w:r>
        <w:rPr>
          <w:rFonts w:hint="eastAsia"/>
          <w:color w:val="auto"/>
          <w:highlight w:val="none"/>
        </w:rPr>
        <w:t>以上。</w:t>
      </w:r>
    </w:p>
    <w:p>
      <w:pPr>
        <w:pStyle w:val="217"/>
        <w:rPr>
          <w:color w:val="auto"/>
          <w:highlight w:val="none"/>
        </w:rPr>
      </w:pPr>
      <w:r>
        <w:rPr>
          <w:color w:val="auto"/>
          <w:highlight w:val="none"/>
        </w:rPr>
        <w:t>6</w:t>
      </w:r>
      <w:r>
        <w:rPr>
          <w:rFonts w:hint="eastAsia"/>
          <w:color w:val="auto"/>
          <w:highlight w:val="none"/>
        </w:rPr>
        <w:t>）地面必须平整。</w:t>
      </w:r>
    </w:p>
    <w:p>
      <w:pPr>
        <w:pStyle w:val="217"/>
        <w:rPr>
          <w:color w:val="auto"/>
          <w:highlight w:val="none"/>
        </w:rPr>
      </w:pPr>
      <w:r>
        <w:rPr>
          <w:color w:val="auto"/>
          <w:highlight w:val="none"/>
        </w:rPr>
        <w:t>7</w:t>
      </w:r>
      <w:r>
        <w:rPr>
          <w:rFonts w:hint="eastAsia"/>
          <w:color w:val="auto"/>
          <w:highlight w:val="none"/>
        </w:rPr>
        <w:t>）含水率的要求小于</w:t>
      </w:r>
      <w:r>
        <w:rPr>
          <w:color w:val="auto"/>
          <w:highlight w:val="none"/>
        </w:rPr>
        <w:t>6%</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7</w:t>
      </w:r>
      <w:r>
        <w:rPr>
          <w:rFonts w:hint="eastAsia"/>
          <w:color w:val="auto"/>
          <w:highlight w:val="none"/>
        </w:rPr>
        <w:t>）保护</w:t>
      </w:r>
    </w:p>
    <w:p>
      <w:pPr>
        <w:pStyle w:val="217"/>
        <w:rPr>
          <w:color w:val="auto"/>
          <w:highlight w:val="none"/>
        </w:rPr>
      </w:pPr>
      <w:r>
        <w:rPr>
          <w:rFonts w:hint="eastAsia"/>
          <w:color w:val="auto"/>
          <w:highlight w:val="none"/>
        </w:rPr>
        <w:t>工程完成前应在完成饰面的地面上铺放保护层，避免出现褪色或损毁的现象发生。不可在完成的饰面地面上，特别是</w:t>
      </w:r>
      <w:r>
        <w:rPr>
          <w:color w:val="auto"/>
          <w:highlight w:val="none"/>
        </w:rPr>
        <w:t>PVC</w:t>
      </w:r>
      <w:r>
        <w:rPr>
          <w:rFonts w:hint="eastAsia"/>
          <w:color w:val="auto"/>
          <w:highlight w:val="none"/>
        </w:rPr>
        <w:t>卷材面，进行污染性工程。当验收工作完成后，并得建筑设计师及监理批准下，承包人须负责清除保护层，并为地面饰面作移交前的最后一次清洁。</w:t>
      </w:r>
    </w:p>
    <w:p>
      <w:pPr>
        <w:pStyle w:val="217"/>
        <w:rPr>
          <w:color w:val="auto"/>
          <w:highlight w:val="none"/>
        </w:rPr>
      </w:pPr>
      <w:r>
        <w:rPr>
          <w:rFonts w:hint="eastAsia"/>
          <w:color w:val="auto"/>
          <w:highlight w:val="none"/>
        </w:rPr>
        <w:t>承包人必须按照饰面材料生产商或供货商的书面指示，清洁材料生产商的书面指示及前述条文的要求来清洁饰面，确保清洁方法及使用清洁剂不会损害或破坏饰面。因不当的清洁方法而引致饰面的损害或破坏，承包人须自费进行补救或更换受损饰面的工作。</w:t>
      </w:r>
    </w:p>
    <w:p>
      <w:pPr>
        <w:pStyle w:val="217"/>
        <w:rPr>
          <w:color w:val="auto"/>
          <w:highlight w:val="none"/>
        </w:rPr>
      </w:pPr>
      <w:r>
        <w:rPr>
          <w:color w:val="auto"/>
          <w:highlight w:val="none"/>
        </w:rPr>
        <w:t>4.</w:t>
      </w:r>
      <w:r>
        <w:rPr>
          <w:rFonts w:hint="eastAsia"/>
          <w:color w:val="auto"/>
          <w:highlight w:val="none"/>
        </w:rPr>
        <w:t>验收与维修</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）本工程施工须按照中国国家施工及验收规范实施。各材料和施工均应严格按照图纸设计进行，在满足设计要求外，更应符合国家和深圳地区之法规、规范要求。</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）本工程主要应采用中国国家规范。如国家规范和深圳地区规范有差异时，除建筑设计师或工程师有特别申明外，承包人应按较严格者为准。</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w:t>
      </w:r>
      <w:r>
        <w:rPr>
          <w:color w:val="auto"/>
          <w:highlight w:val="none"/>
        </w:rPr>
        <w:t>PVC</w:t>
      </w:r>
      <w:r>
        <w:rPr>
          <w:rFonts w:hint="eastAsia"/>
          <w:color w:val="auto"/>
          <w:highlight w:val="none"/>
        </w:rPr>
        <w:t>卷材铺装工作按设计要求及图纸规定的内容执行，承包人应提供包括物料供应、施工及在保修期内免费维修承包范围内工程（按建筑设计师的图纸所指定在本工程内需要负责的区间），以及规定的保修等工作所需的一切劳务及材料。并须负责以下的工作：</w:t>
      </w:r>
    </w:p>
    <w:p>
      <w:pPr>
        <w:pStyle w:val="217"/>
        <w:rPr>
          <w:color w:val="auto"/>
          <w:highlight w:val="none"/>
        </w:rPr>
      </w:pPr>
      <w:r>
        <w:rPr>
          <w:color w:val="auto"/>
          <w:highlight w:val="none"/>
        </w:rPr>
        <w:t>1)</w:t>
      </w:r>
      <w:r>
        <w:rPr>
          <w:rFonts w:hint="eastAsia"/>
          <w:color w:val="auto"/>
          <w:highlight w:val="none"/>
        </w:rPr>
        <w:t>避免由于</w:t>
      </w:r>
      <w:r>
        <w:rPr>
          <w:color w:val="auto"/>
          <w:highlight w:val="none"/>
        </w:rPr>
        <w:t>PVC</w:t>
      </w:r>
      <w:r>
        <w:rPr>
          <w:rFonts w:hint="eastAsia"/>
          <w:color w:val="auto"/>
          <w:highlight w:val="none"/>
        </w:rPr>
        <w:t>卷材铺装工程施工不当而引致其它工程竣工部份污损或对结构构件及建筑物功能产生的不利影响。</w:t>
      </w:r>
    </w:p>
    <w:p>
      <w:pPr>
        <w:pStyle w:val="217"/>
        <w:rPr>
          <w:color w:val="auto"/>
          <w:highlight w:val="none"/>
        </w:rPr>
      </w:pPr>
      <w:r>
        <w:rPr>
          <w:color w:val="auto"/>
          <w:highlight w:val="none"/>
        </w:rPr>
        <w:t>2)</w:t>
      </w:r>
      <w:r>
        <w:rPr>
          <w:rFonts w:hint="eastAsia"/>
          <w:color w:val="auto"/>
          <w:highlight w:val="none"/>
        </w:rPr>
        <w:t>在甲方指定的区间建造样板间。有关材料及操作工艺均以设计要求为标准。竣工的样板间由建筑设计师检验。不合标准的样板间需由承包人自费拆卸及重新修建，直至合格为止。没有建筑设计师或甲方的同意，承包人不得拆卸样板间或移走样板间内任何已经批准的样板。样板间将视为日后品质检验的标准。如有需要，建筑设计师将作细部上的修改。</w:t>
      </w:r>
    </w:p>
    <w:p>
      <w:pPr>
        <w:pStyle w:val="217"/>
        <w:rPr>
          <w:color w:val="auto"/>
          <w:highlight w:val="none"/>
        </w:rPr>
      </w:pPr>
      <w:r>
        <w:rPr>
          <w:color w:val="auto"/>
          <w:highlight w:val="none"/>
        </w:rPr>
        <w:t>3)</w:t>
      </w:r>
      <w:r>
        <w:rPr>
          <w:rFonts w:hint="eastAsia"/>
          <w:color w:val="auto"/>
          <w:highlight w:val="none"/>
        </w:rPr>
        <w:t>承包人必须熟悉各种装饰材料在施工时所需要的环境及卫生条件，并必须提供有关设备使室内环境适合该种装饰材料的施工，务必将装饰工程效果达到施工图和合同要求。</w:t>
      </w:r>
    </w:p>
    <w:p>
      <w:pPr>
        <w:pStyle w:val="217"/>
        <w:rPr>
          <w:color w:val="auto"/>
          <w:highlight w:val="none"/>
        </w:rPr>
      </w:pPr>
      <w:r>
        <w:rPr>
          <w:color w:val="auto"/>
          <w:highlight w:val="none"/>
        </w:rPr>
        <w:t>4)</w:t>
      </w:r>
      <w:r>
        <w:rPr>
          <w:rFonts w:hint="eastAsia"/>
          <w:color w:val="auto"/>
          <w:highlight w:val="none"/>
        </w:rPr>
        <w:t>除了特别所指示或规定的主要物料外，承包人亦须负责工程施工正常进行中所需的一切辅材和设备，以及所需劳务，不论此等辅材和设备有否详列于指定承包人合同文件中。</w:t>
      </w:r>
    </w:p>
    <w:p>
      <w:pPr>
        <w:pStyle w:val="217"/>
        <w:rPr>
          <w:color w:val="auto"/>
          <w:highlight w:val="none"/>
        </w:rPr>
      </w:pPr>
      <w:r>
        <w:rPr>
          <w:color w:val="auto"/>
          <w:highlight w:val="none"/>
        </w:rPr>
        <w:t>5)</w:t>
      </w:r>
      <w:r>
        <w:rPr>
          <w:rFonts w:hint="eastAsia"/>
          <w:color w:val="auto"/>
          <w:highlight w:val="none"/>
        </w:rPr>
        <w:t>在施工期间需要进行经常的清洁工作以及竣工验收前的全部清洁，承包人自行负责清走指定承包人工程的废料。</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）承包人必须在报送物料时一并提交物料的清洁和维修方案，该方案必须是由物料生产厂商提供并盖章确认。承包人在提出竣工验收前，须递交两套包含所有认可物料的清洁和维修方案供业主存档用。</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）工程验收</w:t>
      </w:r>
    </w:p>
    <w:p>
      <w:pPr>
        <w:pStyle w:val="217"/>
        <w:rPr>
          <w:color w:val="auto"/>
          <w:highlight w:val="none"/>
        </w:rPr>
      </w:pPr>
      <w:r>
        <w:rPr>
          <w:color w:val="auto"/>
          <w:highlight w:val="none"/>
        </w:rPr>
        <w:t>1)</w:t>
      </w:r>
      <w:r>
        <w:rPr>
          <w:rFonts w:hint="eastAsia"/>
          <w:color w:val="auto"/>
          <w:highlight w:val="none"/>
        </w:rPr>
        <w:t>检查数量，按有代表性的自然间抽查</w:t>
      </w:r>
      <w:r>
        <w:rPr>
          <w:color w:val="auto"/>
          <w:highlight w:val="none"/>
        </w:rPr>
        <w:t>10%</w:t>
      </w:r>
      <w:r>
        <w:rPr>
          <w:rFonts w:hint="eastAsia"/>
          <w:color w:val="auto"/>
          <w:highlight w:val="none"/>
        </w:rPr>
        <w:t>，过道按</w:t>
      </w:r>
      <w:r>
        <w:rPr>
          <w:color w:val="auto"/>
          <w:highlight w:val="none"/>
        </w:rPr>
        <w:t>10</w:t>
      </w:r>
      <w:r>
        <w:rPr>
          <w:rFonts w:hint="eastAsia"/>
          <w:color w:val="auto"/>
          <w:highlight w:val="none"/>
        </w:rPr>
        <w:t>米延长，大厅等大空间按两轴线为</w:t>
      </w:r>
      <w:r>
        <w:rPr>
          <w:color w:val="auto"/>
          <w:highlight w:val="none"/>
        </w:rPr>
        <w:t>1</w:t>
      </w:r>
      <w:r>
        <w:rPr>
          <w:rFonts w:hint="eastAsia"/>
          <w:color w:val="auto"/>
          <w:highlight w:val="none"/>
        </w:rPr>
        <w:t>间，但不少于</w:t>
      </w:r>
      <w:r>
        <w:rPr>
          <w:color w:val="auto"/>
          <w:highlight w:val="none"/>
        </w:rPr>
        <w:t>3</w:t>
      </w:r>
      <w:r>
        <w:rPr>
          <w:rFonts w:hint="eastAsia"/>
          <w:color w:val="auto"/>
          <w:highlight w:val="none"/>
        </w:rPr>
        <w:t>间。</w:t>
      </w:r>
    </w:p>
    <w:p>
      <w:pPr>
        <w:pStyle w:val="217"/>
        <w:rPr>
          <w:color w:val="auto"/>
          <w:highlight w:val="none"/>
        </w:rPr>
      </w:pPr>
      <w:r>
        <w:rPr>
          <w:color w:val="auto"/>
          <w:highlight w:val="none"/>
        </w:rPr>
        <w:t>2)</w:t>
      </w:r>
      <w:r>
        <w:rPr>
          <w:rFonts w:hint="eastAsia"/>
          <w:color w:val="auto"/>
          <w:highlight w:val="none"/>
        </w:rPr>
        <w:t>检查</w:t>
      </w:r>
      <w:r>
        <w:rPr>
          <w:color w:val="auto"/>
          <w:highlight w:val="none"/>
        </w:rPr>
        <w:t>PVC</w:t>
      </w:r>
      <w:r>
        <w:rPr>
          <w:rFonts w:hint="eastAsia"/>
          <w:color w:val="auto"/>
          <w:highlight w:val="none"/>
        </w:rPr>
        <w:t>卷材铺装工程所用材料的品种、规格、颜色以及基层构造、固定方法等是否符合设计要求。</w:t>
      </w:r>
    </w:p>
    <w:p>
      <w:pPr>
        <w:pStyle w:val="217"/>
        <w:rPr>
          <w:color w:val="auto"/>
          <w:highlight w:val="none"/>
        </w:rPr>
      </w:pPr>
      <w:r>
        <w:rPr>
          <w:color w:val="auto"/>
          <w:highlight w:val="none"/>
        </w:rPr>
        <w:t>3)PVC</w:t>
      </w:r>
      <w:r>
        <w:rPr>
          <w:rFonts w:hint="eastAsia"/>
          <w:color w:val="auto"/>
          <w:highlight w:val="none"/>
        </w:rPr>
        <w:t>卷材铺装表面应平整、不得有污染、拆裂、缺棱掉角、缺陷等，接缝应均匀一致，粘贴的</w:t>
      </w:r>
      <w:r>
        <w:rPr>
          <w:color w:val="auto"/>
          <w:highlight w:val="none"/>
        </w:rPr>
        <w:t>PVC</w:t>
      </w:r>
      <w:r>
        <w:rPr>
          <w:rFonts w:hint="eastAsia"/>
          <w:color w:val="auto"/>
          <w:highlight w:val="none"/>
        </w:rPr>
        <w:t>卷材铺装不得有脱层及创透之处。</w:t>
      </w:r>
    </w:p>
    <w:p>
      <w:pPr>
        <w:pStyle w:val="217"/>
        <w:rPr>
          <w:color w:val="auto"/>
          <w:highlight w:val="none"/>
        </w:rPr>
      </w:pPr>
      <w:r>
        <w:rPr>
          <w:color w:val="auto"/>
          <w:highlight w:val="none"/>
        </w:rPr>
        <w:t>4)</w:t>
      </w:r>
      <w:r>
        <w:rPr>
          <w:rFonts w:hint="eastAsia"/>
          <w:color w:val="auto"/>
          <w:highlight w:val="none"/>
        </w:rPr>
        <w:t>特别提出本工程面积大，对</w:t>
      </w:r>
      <w:r>
        <w:rPr>
          <w:color w:val="auto"/>
          <w:highlight w:val="none"/>
        </w:rPr>
        <w:t>PVC</w:t>
      </w:r>
      <w:r>
        <w:rPr>
          <w:rFonts w:hint="eastAsia"/>
          <w:color w:val="auto"/>
          <w:highlight w:val="none"/>
        </w:rPr>
        <w:t>卷材铺装质量的允许偏差更加严格，承包人应有更有效的方法控制和检验。</w:t>
      </w:r>
    </w:p>
    <w:p>
      <w:pPr>
        <w:pStyle w:val="217"/>
        <w:rPr>
          <w:color w:val="auto"/>
          <w:highlight w:val="none"/>
        </w:rPr>
      </w:pPr>
    </w:p>
    <w:p>
      <w:pPr>
        <w:pStyle w:val="119"/>
        <w:rPr>
          <w:color w:val="auto"/>
          <w:highlight w:val="none"/>
        </w:rPr>
      </w:pPr>
      <w:r>
        <w:rPr>
          <w:color w:val="auto"/>
          <w:highlight w:val="none"/>
        </w:rPr>
        <w:t xml:space="preserve">3.4.1.4 </w:t>
      </w:r>
      <w:r>
        <w:rPr>
          <w:rFonts w:hint="eastAsia"/>
          <w:color w:val="auto"/>
          <w:highlight w:val="none"/>
        </w:rPr>
        <w:t>地毯楼面</w:t>
      </w:r>
      <w:r>
        <w:rPr>
          <w:color w:val="auto"/>
          <w:highlight w:val="none"/>
        </w:rPr>
        <w:t xml:space="preserve"> </w:t>
      </w:r>
    </w:p>
    <w:p>
      <w:pPr>
        <w:pStyle w:val="217"/>
        <w:rPr>
          <w:color w:val="auto"/>
          <w:highlight w:val="none"/>
        </w:rPr>
      </w:pPr>
      <w:r>
        <w:rPr>
          <w:rFonts w:hint="eastAsia"/>
          <w:color w:val="auto"/>
          <w:highlight w:val="none"/>
        </w:rPr>
        <w:t>地毯楼面构造做法以设计图纸为准。</w:t>
      </w:r>
    </w:p>
    <w:p>
      <w:pPr>
        <w:pStyle w:val="217"/>
        <w:rPr>
          <w:color w:val="auto"/>
          <w:highlight w:val="none"/>
        </w:rPr>
      </w:pPr>
      <w:r>
        <w:rPr>
          <w:color w:val="auto"/>
          <w:highlight w:val="none"/>
        </w:rPr>
        <w:t>1.</w:t>
      </w:r>
      <w:r>
        <w:rPr>
          <w:rFonts w:hint="eastAsia"/>
          <w:color w:val="auto"/>
          <w:highlight w:val="none"/>
        </w:rPr>
        <w:t>基层处理：</w:t>
      </w:r>
    </w:p>
    <w:p>
      <w:pPr>
        <w:pStyle w:val="217"/>
        <w:rPr>
          <w:color w:val="auto"/>
          <w:highlight w:val="none"/>
        </w:rPr>
      </w:pPr>
      <w:r>
        <w:rPr>
          <w:rFonts w:hint="eastAsia"/>
          <w:color w:val="auto"/>
          <w:highlight w:val="none"/>
        </w:rPr>
        <w:t>基层处理非常关键，应先对基层进行初步清理，以清除灰尘、垃圾及其他污染物，然后整个地面采用大功率进口喷砂机进行喷砂处理，除去基层表面的浮浆层，以形成微糙面来提供与后续涂层的附着力。</w:t>
      </w:r>
    </w:p>
    <w:p>
      <w:pPr>
        <w:pStyle w:val="217"/>
        <w:rPr>
          <w:color w:val="auto"/>
          <w:highlight w:val="none"/>
        </w:rPr>
      </w:pPr>
      <w:r>
        <w:rPr>
          <w:color w:val="auto"/>
          <w:highlight w:val="none"/>
        </w:rPr>
        <w:t>2.</w:t>
      </w:r>
      <w:r>
        <w:rPr>
          <w:rFonts w:hint="eastAsia"/>
          <w:color w:val="auto"/>
          <w:highlight w:val="none"/>
        </w:rPr>
        <w:t>施工底漆</w:t>
      </w:r>
    </w:p>
    <w:p>
      <w:pPr>
        <w:pStyle w:val="217"/>
        <w:rPr>
          <w:color w:val="auto"/>
          <w:highlight w:val="none"/>
        </w:rPr>
      </w:pPr>
      <w:r>
        <w:rPr>
          <w:rFonts w:hint="eastAsia"/>
          <w:color w:val="auto"/>
          <w:highlight w:val="none"/>
        </w:rPr>
        <w:t>采用滚筒或刮板施工无溶剂底漆环氧树脂，底漆固化后，使用环氧砂浆找补地面上的划痕、孔洞、破损等缺陷。</w:t>
      </w:r>
    </w:p>
    <w:p>
      <w:pPr>
        <w:pStyle w:val="217"/>
        <w:rPr>
          <w:color w:val="auto"/>
          <w:highlight w:val="none"/>
        </w:rPr>
      </w:pPr>
      <w:r>
        <w:rPr>
          <w:color w:val="auto"/>
          <w:highlight w:val="none"/>
        </w:rPr>
        <w:t>3.</w:t>
      </w:r>
      <w:r>
        <w:rPr>
          <w:rFonts w:hint="eastAsia"/>
          <w:color w:val="auto"/>
          <w:highlight w:val="none"/>
        </w:rPr>
        <w:t>中涂层</w:t>
      </w:r>
    </w:p>
    <w:p>
      <w:pPr>
        <w:pStyle w:val="217"/>
        <w:rPr>
          <w:color w:val="auto"/>
          <w:highlight w:val="none"/>
        </w:rPr>
      </w:pPr>
      <w:r>
        <w:rPr>
          <w:rFonts w:hint="eastAsia"/>
          <w:color w:val="auto"/>
          <w:highlight w:val="none"/>
        </w:rPr>
        <w:t>底漆固化后，采用无溶剂环氧底漆材料对地面进行批刮形成中涂层，此项工作可能需要分几遍完成。</w:t>
      </w:r>
    </w:p>
    <w:p>
      <w:pPr>
        <w:pStyle w:val="217"/>
        <w:rPr>
          <w:color w:val="auto"/>
          <w:highlight w:val="none"/>
        </w:rPr>
      </w:pPr>
      <w:r>
        <w:rPr>
          <w:color w:val="auto"/>
          <w:highlight w:val="none"/>
        </w:rPr>
        <w:t>4.</w:t>
      </w:r>
      <w:r>
        <w:rPr>
          <w:rFonts w:hint="eastAsia"/>
          <w:color w:val="auto"/>
          <w:highlight w:val="none"/>
        </w:rPr>
        <w:t>自流平面层</w:t>
      </w:r>
    </w:p>
    <w:p>
      <w:pPr>
        <w:pStyle w:val="217"/>
        <w:rPr>
          <w:color w:val="auto"/>
          <w:highlight w:val="none"/>
        </w:rPr>
      </w:pPr>
      <w:r>
        <w:rPr>
          <w:rFonts w:hint="eastAsia"/>
          <w:color w:val="auto"/>
          <w:highlight w:val="none"/>
        </w:rPr>
        <w:t>中涂层固化后，进一步对地面进行打磨处理，然后使用锯齿刮板施工无溶剂自流平材料，并随即用消泡滚筒消除气泡。</w:t>
      </w:r>
    </w:p>
    <w:p>
      <w:pPr>
        <w:pStyle w:val="217"/>
        <w:rPr>
          <w:color w:val="auto"/>
          <w:highlight w:val="none"/>
        </w:rPr>
      </w:pPr>
      <w:r>
        <w:rPr>
          <w:color w:val="auto"/>
          <w:highlight w:val="none"/>
        </w:rPr>
        <w:t>5.</w:t>
      </w:r>
      <w:r>
        <w:rPr>
          <w:rFonts w:hint="eastAsia"/>
          <w:color w:val="auto"/>
          <w:highlight w:val="none"/>
        </w:rPr>
        <w:t>纹理面层</w:t>
      </w:r>
    </w:p>
    <w:p>
      <w:pPr>
        <w:pStyle w:val="217"/>
        <w:rPr>
          <w:color w:val="auto"/>
          <w:highlight w:val="none"/>
        </w:rPr>
      </w:pPr>
      <w:r>
        <w:rPr>
          <w:rFonts w:hint="eastAsia"/>
          <w:color w:val="auto"/>
          <w:highlight w:val="none"/>
        </w:rPr>
        <w:t>自流平层固化后，将增稠剂加入到无溶剂环氧面漆中并搅拌均匀，将材料倾倒在地上，用批板摊开，然后用纹理滚筒进行滚涂以形成纹理表面面层。</w:t>
      </w:r>
    </w:p>
    <w:p>
      <w:pPr>
        <w:pStyle w:val="217"/>
        <w:rPr>
          <w:color w:val="auto"/>
          <w:highlight w:val="none"/>
        </w:rPr>
      </w:pPr>
      <w:r>
        <w:rPr>
          <w:color w:val="auto"/>
          <w:highlight w:val="none"/>
        </w:rPr>
        <w:t>6.</w:t>
      </w:r>
      <w:r>
        <w:rPr>
          <w:rFonts w:hint="eastAsia"/>
          <w:color w:val="auto"/>
          <w:highlight w:val="none"/>
        </w:rPr>
        <w:t>铺</w:t>
      </w:r>
      <w:r>
        <w:rPr>
          <w:color w:val="auto"/>
          <w:highlight w:val="none"/>
        </w:rPr>
        <w:t>8MM</w:t>
      </w:r>
      <w:r>
        <w:rPr>
          <w:rFonts w:hint="eastAsia"/>
          <w:color w:val="auto"/>
          <w:highlight w:val="none"/>
        </w:rPr>
        <w:t>厚毛毯，毛毯规格应采用整体，并用钢条压边。</w:t>
      </w:r>
    </w:p>
    <w:p>
      <w:pPr>
        <w:pStyle w:val="217"/>
        <w:rPr>
          <w:color w:val="auto"/>
          <w:highlight w:val="none"/>
        </w:rPr>
      </w:pPr>
      <w:r>
        <w:rPr>
          <w:rFonts w:hint="eastAsia"/>
          <w:color w:val="auto"/>
          <w:highlight w:val="none"/>
        </w:rPr>
        <w:t>上述做法应符合设计要求，同时应报发包人、监理</w:t>
      </w:r>
      <w:r>
        <w:rPr>
          <w:rFonts w:hint="eastAsia"/>
          <w:color w:val="auto"/>
          <w:highlight w:val="none"/>
          <w:lang w:eastAsia="zh-CN"/>
        </w:rPr>
        <w:t>书面</w:t>
      </w:r>
      <w:r>
        <w:rPr>
          <w:rFonts w:hint="eastAsia"/>
          <w:color w:val="auto"/>
          <w:highlight w:val="none"/>
        </w:rPr>
        <w:t>批准。</w:t>
      </w:r>
    </w:p>
    <w:p>
      <w:pPr>
        <w:pStyle w:val="119"/>
        <w:rPr>
          <w:color w:val="auto"/>
          <w:highlight w:val="none"/>
        </w:rPr>
      </w:pPr>
      <w:r>
        <w:rPr>
          <w:color w:val="auto"/>
          <w:highlight w:val="none"/>
        </w:rPr>
        <w:t xml:space="preserve">3.4.1.5 </w:t>
      </w:r>
      <w:r>
        <w:rPr>
          <w:rFonts w:hint="eastAsia"/>
          <w:color w:val="auto"/>
          <w:highlight w:val="none"/>
        </w:rPr>
        <w:t>防静电环氧地面漆楼面</w:t>
      </w:r>
    </w:p>
    <w:p>
      <w:pPr>
        <w:pStyle w:val="217"/>
        <w:rPr>
          <w:color w:val="auto"/>
          <w:highlight w:val="none"/>
        </w:rPr>
      </w:pPr>
      <w:r>
        <w:rPr>
          <w:rFonts w:hint="eastAsia"/>
          <w:color w:val="auto"/>
          <w:highlight w:val="none"/>
        </w:rPr>
        <w:t>防静电环氧地面漆楼面构造做法以设计图纸为准。</w:t>
      </w:r>
    </w:p>
    <w:p>
      <w:pPr>
        <w:pStyle w:val="217"/>
        <w:rPr>
          <w:color w:val="auto"/>
          <w:highlight w:val="none"/>
        </w:rPr>
      </w:pPr>
      <w:r>
        <w:rPr>
          <w:color w:val="auto"/>
          <w:highlight w:val="none"/>
        </w:rPr>
        <w:t>1.</w:t>
      </w:r>
      <w:r>
        <w:rPr>
          <w:rFonts w:hint="eastAsia"/>
          <w:color w:val="auto"/>
          <w:highlight w:val="none"/>
        </w:rPr>
        <w:t>基层处理：基层处理非常关键，应先对基层进行初步清理，以清除灰尘、垃圾及其他污染物，然后整个地面采用大功率进口喷砂机进行喷砂处理，除去基层表面的浮浆层，以形成微糙面来提供与后续涂层的附着力。</w:t>
      </w:r>
    </w:p>
    <w:p>
      <w:pPr>
        <w:pStyle w:val="217"/>
        <w:rPr>
          <w:color w:val="auto"/>
          <w:highlight w:val="none"/>
        </w:rPr>
      </w:pPr>
      <w:r>
        <w:rPr>
          <w:color w:val="auto"/>
          <w:highlight w:val="none"/>
        </w:rPr>
        <w:t>2.</w:t>
      </w:r>
      <w:r>
        <w:rPr>
          <w:rFonts w:hint="eastAsia"/>
          <w:color w:val="auto"/>
          <w:highlight w:val="none"/>
        </w:rPr>
        <w:t>施工底漆：采用滚筒或刮板施工无溶剂底漆环氧树脂，底漆固化后，使用环氧砂浆找补地面上的划痕、孔洞、破损等缺陷。</w:t>
      </w:r>
    </w:p>
    <w:p>
      <w:pPr>
        <w:pStyle w:val="217"/>
        <w:rPr>
          <w:color w:val="auto"/>
          <w:highlight w:val="none"/>
        </w:rPr>
      </w:pPr>
      <w:r>
        <w:rPr>
          <w:color w:val="auto"/>
          <w:highlight w:val="none"/>
        </w:rPr>
        <w:t>3.</w:t>
      </w:r>
      <w:r>
        <w:rPr>
          <w:rFonts w:hint="eastAsia"/>
          <w:color w:val="auto"/>
          <w:highlight w:val="none"/>
        </w:rPr>
        <w:t>中涂层</w:t>
      </w:r>
      <w:r>
        <w:rPr>
          <w:color w:val="auto"/>
          <w:highlight w:val="none"/>
        </w:rPr>
        <w:t>:</w:t>
      </w:r>
      <w:r>
        <w:rPr>
          <w:rFonts w:hint="eastAsia"/>
          <w:color w:val="auto"/>
          <w:highlight w:val="none"/>
        </w:rPr>
        <w:t>底漆固化后，采用无溶剂环氧底漆材料对地面进行批刮形成中涂层，此项工作可能需要分几遍完成。厚度</w:t>
      </w:r>
      <w:r>
        <w:rPr>
          <w:color w:val="auto"/>
          <w:highlight w:val="none"/>
        </w:rPr>
        <w:t>1mm</w:t>
      </w:r>
      <w:r>
        <w:rPr>
          <w:rFonts w:hint="eastAsia"/>
          <w:color w:val="auto"/>
          <w:highlight w:val="none"/>
        </w:rPr>
        <w:t>。</w:t>
      </w:r>
    </w:p>
    <w:p>
      <w:pPr>
        <w:pStyle w:val="217"/>
        <w:rPr>
          <w:color w:val="auto"/>
          <w:highlight w:val="none"/>
        </w:rPr>
      </w:pPr>
      <w:r>
        <w:rPr>
          <w:color w:val="auto"/>
          <w:highlight w:val="none"/>
        </w:rPr>
        <w:t>4.</w:t>
      </w:r>
      <w:r>
        <w:rPr>
          <w:rFonts w:hint="eastAsia"/>
          <w:color w:val="auto"/>
          <w:highlight w:val="none"/>
        </w:rPr>
        <w:t>自流平面层</w:t>
      </w:r>
      <w:r>
        <w:rPr>
          <w:color w:val="auto"/>
          <w:highlight w:val="none"/>
        </w:rPr>
        <w:t>:</w:t>
      </w:r>
      <w:r>
        <w:rPr>
          <w:rFonts w:hint="eastAsia"/>
          <w:color w:val="auto"/>
          <w:highlight w:val="none"/>
        </w:rPr>
        <w:t>中涂层固化后，进一步对地面进行打磨处理，然后使用锯齿刮板施工无溶剂自流平材料，并随即用消泡滚筒消除气泡。厚度</w:t>
      </w:r>
      <w:r>
        <w:rPr>
          <w:color w:val="auto"/>
          <w:highlight w:val="none"/>
        </w:rPr>
        <w:t>0.7mm</w:t>
      </w:r>
      <w:r>
        <w:rPr>
          <w:rFonts w:hint="eastAsia"/>
          <w:color w:val="auto"/>
          <w:highlight w:val="none"/>
        </w:rPr>
        <w:t>。</w:t>
      </w:r>
    </w:p>
    <w:p>
      <w:pPr>
        <w:pStyle w:val="217"/>
        <w:rPr>
          <w:color w:val="auto"/>
          <w:highlight w:val="none"/>
        </w:rPr>
      </w:pPr>
      <w:r>
        <w:rPr>
          <w:color w:val="auto"/>
          <w:highlight w:val="none"/>
        </w:rPr>
        <w:t>5.</w:t>
      </w:r>
      <w:r>
        <w:rPr>
          <w:rFonts w:hint="eastAsia"/>
          <w:color w:val="auto"/>
          <w:highlight w:val="none"/>
        </w:rPr>
        <w:t>纹理面层</w:t>
      </w:r>
      <w:r>
        <w:rPr>
          <w:color w:val="auto"/>
          <w:highlight w:val="none"/>
        </w:rPr>
        <w:t xml:space="preserve">: </w:t>
      </w:r>
      <w:r>
        <w:rPr>
          <w:rFonts w:hint="eastAsia"/>
          <w:color w:val="auto"/>
          <w:highlight w:val="none"/>
        </w:rPr>
        <w:t>自流平层固化后，将增稠剂加入到无溶剂环氧面漆中并搅拌均匀，将材料倾倒在地上，用批板摊开，然后用纹理滚筒进行滚涂以形成纹理表面面层。厚度</w:t>
      </w:r>
      <w:r>
        <w:rPr>
          <w:color w:val="auto"/>
          <w:highlight w:val="none"/>
        </w:rPr>
        <w:t>0.3mm</w:t>
      </w:r>
      <w:r>
        <w:rPr>
          <w:rFonts w:hint="eastAsia"/>
          <w:color w:val="auto"/>
          <w:highlight w:val="none"/>
        </w:rPr>
        <w:t>。</w:t>
      </w:r>
    </w:p>
    <w:p>
      <w:pPr>
        <w:pStyle w:val="217"/>
        <w:rPr>
          <w:color w:val="auto"/>
          <w:highlight w:val="none"/>
        </w:rPr>
      </w:pPr>
      <w:r>
        <w:rPr>
          <w:rFonts w:hint="eastAsia"/>
          <w:color w:val="auto"/>
          <w:highlight w:val="none"/>
        </w:rPr>
        <w:t>上述做法应符合设计要求，同时应报发包人、监理</w:t>
      </w:r>
      <w:r>
        <w:rPr>
          <w:rFonts w:hint="eastAsia"/>
          <w:color w:val="auto"/>
          <w:highlight w:val="none"/>
          <w:lang w:eastAsia="zh-CN"/>
        </w:rPr>
        <w:t>书面</w:t>
      </w:r>
      <w:r>
        <w:rPr>
          <w:rFonts w:hint="eastAsia"/>
          <w:color w:val="auto"/>
          <w:highlight w:val="none"/>
        </w:rPr>
        <w:t>批准。</w:t>
      </w:r>
    </w:p>
    <w:p>
      <w:pPr>
        <w:pStyle w:val="172"/>
        <w:rPr>
          <w:color w:val="auto"/>
          <w:highlight w:val="none"/>
        </w:rPr>
      </w:pPr>
      <w:r>
        <w:rPr>
          <w:color w:val="auto"/>
          <w:highlight w:val="none"/>
        </w:rPr>
        <w:t xml:space="preserve">3.4.2 </w:t>
      </w:r>
      <w:r>
        <w:rPr>
          <w:rFonts w:hint="eastAsia"/>
          <w:color w:val="auto"/>
          <w:highlight w:val="none"/>
        </w:rPr>
        <w:t>墙面工程</w:t>
      </w:r>
    </w:p>
    <w:p>
      <w:pPr>
        <w:pStyle w:val="217"/>
        <w:rPr>
          <w:color w:val="auto"/>
          <w:highlight w:val="none"/>
        </w:rPr>
      </w:pPr>
      <w:r>
        <w:rPr>
          <w:rFonts w:hint="eastAsia"/>
          <w:color w:val="auto"/>
          <w:highlight w:val="none"/>
        </w:rPr>
        <w:t>以下仅为一般抹灰技术要求。</w:t>
      </w:r>
    </w:p>
    <w:p>
      <w:pPr>
        <w:pStyle w:val="119"/>
        <w:rPr>
          <w:color w:val="auto"/>
          <w:highlight w:val="none"/>
        </w:rPr>
      </w:pPr>
      <w:r>
        <w:rPr>
          <w:color w:val="auto"/>
          <w:highlight w:val="none"/>
        </w:rPr>
        <w:t xml:space="preserve">3.4.2.1 </w:t>
      </w:r>
      <w:r>
        <w:rPr>
          <w:rFonts w:hint="eastAsia"/>
          <w:color w:val="auto"/>
          <w:highlight w:val="none"/>
        </w:rPr>
        <w:t>抹灰工程</w:t>
      </w:r>
    </w:p>
    <w:p>
      <w:pPr>
        <w:pStyle w:val="217"/>
        <w:rPr>
          <w:color w:val="auto"/>
          <w:highlight w:val="none"/>
        </w:rPr>
      </w:pPr>
      <w:r>
        <w:rPr>
          <w:color w:val="auto"/>
          <w:highlight w:val="none"/>
        </w:rPr>
        <w:t>1.</w:t>
      </w:r>
      <w:r>
        <w:rPr>
          <w:rFonts w:hint="eastAsia"/>
          <w:color w:val="auto"/>
          <w:highlight w:val="none"/>
        </w:rPr>
        <w:t>施工条件准备</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）内墙抹灰应在上层楼面已经完成，不渗不漏时开始施工。</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）抹灰前应检查门、窗框位置是否正确，与墙连接是否牢固。隔墙、暗装的管道、电线管和予埋件是否符合要求。</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）基层处理应符合以下规定：</w:t>
      </w:r>
    </w:p>
    <w:p>
      <w:pPr>
        <w:pStyle w:val="217"/>
        <w:rPr>
          <w:color w:val="auto"/>
          <w:highlight w:val="none"/>
        </w:rPr>
      </w:pPr>
      <w:r>
        <w:rPr>
          <w:color w:val="auto"/>
          <w:highlight w:val="none"/>
        </w:rPr>
        <w:t>1</w:t>
      </w:r>
      <w:r>
        <w:rPr>
          <w:rFonts w:hint="eastAsia"/>
          <w:color w:val="auto"/>
          <w:highlight w:val="none"/>
        </w:rPr>
        <w:t>）砖砌体，应清除表面杂物、尘土、抹灰前应洒水湿润。</w:t>
      </w:r>
    </w:p>
    <w:p>
      <w:pPr>
        <w:pStyle w:val="217"/>
        <w:rPr>
          <w:color w:val="auto"/>
          <w:highlight w:val="none"/>
        </w:rPr>
      </w:pPr>
      <w:r>
        <w:rPr>
          <w:color w:val="auto"/>
          <w:highlight w:val="none"/>
        </w:rPr>
        <w:t>2</w:t>
      </w:r>
      <w:r>
        <w:rPr>
          <w:rFonts w:hint="eastAsia"/>
          <w:color w:val="auto"/>
          <w:highlight w:val="none"/>
        </w:rPr>
        <w:t>）混凝土，表面应凿毛或在表面洒水湿润后涂刷</w:t>
      </w:r>
      <w:r>
        <w:rPr>
          <w:color w:val="auto"/>
          <w:highlight w:val="none"/>
        </w:rPr>
        <w:t>1</w:t>
      </w:r>
      <w:r>
        <w:rPr>
          <w:rFonts w:hint="eastAsia"/>
          <w:color w:val="auto"/>
          <w:highlight w:val="none"/>
        </w:rPr>
        <w:t>：</w:t>
      </w:r>
      <w:r>
        <w:rPr>
          <w:color w:val="auto"/>
          <w:highlight w:val="none"/>
        </w:rPr>
        <w:t>1</w:t>
      </w:r>
      <w:r>
        <w:rPr>
          <w:rFonts w:hint="eastAsia"/>
          <w:color w:val="auto"/>
          <w:highlight w:val="none"/>
        </w:rPr>
        <w:t>水泥砂浆。</w:t>
      </w:r>
    </w:p>
    <w:p>
      <w:pPr>
        <w:pStyle w:val="217"/>
        <w:rPr>
          <w:color w:val="auto"/>
          <w:highlight w:val="none"/>
        </w:rPr>
      </w:pPr>
      <w:r>
        <w:rPr>
          <w:color w:val="auto"/>
          <w:highlight w:val="none"/>
        </w:rPr>
        <w:t>3</w:t>
      </w:r>
      <w:r>
        <w:rPr>
          <w:rFonts w:hint="eastAsia"/>
          <w:color w:val="auto"/>
          <w:highlight w:val="none"/>
        </w:rPr>
        <w:t>）门窗框和墙之间的缝隙采用弹性材料嵌填密实，墙面的脚手孔洞、管道的穿墙洞、凿墙安装管道留下的凹槽等要用水泥砂浆堵严。</w:t>
      </w:r>
    </w:p>
    <w:p>
      <w:pPr>
        <w:pStyle w:val="217"/>
        <w:rPr>
          <w:color w:val="auto"/>
          <w:highlight w:val="none"/>
        </w:rPr>
      </w:pPr>
      <w:r>
        <w:rPr>
          <w:color w:val="auto"/>
          <w:highlight w:val="none"/>
        </w:rPr>
        <w:t>4</w:t>
      </w:r>
      <w:r>
        <w:rPr>
          <w:rFonts w:hint="eastAsia"/>
          <w:color w:val="auto"/>
          <w:highlight w:val="none"/>
        </w:rPr>
        <w:t>）不同材料基体交接处表面的抹灰应采取防止开裂的加强措施。墙体与混凝土交接的地方要求加订钢丝网，搭接宽度不小于</w:t>
      </w:r>
      <w:r>
        <w:rPr>
          <w:color w:val="auto"/>
          <w:highlight w:val="none"/>
        </w:rPr>
        <w:t>30Omm</w:t>
      </w:r>
      <w:r>
        <w:rPr>
          <w:rFonts w:hint="eastAsia"/>
          <w:color w:val="auto"/>
          <w:highlight w:val="none"/>
        </w:rPr>
        <w:t>。</w:t>
      </w:r>
    </w:p>
    <w:p>
      <w:pPr>
        <w:pStyle w:val="217"/>
        <w:rPr>
          <w:color w:val="auto"/>
          <w:highlight w:val="none"/>
        </w:rPr>
      </w:pPr>
      <w:r>
        <w:rPr>
          <w:color w:val="auto"/>
          <w:highlight w:val="none"/>
        </w:rPr>
        <w:t>2.</w:t>
      </w:r>
      <w:r>
        <w:rPr>
          <w:rFonts w:hint="eastAsia"/>
          <w:color w:val="auto"/>
          <w:highlight w:val="none"/>
        </w:rPr>
        <w:t>一般抹灰施工工艺</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）内墙抹灰工艺流程</w:t>
      </w:r>
    </w:p>
    <w:p>
      <w:pPr>
        <w:pStyle w:val="217"/>
        <w:rPr>
          <w:color w:val="auto"/>
          <w:highlight w:val="none"/>
        </w:rPr>
      </w:pPr>
      <w:r>
        <w:rPr>
          <w:rFonts w:hint="eastAsia"/>
          <w:color w:val="auto"/>
          <w:highlight w:val="none"/>
        </w:rPr>
        <w:t>浇水湿润基层一找规矩、做灰饼一设置标筋一阳角做护角一抹底层灰、中层灰一抹窗台、踢脚板一抹面层灰一清理一验收合格。</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）外墙抹灰工艺流程</w:t>
      </w:r>
    </w:p>
    <w:p>
      <w:pPr>
        <w:pStyle w:val="217"/>
        <w:rPr>
          <w:color w:val="auto"/>
          <w:highlight w:val="none"/>
        </w:rPr>
      </w:pPr>
      <w:r>
        <w:rPr>
          <w:rFonts w:hint="eastAsia"/>
          <w:color w:val="auto"/>
          <w:highlight w:val="none"/>
        </w:rPr>
        <w:t>浇水湿润基层找规矩、做灰饼、标筋</w:t>
      </w:r>
      <w:r>
        <w:rPr>
          <w:color w:val="auto"/>
          <w:highlight w:val="none"/>
        </w:rPr>
        <w:t>—</w:t>
      </w:r>
      <w:r>
        <w:rPr>
          <w:rFonts w:hint="eastAsia"/>
          <w:color w:val="auto"/>
          <w:highlight w:val="none"/>
        </w:rPr>
        <w:t>抹底层灰、中层灰一弹分格线一抹面层灰一起分格条一养护验收合格。</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）顶棚抹灰工艺流程</w:t>
      </w:r>
    </w:p>
    <w:p>
      <w:pPr>
        <w:pStyle w:val="217"/>
        <w:rPr>
          <w:color w:val="auto"/>
          <w:highlight w:val="none"/>
        </w:rPr>
      </w:pPr>
      <w:r>
        <w:rPr>
          <w:rFonts w:hint="eastAsia"/>
          <w:color w:val="auto"/>
          <w:highlight w:val="none"/>
        </w:rPr>
        <w:t>弹水平线一浇水湿润一刷结合层一抹底层灰、中层灰一抹面层灰一验收合格。</w:t>
      </w:r>
    </w:p>
    <w:p>
      <w:pPr>
        <w:pStyle w:val="217"/>
        <w:rPr>
          <w:color w:val="auto"/>
          <w:highlight w:val="none"/>
        </w:rPr>
      </w:pPr>
      <w:r>
        <w:rPr>
          <w:color w:val="auto"/>
          <w:highlight w:val="none"/>
        </w:rPr>
        <w:t>3.</w:t>
      </w:r>
      <w:r>
        <w:rPr>
          <w:rFonts w:hint="eastAsia"/>
          <w:color w:val="auto"/>
          <w:highlight w:val="none"/>
        </w:rPr>
        <w:t>原材料应有质量合格证，进场材料质量应符合要求。砂浆拌制要符合设计要求或施工规范规定。水泥砂浆拌合料应在初凝前使用完毕。装饰工程所用砂浆，采用集中加工和配制（严禁现场搅拌）。砂浆拌合料应均匀，具有良好和易性，一般稠度要求底层灰</w:t>
      </w:r>
      <w:r>
        <w:rPr>
          <w:color w:val="auto"/>
          <w:highlight w:val="none"/>
        </w:rPr>
        <w:t>10—12cm</w:t>
      </w:r>
      <w:r>
        <w:rPr>
          <w:rFonts w:hint="eastAsia"/>
          <w:color w:val="auto"/>
          <w:highlight w:val="none"/>
        </w:rPr>
        <w:t>；中层灰</w:t>
      </w:r>
      <w:r>
        <w:rPr>
          <w:color w:val="auto"/>
          <w:highlight w:val="none"/>
        </w:rPr>
        <w:t>7-9cm</w:t>
      </w:r>
      <w:r>
        <w:rPr>
          <w:rFonts w:hint="eastAsia"/>
          <w:color w:val="auto"/>
          <w:highlight w:val="none"/>
        </w:rPr>
        <w:t>；面层灰</w:t>
      </w:r>
      <w:r>
        <w:rPr>
          <w:color w:val="auto"/>
          <w:highlight w:val="none"/>
        </w:rPr>
        <w:t>7-8cm</w:t>
      </w:r>
      <w:r>
        <w:rPr>
          <w:rFonts w:hint="eastAsia"/>
          <w:color w:val="auto"/>
          <w:highlight w:val="none"/>
        </w:rPr>
        <w:t>。</w:t>
      </w:r>
    </w:p>
    <w:p>
      <w:pPr>
        <w:pStyle w:val="217"/>
        <w:rPr>
          <w:color w:val="auto"/>
          <w:highlight w:val="none"/>
        </w:rPr>
      </w:pPr>
      <w:r>
        <w:rPr>
          <w:color w:val="auto"/>
          <w:highlight w:val="none"/>
        </w:rPr>
        <w:t>4.</w:t>
      </w:r>
      <w:r>
        <w:rPr>
          <w:rFonts w:hint="eastAsia"/>
          <w:color w:val="auto"/>
          <w:highlight w:val="none"/>
        </w:rPr>
        <w:t>加强抹灰施工检查是否符合施工规范要求，主要检查项目有：基底是否处理干净，基底是否湿润，分层抹灰每层厚度是否符号要求，当超过总厚度要求时如何处理，抹灰层总厚度是否符合要求，阳角是否按要求制作护角。</w:t>
      </w:r>
    </w:p>
    <w:p>
      <w:pPr>
        <w:pStyle w:val="217"/>
        <w:rPr>
          <w:color w:val="auto"/>
          <w:highlight w:val="none"/>
        </w:rPr>
      </w:pPr>
      <w:r>
        <w:rPr>
          <w:color w:val="auto"/>
          <w:highlight w:val="none"/>
        </w:rPr>
        <w:t>5.</w:t>
      </w:r>
      <w:r>
        <w:rPr>
          <w:rFonts w:hint="eastAsia"/>
          <w:color w:val="auto"/>
          <w:highlight w:val="none"/>
        </w:rPr>
        <w:t>抹灰应在基体或基层的质量检验合格后，方可施工。木结构与砖石结构、混凝土结构等相接处基体表面的抹灰，应先铺钉金属网，并绷紧牢固。金属网与各基体的搭接宽度不应小于</w:t>
      </w:r>
      <w:r>
        <w:rPr>
          <w:color w:val="auto"/>
          <w:highlight w:val="none"/>
        </w:rPr>
        <w:t>l5Omm</w:t>
      </w:r>
      <w:r>
        <w:rPr>
          <w:rFonts w:hint="eastAsia"/>
          <w:color w:val="auto"/>
          <w:highlight w:val="none"/>
        </w:rPr>
        <w:t>。如金属网做抹灰基体时必须钉结牢固，钉平。接头在骨架主筋上，不得有翘边。</w:t>
      </w:r>
    </w:p>
    <w:p>
      <w:pPr>
        <w:pStyle w:val="217"/>
        <w:rPr>
          <w:color w:val="auto"/>
          <w:highlight w:val="none"/>
        </w:rPr>
      </w:pPr>
      <w:r>
        <w:rPr>
          <w:color w:val="auto"/>
          <w:highlight w:val="none"/>
        </w:rPr>
        <w:t>6.</w:t>
      </w:r>
      <w:r>
        <w:rPr>
          <w:rFonts w:hint="eastAsia"/>
          <w:color w:val="auto"/>
          <w:highlight w:val="none"/>
        </w:rPr>
        <w:t>浇水润墙是为了确保灰砂浆与基层表面粘结牢固，防止抹灰空鼓、裂缝、脱落等质量通病，在抹灰前必须对墙体浇水湿润。</w:t>
      </w:r>
    </w:p>
    <w:p>
      <w:pPr>
        <w:pStyle w:val="217"/>
        <w:rPr>
          <w:color w:val="auto"/>
          <w:highlight w:val="none"/>
        </w:rPr>
      </w:pPr>
      <w:r>
        <w:rPr>
          <w:color w:val="auto"/>
          <w:highlight w:val="none"/>
        </w:rPr>
        <w:t>7.</w:t>
      </w:r>
      <w:r>
        <w:rPr>
          <w:rFonts w:hint="eastAsia"/>
          <w:color w:val="auto"/>
          <w:highlight w:val="none"/>
        </w:rPr>
        <w:t>阴阳角找方即对墙体四角进行规方，横线找平，竖线吊直；弹出准线和墙裙、踢角板线。阴阳角找方对地面要铺方形地砖的房间特别重要。对于小房间，可以以一面墙作基线，用方尺规方即可，如房间面积较大，要在地面上先弹出十字线及墙面平整度向里抹灰反弹，弹出墙角抹灰准线，并弹出墙裙或踢角板线。</w:t>
      </w:r>
    </w:p>
    <w:p>
      <w:pPr>
        <w:pStyle w:val="217"/>
        <w:rPr>
          <w:color w:val="auto"/>
          <w:highlight w:val="none"/>
        </w:rPr>
      </w:pPr>
      <w:r>
        <w:rPr>
          <w:color w:val="auto"/>
          <w:highlight w:val="none"/>
        </w:rPr>
        <w:t>8.</w:t>
      </w:r>
      <w:r>
        <w:rPr>
          <w:rFonts w:hint="eastAsia"/>
          <w:color w:val="auto"/>
          <w:highlight w:val="none"/>
        </w:rPr>
        <w:t>灰饼是用来控制抹灰厚度的。先用托线板检查墙面平整度和垂直度以大致决定抹灰层的厚度</w:t>
      </w:r>
      <w:r>
        <w:rPr>
          <w:color w:val="auto"/>
          <w:highlight w:val="none"/>
        </w:rPr>
        <w:t>(</w:t>
      </w:r>
      <w:r>
        <w:rPr>
          <w:rFonts w:hint="eastAsia"/>
          <w:color w:val="auto"/>
          <w:highlight w:val="none"/>
        </w:rPr>
        <w:t>最薄处不小于</w:t>
      </w:r>
      <w:r>
        <w:rPr>
          <w:color w:val="auto"/>
          <w:highlight w:val="none"/>
        </w:rPr>
        <w:t>7mm)</w:t>
      </w:r>
      <w:r>
        <w:rPr>
          <w:rFonts w:hint="eastAsia"/>
          <w:color w:val="auto"/>
          <w:highlight w:val="none"/>
        </w:rPr>
        <w:t>，按照厚度再在墙的上角用与抹灰层相同砂浆各做一个大小</w:t>
      </w:r>
      <w:r>
        <w:rPr>
          <w:color w:val="auto"/>
          <w:highlight w:val="none"/>
        </w:rPr>
        <w:t>5cm</w:t>
      </w:r>
      <w:r>
        <w:rPr>
          <w:rFonts w:hint="eastAsia"/>
          <w:color w:val="auto"/>
          <w:highlight w:val="none"/>
        </w:rPr>
        <w:t>见方的标准灰饼，然后根据这两个灰饼用垂线垂直做墙面下脚两个标准灰饼</w:t>
      </w:r>
      <w:r>
        <w:rPr>
          <w:color w:val="auto"/>
          <w:highlight w:val="none"/>
        </w:rPr>
        <w:t>(</w:t>
      </w:r>
      <w:r>
        <w:rPr>
          <w:rFonts w:hint="eastAsia"/>
          <w:color w:val="auto"/>
          <w:highlight w:val="none"/>
        </w:rPr>
        <w:t>高低位置一般在踢角线上口</w:t>
      </w:r>
      <w:r>
        <w:rPr>
          <w:color w:val="auto"/>
          <w:highlight w:val="none"/>
        </w:rPr>
        <w:t>)</w:t>
      </w:r>
      <w:r>
        <w:rPr>
          <w:rFonts w:hint="eastAsia"/>
          <w:color w:val="auto"/>
          <w:highlight w:val="none"/>
        </w:rPr>
        <w:t>。再用钉子在左右灰饼附近的墙缝里，栓上小线挂好通线，并根据通线每隔</w:t>
      </w:r>
      <w:r>
        <w:rPr>
          <w:color w:val="auto"/>
          <w:highlight w:val="none"/>
        </w:rPr>
        <w:t>l.2~1.5m</w:t>
      </w:r>
      <w:r>
        <w:rPr>
          <w:rFonts w:hint="eastAsia"/>
          <w:color w:val="auto"/>
          <w:highlight w:val="none"/>
        </w:rPr>
        <w:t>加做几个标准灰饼。待灰饼稍干后，在上下灰饼之间抹上宽约</w:t>
      </w:r>
      <w:r>
        <w:rPr>
          <w:color w:val="auto"/>
          <w:highlight w:val="none"/>
        </w:rPr>
        <w:t>lOcm</w:t>
      </w:r>
      <w:r>
        <w:rPr>
          <w:rFonts w:hint="eastAsia"/>
          <w:color w:val="auto"/>
          <w:highlight w:val="none"/>
        </w:rPr>
        <w:t>的砂浆冲筋，冲筋二边应为斜面，用术刮尺刮平，作为抹底子灰填平的标准。</w:t>
      </w:r>
    </w:p>
    <w:p>
      <w:pPr>
        <w:pStyle w:val="217"/>
        <w:rPr>
          <w:color w:val="auto"/>
          <w:highlight w:val="none"/>
        </w:rPr>
      </w:pPr>
      <w:r>
        <w:rPr>
          <w:color w:val="auto"/>
          <w:highlight w:val="none"/>
        </w:rPr>
        <w:t>9.</w:t>
      </w:r>
      <w:r>
        <w:rPr>
          <w:rFonts w:hint="eastAsia"/>
          <w:color w:val="auto"/>
          <w:highlight w:val="none"/>
        </w:rPr>
        <w:t>抹灰前，室内墙面、柱面的阳角和门窗洞口的阳角要做护角，因为这些地方最容易受到碰撞而损坏，所以对强度有特别的要求，如设计无规定时，可用</w:t>
      </w:r>
      <w:r>
        <w:rPr>
          <w:color w:val="auto"/>
          <w:highlight w:val="none"/>
        </w:rPr>
        <w:t>l</w:t>
      </w:r>
      <w:r>
        <w:rPr>
          <w:rFonts w:hint="eastAsia"/>
          <w:color w:val="auto"/>
          <w:highlight w:val="none"/>
        </w:rPr>
        <w:t>：</w:t>
      </w:r>
      <w:r>
        <w:rPr>
          <w:color w:val="auto"/>
          <w:highlight w:val="none"/>
        </w:rPr>
        <w:t>2</w:t>
      </w:r>
      <w:r>
        <w:rPr>
          <w:rFonts w:hint="eastAsia"/>
          <w:color w:val="auto"/>
          <w:highlight w:val="none"/>
        </w:rPr>
        <w:t>水泥砂浆做暗护角，高度不低于</w:t>
      </w:r>
      <w:r>
        <w:rPr>
          <w:color w:val="auto"/>
          <w:highlight w:val="none"/>
        </w:rPr>
        <w:t>2m</w:t>
      </w:r>
      <w:r>
        <w:rPr>
          <w:rFonts w:hint="eastAsia"/>
          <w:color w:val="auto"/>
          <w:highlight w:val="none"/>
        </w:rPr>
        <w:t>，每侧宽度不小于</w:t>
      </w:r>
      <w:r>
        <w:rPr>
          <w:color w:val="auto"/>
          <w:highlight w:val="none"/>
        </w:rPr>
        <w:t>50mm,</w:t>
      </w:r>
      <w:r>
        <w:rPr>
          <w:rFonts w:hint="eastAsia"/>
          <w:color w:val="auto"/>
          <w:highlight w:val="none"/>
        </w:rPr>
        <w:t>其做法是根据灰饼厚度抹灰，然后粘好八字靠尺，并找方吊直，用</w:t>
      </w:r>
      <w:r>
        <w:rPr>
          <w:color w:val="auto"/>
          <w:highlight w:val="none"/>
        </w:rPr>
        <w:t>1</w:t>
      </w:r>
      <w:r>
        <w:rPr>
          <w:rFonts w:hint="eastAsia"/>
          <w:color w:val="auto"/>
          <w:highlight w:val="none"/>
        </w:rPr>
        <w:t>：</w:t>
      </w:r>
      <w:r>
        <w:rPr>
          <w:color w:val="auto"/>
          <w:highlight w:val="none"/>
        </w:rPr>
        <w:t>2</w:t>
      </w:r>
      <w:r>
        <w:rPr>
          <w:rFonts w:hint="eastAsia"/>
          <w:color w:val="auto"/>
          <w:highlight w:val="none"/>
        </w:rPr>
        <w:t>水泥砂浆分层抹平，待砂浆稍干后，再用水泥浆和做出小圆角。</w:t>
      </w:r>
    </w:p>
    <w:p>
      <w:pPr>
        <w:pStyle w:val="217"/>
        <w:rPr>
          <w:color w:val="auto"/>
          <w:highlight w:val="none"/>
        </w:rPr>
      </w:pPr>
      <w:r>
        <w:rPr>
          <w:color w:val="auto"/>
          <w:highlight w:val="none"/>
        </w:rPr>
        <w:t>10.</w:t>
      </w:r>
      <w:r>
        <w:rPr>
          <w:rFonts w:hint="eastAsia"/>
          <w:color w:val="auto"/>
          <w:highlight w:val="none"/>
        </w:rPr>
        <w:t>内墙抹灰应为三层，底层要低于冲筋，待砂浆冲筋稍干后，就应中层灰，如等冲筋干了再上中层，会因墙面砂浆收缩出现冲筋高出墙面的现象，中层垫平冲筋，边上边用木刮尺靠在两边冲筋上，由下往上刮平，然后用木抹子抹平。待中层五、六成干后，进行罩面压光。压光后，为墙面光洁，可以用排笔蘸水沿同一方向刷一遍。</w:t>
      </w:r>
    </w:p>
    <w:p>
      <w:pPr>
        <w:pStyle w:val="217"/>
        <w:rPr>
          <w:color w:val="auto"/>
          <w:highlight w:val="none"/>
        </w:rPr>
      </w:pPr>
      <w:r>
        <w:rPr>
          <w:color w:val="auto"/>
          <w:highlight w:val="none"/>
        </w:rPr>
        <w:t>11.</w:t>
      </w:r>
      <w:r>
        <w:rPr>
          <w:rFonts w:hint="eastAsia"/>
          <w:color w:val="auto"/>
          <w:highlight w:val="none"/>
        </w:rPr>
        <w:t>在抹灰过程中，踢脚线等处的留槎要平整顺直，用靠尺在线上，用铁抹子切齐，修边清理。</w:t>
      </w:r>
    </w:p>
    <w:p>
      <w:pPr>
        <w:pStyle w:val="217"/>
        <w:rPr>
          <w:color w:val="auto"/>
          <w:highlight w:val="none"/>
        </w:rPr>
      </w:pPr>
      <w:r>
        <w:rPr>
          <w:color w:val="auto"/>
          <w:highlight w:val="none"/>
        </w:rPr>
        <w:t>12.</w:t>
      </w:r>
      <w:r>
        <w:rPr>
          <w:rFonts w:hint="eastAsia"/>
          <w:color w:val="auto"/>
          <w:highlight w:val="none"/>
        </w:rPr>
        <w:t>门窗框边抹灰层不应产生咬边的现象。</w:t>
      </w:r>
    </w:p>
    <w:p>
      <w:pPr>
        <w:pStyle w:val="217"/>
        <w:rPr>
          <w:color w:val="auto"/>
          <w:highlight w:val="none"/>
        </w:rPr>
      </w:pPr>
      <w:r>
        <w:rPr>
          <w:color w:val="auto"/>
          <w:highlight w:val="none"/>
        </w:rPr>
        <w:t>13.</w:t>
      </w:r>
      <w:r>
        <w:rPr>
          <w:rFonts w:hint="eastAsia"/>
          <w:color w:val="auto"/>
          <w:highlight w:val="none"/>
        </w:rPr>
        <w:t>顶棚因为距人的视觉比较远，抹灰的平整度和光洁度一般比墙面的要求要低，一般不要求做灰，其施工方法是先在靠近顶棚的墙上弹出水平线，作为顶棚抹灰找平依据。再从顶棚墙角开始，沿顶棚四周，周边找平。为了避免掉灰，头道灰一般宜抹的薄一些，底子灰抹完后，紧跟着抹找平层，并用刮尽刮顺平，用术抹子搓平。待找平层灰有六、七成干的时候，即应进行罩面；罩面灰稍干后，即用铁皮抹子压实、赶光，表面应顺平，接槎应平整，不应有抹纹和气泡。顶棚与墙面相交的阴角，应顺直清晰。大面积抹灰前应设置标筋。</w:t>
      </w:r>
    </w:p>
    <w:p>
      <w:pPr>
        <w:pStyle w:val="217"/>
        <w:rPr>
          <w:color w:val="auto"/>
          <w:highlight w:val="none"/>
        </w:rPr>
      </w:pPr>
      <w:r>
        <w:rPr>
          <w:color w:val="auto"/>
          <w:highlight w:val="none"/>
        </w:rPr>
        <w:t>14.</w:t>
      </w:r>
      <w:r>
        <w:rPr>
          <w:rFonts w:hint="eastAsia"/>
          <w:color w:val="auto"/>
          <w:highlight w:val="none"/>
        </w:rPr>
        <w:t>抹灰应分层进行，每遍厚度宜为</w:t>
      </w:r>
      <w:r>
        <w:rPr>
          <w:color w:val="auto"/>
          <w:highlight w:val="none"/>
        </w:rPr>
        <w:t>5~7mm</w:t>
      </w:r>
      <w:r>
        <w:rPr>
          <w:rFonts w:hint="eastAsia"/>
          <w:color w:val="auto"/>
          <w:highlight w:val="none"/>
        </w:rPr>
        <w:t>。抹灰水泥砂浆每遍厚度宜为</w:t>
      </w:r>
      <w:r>
        <w:rPr>
          <w:color w:val="auto"/>
          <w:highlight w:val="none"/>
        </w:rPr>
        <w:t>5~7mm</w:t>
      </w:r>
      <w:r>
        <w:rPr>
          <w:rFonts w:hint="eastAsia"/>
          <w:color w:val="auto"/>
          <w:highlight w:val="none"/>
        </w:rPr>
        <w:t>，每层抹灰经赶平压实后的厚度。</w:t>
      </w:r>
    </w:p>
    <w:p>
      <w:pPr>
        <w:pStyle w:val="217"/>
        <w:rPr>
          <w:color w:val="auto"/>
          <w:highlight w:val="none"/>
        </w:rPr>
      </w:pPr>
      <w:r>
        <w:rPr>
          <w:color w:val="auto"/>
          <w:highlight w:val="none"/>
        </w:rPr>
        <w:t>15.</w:t>
      </w:r>
      <w:r>
        <w:rPr>
          <w:rFonts w:hint="eastAsia"/>
          <w:color w:val="auto"/>
          <w:highlight w:val="none"/>
        </w:rPr>
        <w:t>灰线抹灰尚应符合下列规定：抹灰线用的抹子，其线形、棱角等应符合设计要求，并按墙面、柱面找平后的水平线确定灰线位置；简单的灰线抹灰，应待墙面、柱面、顶棚的中层砂浆抹灰完后进行，顶棚抹灰前进行；灰线抹灰应分遍成活，底层、中层砂浆中宜掺入少量麻刀。罩面灰应分遍连续涂抹，表面应赶平、修整，压光。</w:t>
      </w:r>
      <w:r>
        <w:rPr>
          <w:color w:val="auto"/>
          <w:highlight w:val="none"/>
        </w:rPr>
        <w:t xml:space="preserve"> </w:t>
      </w:r>
    </w:p>
    <w:p>
      <w:pPr>
        <w:pStyle w:val="217"/>
        <w:rPr>
          <w:color w:val="auto"/>
          <w:highlight w:val="none"/>
        </w:rPr>
      </w:pPr>
      <w:r>
        <w:rPr>
          <w:color w:val="auto"/>
          <w:highlight w:val="none"/>
        </w:rPr>
        <w:t>16.</w:t>
      </w:r>
      <w:r>
        <w:rPr>
          <w:rFonts w:hint="eastAsia"/>
          <w:color w:val="auto"/>
          <w:highlight w:val="none"/>
        </w:rPr>
        <w:t>底层的抹灰层强度不得低于面层的抹灰层强度。水泥砂浆不得涂抹在石灰砂浆层上。</w:t>
      </w:r>
      <w:r>
        <w:rPr>
          <w:color w:val="auto"/>
          <w:highlight w:val="none"/>
        </w:rPr>
        <w:t xml:space="preserve"> </w:t>
      </w:r>
    </w:p>
    <w:p>
      <w:pPr>
        <w:pStyle w:val="217"/>
        <w:rPr>
          <w:color w:val="auto"/>
          <w:highlight w:val="none"/>
        </w:rPr>
      </w:pPr>
      <w:r>
        <w:rPr>
          <w:color w:val="auto"/>
          <w:highlight w:val="none"/>
        </w:rPr>
        <w:t>17.</w:t>
      </w:r>
      <w:r>
        <w:rPr>
          <w:rFonts w:hint="eastAsia"/>
          <w:color w:val="auto"/>
          <w:highlight w:val="none"/>
        </w:rPr>
        <w:t>抹灰的面层应在踢脚扳、门窗贴脸板和挂镜线等安装前涂抹。安装后与抹灰面相接处如有缝隙，应用砂浆或腻子填补。</w:t>
      </w:r>
      <w:r>
        <w:rPr>
          <w:color w:val="auto"/>
          <w:highlight w:val="none"/>
        </w:rPr>
        <w:t xml:space="preserve">  </w:t>
      </w:r>
    </w:p>
    <w:p>
      <w:pPr>
        <w:pStyle w:val="217"/>
        <w:rPr>
          <w:color w:val="auto"/>
          <w:highlight w:val="none"/>
        </w:rPr>
      </w:pPr>
      <w:r>
        <w:rPr>
          <w:color w:val="auto"/>
          <w:highlight w:val="none"/>
        </w:rPr>
        <w:t>18.</w:t>
      </w:r>
      <w:r>
        <w:rPr>
          <w:rFonts w:hint="eastAsia"/>
          <w:color w:val="auto"/>
          <w:highlight w:val="none"/>
        </w:rPr>
        <w:t>室外抹灰工程的施工，一般应自上而下进行。</w:t>
      </w:r>
    </w:p>
    <w:p>
      <w:pPr>
        <w:pStyle w:val="217"/>
        <w:rPr>
          <w:color w:val="auto"/>
          <w:highlight w:val="none"/>
        </w:rPr>
      </w:pPr>
      <w:r>
        <w:rPr>
          <w:color w:val="auto"/>
          <w:highlight w:val="none"/>
        </w:rPr>
        <w:t>19.</w:t>
      </w:r>
      <w:r>
        <w:rPr>
          <w:rFonts w:hint="eastAsia"/>
          <w:color w:val="auto"/>
          <w:highlight w:val="none"/>
        </w:rPr>
        <w:t>混凝土大板和大模板建筑的内墙和楼板底面，宜用腻子分遍刮平，各遍应粘结牢固，总厚度为</w:t>
      </w:r>
      <w:r>
        <w:rPr>
          <w:color w:val="auto"/>
          <w:highlight w:val="none"/>
        </w:rPr>
        <w:t>2~3mm</w:t>
      </w:r>
      <w:r>
        <w:rPr>
          <w:rFonts w:hint="eastAsia"/>
          <w:color w:val="auto"/>
          <w:highlight w:val="none"/>
        </w:rPr>
        <w:t>。如用聚合物水泥砂浆、水泥混合砂浆喷毛打底，纸筋石灰罩面，以及用膨胀珍珠岩砂浆抹面，总厚度为</w:t>
      </w:r>
      <w:r>
        <w:rPr>
          <w:color w:val="auto"/>
          <w:highlight w:val="none"/>
        </w:rPr>
        <w:t>2~5mm</w:t>
      </w:r>
      <w:r>
        <w:rPr>
          <w:rFonts w:hint="eastAsia"/>
          <w:color w:val="auto"/>
          <w:highlight w:val="none"/>
        </w:rPr>
        <w:t>。</w:t>
      </w:r>
    </w:p>
    <w:p>
      <w:pPr>
        <w:pStyle w:val="217"/>
        <w:rPr>
          <w:color w:val="auto"/>
          <w:highlight w:val="none"/>
        </w:rPr>
      </w:pPr>
      <w:r>
        <w:rPr>
          <w:color w:val="auto"/>
          <w:highlight w:val="none"/>
        </w:rPr>
        <w:t>20.</w:t>
      </w:r>
      <w:r>
        <w:rPr>
          <w:rFonts w:hint="eastAsia"/>
          <w:color w:val="auto"/>
          <w:highlight w:val="none"/>
        </w:rPr>
        <w:t>加气混凝土表面抹灰前，应清理干净，并应作基层表面处理，随即分层抹灰，防止上表面空鼓开裂。</w:t>
      </w:r>
    </w:p>
    <w:p>
      <w:pPr>
        <w:pStyle w:val="217"/>
        <w:rPr>
          <w:color w:val="auto"/>
          <w:highlight w:val="none"/>
        </w:rPr>
      </w:pPr>
      <w:r>
        <w:rPr>
          <w:color w:val="auto"/>
          <w:highlight w:val="none"/>
        </w:rPr>
        <w:t>21.</w:t>
      </w:r>
      <w:r>
        <w:rPr>
          <w:rFonts w:hint="eastAsia"/>
          <w:color w:val="auto"/>
          <w:highlight w:val="none"/>
        </w:rPr>
        <w:t>混凝士表面的抹灰，宜使用机械喷涂，用于工涂抹时，宜先凿毛刮水泥浆</w:t>
      </w:r>
      <w:r>
        <w:rPr>
          <w:color w:val="auto"/>
          <w:highlight w:val="none"/>
        </w:rPr>
        <w:t>(</w:t>
      </w:r>
      <w:r>
        <w:rPr>
          <w:rFonts w:hint="eastAsia"/>
          <w:color w:val="auto"/>
          <w:highlight w:val="none"/>
        </w:rPr>
        <w:t>水灰比为</w:t>
      </w:r>
      <w:r>
        <w:rPr>
          <w:color w:val="auto"/>
          <w:highlight w:val="none"/>
        </w:rPr>
        <w:t>0.37~O.40)</w:t>
      </w:r>
      <w:r>
        <w:rPr>
          <w:rFonts w:hint="eastAsia"/>
          <w:color w:val="auto"/>
          <w:highlight w:val="none"/>
        </w:rPr>
        <w:t>，洒水泥砂浆或用界面处理剂处理。</w:t>
      </w:r>
    </w:p>
    <w:p>
      <w:pPr>
        <w:pStyle w:val="217"/>
        <w:rPr>
          <w:color w:val="auto"/>
          <w:highlight w:val="none"/>
        </w:rPr>
      </w:pPr>
      <w:r>
        <w:rPr>
          <w:color w:val="auto"/>
          <w:highlight w:val="none"/>
        </w:rPr>
        <w:t>22.</w:t>
      </w:r>
      <w:r>
        <w:rPr>
          <w:rFonts w:hint="eastAsia"/>
          <w:color w:val="auto"/>
          <w:highlight w:val="none"/>
        </w:rPr>
        <w:t>抹灰、涂料工程的等级及适用范围，应符合设计要求。室内装修工程的施工，应待屋面防水工程完工后，并在不致被后继工程所损坏和玷污的条件下进行。室内抹灰在屋面防水工程完工前施工时，必须采取防护措施。</w:t>
      </w:r>
    </w:p>
    <w:p>
      <w:pPr>
        <w:pStyle w:val="217"/>
        <w:rPr>
          <w:color w:val="auto"/>
          <w:highlight w:val="none"/>
        </w:rPr>
      </w:pPr>
      <w:r>
        <w:rPr>
          <w:color w:val="auto"/>
          <w:highlight w:val="none"/>
        </w:rPr>
        <w:t>23.</w:t>
      </w:r>
      <w:r>
        <w:rPr>
          <w:rFonts w:hint="eastAsia"/>
          <w:color w:val="auto"/>
          <w:highlight w:val="none"/>
        </w:rPr>
        <w:t>水泥砂浆和水泥混合砂浆抹灰时，应待前一抹灰层凝结后方可抹后一层。</w:t>
      </w:r>
    </w:p>
    <w:p>
      <w:pPr>
        <w:pStyle w:val="217"/>
        <w:rPr>
          <w:color w:val="auto"/>
          <w:highlight w:val="none"/>
        </w:rPr>
      </w:pPr>
      <w:r>
        <w:rPr>
          <w:color w:val="auto"/>
          <w:highlight w:val="none"/>
        </w:rPr>
        <w:t>24.</w:t>
      </w:r>
      <w:r>
        <w:rPr>
          <w:rFonts w:hint="eastAsia"/>
          <w:color w:val="auto"/>
          <w:highlight w:val="none"/>
        </w:rPr>
        <w:t>抹灰砂浆的配合比和稠度等应经检查合格后，方可使用。水泥砂浆及掺有水泥拌制的砂浆，应控制在初凝前用完。水泥砂浆拌好后，应在初凝前用完</w:t>
      </w:r>
      <w:r>
        <w:rPr>
          <w:color w:val="auto"/>
          <w:highlight w:val="none"/>
        </w:rPr>
        <w:t>,</w:t>
      </w:r>
      <w:r>
        <w:rPr>
          <w:rFonts w:hint="eastAsia"/>
          <w:color w:val="auto"/>
          <w:highlight w:val="none"/>
        </w:rPr>
        <w:t>凡结硬砂浆不得继续使用。砂浆中掺用外加剂时，其掺入量应由试验确定。</w:t>
      </w:r>
    </w:p>
    <w:p>
      <w:pPr>
        <w:pStyle w:val="217"/>
        <w:rPr>
          <w:color w:val="auto"/>
          <w:highlight w:val="none"/>
        </w:rPr>
      </w:pPr>
      <w:r>
        <w:rPr>
          <w:color w:val="auto"/>
          <w:highlight w:val="none"/>
        </w:rPr>
        <w:t>25.</w:t>
      </w:r>
      <w:r>
        <w:rPr>
          <w:rFonts w:hint="eastAsia"/>
          <w:color w:val="auto"/>
          <w:highlight w:val="none"/>
        </w:rPr>
        <w:t>平整光滑的混凝土表面，如设计无要求时，可不抹灰，用刮腻子处理。抹灰工程验收标准执行规范高级抹灰验收标准。</w:t>
      </w:r>
    </w:p>
    <w:p>
      <w:pPr>
        <w:pStyle w:val="119"/>
        <w:rPr>
          <w:color w:val="auto"/>
          <w:highlight w:val="none"/>
        </w:rPr>
      </w:pPr>
      <w:r>
        <w:rPr>
          <w:color w:val="auto"/>
          <w:highlight w:val="none"/>
        </w:rPr>
        <w:t xml:space="preserve">3.4.2.2 </w:t>
      </w:r>
      <w:r>
        <w:rPr>
          <w:rFonts w:hint="eastAsia"/>
          <w:color w:val="auto"/>
          <w:highlight w:val="none"/>
        </w:rPr>
        <w:t>门窗工程</w:t>
      </w:r>
    </w:p>
    <w:p>
      <w:pPr>
        <w:pStyle w:val="217"/>
        <w:rPr>
          <w:color w:val="auto"/>
          <w:highlight w:val="none"/>
        </w:rPr>
      </w:pPr>
      <w:r>
        <w:rPr>
          <w:color w:val="auto"/>
          <w:highlight w:val="none"/>
        </w:rPr>
        <w:t>1.</w:t>
      </w:r>
      <w:r>
        <w:rPr>
          <w:rFonts w:hint="eastAsia"/>
          <w:color w:val="auto"/>
          <w:highlight w:val="none"/>
        </w:rPr>
        <w:t>木门制作与安装工程</w:t>
      </w:r>
    </w:p>
    <w:p>
      <w:pPr>
        <w:pStyle w:val="217"/>
        <w:rPr>
          <w:color w:val="auto"/>
          <w:highlight w:val="none"/>
        </w:rPr>
      </w:pPr>
      <w:r>
        <w:rPr>
          <w:rFonts w:hint="eastAsia"/>
          <w:color w:val="auto"/>
          <w:highlight w:val="none"/>
        </w:rPr>
        <w:t>本工程装饰木门必须采用成品门，不得现场加工制作，木门材质颜色及其配件以实物样板为准，质量不得低于实物样板。</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）木门制作与安装工程材料要求：</w:t>
      </w:r>
    </w:p>
    <w:p>
      <w:pPr>
        <w:pStyle w:val="217"/>
        <w:rPr>
          <w:color w:val="auto"/>
          <w:highlight w:val="none"/>
        </w:rPr>
      </w:pPr>
      <w:r>
        <w:rPr>
          <w:color w:val="auto"/>
          <w:highlight w:val="none"/>
        </w:rPr>
        <w:t>1</w:t>
      </w:r>
      <w:r>
        <w:rPr>
          <w:rFonts w:hint="eastAsia"/>
          <w:color w:val="auto"/>
          <w:highlight w:val="none"/>
        </w:rPr>
        <w:t>）板材：室内装饰工程中的木门应采用厚木夹板，细木工板，中密度纤维板材料，</w:t>
      </w:r>
    </w:p>
    <w:p>
      <w:pPr>
        <w:pStyle w:val="217"/>
        <w:rPr>
          <w:color w:val="auto"/>
          <w:highlight w:val="none"/>
        </w:rPr>
      </w:pPr>
      <w:r>
        <w:rPr>
          <w:rFonts w:hint="eastAsia"/>
          <w:color w:val="auto"/>
          <w:highlight w:val="none"/>
        </w:rPr>
        <w:t>在潮湿环境内须采用防水胶合板。</w:t>
      </w:r>
    </w:p>
    <w:p>
      <w:pPr>
        <w:pStyle w:val="217"/>
        <w:rPr>
          <w:color w:val="auto"/>
          <w:highlight w:val="none"/>
        </w:rPr>
      </w:pPr>
      <w:r>
        <w:rPr>
          <w:color w:val="auto"/>
          <w:highlight w:val="none"/>
        </w:rPr>
        <w:t>2</w:t>
      </w:r>
      <w:r>
        <w:rPr>
          <w:rFonts w:hint="eastAsia"/>
          <w:color w:val="auto"/>
          <w:highlight w:val="none"/>
        </w:rPr>
        <w:t>）小五角金：要根据设计要求选用小五金，且有相应的合格证等资料。</w:t>
      </w:r>
    </w:p>
    <w:p>
      <w:pPr>
        <w:pStyle w:val="217"/>
        <w:rPr>
          <w:color w:val="auto"/>
          <w:highlight w:val="none"/>
        </w:rPr>
      </w:pPr>
      <w:r>
        <w:rPr>
          <w:color w:val="auto"/>
          <w:highlight w:val="none"/>
        </w:rPr>
        <w:t>3</w:t>
      </w:r>
      <w:r>
        <w:rPr>
          <w:rFonts w:hint="eastAsia"/>
          <w:color w:val="auto"/>
          <w:highlight w:val="none"/>
        </w:rPr>
        <w:t>）油漆：选用符合国家标准的油漆涂料。</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）木门的安装工艺</w:t>
      </w:r>
    </w:p>
    <w:p>
      <w:pPr>
        <w:pStyle w:val="217"/>
        <w:rPr>
          <w:color w:val="auto"/>
          <w:highlight w:val="none"/>
        </w:rPr>
      </w:pPr>
      <w:r>
        <w:rPr>
          <w:color w:val="auto"/>
          <w:highlight w:val="none"/>
        </w:rPr>
        <w:t>1</w:t>
      </w:r>
      <w:r>
        <w:rPr>
          <w:rFonts w:hint="eastAsia"/>
          <w:color w:val="auto"/>
          <w:highlight w:val="none"/>
        </w:rPr>
        <w:t>）门框的安装</w:t>
      </w:r>
    </w:p>
    <w:p>
      <w:pPr>
        <w:pStyle w:val="217"/>
        <w:rPr>
          <w:color w:val="auto"/>
          <w:highlight w:val="none"/>
        </w:rPr>
      </w:pPr>
      <w:r>
        <w:rPr>
          <w:rFonts w:hint="eastAsia"/>
          <w:color w:val="auto"/>
          <w:highlight w:val="none"/>
        </w:rPr>
        <w:t>①安装方法：门框有两种安装方法，其施工工艺如下：</w:t>
      </w:r>
    </w:p>
    <w:p>
      <w:pPr>
        <w:pStyle w:val="217"/>
        <w:rPr>
          <w:color w:val="auto"/>
          <w:highlight w:val="none"/>
        </w:rPr>
      </w:pPr>
      <w:r>
        <w:rPr>
          <w:rFonts w:hint="eastAsia"/>
          <w:color w:val="auto"/>
          <w:highlight w:val="none"/>
        </w:rPr>
        <w:t>先立口法。在砌墙前把门框按图纸位置立直、找正，并固定好。这种施工方法必须在施工前把门框做好运至现场。</w:t>
      </w:r>
    </w:p>
    <w:p>
      <w:pPr>
        <w:pStyle w:val="217"/>
        <w:rPr>
          <w:color w:val="auto"/>
          <w:highlight w:val="none"/>
        </w:rPr>
      </w:pPr>
      <w:r>
        <w:rPr>
          <w:rFonts w:hint="eastAsia"/>
          <w:color w:val="auto"/>
          <w:highlight w:val="none"/>
        </w:rPr>
        <w:t>后塞口法。在砌墙时预先按门尺寸留好洞口，在洞口两边预埋木砖，然后将门框塞入洞内，在木砖处垫好木片，并用钉子钉牢</w:t>
      </w:r>
      <w:r>
        <w:rPr>
          <w:color w:val="auto"/>
          <w:highlight w:val="none"/>
        </w:rPr>
        <w:t>(</w:t>
      </w:r>
      <w:r>
        <w:rPr>
          <w:rFonts w:hint="eastAsia"/>
          <w:color w:val="auto"/>
          <w:highlight w:val="none"/>
        </w:rPr>
        <w:t>预埋木砖的位置应避开门扇安装铰链处</w:t>
      </w:r>
      <w:r>
        <w:rPr>
          <w:color w:val="auto"/>
          <w:highlight w:val="none"/>
        </w:rPr>
        <w:t>)</w:t>
      </w:r>
      <w:r>
        <w:rPr>
          <w:rFonts w:hint="eastAsia"/>
          <w:color w:val="auto"/>
          <w:highlight w:val="none"/>
        </w:rPr>
        <w:t>。</w:t>
      </w:r>
    </w:p>
    <w:p>
      <w:pPr>
        <w:pStyle w:val="217"/>
        <w:rPr>
          <w:color w:val="auto"/>
          <w:highlight w:val="none"/>
        </w:rPr>
      </w:pPr>
      <w:r>
        <w:rPr>
          <w:rFonts w:hint="eastAsia"/>
          <w:color w:val="auto"/>
          <w:highlight w:val="none"/>
        </w:rPr>
        <w:t>②施工要点</w:t>
      </w:r>
      <w:r>
        <w:rPr>
          <w:color w:val="auto"/>
          <w:highlight w:val="none"/>
        </w:rPr>
        <w:t xml:space="preserve">  </w:t>
      </w:r>
    </w:p>
    <w:p>
      <w:pPr>
        <w:pStyle w:val="217"/>
        <w:rPr>
          <w:color w:val="auto"/>
          <w:highlight w:val="none"/>
        </w:rPr>
      </w:pPr>
      <w:r>
        <w:rPr>
          <w:color w:val="auto"/>
          <w:highlight w:val="none"/>
        </w:rPr>
        <w:t>a.</w:t>
      </w:r>
      <w:r>
        <w:rPr>
          <w:rFonts w:hint="eastAsia"/>
          <w:color w:val="auto"/>
          <w:highlight w:val="none"/>
        </w:rPr>
        <w:t>先立口安装施工：</w:t>
      </w:r>
      <w:r>
        <w:rPr>
          <w:color w:val="auto"/>
          <w:highlight w:val="none"/>
        </w:rPr>
        <w:t xml:space="preserve"> </w:t>
      </w:r>
    </w:p>
    <w:p>
      <w:pPr>
        <w:pStyle w:val="217"/>
        <w:rPr>
          <w:color w:val="auto"/>
          <w:highlight w:val="none"/>
        </w:rPr>
      </w:pPr>
      <w:r>
        <w:rPr>
          <w:rFonts w:hint="eastAsia"/>
          <w:color w:val="auto"/>
          <w:highlight w:val="none"/>
        </w:rPr>
        <w:t>当砌墙到室内地坪时，立门框：碰到窗台时，立窗框。</w:t>
      </w:r>
    </w:p>
    <w:p>
      <w:pPr>
        <w:pStyle w:val="217"/>
        <w:rPr>
          <w:color w:val="auto"/>
          <w:highlight w:val="none"/>
        </w:rPr>
      </w:pPr>
      <w:r>
        <w:rPr>
          <w:rFonts w:hint="eastAsia"/>
          <w:color w:val="auto"/>
          <w:highlight w:val="none"/>
        </w:rPr>
        <w:t>立口前，按照图纸上门的位置、尺寸、把门的中线和边线画到地面或墙上。</w:t>
      </w:r>
    </w:p>
    <w:p>
      <w:pPr>
        <w:pStyle w:val="217"/>
        <w:rPr>
          <w:color w:val="auto"/>
          <w:highlight w:val="none"/>
        </w:rPr>
      </w:pPr>
      <w:r>
        <w:rPr>
          <w:rFonts w:hint="eastAsia"/>
          <w:color w:val="auto"/>
          <w:highlight w:val="none"/>
        </w:rPr>
        <w:t>砌墙过程中不要碰动支撑，井应陌对门框进行校正，防止门框出现位移、歪斜等现象。砌到放砼砖的位置时，要校核是否垂直，如有不直，在放砼砖时要随时纠正。否则，砼砖砌入墙内，将门框固定，就难以纠正。每边的砼砖不少于</w:t>
      </w:r>
      <w:r>
        <w:rPr>
          <w:color w:val="auto"/>
          <w:highlight w:val="none"/>
        </w:rPr>
        <w:t>2~3</w:t>
      </w:r>
      <w:r>
        <w:rPr>
          <w:rFonts w:hint="eastAsia"/>
          <w:color w:val="auto"/>
          <w:highlight w:val="none"/>
        </w:rPr>
        <w:t>块。</w:t>
      </w:r>
    </w:p>
    <w:p>
      <w:pPr>
        <w:pStyle w:val="217"/>
        <w:rPr>
          <w:color w:val="auto"/>
          <w:highlight w:val="none"/>
        </w:rPr>
      </w:pPr>
      <w:r>
        <w:rPr>
          <w:rFonts w:hint="eastAsia"/>
          <w:color w:val="auto"/>
          <w:highlight w:val="none"/>
        </w:rPr>
        <w:t>同一墙面的门框应安装整齐。可先立两端的门框然后拉一通线，其他的框按通线竖立。这样可保证同排门框的位置的标高一致。</w:t>
      </w:r>
    </w:p>
    <w:p>
      <w:pPr>
        <w:pStyle w:val="217"/>
        <w:rPr>
          <w:color w:val="auto"/>
          <w:highlight w:val="none"/>
        </w:rPr>
      </w:pPr>
      <w:r>
        <w:rPr>
          <w:rFonts w:hint="eastAsia"/>
          <w:color w:val="auto"/>
          <w:highlight w:val="none"/>
        </w:rPr>
        <w:t>立框时，一定要注意以下两点：</w:t>
      </w:r>
    </w:p>
    <w:p>
      <w:pPr>
        <w:pStyle w:val="217"/>
        <w:rPr>
          <w:color w:val="auto"/>
          <w:highlight w:val="none"/>
        </w:rPr>
      </w:pPr>
      <w:r>
        <w:rPr>
          <w:rFonts w:hint="eastAsia"/>
          <w:color w:val="auto"/>
          <w:highlight w:val="none"/>
        </w:rPr>
        <w:t>特别要注意门的开启方向，防止出现错误难以纠正。</w:t>
      </w:r>
    </w:p>
    <w:p>
      <w:pPr>
        <w:pStyle w:val="217"/>
        <w:rPr>
          <w:color w:val="auto"/>
          <w:highlight w:val="none"/>
        </w:rPr>
      </w:pPr>
      <w:r>
        <w:rPr>
          <w:rFonts w:hint="eastAsia"/>
          <w:color w:val="auto"/>
          <w:highlight w:val="none"/>
        </w:rPr>
        <w:t>注意图纸上门框是否是在墙中，还是靠近墙里皮。如果是里皮的，门框应出里皮墙面</w:t>
      </w:r>
      <w:r>
        <w:rPr>
          <w:color w:val="auto"/>
          <w:highlight w:val="none"/>
        </w:rPr>
        <w:t>(</w:t>
      </w:r>
      <w:r>
        <w:rPr>
          <w:rFonts w:hint="eastAsia"/>
          <w:color w:val="auto"/>
          <w:highlight w:val="none"/>
        </w:rPr>
        <w:t>即内墙面</w:t>
      </w:r>
      <w:r>
        <w:rPr>
          <w:color w:val="auto"/>
          <w:highlight w:val="none"/>
        </w:rPr>
        <w:t>)20mm</w:t>
      </w:r>
      <w:r>
        <w:rPr>
          <w:rFonts w:hint="eastAsia"/>
          <w:color w:val="auto"/>
          <w:highlight w:val="none"/>
        </w:rPr>
        <w:t>，这样抹完灰后，门框正好和墙面相平。</w:t>
      </w:r>
    </w:p>
    <w:p>
      <w:pPr>
        <w:pStyle w:val="217"/>
        <w:rPr>
          <w:color w:val="auto"/>
          <w:highlight w:val="none"/>
        </w:rPr>
      </w:pPr>
      <w:r>
        <w:rPr>
          <w:color w:val="auto"/>
          <w:highlight w:val="none"/>
        </w:rPr>
        <w:t>b.</w:t>
      </w:r>
      <w:r>
        <w:rPr>
          <w:rFonts w:hint="eastAsia"/>
          <w:color w:val="auto"/>
          <w:highlight w:val="none"/>
        </w:rPr>
        <w:t>后塞口安装施工：</w:t>
      </w:r>
    </w:p>
    <w:p>
      <w:pPr>
        <w:pStyle w:val="217"/>
        <w:rPr>
          <w:color w:val="auto"/>
          <w:highlight w:val="none"/>
        </w:rPr>
      </w:pPr>
      <w:r>
        <w:rPr>
          <w:rFonts w:hint="eastAsia"/>
          <w:color w:val="auto"/>
          <w:highlight w:val="none"/>
        </w:rPr>
        <w:t>门洞口要按图纸上的位置和尺寸留出。洞口应比门口大</w:t>
      </w:r>
      <w:r>
        <w:rPr>
          <w:color w:val="auto"/>
          <w:highlight w:val="none"/>
        </w:rPr>
        <w:t>30</w:t>
      </w:r>
      <w:r>
        <w:rPr>
          <w:rFonts w:hint="eastAsia"/>
          <w:color w:val="auto"/>
          <w:highlight w:val="none"/>
        </w:rPr>
        <w:t>～</w:t>
      </w:r>
      <w:r>
        <w:rPr>
          <w:color w:val="auto"/>
          <w:highlight w:val="none"/>
        </w:rPr>
        <w:t>40mm(</w:t>
      </w:r>
      <w:r>
        <w:rPr>
          <w:rFonts w:hint="eastAsia"/>
          <w:color w:val="auto"/>
          <w:highlight w:val="none"/>
        </w:rPr>
        <w:t>每边大</w:t>
      </w:r>
      <w:r>
        <w:rPr>
          <w:color w:val="auto"/>
          <w:highlight w:val="none"/>
        </w:rPr>
        <w:t>15</w:t>
      </w:r>
      <w:r>
        <w:rPr>
          <w:rFonts w:hint="eastAsia"/>
          <w:color w:val="auto"/>
          <w:highlight w:val="none"/>
        </w:rPr>
        <w:t>～</w:t>
      </w:r>
      <w:r>
        <w:rPr>
          <w:color w:val="auto"/>
          <w:highlight w:val="none"/>
        </w:rPr>
        <w:t>20mm)</w:t>
      </w:r>
      <w:r>
        <w:rPr>
          <w:rFonts w:hint="eastAsia"/>
          <w:color w:val="auto"/>
          <w:highlight w:val="none"/>
        </w:rPr>
        <w:t>。</w:t>
      </w:r>
    </w:p>
    <w:p>
      <w:pPr>
        <w:pStyle w:val="217"/>
        <w:rPr>
          <w:color w:val="auto"/>
          <w:highlight w:val="none"/>
        </w:rPr>
      </w:pPr>
      <w:r>
        <w:rPr>
          <w:rFonts w:hint="eastAsia"/>
          <w:color w:val="auto"/>
          <w:highlight w:val="none"/>
        </w:rPr>
        <w:t>砌墙时，洞口两侧按规定砌入砼砖，砼砖大小约半砖，间距不大于</w:t>
      </w:r>
      <w:r>
        <w:rPr>
          <w:color w:val="auto"/>
          <w:highlight w:val="none"/>
        </w:rPr>
        <w:t>1.2m</w:t>
      </w:r>
      <w:r>
        <w:rPr>
          <w:rFonts w:hint="eastAsia"/>
          <w:color w:val="auto"/>
          <w:highlight w:val="none"/>
        </w:rPr>
        <w:t>，每边</w:t>
      </w:r>
      <w:r>
        <w:rPr>
          <w:color w:val="auto"/>
          <w:highlight w:val="none"/>
        </w:rPr>
        <w:t>2~3</w:t>
      </w:r>
      <w:r>
        <w:rPr>
          <w:rFonts w:hint="eastAsia"/>
          <w:color w:val="auto"/>
          <w:highlight w:val="none"/>
        </w:rPr>
        <w:t>块。</w:t>
      </w:r>
    </w:p>
    <w:p>
      <w:pPr>
        <w:pStyle w:val="217"/>
        <w:rPr>
          <w:color w:val="auto"/>
          <w:highlight w:val="none"/>
        </w:rPr>
      </w:pPr>
      <w:r>
        <w:rPr>
          <w:rFonts w:hint="eastAsia"/>
          <w:color w:val="auto"/>
          <w:highlight w:val="none"/>
        </w:rPr>
        <w:t>安装门框塞进门洞内，用木楔临时固定，用线锤和水平尺校正。校正后，用钉子把门框钉牢在砼砖上，每个砼砖上应钉两个钉子，钉帽砸扁冲入梃内。</w:t>
      </w:r>
    </w:p>
    <w:p>
      <w:pPr>
        <w:pStyle w:val="217"/>
        <w:rPr>
          <w:color w:val="auto"/>
          <w:highlight w:val="none"/>
        </w:rPr>
      </w:pPr>
      <w:r>
        <w:rPr>
          <w:rFonts w:hint="eastAsia"/>
          <w:color w:val="auto"/>
          <w:highlight w:val="none"/>
        </w:rPr>
        <w:t>立口时，一定要注意门的开启方向。</w:t>
      </w:r>
    </w:p>
    <w:p>
      <w:pPr>
        <w:pStyle w:val="217"/>
        <w:rPr>
          <w:color w:val="auto"/>
          <w:highlight w:val="none"/>
        </w:rPr>
      </w:pPr>
      <w:r>
        <w:rPr>
          <w:color w:val="auto"/>
          <w:highlight w:val="none"/>
        </w:rPr>
        <w:t>2</w:t>
      </w:r>
      <w:r>
        <w:rPr>
          <w:rFonts w:hint="eastAsia"/>
          <w:color w:val="auto"/>
          <w:highlight w:val="none"/>
        </w:rPr>
        <w:t>）门扇的安装</w:t>
      </w:r>
    </w:p>
    <w:p>
      <w:pPr>
        <w:pStyle w:val="217"/>
        <w:rPr>
          <w:color w:val="auto"/>
          <w:highlight w:val="none"/>
        </w:rPr>
      </w:pPr>
      <w:r>
        <w:rPr>
          <w:rFonts w:hint="eastAsia" w:cs="宋体"/>
          <w:color w:val="auto"/>
          <w:highlight w:val="none"/>
        </w:rPr>
        <w:t>①</w:t>
      </w:r>
      <w:r>
        <w:rPr>
          <w:rFonts w:hint="eastAsia"/>
          <w:color w:val="auto"/>
          <w:highlight w:val="none"/>
        </w:rPr>
        <w:t>施工准备：安装门扇前，先要检查门框上、中、下三部分是否一样宽，如果相差超过</w:t>
      </w:r>
      <w:r>
        <w:rPr>
          <w:color w:val="auto"/>
          <w:highlight w:val="none"/>
        </w:rPr>
        <w:t>5mm</w:t>
      </w:r>
      <w:r>
        <w:rPr>
          <w:rFonts w:hint="eastAsia"/>
          <w:color w:val="auto"/>
          <w:highlight w:val="none"/>
        </w:rPr>
        <w:t>，就必须修整。核对门扇的开启方向，并打记号，以免把扇安错。安装前，预先量出门框口的净尺寸，考虑风缝</w:t>
      </w:r>
      <w:r>
        <w:rPr>
          <w:color w:val="auto"/>
          <w:highlight w:val="none"/>
        </w:rPr>
        <w:t>(</w:t>
      </w:r>
      <w:r>
        <w:rPr>
          <w:rFonts w:hint="eastAsia"/>
          <w:color w:val="auto"/>
          <w:highlight w:val="none"/>
        </w:rPr>
        <w:t>松动</w:t>
      </w:r>
      <w:r>
        <w:rPr>
          <w:color w:val="auto"/>
          <w:highlight w:val="none"/>
        </w:rPr>
        <w:t>)</w:t>
      </w:r>
      <w:r>
        <w:rPr>
          <w:rFonts w:hint="eastAsia"/>
          <w:color w:val="auto"/>
          <w:highlight w:val="none"/>
        </w:rPr>
        <w:t>的大小，再好进一步确定扇的宽度和高度，并进行修刨。应将门扇固定于门框中，并检查与门框配合的松紧度。由于术材有干缩湿胀的性质，而且门扇门框上都需要有油漆及打底层的厚度，所以安装时要留封。一般门扇对口处竖缝留</w:t>
      </w:r>
      <w:r>
        <w:rPr>
          <w:color w:val="auto"/>
          <w:highlight w:val="none"/>
        </w:rPr>
        <w:t>l.5~2.5mm</w:t>
      </w:r>
      <w:r>
        <w:rPr>
          <w:rFonts w:hint="eastAsia"/>
          <w:color w:val="auto"/>
          <w:highlight w:val="none"/>
        </w:rPr>
        <w:t>，并按此尺寸进行修刨。</w:t>
      </w:r>
    </w:p>
    <w:p>
      <w:pPr>
        <w:pStyle w:val="217"/>
        <w:rPr>
          <w:color w:val="auto"/>
          <w:highlight w:val="none"/>
        </w:rPr>
      </w:pPr>
      <w:r>
        <w:rPr>
          <w:rFonts w:hint="eastAsia" w:cs="宋体"/>
          <w:color w:val="auto"/>
          <w:highlight w:val="none"/>
        </w:rPr>
        <w:t>②</w:t>
      </w:r>
      <w:r>
        <w:rPr>
          <w:rFonts w:hint="eastAsia"/>
          <w:color w:val="auto"/>
          <w:highlight w:val="none"/>
        </w:rPr>
        <w:t>施工要点：</w:t>
      </w:r>
    </w:p>
    <w:p>
      <w:pPr>
        <w:pStyle w:val="217"/>
        <w:rPr>
          <w:color w:val="auto"/>
          <w:highlight w:val="none"/>
        </w:rPr>
      </w:pPr>
      <w:r>
        <w:rPr>
          <w:color w:val="auto"/>
          <w:highlight w:val="none"/>
        </w:rPr>
        <w:t>a.</w:t>
      </w:r>
      <w:r>
        <w:rPr>
          <w:rFonts w:hint="eastAsia"/>
          <w:color w:val="auto"/>
          <w:highlight w:val="none"/>
        </w:rPr>
        <w:t>将修刨好的门扇，用木楔临时立于门框中，排好缝隙后画出铰链位置。铰链位置距上、下边的距离是门扇宽度的</w:t>
      </w:r>
      <w:r>
        <w:rPr>
          <w:color w:val="auto"/>
          <w:highlight w:val="none"/>
        </w:rPr>
        <w:t>1/10</w:t>
      </w:r>
      <w:r>
        <w:rPr>
          <w:rFonts w:hint="eastAsia"/>
          <w:color w:val="auto"/>
          <w:highlight w:val="none"/>
        </w:rPr>
        <w:t>，这个位置对铰链受力比较有利，又可避开头。然后把扇取下来，用扇铲剔出铰链页槽。铰链页槽应外边浅，里边深，其深度应当是把铰链合上后与框、扇平正位准。剔好铰链槽后，将铰链放入，上下各拧紧一颗螺丝钉把扇挂上，检查缝隙是否符合要求，扇能否齐平，扇能否关住。检查合格后，再把螺丝钉全部上齐。</w:t>
      </w:r>
    </w:p>
    <w:p>
      <w:pPr>
        <w:pStyle w:val="217"/>
        <w:rPr>
          <w:color w:val="auto"/>
          <w:highlight w:val="none"/>
        </w:rPr>
      </w:pPr>
      <w:r>
        <w:rPr>
          <w:color w:val="auto"/>
          <w:highlight w:val="none"/>
        </w:rPr>
        <w:t>b.</w:t>
      </w:r>
      <w:r>
        <w:rPr>
          <w:rFonts w:hint="eastAsia"/>
          <w:color w:val="auto"/>
          <w:highlight w:val="none"/>
        </w:rPr>
        <w:t>双扇门扇安装方法与单扇的安装基本相同，只是多一道工序</w:t>
      </w:r>
      <w:r>
        <w:rPr>
          <w:color w:val="auto"/>
          <w:highlight w:val="none"/>
        </w:rPr>
        <w:t>——</w:t>
      </w:r>
      <w:r>
        <w:rPr>
          <w:rFonts w:hint="eastAsia"/>
          <w:color w:val="auto"/>
          <w:highlight w:val="none"/>
        </w:rPr>
        <w:t>错口。双扇应按开启方向看，右手是门盖口，左手门是等口。</w:t>
      </w:r>
      <w:r>
        <w:rPr>
          <w:color w:val="auto"/>
          <w:highlight w:val="none"/>
        </w:rPr>
        <w:t xml:space="preserve">   </w:t>
      </w:r>
    </w:p>
    <w:p>
      <w:pPr>
        <w:pStyle w:val="217"/>
        <w:rPr>
          <w:color w:val="auto"/>
          <w:highlight w:val="none"/>
        </w:rPr>
      </w:pPr>
      <w:r>
        <w:rPr>
          <w:color w:val="auto"/>
          <w:highlight w:val="none"/>
        </w:rPr>
        <w:t>c.</w:t>
      </w:r>
      <w:r>
        <w:rPr>
          <w:rFonts w:hint="eastAsia"/>
          <w:color w:val="auto"/>
          <w:highlight w:val="none"/>
        </w:rPr>
        <w:t>门扇安装好后要试开，其标准是：以开到哪里就能停到哪里为好，不能有自开或自关的现象。如果发现门扇在高、宽上有短缺的情况，高度上应将补钉的板条钉在下冒头下面，宽度上，在安装铰链一边的梃上补钉板条。</w:t>
      </w:r>
      <w:r>
        <w:rPr>
          <w:color w:val="auto"/>
          <w:highlight w:val="none"/>
        </w:rPr>
        <w:t xml:space="preserve"> </w:t>
      </w:r>
    </w:p>
    <w:p>
      <w:pPr>
        <w:pStyle w:val="217"/>
        <w:rPr>
          <w:color w:val="auto"/>
          <w:highlight w:val="none"/>
        </w:rPr>
      </w:pPr>
      <w:r>
        <w:rPr>
          <w:color w:val="auto"/>
          <w:highlight w:val="none"/>
        </w:rPr>
        <w:t>d.</w:t>
      </w:r>
      <w:r>
        <w:rPr>
          <w:rFonts w:hint="eastAsia"/>
          <w:color w:val="auto"/>
          <w:highlight w:val="none"/>
        </w:rPr>
        <w:t>为了开关方便，平开扇上、下冒头最好创成斜面。</w:t>
      </w:r>
    </w:p>
    <w:p>
      <w:pPr>
        <w:pStyle w:val="217"/>
        <w:rPr>
          <w:color w:val="auto"/>
          <w:highlight w:val="none"/>
        </w:rPr>
      </w:pPr>
      <w:r>
        <w:rPr>
          <w:color w:val="auto"/>
          <w:highlight w:val="none"/>
        </w:rPr>
        <w:t>2.</w:t>
      </w:r>
      <w:r>
        <w:rPr>
          <w:rFonts w:hint="eastAsia"/>
          <w:color w:val="auto"/>
          <w:highlight w:val="none"/>
        </w:rPr>
        <w:t>金属门窗安装工程</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）金属门窗安装施工前准备</w:t>
      </w:r>
    </w:p>
    <w:p>
      <w:pPr>
        <w:pStyle w:val="217"/>
        <w:rPr>
          <w:color w:val="auto"/>
          <w:highlight w:val="none"/>
        </w:rPr>
      </w:pPr>
      <w:r>
        <w:rPr>
          <w:color w:val="auto"/>
          <w:highlight w:val="none"/>
        </w:rPr>
        <w:t>1</w:t>
      </w:r>
      <w:r>
        <w:rPr>
          <w:rFonts w:hint="eastAsia"/>
          <w:color w:val="auto"/>
          <w:highlight w:val="none"/>
        </w:rPr>
        <w:t>）门、窗洞口质量检查</w:t>
      </w:r>
    </w:p>
    <w:p>
      <w:pPr>
        <w:pStyle w:val="217"/>
        <w:rPr>
          <w:color w:val="auto"/>
          <w:highlight w:val="none"/>
        </w:rPr>
      </w:pPr>
      <w:r>
        <w:rPr>
          <w:rFonts w:hint="eastAsia"/>
          <w:color w:val="auto"/>
          <w:highlight w:val="none"/>
        </w:rPr>
        <w:t>金属门窗安装前，应对洞口进行检验。如果内外墙均是抹灰，窗框的实际外缘尺寸每一侧应比洞口的尺寸小</w:t>
      </w:r>
      <w:r>
        <w:rPr>
          <w:color w:val="auto"/>
          <w:highlight w:val="none"/>
        </w:rPr>
        <w:t>2cm</w:t>
      </w:r>
      <w:r>
        <w:rPr>
          <w:rFonts w:hint="eastAsia"/>
          <w:color w:val="auto"/>
          <w:highlight w:val="none"/>
        </w:rPr>
        <w:t>。如果是大理石面层门、窗框的外缘尺寸应比洞口实际尺寸小</w:t>
      </w:r>
      <w:r>
        <w:rPr>
          <w:color w:val="auto"/>
          <w:highlight w:val="none"/>
        </w:rPr>
        <w:t>5cm</w:t>
      </w:r>
      <w:r>
        <w:rPr>
          <w:rFonts w:hint="eastAsia"/>
          <w:color w:val="auto"/>
          <w:highlight w:val="none"/>
        </w:rPr>
        <w:t>左右，预留洞的偏差应符合规定。</w:t>
      </w:r>
    </w:p>
    <w:p>
      <w:pPr>
        <w:pStyle w:val="217"/>
        <w:rPr>
          <w:color w:val="auto"/>
          <w:highlight w:val="none"/>
        </w:rPr>
      </w:pPr>
      <w:r>
        <w:rPr>
          <w:color w:val="auto"/>
          <w:highlight w:val="none"/>
        </w:rPr>
        <w:t>2</w:t>
      </w:r>
      <w:r>
        <w:rPr>
          <w:rFonts w:hint="eastAsia"/>
          <w:color w:val="auto"/>
          <w:highlight w:val="none"/>
        </w:rPr>
        <w:t>）检查金属门窗的质量</w:t>
      </w:r>
    </w:p>
    <w:p>
      <w:pPr>
        <w:pStyle w:val="217"/>
        <w:rPr>
          <w:color w:val="auto"/>
          <w:highlight w:val="none"/>
        </w:rPr>
      </w:pPr>
      <w:r>
        <w:rPr>
          <w:rFonts w:hint="eastAsia"/>
          <w:color w:val="auto"/>
          <w:highlight w:val="none"/>
        </w:rPr>
        <w:t>检查门窗的尺寸是否符合设计要求，有无变形和扭曲，是否方正。</w:t>
      </w:r>
    </w:p>
    <w:p>
      <w:pPr>
        <w:pStyle w:val="217"/>
        <w:rPr>
          <w:color w:val="auto"/>
          <w:highlight w:val="none"/>
        </w:rPr>
      </w:pPr>
      <w:r>
        <w:rPr>
          <w:rFonts w:hint="eastAsia"/>
          <w:color w:val="auto"/>
          <w:highlight w:val="none"/>
        </w:rPr>
        <w:t>检查门窗的出厂质量合格证、产品准用证、综合性能指标测试报告、等级品种是否符合设计。</w:t>
      </w:r>
    </w:p>
    <w:p>
      <w:pPr>
        <w:pStyle w:val="217"/>
        <w:rPr>
          <w:color w:val="auto"/>
          <w:highlight w:val="none"/>
        </w:rPr>
      </w:pPr>
      <w:r>
        <w:rPr>
          <w:rFonts w:hint="eastAsia"/>
          <w:color w:val="auto"/>
          <w:highlight w:val="none"/>
        </w:rPr>
        <w:t>检查窗门框表面是否完好，有无碰伤划痕，有无明显色差。</w:t>
      </w:r>
    </w:p>
    <w:p>
      <w:pPr>
        <w:pStyle w:val="217"/>
        <w:rPr>
          <w:color w:val="auto"/>
          <w:highlight w:val="none"/>
        </w:rPr>
      </w:pPr>
      <w:r>
        <w:rPr>
          <w:rFonts w:hint="eastAsia"/>
          <w:color w:val="auto"/>
          <w:highlight w:val="none"/>
        </w:rPr>
        <w:t>检查各种配件；</w:t>
      </w:r>
    </w:p>
    <w:p>
      <w:pPr>
        <w:pStyle w:val="217"/>
        <w:rPr>
          <w:color w:val="auto"/>
          <w:highlight w:val="none"/>
        </w:rPr>
      </w:pPr>
      <w:r>
        <w:rPr>
          <w:rFonts w:hint="eastAsia"/>
          <w:color w:val="auto"/>
          <w:highlight w:val="none"/>
        </w:rPr>
        <w:t>在安装金属门窗前，应检查门窗各种配件数量、品种、规格是否符合施工要求。</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）金属门窗安装施工工艺要点</w:t>
      </w:r>
    </w:p>
    <w:p>
      <w:pPr>
        <w:pStyle w:val="217"/>
        <w:rPr>
          <w:color w:val="auto"/>
          <w:highlight w:val="none"/>
        </w:rPr>
      </w:pPr>
      <w:r>
        <w:rPr>
          <w:color w:val="auto"/>
          <w:highlight w:val="none"/>
        </w:rPr>
        <w:t>1</w:t>
      </w:r>
      <w:r>
        <w:rPr>
          <w:rFonts w:hint="eastAsia"/>
          <w:color w:val="auto"/>
          <w:highlight w:val="none"/>
        </w:rPr>
        <w:t>）施工工艺流程：</w:t>
      </w:r>
    </w:p>
    <w:p>
      <w:pPr>
        <w:pStyle w:val="217"/>
        <w:rPr>
          <w:color w:val="auto"/>
          <w:highlight w:val="none"/>
        </w:rPr>
      </w:pPr>
      <w:r>
        <w:rPr>
          <w:rFonts w:hint="eastAsia"/>
          <w:color w:val="auto"/>
          <w:highlight w:val="none"/>
        </w:rPr>
        <w:t>弹线一安放金属门窗框一临时固定一校正一预埋件</w:t>
      </w:r>
      <w:r>
        <w:rPr>
          <w:color w:val="auto"/>
          <w:highlight w:val="none"/>
        </w:rPr>
        <w:t>(</w:t>
      </w:r>
      <w:r>
        <w:rPr>
          <w:rFonts w:hint="eastAsia"/>
          <w:color w:val="auto"/>
          <w:highlight w:val="none"/>
        </w:rPr>
        <w:t>包括防雷接地</w:t>
      </w:r>
      <w:r>
        <w:rPr>
          <w:color w:val="auto"/>
          <w:highlight w:val="none"/>
        </w:rPr>
        <w:t>)</w:t>
      </w:r>
      <w:r>
        <w:rPr>
          <w:rFonts w:hint="eastAsia"/>
          <w:color w:val="auto"/>
          <w:highlight w:val="none"/>
        </w:rPr>
        <w:t>验收一贴保护胶纸一填缝一门窗扇安装一安装玻璃一清理。</w:t>
      </w:r>
    </w:p>
    <w:p>
      <w:pPr>
        <w:pStyle w:val="217"/>
        <w:rPr>
          <w:color w:val="auto"/>
          <w:highlight w:val="none"/>
        </w:rPr>
      </w:pPr>
      <w:r>
        <w:rPr>
          <w:rFonts w:hint="eastAsia"/>
          <w:color w:val="auto"/>
          <w:highlight w:val="none"/>
        </w:rPr>
        <w:t>①弹线：按设计要求在门、窗洞口弹出门窗位置线，并注意同一立面的窗在水平及垂直方向应做到整齐一致，还要特别注意室内地面的标高，地弹簧的表面，应该与室内地面标高一致。</w:t>
      </w:r>
    </w:p>
    <w:p>
      <w:pPr>
        <w:pStyle w:val="217"/>
        <w:rPr>
          <w:color w:val="auto"/>
          <w:highlight w:val="none"/>
        </w:rPr>
      </w:pPr>
      <w:r>
        <w:rPr>
          <w:rFonts w:hint="eastAsia"/>
          <w:color w:val="auto"/>
          <w:highlight w:val="none"/>
        </w:rPr>
        <w:t>②安框：在安装制作好的金属窗、门框时，吊垂线后要卡方，待两条对角线的长度相等，表面垂直后，将框临时用木楔固定，待检查立面垂直，左右间隙，上下位置符合要求后，再用射钉将镀锌锚固板固定在结构上。</w:t>
      </w:r>
    </w:p>
    <w:p>
      <w:pPr>
        <w:pStyle w:val="217"/>
        <w:rPr>
          <w:color w:val="auto"/>
          <w:highlight w:val="none"/>
        </w:rPr>
      </w:pPr>
      <w:r>
        <w:rPr>
          <w:rFonts w:hint="eastAsia"/>
          <w:color w:val="auto"/>
          <w:highlight w:val="none"/>
        </w:rPr>
        <w:t>③填缝：金属门、窗框在填缝前经过平整、垂直度等的安装质量复查后，再将框周围清扫干净，洒水湿润基层。</w:t>
      </w:r>
    </w:p>
    <w:p>
      <w:pPr>
        <w:pStyle w:val="217"/>
        <w:rPr>
          <w:color w:val="auto"/>
          <w:highlight w:val="none"/>
        </w:rPr>
      </w:pPr>
      <w:r>
        <w:rPr>
          <w:rFonts w:hint="eastAsia"/>
          <w:color w:val="auto"/>
          <w:highlight w:val="none"/>
        </w:rPr>
        <w:t>对于较宽的窗框，仅靠内外挤灰时挤进一部分灰是不能饱满的，应专门进行填缝。填缝所用的材料，原则上按设计要求选用，但不论选用何种材料，应达到密闭防水的目的。当用水泥砂浆做填缝材料时，门、窗框的外侧应刷上防腐剂。</w:t>
      </w:r>
    </w:p>
    <w:p>
      <w:pPr>
        <w:pStyle w:val="217"/>
        <w:rPr>
          <w:color w:val="auto"/>
          <w:highlight w:val="none"/>
        </w:rPr>
      </w:pPr>
      <w:r>
        <w:rPr>
          <w:rFonts w:hint="eastAsia"/>
          <w:color w:val="auto"/>
          <w:highlight w:val="none"/>
        </w:rPr>
        <w:t>④抹面：金属框四周的塞灰砂浆达到一定的强度后</w:t>
      </w:r>
      <w:r>
        <w:rPr>
          <w:color w:val="auto"/>
          <w:highlight w:val="none"/>
        </w:rPr>
        <w:t>(</w:t>
      </w:r>
      <w:r>
        <w:rPr>
          <w:rFonts w:hint="eastAsia"/>
          <w:color w:val="auto"/>
          <w:highlight w:val="none"/>
        </w:rPr>
        <w:t>一般需</w:t>
      </w:r>
      <w:r>
        <w:rPr>
          <w:color w:val="auto"/>
          <w:highlight w:val="none"/>
        </w:rPr>
        <w:t>24h)</w:t>
      </w:r>
      <w:r>
        <w:rPr>
          <w:rFonts w:hint="eastAsia"/>
          <w:color w:val="auto"/>
          <w:highlight w:val="none"/>
        </w:rPr>
        <w:t>，才能轻轻取下框旁的木楔，继续补灰，然后才能抹面层。压平抹光。</w:t>
      </w:r>
    </w:p>
    <w:p>
      <w:pPr>
        <w:pStyle w:val="217"/>
        <w:rPr>
          <w:color w:val="auto"/>
          <w:highlight w:val="none"/>
        </w:rPr>
      </w:pPr>
      <w:r>
        <w:rPr>
          <w:rFonts w:hint="eastAsia"/>
          <w:color w:val="auto"/>
          <w:highlight w:val="none"/>
        </w:rPr>
        <w:t>⑤门、窗扇的安装</w:t>
      </w:r>
      <w:r>
        <w:rPr>
          <w:color w:val="auto"/>
          <w:highlight w:val="none"/>
        </w:rPr>
        <w:t xml:space="preserve">  </w:t>
      </w:r>
    </w:p>
    <w:p>
      <w:pPr>
        <w:pStyle w:val="217"/>
        <w:rPr>
          <w:color w:val="auto"/>
          <w:highlight w:val="none"/>
        </w:rPr>
      </w:pPr>
      <w:r>
        <w:rPr>
          <w:color w:val="auto"/>
          <w:highlight w:val="none"/>
        </w:rPr>
        <w:t>a.</w:t>
      </w:r>
      <w:r>
        <w:rPr>
          <w:rFonts w:hint="eastAsia"/>
          <w:color w:val="auto"/>
          <w:highlight w:val="none"/>
        </w:rPr>
        <w:t>在土建施工基本做完的情况下方可进行安装，应合理安排进度。</w:t>
      </w:r>
    </w:p>
    <w:p>
      <w:pPr>
        <w:pStyle w:val="217"/>
        <w:rPr>
          <w:color w:val="auto"/>
          <w:highlight w:val="none"/>
        </w:rPr>
      </w:pPr>
      <w:r>
        <w:rPr>
          <w:color w:val="auto"/>
          <w:highlight w:val="none"/>
        </w:rPr>
        <w:t>b.</w:t>
      </w:r>
      <w:r>
        <w:rPr>
          <w:rFonts w:hint="eastAsia"/>
          <w:color w:val="auto"/>
          <w:highlight w:val="none"/>
        </w:rPr>
        <w:t>平开窗扇安装前，先固定窗铰链，然后将窗铰链与窗扇固定，框装扇必须保证窗扇立面在同一平面内，要达到周边密封，启闭灵活。</w:t>
      </w:r>
      <w:r>
        <w:rPr>
          <w:color w:val="auto"/>
          <w:highlight w:val="none"/>
        </w:rPr>
        <w:t xml:space="preserve"> </w:t>
      </w:r>
    </w:p>
    <w:p>
      <w:pPr>
        <w:pStyle w:val="217"/>
        <w:rPr>
          <w:color w:val="auto"/>
          <w:highlight w:val="none"/>
        </w:rPr>
      </w:pPr>
      <w:r>
        <w:rPr>
          <w:color w:val="auto"/>
          <w:highlight w:val="none"/>
        </w:rPr>
        <w:t>c.</w:t>
      </w:r>
      <w:r>
        <w:rPr>
          <w:rFonts w:hint="eastAsia"/>
          <w:color w:val="auto"/>
          <w:highlight w:val="none"/>
        </w:rPr>
        <w:t>如是安装门扇，下面安装地弹自由簧，可向内外自由开闭。</w:t>
      </w:r>
      <w:r>
        <w:rPr>
          <w:color w:val="auto"/>
          <w:highlight w:val="none"/>
        </w:rPr>
        <w:t xml:space="preserve"> </w:t>
      </w:r>
    </w:p>
    <w:p>
      <w:pPr>
        <w:pStyle w:val="217"/>
        <w:rPr>
          <w:color w:val="auto"/>
          <w:highlight w:val="none"/>
        </w:rPr>
      </w:pPr>
      <w:r>
        <w:rPr>
          <w:rFonts w:hint="eastAsia"/>
          <w:color w:val="auto"/>
          <w:highlight w:val="none"/>
        </w:rPr>
        <w:t>⑥安装玻璃</w:t>
      </w:r>
      <w:r>
        <w:rPr>
          <w:color w:val="auto"/>
          <w:highlight w:val="none"/>
        </w:rPr>
        <w:t xml:space="preserve">   </w:t>
      </w:r>
    </w:p>
    <w:p>
      <w:pPr>
        <w:pStyle w:val="217"/>
        <w:rPr>
          <w:color w:val="auto"/>
          <w:highlight w:val="none"/>
        </w:rPr>
      </w:pPr>
      <w:r>
        <w:rPr>
          <w:color w:val="auto"/>
          <w:highlight w:val="none"/>
        </w:rPr>
        <w:t>a.</w:t>
      </w:r>
      <w:r>
        <w:rPr>
          <w:rFonts w:hint="eastAsia"/>
          <w:color w:val="auto"/>
          <w:highlight w:val="none"/>
        </w:rPr>
        <w:t>裁玻璃。按照门、窗扇的内口实际尺寸，合理计划用料，裁割玻璃，分类堆放整齐，底层垫实找平。</w:t>
      </w:r>
      <w:r>
        <w:rPr>
          <w:color w:val="auto"/>
          <w:highlight w:val="none"/>
        </w:rPr>
        <w:t xml:space="preserve">  </w:t>
      </w:r>
    </w:p>
    <w:p>
      <w:pPr>
        <w:pStyle w:val="217"/>
        <w:rPr>
          <w:color w:val="auto"/>
          <w:highlight w:val="none"/>
        </w:rPr>
      </w:pPr>
      <w:r>
        <w:rPr>
          <w:color w:val="auto"/>
          <w:highlight w:val="none"/>
        </w:rPr>
        <w:t>b.</w:t>
      </w:r>
      <w:r>
        <w:rPr>
          <w:rFonts w:hint="eastAsia"/>
          <w:color w:val="auto"/>
          <w:highlight w:val="none"/>
        </w:rPr>
        <w:t>安装玻璃。当玻璃单块尺寸较小时，可以用双手夹住就位。如果玻璃尺寸较大，为方便操作，往往用玻璃吸盘。玻璃应该摆在凹槽的中间，内、外两侧的间隙应不少于</w:t>
      </w:r>
      <w:r>
        <w:rPr>
          <w:color w:val="auto"/>
          <w:highlight w:val="none"/>
        </w:rPr>
        <w:t>2mm</w:t>
      </w:r>
      <w:r>
        <w:rPr>
          <w:rFonts w:hint="eastAsia"/>
          <w:color w:val="auto"/>
          <w:highlight w:val="none"/>
        </w:rPr>
        <w:t>。</w:t>
      </w:r>
    </w:p>
    <w:p>
      <w:pPr>
        <w:pStyle w:val="217"/>
        <w:rPr>
          <w:color w:val="auto"/>
          <w:highlight w:val="none"/>
        </w:rPr>
      </w:pPr>
      <w:r>
        <w:rPr>
          <w:color w:val="auto"/>
          <w:highlight w:val="none"/>
        </w:rPr>
        <w:t>c.</w:t>
      </w:r>
      <w:r>
        <w:rPr>
          <w:rFonts w:hint="eastAsia"/>
          <w:color w:val="auto"/>
          <w:highlight w:val="none"/>
        </w:rPr>
        <w:t>玻璃密封和固定。玻璃就位后，应及时用胶条固定。型材镶嵌玻璃的凹槽内。玻璃的下部不能直接座落在金属面上，而应用</w:t>
      </w:r>
      <w:r>
        <w:rPr>
          <w:color w:val="auto"/>
          <w:highlight w:val="none"/>
        </w:rPr>
        <w:t>3mm</w:t>
      </w:r>
      <w:r>
        <w:rPr>
          <w:rFonts w:hint="eastAsia"/>
          <w:color w:val="auto"/>
          <w:highlight w:val="none"/>
        </w:rPr>
        <w:t>厚的氯丁橡胶垫块将玻璃垫起。</w:t>
      </w:r>
    </w:p>
    <w:p>
      <w:pPr>
        <w:pStyle w:val="217"/>
        <w:rPr>
          <w:color w:val="auto"/>
          <w:highlight w:val="none"/>
        </w:rPr>
      </w:pPr>
      <w:r>
        <w:rPr>
          <w:rFonts w:hint="eastAsia"/>
          <w:color w:val="auto"/>
          <w:highlight w:val="none"/>
        </w:rPr>
        <w:t>⑦金属门、窗完工前，应将型材表面的塑料胶纸撕掉。</w:t>
      </w:r>
      <w:r>
        <w:rPr>
          <w:color w:val="auto"/>
          <w:highlight w:val="none"/>
        </w:rPr>
        <w:t xml:space="preserve">   </w:t>
      </w:r>
    </w:p>
    <w:p>
      <w:pPr>
        <w:pStyle w:val="217"/>
        <w:rPr>
          <w:color w:val="auto"/>
          <w:highlight w:val="none"/>
        </w:rPr>
      </w:pPr>
      <w:r>
        <w:rPr>
          <w:color w:val="auto"/>
          <w:highlight w:val="none"/>
        </w:rPr>
        <w:t>3.</w:t>
      </w:r>
      <w:r>
        <w:rPr>
          <w:rFonts w:hint="eastAsia"/>
          <w:color w:val="auto"/>
          <w:highlight w:val="none"/>
        </w:rPr>
        <w:t>门窗工程的深化设计要求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）本工程所注门窗尺寸均为洞口尺寸，门窗制作时应按门窗立面图要求预留安装尺寸，门窗立面为外视立面。</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本设计图中的门窗立面图及玻璃隔断立面图只表示门窗、隔断的立面分格示意和形式及开启方式，其构件尺寸、截面大小、构件节点和安装图等应由生产厂家进行深化设计。外门窗的抗风性能、空气渗透性能、雨水渗透性能等由生产负责保证符合现行国家标准规定，满足使用要求。生产厂家的深化设计图需经建设、设计、监理审核后才能进行加工和安装。</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）本工程须按国家现行法律法规及设计图纸要求使用安全玻璃。</w:t>
      </w:r>
    </w:p>
    <w:p>
      <w:pPr>
        <w:pStyle w:val="172"/>
        <w:rPr>
          <w:color w:val="auto"/>
          <w:highlight w:val="none"/>
        </w:rPr>
      </w:pPr>
      <w:r>
        <w:rPr>
          <w:color w:val="auto"/>
          <w:highlight w:val="none"/>
        </w:rPr>
        <w:t xml:space="preserve">3.4.3 </w:t>
      </w:r>
      <w:r>
        <w:rPr>
          <w:rFonts w:hint="eastAsia"/>
          <w:color w:val="auto"/>
          <w:highlight w:val="none"/>
        </w:rPr>
        <w:t>吊顶工程</w:t>
      </w:r>
    </w:p>
    <w:p>
      <w:pPr>
        <w:pStyle w:val="119"/>
        <w:rPr>
          <w:color w:val="auto"/>
          <w:highlight w:val="none"/>
        </w:rPr>
      </w:pPr>
      <w:r>
        <w:rPr>
          <w:color w:val="auto"/>
          <w:highlight w:val="none"/>
        </w:rPr>
        <w:t xml:space="preserve">3.4.3.1 </w:t>
      </w:r>
      <w:r>
        <w:rPr>
          <w:rFonts w:hint="eastAsia"/>
          <w:color w:val="auto"/>
          <w:highlight w:val="none"/>
        </w:rPr>
        <w:t>龙骨吊顶材料要求</w:t>
      </w:r>
    </w:p>
    <w:p>
      <w:pPr>
        <w:pStyle w:val="217"/>
        <w:rPr>
          <w:color w:val="auto"/>
          <w:highlight w:val="none"/>
        </w:rPr>
      </w:pPr>
      <w:r>
        <w:rPr>
          <w:color w:val="auto"/>
          <w:highlight w:val="none"/>
        </w:rPr>
        <w:t>1.</w:t>
      </w:r>
      <w:r>
        <w:rPr>
          <w:rFonts w:hint="eastAsia"/>
          <w:color w:val="auto"/>
          <w:highlight w:val="none"/>
        </w:rPr>
        <w:t>龙骨材料的类别与型号应符合设计要求，承包人须提供产品合格证。</w:t>
      </w:r>
    </w:p>
    <w:p>
      <w:pPr>
        <w:pStyle w:val="217"/>
        <w:rPr>
          <w:color w:val="auto"/>
          <w:highlight w:val="none"/>
        </w:rPr>
      </w:pPr>
      <w:r>
        <w:rPr>
          <w:color w:val="auto"/>
          <w:highlight w:val="none"/>
        </w:rPr>
        <w:t>2.</w:t>
      </w:r>
      <w:r>
        <w:rPr>
          <w:rFonts w:hint="eastAsia"/>
          <w:color w:val="auto"/>
          <w:highlight w:val="none"/>
        </w:rPr>
        <w:t>罩面板材料和形状尺寸应符合设计要求，要求承包人提供其产品合格证。</w:t>
      </w:r>
    </w:p>
    <w:p>
      <w:pPr>
        <w:pStyle w:val="119"/>
        <w:rPr>
          <w:color w:val="auto"/>
          <w:highlight w:val="none"/>
        </w:rPr>
      </w:pPr>
      <w:r>
        <w:rPr>
          <w:color w:val="auto"/>
          <w:highlight w:val="none"/>
        </w:rPr>
        <w:t xml:space="preserve">3.4.3.2 </w:t>
      </w:r>
      <w:r>
        <w:rPr>
          <w:rFonts w:hint="eastAsia"/>
          <w:color w:val="auto"/>
          <w:highlight w:val="none"/>
        </w:rPr>
        <w:t>龙骨吊顶的施工技术要求</w:t>
      </w:r>
    </w:p>
    <w:p>
      <w:pPr>
        <w:pStyle w:val="217"/>
        <w:rPr>
          <w:color w:val="auto"/>
          <w:highlight w:val="none"/>
        </w:rPr>
      </w:pPr>
      <w:r>
        <w:rPr>
          <w:rFonts w:hint="eastAsia"/>
          <w:color w:val="auto"/>
          <w:highlight w:val="none"/>
        </w:rPr>
        <w:t>吊顶施工前应对设计图纸进行了解，同时针对现场的安装情况进行深化排板，复核现场标高是否能达到设计要求。检查顶棚内所有的水、电、通风、空调等管线是否安装完毕（吊顶应在设备安装基本完成后进行，相对来说，明龙骨吊顶的材料较单薄，截面小易碰撞变形，所以应对产品加强保护）。</w:t>
      </w:r>
    </w:p>
    <w:p>
      <w:pPr>
        <w:pStyle w:val="217"/>
        <w:rPr>
          <w:color w:val="auto"/>
          <w:highlight w:val="none"/>
        </w:rPr>
      </w:pPr>
      <w:r>
        <w:rPr>
          <w:color w:val="auto"/>
          <w:highlight w:val="none"/>
        </w:rPr>
        <w:t>1.</w:t>
      </w:r>
      <w:r>
        <w:rPr>
          <w:rFonts w:hint="eastAsia"/>
          <w:color w:val="auto"/>
          <w:highlight w:val="none"/>
        </w:rPr>
        <w:t>熟识图纸，了解天棚上的灯具、广播喇叭、空调口、喷淋头、消防探头的具体位置，使主龙骨在吊放时尽量避开。</w:t>
      </w:r>
    </w:p>
    <w:p>
      <w:pPr>
        <w:pStyle w:val="217"/>
        <w:rPr>
          <w:color w:val="auto"/>
          <w:highlight w:val="none"/>
        </w:rPr>
      </w:pPr>
      <w:r>
        <w:rPr>
          <w:color w:val="auto"/>
          <w:highlight w:val="none"/>
        </w:rPr>
        <w:t>2.</w:t>
      </w:r>
      <w:r>
        <w:rPr>
          <w:rFonts w:hint="eastAsia"/>
          <w:color w:val="auto"/>
          <w:highlight w:val="none"/>
        </w:rPr>
        <w:t>于相应部位弹出龙骨安装标高及其水平线、分格线、吊点位置线。顶棚平面布置图中须穿出顶棚罩面板安装的灯槽等与龙骨框格应确保吻合。</w:t>
      </w:r>
    </w:p>
    <w:p>
      <w:pPr>
        <w:pStyle w:val="217"/>
        <w:rPr>
          <w:color w:val="auto"/>
          <w:highlight w:val="none"/>
        </w:rPr>
      </w:pPr>
      <w:r>
        <w:rPr>
          <w:color w:val="auto"/>
          <w:highlight w:val="none"/>
        </w:rPr>
        <w:t>3.</w:t>
      </w:r>
      <w:r>
        <w:rPr>
          <w:rFonts w:hint="eastAsia"/>
          <w:color w:val="auto"/>
          <w:highlight w:val="none"/>
        </w:rPr>
        <w:t>龙骨要有足够的刚度，主龙骨的连接处应相互错位，不宜安装在同一条线上；安装需要水平、顺直方正。</w:t>
      </w:r>
    </w:p>
    <w:p>
      <w:pPr>
        <w:pStyle w:val="217"/>
        <w:rPr>
          <w:color w:val="auto"/>
          <w:highlight w:val="none"/>
        </w:rPr>
      </w:pPr>
      <w:r>
        <w:rPr>
          <w:color w:val="auto"/>
          <w:highlight w:val="none"/>
        </w:rPr>
        <w:t>4.</w:t>
      </w:r>
      <w:r>
        <w:rPr>
          <w:rFonts w:hint="eastAsia"/>
          <w:color w:val="auto"/>
          <w:highlight w:val="none"/>
        </w:rPr>
        <w:t>吊筋与主龙骨的端部距离不得超过</w:t>
      </w:r>
      <w:r>
        <w:rPr>
          <w:color w:val="auto"/>
          <w:highlight w:val="none"/>
        </w:rPr>
        <w:t>300mm,</w:t>
      </w:r>
      <w:r>
        <w:rPr>
          <w:rFonts w:hint="eastAsia"/>
          <w:color w:val="auto"/>
          <w:highlight w:val="none"/>
        </w:rPr>
        <w:t>以免龙骨悬臂过大而造成端部下坠变形。</w:t>
      </w:r>
    </w:p>
    <w:p>
      <w:pPr>
        <w:pStyle w:val="217"/>
        <w:rPr>
          <w:color w:val="auto"/>
          <w:highlight w:val="none"/>
        </w:rPr>
      </w:pPr>
      <w:r>
        <w:rPr>
          <w:color w:val="auto"/>
          <w:highlight w:val="none"/>
        </w:rPr>
        <w:t>5.</w:t>
      </w:r>
      <w:r>
        <w:rPr>
          <w:rFonts w:hint="eastAsia"/>
          <w:color w:val="auto"/>
          <w:highlight w:val="none"/>
        </w:rPr>
        <w:t>轻钢龙骨在施工中应有起拱高度，且应不小于房间短向跨度的起拱</w:t>
      </w:r>
      <w:r>
        <w:rPr>
          <w:color w:val="auto"/>
          <w:highlight w:val="none"/>
        </w:rPr>
        <w:t>1/1000</w:t>
      </w:r>
      <w:r>
        <w:rPr>
          <w:rFonts w:hint="eastAsia"/>
          <w:color w:val="auto"/>
          <w:highlight w:val="none"/>
        </w:rPr>
        <w:t>（</w:t>
      </w:r>
      <w:r>
        <w:rPr>
          <w:color w:val="auto"/>
          <w:highlight w:val="none"/>
        </w:rPr>
        <w:t>10</w:t>
      </w:r>
      <w:r>
        <w:rPr>
          <w:rFonts w:hint="eastAsia"/>
          <w:color w:val="auto"/>
          <w:highlight w:val="none"/>
        </w:rPr>
        <w:t>米跨内水平线上，中心提升</w:t>
      </w:r>
      <w:r>
        <w:rPr>
          <w:color w:val="auto"/>
          <w:highlight w:val="none"/>
        </w:rPr>
        <w:t>10mm</w:t>
      </w:r>
      <w:r>
        <w:rPr>
          <w:rFonts w:hint="eastAsia"/>
          <w:color w:val="auto"/>
          <w:highlight w:val="none"/>
        </w:rPr>
        <w:t>高）</w:t>
      </w:r>
      <w:r>
        <w:rPr>
          <w:color w:val="auto"/>
          <w:highlight w:val="none"/>
        </w:rPr>
        <w:t>,</w:t>
      </w:r>
      <w:r>
        <w:rPr>
          <w:rFonts w:hint="eastAsia"/>
          <w:color w:val="auto"/>
          <w:highlight w:val="none"/>
        </w:rPr>
        <w:t>跨度越大起拱随之增大。</w:t>
      </w:r>
    </w:p>
    <w:p>
      <w:pPr>
        <w:pStyle w:val="217"/>
        <w:rPr>
          <w:color w:val="auto"/>
          <w:highlight w:val="none"/>
        </w:rPr>
      </w:pPr>
      <w:r>
        <w:rPr>
          <w:color w:val="auto"/>
          <w:highlight w:val="none"/>
        </w:rPr>
        <w:t>6.</w:t>
      </w:r>
      <w:r>
        <w:rPr>
          <w:rFonts w:hint="eastAsia"/>
          <w:color w:val="auto"/>
          <w:highlight w:val="none"/>
        </w:rPr>
        <w:t>主龙骨吊点间必须保证</w:t>
      </w:r>
      <w:r>
        <w:rPr>
          <w:color w:val="auto"/>
          <w:highlight w:val="none"/>
        </w:rPr>
        <w:t>1</w:t>
      </w:r>
      <w:r>
        <w:rPr>
          <w:rFonts w:hint="eastAsia"/>
          <w:color w:val="auto"/>
          <w:highlight w:val="none"/>
        </w:rPr>
        <w:t>平方米内有一吊杆，吊杆长度不大于</w:t>
      </w:r>
      <w:r>
        <w:rPr>
          <w:color w:val="auto"/>
          <w:highlight w:val="none"/>
        </w:rPr>
        <w:t>1.2m</w:t>
      </w:r>
      <w:r>
        <w:rPr>
          <w:rFonts w:hint="eastAsia"/>
          <w:color w:val="auto"/>
          <w:highlight w:val="none"/>
        </w:rPr>
        <w:t>可采用为Φ</w:t>
      </w:r>
      <w:r>
        <w:rPr>
          <w:color w:val="auto"/>
          <w:highlight w:val="none"/>
        </w:rPr>
        <w:t>8mm</w:t>
      </w:r>
      <w:r>
        <w:rPr>
          <w:rFonts w:hint="eastAsia"/>
          <w:color w:val="auto"/>
          <w:highlight w:val="none"/>
        </w:rPr>
        <w:t>的钢筋作为吊杆，拉爆螺丝应完全拉紧，不得有松动，若吊杆长度大于</w:t>
      </w:r>
      <w:r>
        <w:rPr>
          <w:color w:val="auto"/>
          <w:highlight w:val="none"/>
        </w:rPr>
        <w:t>1.2m</w:t>
      </w:r>
      <w:r>
        <w:rPr>
          <w:rFonts w:hint="eastAsia"/>
          <w:color w:val="auto"/>
          <w:highlight w:val="none"/>
        </w:rPr>
        <w:t>，需采用</w:t>
      </w:r>
      <w:r>
        <w:rPr>
          <w:color w:val="auto"/>
          <w:highlight w:val="none"/>
        </w:rPr>
        <w:t>L45x4mm</w:t>
      </w:r>
      <w:r>
        <w:rPr>
          <w:rFonts w:hint="eastAsia"/>
          <w:color w:val="auto"/>
          <w:highlight w:val="none"/>
        </w:rPr>
        <w:t>角钢作为吊杆，并设置反支撑。</w:t>
      </w:r>
    </w:p>
    <w:p>
      <w:pPr>
        <w:pStyle w:val="217"/>
        <w:rPr>
          <w:color w:val="auto"/>
          <w:highlight w:val="none"/>
        </w:rPr>
      </w:pPr>
      <w:r>
        <w:rPr>
          <w:color w:val="auto"/>
          <w:highlight w:val="none"/>
        </w:rPr>
        <w:t>7.</w:t>
      </w:r>
      <w:r>
        <w:rPr>
          <w:rFonts w:hint="eastAsia"/>
          <w:color w:val="auto"/>
          <w:highlight w:val="none"/>
        </w:rPr>
        <w:t>主龙骨的型号必须满足承受吊顶荷载的要求，主龙骨的间距应不大于</w:t>
      </w:r>
      <w:r>
        <w:rPr>
          <w:color w:val="auto"/>
          <w:highlight w:val="none"/>
        </w:rPr>
        <w:t>800mm</w:t>
      </w:r>
      <w:r>
        <w:rPr>
          <w:rFonts w:hint="eastAsia"/>
          <w:color w:val="auto"/>
          <w:highlight w:val="none"/>
        </w:rPr>
        <w:t>，次龙骨的间距不得大于</w:t>
      </w:r>
      <w:r>
        <w:rPr>
          <w:color w:val="auto"/>
          <w:highlight w:val="none"/>
        </w:rPr>
        <w:t>400</w:t>
      </w:r>
      <w:r>
        <w:rPr>
          <w:rFonts w:hint="eastAsia"/>
          <w:color w:val="auto"/>
          <w:highlight w:val="none"/>
        </w:rPr>
        <w:t>×</w:t>
      </w:r>
      <w:r>
        <w:rPr>
          <w:color w:val="auto"/>
          <w:highlight w:val="none"/>
        </w:rPr>
        <w:t>600mm</w:t>
      </w:r>
      <w:r>
        <w:rPr>
          <w:rFonts w:hint="eastAsia"/>
          <w:color w:val="auto"/>
          <w:highlight w:val="none"/>
        </w:rPr>
        <w:t>。</w:t>
      </w:r>
    </w:p>
    <w:p>
      <w:pPr>
        <w:pStyle w:val="217"/>
        <w:rPr>
          <w:color w:val="auto"/>
          <w:highlight w:val="none"/>
        </w:rPr>
      </w:pPr>
      <w:r>
        <w:rPr>
          <w:color w:val="auto"/>
          <w:highlight w:val="none"/>
        </w:rPr>
        <w:t>8.</w:t>
      </w:r>
      <w:r>
        <w:rPr>
          <w:rFonts w:hint="eastAsia"/>
          <w:color w:val="auto"/>
          <w:highlight w:val="none"/>
        </w:rPr>
        <w:t>所有金属连接杆，吊挂件等是应进行防锈处理，纵横龙骨平面相交连接应牢固、密合、平齐、方正。框格尺寸应该与罩面板规格相符，并留有安装间隔。</w:t>
      </w:r>
    </w:p>
    <w:p>
      <w:pPr>
        <w:pStyle w:val="217"/>
        <w:rPr>
          <w:color w:val="auto"/>
          <w:highlight w:val="none"/>
        </w:rPr>
      </w:pPr>
      <w:r>
        <w:rPr>
          <w:color w:val="auto"/>
          <w:highlight w:val="none"/>
        </w:rPr>
        <w:t>9.</w:t>
      </w:r>
      <w:r>
        <w:rPr>
          <w:rFonts w:hint="eastAsia"/>
          <w:color w:val="auto"/>
          <w:highlight w:val="none"/>
        </w:rPr>
        <w:t>各吊杆应位置正确，通直，固定牢靠，确保有足够承载能力。</w:t>
      </w:r>
    </w:p>
    <w:p>
      <w:pPr>
        <w:pStyle w:val="217"/>
        <w:rPr>
          <w:color w:val="auto"/>
          <w:highlight w:val="none"/>
        </w:rPr>
      </w:pPr>
      <w:r>
        <w:rPr>
          <w:color w:val="auto"/>
          <w:highlight w:val="none"/>
        </w:rPr>
        <w:t>10.</w:t>
      </w:r>
      <w:r>
        <w:rPr>
          <w:rFonts w:hint="eastAsia"/>
          <w:color w:val="auto"/>
          <w:highlight w:val="none"/>
        </w:rPr>
        <w:t>需安装在结构基体下及顶棚内所有水、电、通风、空调等管线应保证已安装完，并已完成管道充水试压。</w:t>
      </w:r>
    </w:p>
    <w:p>
      <w:pPr>
        <w:pStyle w:val="119"/>
        <w:rPr>
          <w:color w:val="auto"/>
          <w:highlight w:val="none"/>
        </w:rPr>
      </w:pPr>
      <w:r>
        <w:rPr>
          <w:color w:val="auto"/>
          <w:highlight w:val="none"/>
        </w:rPr>
        <w:t xml:space="preserve">3.4.3.3 </w:t>
      </w:r>
      <w:r>
        <w:rPr>
          <w:rFonts w:hint="eastAsia"/>
          <w:color w:val="auto"/>
          <w:highlight w:val="none"/>
        </w:rPr>
        <w:t>龙骨吊顶罩面板安装施工技术要求</w:t>
      </w:r>
    </w:p>
    <w:p>
      <w:pPr>
        <w:pStyle w:val="217"/>
        <w:rPr>
          <w:color w:val="auto"/>
          <w:highlight w:val="none"/>
        </w:rPr>
      </w:pPr>
      <w:r>
        <w:rPr>
          <w:color w:val="auto"/>
          <w:highlight w:val="none"/>
        </w:rPr>
        <w:t>1.</w:t>
      </w:r>
      <w:r>
        <w:rPr>
          <w:rFonts w:hint="eastAsia"/>
          <w:color w:val="auto"/>
          <w:highlight w:val="none"/>
        </w:rPr>
        <w:t>全面校正主次龙骨的位置及水平度，其他各专业工种也必须紧密地配合，做好各自的隐蔽工程，以便隐蔽验收后，才能进行石膏板封闭。</w:t>
      </w:r>
    </w:p>
    <w:p>
      <w:pPr>
        <w:pStyle w:val="217"/>
        <w:rPr>
          <w:color w:val="auto"/>
          <w:highlight w:val="none"/>
        </w:rPr>
      </w:pPr>
      <w:r>
        <w:rPr>
          <w:color w:val="auto"/>
          <w:highlight w:val="none"/>
        </w:rPr>
        <w:t>2.</w:t>
      </w:r>
      <w:r>
        <w:rPr>
          <w:rFonts w:hint="eastAsia"/>
          <w:color w:val="auto"/>
          <w:highlight w:val="none"/>
        </w:rPr>
        <w:t>罩面板质量应符合设计要求，质量合格，色泽一致，花纹图案得到建设单位的认可。</w:t>
      </w:r>
    </w:p>
    <w:p>
      <w:pPr>
        <w:pStyle w:val="217"/>
        <w:rPr>
          <w:color w:val="auto"/>
          <w:highlight w:val="none"/>
        </w:rPr>
      </w:pPr>
      <w:r>
        <w:rPr>
          <w:color w:val="auto"/>
          <w:highlight w:val="none"/>
        </w:rPr>
        <w:t>3.</w:t>
      </w:r>
      <w:r>
        <w:rPr>
          <w:rFonts w:hint="eastAsia"/>
          <w:color w:val="auto"/>
          <w:highlight w:val="none"/>
        </w:rPr>
        <w:t>罩面板材料应符合环保要求及卫生要求。</w:t>
      </w:r>
    </w:p>
    <w:p>
      <w:pPr>
        <w:pStyle w:val="217"/>
        <w:rPr>
          <w:color w:val="auto"/>
          <w:highlight w:val="none"/>
        </w:rPr>
      </w:pPr>
      <w:r>
        <w:rPr>
          <w:color w:val="auto"/>
          <w:highlight w:val="none"/>
        </w:rPr>
        <w:t>4.</w:t>
      </w:r>
      <w:r>
        <w:rPr>
          <w:rFonts w:hint="eastAsia"/>
          <w:color w:val="auto"/>
          <w:highlight w:val="none"/>
        </w:rPr>
        <w:t>接到天棚隐蔽工程记录认可表后，开始石膏板的安装，石膏板宜竖向铺设。安装时自攻螺钉与板边距离应为</w:t>
      </w:r>
      <w:r>
        <w:rPr>
          <w:color w:val="auto"/>
          <w:highlight w:val="none"/>
        </w:rPr>
        <w:t>10-15mm,</w:t>
      </w:r>
      <w:r>
        <w:rPr>
          <w:rFonts w:hint="eastAsia"/>
          <w:color w:val="auto"/>
          <w:highlight w:val="none"/>
        </w:rPr>
        <w:t>螺钉间距以</w:t>
      </w:r>
      <w:r>
        <w:rPr>
          <w:color w:val="auto"/>
          <w:highlight w:val="none"/>
        </w:rPr>
        <w:t>150-170mm</w:t>
      </w:r>
      <w:r>
        <w:rPr>
          <w:rFonts w:hint="eastAsia"/>
          <w:color w:val="auto"/>
          <w:highlight w:val="none"/>
        </w:rPr>
        <w:t>为宜</w:t>
      </w:r>
      <w:r>
        <w:rPr>
          <w:color w:val="auto"/>
          <w:highlight w:val="none"/>
        </w:rPr>
        <w:t>,</w:t>
      </w:r>
      <w:r>
        <w:rPr>
          <w:rFonts w:hint="eastAsia"/>
          <w:color w:val="auto"/>
          <w:highlight w:val="none"/>
        </w:rPr>
        <w:t>均匀固定。钉头嵌入板面深度以</w:t>
      </w:r>
      <w:r>
        <w:rPr>
          <w:color w:val="auto"/>
          <w:highlight w:val="none"/>
        </w:rPr>
        <w:t>0.5-1mm</w:t>
      </w:r>
      <w:r>
        <w:rPr>
          <w:rFonts w:hint="eastAsia"/>
          <w:color w:val="auto"/>
          <w:highlight w:val="none"/>
        </w:rPr>
        <w:t>为宜</w:t>
      </w:r>
      <w:r>
        <w:rPr>
          <w:color w:val="auto"/>
          <w:highlight w:val="none"/>
        </w:rPr>
        <w:t>,</w:t>
      </w:r>
      <w:r>
        <w:rPr>
          <w:rFonts w:hint="eastAsia"/>
          <w:color w:val="auto"/>
          <w:highlight w:val="none"/>
        </w:rPr>
        <w:t>板与板之间缝隙应在</w:t>
      </w:r>
      <w:r>
        <w:rPr>
          <w:color w:val="auto"/>
          <w:highlight w:val="none"/>
        </w:rPr>
        <w:t>3</w:t>
      </w:r>
      <w:r>
        <w:rPr>
          <w:rFonts w:hint="eastAsia"/>
          <w:color w:val="auto"/>
          <w:highlight w:val="none"/>
        </w:rPr>
        <w:t>～</w:t>
      </w:r>
      <w:r>
        <w:rPr>
          <w:color w:val="auto"/>
          <w:highlight w:val="none"/>
        </w:rPr>
        <w:t>5mm</w:t>
      </w:r>
      <w:r>
        <w:rPr>
          <w:rFonts w:hint="eastAsia"/>
          <w:color w:val="auto"/>
          <w:highlight w:val="none"/>
        </w:rPr>
        <w:t>左右</w:t>
      </w:r>
      <w:r>
        <w:rPr>
          <w:color w:val="auto"/>
          <w:highlight w:val="none"/>
        </w:rPr>
        <w:t>,</w:t>
      </w:r>
      <w:r>
        <w:rPr>
          <w:rFonts w:hint="eastAsia"/>
          <w:color w:val="auto"/>
          <w:highlight w:val="none"/>
        </w:rPr>
        <w:t>固定时应从一块板的中间向板的四边固定</w:t>
      </w:r>
      <w:r>
        <w:rPr>
          <w:color w:val="auto"/>
          <w:highlight w:val="none"/>
        </w:rPr>
        <w:t>,</w:t>
      </w:r>
      <w:r>
        <w:rPr>
          <w:rFonts w:hint="eastAsia"/>
          <w:color w:val="auto"/>
          <w:highlight w:val="none"/>
        </w:rPr>
        <w:t>不得多点同时操作。</w:t>
      </w:r>
    </w:p>
    <w:p>
      <w:pPr>
        <w:pStyle w:val="217"/>
        <w:rPr>
          <w:color w:val="auto"/>
          <w:highlight w:val="none"/>
        </w:rPr>
      </w:pPr>
      <w:r>
        <w:rPr>
          <w:color w:val="auto"/>
          <w:highlight w:val="none"/>
        </w:rPr>
        <w:t>5.</w:t>
      </w:r>
      <w:r>
        <w:rPr>
          <w:rFonts w:hint="eastAsia"/>
          <w:color w:val="auto"/>
          <w:highlight w:val="none"/>
        </w:rPr>
        <w:t>罩面板应安放平整，不得有翘曲变形、漏、透现象，有花纹图案的安装需要符合设计要求。</w:t>
      </w:r>
    </w:p>
    <w:p>
      <w:pPr>
        <w:pStyle w:val="217"/>
        <w:rPr>
          <w:color w:val="auto"/>
          <w:highlight w:val="none"/>
        </w:rPr>
      </w:pPr>
      <w:r>
        <w:rPr>
          <w:color w:val="auto"/>
          <w:highlight w:val="none"/>
        </w:rPr>
        <w:t>6.</w:t>
      </w:r>
      <w:r>
        <w:rPr>
          <w:rFonts w:hint="eastAsia"/>
          <w:color w:val="auto"/>
          <w:highlight w:val="none"/>
        </w:rPr>
        <w:t>罩面板表面应洁净，不得有污染、折裂、缺棱掉角、锤印及发霉等。</w:t>
      </w:r>
    </w:p>
    <w:p>
      <w:pPr>
        <w:pStyle w:val="217"/>
        <w:rPr>
          <w:color w:val="auto"/>
          <w:highlight w:val="none"/>
        </w:rPr>
      </w:pPr>
      <w:r>
        <w:rPr>
          <w:color w:val="auto"/>
          <w:highlight w:val="none"/>
        </w:rPr>
        <w:t>7.</w:t>
      </w:r>
      <w:r>
        <w:rPr>
          <w:rFonts w:hint="eastAsia"/>
          <w:color w:val="auto"/>
          <w:highlight w:val="none"/>
        </w:rPr>
        <w:t>半嵌式罩面板的接缝应均匀一致，高低启口不得有破裂的现象。</w:t>
      </w:r>
    </w:p>
    <w:p>
      <w:pPr>
        <w:pStyle w:val="217"/>
        <w:rPr>
          <w:color w:val="auto"/>
          <w:highlight w:val="none"/>
        </w:rPr>
      </w:pPr>
      <w:r>
        <w:rPr>
          <w:color w:val="auto"/>
          <w:highlight w:val="none"/>
        </w:rPr>
        <w:t>8.</w:t>
      </w:r>
      <w:r>
        <w:rPr>
          <w:rFonts w:hint="eastAsia"/>
          <w:color w:val="auto"/>
          <w:highlight w:val="none"/>
        </w:rPr>
        <w:t>凡用夹板造型的跌级天棚，应在地面上开线弹墨定位，再用悬垂挂线定出吊装跌级造型的准确位置。安装好吊装的支撑铁件或吊杆，试吊后临时挂起，通线后调平，再把跌级造型件紧固。所用的木方、夹板均要进行防火涂料处理，高级装饰还要进行防虫处理。</w:t>
      </w:r>
    </w:p>
    <w:p>
      <w:pPr>
        <w:pStyle w:val="217"/>
        <w:rPr>
          <w:color w:val="auto"/>
          <w:highlight w:val="none"/>
        </w:rPr>
      </w:pPr>
      <w:r>
        <w:rPr>
          <w:color w:val="auto"/>
          <w:highlight w:val="none"/>
        </w:rPr>
        <w:t>9.</w:t>
      </w:r>
      <w:r>
        <w:rPr>
          <w:rFonts w:hint="eastAsia"/>
          <w:color w:val="auto"/>
          <w:highlight w:val="none"/>
        </w:rPr>
        <w:t>螺钉眼应先刷防锈漆，再用石膏腻子点补，缝隙在填满后必须用纱布封闭，然后根据面层的装饰材料，做好板面的平整和防潮处理。</w:t>
      </w:r>
    </w:p>
    <w:p>
      <w:pPr>
        <w:pStyle w:val="217"/>
        <w:rPr>
          <w:color w:val="auto"/>
          <w:highlight w:val="none"/>
        </w:rPr>
      </w:pPr>
      <w:r>
        <w:rPr>
          <w:color w:val="auto"/>
          <w:highlight w:val="none"/>
        </w:rPr>
        <w:t>10.</w:t>
      </w:r>
      <w:r>
        <w:rPr>
          <w:rFonts w:hint="eastAsia"/>
          <w:color w:val="auto"/>
          <w:highlight w:val="none"/>
        </w:rPr>
        <w:t>工程质量允许偏差：（用</w:t>
      </w:r>
      <w:r>
        <w:rPr>
          <w:color w:val="auto"/>
          <w:highlight w:val="none"/>
        </w:rPr>
        <w:t>2m</w:t>
      </w:r>
      <w:r>
        <w:rPr>
          <w:rFonts w:hint="eastAsia"/>
          <w:color w:val="auto"/>
          <w:highlight w:val="none"/>
        </w:rPr>
        <w:t>靠尺和锲形塞形塞尺检查）石膏板：表面平整</w:t>
      </w:r>
      <w:r>
        <w:rPr>
          <w:color w:val="auto"/>
          <w:highlight w:val="none"/>
        </w:rPr>
        <w:t>3mm,</w:t>
      </w:r>
      <w:r>
        <w:rPr>
          <w:rFonts w:hint="eastAsia"/>
          <w:color w:val="auto"/>
          <w:highlight w:val="none"/>
        </w:rPr>
        <w:t>立面垂直</w:t>
      </w:r>
      <w:r>
        <w:rPr>
          <w:color w:val="auto"/>
          <w:highlight w:val="none"/>
        </w:rPr>
        <w:t>3mm,</w:t>
      </w:r>
      <w:r>
        <w:rPr>
          <w:rFonts w:hint="eastAsia"/>
          <w:color w:val="auto"/>
          <w:highlight w:val="none"/>
        </w:rPr>
        <w:t>接缝高低</w:t>
      </w:r>
      <w:r>
        <w:rPr>
          <w:color w:val="auto"/>
          <w:highlight w:val="none"/>
        </w:rPr>
        <w:t>1mm</w:t>
      </w:r>
      <w:r>
        <w:rPr>
          <w:rFonts w:hint="eastAsia"/>
          <w:color w:val="auto"/>
          <w:highlight w:val="none"/>
        </w:rPr>
        <w:t>；胶合板：表面平整</w:t>
      </w:r>
      <w:r>
        <w:rPr>
          <w:color w:val="auto"/>
          <w:highlight w:val="none"/>
        </w:rPr>
        <w:t>2mm,</w:t>
      </w:r>
      <w:r>
        <w:rPr>
          <w:rFonts w:hint="eastAsia"/>
          <w:color w:val="auto"/>
          <w:highlight w:val="none"/>
        </w:rPr>
        <w:t>立面垂直</w:t>
      </w:r>
      <w:r>
        <w:rPr>
          <w:color w:val="auto"/>
          <w:highlight w:val="none"/>
        </w:rPr>
        <w:t>3mm,</w:t>
      </w:r>
      <w:r>
        <w:rPr>
          <w:rFonts w:hint="eastAsia"/>
          <w:color w:val="auto"/>
          <w:highlight w:val="none"/>
        </w:rPr>
        <w:t>接缝高低</w:t>
      </w:r>
      <w:r>
        <w:rPr>
          <w:color w:val="auto"/>
          <w:highlight w:val="none"/>
        </w:rPr>
        <w:t>0.5mm</w:t>
      </w:r>
      <w:r>
        <w:rPr>
          <w:rFonts w:hint="eastAsia"/>
          <w:color w:val="auto"/>
          <w:highlight w:val="none"/>
        </w:rPr>
        <w:t>。</w:t>
      </w:r>
    </w:p>
    <w:p>
      <w:pPr>
        <w:pStyle w:val="172"/>
        <w:rPr>
          <w:color w:val="auto"/>
          <w:highlight w:val="none"/>
        </w:rPr>
      </w:pPr>
      <w:r>
        <w:rPr>
          <w:color w:val="auto"/>
          <w:highlight w:val="none"/>
        </w:rPr>
        <w:t xml:space="preserve">3.4.4 </w:t>
      </w:r>
      <w:r>
        <w:rPr>
          <w:rFonts w:hint="eastAsia"/>
          <w:color w:val="auto"/>
          <w:highlight w:val="none"/>
        </w:rPr>
        <w:t>涂饰工程</w:t>
      </w:r>
    </w:p>
    <w:p>
      <w:pPr>
        <w:pStyle w:val="119"/>
        <w:rPr>
          <w:color w:val="auto"/>
          <w:highlight w:val="none"/>
        </w:rPr>
      </w:pPr>
      <w:r>
        <w:rPr>
          <w:color w:val="auto"/>
          <w:highlight w:val="none"/>
        </w:rPr>
        <w:t xml:space="preserve">3.4.4.1 </w:t>
      </w:r>
      <w:r>
        <w:rPr>
          <w:rFonts w:hint="eastAsia"/>
          <w:color w:val="auto"/>
          <w:highlight w:val="none"/>
        </w:rPr>
        <w:t>涂料饰面工程施工前作业条件</w:t>
      </w:r>
    </w:p>
    <w:p>
      <w:pPr>
        <w:pStyle w:val="217"/>
        <w:rPr>
          <w:color w:val="auto"/>
          <w:highlight w:val="none"/>
        </w:rPr>
      </w:pPr>
      <w:r>
        <w:rPr>
          <w:color w:val="auto"/>
          <w:highlight w:val="none"/>
        </w:rPr>
        <w:t>1.</w:t>
      </w:r>
      <w:r>
        <w:rPr>
          <w:rFonts w:hint="eastAsia"/>
          <w:color w:val="auto"/>
          <w:highlight w:val="none"/>
        </w:rPr>
        <w:t>涂饰工程应在抹灰工程、地面工程、木装饰工程、门窗工程、水、电气安装工程等全部完成后，并在清洁干净的环境下施工。</w:t>
      </w:r>
    </w:p>
    <w:p>
      <w:pPr>
        <w:pStyle w:val="217"/>
        <w:rPr>
          <w:color w:val="auto"/>
          <w:highlight w:val="none"/>
        </w:rPr>
      </w:pPr>
      <w:r>
        <w:rPr>
          <w:color w:val="auto"/>
          <w:highlight w:val="none"/>
        </w:rPr>
        <w:t>2.</w:t>
      </w:r>
      <w:r>
        <w:rPr>
          <w:rFonts w:hint="eastAsia"/>
          <w:color w:val="auto"/>
          <w:highlight w:val="none"/>
        </w:rPr>
        <w:t>基体表面干燥，平整，干净无油污、无浮尘。混凝土或抹灰基层含水率不得大于</w:t>
      </w:r>
      <w:r>
        <w:rPr>
          <w:color w:val="auto"/>
          <w:highlight w:val="none"/>
        </w:rPr>
        <w:t>10%</w:t>
      </w:r>
      <w:r>
        <w:rPr>
          <w:rFonts w:hint="eastAsia"/>
          <w:color w:val="auto"/>
          <w:highlight w:val="none"/>
        </w:rPr>
        <w:t>，木材基层的含水率不得大于</w:t>
      </w:r>
      <w:r>
        <w:rPr>
          <w:color w:val="auto"/>
          <w:highlight w:val="none"/>
        </w:rPr>
        <w:t>12%</w:t>
      </w:r>
      <w:r>
        <w:rPr>
          <w:rFonts w:hint="eastAsia"/>
          <w:color w:val="auto"/>
          <w:highlight w:val="none"/>
        </w:rPr>
        <w:t>。</w:t>
      </w:r>
    </w:p>
    <w:p>
      <w:pPr>
        <w:pStyle w:val="217"/>
        <w:rPr>
          <w:color w:val="auto"/>
          <w:highlight w:val="none"/>
        </w:rPr>
      </w:pPr>
      <w:r>
        <w:rPr>
          <w:color w:val="auto"/>
          <w:highlight w:val="none"/>
        </w:rPr>
        <w:t>3.</w:t>
      </w:r>
      <w:r>
        <w:rPr>
          <w:rFonts w:hint="eastAsia"/>
          <w:color w:val="auto"/>
          <w:highlight w:val="none"/>
        </w:rPr>
        <w:t>晴天、无风、气温应在摄氏零上</w:t>
      </w:r>
      <w:r>
        <w:rPr>
          <w:color w:val="auto"/>
          <w:highlight w:val="none"/>
        </w:rPr>
        <w:t>5</w:t>
      </w:r>
      <w:r>
        <w:rPr>
          <w:rFonts w:hint="eastAsia"/>
          <w:color w:val="auto"/>
          <w:highlight w:val="none"/>
        </w:rPr>
        <w:t>～</w:t>
      </w:r>
      <w:r>
        <w:rPr>
          <w:color w:val="auto"/>
          <w:highlight w:val="none"/>
        </w:rPr>
        <w:t>35</w:t>
      </w:r>
      <w:r>
        <w:rPr>
          <w:rFonts w:hint="eastAsia"/>
          <w:color w:val="auto"/>
          <w:highlight w:val="none"/>
        </w:rPr>
        <w:t>℃之间。冬期应有采暖保温、防冻措施。</w:t>
      </w:r>
    </w:p>
    <w:p>
      <w:pPr>
        <w:pStyle w:val="217"/>
        <w:rPr>
          <w:color w:val="auto"/>
          <w:highlight w:val="none"/>
        </w:rPr>
      </w:pPr>
      <w:r>
        <w:rPr>
          <w:color w:val="auto"/>
          <w:highlight w:val="none"/>
        </w:rPr>
        <w:t>4.</w:t>
      </w:r>
      <w:r>
        <w:rPr>
          <w:rFonts w:hint="eastAsia"/>
          <w:color w:val="auto"/>
          <w:highlight w:val="none"/>
        </w:rPr>
        <w:t>材料计划拟定，工具齐备，先期材料充足。</w:t>
      </w:r>
    </w:p>
    <w:p>
      <w:pPr>
        <w:pStyle w:val="217"/>
        <w:rPr>
          <w:color w:val="auto"/>
          <w:highlight w:val="none"/>
        </w:rPr>
      </w:pPr>
      <w:r>
        <w:rPr>
          <w:color w:val="auto"/>
          <w:highlight w:val="none"/>
        </w:rPr>
        <w:t>5.</w:t>
      </w:r>
      <w:r>
        <w:rPr>
          <w:rFonts w:hint="eastAsia"/>
          <w:color w:val="auto"/>
          <w:highlight w:val="none"/>
        </w:rPr>
        <w:t>设备调试正常完好，辅助工具已备。仓储地点落实。</w:t>
      </w:r>
    </w:p>
    <w:p>
      <w:pPr>
        <w:pStyle w:val="217"/>
        <w:rPr>
          <w:color w:val="auto"/>
          <w:highlight w:val="none"/>
        </w:rPr>
      </w:pPr>
      <w:r>
        <w:rPr>
          <w:color w:val="auto"/>
          <w:highlight w:val="none"/>
        </w:rPr>
        <w:t>6.</w:t>
      </w:r>
      <w:r>
        <w:rPr>
          <w:rFonts w:hint="eastAsia"/>
          <w:color w:val="auto"/>
          <w:highlight w:val="none"/>
        </w:rPr>
        <w:t>制度基本健全，有关人员配置到位到岗。</w:t>
      </w:r>
    </w:p>
    <w:p>
      <w:pPr>
        <w:pStyle w:val="217"/>
        <w:rPr>
          <w:color w:val="auto"/>
          <w:highlight w:val="none"/>
        </w:rPr>
      </w:pPr>
      <w:r>
        <w:rPr>
          <w:color w:val="auto"/>
          <w:highlight w:val="none"/>
        </w:rPr>
        <w:t>7.</w:t>
      </w:r>
      <w:r>
        <w:rPr>
          <w:rFonts w:hint="eastAsia"/>
          <w:color w:val="auto"/>
          <w:highlight w:val="none"/>
        </w:rPr>
        <w:t>样板、设计要求已得到有关部门确认。</w:t>
      </w:r>
    </w:p>
    <w:p>
      <w:pPr>
        <w:pStyle w:val="217"/>
        <w:rPr>
          <w:color w:val="auto"/>
          <w:highlight w:val="none"/>
        </w:rPr>
      </w:pPr>
      <w:r>
        <w:rPr>
          <w:color w:val="auto"/>
          <w:highlight w:val="none"/>
        </w:rPr>
        <w:t>8.</w:t>
      </w:r>
      <w:r>
        <w:rPr>
          <w:rFonts w:hint="eastAsia"/>
          <w:color w:val="auto"/>
          <w:highlight w:val="none"/>
        </w:rPr>
        <w:t>不涂饰的部位已作好保护措施。</w:t>
      </w:r>
    </w:p>
    <w:p>
      <w:pPr>
        <w:pStyle w:val="119"/>
        <w:rPr>
          <w:color w:val="auto"/>
          <w:highlight w:val="none"/>
        </w:rPr>
      </w:pPr>
      <w:r>
        <w:rPr>
          <w:color w:val="auto"/>
          <w:highlight w:val="none"/>
        </w:rPr>
        <w:t xml:space="preserve">3.4.4.2 </w:t>
      </w:r>
      <w:r>
        <w:rPr>
          <w:rFonts w:hint="eastAsia"/>
          <w:color w:val="auto"/>
          <w:highlight w:val="none"/>
        </w:rPr>
        <w:t>涂料饰面工程施工技术要求</w:t>
      </w:r>
    </w:p>
    <w:p>
      <w:pPr>
        <w:pStyle w:val="217"/>
        <w:rPr>
          <w:color w:val="auto"/>
          <w:highlight w:val="none"/>
        </w:rPr>
      </w:pPr>
      <w:r>
        <w:rPr>
          <w:color w:val="auto"/>
          <w:highlight w:val="none"/>
        </w:rPr>
        <w:t>1.</w:t>
      </w:r>
      <w:r>
        <w:rPr>
          <w:rFonts w:hint="eastAsia"/>
          <w:color w:val="auto"/>
          <w:highlight w:val="none"/>
        </w:rPr>
        <w:t>基层处理：混凝土墙表面的浮砂、灰尘、疙瘩等要清除干净，表面的隔离剂、油污等应用碱水（火碱∶水</w:t>
      </w:r>
      <w:r>
        <w:rPr>
          <w:color w:val="auto"/>
          <w:highlight w:val="none"/>
        </w:rPr>
        <w:t>=1</w:t>
      </w:r>
      <w:r>
        <w:rPr>
          <w:rFonts w:hint="eastAsia"/>
          <w:color w:val="auto"/>
          <w:highlight w:val="none"/>
        </w:rPr>
        <w:t>∶</w:t>
      </w:r>
      <w:r>
        <w:rPr>
          <w:color w:val="auto"/>
          <w:highlight w:val="none"/>
        </w:rPr>
        <w:t>10</w:t>
      </w:r>
      <w:r>
        <w:rPr>
          <w:rFonts w:hint="eastAsia"/>
          <w:color w:val="auto"/>
          <w:highlight w:val="none"/>
        </w:rPr>
        <w:t>）清刷干净，然后用清水冲洗掉墙面上的碱液等。</w:t>
      </w:r>
    </w:p>
    <w:p>
      <w:pPr>
        <w:pStyle w:val="217"/>
        <w:rPr>
          <w:color w:val="auto"/>
          <w:highlight w:val="none"/>
        </w:rPr>
      </w:pPr>
      <w:r>
        <w:rPr>
          <w:color w:val="auto"/>
          <w:highlight w:val="none"/>
        </w:rPr>
        <w:t>2.</w:t>
      </w:r>
      <w:r>
        <w:rPr>
          <w:rFonts w:hint="eastAsia"/>
          <w:color w:val="auto"/>
          <w:highlight w:val="none"/>
        </w:rPr>
        <w:t>喷、刷胶水：刮腻子之前在混凝土墙面上先喷、刷一道胶水（重量比为水∶乳液</w:t>
      </w:r>
      <w:r>
        <w:rPr>
          <w:color w:val="auto"/>
          <w:highlight w:val="none"/>
        </w:rPr>
        <w:t>=5</w:t>
      </w:r>
      <w:r>
        <w:rPr>
          <w:rFonts w:hint="eastAsia"/>
          <w:color w:val="auto"/>
          <w:highlight w:val="none"/>
        </w:rPr>
        <w:t>∶</w:t>
      </w:r>
      <w:r>
        <w:rPr>
          <w:color w:val="auto"/>
          <w:highlight w:val="none"/>
        </w:rPr>
        <w:t>1</w:t>
      </w:r>
      <w:r>
        <w:rPr>
          <w:rFonts w:hint="eastAsia"/>
          <w:color w:val="auto"/>
          <w:highlight w:val="none"/>
        </w:rPr>
        <w:t>），要注意喷、刷均匀，不得有遗漏。</w:t>
      </w:r>
    </w:p>
    <w:p>
      <w:pPr>
        <w:pStyle w:val="217"/>
        <w:rPr>
          <w:color w:val="auto"/>
          <w:highlight w:val="none"/>
        </w:rPr>
      </w:pPr>
      <w:r>
        <w:rPr>
          <w:color w:val="auto"/>
          <w:highlight w:val="none"/>
        </w:rPr>
        <w:t>3.</w:t>
      </w:r>
      <w:r>
        <w:rPr>
          <w:rFonts w:hint="eastAsia"/>
          <w:color w:val="auto"/>
          <w:highlight w:val="none"/>
        </w:rPr>
        <w:t>填补缝隙、局部刮腻子：用水石膏将墙面缝隙及坑洼不平处分遍找平，并将野腻子收净，待腻子干燥后用</w:t>
      </w:r>
      <w:r>
        <w:rPr>
          <w:color w:val="auto"/>
          <w:highlight w:val="none"/>
        </w:rPr>
        <w:t>1</w:t>
      </w:r>
      <w:r>
        <w:rPr>
          <w:rFonts w:hint="eastAsia"/>
          <w:color w:val="auto"/>
          <w:highlight w:val="none"/>
        </w:rPr>
        <w:t>号砂纸磨平，并把浮尘等扫净。</w:t>
      </w:r>
    </w:p>
    <w:p>
      <w:pPr>
        <w:pStyle w:val="217"/>
        <w:rPr>
          <w:color w:val="auto"/>
          <w:highlight w:val="none"/>
        </w:rPr>
      </w:pPr>
      <w:r>
        <w:rPr>
          <w:color w:val="auto"/>
          <w:highlight w:val="none"/>
        </w:rPr>
        <w:t>4.</w:t>
      </w:r>
      <w:r>
        <w:rPr>
          <w:rFonts w:hint="eastAsia"/>
          <w:color w:val="auto"/>
          <w:highlight w:val="none"/>
        </w:rPr>
        <w:t>满刮腻子：根据墙体基层的不同和浆活等级要求的不同，刮腻子的遍数为三遍，腻子的配合比为重量比，其配合比为：聚醋酸乙烯乳液（即白乳胶）∶滑石粉或大白粉∶</w:t>
      </w:r>
      <w:r>
        <w:rPr>
          <w:color w:val="auto"/>
          <w:highlight w:val="none"/>
        </w:rPr>
        <w:t>2%</w:t>
      </w:r>
      <w:r>
        <w:rPr>
          <w:rFonts w:hint="eastAsia"/>
          <w:color w:val="auto"/>
          <w:highlight w:val="none"/>
        </w:rPr>
        <w:t>羧甲基纤维素溶液</w:t>
      </w:r>
      <w:r>
        <w:rPr>
          <w:color w:val="auto"/>
          <w:highlight w:val="none"/>
        </w:rPr>
        <w:t>=1</w:t>
      </w:r>
      <w:r>
        <w:rPr>
          <w:rFonts w:hint="eastAsia"/>
          <w:color w:val="auto"/>
          <w:highlight w:val="none"/>
        </w:rPr>
        <w:t>∶</w:t>
      </w:r>
      <w:r>
        <w:rPr>
          <w:color w:val="auto"/>
          <w:highlight w:val="none"/>
        </w:rPr>
        <w:t>5</w:t>
      </w:r>
      <w:r>
        <w:rPr>
          <w:rFonts w:hint="eastAsia"/>
          <w:color w:val="auto"/>
          <w:highlight w:val="none"/>
        </w:rPr>
        <w:t>∶</w:t>
      </w:r>
      <w:r>
        <w:rPr>
          <w:color w:val="auto"/>
          <w:highlight w:val="none"/>
        </w:rPr>
        <w:t>3.5</w:t>
      </w:r>
      <w:r>
        <w:rPr>
          <w:rFonts w:hint="eastAsia"/>
          <w:color w:val="auto"/>
          <w:highlight w:val="none"/>
        </w:rPr>
        <w:t>。另外，厨房、卫生间墙面必须使用耐水腻子。</w:t>
      </w:r>
    </w:p>
    <w:p>
      <w:pPr>
        <w:pStyle w:val="217"/>
        <w:rPr>
          <w:color w:val="auto"/>
          <w:highlight w:val="none"/>
        </w:rPr>
      </w:pPr>
      <w:r>
        <w:rPr>
          <w:color w:val="auto"/>
          <w:highlight w:val="none"/>
        </w:rPr>
        <w:t>5.</w:t>
      </w:r>
      <w:r>
        <w:rPr>
          <w:rFonts w:hint="eastAsia"/>
          <w:color w:val="auto"/>
          <w:highlight w:val="none"/>
        </w:rPr>
        <w:t>刷、喷三遍乳胶漆，前两遍乳胶漆待干透后各用细砂纸打磨一遍。</w:t>
      </w:r>
    </w:p>
    <w:p>
      <w:pPr>
        <w:pStyle w:val="172"/>
        <w:rPr>
          <w:color w:val="auto"/>
          <w:highlight w:val="none"/>
        </w:rPr>
      </w:pPr>
      <w:r>
        <w:rPr>
          <w:color w:val="auto"/>
          <w:highlight w:val="none"/>
        </w:rPr>
        <w:t xml:space="preserve">3.4.5 </w:t>
      </w:r>
      <w:r>
        <w:rPr>
          <w:rFonts w:hint="eastAsia"/>
          <w:color w:val="auto"/>
          <w:highlight w:val="none"/>
        </w:rPr>
        <w:t>金属加工工程</w:t>
      </w:r>
    </w:p>
    <w:p>
      <w:pPr>
        <w:pStyle w:val="217"/>
        <w:rPr>
          <w:color w:val="auto"/>
          <w:highlight w:val="none"/>
        </w:rPr>
      </w:pPr>
      <w:r>
        <w:rPr>
          <w:rFonts w:hint="eastAsia"/>
          <w:color w:val="auto"/>
          <w:highlight w:val="none"/>
        </w:rPr>
        <w:t>不锈钢柱、扶手的施工技术要求</w:t>
      </w:r>
    </w:p>
    <w:p>
      <w:pPr>
        <w:pStyle w:val="217"/>
        <w:rPr>
          <w:color w:val="auto"/>
          <w:highlight w:val="none"/>
        </w:rPr>
      </w:pPr>
      <w:r>
        <w:rPr>
          <w:color w:val="auto"/>
          <w:highlight w:val="none"/>
        </w:rPr>
        <w:t>1.</w:t>
      </w:r>
      <w:r>
        <w:rPr>
          <w:rFonts w:hint="eastAsia"/>
          <w:color w:val="auto"/>
          <w:highlight w:val="none"/>
        </w:rPr>
        <w:t>不锈钢选料应经过慎重考虑后决定，主要是板厚要确保装饰表面有足够的刚度，一般用</w:t>
      </w:r>
      <w:r>
        <w:rPr>
          <w:color w:val="auto"/>
          <w:highlight w:val="none"/>
        </w:rPr>
        <w:t>1.2</w:t>
      </w:r>
      <w:r>
        <w:rPr>
          <w:rFonts w:hint="eastAsia"/>
          <w:color w:val="auto"/>
          <w:highlight w:val="none"/>
        </w:rPr>
        <w:t>厚，较小尺寸可用</w:t>
      </w:r>
      <w:r>
        <w:rPr>
          <w:color w:val="auto"/>
          <w:highlight w:val="none"/>
        </w:rPr>
        <w:t>1.0mm</w:t>
      </w:r>
      <w:r>
        <w:rPr>
          <w:rFonts w:hint="eastAsia"/>
          <w:color w:val="auto"/>
          <w:highlight w:val="none"/>
        </w:rPr>
        <w:t>。</w:t>
      </w:r>
    </w:p>
    <w:p>
      <w:pPr>
        <w:pStyle w:val="217"/>
        <w:rPr>
          <w:color w:val="auto"/>
          <w:highlight w:val="none"/>
        </w:rPr>
      </w:pPr>
      <w:r>
        <w:rPr>
          <w:color w:val="auto"/>
          <w:highlight w:val="none"/>
        </w:rPr>
        <w:t>2.</w:t>
      </w:r>
      <w:r>
        <w:rPr>
          <w:rFonts w:hint="eastAsia"/>
          <w:color w:val="auto"/>
          <w:highlight w:val="none"/>
        </w:rPr>
        <w:t>不锈钢材原厂的保护膜在加工和安装期间不能撕掉。</w:t>
      </w:r>
    </w:p>
    <w:p>
      <w:pPr>
        <w:pStyle w:val="217"/>
        <w:rPr>
          <w:color w:val="auto"/>
          <w:highlight w:val="none"/>
        </w:rPr>
      </w:pPr>
      <w:r>
        <w:rPr>
          <w:color w:val="auto"/>
          <w:highlight w:val="none"/>
        </w:rPr>
        <w:t>3.</w:t>
      </w:r>
      <w:r>
        <w:rPr>
          <w:rFonts w:hint="eastAsia"/>
          <w:color w:val="auto"/>
          <w:highlight w:val="none"/>
        </w:rPr>
        <w:t>安装前一定要先定出纵横轴线、垂直线、控制线、并验证实际加工尺寸。</w:t>
      </w:r>
    </w:p>
    <w:p>
      <w:pPr>
        <w:pStyle w:val="217"/>
        <w:rPr>
          <w:color w:val="auto"/>
          <w:highlight w:val="none"/>
        </w:rPr>
      </w:pPr>
      <w:r>
        <w:rPr>
          <w:color w:val="auto"/>
          <w:highlight w:val="none"/>
        </w:rPr>
        <w:t>4.</w:t>
      </w:r>
      <w:r>
        <w:rPr>
          <w:rFonts w:hint="eastAsia"/>
          <w:color w:val="auto"/>
          <w:highlight w:val="none"/>
        </w:rPr>
        <w:t>安装柱子前必须确认板的尺寸、规格与设计是否相符，确保安装顺利。</w:t>
      </w:r>
    </w:p>
    <w:p>
      <w:pPr>
        <w:pStyle w:val="217"/>
        <w:rPr>
          <w:color w:val="auto"/>
          <w:highlight w:val="none"/>
        </w:rPr>
      </w:pPr>
      <w:r>
        <w:rPr>
          <w:color w:val="auto"/>
          <w:highlight w:val="none"/>
        </w:rPr>
        <w:t>5.</w:t>
      </w:r>
      <w:r>
        <w:rPr>
          <w:rFonts w:hint="eastAsia"/>
          <w:color w:val="auto"/>
          <w:highlight w:val="none"/>
        </w:rPr>
        <w:t>安装时应先进行试安装，如有尺寸不吻合，应返工或修理。安装时抹胶要均匀，由里向缝口顺序压紧，排胶排气，使板材与底板贴紧，挤出的胶液要立即擦净，不能留有胶痕。</w:t>
      </w:r>
    </w:p>
    <w:p>
      <w:pPr>
        <w:pStyle w:val="217"/>
        <w:rPr>
          <w:color w:val="auto"/>
          <w:highlight w:val="none"/>
        </w:rPr>
      </w:pPr>
      <w:r>
        <w:rPr>
          <w:color w:val="auto"/>
          <w:highlight w:val="none"/>
        </w:rPr>
        <w:t>6.</w:t>
      </w:r>
      <w:r>
        <w:rPr>
          <w:rFonts w:hint="eastAsia"/>
          <w:color w:val="auto"/>
          <w:highlight w:val="none"/>
        </w:rPr>
        <w:t>不锈钢的转弯接口处凡无法抛光的均不用焊接，但其接口必须相当吻合。</w:t>
      </w:r>
    </w:p>
    <w:p>
      <w:pPr>
        <w:pStyle w:val="217"/>
        <w:rPr>
          <w:color w:val="auto"/>
          <w:highlight w:val="none"/>
        </w:rPr>
      </w:pPr>
      <w:r>
        <w:rPr>
          <w:color w:val="auto"/>
          <w:highlight w:val="none"/>
        </w:rPr>
        <w:t>7.</w:t>
      </w:r>
      <w:r>
        <w:rPr>
          <w:rFonts w:hint="eastAsia"/>
          <w:color w:val="auto"/>
          <w:highlight w:val="none"/>
        </w:rPr>
        <w:t>焊接采用彩氩焊接、接口处焊接牢固，磨平抛光后不得看出接口。</w:t>
      </w:r>
    </w:p>
    <w:p>
      <w:pPr>
        <w:pStyle w:val="217"/>
        <w:rPr>
          <w:color w:val="auto"/>
          <w:highlight w:val="none"/>
        </w:rPr>
      </w:pPr>
      <w:r>
        <w:rPr>
          <w:color w:val="auto"/>
          <w:highlight w:val="none"/>
        </w:rPr>
        <w:t>8.</w:t>
      </w:r>
      <w:r>
        <w:rPr>
          <w:rFonts w:hint="eastAsia"/>
          <w:color w:val="auto"/>
          <w:highlight w:val="none"/>
        </w:rPr>
        <w:t>完工后一定要做好保护处理。特别要防止硬止撞击使板面形成凹陷。施工接口与转弯接口先做好样品，等设计师验证认可后方能全面施工。</w:t>
      </w:r>
    </w:p>
    <w:p>
      <w:pPr>
        <w:pStyle w:val="113"/>
        <w:spacing w:before="120" w:after="120"/>
        <w:outlineLvl w:val="2"/>
        <w:rPr>
          <w:color w:val="auto"/>
          <w:highlight w:val="none"/>
        </w:rPr>
      </w:pPr>
      <w:bookmarkStart w:id="7726" w:name="_Toc69114153"/>
      <w:bookmarkStart w:id="7727" w:name="_Toc505345725"/>
      <w:bookmarkStart w:id="7728" w:name="_Toc66634412"/>
      <w:bookmarkStart w:id="7729" w:name="_Toc66890407"/>
      <w:r>
        <w:rPr>
          <w:color w:val="auto"/>
          <w:highlight w:val="none"/>
        </w:rPr>
        <w:t xml:space="preserve">3.5 </w:t>
      </w:r>
      <w:r>
        <w:rPr>
          <w:rFonts w:hint="eastAsia"/>
          <w:color w:val="auto"/>
          <w:highlight w:val="none"/>
        </w:rPr>
        <w:t>屋面工程</w:t>
      </w:r>
      <w:bookmarkEnd w:id="7726"/>
      <w:bookmarkEnd w:id="7727"/>
      <w:bookmarkEnd w:id="7728"/>
      <w:bookmarkEnd w:id="7729"/>
    </w:p>
    <w:p>
      <w:pPr>
        <w:pStyle w:val="172"/>
        <w:rPr>
          <w:color w:val="auto"/>
          <w:highlight w:val="none"/>
        </w:rPr>
      </w:pPr>
      <w:r>
        <w:rPr>
          <w:color w:val="auto"/>
          <w:highlight w:val="none"/>
        </w:rPr>
        <w:t xml:space="preserve">3.5.1 </w:t>
      </w:r>
      <w:r>
        <w:rPr>
          <w:rFonts w:hint="eastAsia"/>
          <w:color w:val="auto"/>
          <w:highlight w:val="none"/>
        </w:rPr>
        <w:t>配筋细石砼保护层</w:t>
      </w:r>
    </w:p>
    <w:p>
      <w:pPr>
        <w:pStyle w:val="217"/>
        <w:rPr>
          <w:color w:val="auto"/>
          <w:highlight w:val="none"/>
        </w:rPr>
      </w:pPr>
      <w:r>
        <w:rPr>
          <w:rFonts w:hint="eastAsia"/>
          <w:color w:val="auto"/>
          <w:highlight w:val="none"/>
        </w:rPr>
        <w:t>屋面细石混凝土保护层施工规定：</w:t>
      </w:r>
    </w:p>
    <w:p>
      <w:pPr>
        <w:pStyle w:val="217"/>
        <w:rPr>
          <w:color w:val="auto"/>
          <w:highlight w:val="none"/>
        </w:rPr>
      </w:pPr>
      <w:r>
        <w:rPr>
          <w:color w:val="auto"/>
          <w:highlight w:val="none"/>
        </w:rPr>
        <w:t>(1)</w:t>
      </w:r>
      <w:r>
        <w:rPr>
          <w:rFonts w:hint="eastAsia"/>
          <w:color w:val="auto"/>
          <w:highlight w:val="none"/>
        </w:rPr>
        <w:t>细石混凝土中水泥标号不应低于</w:t>
      </w:r>
      <w:r>
        <w:rPr>
          <w:color w:val="auto"/>
          <w:highlight w:val="none"/>
        </w:rPr>
        <w:t>425</w:t>
      </w:r>
      <w:r>
        <w:rPr>
          <w:rFonts w:hint="eastAsia"/>
          <w:color w:val="auto"/>
          <w:highlight w:val="none"/>
        </w:rPr>
        <w:t>号，水泥用量不应少于</w:t>
      </w:r>
      <w:r>
        <w:rPr>
          <w:color w:val="auto"/>
          <w:highlight w:val="none"/>
        </w:rPr>
        <w:t>330kg/m3,</w:t>
      </w:r>
      <w:r>
        <w:rPr>
          <w:rFonts w:hint="eastAsia"/>
          <w:color w:val="auto"/>
          <w:highlight w:val="none"/>
        </w:rPr>
        <w:t>水灰比不应大于</w:t>
      </w:r>
      <w:r>
        <w:rPr>
          <w:color w:val="auto"/>
          <w:highlight w:val="none"/>
        </w:rPr>
        <w:t>0.5</w:t>
      </w:r>
      <w:r>
        <w:rPr>
          <w:rFonts w:hint="eastAsia"/>
          <w:color w:val="auto"/>
          <w:highlight w:val="none"/>
        </w:rPr>
        <w:t>，混凝土中应掺入适量减水剂等。</w:t>
      </w:r>
    </w:p>
    <w:p>
      <w:pPr>
        <w:pStyle w:val="217"/>
        <w:rPr>
          <w:color w:val="auto"/>
          <w:highlight w:val="none"/>
        </w:rPr>
      </w:pPr>
      <w:r>
        <w:rPr>
          <w:color w:val="auto"/>
          <w:highlight w:val="none"/>
        </w:rPr>
        <w:t>(2)</w:t>
      </w:r>
      <w:r>
        <w:rPr>
          <w:rFonts w:hint="eastAsia"/>
          <w:color w:val="auto"/>
          <w:highlight w:val="none"/>
        </w:rPr>
        <w:t>细石混凝土保护层层中的钢筋网片应放在中部，绑扎铁丝收口向下弯，不得露出表面。配筋细石砼保护层（掺减水剂，双向配Φ</w:t>
      </w:r>
      <w:r>
        <w:rPr>
          <w:color w:val="auto"/>
          <w:highlight w:val="none"/>
        </w:rPr>
        <w:t>4</w:t>
      </w:r>
      <w:r>
        <w:rPr>
          <w:rFonts w:hint="eastAsia"/>
          <w:color w:val="auto"/>
          <w:highlight w:val="none"/>
        </w:rPr>
        <w:t>＠</w:t>
      </w:r>
      <w:r>
        <w:rPr>
          <w:color w:val="auto"/>
          <w:highlight w:val="none"/>
        </w:rPr>
        <w:t>150</w:t>
      </w:r>
      <w:r>
        <w:rPr>
          <w:rFonts w:hint="eastAsia"/>
          <w:color w:val="auto"/>
          <w:highlight w:val="none"/>
        </w:rPr>
        <w:t>，每</w:t>
      </w:r>
      <w:r>
        <w:rPr>
          <w:color w:val="auto"/>
          <w:highlight w:val="none"/>
        </w:rPr>
        <w:t>4</w:t>
      </w:r>
      <w:r>
        <w:rPr>
          <w:rFonts w:hint="eastAsia"/>
          <w:color w:val="auto"/>
          <w:highlight w:val="none"/>
        </w:rPr>
        <w:t>米设缝，密封胶嵌缝</w:t>
      </w:r>
      <w:r>
        <w:rPr>
          <w:color w:val="auto"/>
          <w:highlight w:val="none"/>
        </w:rPr>
        <w:t>,</w:t>
      </w:r>
      <w:r>
        <w:rPr>
          <w:rFonts w:hint="eastAsia"/>
          <w:color w:val="auto"/>
          <w:highlight w:val="none"/>
        </w:rPr>
        <w:t>钢筋网片在分格缝处应断开，其保护层厚度不应小于</w:t>
      </w:r>
      <w:r>
        <w:rPr>
          <w:color w:val="auto"/>
          <w:highlight w:val="none"/>
        </w:rPr>
        <w:t>10mm</w:t>
      </w:r>
      <w:r>
        <w:rPr>
          <w:rFonts w:hint="eastAsia"/>
          <w:color w:val="auto"/>
          <w:highlight w:val="none"/>
        </w:rPr>
        <w:t>）。</w:t>
      </w:r>
    </w:p>
    <w:p>
      <w:pPr>
        <w:pStyle w:val="217"/>
        <w:rPr>
          <w:color w:val="auto"/>
          <w:highlight w:val="none"/>
        </w:rPr>
      </w:pPr>
      <w:r>
        <w:rPr>
          <w:color w:val="auto"/>
          <w:highlight w:val="none"/>
        </w:rPr>
        <w:t>(3)</w:t>
      </w:r>
      <w:r>
        <w:rPr>
          <w:rFonts w:hint="eastAsia"/>
          <w:color w:val="auto"/>
          <w:highlight w:val="none"/>
        </w:rPr>
        <w:t>板端分格缝模条安装时应拉通线并固定，模条应在细石混凝土初凝后取出。</w:t>
      </w:r>
    </w:p>
    <w:p>
      <w:pPr>
        <w:pStyle w:val="217"/>
        <w:rPr>
          <w:color w:val="auto"/>
          <w:highlight w:val="none"/>
        </w:rPr>
      </w:pPr>
      <w:r>
        <w:rPr>
          <w:color w:val="auto"/>
          <w:highlight w:val="none"/>
        </w:rPr>
        <w:t>(4)</w:t>
      </w:r>
      <w:r>
        <w:rPr>
          <w:rFonts w:hint="eastAsia"/>
          <w:color w:val="auto"/>
          <w:highlight w:val="none"/>
        </w:rPr>
        <w:t>每分格板块内混凝土应一次浇筑完，不得留施工缝。</w:t>
      </w:r>
    </w:p>
    <w:p>
      <w:pPr>
        <w:pStyle w:val="217"/>
        <w:rPr>
          <w:color w:val="auto"/>
          <w:highlight w:val="none"/>
        </w:rPr>
      </w:pPr>
      <w:r>
        <w:rPr>
          <w:color w:val="auto"/>
          <w:highlight w:val="none"/>
        </w:rPr>
        <w:t>(5)</w:t>
      </w:r>
      <w:r>
        <w:rPr>
          <w:rFonts w:hint="eastAsia"/>
          <w:color w:val="auto"/>
          <w:highlight w:val="none"/>
        </w:rPr>
        <w:t>混凝土振捣至表面泛浆后，应刮平压实。压实时严禁在表面洒水、加水泥浆、撒干水泥。收水后应进行二次压光。</w:t>
      </w:r>
    </w:p>
    <w:p>
      <w:pPr>
        <w:pStyle w:val="217"/>
        <w:rPr>
          <w:color w:val="auto"/>
          <w:highlight w:val="none"/>
        </w:rPr>
      </w:pPr>
      <w:r>
        <w:rPr>
          <w:color w:val="auto"/>
          <w:highlight w:val="none"/>
        </w:rPr>
        <w:t>(6)</w:t>
      </w:r>
      <w:r>
        <w:rPr>
          <w:rFonts w:hint="eastAsia"/>
          <w:color w:val="auto"/>
          <w:highlight w:val="none"/>
        </w:rPr>
        <w:t>养护时间不应小于</w:t>
      </w:r>
      <w:r>
        <w:rPr>
          <w:color w:val="auto"/>
          <w:highlight w:val="none"/>
        </w:rPr>
        <w:t>14</w:t>
      </w:r>
      <w:r>
        <w:rPr>
          <w:rFonts w:hint="eastAsia"/>
          <w:color w:val="auto"/>
          <w:highlight w:val="none"/>
        </w:rPr>
        <w:t>天，养护初期不得上人。</w:t>
      </w:r>
    </w:p>
    <w:p>
      <w:pPr>
        <w:pStyle w:val="217"/>
        <w:rPr>
          <w:color w:val="auto"/>
          <w:highlight w:val="none"/>
        </w:rPr>
      </w:pPr>
      <w:r>
        <w:rPr>
          <w:color w:val="auto"/>
          <w:highlight w:val="none"/>
        </w:rPr>
        <w:t>(7)</w:t>
      </w:r>
      <w:r>
        <w:rPr>
          <w:rFonts w:hint="eastAsia"/>
          <w:color w:val="auto"/>
          <w:highlight w:val="none"/>
        </w:rPr>
        <w:t>混凝土养护完成后，应将分格缝清扫干净、干燥后填嵌背衬材料、涂刷基层处理剂，再嵌填密封材料。</w:t>
      </w:r>
    </w:p>
    <w:p>
      <w:pPr>
        <w:pStyle w:val="217"/>
        <w:rPr>
          <w:color w:val="auto"/>
          <w:highlight w:val="none"/>
        </w:rPr>
      </w:pPr>
      <w:r>
        <w:rPr>
          <w:color w:val="auto"/>
          <w:highlight w:val="none"/>
        </w:rPr>
        <w:t>(8)</w:t>
      </w:r>
      <w:r>
        <w:rPr>
          <w:rFonts w:hint="eastAsia"/>
          <w:color w:val="auto"/>
          <w:highlight w:val="none"/>
        </w:rPr>
        <w:t>细石混凝土保护层施工温度宜在</w:t>
      </w:r>
      <w:r>
        <w:rPr>
          <w:color w:val="auto"/>
          <w:highlight w:val="none"/>
        </w:rPr>
        <w:t>5~30</w:t>
      </w:r>
      <w:r>
        <w:rPr>
          <w:rFonts w:hint="eastAsia"/>
          <w:color w:val="auto"/>
          <w:highlight w:val="none"/>
        </w:rPr>
        <w:t>℃，应避免在负温或烈日下施工。</w:t>
      </w:r>
    </w:p>
    <w:p>
      <w:pPr>
        <w:pStyle w:val="172"/>
        <w:rPr>
          <w:color w:val="auto"/>
          <w:highlight w:val="none"/>
        </w:rPr>
      </w:pPr>
      <w:r>
        <w:rPr>
          <w:color w:val="auto"/>
          <w:highlight w:val="none"/>
        </w:rPr>
        <w:t xml:space="preserve">3.5.2 </w:t>
      </w:r>
      <w:r>
        <w:rPr>
          <w:rFonts w:hint="eastAsia"/>
          <w:color w:val="auto"/>
          <w:highlight w:val="none"/>
        </w:rPr>
        <w:t>卷材屋面防水</w:t>
      </w:r>
    </w:p>
    <w:p>
      <w:pPr>
        <w:pStyle w:val="217"/>
        <w:rPr>
          <w:color w:val="auto"/>
          <w:highlight w:val="none"/>
        </w:rPr>
      </w:pPr>
      <w:r>
        <w:rPr>
          <w:rFonts w:hint="eastAsia"/>
          <w:color w:val="auto"/>
          <w:highlight w:val="none"/>
        </w:rPr>
        <w:t>一般规定</w:t>
      </w:r>
    </w:p>
    <w:p>
      <w:pPr>
        <w:pStyle w:val="217"/>
        <w:rPr>
          <w:color w:val="auto"/>
          <w:highlight w:val="none"/>
        </w:rPr>
      </w:pPr>
      <w:r>
        <w:rPr>
          <w:color w:val="auto"/>
          <w:highlight w:val="none"/>
        </w:rPr>
        <w:t>1.</w:t>
      </w:r>
      <w:r>
        <w:rPr>
          <w:rFonts w:hint="eastAsia"/>
          <w:color w:val="auto"/>
          <w:highlight w:val="none"/>
        </w:rPr>
        <w:t>水落口、伸出屋面管道和预埋件等应先安装，后浇筑结构混凝土。</w:t>
      </w:r>
    </w:p>
    <w:p>
      <w:pPr>
        <w:pStyle w:val="217"/>
        <w:rPr>
          <w:color w:val="auto"/>
          <w:highlight w:val="none"/>
        </w:rPr>
      </w:pPr>
      <w:r>
        <w:rPr>
          <w:color w:val="auto"/>
          <w:highlight w:val="none"/>
        </w:rPr>
        <w:t>2.</w:t>
      </w:r>
      <w:r>
        <w:rPr>
          <w:rFonts w:hint="eastAsia"/>
          <w:color w:val="auto"/>
          <w:highlight w:val="none"/>
        </w:rPr>
        <w:t>水泥砂浆找平层必须按设计要求挂线找准坡度，并安好分格缝模条。水泥砂浆抹平收水后应进行二次压光，使表面平整密实并充分养护。屋面转角处按要求用圆角抹子抹出圆弧。水落口四周</w:t>
      </w:r>
      <w:r>
        <w:rPr>
          <w:color w:val="auto"/>
          <w:highlight w:val="none"/>
        </w:rPr>
        <w:t>500mm</w:t>
      </w:r>
      <w:r>
        <w:rPr>
          <w:rFonts w:hint="eastAsia"/>
          <w:color w:val="auto"/>
          <w:highlight w:val="none"/>
        </w:rPr>
        <w:t>直径范围内的找平层要抹成略低凹坑。</w:t>
      </w:r>
      <w:r>
        <w:rPr>
          <w:color w:val="auto"/>
          <w:highlight w:val="none"/>
        </w:rPr>
        <w:t xml:space="preserve">  </w:t>
      </w:r>
    </w:p>
    <w:p>
      <w:pPr>
        <w:pStyle w:val="217"/>
        <w:rPr>
          <w:color w:val="auto"/>
          <w:highlight w:val="none"/>
        </w:rPr>
      </w:pPr>
      <w:r>
        <w:rPr>
          <w:color w:val="auto"/>
          <w:highlight w:val="none"/>
        </w:rPr>
        <w:t>1</w:t>
      </w:r>
      <w:r>
        <w:rPr>
          <w:rFonts w:hint="eastAsia"/>
          <w:color w:val="auto"/>
          <w:highlight w:val="none"/>
        </w:rPr>
        <w:t>）防水层施工前，必须将基层上的尘土、砂粒及砂浆疙瘩等清除干净，在施工过程中还应随时清扫。</w:t>
      </w:r>
    </w:p>
    <w:p>
      <w:pPr>
        <w:pStyle w:val="217"/>
        <w:rPr>
          <w:color w:val="auto"/>
          <w:highlight w:val="none"/>
        </w:rPr>
      </w:pPr>
      <w:r>
        <w:rPr>
          <w:color w:val="auto"/>
          <w:highlight w:val="none"/>
        </w:rPr>
        <w:t>2</w:t>
      </w:r>
      <w:r>
        <w:rPr>
          <w:rFonts w:hint="eastAsia"/>
          <w:color w:val="auto"/>
          <w:highlight w:val="none"/>
        </w:rPr>
        <w:t>）防水层施工顺序：在同一跨中应按“先远后近”的原则，从最低标高处开始。</w:t>
      </w:r>
    </w:p>
    <w:p>
      <w:pPr>
        <w:pStyle w:val="217"/>
        <w:rPr>
          <w:color w:val="auto"/>
          <w:highlight w:val="none"/>
        </w:rPr>
      </w:pPr>
      <w:r>
        <w:rPr>
          <w:rFonts w:hint="eastAsia"/>
          <w:color w:val="auto"/>
          <w:highlight w:val="none"/>
        </w:rPr>
        <w:t>设计要求：本工程屋面防水设防等级为一级。</w:t>
      </w:r>
    </w:p>
    <w:p>
      <w:pPr>
        <w:pStyle w:val="172"/>
        <w:rPr>
          <w:color w:val="auto"/>
          <w:highlight w:val="none"/>
        </w:rPr>
      </w:pPr>
      <w:r>
        <w:rPr>
          <w:color w:val="auto"/>
          <w:highlight w:val="none"/>
        </w:rPr>
        <w:t xml:space="preserve">3.5.3 </w:t>
      </w:r>
      <w:r>
        <w:rPr>
          <w:rFonts w:hint="eastAsia"/>
          <w:color w:val="auto"/>
          <w:highlight w:val="none"/>
        </w:rPr>
        <w:t>种植屋面防水</w:t>
      </w:r>
    </w:p>
    <w:p>
      <w:pPr>
        <w:pStyle w:val="217"/>
        <w:rPr>
          <w:color w:val="auto"/>
          <w:highlight w:val="none"/>
        </w:rPr>
      </w:pPr>
      <w:r>
        <w:rPr>
          <w:rFonts w:hint="eastAsia"/>
          <w:color w:val="auto"/>
          <w:highlight w:val="none"/>
        </w:rPr>
        <w:t>要符合种植屋面工程技术规程（</w:t>
      </w:r>
      <w:r>
        <w:rPr>
          <w:color w:val="auto"/>
          <w:highlight w:val="none"/>
        </w:rPr>
        <w:t>JGJ155-2013</w:t>
      </w:r>
      <w:r>
        <w:rPr>
          <w:rFonts w:hint="eastAsia"/>
          <w:color w:val="auto"/>
          <w:highlight w:val="none"/>
        </w:rPr>
        <w:t>）要求。</w:t>
      </w:r>
    </w:p>
    <w:p>
      <w:pPr>
        <w:pStyle w:val="172"/>
        <w:rPr>
          <w:color w:val="auto"/>
          <w:highlight w:val="none"/>
        </w:rPr>
      </w:pPr>
      <w:r>
        <w:rPr>
          <w:color w:val="auto"/>
          <w:highlight w:val="none"/>
        </w:rPr>
        <w:t xml:space="preserve">3.5.4 </w:t>
      </w:r>
      <w:r>
        <w:rPr>
          <w:rFonts w:hint="eastAsia"/>
          <w:color w:val="auto"/>
          <w:highlight w:val="none"/>
        </w:rPr>
        <w:t>屋面保温用挤塑板</w:t>
      </w:r>
    </w:p>
    <w:p>
      <w:pPr>
        <w:pStyle w:val="217"/>
        <w:rPr>
          <w:color w:val="auto"/>
          <w:highlight w:val="none"/>
        </w:rPr>
      </w:pPr>
      <w:r>
        <w:rPr>
          <w:rFonts w:hint="eastAsia"/>
          <w:color w:val="auto"/>
          <w:highlight w:val="none"/>
        </w:rPr>
        <w:t>挤塑板应符合《深圳市建筑标准设计：屋面及外墙隔热构造图集》（图集号：</w:t>
      </w:r>
      <w:r>
        <w:rPr>
          <w:color w:val="auto"/>
          <w:highlight w:val="none"/>
        </w:rPr>
        <w:t>SZJT—01</w:t>
      </w:r>
      <w:r>
        <w:rPr>
          <w:rFonts w:hint="eastAsia"/>
          <w:color w:val="auto"/>
          <w:highlight w:val="none"/>
        </w:rPr>
        <w:t>）中关于倒置式屋面用保温材料的各项性能要求。</w:t>
      </w:r>
    </w:p>
    <w:p>
      <w:pPr>
        <w:pStyle w:val="217"/>
        <w:rPr>
          <w:color w:val="auto"/>
          <w:highlight w:val="none"/>
        </w:rPr>
      </w:pPr>
      <w:r>
        <w:rPr>
          <w:rFonts w:hint="eastAsia"/>
          <w:color w:val="auto"/>
          <w:highlight w:val="none"/>
        </w:rPr>
        <w:t>挤塑板应符合《绝热用挤塑聚苯乙烯泡沫塑料（</w:t>
      </w:r>
      <w:r>
        <w:rPr>
          <w:color w:val="auto"/>
          <w:highlight w:val="none"/>
        </w:rPr>
        <w:t>XPS</w:t>
      </w:r>
      <w:r>
        <w:rPr>
          <w:rFonts w:hint="eastAsia"/>
          <w:color w:val="auto"/>
          <w:highlight w:val="none"/>
        </w:rPr>
        <w:t>）》国家标准（</w:t>
      </w:r>
      <w:r>
        <w:rPr>
          <w:color w:val="auto"/>
          <w:highlight w:val="none"/>
        </w:rPr>
        <w:t>GB/T10801.2-2002</w:t>
      </w:r>
      <w:r>
        <w:rPr>
          <w:rFonts w:hint="eastAsia"/>
          <w:color w:val="auto"/>
          <w:highlight w:val="none"/>
        </w:rPr>
        <w:t>）的要求。</w:t>
      </w:r>
    </w:p>
    <w:p>
      <w:pPr>
        <w:pStyle w:val="217"/>
        <w:rPr>
          <w:color w:val="auto"/>
          <w:highlight w:val="none"/>
        </w:rPr>
      </w:pPr>
      <w:r>
        <w:rPr>
          <w:rFonts w:hint="eastAsia"/>
          <w:color w:val="auto"/>
          <w:highlight w:val="none"/>
        </w:rPr>
        <w:t>挤塑板应通过“国家塑料制品质量监督检验中心”的检验，具有在有效期内的《检验报告》。</w:t>
      </w:r>
    </w:p>
    <w:p>
      <w:pPr>
        <w:pStyle w:val="217"/>
        <w:rPr>
          <w:color w:val="auto"/>
          <w:highlight w:val="none"/>
        </w:rPr>
      </w:pPr>
      <w:r>
        <w:rPr>
          <w:rFonts w:hint="eastAsia"/>
          <w:color w:val="auto"/>
          <w:highlight w:val="none"/>
        </w:rPr>
        <w:t>挤塑板的导热系数≤</w:t>
      </w:r>
      <w:r>
        <w:rPr>
          <w:color w:val="auto"/>
          <w:highlight w:val="none"/>
        </w:rPr>
        <w:t>0.03 W / (m</w:t>
      </w:r>
      <w:r>
        <w:rPr>
          <w:rFonts w:hint="eastAsia"/>
          <w:color w:val="auto"/>
          <w:highlight w:val="none"/>
        </w:rPr>
        <w:t>·</w:t>
      </w:r>
      <w:r>
        <w:rPr>
          <w:color w:val="auto"/>
          <w:highlight w:val="none"/>
        </w:rPr>
        <w:t>K)</w:t>
      </w:r>
      <w:r>
        <w:rPr>
          <w:rFonts w:hint="eastAsia"/>
          <w:color w:val="auto"/>
          <w:highlight w:val="none"/>
        </w:rPr>
        <w:t>。挤塑板的导热系数和热阻性能应通过自产品生产之日起在环境条件下放置</w:t>
      </w:r>
      <w:r>
        <w:rPr>
          <w:color w:val="auto"/>
          <w:highlight w:val="none"/>
        </w:rPr>
        <w:t>90d</w:t>
      </w:r>
      <w:r>
        <w:rPr>
          <w:rFonts w:hint="eastAsia"/>
          <w:color w:val="auto"/>
          <w:highlight w:val="none"/>
        </w:rPr>
        <w:t>后的检验，当材料已在工程中实际使用，在环境条件下放置</w:t>
      </w:r>
      <w:r>
        <w:rPr>
          <w:color w:val="auto"/>
          <w:highlight w:val="none"/>
        </w:rPr>
        <w:t>90d</w:t>
      </w:r>
      <w:r>
        <w:rPr>
          <w:rFonts w:hint="eastAsia"/>
          <w:color w:val="auto"/>
          <w:highlight w:val="none"/>
        </w:rPr>
        <w:t>后的检验不合格时，材料供应商必须承担已在工程实际使用材料的所有返工损失。</w:t>
      </w:r>
    </w:p>
    <w:p>
      <w:pPr>
        <w:pStyle w:val="217"/>
        <w:rPr>
          <w:color w:val="auto"/>
          <w:highlight w:val="none"/>
        </w:rPr>
      </w:pPr>
      <w:r>
        <w:rPr>
          <w:rFonts w:hint="eastAsia"/>
          <w:color w:val="auto"/>
          <w:highlight w:val="none"/>
        </w:rPr>
        <w:t>挤塑板的表观密度为≥</w:t>
      </w:r>
      <w:r>
        <w:rPr>
          <w:color w:val="auto"/>
          <w:highlight w:val="none"/>
        </w:rPr>
        <w:t>30 kg/m3</w:t>
      </w:r>
      <w:r>
        <w:rPr>
          <w:rFonts w:hint="eastAsia"/>
          <w:color w:val="auto"/>
          <w:highlight w:val="none"/>
        </w:rPr>
        <w:t>。</w:t>
      </w:r>
    </w:p>
    <w:p>
      <w:pPr>
        <w:pStyle w:val="113"/>
        <w:spacing w:before="120" w:after="120"/>
        <w:outlineLvl w:val="2"/>
        <w:rPr>
          <w:color w:val="auto"/>
          <w:highlight w:val="none"/>
        </w:rPr>
      </w:pPr>
      <w:bookmarkStart w:id="7730" w:name="_Toc66890408"/>
      <w:bookmarkStart w:id="7731" w:name="_Toc69114154"/>
      <w:bookmarkStart w:id="7732" w:name="_Toc66634413"/>
      <w:bookmarkStart w:id="7733" w:name="_Toc505345726"/>
      <w:r>
        <w:rPr>
          <w:color w:val="auto"/>
          <w:highlight w:val="none"/>
        </w:rPr>
        <w:t xml:space="preserve">3.6 </w:t>
      </w:r>
      <w:r>
        <w:rPr>
          <w:rFonts w:hint="eastAsia"/>
          <w:color w:val="auto"/>
          <w:highlight w:val="none"/>
        </w:rPr>
        <w:t>幕墙工程</w:t>
      </w:r>
      <w:bookmarkEnd w:id="7730"/>
      <w:bookmarkEnd w:id="7731"/>
      <w:bookmarkEnd w:id="7732"/>
      <w:bookmarkEnd w:id="7733"/>
    </w:p>
    <w:p>
      <w:pPr>
        <w:pStyle w:val="217"/>
        <w:rPr>
          <w:color w:val="auto"/>
          <w:highlight w:val="none"/>
        </w:rPr>
      </w:pPr>
      <w:r>
        <w:rPr>
          <w:rFonts w:hint="eastAsia"/>
          <w:color w:val="auto"/>
          <w:highlight w:val="none"/>
        </w:rPr>
        <w:t>幕墙的材料、制作、安装、测试和验收均应符合国家及省市规范，当国家规范、地方规范及本招标文件技术要求有出入时，则应按要求严格的规范为准。</w:t>
      </w:r>
    </w:p>
    <w:p>
      <w:pPr>
        <w:pStyle w:val="172"/>
        <w:rPr>
          <w:color w:val="auto"/>
          <w:highlight w:val="none"/>
        </w:rPr>
      </w:pPr>
      <w:r>
        <w:rPr>
          <w:color w:val="auto"/>
          <w:highlight w:val="none"/>
        </w:rPr>
        <w:t xml:space="preserve">3.6.1 </w:t>
      </w:r>
      <w:r>
        <w:rPr>
          <w:rFonts w:hint="eastAsia"/>
          <w:color w:val="auto"/>
          <w:highlight w:val="none"/>
        </w:rPr>
        <w:t>幕墙材料技术要求</w:t>
      </w:r>
    </w:p>
    <w:p>
      <w:pPr>
        <w:pStyle w:val="119"/>
        <w:rPr>
          <w:color w:val="auto"/>
          <w:highlight w:val="none"/>
        </w:rPr>
      </w:pPr>
      <w:r>
        <w:rPr>
          <w:color w:val="auto"/>
          <w:highlight w:val="none"/>
        </w:rPr>
        <w:t xml:space="preserve">3.6.1.1 </w:t>
      </w:r>
      <w:r>
        <w:rPr>
          <w:rFonts w:hint="eastAsia"/>
          <w:color w:val="auto"/>
          <w:highlight w:val="none"/>
        </w:rPr>
        <w:t>铝板</w:t>
      </w:r>
    </w:p>
    <w:p>
      <w:pPr>
        <w:pStyle w:val="217"/>
        <w:rPr>
          <w:color w:val="auto"/>
          <w:highlight w:val="none"/>
        </w:rPr>
      </w:pPr>
      <w:r>
        <w:rPr>
          <w:rFonts w:hint="eastAsia"/>
          <w:color w:val="auto"/>
          <w:highlight w:val="none"/>
        </w:rPr>
        <w:t>材质状态为：</w:t>
      </w:r>
      <w:r>
        <w:rPr>
          <w:color w:val="auto"/>
          <w:highlight w:val="none"/>
        </w:rPr>
        <w:t>3003-H24</w:t>
      </w:r>
      <w:r>
        <w:rPr>
          <w:rFonts w:hint="eastAsia"/>
          <w:color w:val="auto"/>
          <w:highlight w:val="none"/>
        </w:rPr>
        <w:t>外层铝板表面室外可见的采用氟碳喷涂。氟碳喷涂要求三涂层处理，采用至少</w:t>
      </w:r>
      <w:r>
        <w:rPr>
          <w:color w:val="auto"/>
          <w:highlight w:val="none"/>
        </w:rPr>
        <w:t>70%Kynar500</w:t>
      </w:r>
      <w:r>
        <w:rPr>
          <w:rFonts w:hint="eastAsia"/>
          <w:color w:val="auto"/>
          <w:highlight w:val="none"/>
        </w:rPr>
        <w:t>含氟聚合物树脂，最小局部膜厚≥</w:t>
      </w:r>
      <w:r>
        <w:rPr>
          <w:color w:val="auto"/>
          <w:highlight w:val="none"/>
        </w:rPr>
        <w:t>40</w:t>
      </w:r>
      <w:r>
        <w:rPr>
          <w:rFonts w:hint="eastAsia"/>
          <w:color w:val="auto"/>
          <w:highlight w:val="none"/>
        </w:rPr>
        <w:t>μ</w:t>
      </w:r>
      <w:r>
        <w:rPr>
          <w:color w:val="auto"/>
          <w:highlight w:val="none"/>
        </w:rPr>
        <w:t>m</w:t>
      </w:r>
      <w:r>
        <w:rPr>
          <w:rFonts w:hint="eastAsia"/>
          <w:color w:val="auto"/>
          <w:highlight w:val="none"/>
        </w:rPr>
        <w:t>。内层防水铝背板表面阳极氧化处理，其余要求不低于《铝及铝合金阳极氧化膜与有机聚合膜</w:t>
      </w:r>
      <w:r>
        <w:rPr>
          <w:color w:val="auto"/>
          <w:highlight w:val="none"/>
        </w:rPr>
        <w:t xml:space="preserve">  </w:t>
      </w:r>
      <w:r>
        <w:rPr>
          <w:rFonts w:hint="eastAsia"/>
          <w:color w:val="auto"/>
          <w:highlight w:val="none"/>
        </w:rPr>
        <w:t>第</w:t>
      </w:r>
      <w:r>
        <w:rPr>
          <w:color w:val="auto"/>
          <w:highlight w:val="none"/>
        </w:rPr>
        <w:t>1</w:t>
      </w:r>
      <w:r>
        <w:rPr>
          <w:rFonts w:hint="eastAsia"/>
          <w:color w:val="auto"/>
          <w:highlight w:val="none"/>
        </w:rPr>
        <w:t>部分</w:t>
      </w:r>
      <w:r>
        <w:rPr>
          <w:color w:val="auto"/>
          <w:highlight w:val="none"/>
        </w:rPr>
        <w:t xml:space="preserve"> </w:t>
      </w:r>
      <w:r>
        <w:rPr>
          <w:rFonts w:hint="eastAsia"/>
          <w:color w:val="auto"/>
          <w:highlight w:val="none"/>
        </w:rPr>
        <w:t>阳极氧化膜》</w:t>
      </w:r>
      <w:r>
        <w:rPr>
          <w:color w:val="auto"/>
          <w:highlight w:val="none"/>
        </w:rPr>
        <w:t xml:space="preserve">GB8013.1-2007 </w:t>
      </w:r>
      <w:r>
        <w:rPr>
          <w:rFonts w:hint="eastAsia"/>
          <w:color w:val="auto"/>
          <w:highlight w:val="none"/>
        </w:rPr>
        <w:t>中规定的</w:t>
      </w:r>
      <w:r>
        <w:rPr>
          <w:color w:val="auto"/>
          <w:highlight w:val="none"/>
        </w:rPr>
        <w:t>AA15</w:t>
      </w:r>
      <w:r>
        <w:rPr>
          <w:rFonts w:hint="eastAsia"/>
          <w:color w:val="auto"/>
          <w:highlight w:val="none"/>
        </w:rPr>
        <w:t>级。</w:t>
      </w:r>
    </w:p>
    <w:p>
      <w:pPr>
        <w:pStyle w:val="217"/>
        <w:rPr>
          <w:color w:val="auto"/>
          <w:highlight w:val="none"/>
        </w:rPr>
      </w:pPr>
      <w:r>
        <w:rPr>
          <w:rFonts w:hint="eastAsia"/>
          <w:color w:val="auto"/>
          <w:highlight w:val="none"/>
        </w:rPr>
        <w:t>铝单板尺寸允许偏差等级符合现行国家标准《铝及铝合金板、带材的尺寸允许偏差》</w:t>
      </w:r>
      <w:r>
        <w:rPr>
          <w:color w:val="auto"/>
          <w:highlight w:val="none"/>
        </w:rPr>
        <w:t>GB/T3880.3-2006</w:t>
      </w:r>
      <w:r>
        <w:rPr>
          <w:rFonts w:hint="eastAsia"/>
          <w:color w:val="auto"/>
          <w:highlight w:val="none"/>
        </w:rPr>
        <w:t>的规定中的高精级。</w:t>
      </w:r>
    </w:p>
    <w:p>
      <w:pPr>
        <w:pStyle w:val="217"/>
        <w:rPr>
          <w:color w:val="auto"/>
          <w:highlight w:val="none"/>
        </w:rPr>
      </w:pPr>
      <w:r>
        <w:rPr>
          <w:rFonts w:hint="eastAsia"/>
          <w:color w:val="auto"/>
          <w:highlight w:val="none"/>
        </w:rPr>
        <w:t>幕墙使用的铝合金板材的表面处理层厚度及材质应符合现行行业标准《建筑幕墙》（</w:t>
      </w:r>
      <w:r>
        <w:rPr>
          <w:color w:val="auto"/>
          <w:highlight w:val="none"/>
        </w:rPr>
        <w:t>JGJ 3035</w:t>
      </w:r>
      <w:r>
        <w:rPr>
          <w:rFonts w:hint="eastAsia"/>
          <w:color w:val="auto"/>
          <w:highlight w:val="none"/>
        </w:rPr>
        <w:t>）的有关规定。</w:t>
      </w:r>
    </w:p>
    <w:p>
      <w:pPr>
        <w:pStyle w:val="217"/>
        <w:rPr>
          <w:color w:val="auto"/>
          <w:highlight w:val="none"/>
        </w:rPr>
      </w:pPr>
      <w:r>
        <w:rPr>
          <w:rFonts w:hint="eastAsia"/>
          <w:color w:val="auto"/>
          <w:highlight w:val="none"/>
        </w:rPr>
        <w:t>金属板的表面质量</w:t>
      </w:r>
    </w:p>
    <w:tbl>
      <w:tblPr>
        <w:tblStyle w:val="43"/>
        <w:tblW w:w="856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43"/>
        <w:gridCol w:w="41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443" w:type="dxa"/>
            <w:noWrap w:val="0"/>
            <w:vAlign w:val="center"/>
          </w:tcPr>
          <w:p>
            <w:pPr>
              <w:rPr>
                <w:color w:val="auto"/>
                <w:highlight w:val="none"/>
              </w:rPr>
            </w:pPr>
            <w:r>
              <w:rPr>
                <w:rFonts w:hint="eastAsia"/>
                <w:color w:val="auto"/>
                <w:highlight w:val="none"/>
              </w:rPr>
              <w:t>项</w:t>
            </w:r>
            <w:r>
              <w:rPr>
                <w:color w:val="auto"/>
                <w:highlight w:val="none"/>
              </w:rPr>
              <w:t xml:space="preserve">     </w:t>
            </w:r>
            <w:r>
              <w:rPr>
                <w:rFonts w:hint="eastAsia"/>
                <w:color w:val="auto"/>
                <w:highlight w:val="none"/>
              </w:rPr>
              <w:t>目</w:t>
            </w:r>
          </w:p>
        </w:tc>
        <w:tc>
          <w:tcPr>
            <w:tcW w:w="4125" w:type="dxa"/>
            <w:noWrap w:val="0"/>
            <w:vAlign w:val="center"/>
          </w:tcPr>
          <w:p>
            <w:pPr>
              <w:rPr>
                <w:color w:val="auto"/>
                <w:highlight w:val="none"/>
              </w:rPr>
            </w:pPr>
            <w:r>
              <w:rPr>
                <w:rFonts w:hint="eastAsia"/>
                <w:color w:val="auto"/>
                <w:highlight w:val="none"/>
              </w:rPr>
              <w:t>质量要求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443" w:type="dxa"/>
            <w:noWrap w:val="0"/>
            <w:vAlign w:val="center"/>
          </w:tcPr>
          <w:p>
            <w:pPr>
              <w:rPr>
                <w:color w:val="auto"/>
                <w:highlight w:val="none"/>
              </w:rPr>
            </w:pPr>
            <w:r>
              <w:rPr>
                <w:color w:val="auto"/>
                <w:highlight w:val="none"/>
              </w:rPr>
              <w:t>0.1~0.3mm</w:t>
            </w:r>
            <w:r>
              <w:rPr>
                <w:rFonts w:hint="eastAsia"/>
                <w:color w:val="auto"/>
                <w:highlight w:val="none"/>
              </w:rPr>
              <w:t>宽划伤痕</w:t>
            </w:r>
          </w:p>
        </w:tc>
        <w:tc>
          <w:tcPr>
            <w:tcW w:w="4125" w:type="dxa"/>
            <w:noWrap w:val="0"/>
            <w:vAlign w:val="center"/>
          </w:tcPr>
          <w:p>
            <w:pPr>
              <w:rPr>
                <w:color w:val="auto"/>
                <w:highlight w:val="none"/>
              </w:rPr>
            </w:pPr>
            <w:r>
              <w:rPr>
                <w:rFonts w:hint="eastAsia"/>
                <w:color w:val="auto"/>
                <w:highlight w:val="none"/>
              </w:rPr>
              <w:t>长度小于</w:t>
            </w:r>
            <w:r>
              <w:rPr>
                <w:color w:val="auto"/>
                <w:highlight w:val="none"/>
              </w:rPr>
              <w:t>100m</w:t>
            </w:r>
            <w:r>
              <w:rPr>
                <w:rFonts w:hint="eastAsia"/>
                <w:color w:val="auto"/>
                <w:highlight w:val="none"/>
              </w:rPr>
              <w:t>不多于</w:t>
            </w:r>
            <w:r>
              <w:rPr>
                <w:color w:val="auto"/>
                <w:highlight w:val="none"/>
              </w:rPr>
              <w:t>8</w:t>
            </w:r>
            <w:r>
              <w:rPr>
                <w:rFonts w:hint="eastAsia"/>
                <w:color w:val="auto"/>
                <w:highlight w:val="none"/>
              </w:rPr>
              <w:t>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443" w:type="dxa"/>
            <w:noWrap w:val="0"/>
            <w:vAlign w:val="center"/>
          </w:tcPr>
          <w:p>
            <w:pPr>
              <w:rPr>
                <w:color w:val="auto"/>
                <w:highlight w:val="none"/>
              </w:rPr>
            </w:pPr>
            <w:r>
              <w:rPr>
                <w:rFonts w:hint="eastAsia"/>
                <w:color w:val="auto"/>
                <w:highlight w:val="none"/>
              </w:rPr>
              <w:t>擦伤</w:t>
            </w:r>
          </w:p>
        </w:tc>
        <w:tc>
          <w:tcPr>
            <w:tcW w:w="4125" w:type="dxa"/>
            <w:noWrap w:val="0"/>
            <w:vAlign w:val="center"/>
          </w:tcPr>
          <w:p>
            <w:pPr>
              <w:rPr>
                <w:color w:val="auto"/>
                <w:highlight w:val="none"/>
              </w:rPr>
            </w:pPr>
            <w:r>
              <w:rPr>
                <w:rFonts w:hint="eastAsia"/>
                <w:color w:val="auto"/>
                <w:highlight w:val="none"/>
              </w:rPr>
              <w:t>不大于</w:t>
            </w:r>
            <w:r>
              <w:rPr>
                <w:color w:val="auto"/>
                <w:highlight w:val="none"/>
              </w:rPr>
              <w:t>500m</w:t>
            </w:r>
            <w:r>
              <w:rPr>
                <w:rFonts w:hint="eastAsia"/>
                <w:color w:val="auto"/>
                <w:highlight w:val="none"/>
              </w:rPr>
              <w:t>㎡</w:t>
            </w:r>
          </w:p>
        </w:tc>
      </w:tr>
    </w:tbl>
    <w:p>
      <w:pPr>
        <w:rPr>
          <w:color w:val="auto"/>
          <w:highlight w:val="none"/>
        </w:rPr>
      </w:pPr>
    </w:p>
    <w:p>
      <w:pPr>
        <w:pStyle w:val="217"/>
        <w:rPr>
          <w:color w:val="auto"/>
          <w:highlight w:val="none"/>
        </w:rPr>
      </w:pPr>
      <w:r>
        <w:rPr>
          <w:color w:val="auto"/>
          <w:highlight w:val="none"/>
        </w:rPr>
        <w:t>1.</w:t>
      </w:r>
      <w:r>
        <w:rPr>
          <w:rFonts w:hint="eastAsia"/>
          <w:color w:val="auto"/>
          <w:highlight w:val="none"/>
        </w:rPr>
        <w:t>铝板性能：</w:t>
      </w:r>
      <w:r>
        <w:rPr>
          <w:color w:val="auto"/>
          <w:highlight w:val="none"/>
        </w:rPr>
        <w:t xml:space="preserve"> </w:t>
      </w:r>
    </w:p>
    <w:p>
      <w:pPr>
        <w:pStyle w:val="217"/>
        <w:rPr>
          <w:color w:val="auto"/>
          <w:highlight w:val="none"/>
        </w:rPr>
      </w:pPr>
      <w:r>
        <w:rPr>
          <w:rFonts w:hint="eastAsia"/>
          <w:color w:val="auto"/>
          <w:highlight w:val="none"/>
        </w:rPr>
        <w:t>氟碳喷涂铝合金墙板测试性能表</w:t>
      </w:r>
    </w:p>
    <w:tbl>
      <w:tblPr>
        <w:tblStyle w:val="43"/>
        <w:tblW w:w="865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48"/>
        <w:gridCol w:w="2658"/>
        <w:gridCol w:w="2335"/>
        <w:gridCol w:w="211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67" w:hRule="atLeast"/>
          <w:jc w:val="center"/>
        </w:trPr>
        <w:tc>
          <w:tcPr>
            <w:tcW w:w="1548" w:type="dxa"/>
            <w:noWrap w:val="0"/>
            <w:vAlign w:val="center"/>
          </w:tcPr>
          <w:p>
            <w:pPr>
              <w:rPr>
                <w:color w:val="auto"/>
                <w:highlight w:val="none"/>
              </w:rPr>
            </w:pPr>
            <w:r>
              <w:rPr>
                <w:rFonts w:hint="eastAsia"/>
                <w:color w:val="auto"/>
                <w:highlight w:val="none"/>
              </w:rPr>
              <w:t>性能</w:t>
            </w:r>
          </w:p>
        </w:tc>
        <w:tc>
          <w:tcPr>
            <w:tcW w:w="2658" w:type="dxa"/>
            <w:noWrap w:val="0"/>
            <w:vAlign w:val="center"/>
          </w:tcPr>
          <w:p>
            <w:pPr>
              <w:rPr>
                <w:color w:val="auto"/>
                <w:highlight w:val="none"/>
              </w:rPr>
            </w:pPr>
            <w:r>
              <w:rPr>
                <w:rFonts w:hint="eastAsia"/>
                <w:color w:val="auto"/>
                <w:highlight w:val="none"/>
              </w:rPr>
              <w:t>说明</w:t>
            </w:r>
          </w:p>
        </w:tc>
        <w:tc>
          <w:tcPr>
            <w:tcW w:w="2335" w:type="dxa"/>
            <w:noWrap w:val="0"/>
            <w:vAlign w:val="center"/>
          </w:tcPr>
          <w:p>
            <w:pPr>
              <w:rPr>
                <w:color w:val="auto"/>
                <w:highlight w:val="none"/>
              </w:rPr>
            </w:pPr>
            <w:r>
              <w:rPr>
                <w:rFonts w:hint="eastAsia"/>
                <w:color w:val="auto"/>
                <w:highlight w:val="none"/>
              </w:rPr>
              <w:t>技术规范</w:t>
            </w:r>
          </w:p>
        </w:tc>
        <w:tc>
          <w:tcPr>
            <w:tcW w:w="2111" w:type="dxa"/>
            <w:noWrap w:val="0"/>
            <w:vAlign w:val="center"/>
          </w:tcPr>
          <w:p>
            <w:pPr>
              <w:rPr>
                <w:color w:val="auto"/>
                <w:highlight w:val="none"/>
              </w:rPr>
            </w:pPr>
            <w:r>
              <w:rPr>
                <w:rFonts w:hint="eastAsia"/>
                <w:color w:val="auto"/>
                <w:highlight w:val="no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548" w:type="dxa"/>
            <w:noWrap w:val="0"/>
            <w:vAlign w:val="center"/>
          </w:tcPr>
          <w:p>
            <w:pPr>
              <w:rPr>
                <w:color w:val="auto"/>
                <w:highlight w:val="none"/>
              </w:rPr>
            </w:pPr>
            <w:r>
              <w:rPr>
                <w:color w:val="auto"/>
                <w:highlight w:val="none"/>
              </w:rPr>
              <w:t>1</w:t>
            </w:r>
            <w:r>
              <w:rPr>
                <w:rFonts w:hint="eastAsia"/>
                <w:color w:val="auto"/>
                <w:highlight w:val="none"/>
              </w:rPr>
              <w:t>．光泽</w:t>
            </w:r>
            <w:r>
              <w:rPr>
                <w:color w:val="auto"/>
                <w:highlight w:val="none"/>
              </w:rPr>
              <w:t>60</w:t>
            </w:r>
            <w:r>
              <w:rPr>
                <w:rFonts w:hint="eastAsia"/>
                <w:color w:val="auto"/>
                <w:highlight w:val="none"/>
              </w:rPr>
              <w:t>º</w:t>
            </w:r>
          </w:p>
        </w:tc>
        <w:tc>
          <w:tcPr>
            <w:tcW w:w="2658" w:type="dxa"/>
            <w:noWrap w:val="0"/>
            <w:vAlign w:val="center"/>
          </w:tcPr>
          <w:p>
            <w:pPr>
              <w:rPr>
                <w:color w:val="auto"/>
                <w:highlight w:val="none"/>
              </w:rPr>
            </w:pPr>
          </w:p>
        </w:tc>
        <w:tc>
          <w:tcPr>
            <w:tcW w:w="2335" w:type="dxa"/>
            <w:noWrap w:val="0"/>
            <w:vAlign w:val="center"/>
          </w:tcPr>
          <w:p>
            <w:pPr>
              <w:rPr>
                <w:color w:val="auto"/>
                <w:highlight w:val="none"/>
              </w:rPr>
            </w:pPr>
            <w:r>
              <w:rPr>
                <w:color w:val="auto"/>
                <w:highlight w:val="none"/>
              </w:rPr>
              <w:t>30</w:t>
            </w:r>
            <w:r>
              <w:rPr>
                <w:rFonts w:hint="eastAsia"/>
                <w:color w:val="auto"/>
                <w:highlight w:val="none"/>
              </w:rPr>
              <w:t>±</w:t>
            </w:r>
            <w:r>
              <w:rPr>
                <w:color w:val="auto"/>
                <w:highlight w:val="none"/>
              </w:rPr>
              <w:t>5</w:t>
            </w:r>
          </w:p>
        </w:tc>
        <w:tc>
          <w:tcPr>
            <w:tcW w:w="2111" w:type="dxa"/>
            <w:noWrap w:val="0"/>
            <w:vAlign w:val="center"/>
          </w:tcPr>
          <w:p>
            <w:pPr>
              <w:rPr>
                <w:color w:val="auto"/>
                <w:highlight w:val="none"/>
              </w:rPr>
            </w:pPr>
            <w:r>
              <w:rPr>
                <w:color w:val="auto"/>
                <w:highlight w:val="none"/>
              </w:rPr>
              <w:t>ASTM D-523-67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548" w:type="dxa"/>
            <w:noWrap w:val="0"/>
            <w:vAlign w:val="center"/>
          </w:tcPr>
          <w:p>
            <w:pPr>
              <w:rPr>
                <w:color w:val="auto"/>
                <w:highlight w:val="none"/>
              </w:rPr>
            </w:pPr>
            <w:r>
              <w:rPr>
                <w:color w:val="auto"/>
                <w:highlight w:val="none"/>
              </w:rPr>
              <w:t>2</w:t>
            </w:r>
            <w:r>
              <w:rPr>
                <w:rFonts w:hint="eastAsia"/>
                <w:color w:val="auto"/>
                <w:highlight w:val="none"/>
              </w:rPr>
              <w:t>．硬度</w:t>
            </w:r>
          </w:p>
        </w:tc>
        <w:tc>
          <w:tcPr>
            <w:tcW w:w="2658" w:type="dxa"/>
            <w:noWrap w:val="0"/>
            <w:vAlign w:val="center"/>
          </w:tcPr>
          <w:p>
            <w:pPr>
              <w:rPr>
                <w:color w:val="auto"/>
                <w:highlight w:val="none"/>
              </w:rPr>
            </w:pPr>
            <w:r>
              <w:rPr>
                <w:color w:val="auto"/>
                <w:highlight w:val="none"/>
              </w:rPr>
              <w:t>Mitsubishi Uni</w:t>
            </w:r>
          </w:p>
          <w:p>
            <w:pPr>
              <w:rPr>
                <w:color w:val="auto"/>
                <w:highlight w:val="none"/>
              </w:rPr>
            </w:pPr>
            <w:r>
              <w:rPr>
                <w:color w:val="auto"/>
                <w:highlight w:val="none"/>
              </w:rPr>
              <w:t>Eagle Turquoise</w:t>
            </w:r>
          </w:p>
        </w:tc>
        <w:tc>
          <w:tcPr>
            <w:tcW w:w="2335" w:type="dxa"/>
            <w:noWrap w:val="0"/>
            <w:vAlign w:val="center"/>
          </w:tcPr>
          <w:p>
            <w:pPr>
              <w:rPr>
                <w:color w:val="auto"/>
                <w:highlight w:val="none"/>
              </w:rPr>
            </w:pPr>
            <w:r>
              <w:rPr>
                <w:color w:val="auto"/>
                <w:highlight w:val="none"/>
              </w:rPr>
              <w:t>H Min</w:t>
            </w:r>
          </w:p>
          <w:p>
            <w:pPr>
              <w:rPr>
                <w:color w:val="auto"/>
                <w:highlight w:val="none"/>
              </w:rPr>
            </w:pPr>
            <w:r>
              <w:rPr>
                <w:color w:val="auto"/>
                <w:highlight w:val="none"/>
              </w:rPr>
              <w:t>F Min</w:t>
            </w:r>
          </w:p>
        </w:tc>
        <w:tc>
          <w:tcPr>
            <w:tcW w:w="2111" w:type="dxa"/>
            <w:noWrap w:val="0"/>
            <w:vAlign w:val="center"/>
          </w:tcPr>
          <w:p>
            <w:pPr>
              <w:rPr>
                <w:color w:val="auto"/>
                <w:highlight w:val="none"/>
              </w:rPr>
            </w:pPr>
            <w:r>
              <w:rPr>
                <w:color w:val="auto"/>
                <w:highlight w:val="none"/>
              </w:rPr>
              <w:t>KSD-3520</w:t>
            </w:r>
          </w:p>
          <w:p>
            <w:pPr>
              <w:rPr>
                <w:color w:val="auto"/>
                <w:highlight w:val="none"/>
              </w:rPr>
            </w:pPr>
            <w:r>
              <w:rPr>
                <w:color w:val="auto"/>
                <w:highlight w:val="none"/>
              </w:rPr>
              <w:t>ASTM D-3363-74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548" w:type="dxa"/>
            <w:noWrap w:val="0"/>
            <w:vAlign w:val="center"/>
          </w:tcPr>
          <w:p>
            <w:pPr>
              <w:rPr>
                <w:color w:val="auto"/>
                <w:highlight w:val="none"/>
              </w:rPr>
            </w:pPr>
            <w:r>
              <w:rPr>
                <w:color w:val="auto"/>
                <w:highlight w:val="none"/>
              </w:rPr>
              <w:t>3</w:t>
            </w:r>
            <w:r>
              <w:rPr>
                <w:rFonts w:hint="eastAsia"/>
                <w:color w:val="auto"/>
                <w:highlight w:val="none"/>
              </w:rPr>
              <w:t>．粘附</w:t>
            </w:r>
          </w:p>
        </w:tc>
        <w:tc>
          <w:tcPr>
            <w:tcW w:w="2658" w:type="dxa"/>
            <w:noWrap w:val="0"/>
            <w:vAlign w:val="center"/>
          </w:tcPr>
          <w:p>
            <w:pPr>
              <w:rPr>
                <w:color w:val="auto"/>
                <w:highlight w:val="none"/>
              </w:rPr>
            </w:pPr>
            <w:r>
              <w:rPr>
                <w:rFonts w:hint="eastAsia"/>
                <w:color w:val="auto"/>
                <w:highlight w:val="none"/>
              </w:rPr>
              <w:t>画交叉影线</w:t>
            </w:r>
          </w:p>
        </w:tc>
        <w:tc>
          <w:tcPr>
            <w:tcW w:w="2335" w:type="dxa"/>
            <w:noWrap w:val="0"/>
            <w:vAlign w:val="center"/>
          </w:tcPr>
          <w:p>
            <w:pPr>
              <w:rPr>
                <w:color w:val="auto"/>
                <w:highlight w:val="none"/>
              </w:rPr>
            </w:pPr>
            <w:r>
              <w:rPr>
                <w:rFonts w:hint="eastAsia"/>
                <w:color w:val="auto"/>
                <w:highlight w:val="none"/>
              </w:rPr>
              <w:t>无脱落</w:t>
            </w:r>
          </w:p>
        </w:tc>
        <w:tc>
          <w:tcPr>
            <w:tcW w:w="2111" w:type="dxa"/>
            <w:noWrap w:val="0"/>
            <w:vAlign w:val="center"/>
          </w:tcPr>
          <w:p>
            <w:pPr>
              <w:rPr>
                <w:color w:val="auto"/>
                <w:highlight w:val="none"/>
              </w:rPr>
            </w:pPr>
            <w:r>
              <w:rPr>
                <w:color w:val="auto"/>
                <w:highlight w:val="none"/>
              </w:rPr>
              <w:t>ASTM D-3359-78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548" w:type="dxa"/>
            <w:noWrap w:val="0"/>
            <w:vAlign w:val="center"/>
          </w:tcPr>
          <w:p>
            <w:pPr>
              <w:rPr>
                <w:color w:val="auto"/>
                <w:highlight w:val="none"/>
              </w:rPr>
            </w:pPr>
            <w:r>
              <w:rPr>
                <w:color w:val="auto"/>
                <w:highlight w:val="none"/>
              </w:rPr>
              <w:t>4</w:t>
            </w:r>
            <w:r>
              <w:rPr>
                <w:rFonts w:hint="eastAsia"/>
                <w:color w:val="auto"/>
                <w:highlight w:val="none"/>
              </w:rPr>
              <w:t>．抗冲击</w:t>
            </w:r>
          </w:p>
        </w:tc>
        <w:tc>
          <w:tcPr>
            <w:tcW w:w="2658" w:type="dxa"/>
            <w:noWrap w:val="0"/>
            <w:vAlign w:val="center"/>
          </w:tcPr>
          <w:p>
            <w:pPr>
              <w:rPr>
                <w:color w:val="auto"/>
                <w:highlight w:val="none"/>
              </w:rPr>
            </w:pPr>
            <w:r>
              <w:rPr>
                <w:color w:val="auto"/>
                <w:highlight w:val="none"/>
              </w:rPr>
              <w:t>1/2</w:t>
            </w:r>
            <w:r>
              <w:rPr>
                <w:rFonts w:hint="eastAsia"/>
                <w:color w:val="auto"/>
                <w:highlight w:val="none"/>
              </w:rPr>
              <w:t>″</w:t>
            </w:r>
            <w:r>
              <w:rPr>
                <w:color w:val="auto"/>
                <w:highlight w:val="none"/>
              </w:rPr>
              <w:t>1.5kg50cm</w:t>
            </w:r>
          </w:p>
        </w:tc>
        <w:tc>
          <w:tcPr>
            <w:tcW w:w="2335" w:type="dxa"/>
            <w:noWrap w:val="0"/>
            <w:vAlign w:val="center"/>
          </w:tcPr>
          <w:p>
            <w:pPr>
              <w:rPr>
                <w:color w:val="auto"/>
                <w:highlight w:val="none"/>
              </w:rPr>
            </w:pPr>
          </w:p>
        </w:tc>
        <w:tc>
          <w:tcPr>
            <w:tcW w:w="2111" w:type="dxa"/>
            <w:noWrap w:val="0"/>
            <w:vAlign w:val="center"/>
          </w:tcPr>
          <w:p>
            <w:pPr>
              <w:rPr>
                <w:color w:val="auto"/>
                <w:highlight w:val="none"/>
              </w:rPr>
            </w:pPr>
            <w:r>
              <w:rPr>
                <w:color w:val="auto"/>
                <w:highlight w:val="none"/>
              </w:rPr>
              <w:t>ASTM D-2794-69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548" w:type="dxa"/>
            <w:noWrap w:val="0"/>
            <w:vAlign w:val="center"/>
          </w:tcPr>
          <w:p>
            <w:pPr>
              <w:rPr>
                <w:color w:val="auto"/>
                <w:highlight w:val="none"/>
              </w:rPr>
            </w:pPr>
            <w:r>
              <w:rPr>
                <w:color w:val="auto"/>
                <w:highlight w:val="none"/>
              </w:rPr>
              <w:t>5</w:t>
            </w:r>
            <w:r>
              <w:rPr>
                <w:rFonts w:hint="eastAsia"/>
                <w:color w:val="auto"/>
                <w:highlight w:val="none"/>
              </w:rPr>
              <w:t>．成形性</w:t>
            </w:r>
          </w:p>
        </w:tc>
        <w:tc>
          <w:tcPr>
            <w:tcW w:w="2658" w:type="dxa"/>
            <w:noWrap w:val="0"/>
            <w:vAlign w:val="center"/>
          </w:tcPr>
          <w:p>
            <w:pPr>
              <w:rPr>
                <w:color w:val="auto"/>
                <w:highlight w:val="none"/>
              </w:rPr>
            </w:pPr>
            <w:r>
              <w:rPr>
                <w:rFonts w:hint="eastAsia"/>
                <w:color w:val="auto"/>
                <w:highlight w:val="none"/>
              </w:rPr>
              <w:t>折弯</w:t>
            </w:r>
          </w:p>
        </w:tc>
        <w:tc>
          <w:tcPr>
            <w:tcW w:w="2335" w:type="dxa"/>
            <w:noWrap w:val="0"/>
            <w:vAlign w:val="center"/>
          </w:tcPr>
          <w:p>
            <w:pPr>
              <w:rPr>
                <w:color w:val="auto"/>
                <w:highlight w:val="none"/>
              </w:rPr>
            </w:pPr>
          </w:p>
        </w:tc>
        <w:tc>
          <w:tcPr>
            <w:tcW w:w="2111" w:type="dxa"/>
            <w:noWrap w:val="0"/>
            <w:vAlign w:val="center"/>
          </w:tcPr>
          <w:p>
            <w:pPr>
              <w:rPr>
                <w:color w:val="auto"/>
                <w:highlight w:val="none"/>
              </w:rPr>
            </w:pPr>
            <w:r>
              <w:rPr>
                <w:color w:val="auto"/>
                <w:highlight w:val="none"/>
              </w:rPr>
              <w:t>ASTM D-3281-73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548" w:type="dxa"/>
            <w:noWrap w:val="0"/>
            <w:vAlign w:val="center"/>
          </w:tcPr>
          <w:p>
            <w:pPr>
              <w:rPr>
                <w:color w:val="auto"/>
                <w:highlight w:val="none"/>
              </w:rPr>
            </w:pPr>
            <w:r>
              <w:rPr>
                <w:color w:val="auto"/>
                <w:highlight w:val="none"/>
              </w:rPr>
              <w:t>6</w:t>
            </w:r>
            <w:r>
              <w:rPr>
                <w:rFonts w:hint="eastAsia"/>
                <w:color w:val="auto"/>
                <w:highlight w:val="none"/>
              </w:rPr>
              <w:t>．耐溶剂</w:t>
            </w:r>
          </w:p>
        </w:tc>
        <w:tc>
          <w:tcPr>
            <w:tcW w:w="2658" w:type="dxa"/>
            <w:noWrap w:val="0"/>
            <w:vAlign w:val="center"/>
          </w:tcPr>
          <w:p>
            <w:pPr>
              <w:rPr>
                <w:color w:val="auto"/>
                <w:highlight w:val="none"/>
              </w:rPr>
            </w:pPr>
            <w:r>
              <w:rPr>
                <w:rFonts w:hint="eastAsia"/>
                <w:color w:val="auto"/>
                <w:highlight w:val="none"/>
              </w:rPr>
              <w:t>擦</w:t>
            </w:r>
          </w:p>
        </w:tc>
        <w:tc>
          <w:tcPr>
            <w:tcW w:w="2335" w:type="dxa"/>
            <w:noWrap w:val="0"/>
            <w:vAlign w:val="center"/>
          </w:tcPr>
          <w:p>
            <w:pPr>
              <w:rPr>
                <w:color w:val="auto"/>
                <w:highlight w:val="none"/>
              </w:rPr>
            </w:pPr>
            <w:r>
              <w:rPr>
                <w:color w:val="auto"/>
                <w:highlight w:val="none"/>
              </w:rPr>
              <w:t>100 Min</w:t>
            </w:r>
          </w:p>
        </w:tc>
        <w:tc>
          <w:tcPr>
            <w:tcW w:w="2111" w:type="dxa"/>
            <w:noWrap w:val="0"/>
            <w:vAlign w:val="center"/>
          </w:tcPr>
          <w:p>
            <w:pPr>
              <w:rPr>
                <w:color w:val="auto"/>
                <w:highlight w:val="none"/>
              </w:rPr>
            </w:pPr>
            <w:r>
              <w:rPr>
                <w:color w:val="auto"/>
                <w:highlight w:val="none"/>
              </w:rPr>
              <w:t>NCCA No.11-18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548" w:type="dxa"/>
            <w:noWrap w:val="0"/>
            <w:vAlign w:val="center"/>
          </w:tcPr>
          <w:p>
            <w:pPr>
              <w:rPr>
                <w:color w:val="auto"/>
                <w:highlight w:val="none"/>
              </w:rPr>
            </w:pPr>
            <w:r>
              <w:rPr>
                <w:color w:val="auto"/>
                <w:highlight w:val="none"/>
              </w:rPr>
              <w:t>7</w:t>
            </w:r>
            <w:r>
              <w:rPr>
                <w:rFonts w:hint="eastAsia"/>
                <w:color w:val="auto"/>
                <w:highlight w:val="none"/>
              </w:rPr>
              <w:t>．磨耗</w:t>
            </w:r>
          </w:p>
        </w:tc>
        <w:tc>
          <w:tcPr>
            <w:tcW w:w="2658" w:type="dxa"/>
            <w:noWrap w:val="0"/>
            <w:vAlign w:val="center"/>
          </w:tcPr>
          <w:p>
            <w:pPr>
              <w:rPr>
                <w:color w:val="auto"/>
                <w:highlight w:val="none"/>
              </w:rPr>
            </w:pPr>
            <w:r>
              <w:rPr>
                <w:rFonts w:hint="eastAsia"/>
                <w:color w:val="auto"/>
                <w:highlight w:val="none"/>
              </w:rPr>
              <w:t>溶砂通过</w:t>
            </w:r>
          </w:p>
        </w:tc>
        <w:tc>
          <w:tcPr>
            <w:tcW w:w="2335" w:type="dxa"/>
            <w:noWrap w:val="0"/>
            <w:vAlign w:val="center"/>
          </w:tcPr>
          <w:p>
            <w:pPr>
              <w:rPr>
                <w:color w:val="auto"/>
                <w:highlight w:val="none"/>
              </w:rPr>
            </w:pPr>
            <w:r>
              <w:rPr>
                <w:rFonts w:hint="eastAsia"/>
                <w:color w:val="auto"/>
                <w:highlight w:val="none"/>
              </w:rPr>
              <w:t>磨耗系数</w:t>
            </w:r>
            <w:r>
              <w:rPr>
                <w:color w:val="auto"/>
                <w:highlight w:val="none"/>
              </w:rPr>
              <w:t>40 Min</w:t>
            </w:r>
          </w:p>
        </w:tc>
        <w:tc>
          <w:tcPr>
            <w:tcW w:w="2111" w:type="dxa"/>
            <w:noWrap w:val="0"/>
            <w:vAlign w:val="center"/>
          </w:tcPr>
          <w:p>
            <w:pPr>
              <w:rPr>
                <w:color w:val="auto"/>
                <w:highlight w:val="none"/>
              </w:rPr>
            </w:pPr>
            <w:r>
              <w:rPr>
                <w:color w:val="auto"/>
                <w:highlight w:val="none"/>
              </w:rPr>
              <w:t>ASTM D-968-51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548" w:type="dxa"/>
            <w:noWrap w:val="0"/>
            <w:vAlign w:val="center"/>
          </w:tcPr>
          <w:p>
            <w:pPr>
              <w:rPr>
                <w:color w:val="auto"/>
                <w:highlight w:val="none"/>
              </w:rPr>
            </w:pPr>
            <w:r>
              <w:rPr>
                <w:color w:val="auto"/>
                <w:highlight w:val="none"/>
              </w:rPr>
              <w:t>8</w:t>
            </w:r>
            <w:r>
              <w:rPr>
                <w:rFonts w:hint="eastAsia"/>
                <w:color w:val="auto"/>
                <w:highlight w:val="none"/>
              </w:rPr>
              <w:t>．抗湿</w:t>
            </w:r>
          </w:p>
        </w:tc>
        <w:tc>
          <w:tcPr>
            <w:tcW w:w="2658" w:type="dxa"/>
            <w:noWrap w:val="0"/>
            <w:vAlign w:val="center"/>
          </w:tcPr>
          <w:p>
            <w:pPr>
              <w:rPr>
                <w:color w:val="auto"/>
                <w:highlight w:val="none"/>
              </w:rPr>
            </w:pPr>
            <w:r>
              <w:rPr>
                <w:color w:val="auto"/>
                <w:highlight w:val="none"/>
              </w:rPr>
              <w:t>100%RH,100 oF</w:t>
            </w:r>
          </w:p>
        </w:tc>
        <w:tc>
          <w:tcPr>
            <w:tcW w:w="2335" w:type="dxa"/>
            <w:noWrap w:val="0"/>
            <w:vAlign w:val="center"/>
          </w:tcPr>
          <w:p>
            <w:pPr>
              <w:rPr>
                <w:color w:val="auto"/>
                <w:highlight w:val="none"/>
              </w:rPr>
            </w:pPr>
            <w:r>
              <w:rPr>
                <w:rFonts w:hint="eastAsia"/>
                <w:color w:val="auto"/>
                <w:highlight w:val="none"/>
              </w:rPr>
              <w:t>过</w:t>
            </w:r>
            <w:r>
              <w:rPr>
                <w:color w:val="auto"/>
                <w:highlight w:val="none"/>
              </w:rPr>
              <w:t>3000</w:t>
            </w:r>
            <w:r>
              <w:rPr>
                <w:rFonts w:hint="eastAsia"/>
                <w:color w:val="auto"/>
                <w:highlight w:val="none"/>
              </w:rPr>
              <w:t>小时无气泡产生</w:t>
            </w:r>
          </w:p>
        </w:tc>
        <w:tc>
          <w:tcPr>
            <w:tcW w:w="2111" w:type="dxa"/>
            <w:noWrap w:val="0"/>
            <w:vAlign w:val="center"/>
          </w:tcPr>
          <w:p>
            <w:pPr>
              <w:rPr>
                <w:color w:val="auto"/>
                <w:highlight w:val="none"/>
              </w:rPr>
            </w:pPr>
            <w:r>
              <w:rPr>
                <w:color w:val="auto"/>
                <w:highlight w:val="none"/>
              </w:rPr>
              <w:t>ASTM D-2247-68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67" w:hRule="atLeast"/>
          <w:jc w:val="center"/>
        </w:trPr>
        <w:tc>
          <w:tcPr>
            <w:tcW w:w="1548" w:type="dxa"/>
            <w:noWrap w:val="0"/>
            <w:vAlign w:val="center"/>
          </w:tcPr>
          <w:p>
            <w:pPr>
              <w:rPr>
                <w:color w:val="auto"/>
                <w:highlight w:val="none"/>
              </w:rPr>
            </w:pPr>
            <w:r>
              <w:rPr>
                <w:color w:val="auto"/>
                <w:highlight w:val="none"/>
              </w:rPr>
              <w:t>9</w:t>
            </w:r>
            <w:r>
              <w:rPr>
                <w:rFonts w:hint="eastAsia"/>
                <w:color w:val="auto"/>
                <w:highlight w:val="none"/>
              </w:rPr>
              <w:t>．抗毒</w:t>
            </w:r>
          </w:p>
        </w:tc>
        <w:tc>
          <w:tcPr>
            <w:tcW w:w="2658" w:type="dxa"/>
            <w:noWrap w:val="0"/>
            <w:vAlign w:val="center"/>
          </w:tcPr>
          <w:p>
            <w:pPr>
              <w:rPr>
                <w:color w:val="auto"/>
                <w:highlight w:val="none"/>
              </w:rPr>
            </w:pPr>
            <w:r>
              <w:rPr>
                <w:color w:val="auto"/>
                <w:highlight w:val="none"/>
              </w:rPr>
              <w:t>Magic,24HRS</w:t>
            </w:r>
            <w:r>
              <w:rPr>
                <w:rFonts w:hint="eastAsia"/>
                <w:color w:val="auto"/>
                <w:highlight w:val="none"/>
              </w:rPr>
              <w:t>醇洗</w:t>
            </w:r>
          </w:p>
        </w:tc>
        <w:tc>
          <w:tcPr>
            <w:tcW w:w="2335" w:type="dxa"/>
            <w:noWrap w:val="0"/>
            <w:vAlign w:val="center"/>
          </w:tcPr>
          <w:p>
            <w:pPr>
              <w:rPr>
                <w:color w:val="auto"/>
                <w:highlight w:val="none"/>
              </w:rPr>
            </w:pPr>
            <w:r>
              <w:rPr>
                <w:rFonts w:hint="eastAsia"/>
                <w:color w:val="auto"/>
                <w:highlight w:val="none"/>
              </w:rPr>
              <w:t>肉眼看不出变化</w:t>
            </w:r>
          </w:p>
        </w:tc>
        <w:tc>
          <w:tcPr>
            <w:tcW w:w="2111" w:type="dxa"/>
            <w:noWrap w:val="0"/>
            <w:vAlign w:val="center"/>
          </w:tcPr>
          <w:p>
            <w:pPr>
              <w:rPr>
                <w:color w:val="auto"/>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67" w:hRule="atLeast"/>
          <w:jc w:val="center"/>
        </w:trPr>
        <w:tc>
          <w:tcPr>
            <w:tcW w:w="1548" w:type="dxa"/>
            <w:noWrap w:val="0"/>
            <w:vAlign w:val="center"/>
          </w:tcPr>
          <w:p>
            <w:pPr>
              <w:rPr>
                <w:color w:val="auto"/>
                <w:highlight w:val="none"/>
              </w:rPr>
            </w:pPr>
            <w:r>
              <w:rPr>
                <w:color w:val="auto"/>
                <w:highlight w:val="none"/>
              </w:rPr>
              <w:t>10</w:t>
            </w:r>
            <w:r>
              <w:rPr>
                <w:rFonts w:hint="eastAsia"/>
                <w:color w:val="auto"/>
                <w:highlight w:val="none"/>
              </w:rPr>
              <w:t>．抗洗涤</w:t>
            </w:r>
          </w:p>
        </w:tc>
        <w:tc>
          <w:tcPr>
            <w:tcW w:w="2658" w:type="dxa"/>
            <w:noWrap w:val="0"/>
            <w:vAlign w:val="center"/>
          </w:tcPr>
          <w:p>
            <w:pPr>
              <w:rPr>
                <w:color w:val="auto"/>
                <w:highlight w:val="none"/>
              </w:rPr>
            </w:pPr>
            <w:r>
              <w:rPr>
                <w:color w:val="auto"/>
                <w:highlight w:val="none"/>
              </w:rPr>
              <w:t>3%Det,100 oF72</w:t>
            </w:r>
            <w:r>
              <w:rPr>
                <w:rFonts w:hint="eastAsia"/>
                <w:color w:val="auto"/>
                <w:highlight w:val="none"/>
              </w:rPr>
              <w:t>小时浸渍</w:t>
            </w:r>
          </w:p>
        </w:tc>
        <w:tc>
          <w:tcPr>
            <w:tcW w:w="2335" w:type="dxa"/>
            <w:noWrap w:val="0"/>
            <w:vAlign w:val="center"/>
          </w:tcPr>
          <w:p>
            <w:pPr>
              <w:rPr>
                <w:color w:val="auto"/>
                <w:highlight w:val="none"/>
              </w:rPr>
            </w:pPr>
            <w:r>
              <w:rPr>
                <w:rFonts w:hint="eastAsia"/>
                <w:color w:val="auto"/>
                <w:highlight w:val="none"/>
              </w:rPr>
              <w:t>无影响</w:t>
            </w:r>
          </w:p>
        </w:tc>
        <w:tc>
          <w:tcPr>
            <w:tcW w:w="2111" w:type="dxa"/>
            <w:noWrap w:val="0"/>
            <w:vAlign w:val="center"/>
          </w:tcPr>
          <w:p>
            <w:pPr>
              <w:rPr>
                <w:color w:val="auto"/>
                <w:highlight w:val="none"/>
              </w:rPr>
            </w:pPr>
            <w:r>
              <w:rPr>
                <w:color w:val="auto"/>
                <w:highlight w:val="none"/>
              </w:rPr>
              <w:t>ASTM D-228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67" w:hRule="atLeast"/>
          <w:jc w:val="center"/>
        </w:trPr>
        <w:tc>
          <w:tcPr>
            <w:tcW w:w="1548" w:type="dxa"/>
            <w:noWrap w:val="0"/>
            <w:vAlign w:val="center"/>
          </w:tcPr>
          <w:p>
            <w:pPr>
              <w:rPr>
                <w:color w:val="auto"/>
                <w:highlight w:val="none"/>
              </w:rPr>
            </w:pPr>
            <w:r>
              <w:rPr>
                <w:color w:val="auto"/>
                <w:highlight w:val="none"/>
              </w:rPr>
              <w:t>11</w:t>
            </w:r>
            <w:r>
              <w:rPr>
                <w:rFonts w:hint="eastAsia"/>
                <w:color w:val="auto"/>
                <w:highlight w:val="none"/>
              </w:rPr>
              <w:t>．抗化学品</w:t>
            </w:r>
          </w:p>
        </w:tc>
        <w:tc>
          <w:tcPr>
            <w:tcW w:w="2658" w:type="dxa"/>
            <w:noWrap w:val="0"/>
            <w:vAlign w:val="center"/>
          </w:tcPr>
          <w:p>
            <w:pPr>
              <w:rPr>
                <w:color w:val="auto"/>
                <w:highlight w:val="none"/>
              </w:rPr>
            </w:pPr>
            <w:r>
              <w:rPr>
                <w:rFonts w:hint="eastAsia"/>
                <w:color w:val="auto"/>
                <w:highlight w:val="none"/>
              </w:rPr>
              <w:t>（</w:t>
            </w:r>
            <w:r>
              <w:rPr>
                <w:color w:val="auto"/>
                <w:highlight w:val="none"/>
              </w:rPr>
              <w:t>1</w:t>
            </w:r>
            <w:r>
              <w:rPr>
                <w:rFonts w:hint="eastAsia"/>
                <w:color w:val="auto"/>
                <w:highlight w:val="none"/>
              </w:rPr>
              <w:t>）</w:t>
            </w:r>
            <w:r>
              <w:rPr>
                <w:color w:val="auto"/>
                <w:highlight w:val="none"/>
              </w:rPr>
              <w:t>20% HC</w:t>
            </w:r>
            <w:r>
              <w:rPr>
                <w:rFonts w:hint="eastAsia"/>
                <w:color w:val="auto"/>
                <w:highlight w:val="none"/>
              </w:rPr>
              <w:t>，</w:t>
            </w:r>
            <w:r>
              <w:rPr>
                <w:color w:val="auto"/>
                <w:highlight w:val="none"/>
              </w:rPr>
              <w:t>18HRS</w:t>
            </w:r>
          </w:p>
          <w:p>
            <w:pPr>
              <w:rPr>
                <w:color w:val="auto"/>
                <w:highlight w:val="none"/>
              </w:rPr>
            </w:pPr>
            <w:r>
              <w:rPr>
                <w:rFonts w:hint="eastAsia"/>
                <w:color w:val="auto"/>
                <w:highlight w:val="none"/>
              </w:rPr>
              <w:t>（</w:t>
            </w:r>
            <w:r>
              <w:rPr>
                <w:color w:val="auto"/>
                <w:highlight w:val="none"/>
              </w:rPr>
              <w:t>2</w:t>
            </w:r>
            <w:r>
              <w:rPr>
                <w:rFonts w:hint="eastAsia"/>
                <w:color w:val="auto"/>
                <w:highlight w:val="none"/>
              </w:rPr>
              <w:t>）</w:t>
            </w:r>
            <w:r>
              <w:rPr>
                <w:color w:val="auto"/>
                <w:highlight w:val="none"/>
              </w:rPr>
              <w:t>20% HC</w:t>
            </w:r>
            <w:r>
              <w:rPr>
                <w:rFonts w:hint="eastAsia"/>
                <w:color w:val="auto"/>
                <w:highlight w:val="none"/>
              </w:rPr>
              <w:t>，</w:t>
            </w:r>
            <w:r>
              <w:rPr>
                <w:color w:val="auto"/>
                <w:highlight w:val="none"/>
              </w:rPr>
              <w:t>H2SO418HRS</w:t>
            </w:r>
          </w:p>
          <w:p>
            <w:pPr>
              <w:rPr>
                <w:color w:val="auto"/>
                <w:highlight w:val="none"/>
              </w:rPr>
            </w:pPr>
            <w:r>
              <w:rPr>
                <w:rFonts w:hint="eastAsia"/>
                <w:color w:val="auto"/>
                <w:highlight w:val="none"/>
              </w:rPr>
              <w:t>（</w:t>
            </w:r>
            <w:r>
              <w:rPr>
                <w:color w:val="auto"/>
                <w:highlight w:val="none"/>
              </w:rPr>
              <w:t>3</w:t>
            </w:r>
            <w:r>
              <w:rPr>
                <w:rFonts w:hint="eastAsia"/>
                <w:color w:val="auto"/>
                <w:highlight w:val="none"/>
              </w:rPr>
              <w:t>）</w:t>
            </w:r>
            <w:r>
              <w:rPr>
                <w:color w:val="auto"/>
                <w:highlight w:val="none"/>
              </w:rPr>
              <w:t>25% NSOH</w:t>
            </w:r>
            <w:r>
              <w:rPr>
                <w:rFonts w:hint="eastAsia"/>
                <w:color w:val="auto"/>
                <w:highlight w:val="none"/>
              </w:rPr>
              <w:t>，</w:t>
            </w:r>
            <w:r>
              <w:rPr>
                <w:color w:val="auto"/>
                <w:highlight w:val="none"/>
              </w:rPr>
              <w:t>1HR</w:t>
            </w:r>
            <w:r>
              <w:rPr>
                <w:rFonts w:hint="eastAsia"/>
                <w:color w:val="auto"/>
                <w:highlight w:val="none"/>
              </w:rPr>
              <w:t>，</w:t>
            </w:r>
          </w:p>
        </w:tc>
        <w:tc>
          <w:tcPr>
            <w:tcW w:w="2335" w:type="dxa"/>
            <w:noWrap w:val="0"/>
            <w:vAlign w:val="center"/>
          </w:tcPr>
          <w:p>
            <w:pPr>
              <w:rPr>
                <w:color w:val="auto"/>
                <w:highlight w:val="none"/>
              </w:rPr>
            </w:pPr>
            <w:r>
              <w:rPr>
                <w:rFonts w:hint="eastAsia"/>
                <w:color w:val="auto"/>
                <w:highlight w:val="none"/>
              </w:rPr>
              <w:t>无气泡</w:t>
            </w:r>
          </w:p>
          <w:p>
            <w:pPr>
              <w:rPr>
                <w:color w:val="auto"/>
                <w:highlight w:val="none"/>
              </w:rPr>
            </w:pPr>
            <w:r>
              <w:rPr>
                <w:rFonts w:hint="eastAsia"/>
                <w:color w:val="auto"/>
                <w:highlight w:val="none"/>
              </w:rPr>
              <w:t>肉眼看不出变化</w:t>
            </w:r>
          </w:p>
        </w:tc>
        <w:tc>
          <w:tcPr>
            <w:tcW w:w="2111" w:type="dxa"/>
            <w:noWrap w:val="0"/>
            <w:vAlign w:val="center"/>
          </w:tcPr>
          <w:p>
            <w:pPr>
              <w:rPr>
                <w:color w:val="auto"/>
                <w:highlight w:val="none"/>
              </w:rPr>
            </w:pPr>
            <w:r>
              <w:rPr>
                <w:color w:val="auto"/>
                <w:highlight w:val="none"/>
              </w:rPr>
              <w:t>ASTM D-1308-57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548" w:type="dxa"/>
            <w:noWrap w:val="0"/>
            <w:vAlign w:val="center"/>
          </w:tcPr>
          <w:p>
            <w:pPr>
              <w:rPr>
                <w:color w:val="auto"/>
                <w:highlight w:val="none"/>
              </w:rPr>
            </w:pPr>
            <w:r>
              <w:rPr>
                <w:color w:val="auto"/>
                <w:highlight w:val="none"/>
              </w:rPr>
              <w:t>12</w:t>
            </w:r>
            <w:r>
              <w:rPr>
                <w:rFonts w:hint="eastAsia"/>
                <w:color w:val="auto"/>
                <w:highlight w:val="none"/>
              </w:rPr>
              <w:t>．抗盐雾</w:t>
            </w:r>
          </w:p>
        </w:tc>
        <w:tc>
          <w:tcPr>
            <w:tcW w:w="2658" w:type="dxa"/>
            <w:noWrap w:val="0"/>
            <w:vAlign w:val="center"/>
          </w:tcPr>
          <w:p>
            <w:pPr>
              <w:rPr>
                <w:color w:val="auto"/>
                <w:highlight w:val="none"/>
              </w:rPr>
            </w:pPr>
            <w:r>
              <w:rPr>
                <w:color w:val="auto"/>
                <w:highlight w:val="none"/>
              </w:rPr>
              <w:t>5%</w:t>
            </w:r>
            <w:r>
              <w:rPr>
                <w:rFonts w:hint="eastAsia"/>
                <w:color w:val="auto"/>
                <w:highlight w:val="none"/>
              </w:rPr>
              <w:t>盐</w:t>
            </w:r>
            <w:r>
              <w:rPr>
                <w:color w:val="auto"/>
                <w:highlight w:val="none"/>
              </w:rPr>
              <w:t>100oF</w:t>
            </w:r>
          </w:p>
          <w:p>
            <w:pPr>
              <w:rPr>
                <w:color w:val="auto"/>
                <w:highlight w:val="none"/>
              </w:rPr>
            </w:pPr>
            <w:r>
              <w:rPr>
                <w:color w:val="auto"/>
                <w:highlight w:val="none"/>
              </w:rPr>
              <w:t>1</w:t>
            </w:r>
            <w:r>
              <w:rPr>
                <w:rFonts w:hint="eastAsia"/>
                <w:color w:val="auto"/>
                <w:highlight w:val="none"/>
              </w:rPr>
              <w:t>）气泡</w:t>
            </w:r>
          </w:p>
          <w:p>
            <w:pPr>
              <w:rPr>
                <w:color w:val="auto"/>
                <w:highlight w:val="none"/>
              </w:rPr>
            </w:pPr>
            <w:r>
              <w:rPr>
                <w:color w:val="auto"/>
                <w:highlight w:val="none"/>
              </w:rPr>
              <w:t>2</w:t>
            </w:r>
            <w:r>
              <w:rPr>
                <w:rFonts w:hint="eastAsia"/>
                <w:color w:val="auto"/>
                <w:highlight w:val="none"/>
              </w:rPr>
              <w:t>）蠕变</w:t>
            </w:r>
          </w:p>
        </w:tc>
        <w:tc>
          <w:tcPr>
            <w:tcW w:w="2335" w:type="dxa"/>
            <w:noWrap w:val="0"/>
            <w:vAlign w:val="center"/>
          </w:tcPr>
          <w:p>
            <w:pPr>
              <w:rPr>
                <w:color w:val="auto"/>
                <w:highlight w:val="none"/>
              </w:rPr>
            </w:pPr>
            <w:r>
              <w:rPr>
                <w:rFonts w:hint="eastAsia"/>
                <w:color w:val="auto"/>
                <w:highlight w:val="none"/>
              </w:rPr>
              <w:t>通过</w:t>
            </w:r>
            <w:r>
              <w:rPr>
                <w:color w:val="auto"/>
                <w:highlight w:val="none"/>
              </w:rPr>
              <w:t>3000</w:t>
            </w:r>
            <w:r>
              <w:rPr>
                <w:rFonts w:hint="eastAsia"/>
                <w:color w:val="auto"/>
                <w:highlight w:val="none"/>
              </w:rPr>
              <w:t>小时</w:t>
            </w:r>
          </w:p>
          <w:p>
            <w:pPr>
              <w:rPr>
                <w:color w:val="auto"/>
                <w:highlight w:val="none"/>
              </w:rPr>
            </w:pPr>
            <w:r>
              <w:rPr>
                <w:rFonts w:hint="eastAsia"/>
                <w:color w:val="auto"/>
                <w:highlight w:val="none"/>
              </w:rPr>
              <w:t>无气泡</w:t>
            </w:r>
          </w:p>
          <w:p>
            <w:pPr>
              <w:rPr>
                <w:color w:val="auto"/>
                <w:highlight w:val="none"/>
              </w:rPr>
            </w:pPr>
            <w:r>
              <w:rPr>
                <w:color w:val="auto"/>
                <w:highlight w:val="none"/>
              </w:rPr>
              <w:t>Max 1/33</w:t>
            </w:r>
            <w:r>
              <w:rPr>
                <w:rFonts w:hint="eastAsia"/>
                <w:color w:val="auto"/>
                <w:highlight w:val="none"/>
              </w:rPr>
              <w:t>″</w:t>
            </w:r>
            <w:r>
              <w:rPr>
                <w:color w:val="auto"/>
                <w:highlight w:val="none"/>
              </w:rPr>
              <w:t xml:space="preserve"> 33 32</w:t>
            </w:r>
            <w:r>
              <w:rPr>
                <w:rFonts w:hint="eastAsia"/>
                <w:color w:val="auto"/>
                <w:highlight w:val="none"/>
              </w:rPr>
              <w:t>″</w:t>
            </w:r>
            <w:r>
              <w:rPr>
                <w:color w:val="auto"/>
                <w:highlight w:val="none"/>
              </w:rPr>
              <w:t>Undersutting</w:t>
            </w:r>
          </w:p>
        </w:tc>
        <w:tc>
          <w:tcPr>
            <w:tcW w:w="2111" w:type="dxa"/>
            <w:noWrap w:val="0"/>
            <w:vAlign w:val="center"/>
          </w:tcPr>
          <w:p>
            <w:pPr>
              <w:rPr>
                <w:color w:val="auto"/>
                <w:highlight w:val="none"/>
              </w:rPr>
            </w:pPr>
            <w:r>
              <w:rPr>
                <w:color w:val="auto"/>
                <w:highlight w:val="none"/>
              </w:rPr>
              <w:t>ASTM B-117-64</w:t>
            </w:r>
          </w:p>
          <w:p>
            <w:pPr>
              <w:rPr>
                <w:color w:val="auto"/>
                <w:highlight w:val="none"/>
              </w:rPr>
            </w:pPr>
            <w:r>
              <w:rPr>
                <w:color w:val="auto"/>
                <w:highlight w:val="none"/>
              </w:rPr>
              <w:t>ASTM D-1654-74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548" w:type="dxa"/>
            <w:noWrap w:val="0"/>
            <w:vAlign w:val="center"/>
          </w:tcPr>
          <w:p>
            <w:pPr>
              <w:rPr>
                <w:color w:val="auto"/>
                <w:highlight w:val="none"/>
              </w:rPr>
            </w:pPr>
            <w:r>
              <w:rPr>
                <w:color w:val="auto"/>
                <w:highlight w:val="none"/>
              </w:rPr>
              <w:t>13</w:t>
            </w:r>
            <w:r>
              <w:rPr>
                <w:rFonts w:hint="eastAsia"/>
                <w:color w:val="auto"/>
                <w:highlight w:val="none"/>
              </w:rPr>
              <w:t>．加速风化</w:t>
            </w:r>
          </w:p>
        </w:tc>
        <w:tc>
          <w:tcPr>
            <w:tcW w:w="2658" w:type="dxa"/>
            <w:noWrap w:val="0"/>
            <w:vAlign w:val="center"/>
          </w:tcPr>
          <w:p>
            <w:pPr>
              <w:rPr>
                <w:color w:val="auto"/>
                <w:highlight w:val="none"/>
              </w:rPr>
            </w:pPr>
            <w:r>
              <w:rPr>
                <w:rFonts w:hint="eastAsia"/>
                <w:color w:val="auto"/>
                <w:highlight w:val="none"/>
              </w:rPr>
              <w:t>颜色变化</w:t>
            </w:r>
          </w:p>
          <w:p>
            <w:pPr>
              <w:rPr>
                <w:color w:val="auto"/>
                <w:highlight w:val="none"/>
              </w:rPr>
            </w:pPr>
            <w:r>
              <w:rPr>
                <w:rFonts w:hint="eastAsia"/>
                <w:color w:val="auto"/>
                <w:highlight w:val="none"/>
              </w:rPr>
              <w:t>光泽保存</w:t>
            </w:r>
          </w:p>
          <w:p>
            <w:pPr>
              <w:rPr>
                <w:color w:val="auto"/>
                <w:highlight w:val="none"/>
              </w:rPr>
            </w:pPr>
            <w:r>
              <w:rPr>
                <w:rFonts w:hint="eastAsia"/>
                <w:color w:val="auto"/>
                <w:highlight w:val="none"/>
              </w:rPr>
              <w:t>粉化</w:t>
            </w:r>
          </w:p>
        </w:tc>
        <w:tc>
          <w:tcPr>
            <w:tcW w:w="2335" w:type="dxa"/>
            <w:noWrap w:val="0"/>
            <w:vAlign w:val="center"/>
          </w:tcPr>
          <w:p>
            <w:pPr>
              <w:rPr>
                <w:color w:val="auto"/>
                <w:highlight w:val="none"/>
              </w:rPr>
            </w:pPr>
            <w:r>
              <w:rPr>
                <w:rFonts w:hint="eastAsia"/>
                <w:color w:val="auto"/>
                <w:highlight w:val="none"/>
              </w:rPr>
              <w:t>通过</w:t>
            </w:r>
            <w:r>
              <w:rPr>
                <w:color w:val="auto"/>
                <w:highlight w:val="none"/>
              </w:rPr>
              <w:t>5000</w:t>
            </w:r>
            <w:r>
              <w:rPr>
                <w:rFonts w:hint="eastAsia"/>
                <w:color w:val="auto"/>
                <w:highlight w:val="none"/>
              </w:rPr>
              <w:t>小时</w:t>
            </w:r>
          </w:p>
          <w:p>
            <w:pPr>
              <w:rPr>
                <w:color w:val="auto"/>
                <w:highlight w:val="none"/>
              </w:rPr>
            </w:pPr>
            <w:r>
              <w:rPr>
                <w:color w:val="auto"/>
                <w:highlight w:val="none"/>
              </w:rPr>
              <w:t>5NBS</w:t>
            </w:r>
            <w:r>
              <w:rPr>
                <w:rFonts w:hint="eastAsia"/>
                <w:color w:val="auto"/>
                <w:highlight w:val="none"/>
              </w:rPr>
              <w:t>，</w:t>
            </w:r>
            <w:r>
              <w:rPr>
                <w:color w:val="auto"/>
                <w:highlight w:val="none"/>
              </w:rPr>
              <w:t>Max</w:t>
            </w:r>
          </w:p>
          <w:p>
            <w:pPr>
              <w:rPr>
                <w:color w:val="auto"/>
                <w:highlight w:val="none"/>
              </w:rPr>
            </w:pPr>
            <w:r>
              <w:rPr>
                <w:color w:val="auto"/>
                <w:highlight w:val="none"/>
              </w:rPr>
              <w:t>70%Min</w:t>
            </w:r>
            <w:r>
              <w:rPr>
                <w:rFonts w:hint="eastAsia"/>
                <w:color w:val="auto"/>
                <w:highlight w:val="none"/>
              </w:rPr>
              <w:t>最小极限值</w:t>
            </w:r>
          </w:p>
          <w:p>
            <w:pPr>
              <w:rPr>
                <w:color w:val="auto"/>
                <w:highlight w:val="none"/>
              </w:rPr>
            </w:pPr>
            <w:r>
              <w:rPr>
                <w:color w:val="auto"/>
                <w:highlight w:val="none"/>
              </w:rPr>
              <w:t>Rating 8-10</w:t>
            </w:r>
          </w:p>
        </w:tc>
        <w:tc>
          <w:tcPr>
            <w:tcW w:w="2111" w:type="dxa"/>
            <w:noWrap w:val="0"/>
            <w:vAlign w:val="center"/>
          </w:tcPr>
          <w:p>
            <w:pPr>
              <w:rPr>
                <w:color w:val="auto"/>
                <w:highlight w:val="none"/>
              </w:rPr>
            </w:pPr>
            <w:r>
              <w:rPr>
                <w:color w:val="auto"/>
                <w:highlight w:val="none"/>
              </w:rPr>
              <w:t>ASTM D-823-60</w:t>
            </w:r>
          </w:p>
          <w:p>
            <w:pPr>
              <w:rPr>
                <w:color w:val="auto"/>
                <w:highlight w:val="none"/>
              </w:rPr>
            </w:pPr>
            <w:r>
              <w:rPr>
                <w:color w:val="auto"/>
                <w:highlight w:val="none"/>
              </w:rPr>
              <w:t>ASTM D-2244-68</w:t>
            </w:r>
          </w:p>
          <w:p>
            <w:pPr>
              <w:rPr>
                <w:color w:val="auto"/>
                <w:highlight w:val="none"/>
              </w:rPr>
            </w:pPr>
            <w:r>
              <w:rPr>
                <w:color w:val="auto"/>
                <w:highlight w:val="none"/>
              </w:rPr>
              <w:t>ASTM D-523-67</w:t>
            </w:r>
          </w:p>
          <w:p>
            <w:pPr>
              <w:rPr>
                <w:color w:val="auto"/>
                <w:highlight w:val="none"/>
              </w:rPr>
            </w:pPr>
            <w:r>
              <w:rPr>
                <w:color w:val="auto"/>
                <w:highlight w:val="none"/>
              </w:rPr>
              <w:t>ASTM D-659-644</w:t>
            </w:r>
          </w:p>
        </w:tc>
      </w:tr>
    </w:tbl>
    <w:p>
      <w:pPr>
        <w:rPr>
          <w:color w:val="auto"/>
          <w:highlight w:val="none"/>
        </w:rPr>
      </w:pPr>
    </w:p>
    <w:p>
      <w:pPr>
        <w:pStyle w:val="217"/>
        <w:rPr>
          <w:color w:val="auto"/>
          <w:highlight w:val="none"/>
        </w:rPr>
      </w:pPr>
      <w:r>
        <w:rPr>
          <w:color w:val="auto"/>
          <w:highlight w:val="none"/>
        </w:rPr>
        <w:t>2.</w:t>
      </w:r>
      <w:r>
        <w:rPr>
          <w:rFonts w:hint="eastAsia"/>
          <w:color w:val="auto"/>
          <w:highlight w:val="none"/>
        </w:rPr>
        <w:t>铝材色样确定</w:t>
      </w:r>
    </w:p>
    <w:p>
      <w:pPr>
        <w:pStyle w:val="217"/>
        <w:rPr>
          <w:color w:val="auto"/>
          <w:highlight w:val="none"/>
        </w:rPr>
      </w:pPr>
      <w:r>
        <w:rPr>
          <w:rFonts w:hint="eastAsia"/>
          <w:color w:val="auto"/>
          <w:highlight w:val="none"/>
        </w:rPr>
        <w:t>应提供铝材色样供设计单位核准。每套</w:t>
      </w:r>
      <w:r>
        <w:rPr>
          <w:color w:val="auto"/>
          <w:highlight w:val="none"/>
        </w:rPr>
        <w:t xml:space="preserve"> 3 </w:t>
      </w:r>
      <w:r>
        <w:rPr>
          <w:rFonts w:hint="eastAsia"/>
          <w:color w:val="auto"/>
          <w:highlight w:val="none"/>
        </w:rPr>
        <w:t>种色差范围，代表光泽度及浅、中、深色阴影度，并为该项目所接受的颜色。</w:t>
      </w:r>
    </w:p>
    <w:p>
      <w:pPr>
        <w:pStyle w:val="217"/>
        <w:rPr>
          <w:color w:val="auto"/>
          <w:highlight w:val="none"/>
        </w:rPr>
      </w:pPr>
      <w:r>
        <w:rPr>
          <w:rFonts w:hint="eastAsia"/>
          <w:color w:val="auto"/>
          <w:highlight w:val="none"/>
        </w:rPr>
        <w:t>用来进行氧化处理的铝构件表面应无锈迹、斑点、划痕、瑕疵等情况存在。预处理应按照生产商建议的程序进行。处理过的表面和所有膜层在养护好之后不应有任何肉眼可见的锈迹、斑点、划痕等。</w:t>
      </w:r>
    </w:p>
    <w:p>
      <w:pPr>
        <w:pStyle w:val="217"/>
        <w:rPr>
          <w:color w:val="auto"/>
          <w:highlight w:val="none"/>
        </w:rPr>
      </w:pPr>
      <w:r>
        <w:rPr>
          <w:rFonts w:hint="eastAsia"/>
          <w:color w:val="auto"/>
          <w:highlight w:val="none"/>
        </w:rPr>
        <w:t>要进行氧化处理的铝构件应预先用清水彻底漂洗干净，然后按照要求附加不会消退，透明或彩色的非有机硬质阳极氧化膜，且应与所用的铝合金相容。膜层应镀在苛性酸蚀表面上。处理之后，构件应被恰当地密封，彻底地用流动水清洗，外观应均匀一致，无锈迹、斑点、划痕、瑕疵、苛性酸碱等。</w:t>
      </w:r>
    </w:p>
    <w:p>
      <w:pPr>
        <w:pStyle w:val="217"/>
        <w:rPr>
          <w:color w:val="auto"/>
          <w:highlight w:val="none"/>
        </w:rPr>
      </w:pPr>
      <w:r>
        <w:rPr>
          <w:rFonts w:hint="eastAsia"/>
          <w:color w:val="auto"/>
          <w:highlight w:val="none"/>
        </w:rPr>
        <w:t>氧化膜的厚度应达到</w:t>
      </w:r>
      <w:r>
        <w:rPr>
          <w:color w:val="auto"/>
          <w:highlight w:val="none"/>
        </w:rPr>
        <w:t xml:space="preserve"> AA25 </w:t>
      </w:r>
      <w:r>
        <w:rPr>
          <w:rFonts w:hint="eastAsia"/>
          <w:color w:val="auto"/>
          <w:highlight w:val="none"/>
        </w:rPr>
        <w:t>级（即</w:t>
      </w:r>
      <w:r>
        <w:rPr>
          <w:color w:val="auto"/>
          <w:highlight w:val="none"/>
        </w:rPr>
        <w:t xml:space="preserve"> 25</w:t>
      </w:r>
      <w:r>
        <w:rPr>
          <w:rFonts w:hint="eastAsia"/>
          <w:color w:val="auto"/>
          <w:highlight w:val="none"/>
        </w:rPr>
        <w:t>μ</w:t>
      </w:r>
      <w:r>
        <w:rPr>
          <w:color w:val="auto"/>
          <w:highlight w:val="none"/>
        </w:rPr>
        <w:t xml:space="preserve">m </w:t>
      </w:r>
      <w:r>
        <w:rPr>
          <w:rFonts w:hint="eastAsia"/>
          <w:color w:val="auto"/>
          <w:highlight w:val="none"/>
        </w:rPr>
        <w:t>或</w:t>
      </w:r>
      <w:r>
        <w:rPr>
          <w:color w:val="auto"/>
          <w:highlight w:val="none"/>
        </w:rPr>
        <w:t xml:space="preserve"> 0.025 mm </w:t>
      </w:r>
      <w:r>
        <w:rPr>
          <w:rFonts w:hint="eastAsia"/>
          <w:color w:val="auto"/>
          <w:highlight w:val="none"/>
        </w:rPr>
        <w:t>厚度），以保证最理想的使用寿命。</w:t>
      </w:r>
    </w:p>
    <w:p>
      <w:pPr>
        <w:pStyle w:val="217"/>
        <w:rPr>
          <w:color w:val="auto"/>
          <w:highlight w:val="none"/>
        </w:rPr>
      </w:pPr>
      <w:r>
        <w:rPr>
          <w:rFonts w:hint="eastAsia"/>
          <w:color w:val="auto"/>
          <w:highlight w:val="none"/>
        </w:rPr>
        <w:t>铝合金型材必须进行硝酸清洗。在加上密封和保护膜之前，防止在表面留下操作的印迹。</w:t>
      </w:r>
    </w:p>
    <w:p>
      <w:pPr>
        <w:pStyle w:val="217"/>
        <w:rPr>
          <w:color w:val="auto"/>
          <w:highlight w:val="none"/>
        </w:rPr>
      </w:pPr>
      <w:r>
        <w:rPr>
          <w:rFonts w:hint="eastAsia"/>
          <w:color w:val="auto"/>
          <w:highlight w:val="none"/>
        </w:rPr>
        <w:t>对室内不可视部位的氧化膜的厚度应不低于</w:t>
      </w:r>
      <w:r>
        <w:rPr>
          <w:color w:val="auto"/>
          <w:highlight w:val="none"/>
        </w:rPr>
        <w:t>AA15</w:t>
      </w:r>
      <w:r>
        <w:rPr>
          <w:rFonts w:hint="eastAsia"/>
          <w:color w:val="auto"/>
          <w:highlight w:val="none"/>
        </w:rPr>
        <w:t>级（即</w:t>
      </w:r>
      <w:r>
        <w:rPr>
          <w:color w:val="auto"/>
          <w:highlight w:val="none"/>
        </w:rPr>
        <w:t>15</w:t>
      </w:r>
      <w:r>
        <w:rPr>
          <w:rFonts w:hint="eastAsia"/>
          <w:color w:val="auto"/>
          <w:highlight w:val="none"/>
        </w:rPr>
        <w:t>μ</w:t>
      </w:r>
      <w:r>
        <w:rPr>
          <w:color w:val="auto"/>
          <w:highlight w:val="none"/>
        </w:rPr>
        <w:t>m</w:t>
      </w:r>
      <w:r>
        <w:rPr>
          <w:rFonts w:hint="eastAsia"/>
          <w:color w:val="auto"/>
          <w:highlight w:val="none"/>
        </w:rPr>
        <w:t>膜厚），以保证最理想的使用寿命。</w:t>
      </w:r>
    </w:p>
    <w:p>
      <w:pPr>
        <w:pStyle w:val="217"/>
        <w:rPr>
          <w:color w:val="auto"/>
          <w:highlight w:val="none"/>
        </w:rPr>
      </w:pPr>
      <w:r>
        <w:rPr>
          <w:rFonts w:hint="eastAsia"/>
          <w:color w:val="auto"/>
          <w:highlight w:val="none"/>
        </w:rPr>
        <w:t>应保留完整的经证明的质量控制检验记录和镀膜流程记录，发包方提出要求时应向其提供该记录。除非发包方提供书面许可，否则严禁对完成表面使用任何机械方式（除了技术说明书中规定的）或涂刷方式进行修补或破坏。</w:t>
      </w:r>
    </w:p>
    <w:p>
      <w:pPr>
        <w:pStyle w:val="217"/>
        <w:rPr>
          <w:color w:val="auto"/>
          <w:highlight w:val="none"/>
        </w:rPr>
      </w:pPr>
      <w:r>
        <w:rPr>
          <w:rFonts w:hint="eastAsia"/>
          <w:color w:val="auto"/>
          <w:highlight w:val="none"/>
        </w:rPr>
        <w:t>每一批构件均应进行镀膜厚度和镀膜密封层的抽样测试。在每个生产班次期间，一批构件应有一个镀膜样板，以检查膜层重量。</w:t>
      </w:r>
    </w:p>
    <w:p>
      <w:pPr>
        <w:pStyle w:val="217"/>
        <w:rPr>
          <w:color w:val="auto"/>
          <w:highlight w:val="none"/>
        </w:rPr>
      </w:pPr>
      <w:r>
        <w:rPr>
          <w:rFonts w:hint="eastAsia"/>
          <w:color w:val="auto"/>
          <w:highlight w:val="none"/>
        </w:rPr>
        <w:t>对于任何不符合镀膜标准、图纸、技术说明书或所批准的颜色标准的材料，发包方有最终的接受或拒收的权利。</w:t>
      </w:r>
    </w:p>
    <w:p>
      <w:pPr>
        <w:pStyle w:val="217"/>
        <w:rPr>
          <w:color w:val="auto"/>
          <w:highlight w:val="none"/>
        </w:rPr>
      </w:pPr>
      <w:r>
        <w:rPr>
          <w:rFonts w:hint="eastAsia"/>
          <w:color w:val="auto"/>
          <w:highlight w:val="none"/>
        </w:rPr>
        <w:t>指定分包商应制定一套质量控制程序，以保证结构密封胶与经阳极氧化处理的构件有足够的粘附强度。属于阳极氧化处理工厂里“每槽必检</w:t>
      </w:r>
      <w:r>
        <w:rPr>
          <w:color w:val="auto"/>
          <w:highlight w:val="none"/>
        </w:rPr>
        <w:t>"</w:t>
      </w:r>
      <w:r>
        <w:rPr>
          <w:rFonts w:hint="eastAsia"/>
          <w:color w:val="auto"/>
          <w:highlight w:val="none"/>
        </w:rPr>
        <w:t>要求的所有成品，在未经全面的质量检查之前，不得作为成品出厂发运。</w:t>
      </w:r>
    </w:p>
    <w:p>
      <w:pPr>
        <w:pStyle w:val="217"/>
        <w:rPr>
          <w:color w:val="auto"/>
          <w:highlight w:val="none"/>
        </w:rPr>
      </w:pPr>
      <w:r>
        <w:rPr>
          <w:color w:val="auto"/>
          <w:highlight w:val="none"/>
        </w:rPr>
        <w:t>3.</w:t>
      </w:r>
      <w:r>
        <w:rPr>
          <w:rFonts w:hint="eastAsia"/>
          <w:color w:val="auto"/>
          <w:highlight w:val="none"/>
        </w:rPr>
        <w:t>氟碳喷涂处理</w:t>
      </w:r>
    </w:p>
    <w:p>
      <w:pPr>
        <w:pStyle w:val="217"/>
        <w:rPr>
          <w:color w:val="auto"/>
          <w:highlight w:val="none"/>
        </w:rPr>
      </w:pPr>
      <w:r>
        <w:rPr>
          <w:rFonts w:hint="eastAsia"/>
          <w:color w:val="auto"/>
          <w:highlight w:val="none"/>
        </w:rPr>
        <w:t>所有室内外暴露的铝构件表面在安装之前应在工厂进行表面处理，采用的工艺是氟碳喷涂（</w:t>
      </w:r>
      <w:r>
        <w:rPr>
          <w:color w:val="auto"/>
          <w:highlight w:val="none"/>
        </w:rPr>
        <w:t>PVDF</w:t>
      </w:r>
      <w:r>
        <w:rPr>
          <w:rFonts w:hint="eastAsia"/>
          <w:color w:val="auto"/>
          <w:highlight w:val="none"/>
        </w:rPr>
        <w:t>），以保持良好耐久性，着色牢固及耐磨损的性能</w:t>
      </w:r>
      <w:r>
        <w:rPr>
          <w:color w:val="auto"/>
          <w:highlight w:val="none"/>
        </w:rPr>
        <w:t>,</w:t>
      </w:r>
      <w:r>
        <w:rPr>
          <w:rFonts w:hint="eastAsia"/>
          <w:color w:val="auto"/>
          <w:highlight w:val="none"/>
        </w:rPr>
        <w:t>必须符合相关规范要求。配方中在残留固体物中应含有至少</w:t>
      </w:r>
      <w:r>
        <w:rPr>
          <w:color w:val="auto"/>
          <w:highlight w:val="none"/>
        </w:rPr>
        <w:t xml:space="preserve"> 70%</w:t>
      </w:r>
      <w:r>
        <w:rPr>
          <w:rFonts w:hint="eastAsia"/>
          <w:color w:val="auto"/>
          <w:highlight w:val="none"/>
        </w:rPr>
        <w:t>的</w:t>
      </w:r>
      <w:r>
        <w:rPr>
          <w:color w:val="auto"/>
          <w:highlight w:val="none"/>
        </w:rPr>
        <w:t xml:space="preserve"> KYNAR 500 </w:t>
      </w:r>
      <w:r>
        <w:rPr>
          <w:rFonts w:hint="eastAsia"/>
          <w:color w:val="auto"/>
          <w:highlight w:val="none"/>
        </w:rPr>
        <w:t>树脂。</w:t>
      </w:r>
    </w:p>
    <w:p>
      <w:pPr>
        <w:pStyle w:val="217"/>
        <w:rPr>
          <w:color w:val="auto"/>
          <w:highlight w:val="none"/>
        </w:rPr>
      </w:pPr>
      <w:r>
        <w:rPr>
          <w:rFonts w:hint="eastAsia"/>
          <w:color w:val="auto"/>
          <w:highlight w:val="none"/>
        </w:rPr>
        <w:t>当发包方从指定分包商提供的颜色样本中选定颜色之后，指定分包商应准备六套样本，每套两个，每个</w:t>
      </w:r>
      <w:r>
        <w:rPr>
          <w:color w:val="auto"/>
          <w:highlight w:val="none"/>
        </w:rPr>
        <w:t>300mm</w:t>
      </w:r>
      <w:r>
        <w:rPr>
          <w:rFonts w:hint="eastAsia"/>
          <w:color w:val="auto"/>
          <w:highlight w:val="none"/>
        </w:rPr>
        <w:t>×</w:t>
      </w:r>
      <w:r>
        <w:rPr>
          <w:color w:val="auto"/>
          <w:highlight w:val="none"/>
        </w:rPr>
        <w:t>300mm</w:t>
      </w:r>
      <w:r>
        <w:rPr>
          <w:rFonts w:hint="eastAsia"/>
          <w:color w:val="auto"/>
          <w:highlight w:val="none"/>
        </w:rPr>
        <w:t>，确定色彩和光泽。将样本提交给发包方核准。所有样本应经证明确认，并附有完整的实验报告。</w:t>
      </w:r>
    </w:p>
    <w:p>
      <w:pPr>
        <w:pStyle w:val="217"/>
        <w:rPr>
          <w:color w:val="auto"/>
          <w:highlight w:val="none"/>
        </w:rPr>
      </w:pPr>
      <w:r>
        <w:rPr>
          <w:rFonts w:hint="eastAsia"/>
          <w:color w:val="auto"/>
          <w:highlight w:val="none"/>
        </w:rPr>
        <w:t>应由承包人或经审定的专业喷涂厂家完成最后喷涂处理。负责喷涂程序的工厂，应具有该喷涂工艺及材料方面经国家审定的专业生产资格。</w:t>
      </w:r>
    </w:p>
    <w:p>
      <w:pPr>
        <w:pStyle w:val="217"/>
        <w:rPr>
          <w:color w:val="auto"/>
          <w:highlight w:val="none"/>
        </w:rPr>
      </w:pPr>
      <w:r>
        <w:rPr>
          <w:rFonts w:hint="eastAsia"/>
          <w:color w:val="auto"/>
          <w:highlight w:val="none"/>
        </w:rPr>
        <w:t>在进行喷涂之前，应根据经审定喷涂加工厂家的建议对铝构件表面进行彻底的预处理。在预处理完成以后，必须小心保管放置，避免铝面被油脂玷污。</w:t>
      </w:r>
    </w:p>
    <w:p>
      <w:pPr>
        <w:pStyle w:val="217"/>
        <w:rPr>
          <w:color w:val="auto"/>
          <w:highlight w:val="none"/>
        </w:rPr>
      </w:pPr>
      <w:r>
        <w:rPr>
          <w:rFonts w:hint="eastAsia"/>
          <w:color w:val="auto"/>
          <w:highlight w:val="none"/>
        </w:rPr>
        <w:t>保留完整的喷涂工艺记录，包括经证明的质量检验记录。当发包方提出要求时向其提供这些记录。</w:t>
      </w:r>
    </w:p>
    <w:p>
      <w:pPr>
        <w:pStyle w:val="217"/>
        <w:rPr>
          <w:color w:val="auto"/>
          <w:highlight w:val="none"/>
        </w:rPr>
      </w:pPr>
      <w:r>
        <w:rPr>
          <w:rFonts w:hint="eastAsia"/>
          <w:color w:val="auto"/>
          <w:highlight w:val="none"/>
        </w:rPr>
        <w:t>既使对不需要进行高性能有机喷涂处理的铝构件，至少应进行氧化镀膜处理，不允许采用无表面处理的铝材。</w:t>
      </w:r>
    </w:p>
    <w:p>
      <w:pPr>
        <w:pStyle w:val="217"/>
        <w:rPr>
          <w:color w:val="auto"/>
          <w:highlight w:val="none"/>
        </w:rPr>
      </w:pPr>
      <w:r>
        <w:rPr>
          <w:rFonts w:hint="eastAsia"/>
          <w:color w:val="auto"/>
          <w:highlight w:val="none"/>
        </w:rPr>
        <w:t>为防止发生纤维状腐蚀，应要求指定分包商在喷涂、生产和安装过程中极为小心地保护铬酸盐处理层不受损伤。保护措施包括而不限于下列：</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）保护铝材边缘不受损坏，例如在涂层后不接触混凝土表面</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）在涂层表面使用保护膜</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）抗纤维腐蚀测试</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）选择适当的包装材料以防止运输过程中的摩擦</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）储存、操作、施工过程中小心操作</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）安装好的铝材应及时检验</w:t>
      </w:r>
    </w:p>
    <w:p>
      <w:pPr>
        <w:pStyle w:val="217"/>
        <w:rPr>
          <w:color w:val="auto"/>
          <w:highlight w:val="none"/>
        </w:rPr>
      </w:pPr>
      <w:r>
        <w:rPr>
          <w:rFonts w:hint="eastAsia"/>
          <w:color w:val="auto"/>
          <w:highlight w:val="none"/>
        </w:rPr>
        <w:t>（</w:t>
      </w:r>
      <w:r>
        <w:rPr>
          <w:color w:val="auto"/>
          <w:highlight w:val="none"/>
        </w:rPr>
        <w:t>7</w:t>
      </w:r>
      <w:r>
        <w:rPr>
          <w:rFonts w:hint="eastAsia"/>
          <w:color w:val="auto"/>
          <w:highlight w:val="none"/>
        </w:rPr>
        <w:t>）安装好后及时对所有破损进行修补</w:t>
      </w:r>
    </w:p>
    <w:p>
      <w:pPr>
        <w:pStyle w:val="217"/>
        <w:rPr>
          <w:color w:val="auto"/>
          <w:highlight w:val="none"/>
        </w:rPr>
      </w:pPr>
      <w:r>
        <w:rPr>
          <w:color w:val="auto"/>
          <w:highlight w:val="none"/>
        </w:rPr>
        <w:t>4.</w:t>
      </w:r>
      <w:r>
        <w:rPr>
          <w:rFonts w:hint="eastAsia"/>
          <w:color w:val="auto"/>
          <w:highlight w:val="none"/>
        </w:rPr>
        <w:t>保存样品</w:t>
      </w:r>
    </w:p>
    <w:p>
      <w:pPr>
        <w:pStyle w:val="217"/>
        <w:rPr>
          <w:color w:val="auto"/>
          <w:highlight w:val="none"/>
        </w:rPr>
      </w:pPr>
      <w:r>
        <w:rPr>
          <w:rFonts w:hint="eastAsia"/>
          <w:color w:val="auto"/>
          <w:highlight w:val="none"/>
        </w:rPr>
        <w:t>开始喷涂之前，承包人与氟碳涂层加工厂家应一起向发包方提交下列样品以展示色泽、质感和光泽的不同：</w:t>
      </w:r>
    </w:p>
    <w:p>
      <w:pPr>
        <w:pStyle w:val="217"/>
        <w:rPr>
          <w:color w:val="auto"/>
          <w:highlight w:val="none"/>
        </w:rPr>
      </w:pPr>
      <w:r>
        <w:rPr>
          <w:color w:val="auto"/>
          <w:highlight w:val="none"/>
        </w:rPr>
        <w:t>2</w:t>
      </w:r>
      <w:r>
        <w:rPr>
          <w:rFonts w:hint="eastAsia"/>
          <w:color w:val="auto"/>
          <w:highlight w:val="none"/>
        </w:rPr>
        <w:t>个（或要求更多个）挤压铝型材，典型部件，每个</w:t>
      </w:r>
      <w:r>
        <w:rPr>
          <w:color w:val="auto"/>
          <w:highlight w:val="none"/>
        </w:rPr>
        <w:t>1200 mm</w:t>
      </w:r>
      <w:r>
        <w:rPr>
          <w:rFonts w:hint="eastAsia"/>
          <w:color w:val="auto"/>
          <w:highlight w:val="none"/>
        </w:rPr>
        <w:t>长，显示上下限</w:t>
      </w:r>
    </w:p>
    <w:p>
      <w:pPr>
        <w:pStyle w:val="217"/>
        <w:rPr>
          <w:color w:val="auto"/>
          <w:highlight w:val="none"/>
        </w:rPr>
      </w:pPr>
      <w:r>
        <w:rPr>
          <w:color w:val="auto"/>
          <w:highlight w:val="none"/>
        </w:rPr>
        <w:t>2</w:t>
      </w:r>
      <w:r>
        <w:rPr>
          <w:rFonts w:hint="eastAsia"/>
          <w:color w:val="auto"/>
          <w:highlight w:val="none"/>
        </w:rPr>
        <w:t>个（或要求更多个）铝板，典型部件，每个不小于</w:t>
      </w:r>
      <w:r>
        <w:rPr>
          <w:color w:val="auto"/>
          <w:highlight w:val="none"/>
        </w:rPr>
        <w:t>1200 mm X 200 mm</w:t>
      </w:r>
      <w:r>
        <w:rPr>
          <w:rFonts w:hint="eastAsia"/>
          <w:color w:val="auto"/>
          <w:highlight w:val="none"/>
        </w:rPr>
        <w:t>，并代表上下限范围</w:t>
      </w:r>
    </w:p>
    <w:p>
      <w:pPr>
        <w:pStyle w:val="217"/>
        <w:rPr>
          <w:color w:val="auto"/>
          <w:highlight w:val="none"/>
        </w:rPr>
      </w:pPr>
      <w:r>
        <w:rPr>
          <w:rFonts w:hint="eastAsia"/>
          <w:color w:val="auto"/>
          <w:highlight w:val="none"/>
        </w:rPr>
        <w:t>若发包方</w:t>
      </w:r>
      <w:r>
        <w:rPr>
          <w:rFonts w:hint="eastAsia"/>
          <w:color w:val="auto"/>
          <w:highlight w:val="none"/>
          <w:lang w:eastAsia="zh-CN"/>
        </w:rPr>
        <w:t>书面</w:t>
      </w:r>
      <w:r>
        <w:rPr>
          <w:rFonts w:hint="eastAsia"/>
          <w:color w:val="auto"/>
          <w:highlight w:val="none"/>
        </w:rPr>
        <w:t>同意承包人应将四个不同位置的样品贴标签并签字，切割为四块同等尺寸的小样。这些小样按照下述分发：</w:t>
      </w:r>
    </w:p>
    <w:p>
      <w:pPr>
        <w:pStyle w:val="217"/>
        <w:rPr>
          <w:color w:val="auto"/>
          <w:highlight w:val="none"/>
        </w:rPr>
      </w:pPr>
      <w:r>
        <w:rPr>
          <w:rFonts w:hint="eastAsia"/>
          <w:color w:val="auto"/>
          <w:highlight w:val="none"/>
        </w:rPr>
        <w:t>承包人</w:t>
      </w:r>
    </w:p>
    <w:p>
      <w:pPr>
        <w:pStyle w:val="217"/>
        <w:rPr>
          <w:color w:val="auto"/>
          <w:highlight w:val="none"/>
        </w:rPr>
      </w:pPr>
      <w:r>
        <w:rPr>
          <w:rFonts w:hint="eastAsia"/>
          <w:color w:val="auto"/>
          <w:highlight w:val="none"/>
        </w:rPr>
        <w:t>发包方（</w:t>
      </w:r>
      <w:r>
        <w:rPr>
          <w:color w:val="auto"/>
          <w:highlight w:val="none"/>
        </w:rPr>
        <w:t>2</w:t>
      </w:r>
      <w:r>
        <w:rPr>
          <w:rFonts w:hint="eastAsia"/>
          <w:color w:val="auto"/>
          <w:highlight w:val="none"/>
        </w:rPr>
        <w:t>个样品）</w:t>
      </w:r>
    </w:p>
    <w:p>
      <w:pPr>
        <w:pStyle w:val="217"/>
        <w:rPr>
          <w:color w:val="auto"/>
          <w:highlight w:val="none"/>
        </w:rPr>
      </w:pPr>
      <w:r>
        <w:rPr>
          <w:rFonts w:hint="eastAsia"/>
          <w:color w:val="auto"/>
          <w:highlight w:val="none"/>
        </w:rPr>
        <w:t>膜层加工厂家</w:t>
      </w:r>
    </w:p>
    <w:p>
      <w:pPr>
        <w:pStyle w:val="217"/>
        <w:rPr>
          <w:color w:val="auto"/>
          <w:highlight w:val="none"/>
        </w:rPr>
      </w:pPr>
      <w:r>
        <w:rPr>
          <w:rFonts w:hint="eastAsia"/>
          <w:color w:val="auto"/>
          <w:highlight w:val="none"/>
        </w:rPr>
        <w:t>各方应将样品保留至少</w:t>
      </w:r>
      <w:r>
        <w:rPr>
          <w:color w:val="auto"/>
          <w:highlight w:val="none"/>
        </w:rPr>
        <w:t>10</w:t>
      </w:r>
      <w:r>
        <w:rPr>
          <w:rFonts w:hint="eastAsia"/>
          <w:color w:val="auto"/>
          <w:highlight w:val="none"/>
        </w:rPr>
        <w:t>年。发包方将使用这些样品来对工程的任何有异议的完成饰面进行判定。</w:t>
      </w:r>
    </w:p>
    <w:p>
      <w:pPr>
        <w:pStyle w:val="119"/>
        <w:rPr>
          <w:color w:val="auto"/>
          <w:highlight w:val="none"/>
        </w:rPr>
      </w:pPr>
      <w:r>
        <w:rPr>
          <w:color w:val="auto"/>
          <w:highlight w:val="none"/>
        </w:rPr>
        <w:t xml:space="preserve">3.6.1.2 </w:t>
      </w:r>
      <w:r>
        <w:rPr>
          <w:rFonts w:hint="eastAsia"/>
          <w:color w:val="auto"/>
          <w:highlight w:val="none"/>
        </w:rPr>
        <w:t>固定件和紧固件</w:t>
      </w:r>
    </w:p>
    <w:p>
      <w:pPr>
        <w:pStyle w:val="217"/>
        <w:rPr>
          <w:color w:val="auto"/>
          <w:highlight w:val="none"/>
        </w:rPr>
      </w:pPr>
      <w:r>
        <w:rPr>
          <w:rFonts w:hint="eastAsia"/>
          <w:color w:val="auto"/>
          <w:highlight w:val="none"/>
        </w:rPr>
        <w:t>除非另行指定，否则所有紧固件均为不锈钢件，外露紧固件应使用</w:t>
      </w:r>
      <w:r>
        <w:rPr>
          <w:color w:val="auto"/>
          <w:highlight w:val="none"/>
        </w:rPr>
        <w:t>A4</w:t>
      </w:r>
      <w:r>
        <w:rPr>
          <w:rFonts w:hint="eastAsia"/>
          <w:color w:val="auto"/>
          <w:highlight w:val="none"/>
        </w:rPr>
        <w:t>级，其他则应使用</w:t>
      </w:r>
      <w:r>
        <w:rPr>
          <w:color w:val="auto"/>
          <w:highlight w:val="none"/>
        </w:rPr>
        <w:t>A2</w:t>
      </w:r>
      <w:r>
        <w:rPr>
          <w:rFonts w:hint="eastAsia"/>
          <w:color w:val="auto"/>
          <w:highlight w:val="none"/>
        </w:rPr>
        <w:t>级。</w:t>
      </w:r>
    </w:p>
    <w:p>
      <w:pPr>
        <w:pStyle w:val="217"/>
        <w:rPr>
          <w:color w:val="auto"/>
          <w:highlight w:val="none"/>
        </w:rPr>
      </w:pPr>
      <w:r>
        <w:rPr>
          <w:rFonts w:hint="eastAsia"/>
          <w:color w:val="auto"/>
          <w:highlight w:val="none"/>
        </w:rPr>
        <w:t>紧固件性能级别的选择应达到本技术说明书中指定的要求</w:t>
      </w:r>
    </w:p>
    <w:p>
      <w:pPr>
        <w:pStyle w:val="119"/>
        <w:rPr>
          <w:color w:val="auto"/>
          <w:highlight w:val="none"/>
        </w:rPr>
      </w:pPr>
      <w:r>
        <w:rPr>
          <w:color w:val="auto"/>
          <w:highlight w:val="none"/>
        </w:rPr>
        <w:t xml:space="preserve">3.6.1.3 </w:t>
      </w:r>
      <w:r>
        <w:rPr>
          <w:rFonts w:hint="eastAsia"/>
          <w:color w:val="auto"/>
          <w:highlight w:val="none"/>
        </w:rPr>
        <w:t>玻璃</w:t>
      </w:r>
    </w:p>
    <w:p>
      <w:pPr>
        <w:pStyle w:val="217"/>
        <w:rPr>
          <w:color w:val="auto"/>
          <w:highlight w:val="none"/>
        </w:rPr>
      </w:pPr>
      <w:r>
        <w:rPr>
          <w:color w:val="auto"/>
          <w:highlight w:val="none"/>
        </w:rPr>
        <w:t>1.</w:t>
      </w:r>
      <w:r>
        <w:rPr>
          <w:rFonts w:hint="eastAsia"/>
          <w:color w:val="auto"/>
          <w:highlight w:val="none"/>
        </w:rPr>
        <w:t>概述</w:t>
      </w:r>
    </w:p>
    <w:p>
      <w:pPr>
        <w:pStyle w:val="217"/>
        <w:rPr>
          <w:color w:val="auto"/>
          <w:highlight w:val="none"/>
        </w:rPr>
      </w:pPr>
      <w:r>
        <w:rPr>
          <w:rFonts w:hint="eastAsia"/>
          <w:color w:val="auto"/>
          <w:highlight w:val="none"/>
        </w:rPr>
        <w:t>测试报告应由经认可的独立测试机构提供，由承包人签认，提交由发包方、设计单位、发包方和幕墙顾问认可后才可定购材料。</w:t>
      </w:r>
    </w:p>
    <w:p>
      <w:pPr>
        <w:pStyle w:val="217"/>
        <w:rPr>
          <w:color w:val="auto"/>
          <w:highlight w:val="none"/>
        </w:rPr>
      </w:pPr>
      <w:r>
        <w:rPr>
          <w:rFonts w:hint="eastAsia"/>
          <w:color w:val="auto"/>
          <w:highlight w:val="none"/>
        </w:rPr>
        <w:t>所有经热处理如钢化的玻璃，生产厂家都应对其进行检查，更换所有不符下列误差标准的玻璃：</w:t>
      </w:r>
    </w:p>
    <w:p>
      <w:pPr>
        <w:pStyle w:val="217"/>
        <w:rPr>
          <w:color w:val="auto"/>
          <w:highlight w:val="none"/>
        </w:rPr>
      </w:pPr>
      <w:r>
        <w:rPr>
          <w:rFonts w:hint="eastAsia"/>
          <w:color w:val="auto"/>
          <w:highlight w:val="none"/>
        </w:rPr>
        <w:t>翘曲度超过最短边长度的</w:t>
      </w:r>
      <w:r>
        <w:rPr>
          <w:color w:val="auto"/>
          <w:highlight w:val="none"/>
        </w:rPr>
        <w:t>0.10%</w:t>
      </w:r>
      <w:r>
        <w:rPr>
          <w:rFonts w:hint="eastAsia"/>
          <w:color w:val="auto"/>
          <w:highlight w:val="none"/>
        </w:rPr>
        <w:t>的玻璃。</w:t>
      </w:r>
    </w:p>
    <w:p>
      <w:pPr>
        <w:pStyle w:val="217"/>
        <w:rPr>
          <w:color w:val="auto"/>
          <w:highlight w:val="none"/>
        </w:rPr>
      </w:pPr>
      <w:r>
        <w:rPr>
          <w:rFonts w:hint="eastAsia"/>
          <w:color w:val="auto"/>
          <w:highlight w:val="none"/>
        </w:rPr>
        <w:t>若热处理过程使玻璃产生基本平行的辊轮印迹，凸起部分与平面的高度相差不得超过</w:t>
      </w:r>
      <w:r>
        <w:rPr>
          <w:color w:val="auto"/>
          <w:highlight w:val="none"/>
        </w:rPr>
        <w:t>0.13mm</w:t>
      </w:r>
      <w:r>
        <w:rPr>
          <w:rFonts w:hint="eastAsia"/>
          <w:color w:val="auto"/>
          <w:highlight w:val="none"/>
        </w:rPr>
        <w:t>，相邻两个印迹的高度相差不得超过</w:t>
      </w:r>
      <w:r>
        <w:rPr>
          <w:color w:val="auto"/>
          <w:highlight w:val="none"/>
        </w:rPr>
        <w:t>0.08mm</w:t>
      </w:r>
      <w:r>
        <w:rPr>
          <w:rFonts w:hint="eastAsia"/>
          <w:color w:val="auto"/>
          <w:highlight w:val="none"/>
        </w:rPr>
        <w:t>。</w:t>
      </w:r>
    </w:p>
    <w:p>
      <w:pPr>
        <w:pStyle w:val="217"/>
        <w:rPr>
          <w:color w:val="auto"/>
          <w:highlight w:val="none"/>
        </w:rPr>
      </w:pPr>
      <w:r>
        <w:rPr>
          <w:rFonts w:hint="eastAsia"/>
          <w:color w:val="auto"/>
          <w:highlight w:val="none"/>
        </w:rPr>
        <w:t>当翘曲度标准与辊轮印迹标准不符时，以较严格者为准。</w:t>
      </w:r>
    </w:p>
    <w:p>
      <w:pPr>
        <w:pStyle w:val="217"/>
        <w:rPr>
          <w:color w:val="auto"/>
          <w:highlight w:val="none"/>
        </w:rPr>
      </w:pPr>
      <w:r>
        <w:rPr>
          <w:rFonts w:hint="eastAsia"/>
          <w:color w:val="auto"/>
          <w:highlight w:val="none"/>
        </w:rPr>
        <w:t>辊轮印迹的方向应为水平的，连续的，并符合建筑设计意图。</w:t>
      </w:r>
    </w:p>
    <w:p>
      <w:pPr>
        <w:pStyle w:val="217"/>
        <w:rPr>
          <w:color w:val="auto"/>
          <w:highlight w:val="none"/>
        </w:rPr>
      </w:pPr>
      <w:r>
        <w:rPr>
          <w:rFonts w:hint="eastAsia"/>
          <w:color w:val="auto"/>
          <w:highlight w:val="none"/>
        </w:rPr>
        <w:t>当钢化玻璃置于特定点光源下时，可能形成斑点，或多色斑点。只要在自然的典型的普通环境下不出现上述现象，就可以认为不是产品缺陷。玻璃的镀膜应提交样品供审核，膜层不应加重这些现象。</w:t>
      </w:r>
    </w:p>
    <w:p>
      <w:pPr>
        <w:pStyle w:val="217"/>
        <w:rPr>
          <w:color w:val="auto"/>
          <w:highlight w:val="none"/>
        </w:rPr>
      </w:pPr>
      <w:r>
        <w:rPr>
          <w:color w:val="auto"/>
          <w:highlight w:val="none"/>
        </w:rPr>
        <w:t>2.</w:t>
      </w:r>
      <w:r>
        <w:rPr>
          <w:rFonts w:hint="eastAsia"/>
          <w:color w:val="auto"/>
          <w:highlight w:val="none"/>
        </w:rPr>
        <w:t>货源</w:t>
      </w:r>
    </w:p>
    <w:p>
      <w:pPr>
        <w:pStyle w:val="217"/>
        <w:rPr>
          <w:color w:val="auto"/>
          <w:highlight w:val="none"/>
        </w:rPr>
      </w:pPr>
      <w:r>
        <w:rPr>
          <w:rFonts w:hint="eastAsia"/>
          <w:color w:val="auto"/>
          <w:highlight w:val="none"/>
        </w:rPr>
        <w:t>在合同签订之前，应由发包方、设计单位、监理单位确定玻璃的供应来源。该供货商应能提供良好的以往业绩记录，涉及其相应的玻璃尺寸、类型及厚度，适当的质保</w:t>
      </w:r>
      <w:r>
        <w:rPr>
          <w:color w:val="auto"/>
          <w:highlight w:val="none"/>
        </w:rPr>
        <w:t>/</w:t>
      </w:r>
      <w:r>
        <w:rPr>
          <w:rFonts w:hint="eastAsia"/>
          <w:color w:val="auto"/>
          <w:highlight w:val="none"/>
        </w:rPr>
        <w:t>质检系统，符合本技术说明书中设计、制造和测试标准认可的该行业最优准则。</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）所有玻璃的供应、生产、加工和质保应出自同一厂家。</w:t>
      </w:r>
    </w:p>
    <w:p>
      <w:pPr>
        <w:pStyle w:val="217"/>
        <w:rPr>
          <w:color w:val="auto"/>
          <w:highlight w:val="none"/>
        </w:rPr>
      </w:pPr>
      <w:r>
        <w:rPr>
          <w:rFonts w:hint="eastAsia"/>
          <w:color w:val="auto"/>
          <w:highlight w:val="none"/>
        </w:rPr>
        <w:t>只有在上述玻璃厂家不能提供适当的玻璃产品时，才会考虑其他的玻璃厂家，但需经由发包方的严格审查。</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）玻璃产品应分别满足本合同的技术要求，在本工程中对这些产品的使用仍应经过发包方</w:t>
      </w:r>
      <w:r>
        <w:rPr>
          <w:rFonts w:hint="eastAsia"/>
          <w:color w:val="auto"/>
          <w:highlight w:val="none"/>
          <w:lang w:eastAsia="zh-CN"/>
        </w:rPr>
        <w:t>书面</w:t>
      </w:r>
      <w:r>
        <w:rPr>
          <w:rFonts w:hint="eastAsia"/>
          <w:color w:val="auto"/>
          <w:highlight w:val="none"/>
        </w:rPr>
        <w:t>同意。</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）所有玻璃应出自同一货源，承包人同时应在订货前提供详细资料，说明如何可以保证立面颜色的一致性。</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）若承包人因其它原因造成玻璃破损而需要更换时，应使用与破损玻璃相同的来自相同厂家的玻璃来更换。</w:t>
      </w:r>
    </w:p>
    <w:p>
      <w:pPr>
        <w:pStyle w:val="217"/>
        <w:rPr>
          <w:color w:val="auto"/>
          <w:highlight w:val="none"/>
        </w:rPr>
      </w:pPr>
      <w:r>
        <w:rPr>
          <w:color w:val="auto"/>
          <w:highlight w:val="none"/>
        </w:rPr>
        <w:t>3.</w:t>
      </w:r>
      <w:r>
        <w:rPr>
          <w:rFonts w:hint="eastAsia"/>
          <w:color w:val="auto"/>
          <w:highlight w:val="none"/>
        </w:rPr>
        <w:t>现场验收</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）玻璃边缘应切割整齐，没有明显缺陷（包括羽纹，壳状，缺口等），没有气泡，杂质，裂纹，凹陷，或其他缺陷。变形应控制在绝对最低，局部缺陷引起的不规则影响是不可接受的。</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）在现场施工开始之前应提供</w:t>
      </w:r>
      <w:r>
        <w:rPr>
          <w:color w:val="auto"/>
          <w:highlight w:val="none"/>
        </w:rPr>
        <w:t>1000X1000 mm</w:t>
      </w:r>
      <w:r>
        <w:rPr>
          <w:rFonts w:hint="eastAsia"/>
          <w:color w:val="auto"/>
          <w:highlight w:val="none"/>
        </w:rPr>
        <w:t>样品，其品质应与最终成品玻璃相同。该样品是用于展示玻璃上可能进行的修补工作的效果，如对划痕的遮盖。样品品质应经过发包方审批。这样的试验样品由发包方保留作为控制样品。承包人应对修补进行记录，并在完工后将记录连同镀膜质保书一起提交发包方、设计单位、监理单位。</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）安全和温度应力</w:t>
      </w:r>
    </w:p>
    <w:p>
      <w:pPr>
        <w:pStyle w:val="217"/>
        <w:rPr>
          <w:color w:val="auto"/>
          <w:highlight w:val="none"/>
        </w:rPr>
      </w:pPr>
      <w:r>
        <w:rPr>
          <w:rFonts w:hint="eastAsia"/>
          <w:color w:val="auto"/>
          <w:highlight w:val="none"/>
        </w:rPr>
        <w:t>承包人应确保玻璃及玻璃的安装不会发生可能损坏玻璃、玻璃安装材料、部件或框架系统的应力。</w:t>
      </w:r>
    </w:p>
    <w:p>
      <w:pPr>
        <w:pStyle w:val="217"/>
        <w:rPr>
          <w:color w:val="auto"/>
          <w:highlight w:val="none"/>
        </w:rPr>
      </w:pPr>
      <w:r>
        <w:rPr>
          <w:rFonts w:hint="eastAsia"/>
          <w:color w:val="auto"/>
          <w:highlight w:val="none"/>
        </w:rPr>
        <w:t>承包人应进行温度应力分析，进行热工计算，若发现需要钢化玻璃则在其工程中作出预算。</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）尺寸检查</w:t>
      </w:r>
    </w:p>
    <w:p>
      <w:pPr>
        <w:pStyle w:val="217"/>
        <w:rPr>
          <w:color w:val="auto"/>
          <w:highlight w:val="none"/>
        </w:rPr>
      </w:pPr>
      <w:r>
        <w:rPr>
          <w:rFonts w:hint="eastAsia"/>
          <w:color w:val="auto"/>
          <w:highlight w:val="none"/>
        </w:rPr>
        <w:t>所有玻璃应按照尺寸精确切割，（若可行）按照需要的尺寸送至工地。不允许在现场切割。玻璃上应清晰标注其最终安装位置和方向。</w:t>
      </w:r>
    </w:p>
    <w:p>
      <w:pPr>
        <w:pStyle w:val="217"/>
        <w:rPr>
          <w:color w:val="auto"/>
          <w:highlight w:val="none"/>
        </w:rPr>
      </w:pPr>
      <w:r>
        <w:rPr>
          <w:color w:val="auto"/>
          <w:highlight w:val="none"/>
        </w:rPr>
        <w:t>4.</w:t>
      </w:r>
      <w:r>
        <w:rPr>
          <w:rFonts w:hint="eastAsia"/>
          <w:color w:val="auto"/>
          <w:highlight w:val="none"/>
        </w:rPr>
        <w:t>平板玻璃</w:t>
      </w:r>
    </w:p>
    <w:p>
      <w:pPr>
        <w:pStyle w:val="217"/>
        <w:rPr>
          <w:color w:val="auto"/>
          <w:highlight w:val="none"/>
        </w:rPr>
      </w:pPr>
      <w:r>
        <w:rPr>
          <w:rFonts w:hint="eastAsia"/>
          <w:color w:val="auto"/>
          <w:highlight w:val="none"/>
        </w:rPr>
        <w:t>平板玻璃按外观质量分为合格品、一等品、优等品。应该控制镀膜玻璃和低辐射镀膜玻璃（“</w:t>
      </w:r>
      <w:r>
        <w:rPr>
          <w:color w:val="auto"/>
          <w:highlight w:val="none"/>
        </w:rPr>
        <w:t>1ow-E</w:t>
      </w:r>
      <w:r>
        <w:rPr>
          <w:rFonts w:hint="eastAsia"/>
          <w:color w:val="auto"/>
          <w:highlight w:val="none"/>
        </w:rPr>
        <w:t>”玻璃）原片应符合一等品的技术要求。</w:t>
      </w:r>
    </w:p>
    <w:p>
      <w:pPr>
        <w:pStyle w:val="217"/>
        <w:rPr>
          <w:color w:val="auto"/>
          <w:highlight w:val="none"/>
        </w:rPr>
      </w:pPr>
      <w:r>
        <w:rPr>
          <w:rFonts w:hint="eastAsia"/>
          <w:color w:val="auto"/>
          <w:highlight w:val="none"/>
        </w:rPr>
        <w:t>浮法玻璃按厚度分为以下种类：</w:t>
      </w:r>
    </w:p>
    <w:p>
      <w:pPr>
        <w:pStyle w:val="217"/>
        <w:rPr>
          <w:color w:val="auto"/>
          <w:highlight w:val="none"/>
        </w:rPr>
      </w:pPr>
      <w:r>
        <w:rPr>
          <w:color w:val="auto"/>
          <w:highlight w:val="none"/>
        </w:rPr>
        <w:t>2mm</w:t>
      </w:r>
      <w:r>
        <w:rPr>
          <w:rFonts w:hint="eastAsia"/>
          <w:color w:val="auto"/>
          <w:highlight w:val="none"/>
        </w:rPr>
        <w:t>、</w:t>
      </w:r>
      <w:r>
        <w:rPr>
          <w:color w:val="auto"/>
          <w:highlight w:val="none"/>
        </w:rPr>
        <w:t>3mm</w:t>
      </w:r>
      <w:r>
        <w:rPr>
          <w:rFonts w:hint="eastAsia"/>
          <w:color w:val="auto"/>
          <w:highlight w:val="none"/>
        </w:rPr>
        <w:t>、</w:t>
      </w:r>
      <w:r>
        <w:rPr>
          <w:color w:val="auto"/>
          <w:highlight w:val="none"/>
        </w:rPr>
        <w:t>4mm</w:t>
      </w:r>
      <w:r>
        <w:rPr>
          <w:rFonts w:hint="eastAsia"/>
          <w:color w:val="auto"/>
          <w:highlight w:val="none"/>
        </w:rPr>
        <w:t>、</w:t>
      </w:r>
      <w:r>
        <w:rPr>
          <w:color w:val="auto"/>
          <w:highlight w:val="none"/>
        </w:rPr>
        <w:t>5mm</w:t>
      </w:r>
      <w:r>
        <w:rPr>
          <w:rFonts w:hint="eastAsia"/>
          <w:color w:val="auto"/>
          <w:highlight w:val="none"/>
        </w:rPr>
        <w:t>、</w:t>
      </w:r>
      <w:r>
        <w:rPr>
          <w:color w:val="auto"/>
          <w:highlight w:val="none"/>
        </w:rPr>
        <w:t>6mm</w:t>
      </w:r>
      <w:r>
        <w:rPr>
          <w:rFonts w:hint="eastAsia"/>
          <w:color w:val="auto"/>
          <w:highlight w:val="none"/>
        </w:rPr>
        <w:t>、</w:t>
      </w:r>
      <w:r>
        <w:rPr>
          <w:color w:val="auto"/>
          <w:highlight w:val="none"/>
        </w:rPr>
        <w:t>8mm</w:t>
      </w:r>
      <w:r>
        <w:rPr>
          <w:rFonts w:hint="eastAsia"/>
          <w:color w:val="auto"/>
          <w:highlight w:val="none"/>
        </w:rPr>
        <w:t>、</w:t>
      </w:r>
      <w:r>
        <w:rPr>
          <w:color w:val="auto"/>
          <w:highlight w:val="none"/>
        </w:rPr>
        <w:t>10mm</w:t>
      </w:r>
      <w:r>
        <w:rPr>
          <w:rFonts w:hint="eastAsia"/>
          <w:color w:val="auto"/>
          <w:highlight w:val="none"/>
        </w:rPr>
        <w:t>、</w:t>
      </w:r>
      <w:r>
        <w:rPr>
          <w:color w:val="auto"/>
          <w:highlight w:val="none"/>
        </w:rPr>
        <w:t>12mm</w:t>
      </w:r>
      <w:r>
        <w:rPr>
          <w:rFonts w:hint="eastAsia"/>
          <w:color w:val="auto"/>
          <w:highlight w:val="none"/>
        </w:rPr>
        <w:t>、</w:t>
      </w:r>
      <w:r>
        <w:rPr>
          <w:color w:val="auto"/>
          <w:highlight w:val="none"/>
        </w:rPr>
        <w:t>15mm</w:t>
      </w:r>
      <w:r>
        <w:rPr>
          <w:rFonts w:hint="eastAsia"/>
          <w:color w:val="auto"/>
          <w:highlight w:val="none"/>
        </w:rPr>
        <w:t>、</w:t>
      </w:r>
      <w:r>
        <w:rPr>
          <w:color w:val="auto"/>
          <w:highlight w:val="none"/>
        </w:rPr>
        <w:t>19mm</w:t>
      </w:r>
      <w:r>
        <w:rPr>
          <w:rFonts w:hint="eastAsia"/>
          <w:color w:val="auto"/>
          <w:highlight w:val="none"/>
        </w:rPr>
        <w:t>。本项目玻璃幕墙常用的为</w:t>
      </w:r>
      <w:r>
        <w:rPr>
          <w:color w:val="auto"/>
          <w:highlight w:val="none"/>
        </w:rPr>
        <w:t>6~19mm</w:t>
      </w:r>
      <w:r>
        <w:rPr>
          <w:rFonts w:hint="eastAsia"/>
          <w:color w:val="auto"/>
          <w:highlight w:val="none"/>
        </w:rPr>
        <w:t>玻璃，具体规格详见招标图纸。</w:t>
      </w:r>
    </w:p>
    <w:p>
      <w:pPr>
        <w:pStyle w:val="217"/>
        <w:rPr>
          <w:color w:val="auto"/>
          <w:highlight w:val="none"/>
        </w:rPr>
      </w:pPr>
      <w:r>
        <w:rPr>
          <w:color w:val="auto"/>
          <w:highlight w:val="none"/>
        </w:rPr>
        <w:t>5.</w:t>
      </w:r>
      <w:r>
        <w:rPr>
          <w:rFonts w:hint="eastAsia"/>
          <w:color w:val="auto"/>
          <w:highlight w:val="none"/>
        </w:rPr>
        <w:t>钢化玻璃</w:t>
      </w:r>
    </w:p>
    <w:p>
      <w:pPr>
        <w:pStyle w:val="217"/>
        <w:rPr>
          <w:color w:val="auto"/>
          <w:highlight w:val="none"/>
        </w:rPr>
      </w:pPr>
      <w:r>
        <w:rPr>
          <w:rFonts w:hint="eastAsia"/>
          <w:color w:val="auto"/>
          <w:highlight w:val="none"/>
        </w:rPr>
        <w:t>外观质量要求需符合相关规范。</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）抗冲击性</w:t>
      </w:r>
    </w:p>
    <w:p>
      <w:pPr>
        <w:pStyle w:val="217"/>
        <w:rPr>
          <w:color w:val="auto"/>
          <w:highlight w:val="none"/>
        </w:rPr>
      </w:pPr>
      <w:r>
        <w:rPr>
          <w:rFonts w:hint="eastAsia"/>
          <w:color w:val="auto"/>
          <w:highlight w:val="none"/>
        </w:rPr>
        <w:t>取</w:t>
      </w:r>
      <w:r>
        <w:rPr>
          <w:color w:val="auto"/>
          <w:highlight w:val="none"/>
        </w:rPr>
        <w:t>6</w:t>
      </w:r>
      <w:r>
        <w:rPr>
          <w:rFonts w:hint="eastAsia"/>
          <w:color w:val="auto"/>
          <w:highlight w:val="none"/>
        </w:rPr>
        <w:t>块钢化玻璃试样进行试验，试样破坏数不超过</w:t>
      </w:r>
      <w:r>
        <w:rPr>
          <w:color w:val="auto"/>
          <w:highlight w:val="none"/>
        </w:rPr>
        <w:t>1</w:t>
      </w:r>
      <w:r>
        <w:rPr>
          <w:rFonts w:hint="eastAsia"/>
          <w:color w:val="auto"/>
          <w:highlight w:val="none"/>
        </w:rPr>
        <w:t>块为合格，多于或等于</w:t>
      </w:r>
      <w:r>
        <w:rPr>
          <w:color w:val="auto"/>
          <w:highlight w:val="none"/>
        </w:rPr>
        <w:t>3</w:t>
      </w:r>
      <w:r>
        <w:rPr>
          <w:rFonts w:hint="eastAsia"/>
          <w:color w:val="auto"/>
          <w:highlight w:val="none"/>
        </w:rPr>
        <w:t>块为不合格。破坏数为</w:t>
      </w:r>
      <w:r>
        <w:rPr>
          <w:color w:val="auto"/>
          <w:highlight w:val="none"/>
        </w:rPr>
        <w:t>2</w:t>
      </w:r>
      <w:r>
        <w:rPr>
          <w:rFonts w:hint="eastAsia"/>
          <w:color w:val="auto"/>
          <w:highlight w:val="none"/>
        </w:rPr>
        <w:t>块时，再另取</w:t>
      </w:r>
      <w:r>
        <w:rPr>
          <w:color w:val="auto"/>
          <w:highlight w:val="none"/>
        </w:rPr>
        <w:t>6</w:t>
      </w:r>
      <w:r>
        <w:rPr>
          <w:rFonts w:hint="eastAsia"/>
          <w:color w:val="auto"/>
          <w:highlight w:val="none"/>
        </w:rPr>
        <w:t>块进行试验，</w:t>
      </w:r>
      <w:r>
        <w:rPr>
          <w:color w:val="auto"/>
          <w:highlight w:val="none"/>
        </w:rPr>
        <w:t>6</w:t>
      </w:r>
      <w:r>
        <w:rPr>
          <w:rFonts w:hint="eastAsia"/>
          <w:color w:val="auto"/>
          <w:highlight w:val="none"/>
        </w:rPr>
        <w:t>块必须全部不被破坏为合格。</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）碎片状态</w:t>
      </w:r>
    </w:p>
    <w:p>
      <w:pPr>
        <w:pStyle w:val="217"/>
        <w:rPr>
          <w:color w:val="auto"/>
          <w:highlight w:val="none"/>
        </w:rPr>
      </w:pPr>
      <w:r>
        <w:rPr>
          <w:rFonts w:hint="eastAsia"/>
          <w:color w:val="auto"/>
          <w:highlight w:val="none"/>
        </w:rPr>
        <w:t>取</w:t>
      </w:r>
      <w:r>
        <w:rPr>
          <w:color w:val="auto"/>
          <w:highlight w:val="none"/>
        </w:rPr>
        <w:t>4</w:t>
      </w:r>
      <w:r>
        <w:rPr>
          <w:rFonts w:hint="eastAsia"/>
          <w:color w:val="auto"/>
          <w:highlight w:val="none"/>
        </w:rPr>
        <w:t>块钢化玻璃试样进行试验，每块试样在</w:t>
      </w:r>
      <w:r>
        <w:rPr>
          <w:color w:val="auto"/>
          <w:highlight w:val="none"/>
        </w:rPr>
        <w:t>50mm</w:t>
      </w:r>
      <w:r>
        <w:rPr>
          <w:rFonts w:hint="eastAsia"/>
          <w:color w:val="auto"/>
          <w:highlight w:val="none"/>
        </w:rPr>
        <w:t>×</w:t>
      </w:r>
      <w:r>
        <w:rPr>
          <w:color w:val="auto"/>
          <w:highlight w:val="none"/>
        </w:rPr>
        <w:t>50mm</w:t>
      </w:r>
      <w:r>
        <w:rPr>
          <w:rFonts w:hint="eastAsia"/>
          <w:color w:val="auto"/>
          <w:highlight w:val="none"/>
        </w:rPr>
        <w:t>区域内的碎片数必须超过</w:t>
      </w:r>
      <w:r>
        <w:rPr>
          <w:color w:val="auto"/>
          <w:highlight w:val="none"/>
        </w:rPr>
        <w:t>40</w:t>
      </w:r>
      <w:r>
        <w:rPr>
          <w:rFonts w:hint="eastAsia"/>
          <w:color w:val="auto"/>
          <w:highlight w:val="none"/>
        </w:rPr>
        <w:t>个。且允许有少量长条形碎片，其长度不超过</w:t>
      </w:r>
      <w:r>
        <w:rPr>
          <w:color w:val="auto"/>
          <w:highlight w:val="none"/>
        </w:rPr>
        <w:t>75mm</w:t>
      </w:r>
      <w:r>
        <w:rPr>
          <w:rFonts w:hint="eastAsia"/>
          <w:color w:val="auto"/>
          <w:highlight w:val="none"/>
        </w:rPr>
        <w:t>，其端部不是刀刃状，延伸至玻璃边缘的长条形碎片与边缘形成的角不大于</w:t>
      </w:r>
      <w:r>
        <w:rPr>
          <w:color w:val="auto"/>
          <w:highlight w:val="none"/>
        </w:rPr>
        <w:t>45</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）霰弹袋冲击性能</w:t>
      </w:r>
    </w:p>
    <w:p>
      <w:pPr>
        <w:pStyle w:val="217"/>
        <w:rPr>
          <w:color w:val="auto"/>
          <w:highlight w:val="none"/>
        </w:rPr>
      </w:pPr>
      <w:r>
        <w:rPr>
          <w:rFonts w:hint="eastAsia"/>
          <w:color w:val="auto"/>
          <w:highlight w:val="none"/>
        </w:rPr>
        <w:t>取</w:t>
      </w:r>
      <w:r>
        <w:rPr>
          <w:color w:val="auto"/>
          <w:highlight w:val="none"/>
        </w:rPr>
        <w:t>4</w:t>
      </w:r>
      <w:r>
        <w:rPr>
          <w:rFonts w:hint="eastAsia"/>
          <w:color w:val="auto"/>
          <w:highlight w:val="none"/>
        </w:rPr>
        <w:t>块平行钢化玻璃试样进行试验，必须符合下列中的任意一条的规定。</w:t>
      </w:r>
    </w:p>
    <w:p>
      <w:pPr>
        <w:pStyle w:val="217"/>
        <w:rPr>
          <w:color w:val="auto"/>
          <w:highlight w:val="none"/>
        </w:rPr>
      </w:pPr>
      <w:r>
        <w:rPr>
          <w:rFonts w:hint="eastAsia"/>
          <w:color w:val="auto"/>
          <w:highlight w:val="none"/>
        </w:rPr>
        <w:t>玻璃破碎时，每块试样的最大</w:t>
      </w:r>
      <w:r>
        <w:rPr>
          <w:color w:val="auto"/>
          <w:highlight w:val="none"/>
        </w:rPr>
        <w:t>10</w:t>
      </w:r>
      <w:r>
        <w:rPr>
          <w:rFonts w:hint="eastAsia"/>
          <w:color w:val="auto"/>
          <w:highlight w:val="none"/>
        </w:rPr>
        <w:t>块碎片质量的总和不得超过相当于试样</w:t>
      </w:r>
      <w:r>
        <w:rPr>
          <w:color w:val="auto"/>
          <w:highlight w:val="none"/>
        </w:rPr>
        <w:t>65cm2</w:t>
      </w:r>
      <w:r>
        <w:rPr>
          <w:rFonts w:hint="eastAsia"/>
          <w:color w:val="auto"/>
          <w:highlight w:val="none"/>
        </w:rPr>
        <w:t>面积的质量。</w:t>
      </w:r>
    </w:p>
    <w:p>
      <w:pPr>
        <w:pStyle w:val="217"/>
        <w:rPr>
          <w:color w:val="auto"/>
          <w:highlight w:val="none"/>
        </w:rPr>
      </w:pPr>
      <w:r>
        <w:rPr>
          <w:rFonts w:hint="eastAsia"/>
          <w:color w:val="auto"/>
          <w:highlight w:val="none"/>
        </w:rPr>
        <w:t>霰弹袋下落高度为</w:t>
      </w:r>
      <w:r>
        <w:rPr>
          <w:color w:val="auto"/>
          <w:highlight w:val="none"/>
        </w:rPr>
        <w:t>1200mm</w:t>
      </w:r>
      <w:r>
        <w:rPr>
          <w:rFonts w:hint="eastAsia"/>
          <w:color w:val="auto"/>
          <w:highlight w:val="none"/>
        </w:rPr>
        <w:t>时，试样不破坏。</w:t>
      </w:r>
    </w:p>
    <w:p>
      <w:pPr>
        <w:pStyle w:val="217"/>
        <w:rPr>
          <w:color w:val="auto"/>
          <w:highlight w:val="none"/>
        </w:rPr>
      </w:pPr>
      <w:r>
        <w:rPr>
          <w:color w:val="auto"/>
          <w:highlight w:val="none"/>
        </w:rPr>
        <w:t>6.</w:t>
      </w:r>
      <w:r>
        <w:rPr>
          <w:rFonts w:hint="eastAsia"/>
          <w:color w:val="auto"/>
          <w:highlight w:val="none"/>
        </w:rPr>
        <w:t>中空玻璃</w:t>
      </w:r>
    </w:p>
    <w:p>
      <w:pPr>
        <w:pStyle w:val="217"/>
        <w:rPr>
          <w:color w:val="auto"/>
          <w:highlight w:val="none"/>
        </w:rPr>
      </w:pPr>
      <w:r>
        <w:rPr>
          <w:rFonts w:hint="eastAsia"/>
          <w:color w:val="auto"/>
          <w:highlight w:val="none"/>
        </w:rPr>
        <w:t>中空玻璃的物理性能要求须符合相关规范。</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）中空玻璃合片加工时，应考虑制作处和安装处不同气压的影响，采取防止大面变形的措施。</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幕墙用中空玻璃应采用双道密封。一道密封应采用丁基热溶密封胶，二道密封应采用聚硫胶或硅酮结构密封胶。隐框、半隐框（横隐竖明）及点支承中空玻璃用中空玻璃的二道密封应采用硅酮结构密封胶。二道密封应采用专业打胶机进行混合、打胶。</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）中空玻璃的间隔铝框可采用连续折弯型或插角型，不得采用热熔型间隔胶条。间隔铝框中的干燥剂宜采用专用设备装填。</w:t>
      </w:r>
    </w:p>
    <w:p>
      <w:pPr>
        <w:pStyle w:val="217"/>
        <w:rPr>
          <w:color w:val="auto"/>
          <w:highlight w:val="none"/>
        </w:rPr>
      </w:pPr>
      <w:r>
        <w:rPr>
          <w:color w:val="auto"/>
          <w:highlight w:val="none"/>
        </w:rPr>
        <w:t>7.</w:t>
      </w:r>
      <w:r>
        <w:rPr>
          <w:rFonts w:hint="eastAsia"/>
          <w:color w:val="auto"/>
          <w:highlight w:val="none"/>
        </w:rPr>
        <w:t>夹层玻璃</w:t>
      </w:r>
    </w:p>
    <w:p>
      <w:pPr>
        <w:pStyle w:val="217"/>
        <w:rPr>
          <w:color w:val="auto"/>
          <w:highlight w:val="none"/>
        </w:rPr>
      </w:pPr>
      <w:r>
        <w:rPr>
          <w:rFonts w:hint="eastAsia"/>
          <w:color w:val="auto"/>
          <w:highlight w:val="none"/>
        </w:rPr>
        <w:t>玻璃幕墙用夹层玻璃应采用干法加工合成，其夹片宜采用聚乙烯醇缩丁醛（</w:t>
      </w:r>
      <w:r>
        <w:rPr>
          <w:color w:val="auto"/>
          <w:highlight w:val="none"/>
        </w:rPr>
        <w:t>PVB</w:t>
      </w:r>
      <w:r>
        <w:rPr>
          <w:rFonts w:hint="eastAsia"/>
          <w:color w:val="auto"/>
          <w:highlight w:val="none"/>
        </w:rPr>
        <w:t>）胶片，夹层玻璃合片时，应严格控制温、湿度。</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）外观质量：</w:t>
      </w:r>
    </w:p>
    <w:p>
      <w:pPr>
        <w:pStyle w:val="217"/>
        <w:rPr>
          <w:color w:val="auto"/>
          <w:highlight w:val="none"/>
        </w:rPr>
      </w:pPr>
      <w:r>
        <w:rPr>
          <w:color w:val="auto"/>
          <w:highlight w:val="none"/>
        </w:rPr>
        <w:t>1</w:t>
      </w:r>
      <w:r>
        <w:rPr>
          <w:rFonts w:hint="eastAsia"/>
          <w:color w:val="auto"/>
          <w:highlight w:val="none"/>
        </w:rPr>
        <w:t>）裂纹：不允许存在。</w:t>
      </w:r>
    </w:p>
    <w:p>
      <w:pPr>
        <w:pStyle w:val="217"/>
        <w:rPr>
          <w:color w:val="auto"/>
          <w:highlight w:val="none"/>
        </w:rPr>
      </w:pPr>
      <w:r>
        <w:rPr>
          <w:color w:val="auto"/>
          <w:highlight w:val="none"/>
        </w:rPr>
        <w:t>2</w:t>
      </w:r>
      <w:r>
        <w:rPr>
          <w:rFonts w:hint="eastAsia"/>
          <w:color w:val="auto"/>
          <w:highlight w:val="none"/>
        </w:rPr>
        <w:t>）爆边：长度或宽度不得超过玻璃的厚度。</w:t>
      </w:r>
    </w:p>
    <w:p>
      <w:pPr>
        <w:pStyle w:val="217"/>
        <w:rPr>
          <w:color w:val="auto"/>
          <w:highlight w:val="none"/>
        </w:rPr>
      </w:pPr>
      <w:r>
        <w:rPr>
          <w:color w:val="auto"/>
          <w:highlight w:val="none"/>
        </w:rPr>
        <w:t>3</w:t>
      </w:r>
      <w:r>
        <w:rPr>
          <w:rFonts w:hint="eastAsia"/>
          <w:color w:val="auto"/>
          <w:highlight w:val="none"/>
        </w:rPr>
        <w:t>）划伤和磨伤：不得影响使用。</w:t>
      </w:r>
    </w:p>
    <w:p>
      <w:pPr>
        <w:pStyle w:val="217"/>
        <w:rPr>
          <w:color w:val="auto"/>
          <w:highlight w:val="none"/>
        </w:rPr>
      </w:pPr>
      <w:r>
        <w:rPr>
          <w:color w:val="auto"/>
          <w:highlight w:val="none"/>
        </w:rPr>
        <w:t>4</w:t>
      </w:r>
      <w:r>
        <w:rPr>
          <w:rFonts w:hint="eastAsia"/>
          <w:color w:val="auto"/>
          <w:highlight w:val="none"/>
        </w:rPr>
        <w:t>）脱胶：不允许存在。</w:t>
      </w:r>
    </w:p>
    <w:p>
      <w:pPr>
        <w:pStyle w:val="217"/>
        <w:rPr>
          <w:color w:val="auto"/>
          <w:highlight w:val="none"/>
        </w:rPr>
      </w:pPr>
      <w:r>
        <w:rPr>
          <w:rFonts w:hint="eastAsia"/>
          <w:color w:val="auto"/>
          <w:highlight w:val="none"/>
        </w:rPr>
        <w:t>夹层玻璃厚度偏差不能超过构成夹层玻璃的原片允许偏差和中间层允许偏差之和。中间层总厚度小于</w:t>
      </w:r>
      <w:r>
        <w:rPr>
          <w:color w:val="auto"/>
          <w:highlight w:val="none"/>
        </w:rPr>
        <w:t>2mm</w:t>
      </w:r>
      <w:r>
        <w:rPr>
          <w:rFonts w:hint="eastAsia"/>
          <w:color w:val="auto"/>
          <w:highlight w:val="none"/>
        </w:rPr>
        <w:t>时，其允许偏差不予考虑。中间层总厚度大于</w:t>
      </w:r>
      <w:r>
        <w:rPr>
          <w:color w:val="auto"/>
          <w:highlight w:val="none"/>
        </w:rPr>
        <w:t>2mm</w:t>
      </w:r>
      <w:r>
        <w:rPr>
          <w:rFonts w:hint="eastAsia"/>
          <w:color w:val="auto"/>
          <w:highlight w:val="none"/>
        </w:rPr>
        <w:t>时，其允许偏差为±</w:t>
      </w:r>
      <w:r>
        <w:rPr>
          <w:color w:val="auto"/>
          <w:highlight w:val="none"/>
        </w:rPr>
        <w:t>0.2mm</w:t>
      </w:r>
      <w:r>
        <w:rPr>
          <w:rFonts w:hint="eastAsia"/>
          <w:color w:val="auto"/>
          <w:highlight w:val="none"/>
        </w:rPr>
        <w:t>。</w:t>
      </w:r>
    </w:p>
    <w:p>
      <w:pPr>
        <w:pStyle w:val="217"/>
        <w:rPr>
          <w:color w:val="auto"/>
          <w:highlight w:val="none"/>
        </w:rPr>
      </w:pPr>
      <w:r>
        <w:rPr>
          <w:rFonts w:hint="eastAsia"/>
          <w:color w:val="auto"/>
          <w:highlight w:val="none"/>
        </w:rPr>
        <w:t>平面夹层玻璃的弯曲度不得超过</w:t>
      </w:r>
      <w:r>
        <w:rPr>
          <w:color w:val="auto"/>
          <w:highlight w:val="none"/>
        </w:rPr>
        <w:t>0.3%</w:t>
      </w:r>
      <w:r>
        <w:rPr>
          <w:rFonts w:hint="eastAsia"/>
          <w:color w:val="auto"/>
          <w:highlight w:val="none"/>
        </w:rPr>
        <w:t>。</w:t>
      </w:r>
    </w:p>
    <w:p>
      <w:pPr>
        <w:pStyle w:val="217"/>
        <w:rPr>
          <w:color w:val="auto"/>
          <w:highlight w:val="none"/>
        </w:rPr>
      </w:pPr>
      <w:r>
        <w:rPr>
          <w:rFonts w:hint="eastAsia"/>
          <w:color w:val="auto"/>
          <w:highlight w:val="none"/>
        </w:rPr>
        <w:t>夹胶玻璃板块边缘不应出现超过标准的脱胶和缩进。在保证期内，指定分包商有责任替换掉所有脱胶的玻璃。所有相关费用包括但不限于脚手架、材料和人工费等均由指定分包商承担。</w:t>
      </w:r>
    </w:p>
    <w:p>
      <w:pPr>
        <w:pStyle w:val="217"/>
        <w:rPr>
          <w:color w:val="auto"/>
          <w:highlight w:val="none"/>
        </w:rPr>
      </w:pPr>
      <w:r>
        <w:rPr>
          <w:color w:val="auto"/>
          <w:highlight w:val="none"/>
        </w:rPr>
        <w:t>8.1ow-E</w:t>
      </w:r>
      <w:r>
        <w:rPr>
          <w:rFonts w:hint="eastAsia"/>
          <w:color w:val="auto"/>
          <w:highlight w:val="none"/>
        </w:rPr>
        <w:t>镀膜玻璃</w:t>
      </w:r>
    </w:p>
    <w:p>
      <w:pPr>
        <w:pStyle w:val="217"/>
        <w:rPr>
          <w:color w:val="auto"/>
          <w:highlight w:val="none"/>
        </w:rPr>
      </w:pPr>
      <w:r>
        <w:rPr>
          <w:color w:val="auto"/>
          <w:highlight w:val="none"/>
        </w:rPr>
        <w:t>1ow-E</w:t>
      </w:r>
      <w:r>
        <w:rPr>
          <w:rFonts w:hint="eastAsia"/>
          <w:color w:val="auto"/>
          <w:highlight w:val="none"/>
        </w:rPr>
        <w:t>膜在中空玻璃外侧的第二面（即外片玻璃朝向中空层的一面）</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）层间防火</w:t>
      </w:r>
    </w:p>
    <w:p>
      <w:pPr>
        <w:pStyle w:val="217"/>
        <w:rPr>
          <w:color w:val="auto"/>
          <w:highlight w:val="none"/>
        </w:rPr>
      </w:pPr>
      <w:r>
        <w:rPr>
          <w:color w:val="auto"/>
          <w:highlight w:val="none"/>
        </w:rPr>
        <w:t xml:space="preserve">    </w:t>
      </w:r>
      <w:r>
        <w:rPr>
          <w:rFonts w:hint="eastAsia"/>
          <w:color w:val="auto"/>
          <w:highlight w:val="none"/>
        </w:rPr>
        <w:t>层间防火设计应遵照国家规范。</w:t>
      </w:r>
    </w:p>
    <w:p>
      <w:pPr>
        <w:pStyle w:val="217"/>
        <w:rPr>
          <w:color w:val="auto"/>
          <w:highlight w:val="none"/>
        </w:rPr>
      </w:pPr>
      <w:r>
        <w:rPr>
          <w:color w:val="auto"/>
          <w:highlight w:val="none"/>
        </w:rPr>
        <w:t>1</w:t>
      </w:r>
      <w:r>
        <w:rPr>
          <w:rFonts w:hint="eastAsia"/>
          <w:color w:val="auto"/>
          <w:highlight w:val="none"/>
        </w:rPr>
        <w:t>）层间防火应连续安装于室外挂板与楼层分界边缘处，在层间外墙与主体结构间沿着天花线提供一个无间断和完全阻隔的密封系统，将层与层之间隔离，这种隔离没有任何断开、不连续或缺口。</w:t>
      </w:r>
    </w:p>
    <w:p>
      <w:pPr>
        <w:pStyle w:val="217"/>
        <w:rPr>
          <w:color w:val="auto"/>
          <w:highlight w:val="none"/>
        </w:rPr>
      </w:pPr>
      <w:r>
        <w:rPr>
          <w:color w:val="auto"/>
          <w:highlight w:val="none"/>
        </w:rPr>
        <w:t>2</w:t>
      </w:r>
      <w:r>
        <w:rPr>
          <w:rFonts w:hint="eastAsia"/>
          <w:color w:val="auto"/>
          <w:highlight w:val="none"/>
        </w:rPr>
        <w:t>）施工细节和防火材料应由当地设计院和消防部门核准。</w:t>
      </w:r>
    </w:p>
    <w:p>
      <w:pPr>
        <w:pStyle w:val="217"/>
        <w:rPr>
          <w:color w:val="auto"/>
          <w:highlight w:val="none"/>
        </w:rPr>
      </w:pPr>
      <w:r>
        <w:rPr>
          <w:color w:val="auto"/>
          <w:highlight w:val="none"/>
        </w:rPr>
        <w:t>3</w:t>
      </w:r>
      <w:r>
        <w:rPr>
          <w:rFonts w:hint="eastAsia"/>
          <w:color w:val="auto"/>
          <w:highlight w:val="none"/>
        </w:rPr>
        <w:t>）采用防热纤维隔层或批准的具有同样不燃功效的隔离体，厚度至少为</w:t>
      </w:r>
      <w:r>
        <w:rPr>
          <w:color w:val="auto"/>
          <w:highlight w:val="none"/>
        </w:rPr>
        <w:t>100mm</w:t>
      </w:r>
      <w:r>
        <w:rPr>
          <w:rFonts w:hint="eastAsia"/>
          <w:color w:val="auto"/>
          <w:highlight w:val="none"/>
        </w:rPr>
        <w:t>，达到</w:t>
      </w:r>
      <w:r>
        <w:rPr>
          <w:color w:val="auto"/>
          <w:highlight w:val="none"/>
        </w:rPr>
        <w:t>1</w:t>
      </w:r>
      <w:r>
        <w:rPr>
          <w:rFonts w:hint="eastAsia"/>
          <w:color w:val="auto"/>
          <w:highlight w:val="none"/>
        </w:rPr>
        <w:t>小时防火隔断要求。</w:t>
      </w:r>
    </w:p>
    <w:p>
      <w:pPr>
        <w:pStyle w:val="217"/>
        <w:rPr>
          <w:color w:val="auto"/>
          <w:highlight w:val="none"/>
        </w:rPr>
      </w:pPr>
      <w:r>
        <w:rPr>
          <w:color w:val="auto"/>
          <w:highlight w:val="none"/>
        </w:rPr>
        <w:t>4</w:t>
      </w:r>
      <w:r>
        <w:rPr>
          <w:rFonts w:hint="eastAsia"/>
          <w:color w:val="auto"/>
          <w:highlight w:val="none"/>
        </w:rPr>
        <w:t>）层间防水由通长的镀锌钢板支承。防火材料及其支承应完全遵照生产厂家的书面建议。</w:t>
      </w:r>
    </w:p>
    <w:p>
      <w:pPr>
        <w:pStyle w:val="217"/>
        <w:rPr>
          <w:color w:val="auto"/>
          <w:highlight w:val="none"/>
        </w:rPr>
      </w:pPr>
      <w:r>
        <w:rPr>
          <w:color w:val="auto"/>
          <w:highlight w:val="none"/>
        </w:rPr>
        <w:t>5</w:t>
      </w:r>
      <w:r>
        <w:rPr>
          <w:rFonts w:hint="eastAsia"/>
          <w:color w:val="auto"/>
          <w:highlight w:val="none"/>
        </w:rPr>
        <w:t>）在外墙系统的侧壁处也需布置垂直的隔离体，以保证外墙部分与结构主体内部之间完全隔离。</w:t>
      </w:r>
    </w:p>
    <w:p>
      <w:pPr>
        <w:pStyle w:val="217"/>
        <w:rPr>
          <w:color w:val="auto"/>
          <w:highlight w:val="none"/>
        </w:rPr>
      </w:pPr>
      <w:r>
        <w:rPr>
          <w:color w:val="auto"/>
          <w:highlight w:val="none"/>
        </w:rPr>
        <w:t>6</w:t>
      </w:r>
      <w:r>
        <w:rPr>
          <w:rFonts w:hint="eastAsia"/>
          <w:color w:val="auto"/>
          <w:highlight w:val="none"/>
        </w:rPr>
        <w:t>）防火隔离体在失火情况下应能够保证在任何建筑位移时仍有效。</w:t>
      </w:r>
    </w:p>
    <w:p>
      <w:pPr>
        <w:pStyle w:val="217"/>
        <w:rPr>
          <w:color w:val="auto"/>
          <w:highlight w:val="none"/>
        </w:rPr>
      </w:pPr>
      <w:r>
        <w:rPr>
          <w:color w:val="auto"/>
          <w:highlight w:val="none"/>
        </w:rPr>
        <w:t>7</w:t>
      </w:r>
      <w:r>
        <w:rPr>
          <w:rFonts w:hint="eastAsia"/>
          <w:color w:val="auto"/>
          <w:highlight w:val="none"/>
        </w:rPr>
        <w:t>）防火材料和安装：采用通长的镀锌钢板密封于窗间墙背板和楼板之间。</w:t>
      </w:r>
    </w:p>
    <w:p>
      <w:pPr>
        <w:pStyle w:val="172"/>
        <w:rPr>
          <w:color w:val="auto"/>
          <w:highlight w:val="none"/>
        </w:rPr>
      </w:pPr>
      <w:r>
        <w:rPr>
          <w:color w:val="auto"/>
          <w:highlight w:val="none"/>
        </w:rPr>
        <w:t xml:space="preserve">3.6.2 </w:t>
      </w:r>
      <w:r>
        <w:rPr>
          <w:rFonts w:hint="eastAsia"/>
          <w:color w:val="auto"/>
          <w:highlight w:val="none"/>
        </w:rPr>
        <w:t>幕墙安装技术要求</w:t>
      </w:r>
    </w:p>
    <w:p>
      <w:pPr>
        <w:pStyle w:val="119"/>
        <w:rPr>
          <w:color w:val="auto"/>
          <w:highlight w:val="none"/>
        </w:rPr>
      </w:pPr>
      <w:r>
        <w:rPr>
          <w:color w:val="auto"/>
          <w:highlight w:val="none"/>
        </w:rPr>
        <w:t xml:space="preserve">3.6.2.1 </w:t>
      </w:r>
      <w:r>
        <w:rPr>
          <w:rFonts w:hint="eastAsia"/>
          <w:color w:val="auto"/>
          <w:highlight w:val="none"/>
        </w:rPr>
        <w:t>总则</w:t>
      </w:r>
    </w:p>
    <w:p>
      <w:pPr>
        <w:pStyle w:val="217"/>
        <w:rPr>
          <w:color w:val="auto"/>
          <w:highlight w:val="none"/>
        </w:rPr>
      </w:pPr>
      <w:r>
        <w:rPr>
          <w:color w:val="auto"/>
          <w:highlight w:val="none"/>
        </w:rPr>
        <w:t>1.</w:t>
      </w:r>
      <w:r>
        <w:rPr>
          <w:rFonts w:hint="eastAsia"/>
          <w:color w:val="auto"/>
          <w:highlight w:val="none"/>
        </w:rPr>
        <w:t>如现场安装质量不符合招标文件以及合同约定，发包人要求分包单位进行整改，由此产生的时间、金钱损失全由承包人承担。</w:t>
      </w:r>
    </w:p>
    <w:p>
      <w:pPr>
        <w:pStyle w:val="217"/>
        <w:rPr>
          <w:color w:val="auto"/>
          <w:highlight w:val="none"/>
        </w:rPr>
      </w:pPr>
      <w:r>
        <w:rPr>
          <w:color w:val="auto"/>
          <w:highlight w:val="none"/>
        </w:rPr>
        <w:t>2.</w:t>
      </w:r>
      <w:r>
        <w:rPr>
          <w:rFonts w:hint="eastAsia"/>
          <w:color w:val="auto"/>
          <w:highlight w:val="none"/>
        </w:rPr>
        <w:t>切割、钻孔应在工厂完成，未经送审核准不得在现场进行。</w:t>
      </w:r>
    </w:p>
    <w:p>
      <w:pPr>
        <w:pStyle w:val="119"/>
        <w:rPr>
          <w:color w:val="auto"/>
          <w:highlight w:val="none"/>
        </w:rPr>
      </w:pPr>
      <w:r>
        <w:rPr>
          <w:color w:val="auto"/>
          <w:highlight w:val="none"/>
        </w:rPr>
        <w:t xml:space="preserve">3.6.2.2 </w:t>
      </w:r>
      <w:r>
        <w:rPr>
          <w:rFonts w:hint="eastAsia"/>
          <w:color w:val="auto"/>
          <w:highlight w:val="none"/>
        </w:rPr>
        <w:t>技术交底</w:t>
      </w:r>
    </w:p>
    <w:p>
      <w:pPr>
        <w:pStyle w:val="217"/>
        <w:rPr>
          <w:color w:val="auto"/>
          <w:highlight w:val="none"/>
        </w:rPr>
      </w:pPr>
      <w:r>
        <w:rPr>
          <w:color w:val="auto"/>
          <w:highlight w:val="none"/>
        </w:rPr>
        <w:t>1.</w:t>
      </w:r>
      <w:r>
        <w:rPr>
          <w:rFonts w:hint="eastAsia"/>
          <w:color w:val="auto"/>
          <w:highlight w:val="none"/>
        </w:rPr>
        <w:t>现场安装队伍应有安装图纸、方法说明以及质量控制程序。</w:t>
      </w:r>
    </w:p>
    <w:p>
      <w:pPr>
        <w:pStyle w:val="217"/>
        <w:rPr>
          <w:color w:val="auto"/>
          <w:highlight w:val="none"/>
        </w:rPr>
      </w:pPr>
      <w:r>
        <w:rPr>
          <w:color w:val="auto"/>
          <w:highlight w:val="none"/>
        </w:rPr>
        <w:t>2.</w:t>
      </w:r>
      <w:r>
        <w:rPr>
          <w:rFonts w:hint="eastAsia"/>
          <w:color w:val="auto"/>
          <w:highlight w:val="none"/>
        </w:rPr>
        <w:t>承包人应对安装工人进行技术交底，包括但不限于：</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）放线和控制点</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）每一构件名称和安装内容</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）材料隔离和包装</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）所有需要密封胶的节点，清洗要求及表面底漆（如需要）</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）背衬棒和脱胶带的位置，类型和尺寸</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）构件所在位置的误差要求和节点对齐要求</w:t>
      </w:r>
    </w:p>
    <w:p>
      <w:pPr>
        <w:pStyle w:val="217"/>
        <w:rPr>
          <w:color w:val="auto"/>
          <w:highlight w:val="none"/>
        </w:rPr>
      </w:pPr>
      <w:r>
        <w:rPr>
          <w:rFonts w:hint="eastAsia"/>
          <w:color w:val="auto"/>
          <w:highlight w:val="none"/>
        </w:rPr>
        <w:t>（</w:t>
      </w:r>
      <w:r>
        <w:rPr>
          <w:color w:val="auto"/>
          <w:highlight w:val="none"/>
        </w:rPr>
        <w:t>7</w:t>
      </w:r>
      <w:r>
        <w:rPr>
          <w:rFonts w:hint="eastAsia"/>
          <w:color w:val="auto"/>
          <w:highlight w:val="none"/>
        </w:rPr>
        <w:t>）要求特定扭力的所有固定件</w:t>
      </w:r>
    </w:p>
    <w:p>
      <w:pPr>
        <w:pStyle w:val="217"/>
        <w:rPr>
          <w:color w:val="auto"/>
          <w:highlight w:val="none"/>
        </w:rPr>
      </w:pPr>
      <w:r>
        <w:rPr>
          <w:rFonts w:hint="eastAsia"/>
          <w:color w:val="auto"/>
          <w:highlight w:val="none"/>
        </w:rPr>
        <w:t>（</w:t>
      </w:r>
      <w:r>
        <w:rPr>
          <w:color w:val="auto"/>
          <w:highlight w:val="none"/>
        </w:rPr>
        <w:t>8</w:t>
      </w:r>
      <w:r>
        <w:rPr>
          <w:rFonts w:hint="eastAsia"/>
          <w:color w:val="auto"/>
          <w:highlight w:val="none"/>
        </w:rPr>
        <w:t>）将构件运送到楼上并当其到达楼上后对齐、调整位置所需设备的详细情况</w:t>
      </w:r>
    </w:p>
    <w:p>
      <w:pPr>
        <w:pStyle w:val="217"/>
        <w:rPr>
          <w:color w:val="auto"/>
          <w:highlight w:val="none"/>
        </w:rPr>
      </w:pPr>
      <w:r>
        <w:rPr>
          <w:rFonts w:hint="eastAsia"/>
          <w:color w:val="auto"/>
          <w:highlight w:val="none"/>
        </w:rPr>
        <w:t>（</w:t>
      </w:r>
      <w:r>
        <w:rPr>
          <w:color w:val="auto"/>
          <w:highlight w:val="none"/>
        </w:rPr>
        <w:t>9</w:t>
      </w:r>
      <w:r>
        <w:rPr>
          <w:rFonts w:hint="eastAsia"/>
          <w:color w:val="auto"/>
          <w:highlight w:val="none"/>
        </w:rPr>
        <w:t>）怀疑可能会受损坏的和安装期间不应承担荷载的位置</w:t>
      </w:r>
    </w:p>
    <w:p>
      <w:pPr>
        <w:pStyle w:val="217"/>
        <w:rPr>
          <w:color w:val="auto"/>
          <w:highlight w:val="none"/>
        </w:rPr>
      </w:pPr>
      <w:r>
        <w:rPr>
          <w:rFonts w:hint="eastAsia"/>
          <w:color w:val="auto"/>
          <w:highlight w:val="none"/>
        </w:rPr>
        <w:t>（</w:t>
      </w:r>
      <w:r>
        <w:rPr>
          <w:color w:val="auto"/>
          <w:highlight w:val="none"/>
        </w:rPr>
        <w:t>10</w:t>
      </w:r>
      <w:r>
        <w:rPr>
          <w:rFonts w:hint="eastAsia"/>
          <w:color w:val="auto"/>
          <w:highlight w:val="none"/>
        </w:rPr>
        <w:t>）保护措施的具体内容</w:t>
      </w:r>
    </w:p>
    <w:p>
      <w:pPr>
        <w:pStyle w:val="217"/>
        <w:rPr>
          <w:color w:val="auto"/>
          <w:highlight w:val="none"/>
        </w:rPr>
      </w:pPr>
      <w:r>
        <w:rPr>
          <w:rFonts w:hint="eastAsia"/>
          <w:color w:val="auto"/>
          <w:highlight w:val="none"/>
        </w:rPr>
        <w:t>（</w:t>
      </w:r>
      <w:r>
        <w:rPr>
          <w:color w:val="auto"/>
          <w:highlight w:val="none"/>
        </w:rPr>
        <w:t>11</w:t>
      </w:r>
      <w:r>
        <w:rPr>
          <w:rFonts w:hint="eastAsia"/>
          <w:color w:val="auto"/>
          <w:highlight w:val="none"/>
        </w:rPr>
        <w:t>）所有隐蔽固定件的位置</w:t>
      </w:r>
    </w:p>
    <w:p>
      <w:pPr>
        <w:pStyle w:val="119"/>
        <w:rPr>
          <w:color w:val="auto"/>
          <w:highlight w:val="none"/>
        </w:rPr>
      </w:pPr>
      <w:r>
        <w:rPr>
          <w:color w:val="auto"/>
          <w:highlight w:val="none"/>
        </w:rPr>
        <w:t xml:space="preserve">3.6.2.3 </w:t>
      </w:r>
      <w:r>
        <w:rPr>
          <w:rFonts w:hint="eastAsia"/>
          <w:color w:val="auto"/>
          <w:highlight w:val="none"/>
        </w:rPr>
        <w:t>施工样板</w:t>
      </w:r>
    </w:p>
    <w:p>
      <w:pPr>
        <w:pStyle w:val="217"/>
        <w:rPr>
          <w:color w:val="auto"/>
          <w:highlight w:val="none"/>
        </w:rPr>
      </w:pPr>
      <w:r>
        <w:rPr>
          <w:color w:val="auto"/>
          <w:highlight w:val="none"/>
        </w:rPr>
        <w:t>1.</w:t>
      </w:r>
      <w:r>
        <w:rPr>
          <w:rFonts w:hint="eastAsia"/>
          <w:color w:val="auto"/>
          <w:highlight w:val="none"/>
        </w:rPr>
        <w:t>承包人应与业主、监理协调，在现场指定部位安装施工样板。</w:t>
      </w:r>
    </w:p>
    <w:p>
      <w:pPr>
        <w:pStyle w:val="217"/>
        <w:rPr>
          <w:color w:val="auto"/>
          <w:highlight w:val="none"/>
        </w:rPr>
      </w:pPr>
      <w:r>
        <w:rPr>
          <w:color w:val="auto"/>
          <w:highlight w:val="none"/>
        </w:rPr>
        <w:t>2.</w:t>
      </w:r>
      <w:r>
        <w:rPr>
          <w:rFonts w:hint="eastAsia"/>
          <w:color w:val="auto"/>
          <w:highlight w:val="none"/>
        </w:rPr>
        <w:t>施工样板通过业主、使用单位、设计、监理验收后，作为后续施工标准。施工质量达不到施工样板要求，承包人应进行整改。</w:t>
      </w:r>
    </w:p>
    <w:p>
      <w:pPr>
        <w:pStyle w:val="119"/>
        <w:rPr>
          <w:color w:val="auto"/>
          <w:highlight w:val="none"/>
        </w:rPr>
      </w:pPr>
      <w:r>
        <w:rPr>
          <w:color w:val="auto"/>
          <w:highlight w:val="none"/>
        </w:rPr>
        <w:t xml:space="preserve">3.6.2.4 </w:t>
      </w:r>
      <w:r>
        <w:rPr>
          <w:rFonts w:hint="eastAsia"/>
          <w:color w:val="auto"/>
          <w:highlight w:val="none"/>
        </w:rPr>
        <w:t>施工误差</w:t>
      </w:r>
    </w:p>
    <w:p>
      <w:pPr>
        <w:pStyle w:val="217"/>
        <w:rPr>
          <w:color w:val="auto"/>
          <w:highlight w:val="none"/>
        </w:rPr>
      </w:pPr>
      <w:r>
        <w:rPr>
          <w:color w:val="auto"/>
          <w:highlight w:val="none"/>
        </w:rPr>
        <w:t>1.</w:t>
      </w:r>
      <w:r>
        <w:rPr>
          <w:rFonts w:hint="eastAsia"/>
          <w:color w:val="auto"/>
          <w:highlight w:val="none"/>
        </w:rPr>
        <w:t>构件安装准确性</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）直线度：</w:t>
      </w:r>
      <w:r>
        <w:rPr>
          <w:color w:val="auto"/>
          <w:highlight w:val="none"/>
        </w:rPr>
        <w:t>±2 mm</w:t>
      </w:r>
      <w:r>
        <w:rPr>
          <w:rFonts w:hint="eastAsia"/>
          <w:color w:val="auto"/>
          <w:highlight w:val="none"/>
        </w:rPr>
        <w:t>，在任一楼层高度，或一个结构单元宽度。</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）水平度：</w:t>
      </w:r>
      <w:r>
        <w:rPr>
          <w:color w:val="auto"/>
          <w:highlight w:val="none"/>
        </w:rPr>
        <w:t>±2 mm</w:t>
      </w:r>
      <w:r>
        <w:rPr>
          <w:rFonts w:hint="eastAsia"/>
          <w:color w:val="auto"/>
          <w:highlight w:val="none"/>
        </w:rPr>
        <w:t>，在一个结构单元宽度。</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）垂直度：</w:t>
      </w:r>
      <w:r>
        <w:rPr>
          <w:color w:val="auto"/>
          <w:highlight w:val="none"/>
        </w:rPr>
        <w:t>±2 mm</w:t>
      </w:r>
      <w:r>
        <w:rPr>
          <w:rFonts w:hint="eastAsia"/>
          <w:color w:val="auto"/>
          <w:highlight w:val="none"/>
        </w:rPr>
        <w:t>，在任一楼层高度。</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）平整度：</w:t>
      </w:r>
      <w:r>
        <w:rPr>
          <w:color w:val="auto"/>
          <w:highlight w:val="none"/>
        </w:rPr>
        <w:t>±2 mm</w:t>
      </w:r>
      <w:r>
        <w:rPr>
          <w:rFonts w:hint="eastAsia"/>
          <w:color w:val="auto"/>
          <w:highlight w:val="none"/>
        </w:rPr>
        <w:t>，在任一楼层高度，或一个结构单元宽度。</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）接缝：</w:t>
      </w:r>
      <w:r>
        <w:rPr>
          <w:color w:val="auto"/>
          <w:highlight w:val="none"/>
        </w:rPr>
        <w:t>±2mm</w:t>
      </w:r>
      <w:r>
        <w:rPr>
          <w:rFonts w:hint="eastAsia"/>
          <w:color w:val="auto"/>
          <w:highlight w:val="none"/>
        </w:rPr>
        <w:t>，两块相邻板材之间任何方向的对齐。</w:t>
      </w:r>
    </w:p>
    <w:p>
      <w:pPr>
        <w:pStyle w:val="217"/>
        <w:rPr>
          <w:color w:val="auto"/>
          <w:highlight w:val="none"/>
        </w:rPr>
      </w:pPr>
      <w:r>
        <w:rPr>
          <w:color w:val="auto"/>
          <w:highlight w:val="none"/>
        </w:rPr>
        <w:t>2.</w:t>
      </w:r>
      <w:r>
        <w:rPr>
          <w:rFonts w:hint="eastAsia"/>
          <w:color w:val="auto"/>
          <w:highlight w:val="none"/>
        </w:rPr>
        <w:t>构件连接准确性</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）在任何节点的长度之内（包括与其它构件的接缝部分），最宽处与最窄处相差不应超过</w:t>
      </w:r>
      <w:r>
        <w:rPr>
          <w:color w:val="auto"/>
          <w:highlight w:val="none"/>
        </w:rPr>
        <w:t>10</w:t>
      </w:r>
      <w:r>
        <w:rPr>
          <w:rFonts w:hint="eastAsia"/>
          <w:color w:val="auto"/>
          <w:highlight w:val="none"/>
        </w:rPr>
        <w:t>％。相差应均匀分布，不应有突然变化。</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）横交节点同一方向在节点两端的平行错位不超过节点宽度的</w:t>
      </w:r>
      <w:r>
        <w:rPr>
          <w:color w:val="auto"/>
          <w:highlight w:val="none"/>
        </w:rPr>
        <w:t>10</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）相邻板块之间的平行错位不超过接缝宽度的</w:t>
      </w:r>
      <w:r>
        <w:rPr>
          <w:color w:val="auto"/>
          <w:highlight w:val="none"/>
        </w:rPr>
        <w:t>10</w:t>
      </w:r>
      <w:r>
        <w:rPr>
          <w:rFonts w:hint="eastAsia"/>
          <w:color w:val="auto"/>
          <w:highlight w:val="none"/>
        </w:rPr>
        <w:t>％或</w:t>
      </w:r>
      <w:r>
        <w:rPr>
          <w:color w:val="auto"/>
          <w:highlight w:val="none"/>
        </w:rPr>
        <w:t>1.5mm</w:t>
      </w:r>
      <w:r>
        <w:rPr>
          <w:rFonts w:hint="eastAsia"/>
          <w:color w:val="auto"/>
          <w:highlight w:val="none"/>
        </w:rPr>
        <w:t>，以较小数据为准。</w:t>
      </w:r>
    </w:p>
    <w:p>
      <w:pPr>
        <w:pStyle w:val="217"/>
        <w:rPr>
          <w:color w:val="auto"/>
          <w:highlight w:val="none"/>
        </w:rPr>
      </w:pPr>
      <w:r>
        <w:rPr>
          <w:color w:val="auto"/>
          <w:highlight w:val="none"/>
        </w:rPr>
        <w:t>3.</w:t>
      </w:r>
      <w:r>
        <w:rPr>
          <w:rFonts w:hint="eastAsia"/>
          <w:color w:val="auto"/>
          <w:highlight w:val="none"/>
        </w:rPr>
        <w:t>主体结构施工误差</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）承包人应审核合同文件，预估主体结构的施工误差，在固定件设计和安装中应考虑这些误差，保证幕墙工程完成后的误差值符合本技术要求规定。</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）安装工作开始前承包人应对主体结构施工情况、支架与主体结构连接点详图进行核查，若有误差超过招标规定数值，承包人应告知业主，并协调补救工作，预留充分的补救时间以不耽误工程进度。</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）承包人在对施工外部环境进行考察后，若需要更多误差方面资料，应自行获取。</w:t>
      </w:r>
    </w:p>
    <w:p>
      <w:pPr>
        <w:pStyle w:val="119"/>
        <w:rPr>
          <w:color w:val="auto"/>
          <w:highlight w:val="none"/>
        </w:rPr>
      </w:pPr>
      <w:r>
        <w:rPr>
          <w:color w:val="auto"/>
          <w:highlight w:val="none"/>
        </w:rPr>
        <w:t xml:space="preserve">3.6.2.5 </w:t>
      </w:r>
      <w:r>
        <w:rPr>
          <w:rFonts w:hint="eastAsia"/>
          <w:color w:val="auto"/>
          <w:highlight w:val="none"/>
        </w:rPr>
        <w:t>预埋件</w:t>
      </w:r>
    </w:p>
    <w:p>
      <w:pPr>
        <w:pStyle w:val="217"/>
        <w:rPr>
          <w:color w:val="auto"/>
          <w:highlight w:val="none"/>
        </w:rPr>
      </w:pPr>
      <w:r>
        <w:rPr>
          <w:color w:val="auto"/>
          <w:highlight w:val="none"/>
        </w:rPr>
        <w:t>1.</w:t>
      </w:r>
      <w:r>
        <w:rPr>
          <w:rFonts w:hint="eastAsia"/>
          <w:color w:val="auto"/>
          <w:highlight w:val="none"/>
        </w:rPr>
        <w:t>分包单位应确保预埋件的位置准确。位置错误或遗漏造成的开支由承包人承担。</w:t>
      </w:r>
    </w:p>
    <w:p>
      <w:pPr>
        <w:pStyle w:val="217"/>
        <w:rPr>
          <w:color w:val="auto"/>
          <w:highlight w:val="none"/>
        </w:rPr>
      </w:pPr>
      <w:r>
        <w:rPr>
          <w:color w:val="auto"/>
          <w:highlight w:val="none"/>
        </w:rPr>
        <w:t>2.</w:t>
      </w:r>
      <w:r>
        <w:rPr>
          <w:rFonts w:hint="eastAsia"/>
          <w:color w:val="auto"/>
          <w:highlight w:val="none"/>
        </w:rPr>
        <w:t>提供设计证明预埋件具有足够的强度及预埋长度，避免混凝土产生应力集中情况。</w:t>
      </w:r>
    </w:p>
    <w:p>
      <w:pPr>
        <w:pStyle w:val="217"/>
        <w:rPr>
          <w:color w:val="auto"/>
          <w:highlight w:val="none"/>
        </w:rPr>
      </w:pPr>
      <w:r>
        <w:rPr>
          <w:color w:val="auto"/>
          <w:highlight w:val="none"/>
        </w:rPr>
        <w:t>3.</w:t>
      </w:r>
      <w:r>
        <w:rPr>
          <w:rFonts w:hint="eastAsia"/>
          <w:color w:val="auto"/>
          <w:highlight w:val="none"/>
        </w:rPr>
        <w:t>应提供措施避免预埋件与楼板内钢筋、钢板等发生矛盾。</w:t>
      </w:r>
    </w:p>
    <w:p>
      <w:pPr>
        <w:pStyle w:val="217"/>
        <w:rPr>
          <w:color w:val="auto"/>
          <w:highlight w:val="none"/>
        </w:rPr>
      </w:pPr>
      <w:r>
        <w:rPr>
          <w:color w:val="auto"/>
          <w:highlight w:val="none"/>
        </w:rPr>
        <w:t>4.</w:t>
      </w:r>
      <w:r>
        <w:rPr>
          <w:rFonts w:hint="eastAsia"/>
          <w:color w:val="auto"/>
          <w:highlight w:val="none"/>
        </w:rPr>
        <w:t>应防止混凝土、砂浆进入预埋件的凹槽或开口。</w:t>
      </w:r>
    </w:p>
    <w:p>
      <w:pPr>
        <w:pStyle w:val="217"/>
        <w:rPr>
          <w:color w:val="auto"/>
          <w:highlight w:val="none"/>
        </w:rPr>
      </w:pPr>
      <w:r>
        <w:rPr>
          <w:color w:val="auto"/>
          <w:highlight w:val="none"/>
        </w:rPr>
        <w:t>5.</w:t>
      </w:r>
      <w:r>
        <w:rPr>
          <w:rFonts w:hint="eastAsia"/>
          <w:color w:val="auto"/>
          <w:highlight w:val="none"/>
        </w:rPr>
        <w:t>现浇预埋件与正确位置的最大偏差应为</w:t>
      </w:r>
      <w:r>
        <w:rPr>
          <w:color w:val="auto"/>
          <w:highlight w:val="none"/>
        </w:rPr>
        <w:t>±15mm</w:t>
      </w:r>
      <w:r>
        <w:rPr>
          <w:rFonts w:hint="eastAsia"/>
          <w:color w:val="auto"/>
          <w:highlight w:val="none"/>
        </w:rPr>
        <w:t>，槽式预埋件与混凝土边缘最小距离为</w:t>
      </w:r>
      <w:r>
        <w:rPr>
          <w:color w:val="auto"/>
          <w:highlight w:val="none"/>
        </w:rPr>
        <w:t>100mm</w:t>
      </w:r>
      <w:r>
        <w:rPr>
          <w:rFonts w:hint="eastAsia"/>
          <w:color w:val="auto"/>
          <w:highlight w:val="none"/>
        </w:rPr>
        <w:t>。</w:t>
      </w:r>
    </w:p>
    <w:p>
      <w:pPr>
        <w:pStyle w:val="217"/>
        <w:rPr>
          <w:color w:val="auto"/>
          <w:highlight w:val="none"/>
        </w:rPr>
      </w:pPr>
      <w:r>
        <w:rPr>
          <w:color w:val="auto"/>
          <w:highlight w:val="none"/>
        </w:rPr>
        <w:t>6.</w:t>
      </w:r>
      <w:r>
        <w:rPr>
          <w:rFonts w:hint="eastAsia"/>
          <w:color w:val="auto"/>
          <w:highlight w:val="none"/>
        </w:rPr>
        <w:t>浇注混凝土后，承包人应对预埋件的确切位置再次进行确认。一旦有任何差异或错误，应立即向业主汇报，并应呈交补救方案。</w:t>
      </w:r>
    </w:p>
    <w:p>
      <w:pPr>
        <w:pStyle w:val="217"/>
        <w:rPr>
          <w:color w:val="auto"/>
          <w:highlight w:val="none"/>
        </w:rPr>
      </w:pPr>
      <w:r>
        <w:rPr>
          <w:color w:val="auto"/>
          <w:highlight w:val="none"/>
        </w:rPr>
        <w:t>7.</w:t>
      </w:r>
      <w:r>
        <w:rPr>
          <w:rFonts w:hint="eastAsia"/>
          <w:color w:val="auto"/>
          <w:highlight w:val="none"/>
        </w:rPr>
        <w:t>如有必要对预埋件进行修正，承包人应准备及送审埋件修正方案，在施工前通过业主、顾问的审核。</w:t>
      </w:r>
    </w:p>
    <w:p>
      <w:pPr>
        <w:pStyle w:val="217"/>
        <w:rPr>
          <w:color w:val="auto"/>
          <w:highlight w:val="none"/>
        </w:rPr>
      </w:pPr>
      <w:r>
        <w:rPr>
          <w:color w:val="auto"/>
          <w:highlight w:val="none"/>
        </w:rPr>
        <w:t>8.</w:t>
      </w:r>
      <w:r>
        <w:rPr>
          <w:rFonts w:hint="eastAsia"/>
          <w:color w:val="auto"/>
          <w:highlight w:val="none"/>
        </w:rPr>
        <w:t>所有修正的埋件都应进行测试，根据埋件制造商提供的安全工作荷载的</w:t>
      </w:r>
      <w:r>
        <w:rPr>
          <w:color w:val="auto"/>
          <w:highlight w:val="none"/>
        </w:rPr>
        <w:t>1.5</w:t>
      </w:r>
      <w:r>
        <w:rPr>
          <w:rFonts w:hint="eastAsia"/>
          <w:color w:val="auto"/>
          <w:highlight w:val="none"/>
        </w:rPr>
        <w:t>倍进行。</w:t>
      </w:r>
    </w:p>
    <w:p>
      <w:pPr>
        <w:pStyle w:val="119"/>
        <w:rPr>
          <w:color w:val="auto"/>
          <w:highlight w:val="none"/>
        </w:rPr>
      </w:pPr>
      <w:r>
        <w:rPr>
          <w:color w:val="auto"/>
          <w:highlight w:val="none"/>
        </w:rPr>
        <w:t xml:space="preserve">3.6.2.6 </w:t>
      </w:r>
      <w:r>
        <w:rPr>
          <w:rFonts w:hint="eastAsia"/>
          <w:color w:val="auto"/>
          <w:highlight w:val="none"/>
        </w:rPr>
        <w:t>固定件</w:t>
      </w:r>
    </w:p>
    <w:p>
      <w:pPr>
        <w:pStyle w:val="217"/>
        <w:rPr>
          <w:color w:val="auto"/>
          <w:highlight w:val="none"/>
        </w:rPr>
      </w:pPr>
      <w:r>
        <w:rPr>
          <w:color w:val="auto"/>
          <w:highlight w:val="none"/>
        </w:rPr>
        <w:t>1.</w:t>
      </w:r>
      <w:r>
        <w:rPr>
          <w:rFonts w:hint="eastAsia"/>
          <w:color w:val="auto"/>
          <w:highlight w:val="none"/>
        </w:rPr>
        <w:t>固定件的安装应按照制造商的要求进行，安装前应提交固定件制造商开具的证明材料。</w:t>
      </w:r>
    </w:p>
    <w:p>
      <w:pPr>
        <w:pStyle w:val="217"/>
        <w:rPr>
          <w:color w:val="auto"/>
          <w:highlight w:val="none"/>
        </w:rPr>
      </w:pPr>
      <w:r>
        <w:rPr>
          <w:color w:val="auto"/>
          <w:highlight w:val="none"/>
        </w:rPr>
        <w:t>2.</w:t>
      </w:r>
      <w:r>
        <w:rPr>
          <w:rFonts w:hint="eastAsia"/>
          <w:color w:val="auto"/>
          <w:highlight w:val="none"/>
        </w:rPr>
        <w:t>需要时应先进行现场测试。</w:t>
      </w:r>
    </w:p>
    <w:p>
      <w:pPr>
        <w:pStyle w:val="217"/>
        <w:rPr>
          <w:color w:val="auto"/>
          <w:highlight w:val="none"/>
        </w:rPr>
      </w:pPr>
      <w:r>
        <w:rPr>
          <w:color w:val="auto"/>
          <w:highlight w:val="none"/>
        </w:rPr>
        <w:t>3.</w:t>
      </w:r>
      <w:r>
        <w:rPr>
          <w:rFonts w:hint="eastAsia"/>
          <w:color w:val="auto"/>
          <w:highlight w:val="none"/>
        </w:rPr>
        <w:t>连接主体结构的主要固定件应检查和记录下列细节：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）尺寸及位置</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）预埋件，间距及边距</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）扭力等级</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）锁定垫圈或螺母及隔离材料</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）相似金属间及铝材与胶结材料间的隔绝</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）是否经过测试，若经过测试，提供测试结果</w:t>
      </w:r>
    </w:p>
    <w:p>
      <w:pPr>
        <w:pStyle w:val="217"/>
        <w:rPr>
          <w:color w:val="auto"/>
          <w:highlight w:val="none"/>
        </w:rPr>
      </w:pPr>
      <w:r>
        <w:rPr>
          <w:rFonts w:hint="eastAsia"/>
          <w:color w:val="auto"/>
          <w:highlight w:val="none"/>
        </w:rPr>
        <w:t>（</w:t>
      </w:r>
      <w:r>
        <w:rPr>
          <w:color w:val="auto"/>
          <w:highlight w:val="none"/>
        </w:rPr>
        <w:t>7</w:t>
      </w:r>
      <w:r>
        <w:rPr>
          <w:rFonts w:hint="eastAsia"/>
          <w:color w:val="auto"/>
          <w:highlight w:val="none"/>
        </w:rPr>
        <w:t>）对于所有螺栓装配，螺栓</w:t>
      </w:r>
      <w:r>
        <w:rPr>
          <w:color w:val="auto"/>
          <w:highlight w:val="none"/>
        </w:rPr>
        <w:t>/</w:t>
      </w:r>
      <w:r>
        <w:rPr>
          <w:rFonts w:hint="eastAsia"/>
          <w:color w:val="auto"/>
          <w:highlight w:val="none"/>
        </w:rPr>
        <w:t>螺母</w:t>
      </w:r>
      <w:r>
        <w:rPr>
          <w:color w:val="auto"/>
          <w:highlight w:val="none"/>
        </w:rPr>
        <w:t>/</w:t>
      </w:r>
      <w:r>
        <w:rPr>
          <w:rFonts w:hint="eastAsia"/>
          <w:color w:val="auto"/>
          <w:highlight w:val="none"/>
        </w:rPr>
        <w:t>垫圈的组合强度级别应按预先规定或相关标准。</w:t>
      </w:r>
    </w:p>
    <w:p>
      <w:pPr>
        <w:pStyle w:val="217"/>
        <w:rPr>
          <w:color w:val="auto"/>
          <w:highlight w:val="none"/>
        </w:rPr>
      </w:pPr>
      <w:r>
        <w:rPr>
          <w:rFonts w:hint="eastAsia"/>
          <w:color w:val="auto"/>
          <w:highlight w:val="none"/>
        </w:rPr>
        <w:t>（</w:t>
      </w:r>
      <w:r>
        <w:rPr>
          <w:color w:val="auto"/>
          <w:highlight w:val="none"/>
        </w:rPr>
        <w:t>8</w:t>
      </w:r>
      <w:r>
        <w:rPr>
          <w:rFonts w:hint="eastAsia"/>
          <w:color w:val="auto"/>
          <w:highlight w:val="none"/>
        </w:rPr>
        <w:t>）螺栓长度应达到螺母上紧之后上面还有三条螺旋线，并且螺母及没有螺旋线的螺栓部分之间应清楚地看到三条螺旋线加上旋出的螺旋线。</w:t>
      </w:r>
    </w:p>
    <w:p>
      <w:pPr>
        <w:pStyle w:val="217"/>
        <w:rPr>
          <w:color w:val="auto"/>
          <w:highlight w:val="none"/>
        </w:rPr>
      </w:pPr>
      <w:r>
        <w:rPr>
          <w:rFonts w:hint="eastAsia"/>
          <w:color w:val="auto"/>
          <w:highlight w:val="none"/>
        </w:rPr>
        <w:t>（</w:t>
      </w:r>
      <w:r>
        <w:rPr>
          <w:color w:val="auto"/>
          <w:highlight w:val="none"/>
        </w:rPr>
        <w:t>9</w:t>
      </w:r>
      <w:r>
        <w:rPr>
          <w:rFonts w:hint="eastAsia"/>
          <w:color w:val="auto"/>
          <w:highlight w:val="none"/>
        </w:rPr>
        <w:t>）进行现场钻孔，切割和打磨后所有表面应清理干净。</w:t>
      </w:r>
    </w:p>
    <w:p>
      <w:pPr>
        <w:pStyle w:val="217"/>
        <w:rPr>
          <w:color w:val="auto"/>
          <w:highlight w:val="none"/>
        </w:rPr>
      </w:pPr>
      <w:r>
        <w:rPr>
          <w:rFonts w:hint="eastAsia"/>
          <w:color w:val="auto"/>
          <w:highlight w:val="none"/>
        </w:rPr>
        <w:t>（</w:t>
      </w:r>
      <w:r>
        <w:rPr>
          <w:color w:val="auto"/>
          <w:highlight w:val="none"/>
        </w:rPr>
        <w:t>10</w:t>
      </w:r>
      <w:r>
        <w:rPr>
          <w:rFonts w:hint="eastAsia"/>
          <w:color w:val="auto"/>
          <w:highlight w:val="none"/>
        </w:rPr>
        <w:t>）所有现场焊接或现场加工、处理的不锈钢固定件应按照送审核准的程序进行钝化处理。</w:t>
      </w:r>
    </w:p>
    <w:p>
      <w:pPr>
        <w:pStyle w:val="119"/>
        <w:rPr>
          <w:color w:val="auto"/>
          <w:highlight w:val="none"/>
        </w:rPr>
      </w:pPr>
      <w:r>
        <w:rPr>
          <w:color w:val="auto"/>
          <w:highlight w:val="none"/>
        </w:rPr>
        <w:t xml:space="preserve">3.6.2.7 </w:t>
      </w:r>
      <w:r>
        <w:rPr>
          <w:rFonts w:hint="eastAsia"/>
          <w:color w:val="auto"/>
          <w:highlight w:val="none"/>
        </w:rPr>
        <w:t>玻璃</w:t>
      </w:r>
    </w:p>
    <w:p>
      <w:pPr>
        <w:pStyle w:val="217"/>
        <w:rPr>
          <w:color w:val="auto"/>
          <w:highlight w:val="none"/>
        </w:rPr>
      </w:pPr>
      <w:r>
        <w:rPr>
          <w:color w:val="auto"/>
          <w:highlight w:val="none"/>
        </w:rPr>
        <w:t>1.</w:t>
      </w:r>
      <w:r>
        <w:rPr>
          <w:rFonts w:hint="eastAsia"/>
          <w:color w:val="auto"/>
          <w:highlight w:val="none"/>
        </w:rPr>
        <w:t>玻璃垫块及防滑动装置应按照相关的标准安装。</w:t>
      </w:r>
    </w:p>
    <w:p>
      <w:pPr>
        <w:pStyle w:val="217"/>
        <w:rPr>
          <w:color w:val="auto"/>
          <w:highlight w:val="none"/>
        </w:rPr>
      </w:pPr>
      <w:r>
        <w:rPr>
          <w:color w:val="auto"/>
          <w:highlight w:val="none"/>
        </w:rPr>
        <w:t>2.</w:t>
      </w:r>
      <w:r>
        <w:rPr>
          <w:rFonts w:hint="eastAsia"/>
          <w:color w:val="auto"/>
          <w:highlight w:val="none"/>
        </w:rPr>
        <w:t>距离没有防护措施的玻璃</w:t>
      </w:r>
      <w:r>
        <w:rPr>
          <w:color w:val="auto"/>
          <w:highlight w:val="none"/>
        </w:rPr>
        <w:t>10</w:t>
      </w:r>
      <w:r>
        <w:rPr>
          <w:rFonts w:hint="eastAsia"/>
          <w:color w:val="auto"/>
          <w:highlight w:val="none"/>
        </w:rPr>
        <w:t>米之内不得进行打磨或焊接工作。</w:t>
      </w:r>
    </w:p>
    <w:p>
      <w:pPr>
        <w:pStyle w:val="217"/>
        <w:rPr>
          <w:color w:val="auto"/>
          <w:highlight w:val="none"/>
        </w:rPr>
      </w:pPr>
      <w:r>
        <w:rPr>
          <w:color w:val="auto"/>
          <w:highlight w:val="none"/>
        </w:rPr>
        <w:t>3.</w:t>
      </w:r>
      <w:r>
        <w:rPr>
          <w:rFonts w:hint="eastAsia"/>
          <w:color w:val="auto"/>
          <w:highlight w:val="none"/>
        </w:rPr>
        <w:t>完工后的玻璃幕墙，从任何角度观察都应满足下列要求：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）对于外观标准为近距离观察的区域，从</w:t>
      </w:r>
      <w:r>
        <w:rPr>
          <w:color w:val="auto"/>
          <w:highlight w:val="none"/>
        </w:rPr>
        <w:t>300mm</w:t>
      </w:r>
      <w:r>
        <w:rPr>
          <w:rFonts w:hint="eastAsia"/>
          <w:color w:val="auto"/>
          <w:highlight w:val="none"/>
        </w:rPr>
        <w:t>距离可视的划痕及印痕是不可接受的。</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）对于外观标准为远距离观察的区域，从</w:t>
      </w:r>
      <w:r>
        <w:rPr>
          <w:color w:val="auto"/>
          <w:highlight w:val="none"/>
        </w:rPr>
        <w:t>3000mm</w:t>
      </w:r>
      <w:r>
        <w:rPr>
          <w:rFonts w:hint="eastAsia"/>
          <w:color w:val="auto"/>
          <w:highlight w:val="none"/>
        </w:rPr>
        <w:t>距离可视的划痕及印痕是不可接受的。</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）对于外观标准为近距离观察的区域，超过</w:t>
      </w:r>
      <w:r>
        <w:rPr>
          <w:color w:val="auto"/>
          <w:highlight w:val="none"/>
        </w:rPr>
        <w:t>1mm</w:t>
      </w:r>
      <w:r>
        <w:rPr>
          <w:rFonts w:hint="eastAsia"/>
          <w:color w:val="auto"/>
          <w:highlight w:val="none"/>
        </w:rPr>
        <w:t>的气泡或杂质是不可接受的。</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）对于外观标准为近距离观察的区域，</w:t>
      </w:r>
      <w:r>
        <w:rPr>
          <w:color w:val="auto"/>
          <w:highlight w:val="none"/>
        </w:rPr>
        <w:t>300mm</w:t>
      </w:r>
      <w:r>
        <w:rPr>
          <w:rFonts w:hint="eastAsia"/>
          <w:color w:val="auto"/>
          <w:highlight w:val="none"/>
        </w:rPr>
        <w:t>之内两个或以上气泡或杂质是不可接受的。</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）从距离玻璃表面</w:t>
      </w:r>
      <w:r>
        <w:rPr>
          <w:color w:val="auto"/>
          <w:highlight w:val="none"/>
        </w:rPr>
        <w:t>3</w:t>
      </w:r>
      <w:r>
        <w:rPr>
          <w:rFonts w:hint="eastAsia"/>
          <w:color w:val="auto"/>
          <w:highlight w:val="none"/>
        </w:rPr>
        <w:t>米垂直观察时及从一定位置在玻璃的垂直线周围</w:t>
      </w:r>
      <w:r>
        <w:rPr>
          <w:color w:val="auto"/>
          <w:highlight w:val="none"/>
        </w:rPr>
        <w:t>60o</w:t>
      </w:r>
      <w:r>
        <w:rPr>
          <w:rFonts w:hint="eastAsia"/>
          <w:color w:val="auto"/>
          <w:highlight w:val="none"/>
        </w:rPr>
        <w:t>观察时不应可见印痕、拉痕、斑点等。</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）建筑师有绝对权利要求承包人更换任何建筑师从专业角度认为不合标准的玻璃，承包人不得因此要求延长时间或增加成本。</w:t>
      </w:r>
    </w:p>
    <w:p>
      <w:pPr>
        <w:pStyle w:val="119"/>
        <w:rPr>
          <w:color w:val="auto"/>
          <w:highlight w:val="none"/>
        </w:rPr>
      </w:pPr>
      <w:r>
        <w:rPr>
          <w:color w:val="auto"/>
          <w:highlight w:val="none"/>
        </w:rPr>
        <w:t xml:space="preserve">3.6.2.8 </w:t>
      </w:r>
      <w:r>
        <w:rPr>
          <w:rFonts w:hint="eastAsia"/>
          <w:color w:val="auto"/>
          <w:highlight w:val="none"/>
        </w:rPr>
        <w:t>铝板</w:t>
      </w:r>
    </w:p>
    <w:p>
      <w:pPr>
        <w:pStyle w:val="217"/>
        <w:rPr>
          <w:color w:val="auto"/>
          <w:highlight w:val="none"/>
        </w:rPr>
      </w:pPr>
      <w:r>
        <w:rPr>
          <w:color w:val="auto"/>
          <w:highlight w:val="none"/>
        </w:rPr>
        <w:t>1.</w:t>
      </w:r>
      <w:r>
        <w:rPr>
          <w:rFonts w:hint="eastAsia"/>
          <w:color w:val="auto"/>
          <w:highlight w:val="none"/>
        </w:rPr>
        <w:t>铝板平整度不大于</w:t>
      </w:r>
      <w:r>
        <w:rPr>
          <w:color w:val="auto"/>
          <w:highlight w:val="none"/>
        </w:rPr>
        <w:t>0.1%</w:t>
      </w:r>
      <w:r>
        <w:rPr>
          <w:rFonts w:hint="eastAsia"/>
          <w:color w:val="auto"/>
          <w:highlight w:val="none"/>
        </w:rPr>
        <w:t>，如边长小于</w:t>
      </w:r>
      <w:r>
        <w:rPr>
          <w:color w:val="auto"/>
          <w:highlight w:val="none"/>
        </w:rPr>
        <w:t>1.5 m</w:t>
      </w:r>
      <w:r>
        <w:rPr>
          <w:rFonts w:hint="eastAsia"/>
          <w:color w:val="auto"/>
          <w:highlight w:val="none"/>
        </w:rPr>
        <w:t>，挠曲不超过</w:t>
      </w:r>
      <w:r>
        <w:rPr>
          <w:color w:val="auto"/>
          <w:highlight w:val="none"/>
        </w:rPr>
        <w:t>1.5mm</w:t>
      </w:r>
      <w:r>
        <w:rPr>
          <w:rFonts w:hint="eastAsia"/>
          <w:color w:val="auto"/>
          <w:highlight w:val="none"/>
        </w:rPr>
        <w:t>。</w:t>
      </w:r>
    </w:p>
    <w:p>
      <w:pPr>
        <w:pStyle w:val="217"/>
        <w:rPr>
          <w:color w:val="auto"/>
          <w:highlight w:val="none"/>
        </w:rPr>
      </w:pPr>
      <w:r>
        <w:rPr>
          <w:color w:val="auto"/>
          <w:highlight w:val="none"/>
        </w:rPr>
        <w:t>2.</w:t>
      </w:r>
      <w:r>
        <w:rPr>
          <w:rFonts w:hint="eastAsia"/>
          <w:color w:val="auto"/>
          <w:highlight w:val="none"/>
        </w:rPr>
        <w:t>同一颜色铝板不应出现肉眼可以察觉的色差，否则承包人无条件进行更换，由此产生的时间、金钱损失全由分包单位承担。</w:t>
      </w:r>
    </w:p>
    <w:p>
      <w:pPr>
        <w:pStyle w:val="119"/>
        <w:rPr>
          <w:color w:val="auto"/>
          <w:highlight w:val="none"/>
        </w:rPr>
      </w:pPr>
      <w:r>
        <w:rPr>
          <w:color w:val="auto"/>
          <w:highlight w:val="none"/>
        </w:rPr>
        <w:t xml:space="preserve">3.6.2.9 </w:t>
      </w:r>
      <w:r>
        <w:rPr>
          <w:rFonts w:hint="eastAsia"/>
          <w:color w:val="auto"/>
          <w:highlight w:val="none"/>
        </w:rPr>
        <w:t>石材</w:t>
      </w:r>
    </w:p>
    <w:p>
      <w:pPr>
        <w:pStyle w:val="217"/>
        <w:rPr>
          <w:color w:val="auto"/>
          <w:highlight w:val="none"/>
        </w:rPr>
      </w:pPr>
      <w:r>
        <w:rPr>
          <w:color w:val="auto"/>
          <w:highlight w:val="none"/>
        </w:rPr>
        <w:t>1.</w:t>
      </w:r>
      <w:r>
        <w:rPr>
          <w:rFonts w:hint="eastAsia"/>
          <w:color w:val="auto"/>
          <w:highlight w:val="none"/>
        </w:rPr>
        <w:t>合同关系</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）承包人合同费用已包含石材加工（包括但不限于面饰处理、磨边、倒角、背栓开孔、六面防护），以及背栓的采购、安装。</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）石材制造商仅与承包人发生合同关系，承包人应对石材制造商的材料、加工、运输进行全面管理，并让石材制造商协助进行深化设计、现场安装。</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）承包人投标报价应包含加工、运输、安装过程的损耗。</w:t>
      </w:r>
    </w:p>
    <w:p>
      <w:pPr>
        <w:pStyle w:val="217"/>
        <w:rPr>
          <w:color w:val="auto"/>
          <w:highlight w:val="none"/>
        </w:rPr>
      </w:pPr>
      <w:r>
        <w:rPr>
          <w:color w:val="auto"/>
          <w:highlight w:val="none"/>
        </w:rPr>
        <w:t>2.</w:t>
      </w:r>
      <w:r>
        <w:rPr>
          <w:rFonts w:hint="eastAsia"/>
          <w:color w:val="auto"/>
          <w:highlight w:val="none"/>
        </w:rPr>
        <w:t>性能参数</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）密度：≥</w:t>
      </w:r>
      <w:r>
        <w:rPr>
          <w:color w:val="auto"/>
          <w:highlight w:val="none"/>
        </w:rPr>
        <w:t>2560 kg/m</w:t>
      </w:r>
      <w:r>
        <w:rPr>
          <w:rFonts w:hint="eastAsia"/>
          <w:color w:val="auto"/>
          <w:highlight w:val="none"/>
        </w:rPr>
        <w:t>³</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）吸水性：＜</w:t>
      </w:r>
      <w:r>
        <w:rPr>
          <w:color w:val="auto"/>
          <w:highlight w:val="none"/>
        </w:rPr>
        <w:t>0.6%</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）弯曲强度：≥</w:t>
      </w:r>
      <w:r>
        <w:rPr>
          <w:color w:val="auto"/>
          <w:highlight w:val="none"/>
        </w:rPr>
        <w:t>8 MPa</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）抗压强度：≥</w:t>
      </w:r>
      <w:r>
        <w:rPr>
          <w:color w:val="auto"/>
          <w:highlight w:val="none"/>
        </w:rPr>
        <w:t>131 MPa</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）石材放射性核素限量：依据《建筑材料放射性核素限量》</w:t>
      </w:r>
      <w:r>
        <w:rPr>
          <w:color w:val="auto"/>
          <w:highlight w:val="none"/>
        </w:rPr>
        <w:t>(GB/T 6566-2001)</w:t>
      </w:r>
      <w:r>
        <w:rPr>
          <w:rFonts w:hint="eastAsia"/>
          <w:color w:val="auto"/>
          <w:highlight w:val="none"/>
        </w:rPr>
        <w:t>，提供“放射性检验结果”。</w:t>
      </w:r>
    </w:p>
    <w:p>
      <w:pPr>
        <w:pStyle w:val="217"/>
        <w:rPr>
          <w:color w:val="auto"/>
          <w:highlight w:val="none"/>
        </w:rPr>
      </w:pPr>
      <w:r>
        <w:rPr>
          <w:color w:val="auto"/>
          <w:highlight w:val="none"/>
        </w:rPr>
        <w:t>3.</w:t>
      </w:r>
      <w:r>
        <w:rPr>
          <w:rFonts w:hint="eastAsia"/>
          <w:color w:val="auto"/>
          <w:highlight w:val="none"/>
        </w:rPr>
        <w:t>补强</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）本工程石材最小板厚以设计图纸为准，对于非光面石材，考虑饰面处理，石材板厚应相应增加，强度计算按厚度增加前的板厚取值。</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）承包人应审核招标文件，如须增加板厚应在投标过程提出，否则定标后由于强度不足需要增加板厚或者进行加固，费用全由承包人承担。</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）石材强度不足须采取如下一项或几项措施：增加板厚，石材背面安装铝型材衬垫，除粘接外还应采用不锈钢锚栓连接。</w:t>
      </w:r>
    </w:p>
    <w:p>
      <w:pPr>
        <w:pStyle w:val="217"/>
        <w:rPr>
          <w:color w:val="auto"/>
          <w:highlight w:val="none"/>
        </w:rPr>
      </w:pPr>
      <w:r>
        <w:rPr>
          <w:color w:val="auto"/>
          <w:highlight w:val="none"/>
        </w:rPr>
        <w:t>4.</w:t>
      </w:r>
      <w:r>
        <w:rPr>
          <w:rFonts w:hint="eastAsia"/>
          <w:color w:val="auto"/>
          <w:highlight w:val="none"/>
        </w:rPr>
        <w:t>色差</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）承包人应提供石材样品，并在现场制作样板，经监理、业主确认其与投标样品的色泽、纹路、瑕眦相符，则可进行封样，作为石材进场和安装的验收依据。</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）石材幕墙安装前应在现场进行石材板块预排，保证安装后同一区域的色调一致。</w:t>
      </w:r>
    </w:p>
    <w:p>
      <w:pPr>
        <w:pStyle w:val="217"/>
        <w:rPr>
          <w:color w:val="auto"/>
          <w:highlight w:val="none"/>
        </w:rPr>
      </w:pPr>
      <w:r>
        <w:rPr>
          <w:color w:val="auto"/>
          <w:highlight w:val="none"/>
        </w:rPr>
        <w:t>5.</w:t>
      </w:r>
      <w:r>
        <w:rPr>
          <w:rFonts w:hint="eastAsia"/>
          <w:color w:val="auto"/>
          <w:highlight w:val="none"/>
        </w:rPr>
        <w:t>测试</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）承包人应提供独立的石材测试机构名称，由该机构进行石材面板和固定装置的测试并出报告。</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）如测试结果不符合本技术要求，承包人应在其它开采区域继续取样测试，并应保证新的样品与投标样品外观效果一致。</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）直到同时符合外观和技术要求的石料，测试后应保留所有测试样品，以便需要时进行进一步检查。</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）每种花岗岩应进行以下测试：</w:t>
      </w:r>
    </w:p>
    <w:p>
      <w:pPr>
        <w:pStyle w:val="217"/>
        <w:rPr>
          <w:color w:val="auto"/>
          <w:highlight w:val="none"/>
        </w:rPr>
      </w:pPr>
      <w:r>
        <w:rPr>
          <w:rFonts w:hint="eastAsia"/>
          <w:color w:val="auto"/>
          <w:highlight w:val="none"/>
        </w:rPr>
        <w:t>吸收性和密度应在三块石块上各取三块样品上进行，共计九块样品。</w:t>
      </w:r>
    </w:p>
    <w:p>
      <w:pPr>
        <w:pStyle w:val="217"/>
        <w:rPr>
          <w:color w:val="auto"/>
          <w:highlight w:val="none"/>
        </w:rPr>
      </w:pPr>
      <w:r>
        <w:rPr>
          <w:rFonts w:hint="eastAsia"/>
          <w:color w:val="auto"/>
          <w:highlight w:val="none"/>
        </w:rPr>
        <w:t>翘曲强度应在三块石块上各取六块样品上进行，即共十八块样品。</w:t>
      </w:r>
    </w:p>
    <w:p>
      <w:pPr>
        <w:pStyle w:val="217"/>
        <w:rPr>
          <w:color w:val="auto"/>
          <w:highlight w:val="none"/>
        </w:rPr>
      </w:pPr>
      <w:r>
        <w:rPr>
          <w:rFonts w:hint="eastAsia"/>
          <w:color w:val="auto"/>
          <w:highlight w:val="none"/>
        </w:rPr>
        <w:t>锚固测试应对潮湿石材的每种固定方式（槽式或背栓）都应测试。</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）测试报告应包含以下岩记学特性：</w:t>
      </w:r>
    </w:p>
    <w:p>
      <w:pPr>
        <w:pStyle w:val="217"/>
        <w:rPr>
          <w:color w:val="auto"/>
          <w:highlight w:val="none"/>
        </w:rPr>
      </w:pPr>
      <w:r>
        <w:rPr>
          <w:rFonts w:hint="eastAsia"/>
          <w:color w:val="auto"/>
          <w:highlight w:val="none"/>
        </w:rPr>
        <w:t>矿物学特性和微观结构（包括要素的体积百分比）。</w:t>
      </w:r>
    </w:p>
    <w:p>
      <w:pPr>
        <w:pStyle w:val="217"/>
        <w:rPr>
          <w:color w:val="auto"/>
          <w:highlight w:val="none"/>
        </w:rPr>
      </w:pPr>
      <w:r>
        <w:rPr>
          <w:rFonts w:hint="eastAsia"/>
          <w:color w:val="auto"/>
          <w:highlight w:val="none"/>
        </w:rPr>
        <w:t>裂缝和细纹走向和密度，及其与矿物学特性的关系。</w:t>
      </w:r>
    </w:p>
    <w:p>
      <w:pPr>
        <w:pStyle w:val="217"/>
        <w:rPr>
          <w:color w:val="auto"/>
          <w:highlight w:val="none"/>
        </w:rPr>
      </w:pPr>
      <w:r>
        <w:rPr>
          <w:rFonts w:hint="eastAsia"/>
          <w:color w:val="auto"/>
          <w:highlight w:val="none"/>
        </w:rPr>
        <w:t>风化程度及其可能对石材强度和耐久性的影响。</w:t>
      </w:r>
    </w:p>
    <w:p>
      <w:pPr>
        <w:pStyle w:val="217"/>
        <w:rPr>
          <w:color w:val="auto"/>
          <w:highlight w:val="none"/>
        </w:rPr>
      </w:pPr>
      <w:r>
        <w:rPr>
          <w:rFonts w:hint="eastAsia"/>
          <w:color w:val="auto"/>
          <w:highlight w:val="none"/>
        </w:rPr>
        <w:t>铁镁矿，特别是在外露时可能造成锈蚀斑点或其它表面瑕疵的成分。</w:t>
      </w:r>
    </w:p>
    <w:p>
      <w:pPr>
        <w:pStyle w:val="217"/>
        <w:rPr>
          <w:color w:val="auto"/>
          <w:highlight w:val="none"/>
        </w:rPr>
      </w:pPr>
      <w:r>
        <w:rPr>
          <w:rFonts w:hint="eastAsia"/>
          <w:color w:val="auto"/>
          <w:highlight w:val="none"/>
        </w:rPr>
        <w:t>含有的可能在长时期对石材性能（即强度和耐久性）发生影响的任何有害物质。</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）石材污染测试</w:t>
      </w:r>
    </w:p>
    <w:p>
      <w:pPr>
        <w:pStyle w:val="217"/>
        <w:rPr>
          <w:color w:val="auto"/>
          <w:highlight w:val="none"/>
        </w:rPr>
      </w:pPr>
      <w:r>
        <w:rPr>
          <w:rFonts w:hint="eastAsia"/>
          <w:color w:val="auto"/>
          <w:highlight w:val="none"/>
        </w:rPr>
        <w:t>岩石切成正确厚度并完成表面清洁后，在进行任何饰面处理前，每块岩石最外面可用的两个切片应作污染测试并检查裂纹和开口连接，以确定可用的石材面积。</w:t>
      </w:r>
    </w:p>
    <w:p>
      <w:pPr>
        <w:pStyle w:val="217"/>
        <w:rPr>
          <w:color w:val="auto"/>
          <w:highlight w:val="none"/>
        </w:rPr>
      </w:pPr>
      <w:r>
        <w:rPr>
          <w:rFonts w:hint="eastAsia"/>
          <w:color w:val="auto"/>
          <w:highlight w:val="none"/>
        </w:rPr>
        <w:t>切割完成并进行边缘处理后，应进行石材的彻底清洁，石材的前</w:t>
      </w:r>
      <w:r>
        <w:rPr>
          <w:color w:val="auto"/>
          <w:highlight w:val="none"/>
        </w:rPr>
        <w:t>5%</w:t>
      </w:r>
      <w:r>
        <w:rPr>
          <w:rFonts w:hint="eastAsia"/>
          <w:color w:val="auto"/>
          <w:highlight w:val="none"/>
        </w:rPr>
        <w:t>应作污染测试并检查缺陷。</w:t>
      </w:r>
    </w:p>
    <w:p>
      <w:pPr>
        <w:pStyle w:val="217"/>
        <w:rPr>
          <w:color w:val="auto"/>
          <w:highlight w:val="none"/>
        </w:rPr>
      </w:pPr>
      <w:r>
        <w:rPr>
          <w:color w:val="auto"/>
          <w:highlight w:val="none"/>
        </w:rPr>
        <w:t>Bqw2</w:t>
      </w:r>
      <w:r>
        <w:rPr>
          <w:rFonts w:hint="eastAsia"/>
          <w:color w:val="auto"/>
          <w:highlight w:val="none"/>
        </w:rPr>
        <w:t>应允许加湿石材并按</w:t>
      </w:r>
      <w:r>
        <w:rPr>
          <w:color w:val="auto"/>
          <w:highlight w:val="none"/>
        </w:rPr>
        <w:t>5%</w:t>
      </w:r>
      <w:r>
        <w:rPr>
          <w:rFonts w:hint="eastAsia"/>
          <w:color w:val="auto"/>
          <w:highlight w:val="none"/>
        </w:rPr>
        <w:t>比例随机抽取已安装石材进行污染测试。</w:t>
      </w:r>
    </w:p>
    <w:p>
      <w:pPr>
        <w:pStyle w:val="217"/>
        <w:rPr>
          <w:color w:val="auto"/>
          <w:highlight w:val="none"/>
        </w:rPr>
      </w:pPr>
      <w:r>
        <w:rPr>
          <w:rFonts w:hint="eastAsia"/>
          <w:color w:val="auto"/>
          <w:highlight w:val="none"/>
        </w:rPr>
        <w:t>（</w:t>
      </w:r>
      <w:r>
        <w:rPr>
          <w:color w:val="auto"/>
          <w:highlight w:val="none"/>
        </w:rPr>
        <w:t>7</w:t>
      </w:r>
      <w:r>
        <w:rPr>
          <w:rFonts w:hint="eastAsia"/>
          <w:color w:val="auto"/>
          <w:highlight w:val="none"/>
        </w:rPr>
        <w:t>）石材防辐射检测</w:t>
      </w:r>
    </w:p>
    <w:p>
      <w:pPr>
        <w:pStyle w:val="217"/>
        <w:rPr>
          <w:color w:val="auto"/>
          <w:highlight w:val="none"/>
        </w:rPr>
      </w:pPr>
      <w:r>
        <w:rPr>
          <w:rFonts w:hint="eastAsia"/>
          <w:color w:val="auto"/>
          <w:highlight w:val="none"/>
        </w:rPr>
        <w:t>按照行业标准《天然石材产品放射性防护分类控制标准》（</w:t>
      </w:r>
      <w:r>
        <w:rPr>
          <w:color w:val="auto"/>
          <w:highlight w:val="none"/>
        </w:rPr>
        <w:t>JC 518</w:t>
      </w:r>
      <w:r>
        <w:rPr>
          <w:rFonts w:hint="eastAsia"/>
          <w:color w:val="auto"/>
          <w:highlight w:val="none"/>
        </w:rPr>
        <w:t>）和《建筑材料放射性核素限量》</w:t>
      </w:r>
      <w:r>
        <w:rPr>
          <w:color w:val="auto"/>
          <w:highlight w:val="none"/>
        </w:rPr>
        <w:t>(GB/T 6566-2001)</w:t>
      </w:r>
      <w:r>
        <w:rPr>
          <w:rFonts w:hint="eastAsia"/>
          <w:color w:val="auto"/>
          <w:highlight w:val="none"/>
        </w:rPr>
        <w:t>，进行石材产品放射性检测，并提供由具有国家认可资质的检测单位提供的“放射性检验报告”。</w:t>
      </w:r>
    </w:p>
    <w:p>
      <w:pPr>
        <w:pStyle w:val="217"/>
        <w:rPr>
          <w:color w:val="auto"/>
          <w:highlight w:val="none"/>
        </w:rPr>
      </w:pPr>
      <w:r>
        <w:rPr>
          <w:rFonts w:hint="eastAsia"/>
          <w:color w:val="auto"/>
          <w:highlight w:val="none"/>
        </w:rPr>
        <w:t>对每组测试样品进行平均值计算，所有样品均应用于平均，除非任何样品的测试结果超过或低于平均值</w:t>
      </w:r>
      <w:r>
        <w:rPr>
          <w:color w:val="auto"/>
          <w:highlight w:val="none"/>
        </w:rPr>
        <w:t>20%</w:t>
      </w:r>
      <w:r>
        <w:rPr>
          <w:rFonts w:hint="eastAsia"/>
          <w:color w:val="auto"/>
          <w:highlight w:val="none"/>
        </w:rPr>
        <w:t>以上，此时应报告业主、顾问，商讨处理方式。如果湿样品与干样品的测试结果差异超过</w:t>
      </w:r>
      <w:r>
        <w:rPr>
          <w:color w:val="auto"/>
          <w:highlight w:val="none"/>
        </w:rPr>
        <w:t>10%</w:t>
      </w:r>
      <w:r>
        <w:rPr>
          <w:rFonts w:hint="eastAsia"/>
          <w:color w:val="auto"/>
          <w:highlight w:val="none"/>
        </w:rPr>
        <w:t>，应采用湿样板的测试结果。</w:t>
      </w:r>
    </w:p>
    <w:p>
      <w:pPr>
        <w:pStyle w:val="217"/>
        <w:rPr>
          <w:color w:val="auto"/>
          <w:highlight w:val="none"/>
        </w:rPr>
      </w:pPr>
      <w:r>
        <w:rPr>
          <w:color w:val="auto"/>
          <w:highlight w:val="none"/>
        </w:rPr>
        <w:t>6.</w:t>
      </w:r>
      <w:r>
        <w:rPr>
          <w:rFonts w:hint="eastAsia"/>
          <w:color w:val="auto"/>
          <w:highlight w:val="none"/>
        </w:rPr>
        <w:t>加工</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）所有石材板块应做六面防水。</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）石材不应与金属表面直接接触。</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）不允许环氧基直接接触石材。</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）不允许有隐藏的缺陷、裂纹、碎片及超出接受范围的缺陷，应采用可接受的面板更换，承包人承担由此产生的费用。</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）在未取得监理、业主同意之前，不允许对损坏板材进行任何修补。如果允许个别板材修补，应在入场前提交业主、监理审阅美观性。</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）不允许采用密封、酸洗、喷砂等措施而达到颜色一致性或最终清洁。</w:t>
      </w:r>
    </w:p>
    <w:p>
      <w:pPr>
        <w:pStyle w:val="217"/>
        <w:rPr>
          <w:color w:val="auto"/>
          <w:highlight w:val="none"/>
        </w:rPr>
      </w:pPr>
      <w:r>
        <w:rPr>
          <w:rFonts w:hint="eastAsia"/>
          <w:color w:val="auto"/>
          <w:highlight w:val="none"/>
        </w:rPr>
        <w:t>（</w:t>
      </w:r>
      <w:r>
        <w:rPr>
          <w:color w:val="auto"/>
          <w:highlight w:val="none"/>
        </w:rPr>
        <w:t>7</w:t>
      </w:r>
      <w:r>
        <w:rPr>
          <w:rFonts w:hint="eastAsia"/>
          <w:color w:val="auto"/>
          <w:highlight w:val="none"/>
        </w:rPr>
        <w:t>）加工误差：</w:t>
      </w:r>
    </w:p>
    <w:p>
      <w:pPr>
        <w:pStyle w:val="217"/>
        <w:rPr>
          <w:color w:val="auto"/>
          <w:highlight w:val="none"/>
        </w:rPr>
      </w:pPr>
      <w:r>
        <w:rPr>
          <w:rFonts w:hint="eastAsia"/>
          <w:color w:val="auto"/>
          <w:highlight w:val="none"/>
        </w:rPr>
        <w:t>厚度：</w:t>
      </w:r>
      <w:r>
        <w:rPr>
          <w:color w:val="auto"/>
          <w:highlight w:val="none"/>
        </w:rPr>
        <w:t>+2.0mm</w:t>
      </w:r>
      <w:r>
        <w:rPr>
          <w:rStyle w:val="52"/>
          <w:rFonts w:hint="eastAsia" w:ascii="Times New Roman" w:hAnsi="Times New Roman"/>
          <w:color w:val="auto"/>
          <w:highlight w:val="none"/>
        </w:rPr>
        <w:t>，</w:t>
      </w:r>
      <w:r>
        <w:rPr>
          <w:color w:val="auto"/>
          <w:highlight w:val="none"/>
        </w:rPr>
        <w:t>-0.0mm</w:t>
      </w:r>
    </w:p>
    <w:p>
      <w:pPr>
        <w:pStyle w:val="217"/>
        <w:rPr>
          <w:color w:val="auto"/>
          <w:highlight w:val="none"/>
        </w:rPr>
      </w:pPr>
      <w:r>
        <w:rPr>
          <w:rFonts w:hint="eastAsia"/>
          <w:color w:val="auto"/>
          <w:highlight w:val="none"/>
        </w:rPr>
        <w:t>高</w:t>
      </w:r>
      <w:r>
        <w:rPr>
          <w:color w:val="auto"/>
          <w:highlight w:val="none"/>
        </w:rPr>
        <w:t>/</w:t>
      </w:r>
      <w:r>
        <w:rPr>
          <w:rFonts w:hint="eastAsia"/>
          <w:color w:val="auto"/>
          <w:highlight w:val="none"/>
        </w:rPr>
        <w:t>宽：</w:t>
      </w:r>
      <w:r>
        <w:rPr>
          <w:color w:val="auto"/>
          <w:highlight w:val="none"/>
        </w:rPr>
        <w:t>+1.0/+2.0mm</w:t>
      </w:r>
    </w:p>
    <w:p>
      <w:pPr>
        <w:pStyle w:val="217"/>
        <w:rPr>
          <w:color w:val="auto"/>
          <w:highlight w:val="none"/>
        </w:rPr>
      </w:pPr>
      <w:r>
        <w:rPr>
          <w:rFonts w:hint="eastAsia"/>
          <w:color w:val="auto"/>
          <w:highlight w:val="none"/>
        </w:rPr>
        <w:t>方正性：</w:t>
      </w:r>
      <w:r>
        <w:rPr>
          <w:color w:val="auto"/>
          <w:highlight w:val="none"/>
        </w:rPr>
        <w:t>+2.0mm(</w:t>
      </w:r>
      <w:r>
        <w:rPr>
          <w:rFonts w:hint="eastAsia"/>
          <w:color w:val="auto"/>
          <w:highlight w:val="none"/>
        </w:rPr>
        <w:t>对角线</w:t>
      </w:r>
      <w:r>
        <w:rPr>
          <w:color w:val="auto"/>
          <w:highlight w:val="none"/>
        </w:rPr>
        <w:t>)</w:t>
      </w:r>
    </w:p>
    <w:p>
      <w:pPr>
        <w:pStyle w:val="217"/>
        <w:rPr>
          <w:color w:val="auto"/>
          <w:highlight w:val="none"/>
        </w:rPr>
      </w:pPr>
      <w:r>
        <w:rPr>
          <w:rFonts w:hint="eastAsia"/>
          <w:color w:val="auto"/>
          <w:highlight w:val="none"/>
        </w:rPr>
        <w:t>直边性：</w:t>
      </w:r>
      <w:r>
        <w:rPr>
          <w:color w:val="auto"/>
          <w:highlight w:val="none"/>
        </w:rPr>
        <w:t>+0.5mm/</w:t>
      </w:r>
      <w:r>
        <w:rPr>
          <w:rFonts w:hint="eastAsia"/>
          <w:color w:val="auto"/>
          <w:highlight w:val="none"/>
        </w:rPr>
        <w:t>米</w:t>
      </w:r>
    </w:p>
    <w:p>
      <w:pPr>
        <w:pStyle w:val="217"/>
        <w:rPr>
          <w:color w:val="auto"/>
          <w:highlight w:val="none"/>
        </w:rPr>
      </w:pPr>
      <w:r>
        <w:rPr>
          <w:rFonts w:hint="eastAsia"/>
          <w:color w:val="auto"/>
          <w:highlight w:val="none"/>
        </w:rPr>
        <w:t>平整性（塘磨）：</w:t>
      </w:r>
      <w:r>
        <w:rPr>
          <w:color w:val="auto"/>
          <w:highlight w:val="none"/>
        </w:rPr>
        <w:t>0.5mm/</w:t>
      </w:r>
      <w:r>
        <w:rPr>
          <w:rFonts w:hint="eastAsia"/>
          <w:color w:val="auto"/>
          <w:highlight w:val="none"/>
        </w:rPr>
        <w:t>米</w:t>
      </w:r>
    </w:p>
    <w:p>
      <w:pPr>
        <w:pStyle w:val="217"/>
        <w:rPr>
          <w:color w:val="auto"/>
          <w:highlight w:val="none"/>
        </w:rPr>
      </w:pPr>
      <w:r>
        <w:rPr>
          <w:rFonts w:hint="eastAsia"/>
          <w:color w:val="auto"/>
          <w:highlight w:val="none"/>
        </w:rPr>
        <w:t>缝宽：±</w:t>
      </w:r>
      <w:r>
        <w:rPr>
          <w:color w:val="auto"/>
          <w:highlight w:val="none"/>
        </w:rPr>
        <w:t>1..00mm</w:t>
      </w:r>
    </w:p>
    <w:p>
      <w:pPr>
        <w:pStyle w:val="217"/>
        <w:rPr>
          <w:color w:val="auto"/>
          <w:highlight w:val="none"/>
        </w:rPr>
      </w:pPr>
      <w:r>
        <w:rPr>
          <w:rFonts w:hint="eastAsia"/>
          <w:color w:val="auto"/>
          <w:highlight w:val="none"/>
        </w:rPr>
        <w:t>边缘：除非另行规定，将所有边缘塘磨至与表面成</w:t>
      </w:r>
      <w:r>
        <w:rPr>
          <w:color w:val="auto"/>
          <w:highlight w:val="none"/>
        </w:rPr>
        <w:t xml:space="preserve"> 90</w:t>
      </w:r>
      <w:r>
        <w:rPr>
          <w:rFonts w:hint="eastAsia"/>
          <w:color w:val="auto"/>
          <w:highlight w:val="none"/>
        </w:rPr>
        <w:t>°。</w:t>
      </w:r>
    </w:p>
    <w:p>
      <w:pPr>
        <w:pStyle w:val="217"/>
        <w:rPr>
          <w:color w:val="auto"/>
          <w:highlight w:val="none"/>
        </w:rPr>
      </w:pPr>
      <w:r>
        <w:rPr>
          <w:rFonts w:hint="eastAsia"/>
          <w:color w:val="auto"/>
          <w:highlight w:val="none"/>
        </w:rPr>
        <w:t>棱角：完成板材所有表面转角处做</w:t>
      </w:r>
      <w:r>
        <w:rPr>
          <w:color w:val="auto"/>
          <w:highlight w:val="none"/>
        </w:rPr>
        <w:t xml:space="preserve">1mm </w:t>
      </w:r>
      <w:r>
        <w:rPr>
          <w:rFonts w:hint="eastAsia"/>
          <w:color w:val="auto"/>
          <w:highlight w:val="none"/>
        </w:rPr>
        <w:t>斜切。</w:t>
      </w:r>
    </w:p>
    <w:p>
      <w:pPr>
        <w:pStyle w:val="217"/>
        <w:rPr>
          <w:color w:val="auto"/>
          <w:highlight w:val="none"/>
        </w:rPr>
      </w:pPr>
      <w:r>
        <w:rPr>
          <w:rFonts w:hint="eastAsia"/>
          <w:color w:val="auto"/>
          <w:highlight w:val="none"/>
        </w:rPr>
        <w:t>锚固细部：所有锚固细部用机器切割。</w:t>
      </w:r>
    </w:p>
    <w:p>
      <w:pPr>
        <w:pStyle w:val="217"/>
        <w:rPr>
          <w:color w:val="auto"/>
          <w:highlight w:val="none"/>
        </w:rPr>
      </w:pPr>
      <w:r>
        <w:rPr>
          <w:rFonts w:hint="eastAsia"/>
          <w:color w:val="auto"/>
          <w:highlight w:val="none"/>
        </w:rPr>
        <w:t>板材外露表面应无裂纹，缺角，受损的边棱，划伤或瑕疵。</w:t>
      </w:r>
    </w:p>
    <w:p>
      <w:pPr>
        <w:pStyle w:val="217"/>
        <w:rPr>
          <w:color w:val="auto"/>
          <w:highlight w:val="none"/>
        </w:rPr>
      </w:pPr>
      <w:r>
        <w:rPr>
          <w:rFonts w:hint="eastAsia"/>
          <w:color w:val="auto"/>
          <w:highlight w:val="none"/>
        </w:rPr>
        <w:t>板材背面应根据绝对平面锯切，与表面平行，除非图纸另行指示。</w:t>
      </w:r>
    </w:p>
    <w:p>
      <w:pPr>
        <w:pStyle w:val="217"/>
        <w:rPr>
          <w:color w:val="auto"/>
          <w:highlight w:val="none"/>
        </w:rPr>
      </w:pPr>
      <w:r>
        <w:rPr>
          <w:rFonts w:hint="eastAsia"/>
          <w:color w:val="auto"/>
          <w:highlight w:val="none"/>
        </w:rPr>
        <w:t>所有锯切表面和边缘都应清洁，在刚刚完成主要锯切后无锈蚀印迹及铁粒子。</w:t>
      </w:r>
    </w:p>
    <w:p>
      <w:pPr>
        <w:pStyle w:val="217"/>
        <w:rPr>
          <w:color w:val="auto"/>
          <w:highlight w:val="none"/>
        </w:rPr>
      </w:pPr>
      <w:r>
        <w:rPr>
          <w:rFonts w:hint="eastAsia"/>
          <w:color w:val="auto"/>
          <w:highlight w:val="none"/>
        </w:rPr>
        <w:t>切割板材之前发现石片中所有缺陷，不要将缺陷切入成品板材中。</w:t>
      </w:r>
    </w:p>
    <w:p>
      <w:pPr>
        <w:pStyle w:val="217"/>
        <w:rPr>
          <w:color w:val="auto"/>
          <w:highlight w:val="none"/>
        </w:rPr>
      </w:pPr>
      <w:r>
        <w:rPr>
          <w:color w:val="auto"/>
          <w:highlight w:val="none"/>
        </w:rPr>
        <w:t>7.</w:t>
      </w:r>
      <w:r>
        <w:rPr>
          <w:rFonts w:hint="eastAsia"/>
          <w:color w:val="auto"/>
          <w:highlight w:val="none"/>
        </w:rPr>
        <w:t>储存、运输</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）已经加工的石料应垂直存放在货架或货盘上，接触区域用无印迹的防水材料覆盖。支架应能够均匀承受石片重量，并能防止破裂或裂痕。</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）不论石材用何材料覆盖都应保证通风。</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）货箱中应有所需文件以确认其中石材的类型，位置以及其它参考标记。</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）所有阶段石材的搬运应防止缺角，破碎，弄脏，或其它损坏。</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）未使用木料或其它适当的刚性材来保护外露边缘时不得使用绞车等设备。</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）完成的板材应用宽带悬吊或真空搬运设备来操作。用绳索悬吊是不可接受的。</w:t>
      </w:r>
    </w:p>
    <w:p>
      <w:pPr>
        <w:pStyle w:val="217"/>
        <w:rPr>
          <w:color w:val="auto"/>
          <w:highlight w:val="none"/>
        </w:rPr>
      </w:pPr>
      <w:r>
        <w:rPr>
          <w:color w:val="auto"/>
          <w:highlight w:val="none"/>
        </w:rPr>
        <w:t>8.</w:t>
      </w:r>
      <w:r>
        <w:rPr>
          <w:rFonts w:hint="eastAsia"/>
          <w:color w:val="auto"/>
          <w:highlight w:val="none"/>
        </w:rPr>
        <w:t>安装</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）预先进行板材配色以将色调差异限于立面之间而非同一立面。</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）承包人应监控石材幕墙的每天安装情况，在立面图上注明不同色调、面饰石材的分布并送审，承包人应移走任何在允许色差之外的石材并重新安装可接受的石材。</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）现场不应进行石材的切割、钻孔、外表面处理（打磨或旋压），除非有不可预料的情况发生。</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）石材锚固件上不允许使用环氧基。</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）石材幕墙背板与相邻边缘，或地面标高处的石材面板应作密封防止风化，承包人应送审密封方案、细节。</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）任何构件偏离垂直度、水平或规定角度：每</w:t>
      </w:r>
      <w:r>
        <w:rPr>
          <w:color w:val="auto"/>
          <w:highlight w:val="none"/>
        </w:rPr>
        <w:t>1m</w:t>
      </w:r>
      <w:r>
        <w:rPr>
          <w:rFonts w:hint="eastAsia"/>
          <w:color w:val="auto"/>
          <w:highlight w:val="none"/>
        </w:rPr>
        <w:t>长度不超过</w:t>
      </w:r>
      <w:r>
        <w:rPr>
          <w:color w:val="auto"/>
          <w:highlight w:val="none"/>
        </w:rPr>
        <w:t>1mm</w:t>
      </w:r>
      <w:r>
        <w:rPr>
          <w:rFonts w:hint="eastAsia"/>
          <w:color w:val="auto"/>
          <w:highlight w:val="none"/>
        </w:rPr>
        <w:t>，或总直线度偏差不超过</w:t>
      </w:r>
      <w:r>
        <w:rPr>
          <w:color w:val="auto"/>
          <w:highlight w:val="none"/>
        </w:rPr>
        <w:t>2mm</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7</w:t>
      </w:r>
      <w:r>
        <w:rPr>
          <w:rFonts w:hint="eastAsia"/>
          <w:color w:val="auto"/>
          <w:highlight w:val="none"/>
        </w:rPr>
        <w:t>）平面和立面的位置偏差，包括垂直度、水平度或角度的偏差不超过</w:t>
      </w:r>
      <w:r>
        <w:rPr>
          <w:color w:val="auto"/>
          <w:highlight w:val="none"/>
        </w:rPr>
        <w:t>±2mm</w:t>
      </w:r>
      <w:r>
        <w:rPr>
          <w:rFonts w:hint="eastAsia"/>
          <w:color w:val="auto"/>
          <w:highlight w:val="none"/>
        </w:rPr>
        <w:t>，在任何方向上偏差每</w:t>
      </w:r>
      <w:r>
        <w:rPr>
          <w:color w:val="auto"/>
          <w:highlight w:val="none"/>
        </w:rPr>
        <w:t>1m</w:t>
      </w:r>
      <w:r>
        <w:rPr>
          <w:rFonts w:hint="eastAsia"/>
          <w:color w:val="auto"/>
          <w:highlight w:val="none"/>
        </w:rPr>
        <w:t>长度不超过</w:t>
      </w:r>
      <w:r>
        <w:rPr>
          <w:color w:val="auto"/>
          <w:highlight w:val="none"/>
        </w:rPr>
        <w:t>1mm</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8</w:t>
      </w:r>
      <w:r>
        <w:rPr>
          <w:rFonts w:hint="eastAsia"/>
          <w:color w:val="auto"/>
          <w:highlight w:val="none"/>
        </w:rPr>
        <w:t>）两个首尾连续部件的与精确位置的最大平移不应超过</w:t>
      </w:r>
      <w:r>
        <w:rPr>
          <w:color w:val="auto"/>
          <w:highlight w:val="none"/>
        </w:rPr>
        <w:t>1.5mm</w:t>
      </w:r>
      <w:r>
        <w:rPr>
          <w:rFonts w:hint="eastAsia"/>
          <w:color w:val="auto"/>
          <w:highlight w:val="none"/>
        </w:rPr>
        <w:t>。</w:t>
      </w:r>
    </w:p>
    <w:p>
      <w:pPr>
        <w:pStyle w:val="217"/>
        <w:rPr>
          <w:color w:val="auto"/>
          <w:highlight w:val="none"/>
        </w:rPr>
      </w:pPr>
      <w:r>
        <w:rPr>
          <w:color w:val="auto"/>
          <w:highlight w:val="none"/>
        </w:rPr>
        <w:t>9.</w:t>
      </w:r>
      <w:r>
        <w:rPr>
          <w:rFonts w:hint="eastAsia"/>
          <w:color w:val="auto"/>
          <w:highlight w:val="none"/>
        </w:rPr>
        <w:t>修补</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）板材正面的损坏不应修补，而应更换。</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）未经送审核准不应连接碎片。</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）边上缺口长于</w:t>
      </w:r>
      <w:r>
        <w:rPr>
          <w:color w:val="auto"/>
          <w:highlight w:val="none"/>
        </w:rPr>
        <w:t xml:space="preserve">20mm </w:t>
      </w:r>
      <w:r>
        <w:rPr>
          <w:rFonts w:hint="eastAsia"/>
          <w:color w:val="auto"/>
          <w:highlight w:val="none"/>
        </w:rPr>
        <w:t>宽于</w:t>
      </w:r>
      <w:r>
        <w:rPr>
          <w:color w:val="auto"/>
          <w:highlight w:val="none"/>
        </w:rPr>
        <w:t xml:space="preserve">5mm </w:t>
      </w:r>
      <w:r>
        <w:rPr>
          <w:rFonts w:hint="eastAsia"/>
          <w:color w:val="auto"/>
          <w:highlight w:val="none"/>
        </w:rPr>
        <w:t>的板材应拒收。</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）任何瑕疵长于</w:t>
      </w:r>
      <w:r>
        <w:rPr>
          <w:color w:val="auto"/>
          <w:highlight w:val="none"/>
        </w:rPr>
        <w:t xml:space="preserve">25mm </w:t>
      </w:r>
      <w:r>
        <w:rPr>
          <w:rFonts w:hint="eastAsia"/>
          <w:color w:val="auto"/>
          <w:highlight w:val="none"/>
        </w:rPr>
        <w:t>则不应修补，应拒收板材。</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）碎片任一方向尺寸大于</w:t>
      </w:r>
      <w:r>
        <w:rPr>
          <w:color w:val="auto"/>
          <w:highlight w:val="none"/>
        </w:rPr>
        <w:t xml:space="preserve">200mm </w:t>
      </w:r>
      <w:r>
        <w:rPr>
          <w:rFonts w:hint="eastAsia"/>
          <w:color w:val="auto"/>
          <w:highlight w:val="none"/>
        </w:rPr>
        <w:t>时不应连接修补。</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）顶板或盖板位置的任何石材不得修补。</w:t>
      </w:r>
    </w:p>
    <w:p>
      <w:pPr>
        <w:pStyle w:val="217"/>
        <w:rPr>
          <w:color w:val="auto"/>
          <w:highlight w:val="none"/>
        </w:rPr>
      </w:pPr>
      <w:r>
        <w:rPr>
          <w:color w:val="auto"/>
          <w:highlight w:val="none"/>
        </w:rPr>
        <w:t>10.</w:t>
      </w:r>
      <w:r>
        <w:rPr>
          <w:rFonts w:hint="eastAsia"/>
          <w:color w:val="auto"/>
          <w:highlight w:val="none"/>
        </w:rPr>
        <w:t>质量控制</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）承包人应聘用专职的质量监控人员，在采石场和加工厂监督。</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）质量监控人员应提供本幕墙工程石材加工、检查、美学挑选的质量控制程序，并应送审。</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）承包人应安排业主、监理对采石场、加工厂工作进行检查。</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）下列时刻应通知业主、监理到场监察：石材锯切后和进一步处理之前；最初的加工处理和按尺寸切割后；边缘处理和外饰面处理后。</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）监理应利用工厂质量控制核对清单，全面记录加工情况。监督人员应对工厂质量控制程序进行监督，同时应对库存的石材面板进行随机抽查，并应检查即将发到现场的构件包装。</w:t>
      </w:r>
    </w:p>
    <w:p>
      <w:pPr>
        <w:pStyle w:val="119"/>
        <w:rPr>
          <w:color w:val="auto"/>
          <w:highlight w:val="none"/>
        </w:rPr>
      </w:pPr>
      <w:r>
        <w:rPr>
          <w:color w:val="auto"/>
          <w:highlight w:val="none"/>
        </w:rPr>
        <w:t xml:space="preserve">3.6.2.10 </w:t>
      </w:r>
      <w:r>
        <w:rPr>
          <w:rFonts w:hint="eastAsia"/>
          <w:color w:val="auto"/>
          <w:highlight w:val="none"/>
        </w:rPr>
        <w:t>门窗</w:t>
      </w:r>
    </w:p>
    <w:p>
      <w:pPr>
        <w:pStyle w:val="217"/>
        <w:rPr>
          <w:color w:val="auto"/>
          <w:highlight w:val="none"/>
        </w:rPr>
      </w:pPr>
      <w:r>
        <w:rPr>
          <w:color w:val="auto"/>
          <w:highlight w:val="none"/>
        </w:rPr>
        <w:t>1.</w:t>
      </w:r>
      <w:r>
        <w:rPr>
          <w:rFonts w:hint="eastAsia"/>
          <w:color w:val="auto"/>
          <w:highlight w:val="none"/>
        </w:rPr>
        <w:t>加工及安装工艺要求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）为提高构件的加工精度并加快施工进度</w:t>
      </w:r>
      <w:r>
        <w:rPr>
          <w:color w:val="auto"/>
          <w:highlight w:val="none"/>
        </w:rPr>
        <w:t>,</w:t>
      </w:r>
      <w:r>
        <w:rPr>
          <w:rFonts w:hint="eastAsia"/>
          <w:color w:val="auto"/>
          <w:highlight w:val="none"/>
        </w:rPr>
        <w:t>所有金属构件都须在工厂预制，而禁止到工地现场加工。平开门窗框的横竖框、扇料连接应采用机械组角工艺及腔式结构角码组角连接工艺。组角机压实，组角端面采用端面胶，在组角工艺孔内注面组角胶。组角胶固化后方能移动框扇。</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支撑体系应满足自重和风荷载的要求，满足温度变形和结构构件变形要求，并具备抗震能力，造型要与本工程建筑设计相协调。支撑体系采用双重型摩擦铰链的配置，支撑体系与金属连接件、扣件，能抗腐蚀，连接扣件为铝质或优质不锈钢。所有五金件均应符合相应门窗的规格及各种承重承压需要并确保有合适余量。窗户执手采用两点锁执手，平开门执手采用</w:t>
      </w:r>
      <w:r>
        <w:rPr>
          <w:color w:val="auto"/>
          <w:highlight w:val="none"/>
        </w:rPr>
        <w:t>3</w:t>
      </w:r>
      <w:r>
        <w:rPr>
          <w:rFonts w:hint="eastAsia"/>
          <w:color w:val="auto"/>
          <w:highlight w:val="none"/>
        </w:rPr>
        <w:t>点锁，样式以现场（或通过设计）确认为准。</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）产品加工、组装尺寸精度应符合国家（</w:t>
      </w:r>
      <w:r>
        <w:rPr>
          <w:color w:val="auto"/>
          <w:highlight w:val="none"/>
        </w:rPr>
        <w:t>GB/T8479-2003</w:t>
      </w:r>
      <w:r>
        <w:rPr>
          <w:rFonts w:hint="eastAsia"/>
          <w:color w:val="auto"/>
          <w:highlight w:val="none"/>
        </w:rPr>
        <w:t>）、（</w:t>
      </w:r>
      <w:r>
        <w:rPr>
          <w:color w:val="auto"/>
          <w:highlight w:val="none"/>
        </w:rPr>
        <w:t>GB/T8478-2003</w:t>
      </w:r>
      <w:r>
        <w:rPr>
          <w:rFonts w:hint="eastAsia"/>
          <w:color w:val="auto"/>
          <w:highlight w:val="none"/>
        </w:rPr>
        <w:t>）标准。</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）开启扇胶条需采用</w:t>
      </w:r>
      <w:r>
        <w:rPr>
          <w:color w:val="auto"/>
          <w:highlight w:val="none"/>
        </w:rPr>
        <w:t>90</w:t>
      </w:r>
      <w:r>
        <w:rPr>
          <w:rFonts w:hint="eastAsia"/>
          <w:color w:val="auto"/>
          <w:highlight w:val="none"/>
        </w:rPr>
        <w:t>º连续转接，不得断开</w:t>
      </w:r>
      <w:r>
        <w:rPr>
          <w:color w:val="auto"/>
          <w:highlight w:val="none"/>
        </w:rPr>
        <w:t>,</w:t>
      </w:r>
      <w:r>
        <w:rPr>
          <w:rFonts w:hint="eastAsia"/>
          <w:color w:val="auto"/>
          <w:highlight w:val="none"/>
        </w:rPr>
        <w:t>接头应设置在开启扇下侧的中间部位。</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）固定受力构件需通过严格的计算确定，并提供固定件及其与主体结构连接位置和大样图，如原设计中存在问题须特别说明，便于修正。</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）所有固定受力构件及其金属件应考虑气候影响因素，应做好相应的防腐蚀处理。</w:t>
      </w:r>
    </w:p>
    <w:p>
      <w:pPr>
        <w:pStyle w:val="217"/>
        <w:rPr>
          <w:color w:val="auto"/>
          <w:highlight w:val="none"/>
        </w:rPr>
      </w:pPr>
      <w:r>
        <w:rPr>
          <w:rFonts w:hint="eastAsia"/>
          <w:color w:val="auto"/>
          <w:highlight w:val="none"/>
        </w:rPr>
        <w:t>（</w:t>
      </w:r>
      <w:r>
        <w:rPr>
          <w:color w:val="auto"/>
          <w:highlight w:val="none"/>
        </w:rPr>
        <w:t>7</w:t>
      </w:r>
      <w:r>
        <w:rPr>
          <w:rFonts w:hint="eastAsia"/>
          <w:color w:val="auto"/>
          <w:highlight w:val="none"/>
        </w:rPr>
        <w:t>）所有连接件均需热镀锌处理；型材之间的拼缝、自攻螺丝连接处必须打胶密封。</w:t>
      </w:r>
    </w:p>
    <w:p>
      <w:pPr>
        <w:pStyle w:val="217"/>
        <w:rPr>
          <w:color w:val="auto"/>
          <w:highlight w:val="none"/>
        </w:rPr>
      </w:pPr>
      <w:r>
        <w:rPr>
          <w:rFonts w:hint="eastAsia"/>
          <w:color w:val="auto"/>
          <w:highlight w:val="none"/>
        </w:rPr>
        <w:t>（</w:t>
      </w:r>
      <w:r>
        <w:rPr>
          <w:color w:val="auto"/>
          <w:highlight w:val="none"/>
        </w:rPr>
        <w:t>8</w:t>
      </w:r>
      <w:r>
        <w:rPr>
          <w:rFonts w:hint="eastAsia"/>
          <w:color w:val="auto"/>
          <w:highlight w:val="none"/>
        </w:rPr>
        <w:t>）所有门窗采用预埋钢附框，钢附框采用断面不小于</w:t>
      </w:r>
      <w:r>
        <w:rPr>
          <w:color w:val="auto"/>
          <w:highlight w:val="none"/>
        </w:rPr>
        <w:t>25</w:t>
      </w:r>
      <w:r>
        <w:rPr>
          <w:rFonts w:hint="eastAsia"/>
          <w:color w:val="auto"/>
          <w:highlight w:val="none"/>
        </w:rPr>
        <w:t>㎜×</w:t>
      </w:r>
      <w:r>
        <w:rPr>
          <w:color w:val="auto"/>
          <w:highlight w:val="none"/>
        </w:rPr>
        <w:t>40</w:t>
      </w:r>
      <w:r>
        <w:rPr>
          <w:rFonts w:hint="eastAsia"/>
          <w:color w:val="auto"/>
          <w:highlight w:val="none"/>
        </w:rPr>
        <w:t>㎜、壁厚</w:t>
      </w:r>
      <w:r>
        <w:rPr>
          <w:color w:val="auto"/>
          <w:highlight w:val="none"/>
        </w:rPr>
        <w:t>2.0</w:t>
      </w:r>
      <w:r>
        <w:rPr>
          <w:rFonts w:hint="eastAsia"/>
          <w:color w:val="auto"/>
          <w:highlight w:val="none"/>
        </w:rPr>
        <w:t>㎜的热镀锌方钢加工制作，钢附框拼接要求采用组角器连接或焊接固定，钢附框与结构连接固定采用</w:t>
      </w:r>
      <w:r>
        <w:rPr>
          <w:color w:val="auto"/>
          <w:highlight w:val="none"/>
        </w:rPr>
        <w:t>M6</w:t>
      </w:r>
      <w:r>
        <w:rPr>
          <w:rFonts w:hint="eastAsia"/>
          <w:color w:val="auto"/>
          <w:highlight w:val="none"/>
        </w:rPr>
        <w:t>×</w:t>
      </w:r>
      <w:r>
        <w:rPr>
          <w:color w:val="auto"/>
          <w:highlight w:val="none"/>
        </w:rPr>
        <w:t>80</w:t>
      </w:r>
      <w:r>
        <w:rPr>
          <w:rFonts w:hint="eastAsia"/>
          <w:color w:val="auto"/>
          <w:highlight w:val="none"/>
        </w:rPr>
        <w:t>膨胀螺栓，窗框和附框连接固定要求采用调节块连接。钢附框和结构交接面粉刷完成后涂刷</w:t>
      </w:r>
      <w:r>
        <w:rPr>
          <w:color w:val="auto"/>
          <w:highlight w:val="none"/>
        </w:rPr>
        <w:t>1.2</w:t>
      </w:r>
      <w:r>
        <w:rPr>
          <w:rFonts w:hint="eastAsia"/>
          <w:color w:val="auto"/>
          <w:highlight w:val="none"/>
        </w:rPr>
        <w:t>厚的单组份聚氨酯防水涂膜。防水涂膜涂刷范围：附框内侧至门窗洞口外阳角，沿钢附框四周满刷。钢附框和结构间的缝隙采用防水砂浆封堵（由铝合金施工单位负责）。</w:t>
      </w:r>
    </w:p>
    <w:p>
      <w:pPr>
        <w:pStyle w:val="217"/>
        <w:rPr>
          <w:color w:val="auto"/>
          <w:highlight w:val="none"/>
        </w:rPr>
      </w:pPr>
      <w:r>
        <w:rPr>
          <w:rFonts w:hint="eastAsia"/>
          <w:color w:val="auto"/>
          <w:highlight w:val="none"/>
        </w:rPr>
        <w:t>（</w:t>
      </w:r>
      <w:r>
        <w:rPr>
          <w:color w:val="auto"/>
          <w:highlight w:val="none"/>
        </w:rPr>
        <w:t>9</w:t>
      </w:r>
      <w:r>
        <w:rPr>
          <w:rFonts w:hint="eastAsia"/>
          <w:color w:val="auto"/>
          <w:highlight w:val="none"/>
        </w:rPr>
        <w:t>）门窗外框与建筑墙体收口部分需打防水耐候胶，详见节点图。所有密封胶颜色以业主确认为准。</w:t>
      </w:r>
    </w:p>
    <w:p>
      <w:pPr>
        <w:pStyle w:val="217"/>
        <w:rPr>
          <w:color w:val="auto"/>
          <w:highlight w:val="none"/>
        </w:rPr>
      </w:pPr>
      <w:r>
        <w:rPr>
          <w:rFonts w:hint="eastAsia"/>
          <w:color w:val="auto"/>
          <w:highlight w:val="none"/>
        </w:rPr>
        <w:t>（</w:t>
      </w:r>
      <w:r>
        <w:rPr>
          <w:color w:val="auto"/>
          <w:highlight w:val="none"/>
        </w:rPr>
        <w:t>10</w:t>
      </w:r>
      <w:r>
        <w:rPr>
          <w:rFonts w:hint="eastAsia"/>
          <w:color w:val="auto"/>
          <w:highlight w:val="none"/>
        </w:rPr>
        <w:t>）窗框安装时安装铁码间距不大于</w:t>
      </w:r>
      <w:r>
        <w:rPr>
          <w:color w:val="auto"/>
          <w:highlight w:val="none"/>
        </w:rPr>
        <w:t>400mm</w:t>
      </w:r>
      <w:r>
        <w:rPr>
          <w:rFonts w:hint="eastAsia"/>
          <w:color w:val="auto"/>
          <w:highlight w:val="none"/>
        </w:rPr>
        <w:t>，距端部和所有窗中竖不大于</w:t>
      </w:r>
      <w:r>
        <w:rPr>
          <w:color w:val="auto"/>
          <w:highlight w:val="none"/>
        </w:rPr>
        <w:t>150mm</w:t>
      </w:r>
      <w:r>
        <w:rPr>
          <w:rFonts w:hint="eastAsia"/>
          <w:color w:val="auto"/>
          <w:highlight w:val="none"/>
        </w:rPr>
        <w:t>，室内室外侧双向固定。</w:t>
      </w:r>
    </w:p>
    <w:p>
      <w:pPr>
        <w:pStyle w:val="217"/>
        <w:ind w:firstLine="2280" w:firstLineChars="950"/>
        <w:rPr>
          <w:color w:val="auto"/>
          <w:highlight w:val="none"/>
        </w:rPr>
      </w:pPr>
    </w:p>
    <w:p>
      <w:pPr>
        <w:pStyle w:val="217"/>
        <w:ind w:firstLine="360" w:firstLineChars="150"/>
        <w:rPr>
          <w:color w:val="auto"/>
          <w:highlight w:val="none"/>
        </w:rPr>
      </w:pPr>
      <w:r>
        <w:rPr>
          <w:rFonts w:hint="eastAsia"/>
          <w:color w:val="auto"/>
          <w:highlight w:val="none"/>
        </w:rPr>
        <w:t>（</w:t>
      </w:r>
      <w:r>
        <w:rPr>
          <w:color w:val="auto"/>
          <w:highlight w:val="none"/>
        </w:rPr>
        <w:t>11</w:t>
      </w:r>
      <w:r>
        <w:rPr>
          <w:rFonts w:hint="eastAsia"/>
          <w:color w:val="auto"/>
          <w:highlight w:val="none"/>
        </w:rPr>
        <w:t>）执手及锁的高度详见门窗大样图及门窗设计说明。</w:t>
      </w:r>
    </w:p>
    <w:p>
      <w:pPr>
        <w:pStyle w:val="217"/>
        <w:rPr>
          <w:color w:val="auto"/>
          <w:highlight w:val="none"/>
        </w:rPr>
      </w:pPr>
      <w:r>
        <w:rPr>
          <w:color w:val="auto"/>
          <w:highlight w:val="none"/>
        </w:rPr>
        <w:t>(12)</w:t>
      </w:r>
      <w:r>
        <w:rPr>
          <w:rFonts w:hint="eastAsia"/>
          <w:color w:val="auto"/>
          <w:highlight w:val="none"/>
        </w:rPr>
        <w:t>玻璃安装时，注意在玻璃下方垫有硬质橡胶垫块，起支撑作用，且硬质橡胶垫块垫于玻璃</w:t>
      </w:r>
      <w:r>
        <w:rPr>
          <w:color w:val="auto"/>
          <w:highlight w:val="none"/>
        </w:rPr>
        <w:t>1/4</w:t>
      </w:r>
      <w:r>
        <w:rPr>
          <w:rFonts w:hint="eastAsia"/>
          <w:color w:val="auto"/>
          <w:highlight w:val="none"/>
        </w:rPr>
        <w:t>宽度处，每块玻璃垫两个硬质橡胶垫块。</w:t>
      </w:r>
    </w:p>
    <w:p>
      <w:pPr>
        <w:pStyle w:val="217"/>
        <w:rPr>
          <w:color w:val="auto"/>
          <w:highlight w:val="none"/>
        </w:rPr>
      </w:pPr>
      <w:r>
        <w:rPr>
          <w:rFonts w:hint="eastAsia"/>
          <w:color w:val="auto"/>
          <w:highlight w:val="none"/>
        </w:rPr>
        <w:t>（</w:t>
      </w:r>
      <w:r>
        <w:rPr>
          <w:color w:val="auto"/>
          <w:highlight w:val="none"/>
        </w:rPr>
        <w:t>13</w:t>
      </w:r>
      <w:r>
        <w:rPr>
          <w:rFonts w:hint="eastAsia"/>
          <w:color w:val="auto"/>
          <w:highlight w:val="none"/>
        </w:rPr>
        <w:t>）外平开门门扇宽度超过</w:t>
      </w:r>
      <w:r>
        <w:rPr>
          <w:color w:val="auto"/>
          <w:highlight w:val="none"/>
        </w:rPr>
        <w:t>700mm</w:t>
      </w:r>
      <w:r>
        <w:rPr>
          <w:rFonts w:hint="eastAsia"/>
          <w:color w:val="auto"/>
          <w:highlight w:val="none"/>
        </w:rPr>
        <w:t>时，安装玻璃时应在门锁的下对角线上塞满垫块，垫块用密封胶固定，安装垫块的位置详见下图。</w:t>
      </w:r>
    </w:p>
    <w:p>
      <w:pPr>
        <w:pStyle w:val="217"/>
        <w:rPr>
          <w:color w:val="auto"/>
          <w:highlight w:val="none"/>
        </w:rPr>
      </w:pPr>
      <w:r>
        <w:rPr>
          <w:rFonts w:hint="eastAsia"/>
          <w:color w:val="auto"/>
          <w:highlight w:val="none"/>
        </w:rPr>
        <w:t>（</w:t>
      </w:r>
      <w:r>
        <w:rPr>
          <w:color w:val="auto"/>
          <w:highlight w:val="none"/>
        </w:rPr>
        <w:t>14</w:t>
      </w:r>
      <w:r>
        <w:rPr>
          <w:rFonts w:hint="eastAsia"/>
          <w:color w:val="auto"/>
          <w:highlight w:val="none"/>
        </w:rPr>
        <w:t>）具体加工尺寸以现场核实为准，如有增加或减少需项目人员与发包人沟通好后确定数量位置及尺寸。</w:t>
      </w:r>
    </w:p>
    <w:p>
      <w:pPr>
        <w:pStyle w:val="217"/>
        <w:rPr>
          <w:color w:val="auto"/>
          <w:highlight w:val="none"/>
        </w:rPr>
      </w:pPr>
      <w:r>
        <w:rPr>
          <w:rFonts w:hint="eastAsia"/>
          <w:color w:val="auto"/>
          <w:highlight w:val="none"/>
        </w:rPr>
        <w:t>（</w:t>
      </w:r>
      <w:r>
        <w:rPr>
          <w:color w:val="auto"/>
          <w:highlight w:val="none"/>
        </w:rPr>
        <w:t>15</w:t>
      </w:r>
      <w:r>
        <w:rPr>
          <w:rFonts w:hint="eastAsia"/>
          <w:color w:val="auto"/>
          <w:highlight w:val="none"/>
        </w:rPr>
        <w:t>）窗户放样：窗户放样应根据图纸设计，安全及美观效果，由承包人的技术人员进行放样，并由项目部审核，</w:t>
      </w:r>
      <w:r>
        <w:rPr>
          <w:color w:val="auto"/>
          <w:highlight w:val="none"/>
        </w:rPr>
        <w:t xml:space="preserve"> </w:t>
      </w:r>
      <w:r>
        <w:rPr>
          <w:rFonts w:hint="eastAsia"/>
          <w:color w:val="auto"/>
          <w:highlight w:val="none"/>
        </w:rPr>
        <w:t>放样图经由发包人、监理认可后方可按放样图下料。</w:t>
      </w:r>
    </w:p>
    <w:p>
      <w:pPr>
        <w:pStyle w:val="217"/>
        <w:rPr>
          <w:color w:val="auto"/>
          <w:highlight w:val="none"/>
        </w:rPr>
      </w:pPr>
    </w:p>
    <w:p>
      <w:pPr>
        <w:pStyle w:val="217"/>
        <w:jc w:val="center"/>
        <w:rPr>
          <w:color w:val="auto"/>
          <w:highlight w:val="none"/>
        </w:rPr>
      </w:pPr>
      <w:r>
        <w:rPr>
          <w:color w:val="auto"/>
          <w:highlight w:val="none"/>
        </w:rPr>
        <w:object>
          <v:shape id="_x0000_i1026" o:spt="75" type="#_x0000_t75" style="height:188.45pt;width:194.45pt;" o:ole="t" filled="f" o:preferrelative="t" stroked="f" coordsize="21600,21600">
            <v:path/>
            <v:fill on="f" focussize="0,0"/>
            <v:stroke on="f"/>
            <v:imagedata r:id="rId98" cropleft="25997f" croptop="29608f" cropright="33034f" cropbottom="14058f" o:title=""/>
            <o:lock v:ext="edit" aspectratio="t"/>
            <w10:wrap type="none"/>
            <w10:anchorlock/>
          </v:shape>
          <o:OLEObject Type="Embed" ProgID="AutoCAD.Drawing.16" ShapeID="_x0000_i1026" DrawAspect="Content" ObjectID="_1468075726" r:id="rId97">
            <o:LockedField>false</o:LockedField>
          </o:OLEObject>
        </w:object>
      </w:r>
    </w:p>
    <w:p>
      <w:pPr>
        <w:pStyle w:val="217"/>
        <w:rPr>
          <w:color w:val="auto"/>
          <w:highlight w:val="none"/>
        </w:rPr>
      </w:pPr>
      <w:r>
        <w:rPr>
          <w:rFonts w:hint="eastAsia"/>
          <w:color w:val="auto"/>
          <w:highlight w:val="none"/>
        </w:rPr>
        <w:t>（</w:t>
      </w:r>
      <w:r>
        <w:rPr>
          <w:color w:val="auto"/>
          <w:highlight w:val="none"/>
        </w:rPr>
        <w:t>16</w:t>
      </w:r>
      <w:r>
        <w:rPr>
          <w:rFonts w:hint="eastAsia"/>
          <w:color w:val="auto"/>
          <w:highlight w:val="none"/>
        </w:rPr>
        <w:t>）门扇或窗扇加工时应注意五金配件的安装方向。</w:t>
      </w:r>
    </w:p>
    <w:p>
      <w:pPr>
        <w:pStyle w:val="217"/>
        <w:rPr>
          <w:color w:val="auto"/>
          <w:highlight w:val="none"/>
        </w:rPr>
      </w:pPr>
      <w:r>
        <w:rPr>
          <w:rFonts w:hint="eastAsia"/>
          <w:color w:val="auto"/>
          <w:highlight w:val="none"/>
        </w:rPr>
        <w:t>（</w:t>
      </w:r>
      <w:r>
        <w:rPr>
          <w:color w:val="auto"/>
          <w:highlight w:val="none"/>
        </w:rPr>
        <w:t>17</w:t>
      </w:r>
      <w:r>
        <w:rPr>
          <w:rFonts w:hint="eastAsia"/>
          <w:color w:val="auto"/>
          <w:highlight w:val="none"/>
        </w:rPr>
        <w:t>）门窗附件安装牢固，五金件配件应进行试配，保证运转灵活，无卡滞。</w:t>
      </w:r>
    </w:p>
    <w:p>
      <w:pPr>
        <w:pStyle w:val="119"/>
        <w:rPr>
          <w:color w:val="auto"/>
          <w:highlight w:val="none"/>
        </w:rPr>
      </w:pPr>
      <w:r>
        <w:rPr>
          <w:color w:val="auto"/>
          <w:highlight w:val="none"/>
        </w:rPr>
        <w:t xml:space="preserve">3.6.2.11 </w:t>
      </w:r>
      <w:r>
        <w:rPr>
          <w:rFonts w:hint="eastAsia"/>
          <w:color w:val="auto"/>
          <w:highlight w:val="none"/>
        </w:rPr>
        <w:t>隔热材料</w:t>
      </w:r>
    </w:p>
    <w:p>
      <w:pPr>
        <w:pStyle w:val="217"/>
        <w:rPr>
          <w:color w:val="auto"/>
          <w:highlight w:val="none"/>
        </w:rPr>
      </w:pPr>
      <w:r>
        <w:rPr>
          <w:color w:val="auto"/>
          <w:highlight w:val="none"/>
        </w:rPr>
        <w:t>1.</w:t>
      </w:r>
      <w:r>
        <w:rPr>
          <w:rFonts w:hint="eastAsia"/>
          <w:color w:val="auto"/>
          <w:highlight w:val="none"/>
        </w:rPr>
        <w:t>隔热材料安装后应有蘑菇形防腐蚀性固定件将其机械固定，用粘结剂安装是不能接受的。</w:t>
      </w:r>
    </w:p>
    <w:p>
      <w:pPr>
        <w:pStyle w:val="217"/>
        <w:rPr>
          <w:color w:val="auto"/>
          <w:highlight w:val="none"/>
        </w:rPr>
      </w:pPr>
      <w:r>
        <w:rPr>
          <w:color w:val="auto"/>
          <w:highlight w:val="none"/>
        </w:rPr>
        <w:t>2.</w:t>
      </w:r>
      <w:r>
        <w:rPr>
          <w:rFonts w:hint="eastAsia"/>
          <w:color w:val="auto"/>
          <w:highlight w:val="none"/>
        </w:rPr>
        <w:t>固定方式的选择应考虑避免起鼓、松垂、分层或脱落。安装时应保证各块保温隔热材料之间既无隆起又无缝隙，材料层上没有任何固定件等穿透物。</w:t>
      </w:r>
    </w:p>
    <w:p>
      <w:pPr>
        <w:pStyle w:val="119"/>
        <w:rPr>
          <w:color w:val="auto"/>
          <w:highlight w:val="none"/>
        </w:rPr>
      </w:pPr>
      <w:r>
        <w:rPr>
          <w:color w:val="auto"/>
          <w:highlight w:val="none"/>
        </w:rPr>
        <w:t xml:space="preserve">3.6.2.12 </w:t>
      </w:r>
      <w:r>
        <w:rPr>
          <w:rFonts w:hint="eastAsia"/>
          <w:color w:val="auto"/>
          <w:highlight w:val="none"/>
        </w:rPr>
        <w:t>防气</w:t>
      </w:r>
      <w:r>
        <w:rPr>
          <w:color w:val="auto"/>
          <w:highlight w:val="none"/>
        </w:rPr>
        <w:t>/</w:t>
      </w:r>
      <w:r>
        <w:rPr>
          <w:rFonts w:hint="eastAsia"/>
          <w:color w:val="auto"/>
          <w:highlight w:val="none"/>
        </w:rPr>
        <w:t>汽层和遮水板</w:t>
      </w:r>
    </w:p>
    <w:p>
      <w:pPr>
        <w:pStyle w:val="217"/>
        <w:rPr>
          <w:color w:val="auto"/>
          <w:highlight w:val="none"/>
        </w:rPr>
      </w:pPr>
      <w:r>
        <w:rPr>
          <w:color w:val="auto"/>
          <w:highlight w:val="none"/>
        </w:rPr>
        <w:t>1.</w:t>
      </w:r>
      <w:r>
        <w:rPr>
          <w:rFonts w:hint="eastAsia"/>
          <w:color w:val="auto"/>
          <w:highlight w:val="none"/>
        </w:rPr>
        <w:t>空气、水汽、风的密封在接缝窄时应采用</w:t>
      </w:r>
      <w:r>
        <w:rPr>
          <w:color w:val="auto"/>
          <w:highlight w:val="none"/>
        </w:rPr>
        <w:t>EPDM</w:t>
      </w:r>
      <w:r>
        <w:rPr>
          <w:rFonts w:hint="eastAsia"/>
          <w:color w:val="auto"/>
          <w:highlight w:val="none"/>
        </w:rPr>
        <w:t>或硅酮板材密封，接缝宽时须用铝合金板、遮水板等防止被风吹动。</w:t>
      </w:r>
    </w:p>
    <w:p>
      <w:pPr>
        <w:pStyle w:val="217"/>
        <w:rPr>
          <w:color w:val="auto"/>
          <w:highlight w:val="none"/>
        </w:rPr>
      </w:pPr>
      <w:r>
        <w:rPr>
          <w:color w:val="auto"/>
          <w:highlight w:val="none"/>
        </w:rPr>
        <w:t>2.EPDM</w:t>
      </w:r>
      <w:r>
        <w:rPr>
          <w:rFonts w:hint="eastAsia"/>
          <w:color w:val="auto"/>
          <w:highlight w:val="none"/>
        </w:rPr>
        <w:t>或硅酮板材之间的接缝如背后有硬质底衬则应夹紧，如背后没有衬垫则应进行硬化。</w:t>
      </w:r>
    </w:p>
    <w:p>
      <w:pPr>
        <w:pStyle w:val="217"/>
        <w:rPr>
          <w:color w:val="auto"/>
          <w:highlight w:val="none"/>
        </w:rPr>
      </w:pPr>
      <w:r>
        <w:rPr>
          <w:color w:val="auto"/>
          <w:highlight w:val="none"/>
        </w:rPr>
        <w:t>3.EPDM</w:t>
      </w:r>
      <w:r>
        <w:rPr>
          <w:rFonts w:hint="eastAsia"/>
          <w:color w:val="auto"/>
          <w:highlight w:val="none"/>
        </w:rPr>
        <w:t>或硅酮密封在窗和玻璃四周的</w:t>
      </w:r>
      <w:r>
        <w:rPr>
          <w:color w:val="auto"/>
          <w:highlight w:val="none"/>
        </w:rPr>
        <w:t>“</w:t>
      </w:r>
      <w:r>
        <w:rPr>
          <w:rFonts w:hint="eastAsia"/>
          <w:color w:val="auto"/>
          <w:highlight w:val="none"/>
        </w:rPr>
        <w:t>围裙</w:t>
      </w:r>
      <w:r>
        <w:rPr>
          <w:color w:val="auto"/>
          <w:highlight w:val="none"/>
        </w:rPr>
        <w:t>”</w:t>
      </w:r>
      <w:r>
        <w:rPr>
          <w:rFonts w:hint="eastAsia"/>
          <w:color w:val="auto"/>
          <w:highlight w:val="none"/>
        </w:rPr>
        <w:t>及</w:t>
      </w:r>
      <w:r>
        <w:rPr>
          <w:color w:val="auto"/>
          <w:highlight w:val="none"/>
        </w:rPr>
        <w:t>“</w:t>
      </w:r>
      <w:r>
        <w:rPr>
          <w:rFonts w:hint="eastAsia"/>
          <w:color w:val="auto"/>
          <w:highlight w:val="none"/>
        </w:rPr>
        <w:t>领口</w:t>
      </w:r>
      <w:r>
        <w:rPr>
          <w:color w:val="auto"/>
          <w:highlight w:val="none"/>
        </w:rPr>
        <w:t>”</w:t>
      </w:r>
      <w:r>
        <w:rPr>
          <w:rFonts w:hint="eastAsia"/>
          <w:color w:val="auto"/>
          <w:highlight w:val="none"/>
        </w:rPr>
        <w:t>部分应将其各段之间的接缝进行硬化。</w:t>
      </w:r>
    </w:p>
    <w:p>
      <w:pPr>
        <w:pStyle w:val="217"/>
        <w:rPr>
          <w:color w:val="auto"/>
          <w:highlight w:val="none"/>
        </w:rPr>
      </w:pPr>
      <w:r>
        <w:rPr>
          <w:color w:val="auto"/>
          <w:highlight w:val="none"/>
        </w:rPr>
        <w:t>4.EPDM</w:t>
      </w:r>
      <w:r>
        <w:rPr>
          <w:rFonts w:hint="eastAsia"/>
          <w:color w:val="auto"/>
          <w:highlight w:val="none"/>
        </w:rPr>
        <w:t>或硅酮板材应固定在其所在表面并用连续的铝合金或奥氏体不锈钢夹固定。夹子应有足够刚度并安装足够的固定件。</w:t>
      </w:r>
    </w:p>
    <w:p>
      <w:pPr>
        <w:pStyle w:val="217"/>
        <w:rPr>
          <w:color w:val="auto"/>
          <w:highlight w:val="none"/>
        </w:rPr>
      </w:pPr>
      <w:r>
        <w:rPr>
          <w:color w:val="auto"/>
          <w:highlight w:val="none"/>
        </w:rPr>
        <w:t>5.</w:t>
      </w:r>
      <w:r>
        <w:rPr>
          <w:rFonts w:hint="eastAsia"/>
          <w:color w:val="auto"/>
          <w:highlight w:val="none"/>
        </w:rPr>
        <w:t>遮水板须设置于隔热材料温度较高的一侧。</w:t>
      </w:r>
    </w:p>
    <w:p>
      <w:pPr>
        <w:pStyle w:val="217"/>
        <w:rPr>
          <w:color w:val="auto"/>
          <w:highlight w:val="none"/>
        </w:rPr>
      </w:pPr>
      <w:r>
        <w:rPr>
          <w:color w:val="auto"/>
          <w:highlight w:val="none"/>
        </w:rPr>
        <w:t>6.</w:t>
      </w:r>
      <w:r>
        <w:rPr>
          <w:rFonts w:hint="eastAsia"/>
          <w:color w:val="auto"/>
          <w:highlight w:val="none"/>
        </w:rPr>
        <w:t>遮水板应采用</w:t>
      </w:r>
      <w:r>
        <w:rPr>
          <w:color w:val="auto"/>
          <w:highlight w:val="none"/>
        </w:rPr>
        <w:t>316</w:t>
      </w:r>
      <w:r>
        <w:rPr>
          <w:rFonts w:hint="eastAsia"/>
          <w:color w:val="auto"/>
          <w:highlight w:val="none"/>
        </w:rPr>
        <w:t>级不锈钢，搭接长度不少于</w:t>
      </w:r>
      <w:r>
        <w:rPr>
          <w:color w:val="auto"/>
          <w:highlight w:val="none"/>
        </w:rPr>
        <w:t>50mm</w:t>
      </w:r>
      <w:r>
        <w:rPr>
          <w:rFonts w:hint="eastAsia"/>
          <w:color w:val="auto"/>
          <w:highlight w:val="none"/>
        </w:rPr>
        <w:t>，接口完全填充耐候密封胶，进行机械固定。遮水板上所有穿孔要打密封胶。</w:t>
      </w:r>
    </w:p>
    <w:p>
      <w:pPr>
        <w:pStyle w:val="119"/>
        <w:rPr>
          <w:color w:val="auto"/>
          <w:highlight w:val="none"/>
        </w:rPr>
      </w:pPr>
      <w:r>
        <w:rPr>
          <w:color w:val="auto"/>
          <w:highlight w:val="none"/>
        </w:rPr>
        <w:t xml:space="preserve">3.6.2.13 </w:t>
      </w:r>
      <w:r>
        <w:rPr>
          <w:rFonts w:hint="eastAsia"/>
          <w:color w:val="auto"/>
          <w:highlight w:val="none"/>
        </w:rPr>
        <w:t>排水沟</w:t>
      </w:r>
    </w:p>
    <w:p>
      <w:pPr>
        <w:pStyle w:val="217"/>
        <w:rPr>
          <w:color w:val="auto"/>
          <w:highlight w:val="none"/>
        </w:rPr>
      </w:pPr>
      <w:r>
        <w:rPr>
          <w:color w:val="auto"/>
          <w:highlight w:val="none"/>
        </w:rPr>
        <w:t>1.</w:t>
      </w:r>
      <w:r>
        <w:rPr>
          <w:rFonts w:hint="eastAsia"/>
          <w:color w:val="auto"/>
          <w:highlight w:val="none"/>
        </w:rPr>
        <w:t>排水沟应采用不少于</w:t>
      </w:r>
      <w:r>
        <w:rPr>
          <w:color w:val="auto"/>
          <w:highlight w:val="none"/>
        </w:rPr>
        <w:t>50mm</w:t>
      </w:r>
      <w:r>
        <w:rPr>
          <w:rFonts w:hint="eastAsia"/>
          <w:color w:val="auto"/>
          <w:highlight w:val="none"/>
        </w:rPr>
        <w:t>厚</w:t>
      </w:r>
      <w:r>
        <w:rPr>
          <w:color w:val="auto"/>
          <w:highlight w:val="none"/>
        </w:rPr>
        <w:t>60kg/m</w:t>
      </w:r>
      <w:r>
        <w:rPr>
          <w:rFonts w:hint="eastAsia"/>
          <w:color w:val="auto"/>
          <w:highlight w:val="none"/>
        </w:rPr>
        <w:t>³的岩棉进行充分隔绝，设计应能在雨水被堵住时也能容纳雨水而不发生结构和防水失效。</w:t>
      </w:r>
    </w:p>
    <w:p>
      <w:pPr>
        <w:pStyle w:val="217"/>
        <w:rPr>
          <w:color w:val="auto"/>
          <w:highlight w:val="none"/>
        </w:rPr>
      </w:pPr>
      <w:r>
        <w:rPr>
          <w:color w:val="auto"/>
          <w:highlight w:val="none"/>
        </w:rPr>
        <w:t>2.</w:t>
      </w:r>
      <w:r>
        <w:rPr>
          <w:rFonts w:hint="eastAsia"/>
          <w:color w:val="auto"/>
          <w:highlight w:val="none"/>
        </w:rPr>
        <w:t>应进行不少于</w:t>
      </w:r>
      <w:r>
        <w:rPr>
          <w:color w:val="auto"/>
          <w:highlight w:val="none"/>
        </w:rPr>
        <w:t>24</w:t>
      </w:r>
      <w:r>
        <w:rPr>
          <w:rFonts w:hint="eastAsia"/>
          <w:color w:val="auto"/>
          <w:highlight w:val="none"/>
        </w:rPr>
        <w:t>小时的现场溢流测试，不应出现任何渗水。</w:t>
      </w:r>
    </w:p>
    <w:p>
      <w:pPr>
        <w:pStyle w:val="217"/>
        <w:rPr>
          <w:color w:val="auto"/>
          <w:highlight w:val="none"/>
        </w:rPr>
      </w:pPr>
      <w:r>
        <w:rPr>
          <w:color w:val="auto"/>
          <w:highlight w:val="none"/>
        </w:rPr>
        <w:t>3.</w:t>
      </w:r>
      <w:r>
        <w:rPr>
          <w:rFonts w:hint="eastAsia"/>
          <w:color w:val="auto"/>
          <w:highlight w:val="none"/>
        </w:rPr>
        <w:t>遮水板的对接、搭接以及封口须结合并密封，且可将水引至集水槽或室外，承包人应提供所有遮水板详图。</w:t>
      </w:r>
    </w:p>
    <w:p>
      <w:pPr>
        <w:pStyle w:val="217"/>
        <w:rPr>
          <w:color w:val="auto"/>
          <w:highlight w:val="none"/>
        </w:rPr>
      </w:pPr>
      <w:r>
        <w:rPr>
          <w:color w:val="auto"/>
          <w:highlight w:val="none"/>
        </w:rPr>
        <w:t>4.</w:t>
      </w:r>
      <w:r>
        <w:rPr>
          <w:rFonts w:hint="eastAsia"/>
          <w:color w:val="auto"/>
          <w:highlight w:val="none"/>
        </w:rPr>
        <w:t>遮水板不可作为水气的阻挡板。</w:t>
      </w:r>
    </w:p>
    <w:p>
      <w:pPr>
        <w:pStyle w:val="119"/>
        <w:rPr>
          <w:color w:val="auto"/>
          <w:highlight w:val="none"/>
        </w:rPr>
      </w:pPr>
      <w:r>
        <w:rPr>
          <w:color w:val="auto"/>
          <w:highlight w:val="none"/>
        </w:rPr>
        <w:t xml:space="preserve">3.6.2.14 </w:t>
      </w:r>
      <w:r>
        <w:rPr>
          <w:rFonts w:hint="eastAsia"/>
          <w:color w:val="auto"/>
          <w:highlight w:val="none"/>
        </w:rPr>
        <w:t>密封胶</w:t>
      </w:r>
    </w:p>
    <w:p>
      <w:pPr>
        <w:pStyle w:val="217"/>
        <w:rPr>
          <w:color w:val="auto"/>
          <w:highlight w:val="none"/>
        </w:rPr>
      </w:pPr>
      <w:r>
        <w:rPr>
          <w:color w:val="auto"/>
          <w:highlight w:val="none"/>
        </w:rPr>
        <w:t>1.</w:t>
      </w:r>
      <w:r>
        <w:rPr>
          <w:rFonts w:hint="eastAsia"/>
          <w:color w:val="auto"/>
          <w:highlight w:val="none"/>
        </w:rPr>
        <w:t>每种密封胶的颜色均须送审核准并提交颜色控制样品。</w:t>
      </w:r>
    </w:p>
    <w:p>
      <w:pPr>
        <w:pStyle w:val="217"/>
        <w:rPr>
          <w:color w:val="auto"/>
          <w:highlight w:val="none"/>
        </w:rPr>
      </w:pPr>
      <w:r>
        <w:rPr>
          <w:color w:val="auto"/>
          <w:highlight w:val="none"/>
        </w:rPr>
        <w:t>2.</w:t>
      </w:r>
      <w:r>
        <w:rPr>
          <w:rFonts w:hint="eastAsia"/>
          <w:color w:val="auto"/>
          <w:highlight w:val="none"/>
        </w:rPr>
        <w:t>所有结构胶应在工厂内施打。</w:t>
      </w:r>
    </w:p>
    <w:p>
      <w:pPr>
        <w:pStyle w:val="217"/>
        <w:rPr>
          <w:color w:val="auto"/>
          <w:highlight w:val="none"/>
        </w:rPr>
      </w:pPr>
      <w:r>
        <w:rPr>
          <w:color w:val="auto"/>
          <w:highlight w:val="none"/>
        </w:rPr>
        <w:t>3.</w:t>
      </w:r>
      <w:r>
        <w:rPr>
          <w:rFonts w:hint="eastAsia"/>
          <w:color w:val="auto"/>
          <w:highlight w:val="none"/>
        </w:rPr>
        <w:t>须由经过训练并有经验的人员施打。</w:t>
      </w:r>
    </w:p>
    <w:p>
      <w:pPr>
        <w:pStyle w:val="217"/>
        <w:rPr>
          <w:color w:val="auto"/>
          <w:highlight w:val="none"/>
        </w:rPr>
      </w:pPr>
      <w:r>
        <w:rPr>
          <w:color w:val="auto"/>
          <w:highlight w:val="none"/>
        </w:rPr>
        <w:t>4.</w:t>
      </w:r>
      <w:r>
        <w:rPr>
          <w:rFonts w:hint="eastAsia"/>
          <w:color w:val="auto"/>
          <w:highlight w:val="none"/>
        </w:rPr>
        <w:t>施打前应清除所有泥浆、灰尘、水气及其它污物，并使用密封胶制造商提议的清洁剂。</w:t>
      </w:r>
    </w:p>
    <w:p>
      <w:pPr>
        <w:pStyle w:val="217"/>
        <w:rPr>
          <w:color w:val="auto"/>
          <w:highlight w:val="none"/>
        </w:rPr>
      </w:pPr>
      <w:r>
        <w:rPr>
          <w:color w:val="auto"/>
          <w:highlight w:val="none"/>
        </w:rPr>
        <w:t>5.</w:t>
      </w:r>
      <w:r>
        <w:rPr>
          <w:rFonts w:hint="eastAsia"/>
          <w:color w:val="auto"/>
          <w:highlight w:val="none"/>
        </w:rPr>
        <w:t>应严格遵守密封胶制造商对接头尺寸的限制，以及搅拌、清洁、底漆、施打各方面的指示。</w:t>
      </w:r>
    </w:p>
    <w:p>
      <w:pPr>
        <w:pStyle w:val="217"/>
        <w:rPr>
          <w:color w:val="auto"/>
          <w:highlight w:val="none"/>
        </w:rPr>
      </w:pPr>
      <w:r>
        <w:rPr>
          <w:color w:val="auto"/>
          <w:highlight w:val="none"/>
        </w:rPr>
        <w:t>6.</w:t>
      </w:r>
      <w:r>
        <w:rPr>
          <w:rFonts w:hint="eastAsia"/>
          <w:color w:val="auto"/>
          <w:highlight w:val="none"/>
        </w:rPr>
        <w:t>密封胶深度不超过接缝宽度，或小于接缝宽度一半或</w:t>
      </w:r>
      <w:r>
        <w:rPr>
          <w:color w:val="auto"/>
          <w:highlight w:val="none"/>
        </w:rPr>
        <w:t>6mm</w:t>
      </w:r>
      <w:r>
        <w:rPr>
          <w:rFonts w:hint="eastAsia"/>
          <w:color w:val="auto"/>
          <w:highlight w:val="none"/>
        </w:rPr>
        <w:t>（以较大值为准）。</w:t>
      </w:r>
    </w:p>
    <w:p>
      <w:pPr>
        <w:pStyle w:val="217"/>
        <w:rPr>
          <w:color w:val="auto"/>
          <w:highlight w:val="none"/>
        </w:rPr>
      </w:pPr>
      <w:r>
        <w:rPr>
          <w:color w:val="auto"/>
          <w:highlight w:val="none"/>
        </w:rPr>
        <w:t>7.</w:t>
      </w:r>
      <w:r>
        <w:rPr>
          <w:rFonts w:hint="eastAsia"/>
          <w:color w:val="auto"/>
          <w:highlight w:val="none"/>
        </w:rPr>
        <w:t>打胶之前在相邻材料表面用保护胶带防护，防止污染、腐蚀或划伤相邻材料。</w:t>
      </w:r>
    </w:p>
    <w:p>
      <w:pPr>
        <w:pStyle w:val="217"/>
        <w:rPr>
          <w:color w:val="auto"/>
          <w:highlight w:val="none"/>
        </w:rPr>
      </w:pPr>
      <w:r>
        <w:rPr>
          <w:color w:val="auto"/>
          <w:highlight w:val="none"/>
        </w:rPr>
        <w:t>8.</w:t>
      </w:r>
      <w:r>
        <w:rPr>
          <w:rFonts w:hint="eastAsia"/>
          <w:color w:val="auto"/>
          <w:highlight w:val="none"/>
        </w:rPr>
        <w:t>打胶后应使原本可能积水的接缝成为防水节点，符合经审批的施工图以及密封胶制造商的技术说明，确保背衬棒安装的深度适合。</w:t>
      </w:r>
    </w:p>
    <w:p>
      <w:pPr>
        <w:pStyle w:val="217"/>
        <w:rPr>
          <w:color w:val="auto"/>
          <w:highlight w:val="none"/>
        </w:rPr>
      </w:pPr>
      <w:r>
        <w:rPr>
          <w:color w:val="auto"/>
          <w:highlight w:val="none"/>
        </w:rPr>
        <w:t>9.</w:t>
      </w:r>
      <w:r>
        <w:rPr>
          <w:rFonts w:hint="eastAsia"/>
          <w:color w:val="auto"/>
          <w:highlight w:val="none"/>
        </w:rPr>
        <w:t>使用专门工具将胶打成略内弧的平面形状，不能使用湿式施打方法。</w:t>
      </w:r>
    </w:p>
    <w:p>
      <w:pPr>
        <w:pStyle w:val="217"/>
        <w:rPr>
          <w:color w:val="auto"/>
          <w:highlight w:val="none"/>
        </w:rPr>
      </w:pPr>
      <w:r>
        <w:rPr>
          <w:color w:val="auto"/>
          <w:highlight w:val="none"/>
        </w:rPr>
        <w:t>10.</w:t>
      </w:r>
      <w:r>
        <w:rPr>
          <w:rFonts w:hint="eastAsia"/>
          <w:color w:val="auto"/>
          <w:highlight w:val="none"/>
        </w:rPr>
        <w:t>施打连续的防烟填缝剂于层间塞上方，防烟填塞剂须连续以完全断烟。</w:t>
      </w:r>
    </w:p>
    <w:p>
      <w:pPr>
        <w:pStyle w:val="119"/>
        <w:rPr>
          <w:color w:val="auto"/>
          <w:highlight w:val="none"/>
        </w:rPr>
      </w:pPr>
      <w:r>
        <w:rPr>
          <w:color w:val="auto"/>
          <w:highlight w:val="none"/>
        </w:rPr>
        <w:t xml:space="preserve">3.6.2.15 </w:t>
      </w:r>
      <w:r>
        <w:rPr>
          <w:rFonts w:hint="eastAsia"/>
          <w:color w:val="auto"/>
          <w:highlight w:val="none"/>
        </w:rPr>
        <w:t>储存、搬运、吊装</w:t>
      </w:r>
    </w:p>
    <w:p>
      <w:pPr>
        <w:pStyle w:val="217"/>
        <w:rPr>
          <w:color w:val="auto"/>
          <w:highlight w:val="none"/>
        </w:rPr>
      </w:pPr>
      <w:r>
        <w:rPr>
          <w:color w:val="auto"/>
          <w:highlight w:val="none"/>
        </w:rPr>
        <w:t>1.</w:t>
      </w:r>
      <w:r>
        <w:rPr>
          <w:rFonts w:hint="eastAsia"/>
          <w:color w:val="auto"/>
          <w:highlight w:val="none"/>
        </w:rPr>
        <w:t>承包人应提供施工方法，详述储存、运输、吊装方法。应能清楚地展示采取的所有手段，确保减少材料破损。施工方法说明应包括下列内容：</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）材料制造商关于在工厂及现场施工之前正确储存材料和构件的指南。</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）现场内外配件临时保护措施的详细计划。</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）吊装的详细计划。</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）运输安排。</w:t>
      </w:r>
    </w:p>
    <w:p>
      <w:pPr>
        <w:pStyle w:val="217"/>
        <w:rPr>
          <w:color w:val="auto"/>
          <w:highlight w:val="none"/>
        </w:rPr>
      </w:pPr>
      <w:r>
        <w:rPr>
          <w:color w:val="auto"/>
          <w:highlight w:val="none"/>
        </w:rPr>
        <w:t>2.</w:t>
      </w:r>
      <w:r>
        <w:rPr>
          <w:rFonts w:hint="eastAsia"/>
          <w:color w:val="auto"/>
          <w:highlight w:val="none"/>
        </w:rPr>
        <w:t>材料、单元板块、框架构件及幕墙所有永久性部件的储存和保护都应防止损坏、变形、不均匀风化以及变质。</w:t>
      </w:r>
    </w:p>
    <w:p>
      <w:pPr>
        <w:pStyle w:val="217"/>
        <w:rPr>
          <w:color w:val="auto"/>
          <w:highlight w:val="none"/>
        </w:rPr>
      </w:pPr>
      <w:r>
        <w:rPr>
          <w:color w:val="auto"/>
          <w:highlight w:val="none"/>
        </w:rPr>
        <w:t>3.</w:t>
      </w:r>
      <w:r>
        <w:rPr>
          <w:rFonts w:hint="eastAsia"/>
          <w:color w:val="auto"/>
          <w:highlight w:val="none"/>
        </w:rPr>
        <w:t>所有部件都应有清楚的标签标记。</w:t>
      </w:r>
    </w:p>
    <w:p>
      <w:pPr>
        <w:pStyle w:val="217"/>
        <w:rPr>
          <w:color w:val="auto"/>
          <w:highlight w:val="none"/>
        </w:rPr>
      </w:pPr>
      <w:r>
        <w:rPr>
          <w:color w:val="auto"/>
          <w:highlight w:val="none"/>
        </w:rPr>
        <w:t>4.</w:t>
      </w:r>
      <w:r>
        <w:rPr>
          <w:rFonts w:hint="eastAsia"/>
          <w:color w:val="auto"/>
          <w:highlight w:val="none"/>
        </w:rPr>
        <w:t>所有部件使用前应根据质量控制计划进行检查。</w:t>
      </w:r>
    </w:p>
    <w:p>
      <w:pPr>
        <w:pStyle w:val="217"/>
        <w:rPr>
          <w:color w:val="auto"/>
          <w:highlight w:val="none"/>
        </w:rPr>
      </w:pPr>
      <w:r>
        <w:rPr>
          <w:color w:val="auto"/>
          <w:highlight w:val="none"/>
        </w:rPr>
        <w:t>5.</w:t>
      </w:r>
      <w:r>
        <w:rPr>
          <w:rFonts w:hint="eastAsia"/>
          <w:color w:val="auto"/>
          <w:highlight w:val="none"/>
        </w:rPr>
        <w:t>所有损坏均应记录并在安装前与发包人商定修补方案。</w:t>
      </w:r>
    </w:p>
    <w:p>
      <w:pPr>
        <w:pStyle w:val="217"/>
        <w:rPr>
          <w:color w:val="auto"/>
          <w:highlight w:val="none"/>
        </w:rPr>
      </w:pPr>
      <w:r>
        <w:rPr>
          <w:color w:val="auto"/>
          <w:highlight w:val="none"/>
        </w:rPr>
        <w:t>6.</w:t>
      </w:r>
      <w:r>
        <w:rPr>
          <w:rFonts w:hint="eastAsia"/>
          <w:color w:val="auto"/>
          <w:highlight w:val="none"/>
        </w:rPr>
        <w:t>所有运到现场的材料、构件及配件应无缺陷。</w:t>
      </w:r>
    </w:p>
    <w:p>
      <w:pPr>
        <w:pStyle w:val="217"/>
        <w:rPr>
          <w:color w:val="auto"/>
          <w:highlight w:val="none"/>
        </w:rPr>
      </w:pPr>
      <w:r>
        <w:rPr>
          <w:color w:val="auto"/>
          <w:highlight w:val="none"/>
        </w:rPr>
        <w:t>7.</w:t>
      </w:r>
      <w:r>
        <w:rPr>
          <w:rFonts w:hint="eastAsia"/>
          <w:color w:val="auto"/>
          <w:highlight w:val="none"/>
        </w:rPr>
        <w:t>玻璃或其它外露表面上的焊花将构成对玻璃或其它外露材料拒收的理由，承包人应承担一切费用。</w:t>
      </w:r>
    </w:p>
    <w:p>
      <w:pPr>
        <w:pStyle w:val="217"/>
        <w:rPr>
          <w:color w:val="auto"/>
          <w:highlight w:val="none"/>
        </w:rPr>
      </w:pPr>
      <w:r>
        <w:rPr>
          <w:color w:val="auto"/>
          <w:highlight w:val="none"/>
        </w:rPr>
        <w:t>8.</w:t>
      </w:r>
      <w:r>
        <w:rPr>
          <w:rFonts w:hint="eastAsia"/>
          <w:color w:val="auto"/>
          <w:highlight w:val="none"/>
        </w:rPr>
        <w:t>材料应小心储存在干燥处，需要时应遵照制造商的提议。</w:t>
      </w:r>
    </w:p>
    <w:p>
      <w:pPr>
        <w:pStyle w:val="217"/>
        <w:rPr>
          <w:color w:val="auto"/>
          <w:highlight w:val="none"/>
        </w:rPr>
      </w:pPr>
      <w:r>
        <w:rPr>
          <w:color w:val="auto"/>
          <w:highlight w:val="none"/>
        </w:rPr>
        <w:t>9.</w:t>
      </w:r>
      <w:r>
        <w:rPr>
          <w:rFonts w:hint="eastAsia"/>
          <w:color w:val="auto"/>
          <w:highlight w:val="none"/>
        </w:rPr>
        <w:t>吊装构件就位时均应小心操作，以免构件及其表面受损。</w:t>
      </w:r>
    </w:p>
    <w:p>
      <w:pPr>
        <w:pStyle w:val="217"/>
        <w:rPr>
          <w:color w:val="auto"/>
          <w:highlight w:val="none"/>
        </w:rPr>
      </w:pPr>
      <w:r>
        <w:rPr>
          <w:color w:val="auto"/>
          <w:highlight w:val="none"/>
        </w:rPr>
        <w:t>10.</w:t>
      </w:r>
      <w:r>
        <w:rPr>
          <w:rFonts w:hint="eastAsia"/>
          <w:color w:val="auto"/>
          <w:highlight w:val="none"/>
        </w:rPr>
        <w:t>装配好的玻璃板块应储存在干燥通风处，尽量减少搬动，防止污染和结露。</w:t>
      </w:r>
    </w:p>
    <w:p>
      <w:pPr>
        <w:pStyle w:val="119"/>
        <w:rPr>
          <w:color w:val="auto"/>
          <w:highlight w:val="none"/>
        </w:rPr>
      </w:pPr>
      <w:r>
        <w:rPr>
          <w:color w:val="auto"/>
          <w:highlight w:val="none"/>
        </w:rPr>
        <w:t xml:space="preserve">3.6.2.16 </w:t>
      </w:r>
      <w:r>
        <w:rPr>
          <w:rFonts w:hint="eastAsia"/>
          <w:color w:val="auto"/>
          <w:highlight w:val="none"/>
        </w:rPr>
        <w:t>保护、清洗</w:t>
      </w:r>
    </w:p>
    <w:p>
      <w:pPr>
        <w:pStyle w:val="217"/>
        <w:rPr>
          <w:color w:val="auto"/>
          <w:highlight w:val="none"/>
        </w:rPr>
      </w:pPr>
      <w:r>
        <w:rPr>
          <w:color w:val="auto"/>
          <w:highlight w:val="none"/>
        </w:rPr>
        <w:t>1.</w:t>
      </w:r>
      <w:r>
        <w:rPr>
          <w:rFonts w:hint="eastAsia"/>
          <w:color w:val="auto"/>
          <w:highlight w:val="none"/>
        </w:rPr>
        <w:t>验收前的所有材料破损均由承包人承担。</w:t>
      </w:r>
    </w:p>
    <w:p>
      <w:pPr>
        <w:pStyle w:val="217"/>
        <w:rPr>
          <w:color w:val="auto"/>
          <w:highlight w:val="none"/>
        </w:rPr>
      </w:pPr>
      <w:r>
        <w:rPr>
          <w:color w:val="auto"/>
          <w:highlight w:val="none"/>
        </w:rPr>
        <w:t>2.</w:t>
      </w:r>
      <w:r>
        <w:rPr>
          <w:rFonts w:hint="eastAsia"/>
          <w:color w:val="auto"/>
          <w:highlight w:val="none"/>
        </w:rPr>
        <w:t>质保期内所有玻璃的损坏都将被考虑为材料或工艺缺陷，除非已确认是故意或非材料和工艺缺陷的原因造成。</w:t>
      </w:r>
    </w:p>
    <w:p>
      <w:pPr>
        <w:pStyle w:val="217"/>
        <w:rPr>
          <w:color w:val="auto"/>
          <w:highlight w:val="none"/>
        </w:rPr>
      </w:pPr>
      <w:r>
        <w:rPr>
          <w:color w:val="auto"/>
          <w:highlight w:val="none"/>
        </w:rPr>
        <w:t>3.</w:t>
      </w:r>
      <w:r>
        <w:rPr>
          <w:rFonts w:hint="eastAsia"/>
          <w:color w:val="auto"/>
          <w:highlight w:val="none"/>
        </w:rPr>
        <w:t>尤其注意以下部位的保护：膜层表面、玻璃、金属边缘、转角、装饰件等。</w:t>
      </w:r>
    </w:p>
    <w:p>
      <w:pPr>
        <w:pStyle w:val="217"/>
        <w:rPr>
          <w:color w:val="auto"/>
          <w:highlight w:val="none"/>
        </w:rPr>
      </w:pPr>
      <w:r>
        <w:rPr>
          <w:color w:val="auto"/>
          <w:highlight w:val="none"/>
        </w:rPr>
        <w:t>4.</w:t>
      </w:r>
      <w:r>
        <w:rPr>
          <w:rFonts w:hint="eastAsia"/>
          <w:color w:val="auto"/>
          <w:highlight w:val="none"/>
        </w:rPr>
        <w:t>除非另行同意，否则保护设施应到所有可能构成威胁的工作完成后才可拆除。</w:t>
      </w:r>
    </w:p>
    <w:p>
      <w:pPr>
        <w:pStyle w:val="217"/>
        <w:rPr>
          <w:color w:val="auto"/>
          <w:highlight w:val="none"/>
        </w:rPr>
      </w:pPr>
      <w:r>
        <w:rPr>
          <w:color w:val="auto"/>
          <w:highlight w:val="none"/>
        </w:rPr>
        <w:t>5.</w:t>
      </w:r>
      <w:r>
        <w:rPr>
          <w:rFonts w:hint="eastAsia"/>
          <w:color w:val="auto"/>
          <w:highlight w:val="none"/>
        </w:rPr>
        <w:t>临时保护所用材料应与所保护表面和完成面相容，并能不留任何痕迹地拆除。拆除方法应得到构件制造、加工厂商认可。</w:t>
      </w:r>
    </w:p>
    <w:p>
      <w:pPr>
        <w:pStyle w:val="217"/>
        <w:rPr>
          <w:color w:val="auto"/>
          <w:highlight w:val="none"/>
        </w:rPr>
      </w:pPr>
      <w:r>
        <w:rPr>
          <w:color w:val="auto"/>
          <w:highlight w:val="none"/>
        </w:rPr>
        <w:t>6.</w:t>
      </w:r>
      <w:r>
        <w:rPr>
          <w:rFonts w:hint="eastAsia"/>
          <w:color w:val="auto"/>
          <w:highlight w:val="none"/>
        </w:rPr>
        <w:t>除非另行商定，否则拆除保护和幕墙清洗应在完工之后进行。</w:t>
      </w:r>
    </w:p>
    <w:p>
      <w:pPr>
        <w:pStyle w:val="217"/>
        <w:rPr>
          <w:color w:val="auto"/>
          <w:highlight w:val="none"/>
        </w:rPr>
      </w:pPr>
      <w:r>
        <w:rPr>
          <w:color w:val="auto"/>
          <w:highlight w:val="none"/>
        </w:rPr>
        <w:t>7.</w:t>
      </w:r>
      <w:r>
        <w:rPr>
          <w:rFonts w:hint="eastAsia"/>
          <w:color w:val="auto"/>
          <w:highlight w:val="none"/>
        </w:rPr>
        <w:t>安装前承包人应提交各不同构件的保护措施供业主、顾问审批。</w:t>
      </w:r>
    </w:p>
    <w:p>
      <w:pPr>
        <w:pStyle w:val="217"/>
        <w:rPr>
          <w:color w:val="auto"/>
          <w:highlight w:val="none"/>
        </w:rPr>
      </w:pPr>
      <w:r>
        <w:rPr>
          <w:color w:val="auto"/>
          <w:highlight w:val="none"/>
        </w:rPr>
        <w:t>8.</w:t>
      </w:r>
      <w:r>
        <w:rPr>
          <w:rFonts w:hint="eastAsia"/>
          <w:color w:val="auto"/>
          <w:highlight w:val="none"/>
        </w:rPr>
        <w:t>承包人应负责清除结构灰尘和水泥砂浆，避免玷污玻璃和支承构件。</w:t>
      </w:r>
    </w:p>
    <w:p>
      <w:pPr>
        <w:pStyle w:val="217"/>
        <w:rPr>
          <w:color w:val="auto"/>
          <w:highlight w:val="none"/>
        </w:rPr>
      </w:pPr>
      <w:r>
        <w:rPr>
          <w:color w:val="auto"/>
          <w:highlight w:val="none"/>
        </w:rPr>
        <w:t>9.</w:t>
      </w:r>
      <w:r>
        <w:rPr>
          <w:rFonts w:hint="eastAsia"/>
          <w:color w:val="auto"/>
          <w:highlight w:val="none"/>
        </w:rPr>
        <w:t>不允许采用粘性材料作为保护措施。</w:t>
      </w:r>
    </w:p>
    <w:p>
      <w:pPr>
        <w:pStyle w:val="217"/>
        <w:rPr>
          <w:color w:val="auto"/>
          <w:highlight w:val="none"/>
        </w:rPr>
      </w:pPr>
      <w:r>
        <w:rPr>
          <w:color w:val="auto"/>
          <w:highlight w:val="none"/>
        </w:rPr>
        <w:t>10.</w:t>
      </w:r>
      <w:r>
        <w:rPr>
          <w:rFonts w:hint="eastAsia"/>
          <w:color w:val="auto"/>
          <w:highlight w:val="none"/>
        </w:rPr>
        <w:t>所有孔洞、槽口以及封闭节点，都应进行清洗，保证这些部位无碎石、灰尘和其它外部材料。应保证所有披水板始终保持干净，无碎石和其它外部材料。</w:t>
      </w:r>
    </w:p>
    <w:p>
      <w:pPr>
        <w:pStyle w:val="217"/>
        <w:rPr>
          <w:color w:val="auto"/>
          <w:highlight w:val="none"/>
        </w:rPr>
      </w:pPr>
      <w:r>
        <w:rPr>
          <w:color w:val="auto"/>
          <w:highlight w:val="none"/>
        </w:rPr>
        <w:t>11.</w:t>
      </w:r>
      <w:r>
        <w:rPr>
          <w:rFonts w:hint="eastAsia"/>
          <w:color w:val="auto"/>
          <w:highlight w:val="none"/>
        </w:rPr>
        <w:t>竣工前，安装完成后每隔</w:t>
      </w:r>
      <w:r>
        <w:rPr>
          <w:color w:val="auto"/>
          <w:highlight w:val="none"/>
        </w:rPr>
        <w:t>3</w:t>
      </w:r>
      <w:r>
        <w:rPr>
          <w:rFonts w:hint="eastAsia"/>
          <w:color w:val="auto"/>
          <w:highlight w:val="none"/>
        </w:rPr>
        <w:t>个月进行幕墙清洗，范围包括所有已安装的面板。如已完成主体结构发生严重洗缝流淌，应及时清洗玻璃或其它材料，避免出现永久痕迹。</w:t>
      </w:r>
    </w:p>
    <w:p>
      <w:pPr>
        <w:pStyle w:val="217"/>
        <w:rPr>
          <w:color w:val="auto"/>
          <w:highlight w:val="none"/>
        </w:rPr>
      </w:pPr>
      <w:r>
        <w:rPr>
          <w:color w:val="auto"/>
          <w:highlight w:val="none"/>
        </w:rPr>
        <w:t>12.</w:t>
      </w:r>
      <w:r>
        <w:rPr>
          <w:rFonts w:hint="eastAsia"/>
          <w:color w:val="auto"/>
          <w:highlight w:val="none"/>
        </w:rPr>
        <w:t>清洁方法应与材料制造商提议方法相符。不应使用摩擦性清洁剂来清洁材料表面，应避免材料表面被任何摩擦性颗粒擦伤。</w:t>
      </w:r>
    </w:p>
    <w:p>
      <w:pPr>
        <w:pStyle w:val="217"/>
        <w:rPr>
          <w:color w:val="auto"/>
          <w:highlight w:val="none"/>
        </w:rPr>
      </w:pPr>
      <w:r>
        <w:rPr>
          <w:color w:val="auto"/>
          <w:highlight w:val="none"/>
        </w:rPr>
        <w:t>13.</w:t>
      </w:r>
      <w:r>
        <w:rPr>
          <w:rFonts w:hint="eastAsia"/>
          <w:color w:val="auto"/>
          <w:highlight w:val="none"/>
        </w:rPr>
        <w:t>工作完成之后用清水和软布清洗墙面。不应使用刷子、酸性清洁剂或其它含有苛性和刺激性成分的清洁用品。对于多余的密封胶，应使用密封胶和玻璃制造商均可接受的矿物溶液或其它溶液清洗。</w:t>
      </w:r>
    </w:p>
    <w:p>
      <w:pPr>
        <w:pStyle w:val="113"/>
        <w:spacing w:before="120" w:after="120"/>
        <w:outlineLvl w:val="2"/>
        <w:rPr>
          <w:color w:val="auto"/>
          <w:highlight w:val="none"/>
        </w:rPr>
      </w:pPr>
      <w:bookmarkStart w:id="7734" w:name="_Toc66634414"/>
      <w:bookmarkStart w:id="7735" w:name="_Toc69114155"/>
      <w:bookmarkStart w:id="7736" w:name="_Toc505345727"/>
      <w:bookmarkStart w:id="7737" w:name="_Toc66890409"/>
      <w:r>
        <w:rPr>
          <w:color w:val="auto"/>
          <w:highlight w:val="none"/>
        </w:rPr>
        <w:t xml:space="preserve">3.7 </w:t>
      </w:r>
      <w:r>
        <w:rPr>
          <w:rFonts w:hint="eastAsia"/>
          <w:color w:val="auto"/>
          <w:highlight w:val="none"/>
        </w:rPr>
        <w:t>室外工程技术要求</w:t>
      </w:r>
      <w:bookmarkEnd w:id="7734"/>
      <w:bookmarkEnd w:id="7735"/>
      <w:bookmarkEnd w:id="7736"/>
      <w:bookmarkEnd w:id="7737"/>
    </w:p>
    <w:p>
      <w:pPr>
        <w:pStyle w:val="217"/>
        <w:rPr>
          <w:color w:val="auto"/>
          <w:highlight w:val="none"/>
        </w:rPr>
      </w:pPr>
      <w:r>
        <w:rPr>
          <w:rFonts w:hint="eastAsia"/>
          <w:color w:val="auto"/>
          <w:highlight w:val="none"/>
        </w:rPr>
        <w:t>旋挖桩、碎石桩、护坡、挡土墙等可参考本章其他内容，但须按图施工。所有施工方案均要报监理审批后方可施工。承包人应编制室外管网二维综合管线图、</w:t>
      </w:r>
      <w:r>
        <w:rPr>
          <w:color w:val="auto"/>
          <w:highlight w:val="none"/>
        </w:rPr>
        <w:t>BIM</w:t>
      </w:r>
      <w:r>
        <w:rPr>
          <w:rFonts w:hint="eastAsia"/>
          <w:color w:val="auto"/>
          <w:highlight w:val="none"/>
        </w:rPr>
        <w:t>信息模型，在承包人进场后的两个月内报监理工程师审核，发包人</w:t>
      </w:r>
      <w:r>
        <w:rPr>
          <w:rFonts w:hint="eastAsia"/>
          <w:color w:val="auto"/>
          <w:highlight w:val="none"/>
          <w:lang w:eastAsia="zh-CN"/>
        </w:rPr>
        <w:t>书面</w:t>
      </w:r>
      <w:r>
        <w:rPr>
          <w:rFonts w:hint="eastAsia"/>
          <w:color w:val="auto"/>
          <w:highlight w:val="none"/>
        </w:rPr>
        <w:t>批准后实施。</w:t>
      </w:r>
    </w:p>
    <w:p>
      <w:pPr>
        <w:pStyle w:val="172"/>
        <w:rPr>
          <w:color w:val="auto"/>
          <w:highlight w:val="none"/>
        </w:rPr>
      </w:pPr>
      <w:r>
        <w:rPr>
          <w:color w:val="auto"/>
          <w:highlight w:val="none"/>
        </w:rPr>
        <w:t xml:space="preserve">3.7.1 </w:t>
      </w:r>
      <w:r>
        <w:rPr>
          <w:rFonts w:hint="eastAsia"/>
          <w:color w:val="auto"/>
          <w:highlight w:val="none"/>
        </w:rPr>
        <w:t>毛石砼挡土墙技术要求</w:t>
      </w:r>
    </w:p>
    <w:p>
      <w:pPr>
        <w:pStyle w:val="217"/>
        <w:rPr>
          <w:color w:val="auto"/>
          <w:highlight w:val="none"/>
        </w:rPr>
      </w:pPr>
      <w:r>
        <w:rPr>
          <w:rFonts w:hint="eastAsia"/>
          <w:color w:val="auto"/>
          <w:highlight w:val="none"/>
        </w:rPr>
        <w:t>本标段基坑支护、东部土方消纳场均设计有毛石混凝土挡墙。</w:t>
      </w:r>
    </w:p>
    <w:p>
      <w:pPr>
        <w:pStyle w:val="217"/>
        <w:rPr>
          <w:color w:val="auto"/>
          <w:highlight w:val="none"/>
        </w:rPr>
      </w:pPr>
      <w:r>
        <w:rPr>
          <w:rFonts w:hint="eastAsia"/>
          <w:color w:val="auto"/>
          <w:highlight w:val="none"/>
        </w:rPr>
        <w:t>技术要求：</w:t>
      </w:r>
    </w:p>
    <w:p>
      <w:pPr>
        <w:pStyle w:val="217"/>
        <w:rPr>
          <w:color w:val="auto"/>
          <w:highlight w:val="none"/>
        </w:rPr>
      </w:pPr>
      <w:r>
        <w:rPr>
          <w:color w:val="auto"/>
          <w:highlight w:val="none"/>
        </w:rPr>
        <w:t>1.</w:t>
      </w:r>
      <w:r>
        <w:rPr>
          <w:rFonts w:hint="eastAsia"/>
          <w:color w:val="auto"/>
          <w:highlight w:val="none"/>
        </w:rPr>
        <w:t>毛石砼挡土墙采用商品浇筑，严格控制配合比，砼中片石的掺量控制在</w:t>
      </w:r>
      <w:r>
        <w:rPr>
          <w:color w:val="auto"/>
          <w:highlight w:val="none"/>
        </w:rPr>
        <w:t>30%</w:t>
      </w:r>
      <w:r>
        <w:rPr>
          <w:rFonts w:hint="eastAsia"/>
          <w:color w:val="auto"/>
          <w:highlight w:val="none"/>
        </w:rPr>
        <w:t>范围以内，毛石用人工摆放，分散布置</w:t>
      </w:r>
      <w:r>
        <w:rPr>
          <w:color w:val="auto"/>
          <w:highlight w:val="none"/>
        </w:rPr>
        <w:t xml:space="preserve"> </w:t>
      </w:r>
      <w:r>
        <w:rPr>
          <w:rFonts w:hint="eastAsia"/>
          <w:color w:val="auto"/>
          <w:highlight w:val="none"/>
        </w:rPr>
        <w:t>。</w:t>
      </w:r>
    </w:p>
    <w:p>
      <w:pPr>
        <w:pStyle w:val="217"/>
        <w:rPr>
          <w:color w:val="auto"/>
          <w:highlight w:val="none"/>
        </w:rPr>
      </w:pPr>
      <w:r>
        <w:rPr>
          <w:color w:val="auto"/>
          <w:highlight w:val="none"/>
        </w:rPr>
        <w:t>2.</w:t>
      </w:r>
      <w:r>
        <w:rPr>
          <w:rFonts w:hint="eastAsia"/>
          <w:color w:val="auto"/>
          <w:highlight w:val="none"/>
        </w:rPr>
        <w:t>采用插入式</w:t>
      </w:r>
      <w:r>
        <w:rPr>
          <w:color w:val="auto"/>
          <w:highlight w:val="none"/>
        </w:rPr>
        <w:t>50</w:t>
      </w:r>
      <w:r>
        <w:rPr>
          <w:rFonts w:hint="eastAsia"/>
          <w:color w:val="auto"/>
          <w:highlight w:val="none"/>
        </w:rPr>
        <w:t>型振动棒进行振动棒进行振捣，砼振捣密实，振捣过程中快插慢抽，无漏振</w:t>
      </w:r>
      <w:r>
        <w:rPr>
          <w:color w:val="auto"/>
          <w:highlight w:val="none"/>
        </w:rPr>
        <w:t>,</w:t>
      </w:r>
      <w:r>
        <w:rPr>
          <w:rFonts w:hint="eastAsia"/>
          <w:color w:val="auto"/>
          <w:highlight w:val="none"/>
        </w:rPr>
        <w:t>无蜂窝。</w:t>
      </w:r>
    </w:p>
    <w:p>
      <w:pPr>
        <w:pStyle w:val="217"/>
        <w:rPr>
          <w:color w:val="auto"/>
          <w:highlight w:val="none"/>
        </w:rPr>
      </w:pPr>
      <w:r>
        <w:rPr>
          <w:color w:val="auto"/>
          <w:highlight w:val="none"/>
        </w:rPr>
        <w:t>3.</w:t>
      </w:r>
      <w:r>
        <w:rPr>
          <w:rFonts w:hint="eastAsia"/>
          <w:color w:val="auto"/>
          <w:highlight w:val="none"/>
        </w:rPr>
        <w:t>砼浇筑后应及时养护，防止内外温差过大而产生砼收缩开裂。</w:t>
      </w:r>
    </w:p>
    <w:p>
      <w:pPr>
        <w:pStyle w:val="217"/>
        <w:rPr>
          <w:color w:val="auto"/>
          <w:highlight w:val="none"/>
        </w:rPr>
      </w:pPr>
      <w:r>
        <w:rPr>
          <w:color w:val="auto"/>
          <w:highlight w:val="none"/>
        </w:rPr>
        <w:t>4.</w:t>
      </w:r>
      <w:r>
        <w:rPr>
          <w:rFonts w:hint="eastAsia"/>
          <w:color w:val="auto"/>
          <w:highlight w:val="none"/>
        </w:rPr>
        <w:t>现场制作砼试块，标准养护。</w:t>
      </w:r>
    </w:p>
    <w:p>
      <w:pPr>
        <w:pStyle w:val="217"/>
        <w:rPr>
          <w:color w:val="auto"/>
          <w:highlight w:val="none"/>
        </w:rPr>
      </w:pPr>
      <w:r>
        <w:rPr>
          <w:color w:val="auto"/>
          <w:highlight w:val="none"/>
        </w:rPr>
        <w:t>5.</w:t>
      </w:r>
      <w:r>
        <w:rPr>
          <w:rFonts w:hint="eastAsia"/>
          <w:color w:val="auto"/>
          <w:highlight w:val="none"/>
        </w:rPr>
        <w:t>伸缩缝、沉降缝用</w:t>
      </w:r>
      <w:r>
        <w:rPr>
          <w:color w:val="auto"/>
          <w:highlight w:val="none"/>
        </w:rPr>
        <w:t>20mm</w:t>
      </w:r>
      <w:r>
        <w:rPr>
          <w:rFonts w:hint="eastAsia"/>
          <w:color w:val="auto"/>
          <w:highlight w:val="none"/>
        </w:rPr>
        <w:t>挤塑泡沫板隔离。</w:t>
      </w:r>
    </w:p>
    <w:p>
      <w:pPr>
        <w:pStyle w:val="217"/>
        <w:rPr>
          <w:color w:val="auto"/>
          <w:highlight w:val="none"/>
        </w:rPr>
      </w:pPr>
      <w:r>
        <w:rPr>
          <w:color w:val="auto"/>
          <w:highlight w:val="none"/>
        </w:rPr>
        <w:t>6.</w:t>
      </w:r>
      <w:r>
        <w:rPr>
          <w:rFonts w:hint="eastAsia"/>
          <w:color w:val="auto"/>
          <w:highlight w:val="none"/>
        </w:rPr>
        <w:t>片石要求：（</w:t>
      </w:r>
      <w:r>
        <w:rPr>
          <w:color w:val="auto"/>
          <w:highlight w:val="none"/>
        </w:rPr>
        <w:t>1</w:t>
      </w:r>
      <w:r>
        <w:rPr>
          <w:rFonts w:hint="eastAsia"/>
          <w:color w:val="auto"/>
          <w:highlight w:val="none"/>
        </w:rPr>
        <w:t>）片石强度不应小于</w:t>
      </w:r>
      <w:r>
        <w:rPr>
          <w:color w:val="auto"/>
          <w:highlight w:val="none"/>
        </w:rPr>
        <w:t>MU30</w:t>
      </w:r>
      <w:r>
        <w:rPr>
          <w:rFonts w:hint="eastAsia"/>
          <w:color w:val="auto"/>
          <w:highlight w:val="none"/>
        </w:rPr>
        <w:t>。</w:t>
      </w:r>
    </w:p>
    <w:p>
      <w:pPr>
        <w:pStyle w:val="217"/>
        <w:rPr>
          <w:color w:val="auto"/>
          <w:highlight w:val="none"/>
        </w:rPr>
      </w:pPr>
      <w:r>
        <w:rPr>
          <w:color w:val="auto"/>
          <w:highlight w:val="none"/>
        </w:rPr>
        <w:t xml:space="preserve">           </w:t>
      </w:r>
      <w:r>
        <w:rPr>
          <w:rFonts w:hint="eastAsia"/>
          <w:color w:val="auto"/>
          <w:highlight w:val="none"/>
        </w:rPr>
        <w:t>（</w:t>
      </w:r>
      <w:r>
        <w:rPr>
          <w:color w:val="auto"/>
          <w:highlight w:val="none"/>
        </w:rPr>
        <w:t>2</w:t>
      </w:r>
      <w:r>
        <w:rPr>
          <w:rFonts w:hint="eastAsia"/>
          <w:color w:val="auto"/>
          <w:highlight w:val="none"/>
        </w:rPr>
        <w:t>）片石顶应覆盖不小于</w:t>
      </w:r>
      <w:r>
        <w:rPr>
          <w:color w:val="auto"/>
          <w:highlight w:val="none"/>
        </w:rPr>
        <w:t>250mm</w:t>
      </w:r>
      <w:r>
        <w:rPr>
          <w:rFonts w:hint="eastAsia"/>
          <w:color w:val="auto"/>
          <w:highlight w:val="none"/>
        </w:rPr>
        <w:t>砼。</w:t>
      </w:r>
    </w:p>
    <w:p>
      <w:pPr>
        <w:pStyle w:val="217"/>
        <w:rPr>
          <w:color w:val="auto"/>
          <w:highlight w:val="none"/>
        </w:rPr>
      </w:pPr>
      <w:r>
        <w:rPr>
          <w:color w:val="auto"/>
          <w:highlight w:val="none"/>
        </w:rPr>
        <w:t xml:space="preserve">           </w:t>
      </w:r>
      <w:r>
        <w:rPr>
          <w:rFonts w:hint="eastAsia"/>
          <w:color w:val="auto"/>
          <w:highlight w:val="none"/>
        </w:rPr>
        <w:t>（</w:t>
      </w:r>
      <w:r>
        <w:rPr>
          <w:color w:val="auto"/>
          <w:highlight w:val="none"/>
        </w:rPr>
        <w:t>3</w:t>
      </w:r>
      <w:r>
        <w:rPr>
          <w:rFonts w:hint="eastAsia"/>
          <w:color w:val="auto"/>
          <w:highlight w:val="none"/>
        </w:rPr>
        <w:t>）片石体积不超过片石砼体积的</w:t>
      </w:r>
      <w:r>
        <w:rPr>
          <w:color w:val="auto"/>
          <w:highlight w:val="none"/>
        </w:rPr>
        <w:t>30%</w:t>
      </w:r>
      <w:r>
        <w:rPr>
          <w:rFonts w:hint="eastAsia"/>
          <w:color w:val="auto"/>
          <w:highlight w:val="none"/>
        </w:rPr>
        <w:t>。</w:t>
      </w:r>
    </w:p>
    <w:p>
      <w:pPr>
        <w:pStyle w:val="217"/>
        <w:rPr>
          <w:color w:val="auto"/>
          <w:highlight w:val="none"/>
        </w:rPr>
      </w:pPr>
      <w:r>
        <w:rPr>
          <w:color w:val="auto"/>
          <w:highlight w:val="none"/>
        </w:rPr>
        <w:t>7.</w:t>
      </w:r>
      <w:r>
        <w:rPr>
          <w:rFonts w:hint="eastAsia"/>
          <w:color w:val="auto"/>
          <w:highlight w:val="none"/>
        </w:rPr>
        <w:t>墙背回填及泄水孔、沉降缝设置：</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）墙身地面以上布置泄水孔，泄水间距</w:t>
      </w:r>
      <w:r>
        <w:rPr>
          <w:color w:val="auto"/>
          <w:highlight w:val="none"/>
        </w:rPr>
        <w:t>2M</w:t>
      </w:r>
      <w:r>
        <w:rPr>
          <w:rFonts w:hint="eastAsia"/>
          <w:color w:val="auto"/>
          <w:highlight w:val="none"/>
        </w:rPr>
        <w:t>，孔径</w:t>
      </w:r>
      <w:r>
        <w:rPr>
          <w:color w:val="auto"/>
          <w:highlight w:val="none"/>
        </w:rPr>
        <w:t>100mm</w:t>
      </w:r>
      <w:r>
        <w:rPr>
          <w:rFonts w:hint="eastAsia"/>
          <w:color w:val="auto"/>
          <w:highlight w:val="none"/>
        </w:rPr>
        <w:t>，孔外倾</w:t>
      </w:r>
      <w:r>
        <w:rPr>
          <w:color w:val="auto"/>
          <w:highlight w:val="none"/>
        </w:rPr>
        <w:t>5%</w:t>
      </w:r>
      <w:r>
        <w:rPr>
          <w:rFonts w:hint="eastAsia"/>
          <w:color w:val="auto"/>
          <w:highlight w:val="none"/>
        </w:rPr>
        <w:t>，最低一排泄水孔高于坡脚地面不小于</w:t>
      </w:r>
      <w:r>
        <w:rPr>
          <w:color w:val="auto"/>
          <w:highlight w:val="none"/>
        </w:rPr>
        <w:t>300mm,</w:t>
      </w:r>
      <w:r>
        <w:rPr>
          <w:rFonts w:hint="eastAsia"/>
          <w:color w:val="auto"/>
          <w:highlight w:val="none"/>
        </w:rPr>
        <w:t>伸入墙背</w:t>
      </w:r>
      <w:r>
        <w:rPr>
          <w:color w:val="auto"/>
          <w:highlight w:val="none"/>
        </w:rPr>
        <w:t>100mm</w:t>
      </w:r>
      <w:r>
        <w:rPr>
          <w:rFonts w:hint="eastAsia"/>
          <w:color w:val="auto"/>
          <w:highlight w:val="none"/>
        </w:rPr>
        <w:t>，端部用</w:t>
      </w:r>
      <w:r>
        <w:rPr>
          <w:color w:val="auto"/>
          <w:highlight w:val="none"/>
        </w:rPr>
        <w:t>200mm</w:t>
      </w:r>
      <w:r>
        <w:rPr>
          <w:rFonts w:hint="eastAsia"/>
          <w:color w:val="auto"/>
          <w:highlight w:val="none"/>
        </w:rPr>
        <w:t>长土工布包裹，泄水孔后用沙砾石回填</w:t>
      </w:r>
      <w:r>
        <w:rPr>
          <w:color w:val="auto"/>
          <w:highlight w:val="none"/>
        </w:rPr>
        <w:t>300mm</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）墙身片石砼强度达到</w:t>
      </w:r>
      <w:r>
        <w:rPr>
          <w:color w:val="auto"/>
          <w:highlight w:val="none"/>
        </w:rPr>
        <w:t>70%</w:t>
      </w:r>
      <w:r>
        <w:rPr>
          <w:rFonts w:hint="eastAsia"/>
          <w:color w:val="auto"/>
          <w:highlight w:val="none"/>
        </w:rPr>
        <w:t>以上进行挡墙背回填，以确保砼质量。</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）挡土墙按</w:t>
      </w:r>
      <w:r>
        <w:rPr>
          <w:color w:val="auto"/>
          <w:highlight w:val="none"/>
        </w:rPr>
        <w:t>10M</w:t>
      </w:r>
      <w:r>
        <w:rPr>
          <w:rFonts w:hint="eastAsia"/>
          <w:color w:val="auto"/>
          <w:highlight w:val="none"/>
        </w:rPr>
        <w:t>设置沉降缝（兼作伸缩缝），缝宽</w:t>
      </w:r>
      <w:r>
        <w:rPr>
          <w:color w:val="auto"/>
          <w:highlight w:val="none"/>
        </w:rPr>
        <w:t>20-30mm,</w:t>
      </w:r>
      <w:r>
        <w:rPr>
          <w:rFonts w:hint="eastAsia"/>
          <w:color w:val="auto"/>
          <w:highlight w:val="none"/>
        </w:rPr>
        <w:t>缝中采用</w:t>
      </w:r>
      <w:r>
        <w:rPr>
          <w:color w:val="auto"/>
          <w:highlight w:val="none"/>
        </w:rPr>
        <w:t>UPVC</w:t>
      </w:r>
      <w:r>
        <w:rPr>
          <w:rFonts w:hint="eastAsia"/>
          <w:color w:val="auto"/>
          <w:highlight w:val="none"/>
        </w:rPr>
        <w:t>板涂冷底子油二层。</w:t>
      </w:r>
    </w:p>
    <w:p>
      <w:pPr>
        <w:pStyle w:val="172"/>
        <w:rPr>
          <w:color w:val="auto"/>
          <w:highlight w:val="none"/>
        </w:rPr>
      </w:pPr>
      <w:r>
        <w:rPr>
          <w:color w:val="auto"/>
          <w:highlight w:val="none"/>
        </w:rPr>
        <w:t xml:space="preserve">3.7.2 </w:t>
      </w:r>
      <w:r>
        <w:rPr>
          <w:rFonts w:hint="eastAsia"/>
          <w:color w:val="auto"/>
          <w:highlight w:val="none"/>
        </w:rPr>
        <w:t>软弱地基处理技术要求：</w:t>
      </w:r>
    </w:p>
    <w:p>
      <w:pPr>
        <w:pStyle w:val="217"/>
        <w:rPr>
          <w:color w:val="auto"/>
          <w:highlight w:val="none"/>
        </w:rPr>
      </w:pPr>
      <w:r>
        <w:rPr>
          <w:rFonts w:hint="eastAsia"/>
          <w:color w:val="auto"/>
          <w:highlight w:val="none"/>
        </w:rPr>
        <w:t>主要采用翻挖换填法及碎石桩法对软弱地基进行加固处理。</w:t>
      </w:r>
    </w:p>
    <w:p>
      <w:pPr>
        <w:pStyle w:val="217"/>
        <w:rPr>
          <w:color w:val="auto"/>
          <w:highlight w:val="none"/>
        </w:rPr>
      </w:pPr>
      <w:r>
        <w:rPr>
          <w:color w:val="auto"/>
          <w:highlight w:val="none"/>
        </w:rPr>
        <w:t>1.</w:t>
      </w:r>
      <w:r>
        <w:rPr>
          <w:rFonts w:hint="eastAsia"/>
          <w:color w:val="auto"/>
          <w:highlight w:val="none"/>
        </w:rPr>
        <w:t>翻挖换填法处理地基技术要求：</w:t>
      </w:r>
    </w:p>
    <w:p>
      <w:pPr>
        <w:pStyle w:val="217"/>
        <w:rPr>
          <w:color w:val="auto"/>
          <w:highlight w:val="none"/>
        </w:rPr>
      </w:pPr>
      <w:r>
        <w:rPr>
          <w:rFonts w:hint="eastAsia"/>
          <w:color w:val="auto"/>
          <w:highlight w:val="none"/>
        </w:rPr>
        <w:t>路床下</w:t>
      </w:r>
      <w:r>
        <w:rPr>
          <w:color w:val="auto"/>
          <w:highlight w:val="none"/>
        </w:rPr>
        <w:t>0~3</w:t>
      </w:r>
      <w:r>
        <w:rPr>
          <w:rFonts w:hint="eastAsia"/>
          <w:color w:val="auto"/>
          <w:highlight w:val="none"/>
        </w:rPr>
        <w:t>米范围内为虚填土时，采用翻挖换填的方法处理，挖除虚填土，分层回填路基土至路床设计标高。如虚填土中含垃圾等异物，可在校园内其他场地调土。</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）开挖时注意保护地下管线；开挖放坡系数根据《城市道路路基设计规范》执行，或根据实验确定并由相关几方确认；</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）在开挖前，需采取施工临时措施对现场现状管沟接顺，保证排水等顺畅。</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）换填法处理地基，要根据相关施工要求及规范检测。路基填筑部分也要按照相关规范、标准监控和检测。</w:t>
      </w:r>
    </w:p>
    <w:p>
      <w:pPr>
        <w:pStyle w:val="217"/>
        <w:rPr>
          <w:color w:val="auto"/>
          <w:highlight w:val="none"/>
        </w:rPr>
      </w:pPr>
      <w:r>
        <w:rPr>
          <w:color w:val="auto"/>
          <w:highlight w:val="none"/>
        </w:rPr>
        <w:t>2.</w:t>
      </w:r>
      <w:r>
        <w:rPr>
          <w:rFonts w:hint="eastAsia"/>
          <w:color w:val="auto"/>
          <w:highlight w:val="none"/>
        </w:rPr>
        <w:t>碎石桩法处理地基</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）技术要求</w:t>
      </w:r>
    </w:p>
    <w:p>
      <w:pPr>
        <w:pStyle w:val="217"/>
        <w:rPr>
          <w:color w:val="auto"/>
          <w:highlight w:val="none"/>
        </w:rPr>
      </w:pPr>
      <w:r>
        <w:rPr>
          <w:rFonts w:hint="eastAsia"/>
          <w:color w:val="auto"/>
          <w:highlight w:val="none"/>
        </w:rPr>
        <w:t>碎石桩间距按挡墙地基下</w:t>
      </w:r>
      <w:r>
        <w:rPr>
          <w:color w:val="auto"/>
          <w:highlight w:val="none"/>
        </w:rPr>
        <w:t>1.0X1.0</w:t>
      </w:r>
      <w:r>
        <w:rPr>
          <w:rFonts w:hint="eastAsia"/>
          <w:color w:val="auto"/>
          <w:highlight w:val="none"/>
        </w:rPr>
        <w:t>米，机动车道下</w:t>
      </w:r>
      <w:r>
        <w:rPr>
          <w:color w:val="auto"/>
          <w:highlight w:val="none"/>
        </w:rPr>
        <w:t>1.4X1.4</w:t>
      </w:r>
      <w:r>
        <w:rPr>
          <w:rFonts w:hint="eastAsia"/>
          <w:color w:val="auto"/>
          <w:highlight w:val="none"/>
        </w:rPr>
        <w:t>米，人行道下</w:t>
      </w:r>
      <w:r>
        <w:rPr>
          <w:color w:val="auto"/>
          <w:highlight w:val="none"/>
        </w:rPr>
        <w:t>1.5X1.5</w:t>
      </w:r>
      <w:r>
        <w:rPr>
          <w:rFonts w:hint="eastAsia"/>
          <w:color w:val="auto"/>
          <w:highlight w:val="none"/>
        </w:rPr>
        <w:t>米正四边形布置，软基处理范围至路肩外</w:t>
      </w:r>
      <w:r>
        <w:rPr>
          <w:color w:val="auto"/>
          <w:highlight w:val="none"/>
        </w:rPr>
        <w:t>1</w:t>
      </w:r>
      <w:r>
        <w:rPr>
          <w:rFonts w:hint="eastAsia"/>
          <w:color w:val="auto"/>
          <w:highlight w:val="none"/>
        </w:rPr>
        <w:t>排，道路南侧三、四标完成后的地面与一号慢行道标高基本一致，北侧规划填土标高至一号慢行道标高。桩穿透软弱层不小于</w:t>
      </w:r>
      <w:r>
        <w:rPr>
          <w:color w:val="auto"/>
          <w:highlight w:val="none"/>
        </w:rPr>
        <w:t>1.0</w:t>
      </w:r>
      <w:r>
        <w:rPr>
          <w:rFonts w:hint="eastAsia"/>
          <w:color w:val="auto"/>
          <w:highlight w:val="none"/>
        </w:rPr>
        <w:t>米，施工时需要在路床下超挖</w:t>
      </w:r>
      <w:r>
        <w:rPr>
          <w:color w:val="auto"/>
          <w:highlight w:val="none"/>
        </w:rPr>
        <w:t>0.8</w:t>
      </w:r>
      <w:r>
        <w:rPr>
          <w:rFonts w:hint="eastAsia"/>
          <w:color w:val="auto"/>
          <w:highlight w:val="none"/>
        </w:rPr>
        <w:t>米，打碎石桩，检测合格后铺设土工格栅，再分层碾压路基土至路床标高。按以下内容控制施工：</w:t>
      </w:r>
    </w:p>
    <w:p>
      <w:pPr>
        <w:pStyle w:val="217"/>
        <w:rPr>
          <w:color w:val="auto"/>
          <w:highlight w:val="none"/>
        </w:rPr>
      </w:pPr>
      <w:r>
        <w:rPr>
          <w:color w:val="auto"/>
          <w:highlight w:val="none"/>
        </w:rPr>
        <w:t>1</w:t>
      </w:r>
      <w:r>
        <w:rPr>
          <w:rFonts w:hint="eastAsia"/>
          <w:color w:val="auto"/>
          <w:highlight w:val="none"/>
        </w:rPr>
        <w:t>）碎石桩成桩材料以粒径</w:t>
      </w:r>
      <w:r>
        <w:rPr>
          <w:color w:val="auto"/>
          <w:highlight w:val="none"/>
        </w:rPr>
        <w:t>5~40mm</w:t>
      </w:r>
      <w:r>
        <w:rPr>
          <w:rFonts w:hint="eastAsia"/>
          <w:color w:val="auto"/>
          <w:highlight w:val="none"/>
        </w:rPr>
        <w:t>的硬质岩的碎石，含泥量小于</w:t>
      </w:r>
      <w:r>
        <w:rPr>
          <w:color w:val="auto"/>
          <w:highlight w:val="none"/>
        </w:rPr>
        <w:t>5%</w:t>
      </w:r>
      <w:r>
        <w:rPr>
          <w:rFonts w:hint="eastAsia"/>
          <w:color w:val="auto"/>
          <w:highlight w:val="none"/>
        </w:rPr>
        <w:t>。</w:t>
      </w:r>
    </w:p>
    <w:p>
      <w:pPr>
        <w:pStyle w:val="217"/>
        <w:rPr>
          <w:color w:val="auto"/>
          <w:highlight w:val="none"/>
        </w:rPr>
      </w:pPr>
      <w:r>
        <w:rPr>
          <w:color w:val="auto"/>
          <w:highlight w:val="none"/>
        </w:rPr>
        <w:t>2</w:t>
      </w:r>
      <w:r>
        <w:rPr>
          <w:rFonts w:hint="eastAsia"/>
          <w:color w:val="auto"/>
          <w:highlight w:val="none"/>
        </w:rPr>
        <w:t>）为加强路基的稳定，碎石桩顶设置土工格栅材料。</w:t>
      </w:r>
    </w:p>
    <w:p>
      <w:pPr>
        <w:pStyle w:val="217"/>
        <w:rPr>
          <w:color w:val="auto"/>
          <w:highlight w:val="none"/>
        </w:rPr>
      </w:pPr>
      <w:r>
        <w:rPr>
          <w:color w:val="auto"/>
          <w:highlight w:val="none"/>
        </w:rPr>
        <w:t>3</w:t>
      </w:r>
      <w:r>
        <w:rPr>
          <w:rFonts w:hint="eastAsia"/>
          <w:color w:val="auto"/>
          <w:highlight w:val="none"/>
        </w:rPr>
        <w:t>）每个作业点施工前须先打不少于</w:t>
      </w:r>
      <w:r>
        <w:rPr>
          <w:color w:val="auto"/>
          <w:highlight w:val="none"/>
        </w:rPr>
        <w:t>5</w:t>
      </w:r>
      <w:r>
        <w:rPr>
          <w:rFonts w:hint="eastAsia"/>
          <w:color w:val="auto"/>
          <w:highlight w:val="none"/>
        </w:rPr>
        <w:t>根的工艺试验桩，以检验机具性能及施工工艺中的各项技术参数。</w:t>
      </w:r>
    </w:p>
    <w:p>
      <w:pPr>
        <w:pStyle w:val="217"/>
        <w:rPr>
          <w:color w:val="auto"/>
          <w:highlight w:val="none"/>
        </w:rPr>
      </w:pPr>
      <w:r>
        <w:rPr>
          <w:color w:val="auto"/>
          <w:highlight w:val="none"/>
        </w:rPr>
        <w:t>4</w:t>
      </w:r>
      <w:r>
        <w:rPr>
          <w:rFonts w:hint="eastAsia"/>
          <w:color w:val="auto"/>
          <w:highlight w:val="none"/>
        </w:rPr>
        <w:t>）碎石桩采用振动沉管法施工。根据设计桩长按松方系数计算每根桩的用料量，施工中应严格控制填料量。</w:t>
      </w:r>
    </w:p>
    <w:p>
      <w:pPr>
        <w:pStyle w:val="217"/>
        <w:rPr>
          <w:color w:val="auto"/>
          <w:highlight w:val="none"/>
        </w:rPr>
      </w:pPr>
      <w:r>
        <w:rPr>
          <w:color w:val="auto"/>
          <w:highlight w:val="none"/>
        </w:rPr>
        <w:t>5</w:t>
      </w:r>
      <w:r>
        <w:rPr>
          <w:rFonts w:hint="eastAsia"/>
          <w:color w:val="auto"/>
          <w:highlight w:val="none"/>
        </w:rPr>
        <w:t>）采用逐步拔管法将钢管拔出，拔管速率一般控制在</w:t>
      </w:r>
      <w:r>
        <w:rPr>
          <w:color w:val="auto"/>
          <w:highlight w:val="none"/>
        </w:rPr>
        <w:t>1.2~1.5m/min</w:t>
      </w:r>
      <w:r>
        <w:rPr>
          <w:rFonts w:hint="eastAsia"/>
          <w:color w:val="auto"/>
          <w:highlight w:val="none"/>
        </w:rPr>
        <w:t>。</w:t>
      </w:r>
    </w:p>
    <w:p>
      <w:pPr>
        <w:pStyle w:val="217"/>
        <w:rPr>
          <w:color w:val="auto"/>
          <w:highlight w:val="none"/>
        </w:rPr>
      </w:pPr>
      <w:r>
        <w:rPr>
          <w:color w:val="auto"/>
          <w:highlight w:val="none"/>
        </w:rPr>
        <w:t>6</w:t>
      </w:r>
      <w:r>
        <w:rPr>
          <w:rFonts w:hint="eastAsia"/>
          <w:color w:val="auto"/>
          <w:highlight w:val="none"/>
        </w:rPr>
        <w:t>）设备就位后必须平整，确保施工过程中不发生倾斜和移动，机架和钻杆的垂直度偏差不得大于</w:t>
      </w:r>
      <w:r>
        <w:rPr>
          <w:color w:val="auto"/>
          <w:highlight w:val="none"/>
        </w:rPr>
        <w:t>1.0%</w:t>
      </w:r>
      <w:r>
        <w:rPr>
          <w:rFonts w:hint="eastAsia"/>
          <w:color w:val="auto"/>
          <w:highlight w:val="none"/>
        </w:rPr>
        <w:t>，如发现偏差过大，必须及时调整。</w:t>
      </w:r>
    </w:p>
    <w:p>
      <w:pPr>
        <w:pStyle w:val="217"/>
        <w:rPr>
          <w:color w:val="auto"/>
          <w:highlight w:val="none"/>
        </w:rPr>
      </w:pPr>
      <w:r>
        <w:rPr>
          <w:color w:val="auto"/>
          <w:highlight w:val="none"/>
        </w:rPr>
        <w:t>7</w:t>
      </w:r>
      <w:r>
        <w:rPr>
          <w:rFonts w:hint="eastAsia"/>
          <w:color w:val="auto"/>
          <w:highlight w:val="none"/>
        </w:rPr>
        <w:t>）桩机桩位对中偏差不得大于</w:t>
      </w:r>
      <w:r>
        <w:rPr>
          <w:color w:val="auto"/>
          <w:highlight w:val="none"/>
        </w:rPr>
        <w:t>20mm</w:t>
      </w:r>
      <w:r>
        <w:rPr>
          <w:rFonts w:hint="eastAsia"/>
          <w:color w:val="auto"/>
          <w:highlight w:val="none"/>
        </w:rPr>
        <w:t>，成桩直径不小于设计桩径的</w:t>
      </w:r>
      <w:r>
        <w:rPr>
          <w:color w:val="auto"/>
          <w:highlight w:val="none"/>
        </w:rPr>
        <w:t>95%</w:t>
      </w:r>
      <w:r>
        <w:rPr>
          <w:rFonts w:hint="eastAsia"/>
          <w:color w:val="auto"/>
          <w:highlight w:val="none"/>
        </w:rPr>
        <w:t>，成桩长度不小于设计桩长，充盈率大于</w:t>
      </w:r>
      <w:r>
        <w:rPr>
          <w:color w:val="auto"/>
          <w:highlight w:val="none"/>
        </w:rPr>
        <w:t>95%</w:t>
      </w:r>
      <w:r>
        <w:rPr>
          <w:rFonts w:hint="eastAsia"/>
          <w:color w:val="auto"/>
          <w:highlight w:val="none"/>
        </w:rPr>
        <w:t>。</w:t>
      </w:r>
    </w:p>
    <w:p>
      <w:pPr>
        <w:pStyle w:val="217"/>
        <w:rPr>
          <w:color w:val="auto"/>
          <w:highlight w:val="none"/>
        </w:rPr>
      </w:pPr>
      <w:r>
        <w:rPr>
          <w:color w:val="auto"/>
          <w:highlight w:val="none"/>
        </w:rPr>
        <w:t>8</w:t>
      </w:r>
      <w:r>
        <w:rPr>
          <w:rFonts w:hint="eastAsia"/>
          <w:color w:val="auto"/>
          <w:highlight w:val="none"/>
        </w:rPr>
        <w:t>）施工结束一周后由专门的检测单位进行质量检测；</w:t>
      </w:r>
    </w:p>
    <w:p>
      <w:pPr>
        <w:pStyle w:val="217"/>
        <w:rPr>
          <w:color w:val="auto"/>
          <w:highlight w:val="none"/>
        </w:rPr>
      </w:pPr>
      <w:r>
        <w:rPr>
          <w:color w:val="auto"/>
          <w:highlight w:val="none"/>
        </w:rPr>
        <w:t>9</w:t>
      </w:r>
      <w:r>
        <w:rPr>
          <w:rFonts w:hint="eastAsia"/>
          <w:color w:val="auto"/>
          <w:highlight w:val="none"/>
        </w:rPr>
        <w:t>）密实度检测频率为总桩数的</w:t>
      </w:r>
      <w:r>
        <w:rPr>
          <w:color w:val="auto"/>
          <w:highlight w:val="none"/>
        </w:rPr>
        <w:t>5%</w:t>
      </w:r>
      <w:r>
        <w:rPr>
          <w:rFonts w:hint="eastAsia"/>
          <w:color w:val="auto"/>
          <w:highlight w:val="none"/>
        </w:rPr>
        <w:t>，用重Ⅱ型动力触探检验，贯入量</w:t>
      </w:r>
      <w:r>
        <w:rPr>
          <w:color w:val="auto"/>
          <w:highlight w:val="none"/>
        </w:rPr>
        <w:t>100mm</w:t>
      </w:r>
      <w:r>
        <w:rPr>
          <w:rFonts w:hint="eastAsia"/>
          <w:color w:val="auto"/>
          <w:highlight w:val="none"/>
        </w:rPr>
        <w:t>时击数不小于</w:t>
      </w:r>
      <w:r>
        <w:rPr>
          <w:color w:val="auto"/>
          <w:highlight w:val="none"/>
        </w:rPr>
        <w:t>5</w:t>
      </w:r>
      <w:r>
        <w:rPr>
          <w:rFonts w:hint="eastAsia"/>
          <w:color w:val="auto"/>
          <w:highlight w:val="none"/>
        </w:rPr>
        <w:t>击；</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）质量检测：</w:t>
      </w:r>
    </w:p>
    <w:p>
      <w:pPr>
        <w:pStyle w:val="217"/>
        <w:rPr>
          <w:color w:val="auto"/>
          <w:highlight w:val="none"/>
        </w:rPr>
      </w:pPr>
      <w:r>
        <w:rPr>
          <w:rFonts w:hint="eastAsia"/>
          <w:color w:val="auto"/>
          <w:highlight w:val="none"/>
        </w:rPr>
        <w:t>施工后间隔时间不宜少于</w:t>
      </w:r>
      <w:r>
        <w:rPr>
          <w:color w:val="auto"/>
          <w:highlight w:val="none"/>
        </w:rPr>
        <w:t>21d</w:t>
      </w:r>
      <w:r>
        <w:rPr>
          <w:rFonts w:hint="eastAsia"/>
          <w:color w:val="auto"/>
          <w:highlight w:val="none"/>
        </w:rPr>
        <w:t>方可进行质量检查，检查项目如下：</w:t>
      </w:r>
    </w:p>
    <w:p>
      <w:pPr>
        <w:pStyle w:val="217"/>
        <w:rPr>
          <w:color w:val="auto"/>
          <w:highlight w:val="none"/>
        </w:rPr>
      </w:pPr>
      <w:r>
        <w:rPr>
          <w:color w:val="auto"/>
          <w:highlight w:val="none"/>
        </w:rPr>
        <w:t>1</w:t>
      </w:r>
      <w:r>
        <w:rPr>
          <w:rFonts w:hint="eastAsia"/>
          <w:color w:val="auto"/>
          <w:highlight w:val="none"/>
        </w:rPr>
        <w:t>）对桩体采用中型动力触探试验检测，要求桩体碎石土</w:t>
      </w:r>
      <w:r>
        <w:rPr>
          <w:color w:val="auto"/>
          <w:highlight w:val="none"/>
        </w:rPr>
        <w:t>N63.5&gt;10</w:t>
      </w:r>
      <w:r>
        <w:rPr>
          <w:rFonts w:hint="eastAsia"/>
          <w:color w:val="auto"/>
          <w:highlight w:val="none"/>
        </w:rPr>
        <w:t>击，检验数量为总桩数的</w:t>
      </w:r>
      <w:r>
        <w:rPr>
          <w:color w:val="auto"/>
          <w:highlight w:val="none"/>
        </w:rPr>
        <w:t>2%</w:t>
      </w:r>
      <w:r>
        <w:rPr>
          <w:rFonts w:hint="eastAsia"/>
          <w:color w:val="auto"/>
          <w:highlight w:val="none"/>
        </w:rPr>
        <w:t>。</w:t>
      </w:r>
    </w:p>
    <w:p>
      <w:pPr>
        <w:pStyle w:val="217"/>
        <w:rPr>
          <w:color w:val="auto"/>
          <w:highlight w:val="none"/>
        </w:rPr>
      </w:pPr>
      <w:r>
        <w:rPr>
          <w:color w:val="auto"/>
          <w:highlight w:val="none"/>
        </w:rPr>
        <w:t>2</w:t>
      </w:r>
      <w:r>
        <w:rPr>
          <w:rFonts w:hint="eastAsia"/>
          <w:color w:val="auto"/>
          <w:highlight w:val="none"/>
        </w:rPr>
        <w:t>）桩间土采用轻型动力触探试验检测，要求桩间土</w:t>
      </w:r>
      <w:r>
        <w:rPr>
          <w:color w:val="auto"/>
          <w:highlight w:val="none"/>
        </w:rPr>
        <w:t>N10</w:t>
      </w:r>
      <w:r>
        <w:rPr>
          <w:rFonts w:hint="eastAsia"/>
          <w:color w:val="auto"/>
          <w:highlight w:val="none"/>
        </w:rPr>
        <w:t>≥</w:t>
      </w:r>
      <w:r>
        <w:rPr>
          <w:color w:val="auto"/>
          <w:highlight w:val="none"/>
        </w:rPr>
        <w:t>25</w:t>
      </w:r>
      <w:r>
        <w:rPr>
          <w:rFonts w:hint="eastAsia"/>
          <w:color w:val="auto"/>
          <w:highlight w:val="none"/>
        </w:rPr>
        <w:t>击，检验数量为总桩数的</w:t>
      </w:r>
      <w:r>
        <w:rPr>
          <w:color w:val="auto"/>
          <w:highlight w:val="none"/>
        </w:rPr>
        <w:t>2%</w:t>
      </w:r>
      <w:r>
        <w:rPr>
          <w:rFonts w:hint="eastAsia"/>
          <w:color w:val="auto"/>
          <w:highlight w:val="none"/>
        </w:rPr>
        <w:t>。</w:t>
      </w:r>
    </w:p>
    <w:p>
      <w:pPr>
        <w:pStyle w:val="217"/>
        <w:rPr>
          <w:color w:val="auto"/>
          <w:highlight w:val="none"/>
        </w:rPr>
      </w:pPr>
      <w:r>
        <w:rPr>
          <w:color w:val="auto"/>
          <w:highlight w:val="none"/>
        </w:rPr>
        <w:t>3</w:t>
      </w:r>
      <w:r>
        <w:rPr>
          <w:rFonts w:hint="eastAsia"/>
          <w:color w:val="auto"/>
          <w:highlight w:val="none"/>
        </w:rPr>
        <w:t>）竣工验收采用复合地基载荷试验，要求承载力</w:t>
      </w:r>
      <w:r>
        <w:rPr>
          <w:color w:val="auto"/>
          <w:highlight w:val="none"/>
        </w:rPr>
        <w:t>fspk</w:t>
      </w:r>
      <w:r>
        <w:rPr>
          <w:rFonts w:hint="eastAsia"/>
          <w:color w:val="auto"/>
          <w:highlight w:val="none"/>
        </w:rPr>
        <w:t>≥</w:t>
      </w:r>
      <w:r>
        <w:rPr>
          <w:color w:val="auto"/>
          <w:highlight w:val="none"/>
        </w:rPr>
        <w:t>104</w:t>
      </w:r>
      <w:r>
        <w:rPr>
          <w:rFonts w:hint="eastAsia"/>
          <w:color w:val="auto"/>
          <w:highlight w:val="none"/>
        </w:rPr>
        <w:t>，检验数量不少于总桩数的</w:t>
      </w:r>
      <w:r>
        <w:rPr>
          <w:color w:val="auto"/>
          <w:highlight w:val="none"/>
        </w:rPr>
        <w:t>0.5%</w:t>
      </w:r>
      <w:r>
        <w:rPr>
          <w:rFonts w:hint="eastAsia"/>
          <w:color w:val="auto"/>
          <w:highlight w:val="none"/>
        </w:rPr>
        <w:t>。</w:t>
      </w:r>
    </w:p>
    <w:p>
      <w:pPr>
        <w:pStyle w:val="217"/>
        <w:rPr>
          <w:color w:val="auto"/>
          <w:highlight w:val="none"/>
        </w:rPr>
      </w:pPr>
      <w:r>
        <w:rPr>
          <w:color w:val="auto"/>
          <w:highlight w:val="none"/>
        </w:rPr>
        <w:t>3.</w:t>
      </w:r>
      <w:r>
        <w:rPr>
          <w:rFonts w:hint="eastAsia"/>
          <w:color w:val="auto"/>
          <w:highlight w:val="none"/>
        </w:rPr>
        <w:t>土工格栅</w:t>
      </w:r>
    </w:p>
    <w:p>
      <w:pPr>
        <w:pStyle w:val="217"/>
        <w:rPr>
          <w:color w:val="auto"/>
          <w:highlight w:val="none"/>
        </w:rPr>
      </w:pPr>
      <w:r>
        <w:rPr>
          <w:color w:val="auto"/>
          <w:highlight w:val="none"/>
        </w:rPr>
        <w:t xml:space="preserve"> </w:t>
      </w:r>
      <w:r>
        <w:rPr>
          <w:rFonts w:hint="eastAsia"/>
          <w:color w:val="auto"/>
          <w:highlight w:val="none"/>
        </w:rPr>
        <w:t>土工格栅采用经编土工格栅，纵横强度不小于</w:t>
      </w:r>
      <w:r>
        <w:rPr>
          <w:color w:val="auto"/>
          <w:highlight w:val="none"/>
        </w:rPr>
        <w:t>40KN/m</w:t>
      </w:r>
      <w:r>
        <w:rPr>
          <w:rFonts w:hint="eastAsia"/>
          <w:color w:val="auto"/>
          <w:highlight w:val="none"/>
        </w:rPr>
        <w:t>，破坏时延伸率</w:t>
      </w:r>
      <w:r>
        <w:rPr>
          <w:color w:val="auto"/>
          <w:highlight w:val="none"/>
        </w:rPr>
        <w:t>8~10%</w:t>
      </w:r>
      <w:r>
        <w:rPr>
          <w:rFonts w:hint="eastAsia"/>
          <w:color w:val="auto"/>
          <w:highlight w:val="none"/>
        </w:rPr>
        <w:t>。</w:t>
      </w:r>
    </w:p>
    <w:p>
      <w:pPr>
        <w:pStyle w:val="172"/>
        <w:rPr>
          <w:color w:val="auto"/>
          <w:highlight w:val="none"/>
        </w:rPr>
      </w:pPr>
      <w:r>
        <w:rPr>
          <w:color w:val="auto"/>
          <w:highlight w:val="none"/>
        </w:rPr>
        <w:t xml:space="preserve">3.7.3 </w:t>
      </w:r>
      <w:r>
        <w:rPr>
          <w:rFonts w:hint="eastAsia"/>
          <w:color w:val="auto"/>
          <w:highlight w:val="none"/>
        </w:rPr>
        <w:t>道路施工技术要求</w:t>
      </w:r>
    </w:p>
    <w:p>
      <w:pPr>
        <w:pStyle w:val="119"/>
        <w:rPr>
          <w:color w:val="auto"/>
          <w:highlight w:val="none"/>
        </w:rPr>
      </w:pPr>
      <w:r>
        <w:rPr>
          <w:color w:val="auto"/>
          <w:highlight w:val="none"/>
        </w:rPr>
        <w:t xml:space="preserve">3.7.3.1 </w:t>
      </w:r>
      <w:r>
        <w:rPr>
          <w:rFonts w:hint="eastAsia"/>
          <w:color w:val="auto"/>
          <w:highlight w:val="none"/>
        </w:rPr>
        <w:t>材料技术要求</w:t>
      </w:r>
    </w:p>
    <w:p>
      <w:pPr>
        <w:pStyle w:val="217"/>
        <w:rPr>
          <w:color w:val="auto"/>
          <w:highlight w:val="none"/>
        </w:rPr>
      </w:pPr>
      <w:r>
        <w:rPr>
          <w:color w:val="auto"/>
          <w:highlight w:val="none"/>
        </w:rPr>
        <w:t>1.</w:t>
      </w:r>
      <w:r>
        <w:rPr>
          <w:rFonts w:hint="eastAsia"/>
          <w:color w:val="auto"/>
          <w:highlight w:val="none"/>
        </w:rPr>
        <w:t>沥青混凝土</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）高温稳定性指标面层</w:t>
      </w:r>
    </w:p>
    <w:p>
      <w:pPr>
        <w:pStyle w:val="217"/>
        <w:rPr>
          <w:color w:val="auto"/>
          <w:highlight w:val="none"/>
        </w:rPr>
      </w:pPr>
      <w:r>
        <w:rPr>
          <w:rFonts w:hint="eastAsia"/>
          <w:color w:val="auto"/>
          <w:highlight w:val="none"/>
        </w:rPr>
        <w:t>本工程沥青混合料的高温稳定性指标采用动稳定度和相对变形双层指标控制，如下表所示。</w:t>
      </w:r>
    </w:p>
    <w:p>
      <w:pPr>
        <w:pStyle w:val="217"/>
        <w:rPr>
          <w:color w:val="auto"/>
          <w:highlight w:val="none"/>
        </w:rPr>
      </w:pPr>
      <w:r>
        <w:rPr>
          <w:color w:val="auto"/>
          <w:highlight w:val="none"/>
        </w:rPr>
        <w:t xml:space="preserve">                 </w:t>
      </w:r>
      <w:r>
        <w:rPr>
          <w:rFonts w:hint="eastAsia"/>
          <w:color w:val="auto"/>
          <w:highlight w:val="none"/>
        </w:rPr>
        <w:t>沥青混合料车辙试验技术指标表</w:t>
      </w:r>
    </w:p>
    <w:tbl>
      <w:tblPr>
        <w:tblStyle w:val="43"/>
        <w:tblpPr w:leftFromText="180" w:rightFromText="180" w:vertAnchor="text" w:horzAnchor="page" w:tblpX="1725" w:tblpY="15"/>
        <w:tblOverlap w:val="never"/>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0"/>
        <w:gridCol w:w="2310"/>
        <w:gridCol w:w="3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0" w:type="dxa"/>
            <w:noWrap w:val="0"/>
            <w:vAlign w:val="center"/>
          </w:tcPr>
          <w:p>
            <w:pPr>
              <w:rPr>
                <w:color w:val="auto"/>
                <w:highlight w:val="none"/>
              </w:rPr>
            </w:pPr>
            <w:r>
              <w:rPr>
                <w:rFonts w:hint="eastAsia"/>
                <w:color w:val="auto"/>
                <w:highlight w:val="none"/>
              </w:rPr>
              <w:t>层位</w:t>
            </w:r>
          </w:p>
        </w:tc>
        <w:tc>
          <w:tcPr>
            <w:tcW w:w="2310" w:type="dxa"/>
            <w:noWrap w:val="0"/>
            <w:vAlign w:val="center"/>
          </w:tcPr>
          <w:p>
            <w:pPr>
              <w:rPr>
                <w:color w:val="auto"/>
                <w:highlight w:val="none"/>
              </w:rPr>
            </w:pPr>
            <w:r>
              <w:rPr>
                <w:rFonts w:hint="eastAsia"/>
                <w:color w:val="auto"/>
                <w:highlight w:val="none"/>
              </w:rPr>
              <w:t>动稳定度</w:t>
            </w:r>
          </w:p>
        </w:tc>
        <w:tc>
          <w:tcPr>
            <w:tcW w:w="3145" w:type="dxa"/>
            <w:noWrap w:val="0"/>
            <w:vAlign w:val="center"/>
          </w:tcPr>
          <w:p>
            <w:pPr>
              <w:rPr>
                <w:color w:val="auto"/>
                <w:highlight w:val="none"/>
              </w:rPr>
            </w:pPr>
            <w:r>
              <w:rPr>
                <w:rFonts w:hint="eastAsia"/>
                <w:color w:val="auto"/>
                <w:highlight w:val="none"/>
              </w:rPr>
              <w:t>相对变形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0" w:type="dxa"/>
            <w:noWrap w:val="0"/>
            <w:vAlign w:val="center"/>
          </w:tcPr>
          <w:p>
            <w:pPr>
              <w:rPr>
                <w:color w:val="auto"/>
                <w:highlight w:val="none"/>
              </w:rPr>
            </w:pPr>
            <w:r>
              <w:rPr>
                <w:rFonts w:hint="eastAsia"/>
                <w:color w:val="auto"/>
                <w:highlight w:val="none"/>
              </w:rPr>
              <w:t>上面层</w:t>
            </w:r>
          </w:p>
        </w:tc>
        <w:tc>
          <w:tcPr>
            <w:tcW w:w="2310" w:type="dxa"/>
            <w:noWrap w:val="0"/>
            <w:vAlign w:val="center"/>
          </w:tcPr>
          <w:p>
            <w:pPr>
              <w:rPr>
                <w:color w:val="auto"/>
                <w:highlight w:val="none"/>
              </w:rPr>
            </w:pPr>
            <w:r>
              <w:rPr>
                <w:rFonts w:hint="eastAsia"/>
                <w:color w:val="auto"/>
                <w:highlight w:val="none"/>
              </w:rPr>
              <w:t>≥</w:t>
            </w:r>
            <w:r>
              <w:rPr>
                <w:color w:val="auto"/>
                <w:highlight w:val="none"/>
              </w:rPr>
              <w:t>3000</w:t>
            </w:r>
          </w:p>
        </w:tc>
        <w:tc>
          <w:tcPr>
            <w:tcW w:w="3145" w:type="dxa"/>
            <w:noWrap w:val="0"/>
            <w:vAlign w:val="center"/>
          </w:tcPr>
          <w:p>
            <w:pPr>
              <w:rPr>
                <w:color w:val="auto"/>
                <w:highlight w:val="none"/>
              </w:rPr>
            </w:pPr>
            <w:r>
              <w:rPr>
                <w:rFonts w:hint="eastAsia"/>
                <w:color w:val="auto"/>
                <w:highlight w:val="none"/>
              </w:rPr>
              <w:t>≤</w:t>
            </w:r>
            <w:r>
              <w:rPr>
                <w:color w:val="auto"/>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00" w:type="dxa"/>
            <w:noWrap w:val="0"/>
            <w:vAlign w:val="center"/>
          </w:tcPr>
          <w:p>
            <w:pPr>
              <w:rPr>
                <w:color w:val="auto"/>
                <w:highlight w:val="none"/>
              </w:rPr>
            </w:pPr>
            <w:r>
              <w:rPr>
                <w:rFonts w:hint="eastAsia"/>
                <w:color w:val="auto"/>
                <w:highlight w:val="none"/>
              </w:rPr>
              <w:t>下面层</w:t>
            </w:r>
          </w:p>
        </w:tc>
        <w:tc>
          <w:tcPr>
            <w:tcW w:w="2310" w:type="dxa"/>
            <w:noWrap w:val="0"/>
            <w:vAlign w:val="center"/>
          </w:tcPr>
          <w:p>
            <w:pPr>
              <w:rPr>
                <w:color w:val="auto"/>
                <w:highlight w:val="none"/>
              </w:rPr>
            </w:pPr>
            <w:r>
              <w:rPr>
                <w:rFonts w:hint="eastAsia"/>
                <w:color w:val="auto"/>
                <w:highlight w:val="none"/>
              </w:rPr>
              <w:t>≥</w:t>
            </w:r>
            <w:r>
              <w:rPr>
                <w:color w:val="auto"/>
                <w:highlight w:val="none"/>
              </w:rPr>
              <w:t>1000</w:t>
            </w:r>
          </w:p>
        </w:tc>
        <w:tc>
          <w:tcPr>
            <w:tcW w:w="3145" w:type="dxa"/>
            <w:noWrap w:val="0"/>
            <w:vAlign w:val="center"/>
          </w:tcPr>
          <w:p>
            <w:pPr>
              <w:rPr>
                <w:color w:val="auto"/>
                <w:highlight w:val="none"/>
              </w:rPr>
            </w:pPr>
            <w:r>
              <w:rPr>
                <w:rFonts w:hint="eastAsia"/>
                <w:color w:val="auto"/>
                <w:highlight w:val="none"/>
              </w:rPr>
              <w:t>≤</w:t>
            </w:r>
            <w:r>
              <w:rPr>
                <w:color w:val="auto"/>
                <w:highlight w:val="none"/>
              </w:rPr>
              <w:t>10%</w:t>
            </w:r>
          </w:p>
        </w:tc>
      </w:tr>
    </w:tbl>
    <w:p>
      <w:pPr>
        <w:rPr>
          <w:color w:val="auto"/>
          <w:highlight w:val="none"/>
        </w:rPr>
      </w:pPr>
      <w:r>
        <w:rPr>
          <w:color w:val="auto"/>
          <w:highlight w:val="none"/>
        </w:rPr>
        <w:t xml:space="preserve">    </w:t>
      </w:r>
    </w:p>
    <w:p>
      <w:pPr>
        <w:pStyle w:val="217"/>
        <w:rPr>
          <w:color w:val="auto"/>
          <w:highlight w:val="none"/>
        </w:rPr>
      </w:pPr>
      <w:r>
        <w:rPr>
          <w:rFonts w:hint="eastAsia"/>
          <w:color w:val="auto"/>
          <w:highlight w:val="none"/>
        </w:rPr>
        <w:t>动稳定度按现行规范的试验方法测定和计算，相对变形为车辙试验荷载连续作用</w:t>
      </w:r>
      <w:r>
        <w:rPr>
          <w:color w:val="auto"/>
          <w:highlight w:val="none"/>
        </w:rPr>
        <w:t>10000</w:t>
      </w:r>
      <w:r>
        <w:rPr>
          <w:rFonts w:hint="eastAsia"/>
          <w:color w:val="auto"/>
          <w:highlight w:val="none"/>
        </w:rPr>
        <w:t>次以后测定混合料的变形深度与混合料试件高度的比值。车辙试验宜按混合料现场压实度的标准成型试件。</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）水稳定性指标</w:t>
      </w:r>
    </w:p>
    <w:p>
      <w:pPr>
        <w:pStyle w:val="217"/>
        <w:rPr>
          <w:color w:val="auto"/>
          <w:highlight w:val="none"/>
        </w:rPr>
      </w:pPr>
      <w:r>
        <w:rPr>
          <w:rFonts w:hint="eastAsia"/>
          <w:color w:val="auto"/>
          <w:highlight w:val="none"/>
        </w:rPr>
        <w:t>本工程沥青混合料的水稳定性指标采用浸水马歇尔试验残留稳定度和冻融劈裂试验的残留强度比控制，技术指标如下表所示。</w:t>
      </w:r>
    </w:p>
    <w:p>
      <w:pPr>
        <w:pStyle w:val="217"/>
        <w:rPr>
          <w:color w:val="auto"/>
          <w:highlight w:val="none"/>
        </w:rPr>
      </w:pPr>
      <w:r>
        <w:rPr>
          <w:rFonts w:hint="eastAsia"/>
          <w:color w:val="auto"/>
          <w:highlight w:val="none"/>
        </w:rPr>
        <w:t>沥青混合料车辙试验技术指标表</w:t>
      </w:r>
    </w:p>
    <w:tbl>
      <w:tblPr>
        <w:tblStyle w:val="43"/>
        <w:tblW w:w="878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2841"/>
        <w:gridCol w:w="2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16" w:type="dxa"/>
            <w:noWrap w:val="0"/>
            <w:vAlign w:val="center"/>
          </w:tcPr>
          <w:p>
            <w:pPr>
              <w:rPr>
                <w:color w:val="auto"/>
                <w:highlight w:val="none"/>
              </w:rPr>
            </w:pPr>
            <w:r>
              <w:rPr>
                <w:rFonts w:hint="eastAsia"/>
                <w:color w:val="auto"/>
                <w:highlight w:val="none"/>
              </w:rPr>
              <w:t>层位</w:t>
            </w:r>
          </w:p>
        </w:tc>
        <w:tc>
          <w:tcPr>
            <w:tcW w:w="2841" w:type="dxa"/>
            <w:noWrap w:val="0"/>
            <w:vAlign w:val="center"/>
          </w:tcPr>
          <w:p>
            <w:pPr>
              <w:rPr>
                <w:color w:val="auto"/>
                <w:highlight w:val="none"/>
              </w:rPr>
            </w:pPr>
            <w:r>
              <w:rPr>
                <w:rFonts w:hint="eastAsia"/>
                <w:color w:val="auto"/>
                <w:highlight w:val="none"/>
              </w:rPr>
              <w:t>残留稳定度</w:t>
            </w:r>
          </w:p>
        </w:tc>
        <w:tc>
          <w:tcPr>
            <w:tcW w:w="2932" w:type="dxa"/>
            <w:noWrap w:val="0"/>
            <w:vAlign w:val="center"/>
          </w:tcPr>
          <w:p>
            <w:pPr>
              <w:rPr>
                <w:color w:val="auto"/>
                <w:highlight w:val="none"/>
              </w:rPr>
            </w:pPr>
            <w:r>
              <w:rPr>
                <w:rFonts w:hint="eastAsia"/>
                <w:color w:val="auto"/>
                <w:highlight w:val="none"/>
              </w:rPr>
              <w:t>残留强度比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16" w:type="dxa"/>
            <w:noWrap w:val="0"/>
            <w:vAlign w:val="center"/>
          </w:tcPr>
          <w:p>
            <w:pPr>
              <w:rPr>
                <w:color w:val="auto"/>
                <w:highlight w:val="none"/>
              </w:rPr>
            </w:pPr>
            <w:r>
              <w:rPr>
                <w:rFonts w:hint="eastAsia"/>
                <w:color w:val="auto"/>
                <w:highlight w:val="none"/>
              </w:rPr>
              <w:t>上面层</w:t>
            </w:r>
          </w:p>
        </w:tc>
        <w:tc>
          <w:tcPr>
            <w:tcW w:w="2841" w:type="dxa"/>
            <w:noWrap w:val="0"/>
            <w:vAlign w:val="center"/>
          </w:tcPr>
          <w:p>
            <w:pPr>
              <w:rPr>
                <w:color w:val="auto"/>
                <w:highlight w:val="none"/>
              </w:rPr>
            </w:pPr>
            <w:r>
              <w:rPr>
                <w:rFonts w:hint="eastAsia"/>
                <w:color w:val="auto"/>
                <w:highlight w:val="none"/>
              </w:rPr>
              <w:t>≥</w:t>
            </w:r>
            <w:r>
              <w:rPr>
                <w:color w:val="auto"/>
                <w:highlight w:val="none"/>
              </w:rPr>
              <w:t>85%</w:t>
            </w:r>
          </w:p>
        </w:tc>
        <w:tc>
          <w:tcPr>
            <w:tcW w:w="2932" w:type="dxa"/>
            <w:noWrap w:val="0"/>
            <w:vAlign w:val="center"/>
          </w:tcPr>
          <w:p>
            <w:pPr>
              <w:rPr>
                <w:color w:val="auto"/>
                <w:highlight w:val="none"/>
              </w:rPr>
            </w:pPr>
            <w:r>
              <w:rPr>
                <w:rFonts w:hint="eastAsia"/>
                <w:color w:val="auto"/>
                <w:highlight w:val="none"/>
              </w:rPr>
              <w:t>≥</w:t>
            </w:r>
            <w:r>
              <w:rPr>
                <w:color w:val="auto"/>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16" w:type="dxa"/>
            <w:noWrap w:val="0"/>
            <w:vAlign w:val="center"/>
          </w:tcPr>
          <w:p>
            <w:pPr>
              <w:rPr>
                <w:color w:val="auto"/>
                <w:highlight w:val="none"/>
              </w:rPr>
            </w:pPr>
            <w:r>
              <w:rPr>
                <w:rFonts w:hint="eastAsia"/>
                <w:color w:val="auto"/>
                <w:highlight w:val="none"/>
              </w:rPr>
              <w:t>下面层</w:t>
            </w:r>
          </w:p>
        </w:tc>
        <w:tc>
          <w:tcPr>
            <w:tcW w:w="2841" w:type="dxa"/>
            <w:noWrap w:val="0"/>
            <w:vAlign w:val="center"/>
          </w:tcPr>
          <w:p>
            <w:pPr>
              <w:rPr>
                <w:color w:val="auto"/>
                <w:highlight w:val="none"/>
              </w:rPr>
            </w:pPr>
            <w:r>
              <w:rPr>
                <w:rFonts w:hint="eastAsia"/>
                <w:color w:val="auto"/>
                <w:highlight w:val="none"/>
              </w:rPr>
              <w:t>≥</w:t>
            </w:r>
            <w:r>
              <w:rPr>
                <w:color w:val="auto"/>
                <w:highlight w:val="none"/>
              </w:rPr>
              <w:t>80%</w:t>
            </w:r>
          </w:p>
        </w:tc>
        <w:tc>
          <w:tcPr>
            <w:tcW w:w="2932" w:type="dxa"/>
            <w:noWrap w:val="0"/>
            <w:vAlign w:val="center"/>
          </w:tcPr>
          <w:p>
            <w:pPr>
              <w:rPr>
                <w:color w:val="auto"/>
                <w:highlight w:val="none"/>
              </w:rPr>
            </w:pPr>
            <w:r>
              <w:rPr>
                <w:rFonts w:hint="eastAsia"/>
                <w:color w:val="auto"/>
                <w:highlight w:val="none"/>
              </w:rPr>
              <w:t>≥</w:t>
            </w:r>
            <w:r>
              <w:rPr>
                <w:color w:val="auto"/>
                <w:highlight w:val="none"/>
              </w:rPr>
              <w:t>75%</w:t>
            </w:r>
          </w:p>
        </w:tc>
      </w:tr>
    </w:tbl>
    <w:p>
      <w:pPr>
        <w:rPr>
          <w:color w:val="auto"/>
          <w:highlight w:val="none"/>
        </w:rPr>
      </w:pP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）沥青混凝土表面特性设计</w:t>
      </w:r>
    </w:p>
    <w:p>
      <w:pPr>
        <w:pStyle w:val="217"/>
        <w:rPr>
          <w:color w:val="auto"/>
          <w:highlight w:val="none"/>
        </w:rPr>
      </w:pPr>
      <w:r>
        <w:rPr>
          <w:rFonts w:hint="eastAsia"/>
          <w:color w:val="auto"/>
          <w:highlight w:val="none"/>
        </w:rPr>
        <w:t>沥青混凝土路面安全、舒适、高速及经济等使用功能与路面表面特性</w:t>
      </w:r>
      <w:r>
        <w:rPr>
          <w:color w:val="auto"/>
          <w:highlight w:val="none"/>
        </w:rPr>
        <w:t>-</w:t>
      </w:r>
      <w:r>
        <w:rPr>
          <w:rFonts w:hint="eastAsia"/>
          <w:color w:val="auto"/>
          <w:highlight w:val="none"/>
        </w:rPr>
        <w:t>抗滑性和平整度两个基本指标密切相关。沥青混凝土表面层抗滑性能各项指标应符合下表的要求。</w:t>
      </w:r>
    </w:p>
    <w:p>
      <w:pPr>
        <w:pStyle w:val="217"/>
        <w:rPr>
          <w:color w:val="auto"/>
          <w:highlight w:val="none"/>
        </w:rPr>
      </w:pPr>
      <w:r>
        <w:rPr>
          <w:rFonts w:hint="eastAsia"/>
          <w:color w:val="auto"/>
          <w:highlight w:val="none"/>
        </w:rPr>
        <w:t>沥青混凝土路面的抗滑指标</w:t>
      </w:r>
    </w:p>
    <w:tbl>
      <w:tblPr>
        <w:tblStyle w:val="43"/>
        <w:tblW w:w="875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2840" w:type="dxa"/>
            <w:noWrap w:val="0"/>
            <w:vAlign w:val="center"/>
          </w:tcPr>
          <w:p>
            <w:pPr>
              <w:rPr>
                <w:color w:val="auto"/>
                <w:highlight w:val="none"/>
              </w:rPr>
            </w:pPr>
            <w:r>
              <w:rPr>
                <w:rFonts w:hint="eastAsia"/>
                <w:color w:val="auto"/>
                <w:highlight w:val="none"/>
              </w:rPr>
              <w:t>道路类别</w:t>
            </w:r>
          </w:p>
        </w:tc>
        <w:tc>
          <w:tcPr>
            <w:tcW w:w="2841" w:type="dxa"/>
            <w:noWrap w:val="0"/>
            <w:vAlign w:val="center"/>
          </w:tcPr>
          <w:p>
            <w:pPr>
              <w:rPr>
                <w:color w:val="auto"/>
                <w:highlight w:val="none"/>
              </w:rPr>
            </w:pPr>
            <w:r>
              <w:rPr>
                <w:color w:val="auto"/>
                <w:highlight w:val="none"/>
              </w:rPr>
              <w:t>F0</w:t>
            </w:r>
            <w:r>
              <w:rPr>
                <w:rFonts w:hint="eastAsia"/>
                <w:color w:val="auto"/>
                <w:highlight w:val="none"/>
              </w:rPr>
              <w:t>（验收值</w:t>
            </w:r>
          </w:p>
        </w:tc>
        <w:tc>
          <w:tcPr>
            <w:tcW w:w="3074" w:type="dxa"/>
            <w:noWrap w:val="0"/>
            <w:vAlign w:val="center"/>
          </w:tcPr>
          <w:p>
            <w:pPr>
              <w:rPr>
                <w:color w:val="auto"/>
                <w:highlight w:val="none"/>
              </w:rPr>
            </w:pPr>
            <w:r>
              <w:rPr>
                <w:color w:val="auto"/>
                <w:highlight w:val="none"/>
              </w:rPr>
              <w:t>F</w:t>
            </w:r>
            <w:r>
              <w:rPr>
                <w:rFonts w:hint="eastAsia"/>
                <w:color w:val="auto"/>
                <w:highlight w:val="none"/>
              </w:rPr>
              <w:t>（设计年限内之值）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40" w:type="dxa"/>
            <w:noWrap w:val="0"/>
            <w:vAlign w:val="center"/>
          </w:tcPr>
          <w:p>
            <w:pPr>
              <w:rPr>
                <w:color w:val="auto"/>
                <w:highlight w:val="none"/>
              </w:rPr>
            </w:pPr>
            <w:r>
              <w:rPr>
                <w:color w:val="auto"/>
                <w:highlight w:val="none"/>
              </w:rPr>
              <w:t>&lt;50km/h</w:t>
            </w:r>
          </w:p>
        </w:tc>
        <w:tc>
          <w:tcPr>
            <w:tcW w:w="2841" w:type="dxa"/>
            <w:noWrap w:val="0"/>
            <w:vAlign w:val="center"/>
          </w:tcPr>
          <w:p>
            <w:pPr>
              <w:rPr>
                <w:color w:val="auto"/>
                <w:highlight w:val="none"/>
              </w:rPr>
            </w:pPr>
            <w:r>
              <w:rPr>
                <w:rFonts w:hint="eastAsia"/>
                <w:color w:val="auto"/>
                <w:highlight w:val="none"/>
              </w:rPr>
              <w:t>≥</w:t>
            </w:r>
            <w:r>
              <w:rPr>
                <w:color w:val="auto"/>
                <w:highlight w:val="none"/>
              </w:rPr>
              <w:t>45</w:t>
            </w:r>
          </w:p>
        </w:tc>
        <w:tc>
          <w:tcPr>
            <w:tcW w:w="3074" w:type="dxa"/>
            <w:noWrap w:val="0"/>
            <w:vAlign w:val="center"/>
          </w:tcPr>
          <w:p>
            <w:pPr>
              <w:rPr>
                <w:color w:val="auto"/>
                <w:highlight w:val="none"/>
              </w:rPr>
            </w:pPr>
            <w:r>
              <w:rPr>
                <w:rFonts w:hint="eastAsia"/>
                <w:color w:val="auto"/>
                <w:highlight w:val="none"/>
              </w:rPr>
              <w:t>≥</w:t>
            </w:r>
            <w:r>
              <w:rPr>
                <w:color w:val="auto"/>
                <w:highlight w:val="none"/>
              </w:rPr>
              <w:t>35</w:t>
            </w:r>
          </w:p>
        </w:tc>
      </w:tr>
    </w:tbl>
    <w:p>
      <w:pPr>
        <w:rPr>
          <w:color w:val="auto"/>
          <w:highlight w:val="none"/>
        </w:rPr>
      </w:pPr>
    </w:p>
    <w:p>
      <w:pPr>
        <w:pStyle w:val="217"/>
        <w:rPr>
          <w:color w:val="auto"/>
          <w:highlight w:val="none"/>
        </w:rPr>
      </w:pPr>
      <w:r>
        <w:rPr>
          <w:rFonts w:hint="eastAsia"/>
          <w:color w:val="auto"/>
          <w:highlight w:val="none"/>
        </w:rPr>
        <w:t>沥青混凝土的平整度要求：平整度仪侧定标准偏差δ≤</w:t>
      </w:r>
      <w:r>
        <w:rPr>
          <w:color w:val="auto"/>
          <w:highlight w:val="none"/>
        </w:rPr>
        <w:t>1.2mm</w:t>
      </w:r>
      <w:r>
        <w:rPr>
          <w:rFonts w:hint="eastAsia"/>
          <w:color w:val="auto"/>
          <w:highlight w:val="none"/>
        </w:rPr>
        <w:t>；国际平整度指数</w:t>
      </w:r>
      <w:r>
        <w:rPr>
          <w:color w:val="auto"/>
          <w:highlight w:val="none"/>
        </w:rPr>
        <w:t>IRI</w:t>
      </w:r>
      <w:r>
        <w:rPr>
          <w:rFonts w:hint="eastAsia"/>
          <w:color w:val="auto"/>
          <w:highlight w:val="none"/>
        </w:rPr>
        <w:t>≤</w:t>
      </w:r>
      <w:r>
        <w:rPr>
          <w:color w:val="auto"/>
          <w:highlight w:val="none"/>
        </w:rPr>
        <w:t>2.0(m/km)</w:t>
      </w:r>
      <w:r>
        <w:rPr>
          <w:rFonts w:hint="eastAsia"/>
          <w:color w:val="auto"/>
          <w:highlight w:val="none"/>
        </w:rPr>
        <w:t>。</w:t>
      </w:r>
    </w:p>
    <w:p>
      <w:pPr>
        <w:pStyle w:val="217"/>
        <w:rPr>
          <w:color w:val="auto"/>
          <w:highlight w:val="none"/>
        </w:rPr>
      </w:pPr>
      <w:r>
        <w:rPr>
          <w:color w:val="auto"/>
          <w:highlight w:val="none"/>
        </w:rPr>
        <w:t>2.</w:t>
      </w:r>
      <w:r>
        <w:rPr>
          <w:rFonts w:hint="eastAsia"/>
          <w:color w:val="auto"/>
          <w:highlight w:val="none"/>
        </w:rPr>
        <w:t>人行道材料要求及施工工艺要求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）人行道材料性能要求</w:t>
      </w:r>
    </w:p>
    <w:p>
      <w:pPr>
        <w:pStyle w:val="217"/>
        <w:rPr>
          <w:color w:val="auto"/>
          <w:highlight w:val="none"/>
        </w:rPr>
      </w:pPr>
      <w:r>
        <w:rPr>
          <w:color w:val="auto"/>
          <w:highlight w:val="none"/>
        </w:rPr>
        <w:t>1</w:t>
      </w:r>
      <w:r>
        <w:rPr>
          <w:rFonts w:hint="eastAsia"/>
          <w:color w:val="auto"/>
          <w:highlight w:val="none"/>
        </w:rPr>
        <w:t>）面层：抗压强度不小于</w:t>
      </w:r>
      <w:r>
        <w:rPr>
          <w:color w:val="auto"/>
          <w:highlight w:val="none"/>
        </w:rPr>
        <w:t>Cc400</w:t>
      </w:r>
      <w:r>
        <w:rPr>
          <w:rFonts w:hint="eastAsia"/>
          <w:color w:val="auto"/>
          <w:highlight w:val="none"/>
        </w:rPr>
        <w:t>，抗抗折强度不小于</w:t>
      </w:r>
      <w:r>
        <w:rPr>
          <w:color w:val="auto"/>
          <w:highlight w:val="none"/>
        </w:rPr>
        <w:t>Cf4.0</w:t>
      </w:r>
      <w:r>
        <w:rPr>
          <w:rFonts w:hint="eastAsia"/>
          <w:color w:val="auto"/>
          <w:highlight w:val="none"/>
        </w:rPr>
        <w:t>，防滑等级为</w:t>
      </w:r>
      <w:r>
        <w:rPr>
          <w:color w:val="auto"/>
          <w:highlight w:val="none"/>
        </w:rPr>
        <w:t>R3</w:t>
      </w:r>
      <w:r>
        <w:rPr>
          <w:rFonts w:hint="eastAsia"/>
          <w:color w:val="auto"/>
          <w:highlight w:val="none"/>
        </w:rPr>
        <w:t>，相应防滑性能指标</w:t>
      </w:r>
      <w:r>
        <w:rPr>
          <w:color w:val="auto"/>
          <w:highlight w:val="none"/>
        </w:rPr>
        <w:t>BPN</w:t>
      </w:r>
      <w:r>
        <w:rPr>
          <w:rFonts w:hint="eastAsia"/>
          <w:color w:val="auto"/>
          <w:highlight w:val="none"/>
        </w:rPr>
        <w:t>≥</w:t>
      </w:r>
      <w:r>
        <w:rPr>
          <w:color w:val="auto"/>
          <w:highlight w:val="none"/>
        </w:rPr>
        <w:t>65</w:t>
      </w:r>
      <w:r>
        <w:rPr>
          <w:rFonts w:hint="eastAsia"/>
          <w:color w:val="auto"/>
          <w:highlight w:val="none"/>
        </w:rPr>
        <w:t>。</w:t>
      </w:r>
    </w:p>
    <w:p>
      <w:pPr>
        <w:pStyle w:val="217"/>
        <w:rPr>
          <w:color w:val="auto"/>
          <w:highlight w:val="none"/>
        </w:rPr>
      </w:pPr>
      <w:r>
        <w:rPr>
          <w:color w:val="auto"/>
          <w:highlight w:val="none"/>
        </w:rPr>
        <w:t>2</w:t>
      </w:r>
      <w:r>
        <w:rPr>
          <w:rFonts w:hint="eastAsia"/>
          <w:color w:val="auto"/>
          <w:highlight w:val="none"/>
        </w:rPr>
        <w:t>）基层</w:t>
      </w:r>
    </w:p>
    <w:p>
      <w:pPr>
        <w:pStyle w:val="217"/>
        <w:rPr>
          <w:color w:val="auto"/>
          <w:highlight w:val="none"/>
        </w:rPr>
      </w:pPr>
      <w:r>
        <w:rPr>
          <w:rFonts w:hint="eastAsia" w:cs="宋体"/>
          <w:color w:val="auto"/>
          <w:highlight w:val="none"/>
        </w:rPr>
        <w:t>①</w:t>
      </w:r>
      <w:r>
        <w:rPr>
          <w:rFonts w:hint="eastAsia"/>
          <w:color w:val="auto"/>
          <w:highlight w:val="none"/>
        </w:rPr>
        <w:t>水泥稳定碎石压实度（按重型击实标准）为</w:t>
      </w:r>
      <w:r>
        <w:rPr>
          <w:color w:val="auto"/>
          <w:highlight w:val="none"/>
        </w:rPr>
        <w:t>95%</w:t>
      </w:r>
      <w:r>
        <w:rPr>
          <w:rFonts w:hint="eastAsia"/>
          <w:color w:val="auto"/>
          <w:highlight w:val="none"/>
        </w:rPr>
        <w:t>，七天（</w:t>
      </w:r>
      <w:r>
        <w:rPr>
          <w:color w:val="auto"/>
          <w:highlight w:val="none"/>
        </w:rPr>
        <w:t>25</w:t>
      </w:r>
      <w:r>
        <w:rPr>
          <w:rFonts w:hint="eastAsia"/>
          <w:color w:val="auto"/>
          <w:highlight w:val="none"/>
        </w:rPr>
        <w:t>℃下湿养六天、浸水一天）龄期的试件无侧限抗压强度不小于</w:t>
      </w:r>
      <w:r>
        <w:rPr>
          <w:color w:val="auto"/>
          <w:highlight w:val="none"/>
        </w:rPr>
        <w:t>2.5Mpa</w:t>
      </w:r>
      <w:r>
        <w:rPr>
          <w:rFonts w:hint="eastAsia"/>
          <w:color w:val="auto"/>
          <w:highlight w:val="none"/>
        </w:rPr>
        <w:t>，回弹模量</w:t>
      </w:r>
      <w:r>
        <w:rPr>
          <w:color w:val="auto"/>
          <w:highlight w:val="none"/>
        </w:rPr>
        <w:t>E</w:t>
      </w:r>
      <w:r>
        <w:rPr>
          <w:rFonts w:hint="eastAsia"/>
          <w:color w:val="auto"/>
          <w:highlight w:val="none"/>
        </w:rPr>
        <w:t>≥</w:t>
      </w:r>
      <w:r>
        <w:rPr>
          <w:color w:val="auto"/>
          <w:highlight w:val="none"/>
        </w:rPr>
        <w:t>1100 Mpa</w:t>
      </w:r>
      <w:r>
        <w:rPr>
          <w:rFonts w:hint="eastAsia"/>
          <w:color w:val="auto"/>
          <w:highlight w:val="none"/>
        </w:rPr>
        <w:t>；</w:t>
      </w:r>
    </w:p>
    <w:p>
      <w:pPr>
        <w:pStyle w:val="217"/>
        <w:rPr>
          <w:color w:val="auto"/>
          <w:highlight w:val="none"/>
        </w:rPr>
      </w:pPr>
      <w:r>
        <w:rPr>
          <w:rFonts w:hint="eastAsia" w:cs="宋体"/>
          <w:color w:val="auto"/>
          <w:highlight w:val="none"/>
        </w:rPr>
        <w:t>②</w:t>
      </w:r>
      <w:r>
        <w:rPr>
          <w:rFonts w:hint="eastAsia"/>
          <w:color w:val="auto"/>
          <w:highlight w:val="none"/>
        </w:rPr>
        <w:t>透水级配碎石有效孔隙率大于等于</w:t>
      </w:r>
      <w:r>
        <w:rPr>
          <w:color w:val="auto"/>
          <w:highlight w:val="none"/>
        </w:rPr>
        <w:t>15%</w:t>
      </w:r>
      <w:r>
        <w:rPr>
          <w:rFonts w:hint="eastAsia"/>
          <w:color w:val="auto"/>
          <w:highlight w:val="none"/>
        </w:rPr>
        <w:t>；</w:t>
      </w:r>
    </w:p>
    <w:p>
      <w:pPr>
        <w:pStyle w:val="217"/>
        <w:rPr>
          <w:color w:val="auto"/>
          <w:highlight w:val="none"/>
        </w:rPr>
      </w:pPr>
      <w:r>
        <w:rPr>
          <w:rFonts w:hint="eastAsia" w:cs="宋体"/>
          <w:color w:val="auto"/>
          <w:highlight w:val="none"/>
        </w:rPr>
        <w:t>③</w:t>
      </w:r>
      <w:r>
        <w:rPr>
          <w:rFonts w:hint="eastAsia"/>
          <w:color w:val="auto"/>
          <w:highlight w:val="none"/>
        </w:rPr>
        <w:t>透水级配碎石透水系数</w:t>
      </w:r>
      <w:r>
        <w:rPr>
          <w:color w:val="auto"/>
          <w:highlight w:val="none"/>
        </w:rPr>
        <w:t>(15</w:t>
      </w:r>
      <w:r>
        <w:rPr>
          <w:rFonts w:hint="eastAsia"/>
          <w:color w:val="auto"/>
          <w:highlight w:val="none"/>
        </w:rPr>
        <w:t>℃</w:t>
      </w:r>
      <w:r>
        <w:rPr>
          <w:color w:val="auto"/>
          <w:highlight w:val="none"/>
        </w:rPr>
        <w:t>)  k</w:t>
      </w:r>
      <w:r>
        <w:rPr>
          <w:rFonts w:hint="eastAsia"/>
          <w:color w:val="auto"/>
          <w:highlight w:val="none"/>
        </w:rPr>
        <w:t>＞</w:t>
      </w:r>
      <w:r>
        <w:rPr>
          <w:color w:val="auto"/>
          <w:highlight w:val="none"/>
        </w:rPr>
        <w:t>1.0x10-2cm/s.</w:t>
      </w:r>
    </w:p>
    <w:p>
      <w:pPr>
        <w:pStyle w:val="217"/>
        <w:rPr>
          <w:color w:val="auto"/>
          <w:highlight w:val="none"/>
        </w:rPr>
      </w:pPr>
      <w:r>
        <w:rPr>
          <w:rFonts w:hint="eastAsia"/>
          <w:color w:val="auto"/>
          <w:highlight w:val="none"/>
        </w:rPr>
        <w:t>为保证透水砖的透水性以及耐磨性，透水砖必须选用透水效率高，透水系数≥</w:t>
      </w:r>
      <w:r>
        <w:rPr>
          <w:color w:val="auto"/>
          <w:highlight w:val="none"/>
        </w:rPr>
        <w:t>1.5</w:t>
      </w:r>
      <w:r>
        <w:rPr>
          <w:rFonts w:hint="eastAsia"/>
          <w:color w:val="auto"/>
          <w:highlight w:val="none"/>
        </w:rPr>
        <w:t>×</w:t>
      </w:r>
      <w:r>
        <w:rPr>
          <w:color w:val="auto"/>
          <w:highlight w:val="none"/>
        </w:rPr>
        <w:t>10cm/s</w:t>
      </w:r>
      <w:r>
        <w:rPr>
          <w:rFonts w:hint="eastAsia"/>
          <w:color w:val="auto"/>
          <w:highlight w:val="none"/>
        </w:rPr>
        <w:t>，且采用</w:t>
      </w:r>
      <w:r>
        <w:rPr>
          <w:color w:val="auto"/>
          <w:highlight w:val="none"/>
        </w:rPr>
        <w:t>-2</w:t>
      </w:r>
      <w:r>
        <w:rPr>
          <w:rFonts w:hint="eastAsia"/>
          <w:color w:val="auto"/>
          <w:highlight w:val="none"/>
        </w:rPr>
        <w:t>石英砂饰面，以增强耐磨性强，保证砖面平整细腻。</w:t>
      </w:r>
    </w:p>
    <w:p>
      <w:pPr>
        <w:pStyle w:val="119"/>
        <w:rPr>
          <w:color w:val="auto"/>
          <w:highlight w:val="none"/>
        </w:rPr>
      </w:pPr>
      <w:r>
        <w:rPr>
          <w:color w:val="auto"/>
          <w:highlight w:val="none"/>
        </w:rPr>
        <w:t xml:space="preserve">3.7.3.2 </w:t>
      </w:r>
      <w:r>
        <w:rPr>
          <w:rFonts w:hint="eastAsia"/>
          <w:color w:val="auto"/>
          <w:highlight w:val="none"/>
        </w:rPr>
        <w:t>施工技术要求</w:t>
      </w:r>
    </w:p>
    <w:p>
      <w:pPr>
        <w:pStyle w:val="217"/>
        <w:rPr>
          <w:color w:val="auto"/>
          <w:highlight w:val="none"/>
        </w:rPr>
      </w:pPr>
      <w:r>
        <w:rPr>
          <w:color w:val="auto"/>
          <w:highlight w:val="none"/>
        </w:rPr>
        <w:t>1.</w:t>
      </w:r>
      <w:r>
        <w:rPr>
          <w:rFonts w:hint="eastAsia"/>
          <w:color w:val="auto"/>
          <w:highlight w:val="none"/>
        </w:rPr>
        <w:t>施工放线</w:t>
      </w:r>
    </w:p>
    <w:p>
      <w:pPr>
        <w:pStyle w:val="217"/>
        <w:rPr>
          <w:color w:val="auto"/>
          <w:highlight w:val="none"/>
        </w:rPr>
      </w:pPr>
      <w:r>
        <w:rPr>
          <w:rFonts w:hint="eastAsia"/>
          <w:color w:val="auto"/>
          <w:highlight w:val="none"/>
        </w:rPr>
        <w:t>施工放线应参照</w:t>
      </w:r>
      <w:r>
        <w:rPr>
          <w:color w:val="auto"/>
          <w:highlight w:val="none"/>
        </w:rPr>
        <w:t>"</w:t>
      </w:r>
      <w:r>
        <w:rPr>
          <w:rFonts w:hint="eastAsia"/>
          <w:color w:val="auto"/>
          <w:highlight w:val="none"/>
        </w:rPr>
        <w:t>道路红线图</w:t>
      </w:r>
      <w:r>
        <w:rPr>
          <w:color w:val="auto"/>
          <w:highlight w:val="none"/>
        </w:rPr>
        <w:t>"</w:t>
      </w:r>
      <w:r>
        <w:rPr>
          <w:rFonts w:hint="eastAsia"/>
          <w:color w:val="auto"/>
          <w:highlight w:val="none"/>
        </w:rPr>
        <w:t>、</w:t>
      </w:r>
      <w:r>
        <w:rPr>
          <w:color w:val="auto"/>
          <w:highlight w:val="none"/>
        </w:rPr>
        <w:t>"</w:t>
      </w:r>
      <w:r>
        <w:rPr>
          <w:rFonts w:hint="eastAsia"/>
          <w:color w:val="auto"/>
          <w:highlight w:val="none"/>
        </w:rPr>
        <w:t>道路平面图</w:t>
      </w:r>
      <w:r>
        <w:rPr>
          <w:color w:val="auto"/>
          <w:highlight w:val="none"/>
        </w:rPr>
        <w:t>"</w:t>
      </w:r>
      <w:r>
        <w:rPr>
          <w:rFonts w:hint="eastAsia"/>
          <w:color w:val="auto"/>
          <w:highlight w:val="none"/>
        </w:rPr>
        <w:t>及</w:t>
      </w:r>
      <w:r>
        <w:rPr>
          <w:color w:val="auto"/>
          <w:highlight w:val="none"/>
        </w:rPr>
        <w:t>"</w:t>
      </w:r>
      <w:r>
        <w:rPr>
          <w:rFonts w:hint="eastAsia"/>
          <w:color w:val="auto"/>
          <w:highlight w:val="none"/>
        </w:rPr>
        <w:t>道路标准横断面图</w:t>
      </w:r>
      <w:r>
        <w:rPr>
          <w:color w:val="auto"/>
          <w:highlight w:val="none"/>
        </w:rPr>
        <w:t>"</w:t>
      </w:r>
      <w:r>
        <w:rPr>
          <w:rFonts w:hint="eastAsia"/>
          <w:color w:val="auto"/>
          <w:highlight w:val="none"/>
        </w:rPr>
        <w:t>确定，标高关系也要根据纵、横断面图相互校核使用，竖向施工应注意设计标高与既有道路标高的衔接。</w:t>
      </w:r>
    </w:p>
    <w:p>
      <w:pPr>
        <w:pStyle w:val="217"/>
        <w:rPr>
          <w:color w:val="auto"/>
          <w:highlight w:val="none"/>
        </w:rPr>
      </w:pPr>
      <w:r>
        <w:rPr>
          <w:color w:val="auto"/>
          <w:highlight w:val="none"/>
        </w:rPr>
        <w:t>2.</w:t>
      </w:r>
      <w:r>
        <w:rPr>
          <w:rFonts w:hint="eastAsia"/>
          <w:color w:val="auto"/>
          <w:highlight w:val="none"/>
        </w:rPr>
        <w:t>路基施工</w:t>
      </w:r>
    </w:p>
    <w:p>
      <w:pPr>
        <w:pStyle w:val="217"/>
        <w:rPr>
          <w:color w:val="auto"/>
          <w:highlight w:val="none"/>
        </w:rPr>
      </w:pPr>
      <w:r>
        <w:rPr>
          <w:rFonts w:hint="eastAsia"/>
          <w:color w:val="auto"/>
          <w:highlight w:val="none"/>
        </w:rPr>
        <w:t>路基施工前应做好平场工作，清除地表腐植土、植被、垃圾等，应会同相关单位查明现有地下管线、暗涵等。路基开挖不得乱挖、超挖，开挖中发现有未曾查明的地下管涵时，应通知设计单位处理。临近现有建筑物及桥涵的开挖应注意观测和防护，确保建（构）筑物及施工安全。</w:t>
      </w:r>
    </w:p>
    <w:p>
      <w:pPr>
        <w:pStyle w:val="217"/>
        <w:rPr>
          <w:color w:val="auto"/>
          <w:highlight w:val="none"/>
        </w:rPr>
      </w:pPr>
      <w:r>
        <w:rPr>
          <w:rFonts w:hint="eastAsia"/>
          <w:color w:val="auto"/>
          <w:highlight w:val="none"/>
        </w:rPr>
        <w:t>路基压实度采用重型击实标准，压实度须满足</w:t>
      </w:r>
      <w:r>
        <w:rPr>
          <w:color w:val="auto"/>
          <w:highlight w:val="none"/>
        </w:rPr>
        <w:t>"</w:t>
      </w:r>
      <w:r>
        <w:rPr>
          <w:rFonts w:hint="eastAsia"/>
          <w:color w:val="auto"/>
          <w:highlight w:val="none"/>
        </w:rPr>
        <w:t>路面结构图</w:t>
      </w:r>
      <w:r>
        <w:rPr>
          <w:color w:val="auto"/>
          <w:highlight w:val="none"/>
        </w:rPr>
        <w:t>"</w:t>
      </w:r>
      <w:r>
        <w:rPr>
          <w:rFonts w:hint="eastAsia"/>
          <w:color w:val="auto"/>
          <w:highlight w:val="none"/>
        </w:rPr>
        <w:t>中规定的设计标准。填方应分层碾压，根据压实机具功率，分层压实厚度控制在</w:t>
      </w:r>
      <w:r>
        <w:rPr>
          <w:color w:val="auto"/>
          <w:highlight w:val="none"/>
        </w:rPr>
        <w:t>20cm~30cm</w:t>
      </w:r>
      <w:r>
        <w:rPr>
          <w:rFonts w:hint="eastAsia"/>
          <w:color w:val="auto"/>
          <w:highlight w:val="none"/>
        </w:rPr>
        <w:t>，压实宽度应每侧宽出路床</w:t>
      </w:r>
      <w:r>
        <w:rPr>
          <w:color w:val="auto"/>
          <w:highlight w:val="none"/>
        </w:rPr>
        <w:t>20cm</w:t>
      </w:r>
      <w:r>
        <w:rPr>
          <w:rFonts w:hint="eastAsia"/>
          <w:color w:val="auto"/>
          <w:highlight w:val="none"/>
        </w:rPr>
        <w:t>。每层均应有压实度实验报告；桥涵台背、挡土墙墙背的路基填料应采用内摩擦角较大的碎、砾石类土。路基土方完成后，沿线应按规范要求作回弹模量或回弹弯沉实验，达到设计要求后，方可进行下一道工序的施工。</w:t>
      </w:r>
    </w:p>
    <w:tbl>
      <w:tblPr>
        <w:tblStyle w:val="43"/>
        <w:tblpPr w:leftFromText="180" w:rightFromText="180" w:vertAnchor="text" w:horzAnchor="page" w:tblpX="1608" w:tblpY="311"/>
        <w:tblOverlap w:val="never"/>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1605"/>
        <w:gridCol w:w="2685"/>
        <w:gridCol w:w="1410"/>
        <w:gridCol w:w="1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79" w:type="dxa"/>
            <w:vMerge w:val="restart"/>
            <w:noWrap w:val="0"/>
            <w:vAlign w:val="center"/>
          </w:tcPr>
          <w:p>
            <w:pPr>
              <w:rPr>
                <w:color w:val="auto"/>
                <w:highlight w:val="none"/>
              </w:rPr>
            </w:pPr>
            <w:r>
              <w:rPr>
                <w:rFonts w:hint="eastAsia"/>
                <w:color w:val="auto"/>
                <w:highlight w:val="none"/>
              </w:rPr>
              <w:t>填挖类型</w:t>
            </w:r>
          </w:p>
        </w:tc>
        <w:tc>
          <w:tcPr>
            <w:tcW w:w="1605" w:type="dxa"/>
            <w:vMerge w:val="restart"/>
            <w:noWrap w:val="0"/>
            <w:vAlign w:val="center"/>
          </w:tcPr>
          <w:p>
            <w:pPr>
              <w:rPr>
                <w:color w:val="auto"/>
                <w:highlight w:val="none"/>
              </w:rPr>
            </w:pPr>
            <w:r>
              <w:rPr>
                <w:rFonts w:hint="eastAsia"/>
                <w:color w:val="auto"/>
                <w:highlight w:val="none"/>
              </w:rPr>
              <w:t>深度范围</w:t>
            </w:r>
            <w:r>
              <w:rPr>
                <w:color w:val="auto"/>
                <w:highlight w:val="none"/>
              </w:rPr>
              <w:t>(cm)</w:t>
            </w:r>
          </w:p>
        </w:tc>
        <w:tc>
          <w:tcPr>
            <w:tcW w:w="2685" w:type="dxa"/>
            <w:vMerge w:val="restart"/>
            <w:noWrap w:val="0"/>
            <w:vAlign w:val="center"/>
          </w:tcPr>
          <w:p>
            <w:pPr>
              <w:rPr>
                <w:color w:val="auto"/>
                <w:highlight w:val="none"/>
              </w:rPr>
            </w:pPr>
            <w:r>
              <w:rPr>
                <w:rFonts w:hint="eastAsia"/>
                <w:color w:val="auto"/>
                <w:highlight w:val="none"/>
              </w:rPr>
              <w:t>填料最小强度（</w:t>
            </w:r>
            <w:r>
              <w:rPr>
                <w:color w:val="auto"/>
                <w:highlight w:val="none"/>
              </w:rPr>
              <w:t>CBR</w:t>
            </w:r>
            <w:r>
              <w:rPr>
                <w:rFonts w:hint="eastAsia"/>
                <w:color w:val="auto"/>
                <w:highlight w:val="none"/>
              </w:rPr>
              <w:t>）（</w:t>
            </w:r>
            <w:r>
              <w:rPr>
                <w:color w:val="auto"/>
                <w:highlight w:val="none"/>
              </w:rPr>
              <w:t>%</w:t>
            </w:r>
            <w:r>
              <w:rPr>
                <w:rFonts w:hint="eastAsia"/>
                <w:color w:val="auto"/>
                <w:highlight w:val="none"/>
              </w:rPr>
              <w:t>）</w:t>
            </w:r>
          </w:p>
        </w:tc>
        <w:tc>
          <w:tcPr>
            <w:tcW w:w="3228" w:type="dxa"/>
            <w:gridSpan w:val="2"/>
            <w:noWrap w:val="0"/>
            <w:vAlign w:val="center"/>
          </w:tcPr>
          <w:p>
            <w:pPr>
              <w:rPr>
                <w:color w:val="auto"/>
                <w:highlight w:val="none"/>
              </w:rPr>
            </w:pPr>
            <w:r>
              <w:rPr>
                <w:rFonts w:hint="eastAsia"/>
                <w:color w:val="auto"/>
                <w:highlight w:val="none"/>
              </w:rPr>
              <w:t>压实度（</w:t>
            </w:r>
            <w:r>
              <w:rPr>
                <w:color w:val="auto"/>
                <w:highlight w:val="none"/>
              </w:rPr>
              <w:t>%</w:t>
            </w: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79" w:type="dxa"/>
            <w:vMerge w:val="continue"/>
            <w:noWrap w:val="0"/>
            <w:vAlign w:val="center"/>
          </w:tcPr>
          <w:p>
            <w:pPr>
              <w:rPr>
                <w:color w:val="auto"/>
                <w:highlight w:val="none"/>
              </w:rPr>
            </w:pPr>
          </w:p>
        </w:tc>
        <w:tc>
          <w:tcPr>
            <w:tcW w:w="1605" w:type="dxa"/>
            <w:vMerge w:val="continue"/>
            <w:noWrap w:val="0"/>
            <w:vAlign w:val="center"/>
          </w:tcPr>
          <w:p>
            <w:pPr>
              <w:rPr>
                <w:color w:val="auto"/>
                <w:highlight w:val="none"/>
              </w:rPr>
            </w:pPr>
          </w:p>
        </w:tc>
        <w:tc>
          <w:tcPr>
            <w:tcW w:w="2685" w:type="dxa"/>
            <w:vMerge w:val="continue"/>
            <w:noWrap w:val="0"/>
            <w:vAlign w:val="center"/>
          </w:tcPr>
          <w:p>
            <w:pPr>
              <w:rPr>
                <w:color w:val="auto"/>
                <w:highlight w:val="none"/>
              </w:rPr>
            </w:pPr>
          </w:p>
        </w:tc>
        <w:tc>
          <w:tcPr>
            <w:tcW w:w="1410" w:type="dxa"/>
            <w:noWrap w:val="0"/>
            <w:vAlign w:val="center"/>
          </w:tcPr>
          <w:p>
            <w:pPr>
              <w:rPr>
                <w:color w:val="auto"/>
                <w:highlight w:val="none"/>
              </w:rPr>
            </w:pPr>
            <w:r>
              <w:rPr>
                <w:rFonts w:hint="eastAsia"/>
                <w:color w:val="auto"/>
                <w:highlight w:val="none"/>
              </w:rPr>
              <w:t>车行道</w:t>
            </w:r>
          </w:p>
        </w:tc>
        <w:tc>
          <w:tcPr>
            <w:tcW w:w="1818" w:type="dxa"/>
            <w:noWrap w:val="0"/>
            <w:vAlign w:val="center"/>
          </w:tcPr>
          <w:p>
            <w:pPr>
              <w:rPr>
                <w:color w:val="auto"/>
                <w:highlight w:val="none"/>
              </w:rPr>
            </w:pPr>
            <w:r>
              <w:rPr>
                <w:rFonts w:hint="eastAsia"/>
                <w:color w:val="auto"/>
                <w:highlight w:val="none"/>
              </w:rPr>
              <w:t>人行道及绿道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79" w:type="dxa"/>
            <w:vMerge w:val="restart"/>
            <w:noWrap w:val="0"/>
            <w:vAlign w:val="center"/>
          </w:tcPr>
          <w:p>
            <w:pPr>
              <w:rPr>
                <w:color w:val="auto"/>
                <w:highlight w:val="none"/>
              </w:rPr>
            </w:pPr>
            <w:r>
              <w:rPr>
                <w:rFonts w:hint="eastAsia"/>
                <w:color w:val="auto"/>
                <w:highlight w:val="none"/>
              </w:rPr>
              <w:t>零填及挖方</w:t>
            </w:r>
          </w:p>
        </w:tc>
        <w:tc>
          <w:tcPr>
            <w:tcW w:w="1605" w:type="dxa"/>
            <w:noWrap w:val="0"/>
            <w:vAlign w:val="center"/>
          </w:tcPr>
          <w:p>
            <w:pPr>
              <w:rPr>
                <w:color w:val="auto"/>
                <w:highlight w:val="none"/>
              </w:rPr>
            </w:pPr>
            <w:r>
              <w:rPr>
                <w:color w:val="auto"/>
                <w:highlight w:val="none"/>
              </w:rPr>
              <w:t>0~30</w:t>
            </w:r>
          </w:p>
        </w:tc>
        <w:tc>
          <w:tcPr>
            <w:tcW w:w="2685" w:type="dxa"/>
            <w:noWrap w:val="0"/>
            <w:vAlign w:val="center"/>
          </w:tcPr>
          <w:p>
            <w:pPr>
              <w:rPr>
                <w:color w:val="auto"/>
                <w:highlight w:val="none"/>
              </w:rPr>
            </w:pPr>
            <w:r>
              <w:rPr>
                <w:color w:val="auto"/>
                <w:highlight w:val="none"/>
              </w:rPr>
              <w:t>6</w:t>
            </w:r>
          </w:p>
        </w:tc>
        <w:tc>
          <w:tcPr>
            <w:tcW w:w="1410" w:type="dxa"/>
            <w:noWrap w:val="0"/>
            <w:vAlign w:val="center"/>
          </w:tcPr>
          <w:p>
            <w:pPr>
              <w:rPr>
                <w:color w:val="auto"/>
                <w:highlight w:val="none"/>
              </w:rPr>
            </w:pPr>
            <w:r>
              <w:rPr>
                <w:color w:val="auto"/>
                <w:highlight w:val="none"/>
              </w:rPr>
              <w:t>≥92</w:t>
            </w:r>
          </w:p>
        </w:tc>
        <w:tc>
          <w:tcPr>
            <w:tcW w:w="1818" w:type="dxa"/>
            <w:noWrap w:val="0"/>
            <w:vAlign w:val="center"/>
          </w:tcPr>
          <w:p>
            <w:pPr>
              <w:rPr>
                <w:color w:val="auto"/>
                <w:highlight w:val="none"/>
              </w:rPr>
            </w:pPr>
            <w:r>
              <w:rPr>
                <w:color w:val="auto"/>
                <w:highlight w:val="none"/>
              </w:rPr>
              <w:t>≥ 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79" w:type="dxa"/>
            <w:vMerge w:val="continue"/>
            <w:noWrap w:val="0"/>
            <w:vAlign w:val="center"/>
          </w:tcPr>
          <w:p>
            <w:pPr>
              <w:rPr>
                <w:color w:val="auto"/>
                <w:highlight w:val="none"/>
              </w:rPr>
            </w:pPr>
          </w:p>
        </w:tc>
        <w:tc>
          <w:tcPr>
            <w:tcW w:w="1605" w:type="dxa"/>
            <w:noWrap w:val="0"/>
            <w:vAlign w:val="center"/>
          </w:tcPr>
          <w:p>
            <w:pPr>
              <w:rPr>
                <w:color w:val="auto"/>
                <w:highlight w:val="none"/>
              </w:rPr>
            </w:pPr>
            <w:r>
              <w:rPr>
                <w:color w:val="auto"/>
                <w:highlight w:val="none"/>
              </w:rPr>
              <w:t>30~80</w:t>
            </w:r>
          </w:p>
        </w:tc>
        <w:tc>
          <w:tcPr>
            <w:tcW w:w="2685" w:type="dxa"/>
            <w:noWrap w:val="0"/>
            <w:vAlign w:val="center"/>
          </w:tcPr>
          <w:p>
            <w:pPr>
              <w:rPr>
                <w:color w:val="auto"/>
                <w:highlight w:val="none"/>
              </w:rPr>
            </w:pPr>
            <w:r>
              <w:rPr>
                <w:color w:val="auto"/>
                <w:highlight w:val="none"/>
              </w:rPr>
              <w:t>4</w:t>
            </w:r>
          </w:p>
        </w:tc>
        <w:tc>
          <w:tcPr>
            <w:tcW w:w="1410" w:type="dxa"/>
            <w:noWrap w:val="0"/>
            <w:vAlign w:val="center"/>
          </w:tcPr>
          <w:p>
            <w:pPr>
              <w:rPr>
                <w:color w:val="auto"/>
                <w:highlight w:val="none"/>
              </w:rPr>
            </w:pPr>
          </w:p>
        </w:tc>
        <w:tc>
          <w:tcPr>
            <w:tcW w:w="1818"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79" w:type="dxa"/>
            <w:vMerge w:val="restart"/>
            <w:noWrap w:val="0"/>
            <w:vAlign w:val="center"/>
          </w:tcPr>
          <w:p>
            <w:pPr>
              <w:rPr>
                <w:color w:val="auto"/>
                <w:highlight w:val="none"/>
              </w:rPr>
            </w:pPr>
            <w:r>
              <w:rPr>
                <w:rFonts w:hint="eastAsia"/>
                <w:color w:val="auto"/>
                <w:highlight w:val="none"/>
              </w:rPr>
              <w:t>填方</w:t>
            </w:r>
          </w:p>
        </w:tc>
        <w:tc>
          <w:tcPr>
            <w:tcW w:w="1605" w:type="dxa"/>
            <w:noWrap w:val="0"/>
            <w:vAlign w:val="center"/>
          </w:tcPr>
          <w:p>
            <w:pPr>
              <w:rPr>
                <w:color w:val="auto"/>
                <w:highlight w:val="none"/>
              </w:rPr>
            </w:pPr>
            <w:r>
              <w:rPr>
                <w:color w:val="auto"/>
                <w:highlight w:val="none"/>
              </w:rPr>
              <w:t>30~80</w:t>
            </w:r>
          </w:p>
        </w:tc>
        <w:tc>
          <w:tcPr>
            <w:tcW w:w="2685" w:type="dxa"/>
            <w:noWrap w:val="0"/>
            <w:vAlign w:val="center"/>
          </w:tcPr>
          <w:p>
            <w:pPr>
              <w:rPr>
                <w:color w:val="auto"/>
                <w:highlight w:val="none"/>
              </w:rPr>
            </w:pPr>
            <w:r>
              <w:rPr>
                <w:color w:val="auto"/>
                <w:highlight w:val="none"/>
              </w:rPr>
              <w:t>6</w:t>
            </w:r>
          </w:p>
        </w:tc>
        <w:tc>
          <w:tcPr>
            <w:tcW w:w="1410" w:type="dxa"/>
            <w:noWrap w:val="0"/>
            <w:vAlign w:val="center"/>
          </w:tcPr>
          <w:p>
            <w:pPr>
              <w:rPr>
                <w:color w:val="auto"/>
                <w:highlight w:val="none"/>
              </w:rPr>
            </w:pPr>
            <w:r>
              <w:rPr>
                <w:color w:val="auto"/>
                <w:highlight w:val="none"/>
              </w:rPr>
              <w:t>≥ 92</w:t>
            </w:r>
          </w:p>
        </w:tc>
        <w:tc>
          <w:tcPr>
            <w:tcW w:w="1818" w:type="dxa"/>
            <w:noWrap w:val="0"/>
            <w:vAlign w:val="center"/>
          </w:tcPr>
          <w:p>
            <w:pPr>
              <w:rPr>
                <w:color w:val="auto"/>
                <w:highlight w:val="none"/>
              </w:rPr>
            </w:pPr>
            <w:r>
              <w:rPr>
                <w:color w:val="auto"/>
                <w:highlight w:val="no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79" w:type="dxa"/>
            <w:vMerge w:val="continue"/>
            <w:noWrap w:val="0"/>
            <w:vAlign w:val="center"/>
          </w:tcPr>
          <w:p>
            <w:pPr>
              <w:rPr>
                <w:color w:val="auto"/>
                <w:highlight w:val="none"/>
              </w:rPr>
            </w:pPr>
          </w:p>
        </w:tc>
        <w:tc>
          <w:tcPr>
            <w:tcW w:w="1605" w:type="dxa"/>
            <w:noWrap w:val="0"/>
            <w:vAlign w:val="center"/>
          </w:tcPr>
          <w:p>
            <w:pPr>
              <w:rPr>
                <w:color w:val="auto"/>
                <w:highlight w:val="none"/>
              </w:rPr>
            </w:pPr>
            <w:r>
              <w:rPr>
                <w:color w:val="auto"/>
                <w:highlight w:val="none"/>
              </w:rPr>
              <w:t>&gt;80</w:t>
            </w:r>
          </w:p>
        </w:tc>
        <w:tc>
          <w:tcPr>
            <w:tcW w:w="2685" w:type="dxa"/>
            <w:noWrap w:val="0"/>
            <w:vAlign w:val="center"/>
          </w:tcPr>
          <w:p>
            <w:pPr>
              <w:rPr>
                <w:color w:val="auto"/>
                <w:highlight w:val="none"/>
              </w:rPr>
            </w:pPr>
            <w:r>
              <w:rPr>
                <w:color w:val="auto"/>
                <w:highlight w:val="none"/>
              </w:rPr>
              <w:t>4</w:t>
            </w:r>
          </w:p>
        </w:tc>
        <w:tc>
          <w:tcPr>
            <w:tcW w:w="1410" w:type="dxa"/>
            <w:noWrap w:val="0"/>
            <w:vAlign w:val="center"/>
          </w:tcPr>
          <w:p>
            <w:pPr>
              <w:rPr>
                <w:color w:val="auto"/>
                <w:highlight w:val="none"/>
              </w:rPr>
            </w:pPr>
            <w:r>
              <w:rPr>
                <w:color w:val="auto"/>
                <w:highlight w:val="none"/>
              </w:rPr>
              <w:t>≥90</w:t>
            </w:r>
          </w:p>
        </w:tc>
        <w:tc>
          <w:tcPr>
            <w:tcW w:w="1818" w:type="dxa"/>
            <w:noWrap w:val="0"/>
            <w:vAlign w:val="center"/>
          </w:tcPr>
          <w:p>
            <w:pPr>
              <w:rPr>
                <w:color w:val="auto"/>
                <w:highlight w:val="none"/>
              </w:rPr>
            </w:pPr>
            <w:r>
              <w:rPr>
                <w:color w:val="auto"/>
                <w:highlight w:val="none"/>
              </w:rPr>
              <w:t>≥87</w:t>
            </w:r>
          </w:p>
        </w:tc>
      </w:tr>
    </w:tbl>
    <w:p>
      <w:pPr>
        <w:pStyle w:val="217"/>
        <w:rPr>
          <w:color w:val="auto"/>
          <w:highlight w:val="none"/>
        </w:rPr>
      </w:pPr>
      <w:r>
        <w:rPr>
          <w:rFonts w:hint="eastAsia"/>
          <w:color w:val="auto"/>
          <w:highlight w:val="none"/>
        </w:rPr>
        <w:t>土基压实度采用重型击实标准：</w:t>
      </w:r>
    </w:p>
    <w:p>
      <w:pPr>
        <w:pStyle w:val="217"/>
        <w:rPr>
          <w:color w:val="auto"/>
          <w:highlight w:val="none"/>
        </w:rPr>
      </w:pPr>
    </w:p>
    <w:p>
      <w:pPr>
        <w:pStyle w:val="217"/>
        <w:rPr>
          <w:color w:val="auto"/>
          <w:highlight w:val="none"/>
        </w:rPr>
      </w:pPr>
      <w:r>
        <w:rPr>
          <w:color w:val="auto"/>
          <w:highlight w:val="none"/>
        </w:rPr>
        <w:t>3.</w:t>
      </w:r>
      <w:r>
        <w:rPr>
          <w:rFonts w:hint="eastAsia"/>
          <w:color w:val="auto"/>
          <w:highlight w:val="none"/>
        </w:rPr>
        <w:t>路面施工</w:t>
      </w:r>
    </w:p>
    <w:p>
      <w:pPr>
        <w:pStyle w:val="217"/>
        <w:rPr>
          <w:color w:val="auto"/>
          <w:highlight w:val="none"/>
        </w:rPr>
      </w:pPr>
      <w:r>
        <w:rPr>
          <w:rFonts w:hint="eastAsia"/>
          <w:color w:val="auto"/>
          <w:highlight w:val="none"/>
        </w:rPr>
        <w:t>路基开挖后如发现其它不良地质现象，与设计不符时，应及时会同建设单位、设计单位、监理单位研究解决。</w:t>
      </w:r>
    </w:p>
    <w:p>
      <w:pPr>
        <w:pStyle w:val="217"/>
        <w:rPr>
          <w:color w:val="auto"/>
          <w:highlight w:val="none"/>
        </w:rPr>
      </w:pPr>
      <w:r>
        <w:rPr>
          <w:rFonts w:hint="eastAsia"/>
          <w:color w:val="auto"/>
          <w:highlight w:val="none"/>
        </w:rPr>
        <w:t>沥青路面结构应严格按设计图纸中要求施工外</w:t>
      </w:r>
      <w:r>
        <w:rPr>
          <w:color w:val="auto"/>
          <w:highlight w:val="none"/>
        </w:rPr>
        <w:t>,</w:t>
      </w:r>
      <w:r>
        <w:rPr>
          <w:rFonts w:hint="eastAsia"/>
          <w:color w:val="auto"/>
          <w:highlight w:val="none"/>
        </w:rPr>
        <w:t>还应按《沥青路面施工及验收规范》（</w:t>
      </w:r>
      <w:r>
        <w:rPr>
          <w:color w:val="auto"/>
          <w:highlight w:val="none"/>
        </w:rPr>
        <w:t>GB 50092-96</w:t>
      </w:r>
      <w:r>
        <w:rPr>
          <w:rFonts w:hint="eastAsia"/>
          <w:color w:val="auto"/>
          <w:highlight w:val="none"/>
        </w:rPr>
        <w:t>）的要求进行。</w:t>
      </w:r>
    </w:p>
    <w:p>
      <w:pPr>
        <w:pStyle w:val="217"/>
        <w:rPr>
          <w:color w:val="auto"/>
          <w:highlight w:val="none"/>
        </w:rPr>
      </w:pPr>
      <w:r>
        <w:rPr>
          <w:rFonts w:hint="eastAsia"/>
          <w:color w:val="auto"/>
          <w:highlight w:val="none"/>
        </w:rPr>
        <w:t>水泥稳定碎石基层的施工应满足《公路路面基层施工技术规范》（</w:t>
      </w:r>
      <w:r>
        <w:rPr>
          <w:color w:val="auto"/>
          <w:highlight w:val="none"/>
        </w:rPr>
        <w:t>JTJ034-2000</w:t>
      </w:r>
      <w:r>
        <w:rPr>
          <w:rFonts w:hint="eastAsia"/>
          <w:color w:val="auto"/>
          <w:highlight w:val="none"/>
        </w:rPr>
        <w:t>）施工。水泥稳定碎石施工必须采用机械拌合，不得人工拌合。</w:t>
      </w:r>
    </w:p>
    <w:p>
      <w:pPr>
        <w:pStyle w:val="217"/>
        <w:rPr>
          <w:color w:val="auto"/>
          <w:highlight w:val="none"/>
        </w:rPr>
      </w:pPr>
      <w:r>
        <w:rPr>
          <w:rFonts w:hint="eastAsia"/>
          <w:color w:val="auto"/>
          <w:highlight w:val="none"/>
        </w:rPr>
        <w:t>各层施工完毕后，均须按施工验收规范测定弯沉值，满足设计要求后方可进行下一道工序的施工。</w:t>
      </w:r>
    </w:p>
    <w:p>
      <w:pPr>
        <w:pStyle w:val="217"/>
        <w:rPr>
          <w:color w:val="auto"/>
          <w:highlight w:val="none"/>
        </w:rPr>
      </w:pPr>
      <w:r>
        <w:rPr>
          <w:rFonts w:hint="eastAsia"/>
          <w:color w:val="auto"/>
          <w:highlight w:val="none"/>
        </w:rPr>
        <w:t>人行道的铺装必须密实平整、无空洞，面层无污染；路缘石的安装应整齐、弯道圆顺，勾缝整齐，缘石表面质感、色彩统一，清晰，无污染。</w:t>
      </w:r>
    </w:p>
    <w:p>
      <w:pPr>
        <w:pStyle w:val="217"/>
        <w:rPr>
          <w:color w:val="auto"/>
          <w:highlight w:val="none"/>
        </w:rPr>
      </w:pPr>
      <w:r>
        <w:rPr>
          <w:color w:val="auto"/>
          <w:highlight w:val="none"/>
        </w:rPr>
        <w:t>4.</w:t>
      </w:r>
      <w:r>
        <w:rPr>
          <w:rFonts w:hint="eastAsia"/>
          <w:color w:val="auto"/>
          <w:highlight w:val="none"/>
        </w:rPr>
        <w:t>原地面高程如与现场有出入应以现场实测结果为准。</w:t>
      </w:r>
    </w:p>
    <w:p>
      <w:pPr>
        <w:pStyle w:val="217"/>
        <w:rPr>
          <w:color w:val="auto"/>
          <w:highlight w:val="none"/>
        </w:rPr>
      </w:pPr>
      <w:r>
        <w:rPr>
          <w:color w:val="auto"/>
          <w:highlight w:val="none"/>
        </w:rPr>
        <w:t>5.</w:t>
      </w:r>
      <w:r>
        <w:rPr>
          <w:rFonts w:hint="eastAsia"/>
          <w:color w:val="auto"/>
          <w:highlight w:val="none"/>
        </w:rPr>
        <w:t>现场生产的实际情况，应按图纸设计要求施工；设计图纸未能预见处，按照国家有关施工验收及设计规范执行，并应征求建设单位、设计单位、监理单位的同意。</w:t>
      </w:r>
    </w:p>
    <w:p>
      <w:pPr>
        <w:pStyle w:val="119"/>
        <w:rPr>
          <w:color w:val="auto"/>
          <w:highlight w:val="none"/>
        </w:rPr>
      </w:pPr>
      <w:r>
        <w:rPr>
          <w:color w:val="auto"/>
          <w:highlight w:val="none"/>
        </w:rPr>
        <w:t xml:space="preserve">3.7.3.3 </w:t>
      </w:r>
      <w:r>
        <w:rPr>
          <w:rFonts w:hint="eastAsia"/>
          <w:color w:val="auto"/>
          <w:highlight w:val="none"/>
        </w:rPr>
        <w:t>全塑型塑胶施工步骤</w:t>
      </w:r>
    </w:p>
    <w:p>
      <w:pPr>
        <w:pStyle w:val="217"/>
        <w:rPr>
          <w:color w:val="auto"/>
          <w:highlight w:val="none"/>
        </w:rPr>
      </w:pPr>
      <w:r>
        <w:rPr>
          <w:color w:val="auto"/>
          <w:highlight w:val="none"/>
        </w:rPr>
        <w:t>1.13mm</w:t>
      </w:r>
      <w:r>
        <w:rPr>
          <w:rFonts w:hint="eastAsia"/>
          <w:color w:val="auto"/>
          <w:highlight w:val="none"/>
        </w:rPr>
        <w:t>全塑型自结纹跑道铺设施工工艺是采用两步施工法进行铺设的。</w:t>
      </w:r>
    </w:p>
    <w:p>
      <w:pPr>
        <w:pStyle w:val="217"/>
        <w:rPr>
          <w:color w:val="auto"/>
          <w:highlight w:val="none"/>
        </w:rPr>
      </w:pPr>
      <w:r>
        <w:rPr>
          <w:rFonts w:hint="eastAsia"/>
          <w:color w:val="auto"/>
          <w:highlight w:val="none"/>
        </w:rPr>
        <w:t>用防水底涂进行封底，底层</w:t>
      </w:r>
      <w:r>
        <w:rPr>
          <w:color w:val="auto"/>
          <w:highlight w:val="none"/>
        </w:rPr>
        <w:t>PU</w:t>
      </w:r>
      <w:r>
        <w:rPr>
          <w:rFonts w:hint="eastAsia"/>
          <w:color w:val="auto"/>
          <w:highlight w:val="none"/>
        </w:rPr>
        <w:t>纯胶进行摊铺，摊铺厚度为</w:t>
      </w:r>
      <w:r>
        <w:rPr>
          <w:color w:val="auto"/>
          <w:highlight w:val="none"/>
        </w:rPr>
        <w:t>10</w:t>
      </w:r>
      <w:r>
        <w:rPr>
          <w:rFonts w:hint="eastAsia"/>
          <w:color w:val="auto"/>
          <w:highlight w:val="none"/>
        </w:rPr>
        <w:t>毫米，将其固化后，在上面再混合厚度为</w:t>
      </w:r>
      <w:r>
        <w:rPr>
          <w:color w:val="auto"/>
          <w:highlight w:val="none"/>
        </w:rPr>
        <w:t>3</w:t>
      </w:r>
      <w:r>
        <w:rPr>
          <w:rFonts w:hint="eastAsia"/>
          <w:color w:val="auto"/>
          <w:highlight w:val="none"/>
        </w:rPr>
        <w:t>毫米喷涂面胶。（注：若现场场地高低凹凸不平，则摊铺厚度需以现场场地情况为基准决定厚度，以保证摊铺完成后的平整度）。</w:t>
      </w:r>
    </w:p>
    <w:p>
      <w:pPr>
        <w:pStyle w:val="217"/>
        <w:rPr>
          <w:color w:val="auto"/>
          <w:highlight w:val="none"/>
        </w:rPr>
      </w:pPr>
      <w:r>
        <w:rPr>
          <w:rFonts w:hint="eastAsia"/>
          <w:color w:val="auto"/>
          <w:highlight w:val="none"/>
        </w:rPr>
        <w:t>工艺简图：</w:t>
      </w:r>
    </w:p>
    <w:p>
      <w:pPr>
        <w:pStyle w:val="217"/>
        <w:rPr>
          <w:color w:val="auto"/>
          <w:highlight w:val="none"/>
        </w:rPr>
      </w:pPr>
      <w:r>
        <w:rPr>
          <w:rFonts w:hint="eastAsia"/>
          <w:color w:val="auto"/>
          <w:highlight w:val="none"/>
        </w:rPr>
        <w:t>清扫场地→防水底涂封底→纯</w:t>
      </w:r>
      <w:r>
        <w:rPr>
          <w:color w:val="auto"/>
          <w:highlight w:val="none"/>
        </w:rPr>
        <w:t xml:space="preserve"> pu</w:t>
      </w:r>
      <w:r>
        <w:rPr>
          <w:rFonts w:hint="eastAsia"/>
          <w:color w:val="auto"/>
          <w:highlight w:val="none"/>
        </w:rPr>
        <w:t>混合搅拌→摊铺→消泡→固化→自结纹面漆配料→混合搅拌→面漆固化→测量画线→竣工。</w:t>
      </w:r>
    </w:p>
    <w:p>
      <w:pPr>
        <w:pStyle w:val="217"/>
        <w:rPr>
          <w:color w:val="auto"/>
          <w:highlight w:val="none"/>
        </w:rPr>
      </w:pPr>
      <w:r>
        <w:rPr>
          <w:color w:val="auto"/>
          <w:highlight w:val="none"/>
        </w:rPr>
        <w:t>2.</w:t>
      </w:r>
      <w:r>
        <w:rPr>
          <w:rFonts w:hint="eastAsia"/>
          <w:color w:val="auto"/>
          <w:highlight w:val="none"/>
        </w:rPr>
        <w:t>施工技术说明</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）施工前准备</w:t>
      </w:r>
    </w:p>
    <w:p>
      <w:pPr>
        <w:pStyle w:val="217"/>
        <w:rPr>
          <w:color w:val="auto"/>
          <w:highlight w:val="none"/>
        </w:rPr>
      </w:pPr>
      <w:r>
        <w:rPr>
          <w:color w:val="auto"/>
          <w:highlight w:val="none"/>
        </w:rPr>
        <w:t>1</w:t>
      </w:r>
      <w:r>
        <w:rPr>
          <w:rFonts w:hint="eastAsia"/>
          <w:color w:val="auto"/>
          <w:highlight w:val="none"/>
        </w:rPr>
        <w:t>）施工队进场后，首先清点所有材料的品种及数量，列出清单，并交监理签字。</w:t>
      </w:r>
    </w:p>
    <w:p>
      <w:pPr>
        <w:pStyle w:val="217"/>
        <w:rPr>
          <w:color w:val="auto"/>
          <w:highlight w:val="none"/>
        </w:rPr>
      </w:pPr>
      <w:r>
        <w:rPr>
          <w:color w:val="auto"/>
          <w:highlight w:val="none"/>
        </w:rPr>
        <w:t>2</w:t>
      </w:r>
      <w:r>
        <w:rPr>
          <w:rFonts w:hint="eastAsia"/>
          <w:color w:val="auto"/>
          <w:highlight w:val="none"/>
        </w:rPr>
        <w:t>）检查搅拌机、推料车等机械设备是否运转正常，发现问题及时修理。准备好施工用的</w:t>
      </w:r>
    </w:p>
    <w:p>
      <w:pPr>
        <w:pStyle w:val="217"/>
        <w:rPr>
          <w:color w:val="auto"/>
          <w:highlight w:val="none"/>
        </w:rPr>
      </w:pPr>
      <w:r>
        <w:rPr>
          <w:rFonts w:hint="eastAsia"/>
          <w:color w:val="auto"/>
          <w:highlight w:val="none"/>
        </w:rPr>
        <w:t>工具，按施工图纸要求的厚度调试好机器的及它的厚度。对现场的材料进行抽查检验，每个批号做一块测试试片。发现材料变质、变色应停止使用。如有沉淀，使其均匀。</w:t>
      </w:r>
    </w:p>
    <w:p>
      <w:pPr>
        <w:pStyle w:val="217"/>
        <w:rPr>
          <w:color w:val="auto"/>
          <w:highlight w:val="none"/>
        </w:rPr>
      </w:pPr>
      <w:r>
        <w:rPr>
          <w:color w:val="auto"/>
          <w:highlight w:val="none"/>
        </w:rPr>
        <w:t>3</w:t>
      </w:r>
      <w:r>
        <w:rPr>
          <w:rFonts w:hint="eastAsia"/>
          <w:color w:val="auto"/>
          <w:highlight w:val="none"/>
        </w:rPr>
        <w:t>）按照工程情况合理分好施工板块，测量出施工线的位置，放好施工线。</w:t>
      </w:r>
    </w:p>
    <w:p>
      <w:pPr>
        <w:pStyle w:val="217"/>
        <w:rPr>
          <w:color w:val="auto"/>
          <w:highlight w:val="none"/>
        </w:rPr>
      </w:pPr>
      <w:r>
        <w:rPr>
          <w:color w:val="auto"/>
          <w:highlight w:val="none"/>
        </w:rPr>
        <w:t>4</w:t>
      </w:r>
      <w:r>
        <w:rPr>
          <w:rFonts w:hint="eastAsia"/>
          <w:color w:val="auto"/>
          <w:highlight w:val="none"/>
        </w:rPr>
        <w:t>）配料人员要认真清点原材料的品种、型号，确认与施工现场所需材料相同，才能将材</w:t>
      </w:r>
    </w:p>
    <w:p>
      <w:pPr>
        <w:pStyle w:val="217"/>
        <w:rPr>
          <w:color w:val="auto"/>
          <w:highlight w:val="none"/>
        </w:rPr>
      </w:pPr>
      <w:r>
        <w:rPr>
          <w:rFonts w:hint="eastAsia"/>
          <w:color w:val="auto"/>
          <w:highlight w:val="none"/>
        </w:rPr>
        <w:t>料堆上放料架，排列整齐，桶口向下备用。放料时先用开桶扳手缓慢拧动桶口，放出桶内气体，再打开桶口，将胶液放入干净的料桶内。</w:t>
      </w:r>
    </w:p>
    <w:p>
      <w:pPr>
        <w:pStyle w:val="217"/>
        <w:rPr>
          <w:color w:val="auto"/>
          <w:highlight w:val="none"/>
        </w:rPr>
      </w:pPr>
      <w:r>
        <w:rPr>
          <w:color w:val="auto"/>
          <w:highlight w:val="none"/>
        </w:rPr>
        <w:t>5</w:t>
      </w:r>
      <w:r>
        <w:rPr>
          <w:rFonts w:hint="eastAsia"/>
          <w:color w:val="auto"/>
          <w:highlight w:val="none"/>
        </w:rPr>
        <w:t>）</w:t>
      </w:r>
      <w:r>
        <w:rPr>
          <w:color w:val="auto"/>
          <w:highlight w:val="none"/>
        </w:rPr>
        <w:t>AB</w:t>
      </w:r>
      <w:r>
        <w:rPr>
          <w:rFonts w:hint="eastAsia"/>
          <w:color w:val="auto"/>
          <w:highlight w:val="none"/>
        </w:rPr>
        <w:t>组份混合配比时，要先将</w:t>
      </w:r>
      <w:r>
        <w:rPr>
          <w:color w:val="auto"/>
          <w:highlight w:val="none"/>
        </w:rPr>
        <w:t>A</w:t>
      </w:r>
      <w:r>
        <w:rPr>
          <w:rFonts w:hint="eastAsia"/>
          <w:color w:val="auto"/>
          <w:highlight w:val="none"/>
        </w:rPr>
        <w:t>组份倒入干净的搅拌桶内，再按配方要求倒入比例的</w:t>
      </w:r>
      <w:r>
        <w:rPr>
          <w:color w:val="auto"/>
          <w:highlight w:val="none"/>
        </w:rPr>
        <w:t>B</w:t>
      </w:r>
      <w:r>
        <w:rPr>
          <w:rFonts w:hint="eastAsia"/>
          <w:color w:val="auto"/>
          <w:highlight w:val="none"/>
        </w:rPr>
        <w:t>组份。倒料时</w:t>
      </w:r>
      <w:r>
        <w:rPr>
          <w:color w:val="auto"/>
          <w:highlight w:val="none"/>
        </w:rPr>
        <w:t>AB</w:t>
      </w:r>
      <w:r>
        <w:rPr>
          <w:rFonts w:hint="eastAsia"/>
          <w:color w:val="auto"/>
          <w:highlight w:val="none"/>
        </w:rPr>
        <w:t>组份任何一种胶液都要倒入搅拌桶底部中心位置，不能拖挂、飞溅到搅拌桶边缘，以免生胶倒入施工现场。</w:t>
      </w:r>
    </w:p>
    <w:p>
      <w:pPr>
        <w:pStyle w:val="217"/>
        <w:rPr>
          <w:color w:val="auto"/>
          <w:highlight w:val="none"/>
        </w:rPr>
      </w:pPr>
      <w:r>
        <w:rPr>
          <w:color w:val="auto"/>
          <w:highlight w:val="none"/>
        </w:rPr>
        <w:t>6</w:t>
      </w:r>
      <w:r>
        <w:rPr>
          <w:rFonts w:hint="eastAsia"/>
          <w:color w:val="auto"/>
          <w:highlight w:val="none"/>
        </w:rPr>
        <w:t>）将搅拌桶推入搅拌机进行搅拌，操作搅拌机作上下运动，要保证搅拌桶底部的胶液搅拌均匀。待</w:t>
      </w:r>
      <w:r>
        <w:rPr>
          <w:color w:val="auto"/>
          <w:highlight w:val="none"/>
        </w:rPr>
        <w:t>AB</w:t>
      </w:r>
      <w:r>
        <w:rPr>
          <w:rFonts w:hint="eastAsia"/>
          <w:color w:val="auto"/>
          <w:highlight w:val="none"/>
        </w:rPr>
        <w:t>组份搅拌均匀后加入配方定量的催化剂，继续搅拌，待均匀后再加入黑颗粒和石英砂进行搅拌，均匀后停止搅拌，此胶液方可进入施工现场进行铺设，整个过程不可过短或过长，一般底胶在</w:t>
      </w:r>
      <w:r>
        <w:rPr>
          <w:color w:val="auto"/>
          <w:highlight w:val="none"/>
        </w:rPr>
        <w:t>2-3</w:t>
      </w:r>
      <w:r>
        <w:rPr>
          <w:rFonts w:hint="eastAsia"/>
          <w:color w:val="auto"/>
          <w:highlight w:val="none"/>
        </w:rPr>
        <w:t>分钟左右，混合液在</w:t>
      </w:r>
      <w:r>
        <w:rPr>
          <w:color w:val="auto"/>
          <w:highlight w:val="none"/>
        </w:rPr>
        <w:t>1-2</w:t>
      </w:r>
      <w:r>
        <w:rPr>
          <w:rFonts w:hint="eastAsia"/>
          <w:color w:val="auto"/>
          <w:highlight w:val="none"/>
        </w:rPr>
        <w:t>分钟。并做好材料的计量。</w:t>
      </w:r>
    </w:p>
    <w:p>
      <w:pPr>
        <w:pStyle w:val="217"/>
        <w:rPr>
          <w:color w:val="auto"/>
          <w:highlight w:val="none"/>
        </w:rPr>
      </w:pPr>
      <w:r>
        <w:rPr>
          <w:color w:val="auto"/>
          <w:highlight w:val="none"/>
        </w:rPr>
        <w:t>7</w:t>
      </w:r>
      <w:r>
        <w:rPr>
          <w:rFonts w:hint="eastAsia"/>
          <w:color w:val="auto"/>
          <w:highlight w:val="none"/>
        </w:rPr>
        <w:t>）配料过程中要按配方执行配料，不得更改</w:t>
      </w:r>
      <w:r>
        <w:rPr>
          <w:color w:val="auto"/>
          <w:highlight w:val="none"/>
        </w:rPr>
        <w:t>AB</w:t>
      </w:r>
      <w:r>
        <w:rPr>
          <w:rFonts w:hint="eastAsia"/>
          <w:color w:val="auto"/>
          <w:highlight w:val="none"/>
        </w:rPr>
        <w:t>组份配比，不得加入任何溶剂或加减催化剂数量。</w:t>
      </w:r>
    </w:p>
    <w:p>
      <w:pPr>
        <w:pStyle w:val="217"/>
        <w:rPr>
          <w:color w:val="auto"/>
          <w:highlight w:val="none"/>
        </w:rPr>
      </w:pPr>
      <w:r>
        <w:rPr>
          <w:color w:val="auto"/>
          <w:highlight w:val="none"/>
        </w:rPr>
        <w:t>8</w:t>
      </w:r>
      <w:r>
        <w:rPr>
          <w:rFonts w:hint="eastAsia"/>
          <w:color w:val="auto"/>
          <w:highlight w:val="none"/>
        </w:rPr>
        <w:t>）配料过程中</w:t>
      </w:r>
      <w:r>
        <w:rPr>
          <w:color w:val="auto"/>
          <w:highlight w:val="none"/>
        </w:rPr>
        <w:t>AB</w:t>
      </w:r>
      <w:r>
        <w:rPr>
          <w:rFonts w:hint="eastAsia"/>
          <w:color w:val="auto"/>
          <w:highlight w:val="none"/>
        </w:rPr>
        <w:t>组份胶液要随放，暂停施工时暴露在空气中时间不能超过</w:t>
      </w:r>
      <w:r>
        <w:rPr>
          <w:color w:val="auto"/>
          <w:highlight w:val="none"/>
        </w:rPr>
        <w:t>45</w:t>
      </w:r>
      <w:r>
        <w:rPr>
          <w:rFonts w:hint="eastAsia"/>
          <w:color w:val="auto"/>
          <w:highlight w:val="none"/>
        </w:rPr>
        <w:t>分钟，超过时间应将胶液倒回原包装胶内。</w:t>
      </w:r>
    </w:p>
    <w:p>
      <w:pPr>
        <w:pStyle w:val="217"/>
        <w:rPr>
          <w:color w:val="auto"/>
          <w:highlight w:val="none"/>
        </w:rPr>
      </w:pPr>
      <w:r>
        <w:rPr>
          <w:rFonts w:hint="eastAsia"/>
          <w:color w:val="auto"/>
          <w:highlight w:val="none"/>
        </w:rPr>
        <w:t>配料过程中所有油桶中要倒料干净，不得留存过量的胶液，以免浪费材料，</w:t>
      </w:r>
      <w:r>
        <w:rPr>
          <w:color w:val="auto"/>
          <w:highlight w:val="none"/>
        </w:rPr>
        <w:t>A</w:t>
      </w:r>
      <w:r>
        <w:rPr>
          <w:rFonts w:hint="eastAsia"/>
          <w:color w:val="auto"/>
          <w:highlight w:val="none"/>
        </w:rPr>
        <w:t>组份油桶存料不得大于</w:t>
      </w:r>
      <w:r>
        <w:rPr>
          <w:color w:val="auto"/>
          <w:highlight w:val="none"/>
        </w:rPr>
        <w:t>0.8KG</w:t>
      </w:r>
      <w:r>
        <w:rPr>
          <w:rFonts w:hint="eastAsia"/>
          <w:color w:val="auto"/>
          <w:highlight w:val="none"/>
        </w:rPr>
        <w:t>，底胶</w:t>
      </w:r>
      <w:r>
        <w:rPr>
          <w:color w:val="auto"/>
          <w:highlight w:val="none"/>
        </w:rPr>
        <w:t>B</w:t>
      </w:r>
      <w:r>
        <w:rPr>
          <w:rFonts w:hint="eastAsia"/>
          <w:color w:val="auto"/>
          <w:highlight w:val="none"/>
        </w:rPr>
        <w:t>组份油桶不得大于</w:t>
      </w:r>
      <w:r>
        <w:rPr>
          <w:color w:val="auto"/>
          <w:highlight w:val="none"/>
        </w:rPr>
        <w:t>3KG</w:t>
      </w:r>
      <w:r>
        <w:rPr>
          <w:rFonts w:hint="eastAsia"/>
          <w:color w:val="auto"/>
          <w:highlight w:val="none"/>
        </w:rPr>
        <w:t>，混合液</w:t>
      </w:r>
      <w:r>
        <w:rPr>
          <w:color w:val="auto"/>
          <w:highlight w:val="none"/>
        </w:rPr>
        <w:t>B</w:t>
      </w:r>
      <w:r>
        <w:rPr>
          <w:rFonts w:hint="eastAsia"/>
          <w:color w:val="auto"/>
          <w:highlight w:val="none"/>
        </w:rPr>
        <w:t>组份油桶不得大于</w:t>
      </w:r>
      <w:r>
        <w:rPr>
          <w:color w:val="auto"/>
          <w:highlight w:val="none"/>
        </w:rPr>
        <w:t>2KG</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）底胶铺设</w:t>
      </w:r>
      <w:r>
        <w:rPr>
          <w:color w:val="auto"/>
          <w:highlight w:val="none"/>
        </w:rPr>
        <w:t>;</w:t>
      </w:r>
    </w:p>
    <w:p>
      <w:pPr>
        <w:pStyle w:val="217"/>
        <w:rPr>
          <w:color w:val="auto"/>
          <w:highlight w:val="none"/>
        </w:rPr>
      </w:pPr>
      <w:r>
        <w:rPr>
          <w:color w:val="auto"/>
          <w:highlight w:val="none"/>
        </w:rPr>
        <w:t>1</w:t>
      </w:r>
      <w:r>
        <w:rPr>
          <w:rFonts w:hint="eastAsia"/>
          <w:color w:val="auto"/>
          <w:highlight w:val="none"/>
        </w:rPr>
        <w:t>）铺设底胶之前先将地基基础清扫干净，按施工图纸要求制定刮板。</w:t>
      </w:r>
    </w:p>
    <w:p>
      <w:pPr>
        <w:pStyle w:val="217"/>
        <w:rPr>
          <w:color w:val="auto"/>
          <w:highlight w:val="none"/>
        </w:rPr>
      </w:pPr>
      <w:r>
        <w:rPr>
          <w:color w:val="auto"/>
          <w:highlight w:val="none"/>
        </w:rPr>
        <w:t>2</w:t>
      </w:r>
      <w:r>
        <w:rPr>
          <w:rFonts w:hint="eastAsia"/>
          <w:color w:val="auto"/>
          <w:highlight w:val="none"/>
        </w:rPr>
        <w:t>）按工艺要求测量出施工线位置，放好施工线，误差不大于</w:t>
      </w:r>
      <w:r>
        <w:rPr>
          <w:color w:val="auto"/>
          <w:highlight w:val="none"/>
        </w:rPr>
        <w:t>2mm</w:t>
      </w:r>
      <w:r>
        <w:rPr>
          <w:rFonts w:hint="eastAsia"/>
          <w:color w:val="auto"/>
          <w:highlight w:val="none"/>
        </w:rPr>
        <w:t>。</w:t>
      </w:r>
    </w:p>
    <w:p>
      <w:pPr>
        <w:pStyle w:val="217"/>
        <w:rPr>
          <w:color w:val="auto"/>
          <w:highlight w:val="none"/>
        </w:rPr>
      </w:pPr>
      <w:r>
        <w:rPr>
          <w:color w:val="auto"/>
          <w:highlight w:val="none"/>
        </w:rPr>
        <w:t>3</w:t>
      </w:r>
      <w:r>
        <w:rPr>
          <w:rFonts w:hint="eastAsia"/>
          <w:color w:val="auto"/>
          <w:highlight w:val="none"/>
        </w:rPr>
        <w:t>）铺设底胶时可不测量出施工线，由场地一侧开始刮胶，按场地宽度一次性刮胶，刮胶过程中保持胶液的厚度，接头、接边无痕迹。</w:t>
      </w:r>
    </w:p>
    <w:p>
      <w:pPr>
        <w:pStyle w:val="217"/>
        <w:rPr>
          <w:color w:val="auto"/>
          <w:highlight w:val="none"/>
        </w:rPr>
      </w:pPr>
      <w:r>
        <w:rPr>
          <w:color w:val="auto"/>
          <w:highlight w:val="none"/>
        </w:rPr>
        <w:t>4</w:t>
      </w:r>
      <w:r>
        <w:rPr>
          <w:rFonts w:hint="eastAsia"/>
          <w:color w:val="auto"/>
          <w:highlight w:val="none"/>
        </w:rPr>
        <w:t>）底胶铺设前，先将地基基础凹陷严重的位置用底胶加黑颗粒刮平，凸起位置将其打磨平整。</w:t>
      </w:r>
    </w:p>
    <w:p>
      <w:pPr>
        <w:pStyle w:val="217"/>
        <w:rPr>
          <w:color w:val="auto"/>
          <w:highlight w:val="none"/>
        </w:rPr>
      </w:pPr>
      <w:r>
        <w:rPr>
          <w:color w:val="auto"/>
          <w:highlight w:val="none"/>
        </w:rPr>
        <w:t>5</w:t>
      </w:r>
      <w:r>
        <w:rPr>
          <w:rFonts w:hint="eastAsia"/>
          <w:color w:val="auto"/>
          <w:highlight w:val="none"/>
        </w:rPr>
        <w:t>）底胶铺设浓度一致，胶液摊铺过程中，要不停消泡，确保胶面干净，无钉鞋痕迹，消泡人员不少于</w:t>
      </w:r>
      <w:r>
        <w:rPr>
          <w:color w:val="auto"/>
          <w:highlight w:val="none"/>
        </w:rPr>
        <w:t>2</w:t>
      </w:r>
      <w:r>
        <w:rPr>
          <w:rFonts w:hint="eastAsia"/>
          <w:color w:val="auto"/>
          <w:highlight w:val="none"/>
        </w:rPr>
        <w:t>人。</w:t>
      </w:r>
    </w:p>
    <w:p>
      <w:pPr>
        <w:pStyle w:val="217"/>
        <w:rPr>
          <w:color w:val="auto"/>
          <w:highlight w:val="none"/>
        </w:rPr>
      </w:pPr>
      <w:r>
        <w:rPr>
          <w:color w:val="auto"/>
          <w:highlight w:val="none"/>
        </w:rPr>
        <w:t>6</w:t>
      </w:r>
      <w:r>
        <w:rPr>
          <w:rFonts w:hint="eastAsia"/>
          <w:color w:val="auto"/>
          <w:highlight w:val="none"/>
        </w:rPr>
        <w:t>）底胶铺设过程中，每块场地同步制作测试片四块，规格为</w:t>
      </w:r>
      <w:r>
        <w:rPr>
          <w:color w:val="auto"/>
          <w:highlight w:val="none"/>
        </w:rPr>
        <w:t>400</w:t>
      </w:r>
      <w:r>
        <w:rPr>
          <w:rFonts w:hint="eastAsia"/>
          <w:color w:val="auto"/>
          <w:highlight w:val="none"/>
        </w:rPr>
        <w:t>×</w:t>
      </w:r>
      <w:r>
        <w:rPr>
          <w:color w:val="auto"/>
          <w:highlight w:val="none"/>
        </w:rPr>
        <w:t>400</w:t>
      </w:r>
      <w:r>
        <w:rPr>
          <w:rFonts w:hint="eastAsia"/>
          <w:color w:val="auto"/>
          <w:highlight w:val="none"/>
        </w:rPr>
        <w:t>，厚度与现场摊铺厚度相同。</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）施工线</w:t>
      </w:r>
    </w:p>
    <w:p>
      <w:pPr>
        <w:pStyle w:val="217"/>
        <w:rPr>
          <w:color w:val="auto"/>
          <w:highlight w:val="none"/>
        </w:rPr>
      </w:pPr>
      <w:r>
        <w:rPr>
          <w:color w:val="auto"/>
          <w:highlight w:val="none"/>
        </w:rPr>
        <w:t>1</w:t>
      </w:r>
      <w:r>
        <w:rPr>
          <w:rFonts w:hint="eastAsia"/>
          <w:color w:val="auto"/>
          <w:highlight w:val="none"/>
        </w:rPr>
        <w:t>）施工测量要有专业人员使用经纬仪，按工艺要求进行测量，在宽度为</w:t>
      </w:r>
      <w:r>
        <w:rPr>
          <w:color w:val="auto"/>
          <w:highlight w:val="none"/>
        </w:rPr>
        <w:t>50mm</w:t>
      </w:r>
      <w:r>
        <w:rPr>
          <w:rFonts w:hint="eastAsia"/>
          <w:color w:val="auto"/>
          <w:highlight w:val="none"/>
        </w:rPr>
        <w:t>的工艺线中间测划施工线，误差小于</w:t>
      </w:r>
      <w:r>
        <w:rPr>
          <w:color w:val="auto"/>
          <w:highlight w:val="none"/>
        </w:rPr>
        <w:t>5mm</w:t>
      </w:r>
      <w:r>
        <w:rPr>
          <w:rFonts w:hint="eastAsia"/>
          <w:color w:val="auto"/>
          <w:highlight w:val="none"/>
        </w:rPr>
        <w:t>。</w:t>
      </w:r>
    </w:p>
    <w:p>
      <w:pPr>
        <w:pStyle w:val="217"/>
        <w:rPr>
          <w:color w:val="auto"/>
          <w:highlight w:val="none"/>
        </w:rPr>
      </w:pPr>
      <w:r>
        <w:rPr>
          <w:color w:val="auto"/>
          <w:highlight w:val="none"/>
        </w:rPr>
        <w:t>2</w:t>
      </w:r>
      <w:r>
        <w:rPr>
          <w:rFonts w:hint="eastAsia"/>
          <w:color w:val="auto"/>
          <w:highlight w:val="none"/>
        </w:rPr>
        <w:t>）施工线测划完毕后要进行复查，复查结果误差小于</w:t>
      </w:r>
      <w:r>
        <w:rPr>
          <w:color w:val="auto"/>
          <w:highlight w:val="none"/>
        </w:rPr>
        <w:t>2mm</w:t>
      </w:r>
      <w:r>
        <w:rPr>
          <w:rFonts w:hint="eastAsia"/>
          <w:color w:val="auto"/>
          <w:highlight w:val="none"/>
        </w:rPr>
        <w:t>，如大于误差应及时进行校正，确保施工线的准确性。</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）跑道面漆的混合</w:t>
      </w:r>
      <w:r>
        <w:rPr>
          <w:color w:val="auto"/>
          <w:highlight w:val="none"/>
        </w:rPr>
        <w:t>:</w:t>
      </w:r>
    </w:p>
    <w:p>
      <w:pPr>
        <w:pStyle w:val="217"/>
        <w:rPr>
          <w:color w:val="auto"/>
          <w:highlight w:val="none"/>
        </w:rPr>
      </w:pPr>
      <w:r>
        <w:rPr>
          <w:rFonts w:hint="eastAsia"/>
          <w:color w:val="auto"/>
          <w:highlight w:val="none"/>
        </w:rPr>
        <w:t>待</w:t>
      </w:r>
      <w:r>
        <w:rPr>
          <w:color w:val="auto"/>
          <w:highlight w:val="none"/>
        </w:rPr>
        <w:t>PU</w:t>
      </w:r>
      <w:r>
        <w:rPr>
          <w:rFonts w:hint="eastAsia"/>
          <w:color w:val="auto"/>
          <w:highlight w:val="none"/>
        </w:rPr>
        <w:t>底胶固化成形后，方可在其表面清浆层，首先将跑道自结纹面漆浆料按比例加入适量的稀释混合搅拌过程中加入胶粉和石英砂，然后将浆料倒入专业混合器混合在</w:t>
      </w:r>
      <w:r>
        <w:rPr>
          <w:color w:val="auto"/>
          <w:highlight w:val="none"/>
        </w:rPr>
        <w:t>PU</w:t>
      </w:r>
      <w:r>
        <w:rPr>
          <w:rFonts w:hint="eastAsia"/>
          <w:color w:val="auto"/>
          <w:highlight w:val="none"/>
        </w:rPr>
        <w:t>底胶层表面。</w:t>
      </w:r>
    </w:p>
    <w:p>
      <w:pPr>
        <w:pStyle w:val="217"/>
        <w:rPr>
          <w:color w:val="auto"/>
          <w:highlight w:val="none"/>
        </w:rPr>
      </w:pPr>
      <w:r>
        <w:rPr>
          <w:color w:val="auto"/>
          <w:highlight w:val="none"/>
        </w:rPr>
        <w:t>3.</w:t>
      </w:r>
      <w:r>
        <w:rPr>
          <w:rFonts w:hint="eastAsia"/>
          <w:color w:val="auto"/>
          <w:highlight w:val="none"/>
        </w:rPr>
        <w:t>工艺线的测量、喷划</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）经纬仪、卷尺需经国家检测部门检测合格方可使用，准确计算温改、尺改。各标志线的位置距终点距离不允许出现负差，正差小于</w:t>
      </w:r>
      <w:r>
        <w:rPr>
          <w:color w:val="auto"/>
          <w:highlight w:val="none"/>
        </w:rPr>
        <w:t>1/10000.</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）硬度标准为</w:t>
      </w:r>
      <w:r>
        <w:rPr>
          <w:color w:val="auto"/>
          <w:highlight w:val="none"/>
        </w:rPr>
        <w:t>A45-60.</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）横向坡度不在于</w:t>
      </w:r>
      <w:r>
        <w:rPr>
          <w:color w:val="auto"/>
          <w:highlight w:val="none"/>
        </w:rPr>
        <w:t>1/100</w:t>
      </w:r>
      <w:r>
        <w:rPr>
          <w:rFonts w:hint="eastAsia"/>
          <w:color w:val="auto"/>
          <w:highlight w:val="none"/>
        </w:rPr>
        <w:t>，纵向坡度不在于</w:t>
      </w:r>
      <w:r>
        <w:rPr>
          <w:color w:val="auto"/>
          <w:highlight w:val="none"/>
        </w:rPr>
        <w:t>1/1000.</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）平整度、横向、纵向</w:t>
      </w:r>
      <w:r>
        <w:rPr>
          <w:color w:val="auto"/>
          <w:highlight w:val="none"/>
        </w:rPr>
        <w:t>3M</w:t>
      </w:r>
      <w:r>
        <w:rPr>
          <w:rFonts w:hint="eastAsia"/>
          <w:color w:val="auto"/>
          <w:highlight w:val="none"/>
        </w:rPr>
        <w:t>为一测试点，</w:t>
      </w:r>
      <w:r>
        <w:rPr>
          <w:color w:val="auto"/>
          <w:highlight w:val="none"/>
        </w:rPr>
        <w:t>3M</w:t>
      </w:r>
      <w:r>
        <w:rPr>
          <w:rFonts w:hint="eastAsia"/>
          <w:color w:val="auto"/>
          <w:highlight w:val="none"/>
        </w:rPr>
        <w:t>尺无</w:t>
      </w:r>
      <w:r>
        <w:rPr>
          <w:color w:val="auto"/>
          <w:highlight w:val="none"/>
        </w:rPr>
        <w:t>3mm</w:t>
      </w:r>
      <w:r>
        <w:rPr>
          <w:rFonts w:hint="eastAsia"/>
          <w:color w:val="auto"/>
          <w:highlight w:val="none"/>
        </w:rPr>
        <w:t>凹陷，</w:t>
      </w:r>
      <w:r>
        <w:rPr>
          <w:color w:val="auto"/>
          <w:highlight w:val="none"/>
        </w:rPr>
        <w:t>1</w:t>
      </w:r>
      <w:r>
        <w:rPr>
          <w:rFonts w:hint="eastAsia"/>
          <w:color w:val="auto"/>
          <w:highlight w:val="none"/>
        </w:rPr>
        <w:t>米尺无</w:t>
      </w:r>
      <w:r>
        <w:rPr>
          <w:color w:val="auto"/>
          <w:highlight w:val="none"/>
        </w:rPr>
        <w:t>2mm</w:t>
      </w:r>
      <w:r>
        <w:rPr>
          <w:rFonts w:hint="eastAsia"/>
          <w:color w:val="auto"/>
          <w:highlight w:val="none"/>
        </w:rPr>
        <w:t>凹陷；测量直道由起跑一侧向终点一侧测量，弯道以</w:t>
      </w:r>
      <w:r>
        <w:rPr>
          <w:color w:val="auto"/>
          <w:highlight w:val="none"/>
        </w:rPr>
        <w:t>5</w:t>
      </w:r>
      <w:r>
        <w:rPr>
          <w:rFonts w:hint="eastAsia"/>
          <w:color w:val="auto"/>
          <w:highlight w:val="none"/>
        </w:rPr>
        <w:t>°一条放射线，每</w:t>
      </w:r>
      <w:r>
        <w:rPr>
          <w:color w:val="auto"/>
          <w:highlight w:val="none"/>
        </w:rPr>
        <w:t>3M</w:t>
      </w:r>
      <w:r>
        <w:rPr>
          <w:rFonts w:hint="eastAsia"/>
          <w:color w:val="auto"/>
          <w:highlight w:val="none"/>
        </w:rPr>
        <w:t>为一个测点，不少于</w:t>
      </w:r>
      <w:r>
        <w:rPr>
          <w:color w:val="auto"/>
          <w:highlight w:val="none"/>
        </w:rPr>
        <w:t>40</w:t>
      </w:r>
      <w:r>
        <w:rPr>
          <w:rFonts w:hint="eastAsia"/>
          <w:color w:val="auto"/>
          <w:highlight w:val="none"/>
        </w:rPr>
        <w:t>个测点。</w:t>
      </w:r>
    </w:p>
    <w:p>
      <w:pPr>
        <w:pStyle w:val="172"/>
        <w:rPr>
          <w:color w:val="auto"/>
          <w:highlight w:val="none"/>
        </w:rPr>
      </w:pPr>
      <w:r>
        <w:rPr>
          <w:color w:val="auto"/>
          <w:highlight w:val="none"/>
        </w:rPr>
        <w:t xml:space="preserve">3.7.4 </w:t>
      </w:r>
      <w:r>
        <w:rPr>
          <w:rFonts w:hint="eastAsia"/>
          <w:color w:val="auto"/>
          <w:highlight w:val="none"/>
        </w:rPr>
        <w:t>安全生产保证措施</w:t>
      </w:r>
    </w:p>
    <w:p>
      <w:pPr>
        <w:pStyle w:val="217"/>
        <w:rPr>
          <w:color w:val="auto"/>
          <w:highlight w:val="none"/>
        </w:rPr>
      </w:pPr>
      <w:r>
        <w:rPr>
          <w:color w:val="auto"/>
          <w:highlight w:val="none"/>
        </w:rPr>
        <w:t>1.</w:t>
      </w:r>
      <w:r>
        <w:rPr>
          <w:rFonts w:hint="eastAsia"/>
          <w:color w:val="auto"/>
          <w:highlight w:val="none"/>
        </w:rPr>
        <w:t>总体要求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）认真贯彻“安全第一，预防为主”、“生产必须安全”的方针，建立和健全安全责任制。</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）严格执行安全技术交底制和自检自查制；以书面形式逐条向操作人员进行安全技术交底，并履行签字手续。</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）认真开展安全宣传和教育活动，不断提高安全技术素质；经常组织安全检查，及时纠正和改进安全生产不利因素；工地悬挂醒目安全警示牌，提高安全意识。</w:t>
      </w:r>
    </w:p>
    <w:p>
      <w:pPr>
        <w:pStyle w:val="217"/>
        <w:rPr>
          <w:color w:val="auto"/>
          <w:highlight w:val="none"/>
        </w:rPr>
      </w:pPr>
      <w:r>
        <w:rPr>
          <w:color w:val="auto"/>
          <w:highlight w:val="none"/>
        </w:rPr>
        <w:t>2.</w:t>
      </w:r>
      <w:r>
        <w:rPr>
          <w:rFonts w:hint="eastAsia"/>
          <w:color w:val="auto"/>
          <w:highlight w:val="none"/>
        </w:rPr>
        <w:t>具体措施</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）汽车弃土作业时，需由专人指挥。非作业人员不应进入弃土作业区，作业区内的工作人员、车辆、工程机械，应服从指挥人员的指挥。</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）弃土卸载平台边缘，有固定的挡车设施，其高度不小于轮胎直径的</w:t>
      </w:r>
      <w:r>
        <w:rPr>
          <w:color w:val="auto"/>
          <w:highlight w:val="none"/>
        </w:rPr>
        <w:t>2/5</w:t>
      </w:r>
      <w:r>
        <w:rPr>
          <w:rFonts w:hint="eastAsia"/>
          <w:color w:val="auto"/>
          <w:highlight w:val="none"/>
        </w:rPr>
        <w:t>，车挡顶宽和底宽分别不小于轮胎直径的</w:t>
      </w:r>
      <w:r>
        <w:rPr>
          <w:color w:val="auto"/>
          <w:highlight w:val="none"/>
        </w:rPr>
        <w:t>1/3</w:t>
      </w:r>
      <w:r>
        <w:rPr>
          <w:rFonts w:hint="eastAsia"/>
          <w:color w:val="auto"/>
          <w:highlight w:val="none"/>
        </w:rPr>
        <w:t>和</w:t>
      </w:r>
      <w:r>
        <w:rPr>
          <w:color w:val="auto"/>
          <w:highlight w:val="none"/>
        </w:rPr>
        <w:t>1.3</w:t>
      </w:r>
      <w:r>
        <w:rPr>
          <w:rFonts w:hint="eastAsia"/>
          <w:color w:val="auto"/>
          <w:highlight w:val="none"/>
        </w:rPr>
        <w:t>倍。设置移动车挡设施的，对不同类型移动车挡制定相应的安全作业要求，并按要求作业。</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按规定顺序填土。在同一地段进行卸车和推土作业时，设备之间保持足够的安全距离。卸土时，汽车垂直于弃土工作线。汽车不应高速倒车，以免冲撞安全车挡。在弃土场边缘，推土机不应沿平行坡顶线方向推土。弃土安全车挡或反坡不符合规定、坡顶线内侧</w:t>
      </w:r>
      <w:r>
        <w:rPr>
          <w:color w:val="auto"/>
          <w:highlight w:val="none"/>
        </w:rPr>
        <w:t>30m</w:t>
      </w:r>
      <w:r>
        <w:rPr>
          <w:rFonts w:hint="eastAsia"/>
          <w:color w:val="auto"/>
          <w:highlight w:val="none"/>
        </w:rPr>
        <w:t>范围内有大面积裂缝（缝宽</w:t>
      </w:r>
      <w:r>
        <w:rPr>
          <w:color w:val="auto"/>
          <w:highlight w:val="none"/>
        </w:rPr>
        <w:t>0.1m</w:t>
      </w:r>
      <w:r>
        <w:rPr>
          <w:rFonts w:hint="eastAsia"/>
          <w:color w:val="auto"/>
          <w:highlight w:val="none"/>
        </w:rPr>
        <w:t>～</w:t>
      </w:r>
      <w:r>
        <w:rPr>
          <w:color w:val="auto"/>
          <w:highlight w:val="none"/>
        </w:rPr>
        <w:t>0.25m</w:t>
      </w:r>
      <w:r>
        <w:rPr>
          <w:rFonts w:hint="eastAsia"/>
          <w:color w:val="auto"/>
          <w:highlight w:val="none"/>
        </w:rPr>
        <w:t>）或不正常下沉（</w:t>
      </w:r>
      <w:r>
        <w:rPr>
          <w:color w:val="auto"/>
          <w:highlight w:val="none"/>
        </w:rPr>
        <w:t>0.1m</w:t>
      </w:r>
      <w:r>
        <w:rPr>
          <w:rFonts w:hint="eastAsia"/>
          <w:color w:val="auto"/>
          <w:highlight w:val="none"/>
        </w:rPr>
        <w:t>～</w:t>
      </w:r>
      <w:r>
        <w:rPr>
          <w:color w:val="auto"/>
          <w:highlight w:val="none"/>
        </w:rPr>
        <w:t>0.2m</w:t>
      </w:r>
      <w:r>
        <w:rPr>
          <w:rFonts w:hint="eastAsia"/>
          <w:color w:val="auto"/>
          <w:highlight w:val="none"/>
        </w:rPr>
        <w:t>）时，汽车不应进入该危险作业区，应查明原因及时处理，方可恢复弃土作业。</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）填土场作业区内驾驶员视距小于</w:t>
      </w:r>
      <w:r>
        <w:rPr>
          <w:color w:val="auto"/>
          <w:highlight w:val="none"/>
        </w:rPr>
        <w:t>30m</w:t>
      </w:r>
      <w:r>
        <w:rPr>
          <w:rFonts w:hint="eastAsia"/>
          <w:color w:val="auto"/>
          <w:highlight w:val="none"/>
        </w:rPr>
        <w:t>，或遇暴雨、大风等恶劣天气时，停止弃土作业。</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）汽车进入弃土场内应限速行驶。弃土作业区设置一定数量的限速牌等安全标志牌。</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）填土作业区照明系统完好，照明角度符合要求，夜间无照明不应弃土。</w:t>
      </w:r>
    </w:p>
    <w:p>
      <w:pPr>
        <w:pStyle w:val="217"/>
        <w:rPr>
          <w:color w:val="auto"/>
          <w:highlight w:val="none"/>
        </w:rPr>
      </w:pPr>
      <w:r>
        <w:rPr>
          <w:rFonts w:hint="eastAsia"/>
          <w:color w:val="auto"/>
          <w:highlight w:val="none"/>
        </w:rPr>
        <w:t>（</w:t>
      </w:r>
      <w:r>
        <w:rPr>
          <w:color w:val="auto"/>
          <w:highlight w:val="none"/>
        </w:rPr>
        <w:t>7</w:t>
      </w:r>
      <w:r>
        <w:rPr>
          <w:rFonts w:hint="eastAsia"/>
          <w:color w:val="auto"/>
          <w:highlight w:val="none"/>
        </w:rPr>
        <w:t>）填土作业区配备质量合格、适合相应载重汽车突发事故救援使用的钢丝绳</w:t>
      </w:r>
      <w:r>
        <w:rPr>
          <w:color w:val="auto"/>
          <w:highlight w:val="none"/>
        </w:rPr>
        <w:t>(</w:t>
      </w:r>
      <w:r>
        <w:rPr>
          <w:rFonts w:hint="eastAsia"/>
          <w:color w:val="auto"/>
          <w:highlight w:val="none"/>
        </w:rPr>
        <w:t>多于</w:t>
      </w:r>
      <w:r>
        <w:rPr>
          <w:color w:val="auto"/>
          <w:highlight w:val="none"/>
        </w:rPr>
        <w:t>4</w:t>
      </w:r>
      <w:r>
        <w:rPr>
          <w:rFonts w:hint="eastAsia"/>
          <w:color w:val="auto"/>
          <w:highlight w:val="none"/>
        </w:rPr>
        <w:t>根</w:t>
      </w:r>
      <w:r>
        <w:rPr>
          <w:color w:val="auto"/>
          <w:highlight w:val="none"/>
        </w:rPr>
        <w:t>)</w:t>
      </w:r>
      <w:r>
        <w:rPr>
          <w:rFonts w:hint="eastAsia"/>
          <w:color w:val="auto"/>
          <w:highlight w:val="none"/>
        </w:rPr>
        <w:t>、大卸扣</w:t>
      </w:r>
      <w:r>
        <w:rPr>
          <w:color w:val="auto"/>
          <w:highlight w:val="none"/>
        </w:rPr>
        <w:t>(</w:t>
      </w:r>
      <w:r>
        <w:rPr>
          <w:rFonts w:hint="eastAsia"/>
          <w:color w:val="auto"/>
          <w:highlight w:val="none"/>
        </w:rPr>
        <w:t>多于</w:t>
      </w:r>
      <w:r>
        <w:rPr>
          <w:color w:val="auto"/>
          <w:highlight w:val="none"/>
        </w:rPr>
        <w:t>4</w:t>
      </w:r>
      <w:r>
        <w:rPr>
          <w:rFonts w:hint="eastAsia"/>
          <w:color w:val="auto"/>
          <w:highlight w:val="none"/>
        </w:rPr>
        <w:t>个</w:t>
      </w:r>
      <w:r>
        <w:rPr>
          <w:color w:val="auto"/>
          <w:highlight w:val="none"/>
        </w:rPr>
        <w:t>)</w:t>
      </w:r>
      <w:r>
        <w:rPr>
          <w:rFonts w:hint="eastAsia"/>
          <w:color w:val="auto"/>
          <w:highlight w:val="none"/>
        </w:rPr>
        <w:t>等应急工具。</w:t>
      </w:r>
    </w:p>
    <w:p>
      <w:pPr>
        <w:pStyle w:val="217"/>
        <w:rPr>
          <w:color w:val="auto"/>
          <w:highlight w:val="none"/>
        </w:rPr>
      </w:pPr>
      <w:r>
        <w:rPr>
          <w:rFonts w:hint="eastAsia"/>
          <w:color w:val="auto"/>
          <w:highlight w:val="none"/>
        </w:rPr>
        <w:t>（</w:t>
      </w:r>
      <w:r>
        <w:rPr>
          <w:color w:val="auto"/>
          <w:highlight w:val="none"/>
        </w:rPr>
        <w:t>8</w:t>
      </w:r>
      <w:r>
        <w:rPr>
          <w:rFonts w:hint="eastAsia"/>
          <w:color w:val="auto"/>
          <w:highlight w:val="none"/>
        </w:rPr>
        <w:t>）填土作业区，应配备指挥工作间和通讯工具。</w:t>
      </w:r>
    </w:p>
    <w:p>
      <w:pPr>
        <w:pStyle w:val="217"/>
        <w:rPr>
          <w:color w:val="auto"/>
          <w:highlight w:val="none"/>
        </w:rPr>
      </w:pPr>
      <w:r>
        <w:rPr>
          <w:rFonts w:hint="eastAsia"/>
          <w:color w:val="auto"/>
          <w:highlight w:val="none"/>
        </w:rPr>
        <w:t>（</w:t>
      </w:r>
      <w:r>
        <w:rPr>
          <w:color w:val="auto"/>
          <w:highlight w:val="none"/>
        </w:rPr>
        <w:t>9</w:t>
      </w:r>
      <w:r>
        <w:rPr>
          <w:rFonts w:hint="eastAsia"/>
          <w:color w:val="auto"/>
          <w:highlight w:val="none"/>
        </w:rPr>
        <w:t>）填土场进行弃土作业时，应圈定危险范围，并设立警戒标志，无关人员不应进入危险范围内。</w:t>
      </w:r>
    </w:p>
    <w:p>
      <w:pPr>
        <w:pStyle w:val="217"/>
        <w:rPr>
          <w:color w:val="auto"/>
          <w:highlight w:val="none"/>
        </w:rPr>
      </w:pPr>
      <w:r>
        <w:rPr>
          <w:rFonts w:hint="eastAsia"/>
          <w:color w:val="auto"/>
          <w:highlight w:val="none"/>
        </w:rPr>
        <w:t>（</w:t>
      </w:r>
      <w:r>
        <w:rPr>
          <w:color w:val="auto"/>
          <w:highlight w:val="none"/>
        </w:rPr>
        <w:t>10</w:t>
      </w:r>
      <w:r>
        <w:rPr>
          <w:rFonts w:hint="eastAsia"/>
          <w:color w:val="auto"/>
          <w:highlight w:val="none"/>
        </w:rPr>
        <w:t>）弃土场运转过程中，弃土场关键点应有警示标志、安全保障等措施。</w:t>
      </w:r>
    </w:p>
    <w:p>
      <w:pPr>
        <w:pStyle w:val="172"/>
        <w:rPr>
          <w:color w:val="auto"/>
          <w:highlight w:val="none"/>
        </w:rPr>
      </w:pPr>
      <w:r>
        <w:rPr>
          <w:color w:val="auto"/>
          <w:highlight w:val="none"/>
        </w:rPr>
        <w:t xml:space="preserve">3.7.5 </w:t>
      </w:r>
      <w:r>
        <w:rPr>
          <w:rFonts w:hint="eastAsia"/>
          <w:color w:val="auto"/>
          <w:highlight w:val="none"/>
        </w:rPr>
        <w:t>环境保护措施</w:t>
      </w:r>
    </w:p>
    <w:p>
      <w:pPr>
        <w:pStyle w:val="217"/>
        <w:rPr>
          <w:color w:val="auto"/>
          <w:highlight w:val="none"/>
        </w:rPr>
      </w:pPr>
      <w:r>
        <w:rPr>
          <w:rFonts w:hint="eastAsia"/>
          <w:color w:val="auto"/>
          <w:highlight w:val="none"/>
        </w:rPr>
        <w:t>弃土场是人工土坡，在施工过程中环境保护的重点是水土流失防治、植被保护以及扬尘和噪声控制、水域污染防治。</w:t>
      </w:r>
    </w:p>
    <w:p>
      <w:pPr>
        <w:pStyle w:val="217"/>
        <w:rPr>
          <w:color w:val="auto"/>
          <w:highlight w:val="none"/>
        </w:rPr>
      </w:pPr>
      <w:r>
        <w:rPr>
          <w:color w:val="auto"/>
          <w:highlight w:val="none"/>
        </w:rPr>
        <w:t>1.</w:t>
      </w:r>
      <w:r>
        <w:rPr>
          <w:rFonts w:hint="eastAsia"/>
          <w:color w:val="auto"/>
          <w:highlight w:val="none"/>
        </w:rPr>
        <w:t>水土流失防治</w:t>
      </w:r>
    </w:p>
    <w:p>
      <w:pPr>
        <w:pStyle w:val="217"/>
        <w:rPr>
          <w:color w:val="auto"/>
          <w:highlight w:val="none"/>
        </w:rPr>
      </w:pPr>
      <w:r>
        <w:rPr>
          <w:rFonts w:hint="eastAsia"/>
          <w:color w:val="auto"/>
          <w:highlight w:val="none"/>
        </w:rPr>
        <w:t>弃土场弃土填筑施工前，必须在山腰位置依照山势条件设置一定数量的汇水沟渠，将降雨时的地表水流通过汇水沟进行汇流，做好拦排水，防止雨水在新弃土表面形成径流，对新地表冲刷造成水土流失，对弃土场下方造成污染。</w:t>
      </w:r>
    </w:p>
    <w:p>
      <w:pPr>
        <w:pStyle w:val="217"/>
        <w:rPr>
          <w:color w:val="auto"/>
          <w:highlight w:val="none"/>
        </w:rPr>
      </w:pPr>
      <w:r>
        <w:rPr>
          <w:rFonts w:hint="eastAsia"/>
          <w:color w:val="auto"/>
          <w:highlight w:val="none"/>
        </w:rPr>
        <w:t>在弃土过程中，严格按照摊铺、碾压程序施工，严禁未经碾压直接摊铺新土层。土层摊铺过程中，依照施工进展形成内高外低的坡势，在汇流沟渠上设置一定数量的集流槽，将水流中的泥土进行沉淀。</w:t>
      </w:r>
    </w:p>
    <w:p>
      <w:pPr>
        <w:pStyle w:val="217"/>
        <w:rPr>
          <w:color w:val="auto"/>
          <w:highlight w:val="none"/>
        </w:rPr>
      </w:pPr>
      <w:r>
        <w:rPr>
          <w:rFonts w:hint="eastAsia"/>
          <w:color w:val="auto"/>
          <w:highlight w:val="none"/>
        </w:rPr>
        <w:t>及时掌握天气变化情况及当地汛情，提前做好排水沟与集流槽的清淤工作，完善排水沟等设施。</w:t>
      </w:r>
    </w:p>
    <w:p>
      <w:pPr>
        <w:pStyle w:val="217"/>
        <w:rPr>
          <w:color w:val="auto"/>
          <w:highlight w:val="none"/>
        </w:rPr>
      </w:pPr>
      <w:r>
        <w:rPr>
          <w:color w:val="auto"/>
          <w:highlight w:val="none"/>
        </w:rPr>
        <w:t>2.</w:t>
      </w:r>
      <w:r>
        <w:rPr>
          <w:rFonts w:hint="eastAsia"/>
          <w:color w:val="auto"/>
          <w:highlight w:val="none"/>
        </w:rPr>
        <w:t>植被保护</w:t>
      </w:r>
    </w:p>
    <w:p>
      <w:pPr>
        <w:pStyle w:val="217"/>
        <w:rPr>
          <w:color w:val="auto"/>
          <w:highlight w:val="none"/>
        </w:rPr>
      </w:pPr>
      <w:r>
        <w:rPr>
          <w:rFonts w:hint="eastAsia"/>
          <w:color w:val="auto"/>
          <w:highlight w:val="none"/>
        </w:rPr>
        <w:t>施工作业前，将弃土场地表林木进行移植，地表土清理到用地边界，清表时，严禁烧荒，避免引发火灾。弃土完成后，对弃土场进行全面环保处理，坡面进行植草防护，以减少水土流失及绿地、耕地的损坏</w:t>
      </w:r>
    </w:p>
    <w:p>
      <w:pPr>
        <w:pStyle w:val="217"/>
        <w:rPr>
          <w:color w:val="auto"/>
          <w:highlight w:val="none"/>
        </w:rPr>
      </w:pPr>
      <w:r>
        <w:rPr>
          <w:color w:val="auto"/>
          <w:highlight w:val="none"/>
        </w:rPr>
        <w:t>3.</w:t>
      </w:r>
      <w:r>
        <w:rPr>
          <w:rFonts w:hint="eastAsia"/>
          <w:color w:val="auto"/>
          <w:highlight w:val="none"/>
        </w:rPr>
        <w:t>防尘降噪</w:t>
      </w:r>
    </w:p>
    <w:p>
      <w:pPr>
        <w:pStyle w:val="217"/>
        <w:rPr>
          <w:color w:val="auto"/>
          <w:highlight w:val="none"/>
        </w:rPr>
      </w:pPr>
      <w:r>
        <w:rPr>
          <w:rFonts w:hint="eastAsia"/>
          <w:color w:val="auto"/>
          <w:highlight w:val="none"/>
        </w:rPr>
        <w:t>施工时，定期对施工便道进行洒水降尘，防治施工扬尘对地表植被和农作物产生不利影响。运输易产生扬尘的土石方</w:t>
      </w:r>
      <w:r>
        <w:rPr>
          <w:color w:val="auto"/>
          <w:highlight w:val="none"/>
        </w:rPr>
        <w:t xml:space="preserve"> </w:t>
      </w:r>
      <w:r>
        <w:rPr>
          <w:rFonts w:hint="eastAsia"/>
          <w:color w:val="auto"/>
          <w:highlight w:val="none"/>
        </w:rPr>
        <w:t>，运输车辆应装料适中，并采用篷布覆盖。</w:t>
      </w:r>
    </w:p>
    <w:p>
      <w:pPr>
        <w:pStyle w:val="217"/>
        <w:rPr>
          <w:color w:val="auto"/>
          <w:highlight w:val="none"/>
        </w:rPr>
      </w:pPr>
      <w:r>
        <w:rPr>
          <w:rFonts w:hint="eastAsia"/>
          <w:color w:val="auto"/>
          <w:highlight w:val="none"/>
        </w:rPr>
        <w:t>注意夜间施工的噪音影响，尽量采用低噪音施工设备，根据施工需要，进行限时作业。少数高噪音设备尽量避免夜间施工，必须在夜间施工的应先征得附近居民及学校的理解，如有可能采取限时作业。</w:t>
      </w:r>
      <w:r>
        <w:rPr>
          <w:color w:val="auto"/>
          <w:highlight w:val="none"/>
        </w:rPr>
        <w:t xml:space="preserve"> </w:t>
      </w:r>
    </w:p>
    <w:p>
      <w:pPr>
        <w:pStyle w:val="217"/>
        <w:rPr>
          <w:color w:val="auto"/>
          <w:highlight w:val="none"/>
        </w:rPr>
      </w:pPr>
      <w:r>
        <w:rPr>
          <w:color w:val="auto"/>
          <w:highlight w:val="none"/>
        </w:rPr>
        <w:t>4.</w:t>
      </w:r>
      <w:r>
        <w:rPr>
          <w:rFonts w:hint="eastAsia"/>
          <w:color w:val="auto"/>
          <w:highlight w:val="none"/>
        </w:rPr>
        <w:t>水污染防治</w:t>
      </w:r>
    </w:p>
    <w:p>
      <w:pPr>
        <w:pStyle w:val="217"/>
        <w:rPr>
          <w:color w:val="auto"/>
          <w:highlight w:val="none"/>
        </w:rPr>
      </w:pPr>
      <w:r>
        <w:rPr>
          <w:rFonts w:hint="eastAsia"/>
          <w:color w:val="auto"/>
          <w:highlight w:val="none"/>
        </w:rPr>
        <w:t>清理施工机械、设备及机械的废水、废油等有害物质以及生活污水，不得直接排放河流、池塘或其他水域中，也不得倾泻于饮用水源附近的土地上，以防污染水源和土壤。</w:t>
      </w:r>
      <w:r>
        <w:rPr>
          <w:color w:val="auto"/>
          <w:highlight w:val="none"/>
        </w:rPr>
        <w:t xml:space="preserve">   </w:t>
      </w:r>
    </w:p>
    <w:p>
      <w:pPr>
        <w:pStyle w:val="217"/>
        <w:rPr>
          <w:color w:val="auto"/>
          <w:highlight w:val="none"/>
        </w:rPr>
      </w:pPr>
      <w:r>
        <w:rPr>
          <w:color w:val="auto"/>
          <w:highlight w:val="none"/>
        </w:rPr>
        <w:t>5.</w:t>
      </w:r>
      <w:r>
        <w:rPr>
          <w:rFonts w:hint="eastAsia"/>
          <w:color w:val="auto"/>
          <w:highlight w:val="none"/>
        </w:rPr>
        <w:t>禁止在施工现场焚烧油毡、橡胶、塑料、皮革、树木，枯草、各种包装袋及其它会产生有毒、有害烟尘恶臭气体物质。</w:t>
      </w:r>
    </w:p>
    <w:p>
      <w:pPr>
        <w:pStyle w:val="217"/>
        <w:rPr>
          <w:color w:val="auto"/>
          <w:highlight w:val="none"/>
        </w:rPr>
      </w:pPr>
      <w:r>
        <w:rPr>
          <w:color w:val="auto"/>
          <w:highlight w:val="none"/>
        </w:rPr>
        <w:t>6.</w:t>
      </w:r>
      <w:r>
        <w:rPr>
          <w:rFonts w:hint="eastAsia"/>
          <w:color w:val="auto"/>
          <w:highlight w:val="none"/>
        </w:rPr>
        <w:t>在施工时对附近不应拆除的建筑物、树木以及管线、水电等设施应予以保护。</w:t>
      </w:r>
    </w:p>
    <w:p>
      <w:pPr>
        <w:pStyle w:val="217"/>
        <w:rPr>
          <w:color w:val="auto"/>
          <w:highlight w:val="none"/>
        </w:rPr>
      </w:pPr>
      <w:r>
        <w:rPr>
          <w:color w:val="auto"/>
          <w:highlight w:val="none"/>
        </w:rPr>
        <w:t>7.</w:t>
      </w:r>
      <w:r>
        <w:rPr>
          <w:rFonts w:hint="eastAsia"/>
          <w:color w:val="auto"/>
          <w:highlight w:val="none"/>
        </w:rPr>
        <w:t>竣工交验后，也要将装备、剩余材料、垃圾和各种临时设施清理。</w:t>
      </w:r>
    </w:p>
    <w:p>
      <w:pPr>
        <w:pStyle w:val="172"/>
        <w:rPr>
          <w:color w:val="auto"/>
          <w:highlight w:val="none"/>
        </w:rPr>
      </w:pPr>
      <w:r>
        <w:rPr>
          <w:color w:val="auto"/>
          <w:highlight w:val="none"/>
        </w:rPr>
        <w:t xml:space="preserve">3.7.6 </w:t>
      </w:r>
      <w:r>
        <w:rPr>
          <w:rFonts w:hint="eastAsia"/>
          <w:color w:val="auto"/>
          <w:highlight w:val="none"/>
        </w:rPr>
        <w:t>其他</w:t>
      </w:r>
    </w:p>
    <w:p>
      <w:pPr>
        <w:pStyle w:val="217"/>
        <w:rPr>
          <w:color w:val="auto"/>
          <w:highlight w:val="none"/>
        </w:rPr>
      </w:pPr>
      <w:r>
        <w:rPr>
          <w:color w:val="auto"/>
          <w:highlight w:val="none"/>
        </w:rPr>
        <w:t>1.</w:t>
      </w:r>
      <w:r>
        <w:rPr>
          <w:rFonts w:hint="eastAsia"/>
          <w:color w:val="auto"/>
          <w:highlight w:val="none"/>
        </w:rPr>
        <w:t>填筑土不得将清表土等含有机物较多的土方填筑在下方；</w:t>
      </w:r>
    </w:p>
    <w:p>
      <w:pPr>
        <w:pStyle w:val="217"/>
        <w:rPr>
          <w:color w:val="auto"/>
          <w:highlight w:val="none"/>
        </w:rPr>
      </w:pPr>
      <w:r>
        <w:rPr>
          <w:color w:val="auto"/>
          <w:highlight w:val="none"/>
        </w:rPr>
        <w:t>2.</w:t>
      </w:r>
      <w:r>
        <w:rPr>
          <w:rFonts w:hint="eastAsia"/>
          <w:color w:val="auto"/>
          <w:highlight w:val="none"/>
        </w:rPr>
        <w:t>鉴于现状场地下有一条排雨水管（Ⅱ级</w:t>
      </w:r>
      <w:r>
        <w:rPr>
          <w:color w:val="auto"/>
          <w:highlight w:val="none"/>
        </w:rPr>
        <w:t>D1200</w:t>
      </w:r>
      <w:r>
        <w:rPr>
          <w:rFonts w:hint="eastAsia"/>
          <w:color w:val="auto"/>
          <w:highlight w:val="none"/>
        </w:rPr>
        <w:t>混凝土管），一条排污管道（</w:t>
      </w:r>
      <w:r>
        <w:rPr>
          <w:color w:val="auto"/>
          <w:highlight w:val="none"/>
        </w:rPr>
        <w:t>S8</w:t>
      </w:r>
      <w:r>
        <w:rPr>
          <w:rFonts w:hint="eastAsia"/>
          <w:color w:val="auto"/>
          <w:highlight w:val="none"/>
        </w:rPr>
        <w:t>级</w:t>
      </w:r>
      <w:r>
        <w:rPr>
          <w:color w:val="auto"/>
          <w:highlight w:val="none"/>
        </w:rPr>
        <w:t>HDPE</w:t>
      </w:r>
      <w:r>
        <w:rPr>
          <w:rFonts w:hint="eastAsia"/>
          <w:color w:val="auto"/>
          <w:highlight w:val="none"/>
        </w:rPr>
        <w:t>管），考虑到填土后超出该管道的荷载会造成对管道的破坏，以及考虑到学校发展用地将来的使用，需先在</w:t>
      </w:r>
      <w:r>
        <w:rPr>
          <w:color w:val="auto"/>
          <w:highlight w:val="none"/>
        </w:rPr>
        <w:t>4</w:t>
      </w:r>
      <w:r>
        <w:rPr>
          <w:rFonts w:hint="eastAsia"/>
          <w:color w:val="auto"/>
          <w:highlight w:val="none"/>
        </w:rPr>
        <w:t>号路边重新各做一条雨、污管道，做好后将原来两条管道挖除，在原管道位做盲沟；</w:t>
      </w:r>
    </w:p>
    <w:p>
      <w:pPr>
        <w:pStyle w:val="217"/>
        <w:rPr>
          <w:color w:val="auto"/>
          <w:highlight w:val="none"/>
        </w:rPr>
      </w:pPr>
      <w:r>
        <w:rPr>
          <w:color w:val="auto"/>
          <w:highlight w:val="none"/>
        </w:rPr>
        <w:t>3.</w:t>
      </w:r>
      <w:r>
        <w:rPr>
          <w:rFonts w:hint="eastAsia"/>
          <w:color w:val="auto"/>
          <w:highlight w:val="none"/>
        </w:rPr>
        <w:t>根据地勘报告显示，地块一、地块二现状地面下伏有</w:t>
      </w:r>
      <w:r>
        <w:rPr>
          <w:color w:val="auto"/>
          <w:highlight w:val="none"/>
        </w:rPr>
        <w:t>0~6</w:t>
      </w:r>
      <w:r>
        <w:rPr>
          <w:rFonts w:hint="eastAsia"/>
          <w:color w:val="auto"/>
          <w:highlight w:val="none"/>
        </w:rPr>
        <w:t>米厚的虚填土，考虑到本次填土土体的安全性，需要将该土方翻挖再分层回填，具体要求见相关图纸；</w:t>
      </w:r>
    </w:p>
    <w:p>
      <w:pPr>
        <w:pStyle w:val="217"/>
        <w:rPr>
          <w:color w:val="auto"/>
          <w:highlight w:val="none"/>
        </w:rPr>
      </w:pPr>
      <w:r>
        <w:rPr>
          <w:color w:val="auto"/>
          <w:highlight w:val="none"/>
        </w:rPr>
        <w:t>4.</w:t>
      </w:r>
      <w:r>
        <w:rPr>
          <w:rFonts w:hint="eastAsia"/>
          <w:color w:val="auto"/>
          <w:highlight w:val="none"/>
        </w:rPr>
        <w:t>根据建设方统一安排，地块一及地块二填筑土方分为永久填筑土方及临时堆放土方，地块一土体最上边两个平台的土方为临时堆放土方，地块二上边一个平台的土方为临时堆放土方，其他为永久堆放土方，具体见相关图纸；</w:t>
      </w:r>
    </w:p>
    <w:p>
      <w:pPr>
        <w:pStyle w:val="217"/>
        <w:rPr>
          <w:color w:val="auto"/>
          <w:highlight w:val="none"/>
        </w:rPr>
      </w:pPr>
      <w:r>
        <w:rPr>
          <w:color w:val="auto"/>
          <w:highlight w:val="none"/>
        </w:rPr>
        <w:t>5.</w:t>
      </w:r>
      <w:r>
        <w:rPr>
          <w:rFonts w:hint="eastAsia"/>
          <w:color w:val="auto"/>
          <w:highlight w:val="none"/>
        </w:rPr>
        <w:t>工作顺序应为：施工准备、测量放线、基层清理埋设排水管道、翻挖回填需填土（同步挖除现状排水管、埋设盲沟）、按设计回填土、施工边沟及护坡、种植植物、验收。</w:t>
      </w:r>
    </w:p>
    <w:p>
      <w:pPr>
        <w:pStyle w:val="217"/>
        <w:rPr>
          <w:color w:val="auto"/>
          <w:highlight w:val="none"/>
        </w:rPr>
      </w:pPr>
      <w:r>
        <w:rPr>
          <w:color w:val="auto"/>
          <w:highlight w:val="none"/>
        </w:rPr>
        <w:t>6.</w:t>
      </w:r>
      <w:r>
        <w:rPr>
          <w:rFonts w:hint="eastAsia"/>
          <w:color w:val="auto"/>
          <w:highlight w:val="none"/>
        </w:rPr>
        <w:t>其他未尽事宜，需要满足相关规范及标准。</w:t>
      </w:r>
    </w:p>
    <w:p>
      <w:pPr>
        <w:pStyle w:val="113"/>
        <w:spacing w:before="120" w:after="120"/>
        <w:outlineLvl w:val="2"/>
        <w:rPr>
          <w:color w:val="auto"/>
          <w:highlight w:val="none"/>
        </w:rPr>
      </w:pPr>
      <w:bookmarkStart w:id="7738" w:name="_Toc66890410"/>
      <w:bookmarkStart w:id="7739" w:name="_Toc69114156"/>
      <w:bookmarkStart w:id="7740" w:name="_Toc505345728"/>
      <w:bookmarkStart w:id="7741" w:name="_Toc66634415"/>
      <w:r>
        <w:rPr>
          <w:color w:val="auto"/>
          <w:highlight w:val="none"/>
        </w:rPr>
        <w:t xml:space="preserve">3.8 </w:t>
      </w:r>
      <w:r>
        <w:rPr>
          <w:rFonts w:hint="eastAsia"/>
          <w:color w:val="auto"/>
          <w:highlight w:val="none"/>
        </w:rPr>
        <w:t>特别要求</w:t>
      </w:r>
      <w:bookmarkEnd w:id="7738"/>
      <w:bookmarkEnd w:id="7739"/>
      <w:bookmarkEnd w:id="7740"/>
      <w:bookmarkEnd w:id="7741"/>
    </w:p>
    <w:p>
      <w:pPr>
        <w:pStyle w:val="217"/>
        <w:rPr>
          <w:color w:val="auto"/>
          <w:highlight w:val="none"/>
        </w:rPr>
      </w:pPr>
      <w:r>
        <w:rPr>
          <w:color w:val="auto"/>
          <w:highlight w:val="none"/>
        </w:rPr>
        <w:t>1.</w:t>
      </w:r>
      <w:r>
        <w:rPr>
          <w:rFonts w:hint="eastAsia"/>
          <w:color w:val="auto"/>
          <w:highlight w:val="none"/>
        </w:rPr>
        <w:t>本工程施工期间，中标单位必须确保周边建筑物、构筑物、管线、设施及周边环境不受到破坏和损伤。有关技术安全措施费已包含在投标报价中。若有任何损坏，须立即通知有关部门和建设单位，并由承包人自行承担损失及全部修复费用。</w:t>
      </w:r>
    </w:p>
    <w:p>
      <w:pPr>
        <w:pStyle w:val="217"/>
        <w:rPr>
          <w:color w:val="auto"/>
          <w:highlight w:val="none"/>
        </w:rPr>
      </w:pPr>
      <w:r>
        <w:rPr>
          <w:color w:val="auto"/>
          <w:highlight w:val="none"/>
        </w:rPr>
        <w:t>2.</w:t>
      </w:r>
      <w:r>
        <w:rPr>
          <w:rFonts w:hint="eastAsia"/>
          <w:color w:val="auto"/>
          <w:highlight w:val="none"/>
        </w:rPr>
        <w:t>承包商应认真了解现场场地的地址特点，充分考虑由于场地、基坑土质等因素对现场施工、住宿、材料二次搬运等带来的影响和费用，并提出合理的有效措施，确保工期和质量，相关费用列入施工措施费计入投标报价，结算时不作调整。</w:t>
      </w:r>
    </w:p>
    <w:p>
      <w:pPr>
        <w:pStyle w:val="217"/>
        <w:rPr>
          <w:color w:val="auto"/>
          <w:highlight w:val="none"/>
        </w:rPr>
      </w:pPr>
      <w:r>
        <w:rPr>
          <w:color w:val="auto"/>
          <w:highlight w:val="none"/>
        </w:rPr>
        <w:t>3.</w:t>
      </w:r>
      <w:r>
        <w:rPr>
          <w:rFonts w:hint="eastAsia"/>
          <w:color w:val="auto"/>
          <w:highlight w:val="none"/>
        </w:rPr>
        <w:t>本工程所使用的混凝土，全部采用商品混凝土，禁止使用含有氯盐的外加剂，粗骨料禁止采用卵石。砂浆全部采用预拌砂浆（不得现场搅拌）。</w:t>
      </w:r>
    </w:p>
    <w:p>
      <w:pPr>
        <w:pStyle w:val="217"/>
        <w:rPr>
          <w:color w:val="auto"/>
          <w:highlight w:val="none"/>
        </w:rPr>
      </w:pPr>
      <w:r>
        <w:rPr>
          <w:color w:val="auto"/>
          <w:highlight w:val="none"/>
        </w:rPr>
        <w:t>4.</w:t>
      </w:r>
      <w:r>
        <w:rPr>
          <w:rFonts w:hint="eastAsia"/>
          <w:color w:val="auto"/>
          <w:highlight w:val="none"/>
        </w:rPr>
        <w:t>本工程基坑回填土均应考虑在本次投标报价中，结算时不予增补，承包人为了满足回填要求所采取的技术措施及相关措施费用均计入本次投标报价中。</w:t>
      </w:r>
    </w:p>
    <w:p>
      <w:pPr>
        <w:pStyle w:val="217"/>
        <w:rPr>
          <w:color w:val="auto"/>
          <w:highlight w:val="none"/>
        </w:rPr>
      </w:pPr>
      <w:r>
        <w:rPr>
          <w:color w:val="auto"/>
          <w:highlight w:val="none"/>
        </w:rPr>
        <w:t>5.</w:t>
      </w:r>
      <w:r>
        <w:rPr>
          <w:rFonts w:hint="eastAsia"/>
          <w:color w:val="auto"/>
          <w:highlight w:val="none"/>
        </w:rPr>
        <w:t>本工程土方回填和夯实应满足以下要求：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）采用粘性土或灰土分层夯实，回填土中不得含有建筑垃圾、石块、灰渣及有机杂物等。</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）对场地内其它区域存在的淤泥、淤泥质土及杂填土等软弱土质应进行更换后再回填。</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）每层最大虚铺厚度不大于</w:t>
      </w:r>
      <w:r>
        <w:rPr>
          <w:color w:val="auto"/>
          <w:highlight w:val="none"/>
        </w:rPr>
        <w:t>350mm</w:t>
      </w:r>
      <w:r>
        <w:rPr>
          <w:rFonts w:hint="eastAsia"/>
          <w:color w:val="auto"/>
          <w:highlight w:val="none"/>
        </w:rPr>
        <w:t>，最大含水率与最优含水率之差控制在±</w:t>
      </w:r>
      <w:r>
        <w:rPr>
          <w:color w:val="auto"/>
          <w:highlight w:val="none"/>
        </w:rPr>
        <w:t>2%</w:t>
      </w:r>
      <w:r>
        <w:rPr>
          <w:rFonts w:hint="eastAsia"/>
          <w:color w:val="auto"/>
          <w:highlight w:val="none"/>
        </w:rPr>
        <w:t>范围内，压实系数满足设计及规范要求。</w:t>
      </w:r>
    </w:p>
    <w:p>
      <w:pPr>
        <w:pStyle w:val="217"/>
        <w:rPr>
          <w:color w:val="auto"/>
          <w:highlight w:val="none"/>
        </w:rPr>
      </w:pPr>
      <w:r>
        <w:rPr>
          <w:color w:val="auto"/>
          <w:highlight w:val="none"/>
        </w:rPr>
        <w:t>6.</w:t>
      </w:r>
      <w:r>
        <w:rPr>
          <w:rFonts w:hint="eastAsia"/>
          <w:color w:val="auto"/>
          <w:highlight w:val="none"/>
        </w:rPr>
        <w:t>要求塔吊、施工电梯、提升机的现场设置必须避开室外管网，以利于室外工程的尽早展开。</w:t>
      </w:r>
    </w:p>
    <w:p>
      <w:pPr>
        <w:pStyle w:val="217"/>
        <w:rPr>
          <w:color w:val="auto"/>
          <w:highlight w:val="none"/>
        </w:rPr>
      </w:pPr>
      <w:r>
        <w:rPr>
          <w:color w:val="auto"/>
          <w:highlight w:val="none"/>
        </w:rPr>
        <w:t>7.</w:t>
      </w:r>
      <w:r>
        <w:rPr>
          <w:rFonts w:hint="eastAsia"/>
          <w:color w:val="auto"/>
          <w:highlight w:val="none"/>
        </w:rPr>
        <w:t>所有建筑装修项目在施工前严格执行样板制度，由设计、监理、建设单位确认后方可展开大面积施工。</w:t>
      </w:r>
    </w:p>
    <w:p>
      <w:pPr>
        <w:pStyle w:val="217"/>
        <w:rPr>
          <w:color w:val="auto"/>
          <w:highlight w:val="none"/>
        </w:rPr>
      </w:pPr>
      <w:r>
        <w:rPr>
          <w:color w:val="auto"/>
          <w:highlight w:val="none"/>
        </w:rPr>
        <w:t>8.</w:t>
      </w:r>
      <w:r>
        <w:rPr>
          <w:rFonts w:hint="eastAsia"/>
          <w:color w:val="auto"/>
          <w:highlight w:val="none"/>
        </w:rPr>
        <w:t>建筑装饰装修工程施工中，严禁违反设计擅自改动建筑主体、承重结构或主要使用功能，严禁未经监理及发包人确认拆改水、暖、电、燃气、通风等配套设施。</w:t>
      </w:r>
    </w:p>
    <w:p>
      <w:pPr>
        <w:pStyle w:val="217"/>
        <w:rPr>
          <w:color w:val="auto"/>
          <w:highlight w:val="none"/>
        </w:rPr>
      </w:pPr>
      <w:r>
        <w:rPr>
          <w:color w:val="auto"/>
          <w:highlight w:val="none"/>
        </w:rPr>
        <w:t>9.</w:t>
      </w:r>
      <w:r>
        <w:rPr>
          <w:rFonts w:hint="eastAsia"/>
          <w:color w:val="auto"/>
          <w:highlight w:val="none"/>
        </w:rPr>
        <w:t>如果设计中某些材料或招标文件中的某些参考品牌材料存在采购难度很大的问题，要求施工单位在投标过程中提出，否则，承包商不得以上述情况作为工期延误的理由。</w:t>
      </w:r>
    </w:p>
    <w:p>
      <w:pPr>
        <w:pStyle w:val="217"/>
        <w:rPr>
          <w:color w:val="auto"/>
          <w:highlight w:val="none"/>
        </w:rPr>
      </w:pPr>
      <w:r>
        <w:rPr>
          <w:color w:val="auto"/>
          <w:highlight w:val="none"/>
        </w:rPr>
        <w:t>10.</w:t>
      </w:r>
      <w:r>
        <w:rPr>
          <w:rFonts w:hint="eastAsia"/>
          <w:color w:val="auto"/>
          <w:highlight w:val="none"/>
        </w:rPr>
        <w:t>墙面、地面的抹灰工程必须达到高级抹灰标准，由于施工误差达不到精装修要求，将必须按监理要求无条件返工处理到合格。</w:t>
      </w:r>
    </w:p>
    <w:p>
      <w:pPr>
        <w:pStyle w:val="217"/>
        <w:rPr>
          <w:color w:val="auto"/>
          <w:highlight w:val="none"/>
        </w:rPr>
      </w:pPr>
      <w:r>
        <w:rPr>
          <w:color w:val="auto"/>
          <w:highlight w:val="none"/>
        </w:rPr>
        <w:t>11.</w:t>
      </w:r>
      <w:r>
        <w:rPr>
          <w:rFonts w:hint="eastAsia"/>
          <w:color w:val="auto"/>
          <w:highlight w:val="none"/>
        </w:rPr>
        <w:t>预埋套管、预埋件、预留洞由于施工误差产生的一切费用均由承包人负责。</w:t>
      </w:r>
    </w:p>
    <w:p>
      <w:pPr>
        <w:pStyle w:val="217"/>
        <w:rPr>
          <w:color w:val="auto"/>
          <w:highlight w:val="none"/>
        </w:rPr>
      </w:pPr>
      <w:r>
        <w:rPr>
          <w:color w:val="auto"/>
          <w:highlight w:val="none"/>
        </w:rPr>
        <w:t>12.</w:t>
      </w:r>
      <w:r>
        <w:rPr>
          <w:rFonts w:hint="eastAsia"/>
          <w:color w:val="auto"/>
          <w:highlight w:val="none"/>
        </w:rPr>
        <w:t>人防工程中平战转换时所需人防设施、材料、设备等均要在竣工时采购、安装、备料完成。以便战时</w:t>
      </w:r>
      <w:r>
        <w:rPr>
          <w:color w:val="auto"/>
          <w:highlight w:val="none"/>
        </w:rPr>
        <w:t>3</w:t>
      </w:r>
      <w:r>
        <w:rPr>
          <w:rFonts w:hint="eastAsia"/>
          <w:color w:val="auto"/>
          <w:highlight w:val="none"/>
        </w:rPr>
        <w:t>天内转换完毕。</w:t>
      </w:r>
    </w:p>
    <w:p>
      <w:pPr>
        <w:pStyle w:val="217"/>
        <w:rPr>
          <w:color w:val="auto"/>
          <w:highlight w:val="none"/>
        </w:rPr>
      </w:pPr>
      <w:r>
        <w:rPr>
          <w:color w:val="auto"/>
          <w:highlight w:val="none"/>
        </w:rPr>
        <w:t>13.</w:t>
      </w:r>
      <w:r>
        <w:rPr>
          <w:rFonts w:hint="eastAsia"/>
          <w:color w:val="auto"/>
          <w:highlight w:val="none"/>
        </w:rPr>
        <w:t>工程质量管理要求现场检查验收报验合格率一次达到</w:t>
      </w:r>
      <w:r>
        <w:rPr>
          <w:color w:val="auto"/>
          <w:highlight w:val="none"/>
        </w:rPr>
        <w:t>80%</w:t>
      </w:r>
      <w:r>
        <w:rPr>
          <w:rFonts w:hint="eastAsia"/>
          <w:color w:val="auto"/>
          <w:highlight w:val="none"/>
        </w:rPr>
        <w:t>以上，如承包人检查验收合格后报监理检查不合格，一次报验合格率达不到</w:t>
      </w:r>
      <w:r>
        <w:rPr>
          <w:color w:val="auto"/>
          <w:highlight w:val="none"/>
        </w:rPr>
        <w:t>80%</w:t>
      </w:r>
      <w:r>
        <w:rPr>
          <w:rFonts w:hint="eastAsia"/>
          <w:color w:val="auto"/>
          <w:highlight w:val="none"/>
        </w:rPr>
        <w:t>以上，监理将对承包商提出质量索赔（每次提出质量索赔金额为</w:t>
      </w:r>
      <w:r>
        <w:rPr>
          <w:color w:val="auto"/>
          <w:highlight w:val="none"/>
        </w:rPr>
        <w:t>5000</w:t>
      </w:r>
      <w:r>
        <w:rPr>
          <w:rFonts w:hint="eastAsia"/>
          <w:color w:val="auto"/>
          <w:highlight w:val="none"/>
        </w:rPr>
        <w:t>～</w:t>
      </w:r>
      <w:r>
        <w:rPr>
          <w:color w:val="auto"/>
          <w:highlight w:val="none"/>
        </w:rPr>
        <w:t>10000</w:t>
      </w:r>
      <w:r>
        <w:rPr>
          <w:rFonts w:hint="eastAsia"/>
          <w:color w:val="auto"/>
          <w:highlight w:val="none"/>
        </w:rPr>
        <w:t>元人民币，该款项在本期工程进度款中直接扣除）。</w:t>
      </w:r>
    </w:p>
    <w:p>
      <w:pPr>
        <w:pStyle w:val="217"/>
        <w:rPr>
          <w:color w:val="auto"/>
          <w:highlight w:val="none"/>
        </w:rPr>
      </w:pPr>
      <w:r>
        <w:rPr>
          <w:color w:val="auto"/>
          <w:highlight w:val="none"/>
        </w:rPr>
        <w:t>14.</w:t>
      </w:r>
      <w:r>
        <w:rPr>
          <w:rFonts w:hint="eastAsia"/>
          <w:color w:val="auto"/>
          <w:highlight w:val="none"/>
        </w:rPr>
        <w:t>承包人负责设置主体结构沉降、位移监测点，并在施工期间负责对主体、周边建筑物进行沉降、位移的监测。</w:t>
      </w:r>
    </w:p>
    <w:p>
      <w:pPr>
        <w:pStyle w:val="217"/>
        <w:rPr>
          <w:color w:val="auto"/>
          <w:highlight w:val="none"/>
        </w:rPr>
      </w:pPr>
      <w:r>
        <w:rPr>
          <w:color w:val="auto"/>
          <w:highlight w:val="none"/>
        </w:rPr>
        <w:t>15.</w:t>
      </w:r>
      <w:r>
        <w:rPr>
          <w:rFonts w:hint="eastAsia"/>
          <w:color w:val="auto"/>
          <w:highlight w:val="none"/>
        </w:rPr>
        <w:t>本工程地下室面积较大，施工中须制定防水的预防、实施、保护、处理、检验等方案，防止底板和外墙开裂渗水。对发现的任何渗水部位均不得擅自处理，处理方案须报监理同意后方可实施。</w:t>
      </w:r>
    </w:p>
    <w:p>
      <w:pPr>
        <w:pStyle w:val="217"/>
        <w:rPr>
          <w:color w:val="auto"/>
          <w:highlight w:val="none"/>
        </w:rPr>
      </w:pPr>
      <w:r>
        <w:rPr>
          <w:color w:val="auto"/>
          <w:highlight w:val="none"/>
        </w:rPr>
        <w:t>16.</w:t>
      </w:r>
      <w:r>
        <w:rPr>
          <w:rFonts w:hint="eastAsia"/>
          <w:color w:val="auto"/>
          <w:highlight w:val="none"/>
        </w:rPr>
        <w:t>施工前均应复核各专业图纸，不得以单专业图纸做为唯一施工依据进行施工。遇到图纸有矛盾之处或图示做法、意图无法实现时，请及时与设计院专业负责人或工程主持人联系，协商解决。变更图纸必须事先与设计人员协商，根据各专业的条件，许可后方可变更。</w:t>
      </w:r>
    </w:p>
    <w:p>
      <w:pPr>
        <w:pStyle w:val="217"/>
        <w:rPr>
          <w:color w:val="auto"/>
          <w:highlight w:val="none"/>
        </w:rPr>
      </w:pPr>
      <w:r>
        <w:rPr>
          <w:color w:val="auto"/>
          <w:highlight w:val="none"/>
        </w:rPr>
        <w:t>17.</w:t>
      </w:r>
      <w:r>
        <w:rPr>
          <w:rFonts w:hint="eastAsia"/>
          <w:color w:val="auto"/>
          <w:highlight w:val="none"/>
        </w:rPr>
        <w:t>对精装修部分，要求承包人对其界面进行必要的打磨处理，处理完成后经监理工程师检查验收符合要求后方可进行后续工序作业，该费用应在投标报价中综合考虑。</w:t>
      </w:r>
    </w:p>
    <w:p>
      <w:pPr>
        <w:pStyle w:val="217"/>
        <w:rPr>
          <w:color w:val="auto"/>
          <w:highlight w:val="none"/>
        </w:rPr>
      </w:pPr>
      <w:r>
        <w:rPr>
          <w:color w:val="auto"/>
          <w:highlight w:val="none"/>
        </w:rPr>
        <w:t>18.</w:t>
      </w:r>
      <w:r>
        <w:rPr>
          <w:rFonts w:hint="eastAsia"/>
          <w:color w:val="auto"/>
          <w:highlight w:val="none"/>
        </w:rPr>
        <w:t>承包人除了修建部分临时通道外，还应修筑土石方装卸调配以及进出承包人驻地的场内临时路、施工便道，或对原有的道路进行改善和加固，并在使用期间进行平整、洒水等养护工作，保证运输畅通。场内临时路结构、宽度和长度应保证装卸车辆的运输需要（土石方的二次调运不另外计量与支付）。除非另有规定，开工前承包人自用施工便道的修筑方案须得到监理工程师认可，自用施工便道的管理，包括但不限于：填补、平整、清洁、洒水、排水系统顺畅。相关费用包含在投标报价中。</w:t>
      </w:r>
    </w:p>
    <w:p>
      <w:pPr>
        <w:pStyle w:val="217"/>
        <w:rPr>
          <w:color w:val="auto"/>
          <w:highlight w:val="none"/>
        </w:rPr>
      </w:pPr>
      <w:r>
        <w:rPr>
          <w:color w:val="auto"/>
          <w:highlight w:val="none"/>
        </w:rPr>
        <w:t>19.</w:t>
      </w:r>
      <w:r>
        <w:rPr>
          <w:rFonts w:hint="eastAsia"/>
          <w:color w:val="auto"/>
          <w:highlight w:val="none"/>
        </w:rPr>
        <w:t>本工程每栋楼在室内适当位置布置施工期间建筑垃圾垂直运输通道，以更好地满足文明施工和环保要求，方案须经监理工程师审批后方可实施，费用由投标人在投标报价中综合考虑。</w:t>
      </w:r>
    </w:p>
    <w:p>
      <w:pPr>
        <w:pStyle w:val="113"/>
        <w:spacing w:before="120" w:after="120"/>
        <w:outlineLvl w:val="2"/>
        <w:rPr>
          <w:color w:val="auto"/>
          <w:highlight w:val="none"/>
        </w:rPr>
      </w:pPr>
      <w:bookmarkStart w:id="7742" w:name="_Toc69114157"/>
      <w:bookmarkStart w:id="7743" w:name="_Toc66634416"/>
      <w:bookmarkStart w:id="7744" w:name="_Toc66890411"/>
      <w:bookmarkStart w:id="7745" w:name="_Toc505345729"/>
      <w:r>
        <w:rPr>
          <w:color w:val="auto"/>
          <w:highlight w:val="none"/>
        </w:rPr>
        <w:t xml:space="preserve">3.9 </w:t>
      </w:r>
      <w:r>
        <w:rPr>
          <w:rFonts w:hint="eastAsia"/>
          <w:color w:val="auto"/>
          <w:highlight w:val="none"/>
        </w:rPr>
        <w:t>土建工程材料技术要求</w:t>
      </w:r>
      <w:bookmarkEnd w:id="7742"/>
      <w:bookmarkEnd w:id="7743"/>
      <w:bookmarkEnd w:id="7744"/>
      <w:bookmarkEnd w:id="7745"/>
    </w:p>
    <w:p>
      <w:pPr>
        <w:pStyle w:val="172"/>
        <w:rPr>
          <w:color w:val="auto"/>
          <w:highlight w:val="none"/>
        </w:rPr>
      </w:pPr>
      <w:r>
        <w:rPr>
          <w:color w:val="auto"/>
          <w:highlight w:val="none"/>
        </w:rPr>
        <w:t xml:space="preserve">3.9.1 </w:t>
      </w:r>
      <w:r>
        <w:rPr>
          <w:rFonts w:hint="eastAsia"/>
          <w:color w:val="auto"/>
          <w:highlight w:val="none"/>
        </w:rPr>
        <w:t>总说明：</w:t>
      </w:r>
    </w:p>
    <w:p>
      <w:pPr>
        <w:pStyle w:val="217"/>
        <w:rPr>
          <w:color w:val="auto"/>
          <w:highlight w:val="none"/>
        </w:rPr>
      </w:pPr>
      <w:r>
        <w:rPr>
          <w:color w:val="auto"/>
          <w:highlight w:val="none"/>
        </w:rPr>
        <w:t>1.</w:t>
      </w:r>
      <w:r>
        <w:rPr>
          <w:rFonts w:hint="eastAsia"/>
          <w:color w:val="auto"/>
          <w:highlight w:val="none"/>
        </w:rPr>
        <w:t>所用材料的品种、规格和质量须符合设计要求和国家现行标准的规定。当设计无要求时应符合国家现行标准的规定，严禁使用国家明令淘汰的材料；</w:t>
      </w:r>
    </w:p>
    <w:p>
      <w:pPr>
        <w:pStyle w:val="217"/>
        <w:rPr>
          <w:color w:val="auto"/>
          <w:highlight w:val="none"/>
        </w:rPr>
      </w:pPr>
      <w:r>
        <w:rPr>
          <w:color w:val="auto"/>
          <w:highlight w:val="none"/>
        </w:rPr>
        <w:t>2.</w:t>
      </w:r>
      <w:r>
        <w:rPr>
          <w:rFonts w:hint="eastAsia"/>
          <w:color w:val="auto"/>
          <w:highlight w:val="none"/>
        </w:rPr>
        <w:t>所用材料的燃烧性应符合现行国家标准《建筑内部装修设计防火规范》（</w:t>
      </w:r>
      <w:r>
        <w:rPr>
          <w:color w:val="auto"/>
          <w:highlight w:val="none"/>
        </w:rPr>
        <w:t>GB50222-1995</w:t>
      </w:r>
      <w:r>
        <w:rPr>
          <w:rFonts w:hint="eastAsia"/>
          <w:color w:val="auto"/>
          <w:highlight w:val="none"/>
        </w:rPr>
        <w:t>版）和《建筑设计防火规范》（</w:t>
      </w:r>
      <w:r>
        <w:rPr>
          <w:color w:val="auto"/>
          <w:highlight w:val="none"/>
        </w:rPr>
        <w:t>GB 50016—2014</w:t>
      </w:r>
      <w:r>
        <w:rPr>
          <w:rFonts w:hint="eastAsia"/>
          <w:color w:val="auto"/>
          <w:highlight w:val="none"/>
        </w:rPr>
        <w:t>）的规定；</w:t>
      </w:r>
    </w:p>
    <w:p>
      <w:pPr>
        <w:pStyle w:val="217"/>
        <w:rPr>
          <w:color w:val="auto"/>
          <w:highlight w:val="none"/>
        </w:rPr>
      </w:pPr>
      <w:r>
        <w:rPr>
          <w:color w:val="auto"/>
          <w:highlight w:val="none"/>
        </w:rPr>
        <w:t>3.</w:t>
      </w:r>
      <w:r>
        <w:rPr>
          <w:rFonts w:hint="eastAsia"/>
          <w:color w:val="auto"/>
          <w:highlight w:val="none"/>
        </w:rPr>
        <w:t>所用材料应绿色环保要求：符合国家有关建筑装饰装修材料有害物质限量标准的规定；并具有国家权威检测机构颁发的绿色环保安全使用证书，并保证工程完工后经深圳市环境检测权威机构检测各项安全指标达到《民用建筑工程室内环境污染控制规范》</w:t>
      </w:r>
      <w:r>
        <w:rPr>
          <w:color w:val="auto"/>
          <w:highlight w:val="none"/>
        </w:rPr>
        <w:t>GB50325—2010</w:t>
      </w:r>
      <w:r>
        <w:rPr>
          <w:rFonts w:hint="eastAsia"/>
          <w:color w:val="auto"/>
          <w:highlight w:val="none"/>
        </w:rPr>
        <w:t>等环保要求，若达不到规范各项指标要求，承包人负责返工并承担全部返工费用及相关检测费用，发包人保留按合同规定索赔的权力。</w:t>
      </w:r>
    </w:p>
    <w:p>
      <w:pPr>
        <w:pStyle w:val="217"/>
        <w:rPr>
          <w:color w:val="auto"/>
          <w:highlight w:val="none"/>
        </w:rPr>
      </w:pPr>
      <w:r>
        <w:rPr>
          <w:color w:val="auto"/>
          <w:highlight w:val="none"/>
        </w:rPr>
        <w:t>4.</w:t>
      </w:r>
      <w:r>
        <w:rPr>
          <w:rFonts w:hint="eastAsia"/>
          <w:color w:val="auto"/>
          <w:highlight w:val="none"/>
        </w:rPr>
        <w:t>所有材料进场时应对品种、规格、外观和尺寸进行验收。材料包装应完好，应有产品合格证书、中文说明书及相关性能的检测报告；进口产品应按规定进行商品检验。</w:t>
      </w:r>
    </w:p>
    <w:p>
      <w:pPr>
        <w:pStyle w:val="217"/>
        <w:rPr>
          <w:color w:val="auto"/>
          <w:highlight w:val="none"/>
        </w:rPr>
      </w:pPr>
      <w:r>
        <w:rPr>
          <w:color w:val="auto"/>
          <w:highlight w:val="none"/>
        </w:rPr>
        <w:t>5.</w:t>
      </w:r>
      <w:r>
        <w:rPr>
          <w:rFonts w:hint="eastAsia"/>
          <w:color w:val="auto"/>
          <w:highlight w:val="none"/>
        </w:rPr>
        <w:t>进场后需进行复检的材料种类及项目应符合《建筑装饰装修工程质量验收规范》（</w:t>
      </w:r>
      <w:r>
        <w:rPr>
          <w:color w:val="auto"/>
          <w:highlight w:val="none"/>
        </w:rPr>
        <w:t>GB50210-2001</w:t>
      </w:r>
      <w:r>
        <w:rPr>
          <w:rFonts w:hint="eastAsia"/>
          <w:color w:val="auto"/>
          <w:highlight w:val="none"/>
        </w:rPr>
        <w:t>）各章的规定。同一厂家生产的同一品种、同一类型的进场材料应至少抽取一组样品进行复检，当合同另有约定时应按合同执行。</w:t>
      </w:r>
    </w:p>
    <w:p>
      <w:pPr>
        <w:pStyle w:val="217"/>
        <w:rPr>
          <w:color w:val="auto"/>
          <w:highlight w:val="none"/>
        </w:rPr>
      </w:pPr>
      <w:r>
        <w:rPr>
          <w:color w:val="auto"/>
          <w:highlight w:val="none"/>
        </w:rPr>
        <w:t>6.</w:t>
      </w:r>
      <w:r>
        <w:rPr>
          <w:rFonts w:hint="eastAsia"/>
          <w:color w:val="auto"/>
          <w:highlight w:val="none"/>
        </w:rPr>
        <w:t>应对材料进行见证检测情况：国家规定或合同约定；对材料的质量发生争议时；</w:t>
      </w:r>
    </w:p>
    <w:p>
      <w:pPr>
        <w:pStyle w:val="217"/>
        <w:rPr>
          <w:color w:val="auto"/>
          <w:highlight w:val="none"/>
        </w:rPr>
      </w:pPr>
      <w:r>
        <w:rPr>
          <w:color w:val="auto"/>
          <w:highlight w:val="none"/>
        </w:rPr>
        <w:t>7.</w:t>
      </w:r>
      <w:r>
        <w:rPr>
          <w:rFonts w:hint="eastAsia"/>
          <w:color w:val="auto"/>
          <w:highlight w:val="none"/>
        </w:rPr>
        <w:t>承担建筑装饰装修材料检测的单位应具备相应的资质，并应建立质量管理体系；</w:t>
      </w:r>
    </w:p>
    <w:p>
      <w:pPr>
        <w:pStyle w:val="217"/>
        <w:rPr>
          <w:color w:val="auto"/>
          <w:highlight w:val="none"/>
        </w:rPr>
      </w:pPr>
      <w:r>
        <w:rPr>
          <w:color w:val="auto"/>
          <w:highlight w:val="none"/>
        </w:rPr>
        <w:t>8.</w:t>
      </w:r>
      <w:r>
        <w:rPr>
          <w:rFonts w:hint="eastAsia"/>
          <w:color w:val="auto"/>
          <w:highlight w:val="none"/>
        </w:rPr>
        <w:t>建筑装饰装修工程所使用的材料在运输、储存和施工过程中，必须采取有效措施防止损坏，变质和污染环境。</w:t>
      </w:r>
    </w:p>
    <w:p>
      <w:pPr>
        <w:pStyle w:val="217"/>
        <w:rPr>
          <w:color w:val="auto"/>
          <w:highlight w:val="none"/>
        </w:rPr>
      </w:pPr>
      <w:r>
        <w:rPr>
          <w:color w:val="auto"/>
          <w:highlight w:val="none"/>
        </w:rPr>
        <w:t>9.</w:t>
      </w:r>
      <w:r>
        <w:rPr>
          <w:rFonts w:hint="eastAsia"/>
          <w:color w:val="auto"/>
          <w:highlight w:val="none"/>
        </w:rPr>
        <w:t>建筑装饰装修工程所使用的材料应按设计要求进行防火、防腐和防虫处理；</w:t>
      </w:r>
    </w:p>
    <w:p>
      <w:pPr>
        <w:pStyle w:val="217"/>
        <w:rPr>
          <w:color w:val="auto"/>
          <w:highlight w:val="none"/>
        </w:rPr>
      </w:pPr>
      <w:r>
        <w:rPr>
          <w:color w:val="auto"/>
          <w:highlight w:val="none"/>
        </w:rPr>
        <w:t>10.</w:t>
      </w:r>
      <w:r>
        <w:rPr>
          <w:rFonts w:hint="eastAsia"/>
          <w:color w:val="auto"/>
          <w:highlight w:val="none"/>
        </w:rPr>
        <w:t>现场配制的材料如胶粘剂等，应按设计要求或产品说明书配制；</w:t>
      </w:r>
    </w:p>
    <w:p>
      <w:pPr>
        <w:pStyle w:val="217"/>
        <w:rPr>
          <w:color w:val="auto"/>
          <w:highlight w:val="none"/>
        </w:rPr>
      </w:pPr>
      <w:r>
        <w:rPr>
          <w:color w:val="auto"/>
          <w:highlight w:val="none"/>
        </w:rPr>
        <w:t>11.</w:t>
      </w:r>
      <w:r>
        <w:rPr>
          <w:rFonts w:hint="eastAsia"/>
          <w:color w:val="auto"/>
          <w:highlight w:val="none"/>
        </w:rPr>
        <w:t>复层涂料应符合</w:t>
      </w:r>
      <w:r>
        <w:rPr>
          <w:color w:val="auto"/>
          <w:highlight w:val="none"/>
        </w:rPr>
        <w:t>GB/T9779-2005</w:t>
      </w:r>
      <w:r>
        <w:rPr>
          <w:rFonts w:hint="eastAsia"/>
          <w:color w:val="auto"/>
          <w:highlight w:val="none"/>
        </w:rPr>
        <w:t>（要求采用一级品及以上）。</w:t>
      </w:r>
    </w:p>
    <w:p>
      <w:pPr>
        <w:pStyle w:val="172"/>
        <w:rPr>
          <w:color w:val="auto"/>
          <w:highlight w:val="none"/>
        </w:rPr>
      </w:pPr>
      <w:r>
        <w:rPr>
          <w:color w:val="auto"/>
          <w:highlight w:val="none"/>
        </w:rPr>
        <w:t xml:space="preserve">3.9.2 </w:t>
      </w:r>
      <w:r>
        <w:rPr>
          <w:rFonts w:hint="eastAsia"/>
          <w:color w:val="auto"/>
          <w:highlight w:val="none"/>
        </w:rPr>
        <w:t>承包人施工前</w:t>
      </w:r>
      <w:r>
        <w:rPr>
          <w:color w:val="auto"/>
          <w:highlight w:val="none"/>
        </w:rPr>
        <w:t>2</w:t>
      </w:r>
      <w:r>
        <w:rPr>
          <w:rFonts w:hint="eastAsia"/>
          <w:color w:val="auto"/>
          <w:highlight w:val="none"/>
        </w:rPr>
        <w:t>个月提供主要材料的品牌和厂家报监理、设计、甲方和使用单位（必要时）审批、考察、备案。凡未经审批合格或经检测不合格的材料，一律不得进场使用。否则，凡由此造成纠纷，影响工程质量、工期的由承包人承担全部经济责任。</w:t>
      </w:r>
    </w:p>
    <w:p>
      <w:pPr>
        <w:rPr>
          <w:color w:val="auto"/>
          <w:highlight w:val="none"/>
        </w:rPr>
      </w:pPr>
    </w:p>
    <w:p>
      <w:pPr>
        <w:pStyle w:val="217"/>
        <w:rPr>
          <w:color w:val="auto"/>
          <w:highlight w:val="none"/>
        </w:rPr>
      </w:pPr>
      <w:r>
        <w:rPr>
          <w:rFonts w:hint="eastAsia"/>
          <w:color w:val="auto"/>
          <w:highlight w:val="none"/>
        </w:rPr>
        <w:t>附表</w:t>
      </w:r>
      <w:r>
        <w:rPr>
          <w:color w:val="auto"/>
          <w:highlight w:val="none"/>
        </w:rPr>
        <w:t xml:space="preserve">1                   </w:t>
      </w:r>
      <w:r>
        <w:rPr>
          <w:rFonts w:hint="eastAsia"/>
          <w:color w:val="auto"/>
          <w:highlight w:val="none"/>
        </w:rPr>
        <w:t>土建工程材料（产品）技术要求表</w:t>
      </w:r>
    </w:p>
    <w:tbl>
      <w:tblPr>
        <w:tblStyle w:val="43"/>
        <w:tblW w:w="913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75"/>
        <w:gridCol w:w="1398"/>
        <w:gridCol w:w="686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tblHeader/>
          <w:jc w:val="center"/>
        </w:trPr>
        <w:tc>
          <w:tcPr>
            <w:tcW w:w="875" w:type="dxa"/>
            <w:tcBorders>
              <w:top w:val="single" w:color="auto" w:sz="12" w:space="0"/>
            </w:tcBorders>
            <w:noWrap w:val="0"/>
            <w:vAlign w:val="center"/>
          </w:tcPr>
          <w:p>
            <w:pPr>
              <w:rPr>
                <w:color w:val="auto"/>
                <w:highlight w:val="none"/>
              </w:rPr>
            </w:pPr>
            <w:r>
              <w:rPr>
                <w:rFonts w:hint="eastAsia"/>
                <w:color w:val="auto"/>
                <w:highlight w:val="none"/>
              </w:rPr>
              <w:t>序号</w:t>
            </w:r>
          </w:p>
        </w:tc>
        <w:tc>
          <w:tcPr>
            <w:tcW w:w="1398" w:type="dxa"/>
            <w:tcBorders>
              <w:top w:val="single" w:color="auto" w:sz="12" w:space="0"/>
            </w:tcBorders>
            <w:noWrap w:val="0"/>
            <w:vAlign w:val="center"/>
          </w:tcPr>
          <w:p>
            <w:pPr>
              <w:rPr>
                <w:color w:val="auto"/>
                <w:highlight w:val="none"/>
              </w:rPr>
            </w:pPr>
            <w:r>
              <w:rPr>
                <w:rFonts w:hint="eastAsia"/>
                <w:color w:val="auto"/>
                <w:highlight w:val="none"/>
              </w:rPr>
              <w:t>产品名称</w:t>
            </w:r>
          </w:p>
        </w:tc>
        <w:tc>
          <w:tcPr>
            <w:tcW w:w="6864" w:type="dxa"/>
            <w:tcBorders>
              <w:top w:val="single" w:color="auto" w:sz="12" w:space="0"/>
            </w:tcBorders>
            <w:noWrap w:val="0"/>
            <w:vAlign w:val="center"/>
          </w:tcPr>
          <w:p>
            <w:pPr>
              <w:rPr>
                <w:color w:val="auto"/>
                <w:highlight w:val="none"/>
              </w:rPr>
            </w:pPr>
            <w:r>
              <w:rPr>
                <w:rFonts w:hint="eastAsia"/>
                <w:color w:val="auto"/>
                <w:highlight w:val="none"/>
              </w:rPr>
              <w:t>产品技术要求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75" w:type="dxa"/>
            <w:noWrap w:val="0"/>
            <w:vAlign w:val="center"/>
          </w:tcPr>
          <w:p>
            <w:pPr>
              <w:rPr>
                <w:color w:val="auto"/>
                <w:highlight w:val="none"/>
              </w:rPr>
            </w:pPr>
            <w:r>
              <w:rPr>
                <w:color w:val="auto"/>
                <w:highlight w:val="none"/>
              </w:rPr>
              <w:t>1</w:t>
            </w:r>
          </w:p>
        </w:tc>
        <w:tc>
          <w:tcPr>
            <w:tcW w:w="1398" w:type="dxa"/>
            <w:noWrap w:val="0"/>
            <w:vAlign w:val="center"/>
          </w:tcPr>
          <w:p>
            <w:pPr>
              <w:rPr>
                <w:color w:val="auto"/>
                <w:highlight w:val="none"/>
              </w:rPr>
            </w:pPr>
            <w:r>
              <w:rPr>
                <w:rFonts w:hint="eastAsia"/>
                <w:color w:val="auto"/>
                <w:highlight w:val="none"/>
              </w:rPr>
              <w:t>水泥、商品混凝土及商品砂浆</w:t>
            </w:r>
          </w:p>
        </w:tc>
        <w:tc>
          <w:tcPr>
            <w:tcW w:w="6864" w:type="dxa"/>
            <w:noWrap w:val="0"/>
            <w:vAlign w:val="center"/>
          </w:tcPr>
          <w:p>
            <w:pPr>
              <w:rPr>
                <w:color w:val="auto"/>
                <w:highlight w:val="none"/>
              </w:rPr>
            </w:pPr>
            <w:r>
              <w:rPr>
                <w:rFonts w:hint="eastAsia"/>
                <w:color w:val="auto"/>
                <w:highlight w:val="none"/>
              </w:rPr>
              <w:t>符合国家有关标准、规范、规定及设计要求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75" w:type="dxa"/>
            <w:noWrap w:val="0"/>
            <w:vAlign w:val="center"/>
          </w:tcPr>
          <w:p>
            <w:pPr>
              <w:rPr>
                <w:color w:val="auto"/>
                <w:highlight w:val="none"/>
              </w:rPr>
            </w:pPr>
            <w:r>
              <w:rPr>
                <w:color w:val="auto"/>
                <w:highlight w:val="none"/>
              </w:rPr>
              <w:t>2</w:t>
            </w:r>
          </w:p>
        </w:tc>
        <w:tc>
          <w:tcPr>
            <w:tcW w:w="1398" w:type="dxa"/>
            <w:noWrap w:val="0"/>
            <w:vAlign w:val="center"/>
          </w:tcPr>
          <w:p>
            <w:pPr>
              <w:rPr>
                <w:color w:val="auto"/>
                <w:highlight w:val="none"/>
              </w:rPr>
            </w:pPr>
            <w:r>
              <w:rPr>
                <w:rFonts w:hint="eastAsia"/>
                <w:color w:val="auto"/>
                <w:highlight w:val="none"/>
              </w:rPr>
              <w:t>钢材</w:t>
            </w:r>
          </w:p>
        </w:tc>
        <w:tc>
          <w:tcPr>
            <w:tcW w:w="6864" w:type="dxa"/>
            <w:noWrap w:val="0"/>
            <w:vAlign w:val="center"/>
          </w:tcPr>
          <w:p>
            <w:pPr>
              <w:rPr>
                <w:color w:val="auto"/>
                <w:highlight w:val="none"/>
              </w:rPr>
            </w:pPr>
            <w:r>
              <w:rPr>
                <w:color w:val="auto"/>
                <w:highlight w:val="none"/>
              </w:rPr>
              <w:t>1</w:t>
            </w:r>
            <w:r>
              <w:rPr>
                <w:rFonts w:hint="eastAsia"/>
                <w:color w:val="auto"/>
                <w:highlight w:val="none"/>
              </w:rPr>
              <w:t>、符合</w:t>
            </w:r>
            <w:r>
              <w:rPr>
                <w:color w:val="auto"/>
                <w:highlight w:val="none"/>
              </w:rPr>
              <w:t>GB50017-2003</w:t>
            </w:r>
            <w:r>
              <w:rPr>
                <w:rFonts w:hint="eastAsia"/>
                <w:color w:val="auto"/>
                <w:highlight w:val="none"/>
              </w:rPr>
              <w:t>、</w:t>
            </w:r>
            <w:r>
              <w:rPr>
                <w:color w:val="auto"/>
                <w:highlight w:val="none"/>
              </w:rPr>
              <w:t>GB700-1988</w:t>
            </w:r>
            <w:r>
              <w:rPr>
                <w:rFonts w:hint="eastAsia"/>
                <w:color w:val="auto"/>
                <w:highlight w:val="none"/>
              </w:rPr>
              <w:t>等相关规范要求；</w:t>
            </w:r>
          </w:p>
          <w:p>
            <w:pPr>
              <w:rPr>
                <w:color w:val="auto"/>
                <w:highlight w:val="none"/>
              </w:rPr>
            </w:pPr>
            <w:r>
              <w:rPr>
                <w:color w:val="auto"/>
                <w:highlight w:val="none"/>
              </w:rPr>
              <w:t>2</w:t>
            </w:r>
            <w:r>
              <w:rPr>
                <w:rFonts w:hint="eastAsia"/>
                <w:color w:val="auto"/>
                <w:highlight w:val="none"/>
              </w:rPr>
              <w:t>、材质</w:t>
            </w:r>
            <w:r>
              <w:rPr>
                <w:color w:val="auto"/>
                <w:highlight w:val="none"/>
              </w:rPr>
              <w:t>:</w:t>
            </w:r>
            <w:r>
              <w:rPr>
                <w:rFonts w:hint="eastAsia"/>
                <w:color w:val="auto"/>
                <w:highlight w:val="none"/>
              </w:rPr>
              <w:t>材质采用</w:t>
            </w:r>
            <w:r>
              <w:rPr>
                <w:color w:val="auto"/>
                <w:highlight w:val="none"/>
              </w:rPr>
              <w:t>Q235B</w:t>
            </w:r>
            <w:r>
              <w:rPr>
                <w:rFonts w:hint="eastAsia"/>
                <w:color w:val="auto"/>
                <w:highlight w:val="none"/>
              </w:rPr>
              <w:t>钢材，其质量应分别符合现行国家标准《碳素结构钢》</w:t>
            </w:r>
            <w:r>
              <w:rPr>
                <w:color w:val="auto"/>
                <w:highlight w:val="none"/>
              </w:rPr>
              <w:t>GB/T700-2006</w:t>
            </w:r>
            <w:r>
              <w:rPr>
                <w:rFonts w:hint="eastAsia"/>
                <w:color w:val="auto"/>
                <w:highlight w:val="none"/>
              </w:rPr>
              <w:t>和《低合金高强度结构钢》</w:t>
            </w:r>
            <w:r>
              <w:rPr>
                <w:color w:val="auto"/>
                <w:highlight w:val="none"/>
              </w:rPr>
              <w:t>GB/T1591-1994</w:t>
            </w:r>
            <w:r>
              <w:rPr>
                <w:rFonts w:hint="eastAsia"/>
                <w:color w:val="auto"/>
                <w:highlight w:val="none"/>
              </w:rPr>
              <w:t>中的要求，并应保证材料的抗拉强度、伸长率、屈服强度、冷弯性能、冲击韧性及硫、磷、碳含量等性能合格。</w:t>
            </w:r>
          </w:p>
          <w:p>
            <w:pPr>
              <w:rPr>
                <w:color w:val="auto"/>
                <w:highlight w:val="none"/>
              </w:rPr>
            </w:pPr>
            <w:r>
              <w:rPr>
                <w:color w:val="auto"/>
                <w:highlight w:val="none"/>
              </w:rPr>
              <w:t>3</w:t>
            </w:r>
            <w:r>
              <w:rPr>
                <w:rFonts w:hint="eastAsia"/>
                <w:color w:val="auto"/>
                <w:highlight w:val="none"/>
              </w:rPr>
              <w:t>、钢材表面处理：</w:t>
            </w:r>
          </w:p>
          <w:p>
            <w:pPr>
              <w:rPr>
                <w:color w:val="auto"/>
                <w:highlight w:val="none"/>
              </w:rPr>
            </w:pPr>
            <w:r>
              <w:rPr>
                <w:color w:val="auto"/>
                <w:highlight w:val="none"/>
              </w:rPr>
              <w:t>A</w:t>
            </w:r>
            <w:r>
              <w:rPr>
                <w:rFonts w:hint="eastAsia"/>
                <w:color w:val="auto"/>
                <w:highlight w:val="none"/>
              </w:rPr>
              <w:t>、隐蔽部分的钢材：</w:t>
            </w:r>
          </w:p>
          <w:p>
            <w:pPr>
              <w:rPr>
                <w:color w:val="auto"/>
                <w:highlight w:val="none"/>
              </w:rPr>
            </w:pPr>
            <w:r>
              <w:rPr>
                <w:color w:val="auto"/>
                <w:highlight w:val="none"/>
              </w:rPr>
              <w:t>a</w:t>
            </w:r>
            <w:r>
              <w:rPr>
                <w:rFonts w:hint="eastAsia"/>
                <w:color w:val="auto"/>
                <w:highlight w:val="none"/>
              </w:rPr>
              <w:t>、工厂加工时</w:t>
            </w:r>
            <w:r>
              <w:rPr>
                <w:color w:val="auto"/>
                <w:highlight w:val="none"/>
              </w:rPr>
              <w:t>,</w:t>
            </w:r>
            <w:r>
              <w:rPr>
                <w:rFonts w:hint="eastAsia"/>
                <w:color w:val="auto"/>
                <w:highlight w:val="none"/>
              </w:rPr>
              <w:t>表面先喷砂除锈、除锈等级</w:t>
            </w:r>
            <w:r>
              <w:rPr>
                <w:color w:val="auto"/>
                <w:highlight w:val="none"/>
              </w:rPr>
              <w:t>Sa2.5,</w:t>
            </w:r>
            <w:r>
              <w:rPr>
                <w:rFonts w:hint="eastAsia"/>
                <w:color w:val="auto"/>
                <w:highlight w:val="none"/>
              </w:rPr>
              <w:t>再热浸镀锌</w:t>
            </w:r>
            <w:r>
              <w:rPr>
                <w:color w:val="auto"/>
                <w:highlight w:val="none"/>
              </w:rPr>
              <w:t>,</w:t>
            </w:r>
            <w:r>
              <w:rPr>
                <w:rFonts w:hint="eastAsia"/>
                <w:color w:val="auto"/>
                <w:highlight w:val="none"/>
              </w:rPr>
              <w:t>锌层厚度</w:t>
            </w:r>
            <w:r>
              <w:rPr>
                <w:color w:val="auto"/>
                <w:highlight w:val="none"/>
              </w:rPr>
              <w:t>&gt;80um,</w:t>
            </w:r>
            <w:r>
              <w:rPr>
                <w:rFonts w:hint="eastAsia"/>
                <w:color w:val="auto"/>
                <w:highlight w:val="none"/>
              </w:rPr>
              <w:t>并满足《热浸镀锌层技术要求及试验方法》</w:t>
            </w:r>
            <w:r>
              <w:rPr>
                <w:color w:val="auto"/>
                <w:highlight w:val="none"/>
              </w:rPr>
              <w:t>GB/T 13192</w:t>
            </w:r>
            <w:r>
              <w:rPr>
                <w:rFonts w:hint="eastAsia"/>
                <w:color w:val="auto"/>
                <w:highlight w:val="none"/>
              </w:rPr>
              <w:t>。</w:t>
            </w:r>
          </w:p>
          <w:p>
            <w:pPr>
              <w:rPr>
                <w:color w:val="auto"/>
                <w:highlight w:val="none"/>
              </w:rPr>
            </w:pPr>
            <w:r>
              <w:rPr>
                <w:color w:val="auto"/>
                <w:highlight w:val="none"/>
              </w:rPr>
              <w:t>b</w:t>
            </w:r>
            <w:r>
              <w:rPr>
                <w:rFonts w:hint="eastAsia"/>
                <w:color w:val="auto"/>
                <w:highlight w:val="none"/>
              </w:rPr>
              <w:t>、钢结构部分在现场安装完毕后，对工地焊接部位，应首先清除焊渣，进行表面除锈，然后再刷</w:t>
            </w:r>
            <w:r>
              <w:rPr>
                <w:color w:val="auto"/>
                <w:highlight w:val="none"/>
              </w:rPr>
              <w:t>2</w:t>
            </w:r>
            <w:r>
              <w:rPr>
                <w:rFonts w:hint="eastAsia"/>
                <w:color w:val="auto"/>
                <w:highlight w:val="none"/>
              </w:rPr>
              <w:t>道富锌底漆</w:t>
            </w:r>
            <w:r>
              <w:rPr>
                <w:color w:val="auto"/>
                <w:highlight w:val="none"/>
              </w:rPr>
              <w:t>,</w:t>
            </w:r>
            <w:r>
              <w:rPr>
                <w:rFonts w:hint="eastAsia"/>
                <w:color w:val="auto"/>
                <w:highlight w:val="none"/>
              </w:rPr>
              <w:t>干膜厚度大于</w:t>
            </w:r>
            <w:r>
              <w:rPr>
                <w:color w:val="auto"/>
                <w:highlight w:val="none"/>
              </w:rPr>
              <w:t>80</w:t>
            </w:r>
            <w:r>
              <w:rPr>
                <w:rFonts w:hint="eastAsia"/>
                <w:color w:val="auto"/>
                <w:highlight w:val="none"/>
              </w:rPr>
              <w:t>μ</w:t>
            </w:r>
            <w:r>
              <w:rPr>
                <w:color w:val="auto"/>
                <w:highlight w:val="none"/>
              </w:rPr>
              <w:t>m</w:t>
            </w:r>
            <w:r>
              <w:rPr>
                <w:rFonts w:hint="eastAsia"/>
                <w:color w:val="auto"/>
                <w:highlight w:val="none"/>
              </w:rPr>
              <w:t>。</w:t>
            </w:r>
          </w:p>
          <w:p>
            <w:pPr>
              <w:rPr>
                <w:color w:val="auto"/>
                <w:highlight w:val="none"/>
              </w:rPr>
            </w:pPr>
            <w:r>
              <w:rPr>
                <w:color w:val="auto"/>
                <w:highlight w:val="none"/>
              </w:rPr>
              <w:t>B</w:t>
            </w:r>
            <w:r>
              <w:rPr>
                <w:rFonts w:hint="eastAsia"/>
                <w:color w:val="auto"/>
                <w:highlight w:val="none"/>
              </w:rPr>
              <w:t>、外露部分的钢材：</w:t>
            </w:r>
          </w:p>
          <w:p>
            <w:pPr>
              <w:rPr>
                <w:color w:val="auto"/>
                <w:highlight w:val="none"/>
              </w:rPr>
            </w:pPr>
            <w:r>
              <w:rPr>
                <w:rFonts w:hint="eastAsia"/>
                <w:color w:val="auto"/>
                <w:highlight w:val="none"/>
              </w:rPr>
              <w:t>钢材表面氟碳喷涂</w:t>
            </w:r>
            <w:r>
              <w:rPr>
                <w:color w:val="auto"/>
                <w:highlight w:val="none"/>
              </w:rPr>
              <w:t>:</w:t>
            </w:r>
            <w:r>
              <w:rPr>
                <w:rFonts w:hint="eastAsia"/>
                <w:color w:val="auto"/>
                <w:highlight w:val="none"/>
              </w:rPr>
              <w:t>喷涂工序为</w:t>
            </w:r>
            <w:r>
              <w:rPr>
                <w:color w:val="auto"/>
                <w:highlight w:val="none"/>
              </w:rPr>
              <w:t>:</w:t>
            </w:r>
            <w:r>
              <w:rPr>
                <w:rFonts w:hint="eastAsia"/>
                <w:color w:val="auto"/>
                <w:highlight w:val="none"/>
              </w:rPr>
              <w:t>钢结构表面应进行喷砂除锈</w:t>
            </w:r>
            <w:r>
              <w:rPr>
                <w:color w:val="auto"/>
                <w:highlight w:val="none"/>
              </w:rPr>
              <w:t>,</w:t>
            </w:r>
            <w:r>
              <w:rPr>
                <w:rFonts w:hint="eastAsia"/>
                <w:color w:val="auto"/>
                <w:highlight w:val="none"/>
              </w:rPr>
              <w:t>除锈等级为</w:t>
            </w:r>
            <w:r>
              <w:rPr>
                <w:color w:val="auto"/>
                <w:highlight w:val="none"/>
              </w:rPr>
              <w:t>Sa2.5</w:t>
            </w:r>
            <w:r>
              <w:rPr>
                <w:rFonts w:hint="eastAsia"/>
                <w:color w:val="auto"/>
                <w:highlight w:val="none"/>
              </w:rPr>
              <w:t>级。基层防锈采用</w:t>
            </w:r>
            <w:r>
              <w:rPr>
                <w:color w:val="auto"/>
                <w:highlight w:val="none"/>
              </w:rPr>
              <w:t>E06-1-1</w:t>
            </w:r>
            <w:r>
              <w:rPr>
                <w:rFonts w:hint="eastAsia"/>
                <w:color w:val="auto"/>
                <w:highlight w:val="none"/>
              </w:rPr>
              <w:t>水容性无机富锌类底漆，且厚度≥</w:t>
            </w:r>
            <w:r>
              <w:rPr>
                <w:color w:val="auto"/>
                <w:highlight w:val="none"/>
              </w:rPr>
              <w:t>80</w:t>
            </w:r>
            <w:r>
              <w:rPr>
                <w:rFonts w:hint="eastAsia"/>
                <w:color w:val="auto"/>
                <w:highlight w:val="none"/>
              </w:rPr>
              <w:t>μ</w:t>
            </w:r>
            <w:r>
              <w:rPr>
                <w:color w:val="auto"/>
                <w:highlight w:val="none"/>
              </w:rPr>
              <w:t>m</w:t>
            </w:r>
            <w:r>
              <w:rPr>
                <w:rFonts w:hint="eastAsia"/>
                <w:color w:val="auto"/>
                <w:highlight w:val="none"/>
              </w:rPr>
              <w:t>；中间漆为</w:t>
            </w:r>
            <w:r>
              <w:rPr>
                <w:color w:val="auto"/>
                <w:highlight w:val="none"/>
              </w:rPr>
              <w:t>H53-6</w:t>
            </w:r>
            <w:r>
              <w:rPr>
                <w:rFonts w:hint="eastAsia"/>
                <w:color w:val="auto"/>
                <w:highlight w:val="none"/>
              </w:rPr>
              <w:t>环氧云铁防锈漆，且厚度≥</w:t>
            </w:r>
            <w:r>
              <w:rPr>
                <w:color w:val="auto"/>
                <w:highlight w:val="none"/>
              </w:rPr>
              <w:t>40</w:t>
            </w:r>
            <w:r>
              <w:rPr>
                <w:rFonts w:hint="eastAsia"/>
                <w:color w:val="auto"/>
                <w:highlight w:val="none"/>
              </w:rPr>
              <w:t>μ</w:t>
            </w:r>
            <w:r>
              <w:rPr>
                <w:color w:val="auto"/>
                <w:highlight w:val="none"/>
              </w:rPr>
              <w:t>m</w:t>
            </w:r>
            <w:r>
              <w:rPr>
                <w:rFonts w:hint="eastAsia"/>
                <w:color w:val="auto"/>
                <w:highlight w:val="none"/>
              </w:rPr>
              <w:t>。面漆为</w:t>
            </w:r>
            <w:r>
              <w:rPr>
                <w:color w:val="auto"/>
                <w:highlight w:val="none"/>
              </w:rPr>
              <w:t>BS52-12</w:t>
            </w:r>
            <w:r>
              <w:rPr>
                <w:rFonts w:hint="eastAsia"/>
                <w:color w:val="auto"/>
                <w:highlight w:val="none"/>
              </w:rPr>
              <w:t>丙烯酸聚氨脂（俗称可复漆）</w:t>
            </w:r>
            <w:r>
              <w:rPr>
                <w:color w:val="auto"/>
                <w:highlight w:val="none"/>
              </w:rPr>
              <w:t>,</w:t>
            </w:r>
            <w:r>
              <w:rPr>
                <w:rFonts w:hint="eastAsia"/>
                <w:color w:val="auto"/>
                <w:highlight w:val="none"/>
              </w:rPr>
              <w:t>漆的总厚度不小于</w:t>
            </w:r>
            <w:r>
              <w:rPr>
                <w:color w:val="auto"/>
                <w:highlight w:val="none"/>
              </w:rPr>
              <w:t>200</w:t>
            </w:r>
            <w:r>
              <w:rPr>
                <w:rFonts w:hint="eastAsia"/>
                <w:color w:val="auto"/>
                <w:highlight w:val="none"/>
              </w:rPr>
              <w:t>μ</w:t>
            </w:r>
            <w:r>
              <w:rPr>
                <w:color w:val="auto"/>
                <w:highlight w:val="none"/>
              </w:rPr>
              <w:t>m,</w:t>
            </w:r>
            <w:r>
              <w:rPr>
                <w:rFonts w:hint="eastAsia"/>
                <w:color w:val="auto"/>
                <w:highlight w:val="none"/>
              </w:rPr>
              <w:t>厂家应提供底漆、中间漆和面漆的相容性保证。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75" w:type="dxa"/>
            <w:noWrap w:val="0"/>
            <w:vAlign w:val="center"/>
          </w:tcPr>
          <w:p>
            <w:pPr>
              <w:rPr>
                <w:color w:val="auto"/>
                <w:highlight w:val="none"/>
              </w:rPr>
            </w:pPr>
            <w:r>
              <w:rPr>
                <w:color w:val="auto"/>
                <w:highlight w:val="none"/>
              </w:rPr>
              <w:t>3</w:t>
            </w:r>
          </w:p>
        </w:tc>
        <w:tc>
          <w:tcPr>
            <w:tcW w:w="1398" w:type="dxa"/>
            <w:noWrap w:val="0"/>
            <w:vAlign w:val="center"/>
          </w:tcPr>
          <w:p>
            <w:pPr>
              <w:rPr>
                <w:color w:val="auto"/>
                <w:highlight w:val="none"/>
              </w:rPr>
            </w:pPr>
            <w:r>
              <w:rPr>
                <w:rFonts w:hint="eastAsia"/>
                <w:color w:val="auto"/>
                <w:highlight w:val="none"/>
              </w:rPr>
              <w:t>灰砂砖</w:t>
            </w:r>
          </w:p>
        </w:tc>
        <w:tc>
          <w:tcPr>
            <w:tcW w:w="6864" w:type="dxa"/>
            <w:noWrap w:val="0"/>
            <w:vAlign w:val="center"/>
          </w:tcPr>
          <w:p>
            <w:pPr>
              <w:rPr>
                <w:color w:val="auto"/>
                <w:highlight w:val="none"/>
              </w:rPr>
            </w:pPr>
            <w:r>
              <w:rPr>
                <w:color w:val="auto"/>
                <w:highlight w:val="none"/>
              </w:rPr>
              <w:t>1.</w:t>
            </w:r>
            <w:r>
              <w:rPr>
                <w:rFonts w:hint="eastAsia"/>
                <w:color w:val="auto"/>
                <w:highlight w:val="none"/>
              </w:rPr>
              <w:t>应符合设计与</w:t>
            </w:r>
            <w:r>
              <w:rPr>
                <w:color w:val="auto"/>
                <w:highlight w:val="none"/>
              </w:rPr>
              <w:t>GB/T11945-1999</w:t>
            </w:r>
            <w:r>
              <w:rPr>
                <w:rFonts w:hint="eastAsia"/>
                <w:color w:val="auto"/>
                <w:highlight w:val="none"/>
              </w:rPr>
              <w:t>中优等品的有关要求，并应符合国标有关环保要求；</w:t>
            </w:r>
          </w:p>
          <w:p>
            <w:pPr>
              <w:rPr>
                <w:color w:val="auto"/>
                <w:highlight w:val="none"/>
              </w:rPr>
            </w:pPr>
            <w:r>
              <w:rPr>
                <w:color w:val="auto"/>
                <w:highlight w:val="none"/>
              </w:rPr>
              <w:t>2.</w:t>
            </w:r>
            <w:r>
              <w:rPr>
                <w:rFonts w:hint="eastAsia"/>
                <w:color w:val="auto"/>
                <w:highlight w:val="none"/>
              </w:rPr>
              <w:t>砖块的强度等级要符合设计要求；容重不大于</w:t>
            </w:r>
            <w:r>
              <w:rPr>
                <w:color w:val="auto"/>
                <w:highlight w:val="none"/>
              </w:rPr>
              <w:t>18.0KN/m2</w:t>
            </w:r>
            <w:r>
              <w:rPr>
                <w:rFonts w:hint="eastAsia"/>
                <w:color w:val="auto"/>
                <w:highlight w:val="none"/>
              </w:rPr>
              <w:t>。</w:t>
            </w:r>
          </w:p>
          <w:p>
            <w:pPr>
              <w:rPr>
                <w:color w:val="auto"/>
                <w:highlight w:val="none"/>
              </w:rPr>
            </w:pPr>
            <w:r>
              <w:rPr>
                <w:color w:val="auto"/>
                <w:highlight w:val="none"/>
              </w:rPr>
              <w:t>3.</w:t>
            </w:r>
            <w:r>
              <w:rPr>
                <w:rFonts w:hint="eastAsia"/>
                <w:color w:val="auto"/>
                <w:highlight w:val="none"/>
              </w:rPr>
              <w:t>提供砖块相对含水率等检测报告；</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75" w:type="dxa"/>
            <w:noWrap w:val="0"/>
            <w:vAlign w:val="center"/>
          </w:tcPr>
          <w:p>
            <w:pPr>
              <w:rPr>
                <w:color w:val="auto"/>
                <w:highlight w:val="none"/>
              </w:rPr>
            </w:pPr>
            <w:r>
              <w:rPr>
                <w:color w:val="auto"/>
                <w:highlight w:val="none"/>
              </w:rPr>
              <w:t>4</w:t>
            </w:r>
          </w:p>
        </w:tc>
        <w:tc>
          <w:tcPr>
            <w:tcW w:w="1398" w:type="dxa"/>
            <w:noWrap w:val="0"/>
            <w:vAlign w:val="center"/>
          </w:tcPr>
          <w:p>
            <w:pPr>
              <w:rPr>
                <w:color w:val="auto"/>
                <w:highlight w:val="none"/>
              </w:rPr>
            </w:pPr>
            <w:r>
              <w:rPr>
                <w:rFonts w:hint="eastAsia"/>
                <w:color w:val="auto"/>
                <w:highlight w:val="none"/>
              </w:rPr>
              <w:t>加气混凝土砌块</w:t>
            </w:r>
          </w:p>
        </w:tc>
        <w:tc>
          <w:tcPr>
            <w:tcW w:w="6864" w:type="dxa"/>
            <w:noWrap w:val="0"/>
            <w:vAlign w:val="center"/>
          </w:tcPr>
          <w:p>
            <w:pPr>
              <w:rPr>
                <w:color w:val="auto"/>
                <w:highlight w:val="none"/>
              </w:rPr>
            </w:pPr>
            <w:r>
              <w:rPr>
                <w:color w:val="auto"/>
                <w:highlight w:val="none"/>
              </w:rPr>
              <w:t>1.</w:t>
            </w:r>
            <w:r>
              <w:rPr>
                <w:rFonts w:hint="eastAsia"/>
                <w:color w:val="auto"/>
                <w:highlight w:val="none"/>
              </w:rPr>
              <w:t>符合</w:t>
            </w:r>
            <w:r>
              <w:rPr>
                <w:color w:val="auto"/>
                <w:highlight w:val="none"/>
              </w:rPr>
              <w:t>GB11968-2006</w:t>
            </w:r>
            <w:r>
              <w:rPr>
                <w:rFonts w:hint="eastAsia"/>
                <w:color w:val="auto"/>
                <w:highlight w:val="none"/>
              </w:rPr>
              <w:t>《蒸压加气混凝土砌块》和深圳市技术规范《非承重砌块墙体技术规范》</w:t>
            </w:r>
            <w:r>
              <w:rPr>
                <w:color w:val="auto"/>
                <w:highlight w:val="none"/>
              </w:rPr>
              <w:t>SJG13-2004</w:t>
            </w:r>
            <w:r>
              <w:rPr>
                <w:rFonts w:hint="eastAsia"/>
                <w:color w:val="auto"/>
                <w:highlight w:val="none"/>
              </w:rPr>
              <w:t>的要求及设计要求。</w:t>
            </w:r>
          </w:p>
          <w:p>
            <w:pPr>
              <w:rPr>
                <w:color w:val="auto"/>
                <w:highlight w:val="none"/>
              </w:rPr>
            </w:pPr>
            <w:r>
              <w:rPr>
                <w:color w:val="auto"/>
                <w:highlight w:val="none"/>
              </w:rPr>
              <w:t>2.</w:t>
            </w:r>
            <w:r>
              <w:rPr>
                <w:rFonts w:hint="eastAsia"/>
                <w:color w:val="auto"/>
                <w:highlight w:val="none"/>
              </w:rPr>
              <w:t>采用</w:t>
            </w:r>
            <w:r>
              <w:rPr>
                <w:color w:val="auto"/>
                <w:highlight w:val="none"/>
              </w:rPr>
              <w:t>A5.0(B06)</w:t>
            </w:r>
            <w:r>
              <w:rPr>
                <w:rFonts w:hint="eastAsia"/>
                <w:color w:val="auto"/>
                <w:highlight w:val="none"/>
              </w:rPr>
              <w:t>一等品加气混凝土砌块，</w:t>
            </w:r>
            <w:r>
              <w:rPr>
                <w:color w:val="auto"/>
                <w:highlight w:val="none"/>
              </w:rPr>
              <w:t>Mb5</w:t>
            </w:r>
            <w:r>
              <w:rPr>
                <w:rFonts w:hint="eastAsia"/>
                <w:color w:val="auto"/>
                <w:highlight w:val="none"/>
              </w:rPr>
              <w:t>专用砂浆砌筑。</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75" w:type="dxa"/>
            <w:noWrap w:val="0"/>
            <w:vAlign w:val="center"/>
          </w:tcPr>
          <w:p>
            <w:pPr>
              <w:rPr>
                <w:color w:val="auto"/>
                <w:highlight w:val="none"/>
              </w:rPr>
            </w:pPr>
            <w:r>
              <w:rPr>
                <w:color w:val="auto"/>
                <w:highlight w:val="none"/>
              </w:rPr>
              <w:t>5</w:t>
            </w:r>
          </w:p>
        </w:tc>
        <w:tc>
          <w:tcPr>
            <w:tcW w:w="1398" w:type="dxa"/>
            <w:noWrap w:val="0"/>
            <w:vAlign w:val="center"/>
          </w:tcPr>
          <w:p>
            <w:pPr>
              <w:rPr>
                <w:color w:val="auto"/>
                <w:highlight w:val="none"/>
              </w:rPr>
            </w:pPr>
            <w:r>
              <w:rPr>
                <w:rFonts w:hint="eastAsia"/>
                <w:color w:val="auto"/>
                <w:highlight w:val="none"/>
              </w:rPr>
              <w:t>硅钙板天花</w:t>
            </w:r>
          </w:p>
          <w:p>
            <w:pPr>
              <w:rPr>
                <w:color w:val="auto"/>
                <w:highlight w:val="none"/>
              </w:rPr>
            </w:pPr>
          </w:p>
        </w:tc>
        <w:tc>
          <w:tcPr>
            <w:tcW w:w="6864" w:type="dxa"/>
            <w:noWrap w:val="0"/>
            <w:vAlign w:val="center"/>
          </w:tcPr>
          <w:p>
            <w:pPr>
              <w:rPr>
                <w:color w:val="auto"/>
                <w:highlight w:val="none"/>
              </w:rPr>
            </w:pPr>
            <w:r>
              <w:rPr>
                <w:rFonts w:hint="eastAsia"/>
                <w:color w:val="auto"/>
                <w:highlight w:val="none"/>
              </w:rPr>
              <w:t>符合设计、国家有关标准、规范、规定要求，并符合下列要求：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）材质结构：以石膏为主、加配硅质材料、钙质材料、增强无碱纤维（环保）等。</w:t>
            </w:r>
          </w:p>
          <w:p>
            <w:pPr>
              <w:rPr>
                <w:color w:val="auto"/>
                <w:highlight w:val="none"/>
              </w:rPr>
            </w:pPr>
            <w:r>
              <w:rPr>
                <w:rFonts w:hint="eastAsia"/>
                <w:color w:val="auto"/>
                <w:highlight w:val="none"/>
              </w:rPr>
              <w:t>（</w:t>
            </w:r>
            <w:r>
              <w:rPr>
                <w:color w:val="auto"/>
                <w:highlight w:val="none"/>
              </w:rPr>
              <w:t>2</w:t>
            </w:r>
            <w:r>
              <w:rPr>
                <w:rFonts w:hint="eastAsia"/>
                <w:color w:val="auto"/>
                <w:highlight w:val="none"/>
              </w:rPr>
              <w:t>）抗菌性能</w:t>
            </w:r>
            <w:r>
              <w:rPr>
                <w:color w:val="auto"/>
                <w:highlight w:val="none"/>
              </w:rPr>
              <w:t>(</w:t>
            </w:r>
            <w:r>
              <w:rPr>
                <w:rFonts w:hint="eastAsia"/>
                <w:color w:val="auto"/>
                <w:highlight w:val="none"/>
              </w:rPr>
              <w:t>按</w:t>
            </w:r>
            <w:r>
              <w:rPr>
                <w:color w:val="auto"/>
                <w:highlight w:val="none"/>
              </w:rPr>
              <w:t>JC/T897-2002</w:t>
            </w:r>
            <w:r>
              <w:rPr>
                <w:rFonts w:hint="eastAsia"/>
                <w:color w:val="auto"/>
                <w:highlight w:val="none"/>
              </w:rPr>
              <w:t>标准执行</w:t>
            </w:r>
            <w:r>
              <w:rPr>
                <w:color w:val="auto"/>
                <w:highlight w:val="none"/>
              </w:rPr>
              <w:t xml:space="preserve"> )</w:t>
            </w:r>
            <w:r>
              <w:rPr>
                <w:rFonts w:hint="eastAsia"/>
                <w:color w:val="auto"/>
                <w:highlight w:val="none"/>
              </w:rPr>
              <w:t>：对大肠杆菌、金黄色葡萄球菌的平均抗菌率≥</w:t>
            </w:r>
            <w:r>
              <w:rPr>
                <w:color w:val="auto"/>
                <w:highlight w:val="none"/>
              </w:rPr>
              <w:t>90</w:t>
            </w:r>
            <w:r>
              <w:rPr>
                <w:rFonts w:hint="eastAsia"/>
                <w:color w:val="auto"/>
                <w:highlight w:val="none"/>
              </w:rPr>
              <w:t>。</w:t>
            </w:r>
          </w:p>
          <w:p>
            <w:pPr>
              <w:rPr>
                <w:color w:val="auto"/>
                <w:highlight w:val="none"/>
              </w:rPr>
            </w:pPr>
            <w:r>
              <w:rPr>
                <w:rFonts w:hint="eastAsia"/>
                <w:color w:val="auto"/>
                <w:highlight w:val="none"/>
              </w:rPr>
              <w:t>（</w:t>
            </w:r>
            <w:r>
              <w:rPr>
                <w:color w:val="auto"/>
                <w:highlight w:val="none"/>
              </w:rPr>
              <w:t>3</w:t>
            </w:r>
            <w:r>
              <w:rPr>
                <w:rFonts w:hint="eastAsia"/>
                <w:color w:val="auto"/>
                <w:highlight w:val="none"/>
              </w:rPr>
              <w:t>）外观质量</w:t>
            </w:r>
            <w:r>
              <w:rPr>
                <w:color w:val="auto"/>
                <w:highlight w:val="none"/>
              </w:rPr>
              <w:t>(</w:t>
            </w:r>
            <w:r>
              <w:rPr>
                <w:rFonts w:hint="eastAsia"/>
                <w:color w:val="auto"/>
                <w:highlight w:val="none"/>
              </w:rPr>
              <w:t>按</w:t>
            </w:r>
            <w:r>
              <w:rPr>
                <w:color w:val="auto"/>
                <w:highlight w:val="none"/>
              </w:rPr>
              <w:t>JC/T799-2007</w:t>
            </w:r>
            <w:r>
              <w:rPr>
                <w:rFonts w:hint="eastAsia"/>
                <w:color w:val="auto"/>
                <w:highlight w:val="none"/>
              </w:rPr>
              <w:t>标准执行</w:t>
            </w:r>
            <w:r>
              <w:rPr>
                <w:color w:val="auto"/>
                <w:highlight w:val="none"/>
              </w:rPr>
              <w:t>)</w:t>
            </w:r>
            <w:r>
              <w:rPr>
                <w:rFonts w:hint="eastAsia"/>
                <w:color w:val="auto"/>
                <w:highlight w:val="none"/>
              </w:rPr>
              <w:t>：表面无气孔、污痕、裂纹、缺角及图案不完整等缺陷。</w:t>
            </w:r>
          </w:p>
          <w:p>
            <w:pPr>
              <w:rPr>
                <w:color w:val="auto"/>
                <w:highlight w:val="none"/>
              </w:rPr>
            </w:pPr>
            <w:r>
              <w:rPr>
                <w:rFonts w:hint="eastAsia"/>
                <w:color w:val="auto"/>
                <w:highlight w:val="none"/>
              </w:rPr>
              <w:t>（</w:t>
            </w:r>
            <w:r>
              <w:rPr>
                <w:color w:val="auto"/>
                <w:highlight w:val="none"/>
              </w:rPr>
              <w:t>4</w:t>
            </w:r>
            <w:r>
              <w:rPr>
                <w:rFonts w:hint="eastAsia"/>
                <w:color w:val="auto"/>
                <w:highlight w:val="none"/>
              </w:rPr>
              <w:t>）尺寸允许偏差、不平度和直角偏离度按</w:t>
            </w:r>
            <w:r>
              <w:rPr>
                <w:color w:val="auto"/>
                <w:highlight w:val="none"/>
              </w:rPr>
              <w:t>JC/T799-2007</w:t>
            </w:r>
            <w:r>
              <w:rPr>
                <w:rFonts w:hint="eastAsia"/>
                <w:color w:val="auto"/>
                <w:highlight w:val="none"/>
              </w:rPr>
              <w:t>标准执行：边长偏差：</w:t>
            </w:r>
            <w:r>
              <w:rPr>
                <w:color w:val="auto"/>
                <w:highlight w:val="none"/>
              </w:rPr>
              <w:t>+1.0mm</w:t>
            </w:r>
            <w:r>
              <w:rPr>
                <w:rFonts w:hint="eastAsia"/>
                <w:color w:val="auto"/>
                <w:highlight w:val="none"/>
              </w:rPr>
              <w:t>～</w:t>
            </w:r>
            <w:r>
              <w:rPr>
                <w:color w:val="auto"/>
                <w:highlight w:val="none"/>
              </w:rPr>
              <w:t>-2.0 mm</w:t>
            </w:r>
            <w:r>
              <w:rPr>
                <w:rFonts w:hint="eastAsia"/>
                <w:color w:val="auto"/>
                <w:highlight w:val="none"/>
              </w:rPr>
              <w:t>；厚度偏差：±</w:t>
            </w:r>
            <w:r>
              <w:rPr>
                <w:color w:val="auto"/>
                <w:highlight w:val="none"/>
              </w:rPr>
              <w:t>1.0mm</w:t>
            </w:r>
            <w:r>
              <w:rPr>
                <w:rFonts w:hint="eastAsia"/>
                <w:color w:val="auto"/>
                <w:highlight w:val="none"/>
              </w:rPr>
              <w:t>；不平度偏差：</w:t>
            </w:r>
            <w:r>
              <w:rPr>
                <w:color w:val="auto"/>
                <w:highlight w:val="none"/>
              </w:rPr>
              <w:t>2.0 mm,</w:t>
            </w:r>
            <w:r>
              <w:rPr>
                <w:rFonts w:hint="eastAsia"/>
                <w:color w:val="auto"/>
                <w:highlight w:val="none"/>
              </w:rPr>
              <w:t>直角偏离度：</w:t>
            </w:r>
            <w:r>
              <w:rPr>
                <w:color w:val="auto"/>
                <w:highlight w:val="none"/>
              </w:rPr>
              <w:t>2.0 mm,</w:t>
            </w:r>
            <w:r>
              <w:rPr>
                <w:rFonts w:hint="eastAsia"/>
                <w:color w:val="auto"/>
                <w:highlight w:val="none"/>
              </w:rPr>
              <w:t>。</w:t>
            </w:r>
          </w:p>
          <w:p>
            <w:pPr>
              <w:rPr>
                <w:color w:val="auto"/>
                <w:highlight w:val="none"/>
              </w:rPr>
            </w:pPr>
            <w:r>
              <w:rPr>
                <w:rFonts w:hint="eastAsia"/>
                <w:color w:val="auto"/>
                <w:highlight w:val="none"/>
              </w:rPr>
              <w:t>（</w:t>
            </w:r>
            <w:r>
              <w:rPr>
                <w:color w:val="auto"/>
                <w:highlight w:val="none"/>
              </w:rPr>
              <w:t>5</w:t>
            </w:r>
            <w:r>
              <w:rPr>
                <w:rFonts w:hint="eastAsia"/>
                <w:color w:val="auto"/>
                <w:highlight w:val="none"/>
              </w:rPr>
              <w:t>）物理力学性能按</w:t>
            </w:r>
            <w:r>
              <w:rPr>
                <w:color w:val="auto"/>
                <w:highlight w:val="none"/>
              </w:rPr>
              <w:t>JC/T799-2007</w:t>
            </w:r>
            <w:r>
              <w:rPr>
                <w:rFonts w:hint="eastAsia"/>
                <w:color w:val="auto"/>
                <w:highlight w:val="none"/>
              </w:rPr>
              <w:t>标准执行：①含水率：平均值≤</w:t>
            </w:r>
            <w:r>
              <w:rPr>
                <w:color w:val="auto"/>
                <w:highlight w:val="none"/>
              </w:rPr>
              <w:t>0.5%</w:t>
            </w:r>
            <w:r>
              <w:rPr>
                <w:rFonts w:hint="eastAsia"/>
                <w:color w:val="auto"/>
                <w:highlight w:val="none"/>
              </w:rPr>
              <w:t>，最大值：≤</w:t>
            </w:r>
            <w:r>
              <w:rPr>
                <w:color w:val="auto"/>
                <w:highlight w:val="none"/>
              </w:rPr>
              <w:t>1.2 %</w:t>
            </w:r>
            <w:r>
              <w:rPr>
                <w:rFonts w:hint="eastAsia"/>
                <w:color w:val="auto"/>
                <w:highlight w:val="none"/>
              </w:rPr>
              <w:t>；②单位面积重量：平均值</w:t>
            </w:r>
            <w:r>
              <w:rPr>
                <w:color w:val="auto"/>
                <w:highlight w:val="none"/>
              </w:rPr>
              <w:t>9.5kg/m2</w:t>
            </w:r>
            <w:r>
              <w:rPr>
                <w:rFonts w:hint="eastAsia"/>
                <w:color w:val="auto"/>
                <w:highlight w:val="none"/>
              </w:rPr>
              <w:t>，最大值</w:t>
            </w:r>
            <w:r>
              <w:rPr>
                <w:color w:val="auto"/>
                <w:highlight w:val="none"/>
              </w:rPr>
              <w:t>10kg/m2</w:t>
            </w:r>
            <w:r>
              <w:rPr>
                <w:rFonts w:hint="eastAsia"/>
                <w:color w:val="auto"/>
                <w:highlight w:val="none"/>
              </w:rPr>
              <w:t>；③断裂荷载：平均值≥</w:t>
            </w:r>
            <w:r>
              <w:rPr>
                <w:color w:val="auto"/>
                <w:highlight w:val="none"/>
              </w:rPr>
              <w:t>280N</w:t>
            </w:r>
            <w:r>
              <w:rPr>
                <w:rFonts w:hint="eastAsia"/>
                <w:color w:val="auto"/>
                <w:highlight w:val="none"/>
              </w:rPr>
              <w:t>，最小值≥</w:t>
            </w:r>
            <w:r>
              <w:rPr>
                <w:color w:val="auto"/>
                <w:highlight w:val="none"/>
              </w:rPr>
              <w:t>230N</w:t>
            </w:r>
            <w:r>
              <w:rPr>
                <w:rFonts w:hint="eastAsia"/>
                <w:color w:val="auto"/>
                <w:highlight w:val="none"/>
              </w:rPr>
              <w:t>；④受潮挠度：平均值≤</w:t>
            </w:r>
            <w:r>
              <w:rPr>
                <w:color w:val="auto"/>
                <w:highlight w:val="none"/>
              </w:rPr>
              <w:t>4.O mm</w:t>
            </w:r>
            <w:r>
              <w:rPr>
                <w:rFonts w:hint="eastAsia"/>
                <w:color w:val="auto"/>
                <w:highlight w:val="none"/>
              </w:rPr>
              <w:t>，最大值≤</w:t>
            </w:r>
            <w:r>
              <w:rPr>
                <w:color w:val="auto"/>
                <w:highlight w:val="none"/>
              </w:rPr>
              <w:t>5.O mm</w:t>
            </w:r>
            <w:r>
              <w:rPr>
                <w:rFonts w:hint="eastAsia"/>
                <w:color w:val="auto"/>
                <w:highlight w:val="none"/>
              </w:rPr>
              <w:t>。</w:t>
            </w:r>
          </w:p>
          <w:p>
            <w:pPr>
              <w:rPr>
                <w:color w:val="auto"/>
                <w:highlight w:val="none"/>
              </w:rPr>
            </w:pPr>
            <w:r>
              <w:rPr>
                <w:rFonts w:hint="eastAsia"/>
                <w:color w:val="auto"/>
                <w:highlight w:val="none"/>
              </w:rPr>
              <w:t>（</w:t>
            </w:r>
            <w:r>
              <w:rPr>
                <w:color w:val="auto"/>
                <w:highlight w:val="none"/>
              </w:rPr>
              <w:t>6</w:t>
            </w:r>
            <w:r>
              <w:rPr>
                <w:rFonts w:hint="eastAsia"/>
                <w:color w:val="auto"/>
                <w:highlight w:val="none"/>
              </w:rPr>
              <w:t>）放射性检测：符合</w:t>
            </w:r>
            <w:r>
              <w:rPr>
                <w:color w:val="auto"/>
                <w:highlight w:val="none"/>
              </w:rPr>
              <w:t>GB 6566-2001</w:t>
            </w:r>
            <w:r>
              <w:rPr>
                <w:rFonts w:hint="eastAsia"/>
                <w:color w:val="auto"/>
                <w:highlight w:val="none"/>
              </w:rPr>
              <w:t>标准中的</w:t>
            </w:r>
            <w:r>
              <w:rPr>
                <w:color w:val="auto"/>
                <w:highlight w:val="none"/>
              </w:rPr>
              <w:t xml:space="preserve"> A</w:t>
            </w:r>
            <w:r>
              <w:rPr>
                <w:rFonts w:hint="eastAsia"/>
                <w:color w:val="auto"/>
                <w:highlight w:val="none"/>
              </w:rPr>
              <w:t>类标准要求。</w:t>
            </w:r>
          </w:p>
          <w:p>
            <w:pPr>
              <w:rPr>
                <w:color w:val="auto"/>
                <w:highlight w:val="none"/>
              </w:rPr>
            </w:pPr>
            <w:r>
              <w:rPr>
                <w:rFonts w:hint="eastAsia"/>
                <w:color w:val="auto"/>
                <w:highlight w:val="none"/>
              </w:rPr>
              <w:t>（</w:t>
            </w:r>
            <w:r>
              <w:rPr>
                <w:color w:val="auto"/>
                <w:highlight w:val="none"/>
              </w:rPr>
              <w:t>7</w:t>
            </w:r>
            <w:r>
              <w:rPr>
                <w:rFonts w:hint="eastAsia"/>
                <w:color w:val="auto"/>
                <w:highlight w:val="none"/>
              </w:rPr>
              <w:t>）防火等级：不低于</w:t>
            </w:r>
            <w:r>
              <w:rPr>
                <w:color w:val="auto"/>
                <w:highlight w:val="none"/>
              </w:rPr>
              <w:t>GB 8624-2006</w:t>
            </w:r>
            <w:r>
              <w:rPr>
                <w:rFonts w:hint="eastAsia"/>
                <w:color w:val="auto"/>
                <w:highlight w:val="none"/>
              </w:rPr>
              <w:t>标准的</w:t>
            </w:r>
            <w:r>
              <w:rPr>
                <w:color w:val="auto"/>
                <w:highlight w:val="none"/>
              </w:rPr>
              <w:t xml:space="preserve"> A1</w:t>
            </w:r>
            <w:r>
              <w:rPr>
                <w:rFonts w:hint="eastAsia"/>
                <w:color w:val="auto"/>
                <w:highlight w:val="none"/>
              </w:rPr>
              <w:t>级。</w:t>
            </w:r>
          </w:p>
          <w:p>
            <w:pPr>
              <w:rPr>
                <w:color w:val="auto"/>
                <w:highlight w:val="none"/>
              </w:rPr>
            </w:pPr>
            <w:r>
              <w:rPr>
                <w:rFonts w:hint="eastAsia"/>
                <w:color w:val="auto"/>
                <w:highlight w:val="none"/>
              </w:rPr>
              <w:t>（</w:t>
            </w:r>
            <w:r>
              <w:rPr>
                <w:color w:val="auto"/>
                <w:highlight w:val="none"/>
              </w:rPr>
              <w:t>8</w:t>
            </w:r>
            <w:r>
              <w:rPr>
                <w:rFonts w:hint="eastAsia"/>
                <w:color w:val="auto"/>
                <w:highlight w:val="none"/>
              </w:rPr>
              <w:t>）生产企业须通过“</w:t>
            </w:r>
            <w:r>
              <w:rPr>
                <w:color w:val="auto"/>
                <w:highlight w:val="none"/>
              </w:rPr>
              <w:t xml:space="preserve"> ISO9001-2000</w:t>
            </w:r>
            <w:r>
              <w:rPr>
                <w:rFonts w:hint="eastAsia"/>
                <w:color w:val="auto"/>
                <w:highlight w:val="none"/>
              </w:rPr>
              <w:t>”和“</w:t>
            </w:r>
            <w:r>
              <w:rPr>
                <w:color w:val="auto"/>
                <w:highlight w:val="none"/>
              </w:rPr>
              <w:t xml:space="preserve"> ISO14001-2001</w:t>
            </w:r>
            <w:r>
              <w:rPr>
                <w:rFonts w:hint="eastAsia"/>
                <w:color w:val="auto"/>
                <w:highlight w:val="none"/>
              </w:rPr>
              <w:t>”体系”认证。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75" w:type="dxa"/>
            <w:noWrap w:val="0"/>
            <w:vAlign w:val="center"/>
          </w:tcPr>
          <w:p>
            <w:pPr>
              <w:rPr>
                <w:color w:val="auto"/>
                <w:highlight w:val="none"/>
              </w:rPr>
            </w:pPr>
            <w:r>
              <w:rPr>
                <w:color w:val="auto"/>
                <w:highlight w:val="none"/>
              </w:rPr>
              <w:t>6</w:t>
            </w:r>
          </w:p>
        </w:tc>
        <w:tc>
          <w:tcPr>
            <w:tcW w:w="1398" w:type="dxa"/>
            <w:noWrap w:val="0"/>
            <w:vAlign w:val="center"/>
          </w:tcPr>
          <w:p>
            <w:pPr>
              <w:rPr>
                <w:color w:val="auto"/>
                <w:highlight w:val="none"/>
              </w:rPr>
            </w:pPr>
            <w:r>
              <w:rPr>
                <w:rFonts w:hint="eastAsia"/>
                <w:color w:val="auto"/>
                <w:highlight w:val="none"/>
              </w:rPr>
              <w:t>铝合金条板、方型板、铝穿孔复合吸音板吊顶</w:t>
            </w:r>
          </w:p>
        </w:tc>
        <w:tc>
          <w:tcPr>
            <w:tcW w:w="6864" w:type="dxa"/>
            <w:noWrap w:val="0"/>
            <w:vAlign w:val="center"/>
          </w:tcPr>
          <w:p>
            <w:pPr>
              <w:rPr>
                <w:color w:val="auto"/>
                <w:highlight w:val="none"/>
              </w:rPr>
            </w:pPr>
            <w:r>
              <w:rPr>
                <w:color w:val="auto"/>
                <w:highlight w:val="none"/>
              </w:rPr>
              <w:t>1</w:t>
            </w:r>
            <w:r>
              <w:rPr>
                <w:rFonts w:hint="eastAsia"/>
                <w:color w:val="auto"/>
                <w:highlight w:val="none"/>
              </w:rPr>
              <w:t>、材质应符合《铝及铝合金轧制板材》（</w:t>
            </w:r>
            <w:r>
              <w:rPr>
                <w:color w:val="auto"/>
                <w:highlight w:val="none"/>
              </w:rPr>
              <w:t>GB/T5237.1</w:t>
            </w:r>
            <w:r>
              <w:rPr>
                <w:rFonts w:hint="eastAsia"/>
                <w:color w:val="auto"/>
                <w:highlight w:val="none"/>
              </w:rPr>
              <w:t>）中有关规定。</w:t>
            </w:r>
          </w:p>
          <w:p>
            <w:pPr>
              <w:rPr>
                <w:color w:val="auto"/>
                <w:highlight w:val="none"/>
              </w:rPr>
            </w:pPr>
            <w:r>
              <w:rPr>
                <w:color w:val="auto"/>
                <w:highlight w:val="none"/>
              </w:rPr>
              <w:t>2</w:t>
            </w:r>
            <w:r>
              <w:rPr>
                <w:rFonts w:hint="eastAsia"/>
                <w:color w:val="auto"/>
                <w:highlight w:val="none"/>
              </w:rPr>
              <w:t>、铝合金表面处理层应符合《铝合金建筑型材》（</w:t>
            </w:r>
            <w:r>
              <w:rPr>
                <w:color w:val="auto"/>
                <w:highlight w:val="none"/>
              </w:rPr>
              <w:t>GB/T5237.2~5237.5</w:t>
            </w:r>
            <w:r>
              <w:rPr>
                <w:rFonts w:hint="eastAsia"/>
                <w:color w:val="auto"/>
                <w:highlight w:val="none"/>
              </w:rPr>
              <w:t>）的有关规定。</w:t>
            </w:r>
          </w:p>
          <w:p>
            <w:pPr>
              <w:rPr>
                <w:color w:val="auto"/>
                <w:highlight w:val="none"/>
              </w:rPr>
            </w:pPr>
            <w:r>
              <w:rPr>
                <w:color w:val="auto"/>
                <w:highlight w:val="none"/>
              </w:rPr>
              <w:t>3</w:t>
            </w:r>
            <w:r>
              <w:rPr>
                <w:rFonts w:hint="eastAsia"/>
                <w:color w:val="auto"/>
                <w:highlight w:val="none"/>
              </w:rPr>
              <w:t>、材料符合设计与</w:t>
            </w:r>
            <w:r>
              <w:rPr>
                <w:color w:val="auto"/>
                <w:highlight w:val="none"/>
              </w:rPr>
              <w:t>QB1561-92</w:t>
            </w:r>
            <w:r>
              <w:rPr>
                <w:rFonts w:hint="eastAsia"/>
                <w:color w:val="auto"/>
                <w:highlight w:val="none"/>
              </w:rPr>
              <w:t>《金属吊顶》行业标准要求</w:t>
            </w:r>
          </w:p>
          <w:p>
            <w:pPr>
              <w:rPr>
                <w:color w:val="auto"/>
                <w:highlight w:val="none"/>
              </w:rPr>
            </w:pPr>
            <w:r>
              <w:rPr>
                <w:color w:val="auto"/>
                <w:highlight w:val="none"/>
              </w:rPr>
              <w:t>4</w:t>
            </w:r>
            <w:r>
              <w:rPr>
                <w:rFonts w:hint="eastAsia"/>
                <w:color w:val="auto"/>
                <w:highlight w:val="none"/>
              </w:rPr>
              <w:t>、规格按设计要求。</w:t>
            </w:r>
          </w:p>
          <w:p>
            <w:pPr>
              <w:rPr>
                <w:color w:val="auto"/>
                <w:highlight w:val="none"/>
              </w:rPr>
            </w:pPr>
            <w:r>
              <w:rPr>
                <w:color w:val="auto"/>
                <w:highlight w:val="none"/>
              </w:rPr>
              <w:t>5</w:t>
            </w:r>
            <w:r>
              <w:rPr>
                <w:rFonts w:hint="eastAsia"/>
                <w:color w:val="auto"/>
                <w:highlight w:val="none"/>
              </w:rPr>
              <w:t>、表面为静电粉末喷涂，粉体采用荷兰</w:t>
            </w:r>
            <w:r>
              <w:rPr>
                <w:color w:val="auto"/>
                <w:highlight w:val="none"/>
              </w:rPr>
              <w:t>-</w:t>
            </w:r>
            <w:r>
              <w:rPr>
                <w:rFonts w:hint="eastAsia"/>
                <w:color w:val="auto"/>
                <w:highlight w:val="none"/>
              </w:rPr>
              <w:t>阿克苏</w:t>
            </w:r>
            <w:r>
              <w:rPr>
                <w:color w:val="auto"/>
                <w:highlight w:val="none"/>
              </w:rPr>
              <w:t xml:space="preserve">, </w:t>
            </w:r>
            <w:r>
              <w:rPr>
                <w:rFonts w:hint="eastAsia"/>
                <w:color w:val="auto"/>
                <w:highlight w:val="none"/>
              </w:rPr>
              <w:t>涂层厚度≥</w:t>
            </w:r>
            <w:r>
              <w:rPr>
                <w:color w:val="auto"/>
                <w:highlight w:val="none"/>
              </w:rPr>
              <w:t>60</w:t>
            </w:r>
            <w:r>
              <w:rPr>
                <w:rFonts w:hint="eastAsia"/>
                <w:color w:val="auto"/>
                <w:highlight w:val="none"/>
              </w:rPr>
              <w:t>μ</w:t>
            </w:r>
            <w:r>
              <w:rPr>
                <w:color w:val="auto"/>
                <w:highlight w:val="none"/>
              </w:rPr>
              <w:t>m,</w:t>
            </w:r>
            <w:r>
              <w:rPr>
                <w:rFonts w:hint="eastAsia"/>
                <w:color w:val="auto"/>
                <w:highlight w:val="none"/>
              </w:rPr>
              <w:t>色系以欧标</w:t>
            </w:r>
            <w:r>
              <w:rPr>
                <w:color w:val="auto"/>
                <w:highlight w:val="none"/>
              </w:rPr>
              <w:t>9010</w:t>
            </w:r>
            <w:r>
              <w:rPr>
                <w:rFonts w:hint="eastAsia"/>
                <w:color w:val="auto"/>
                <w:highlight w:val="none"/>
              </w:rPr>
              <w:t>为准。</w:t>
            </w:r>
          </w:p>
          <w:p>
            <w:pPr>
              <w:rPr>
                <w:color w:val="auto"/>
                <w:highlight w:val="none"/>
              </w:rPr>
            </w:pPr>
            <w:r>
              <w:rPr>
                <w:color w:val="auto"/>
                <w:highlight w:val="none"/>
              </w:rPr>
              <w:t>6</w:t>
            </w:r>
            <w:r>
              <w:rPr>
                <w:rFonts w:hint="eastAsia"/>
                <w:color w:val="auto"/>
                <w:highlight w:val="none"/>
              </w:rPr>
              <w:t>、漆膜硬度：</w:t>
            </w:r>
            <w:r>
              <w:rPr>
                <w:color w:val="auto"/>
                <w:highlight w:val="none"/>
              </w:rPr>
              <w:t>F</w:t>
            </w:r>
            <w:r>
              <w:rPr>
                <w:rFonts w:hint="eastAsia"/>
                <w:color w:val="auto"/>
                <w:highlight w:val="none"/>
              </w:rPr>
              <w:t>级硬度铅笔对干膜刻划，膜层无划断。</w:t>
            </w:r>
          </w:p>
          <w:p>
            <w:pPr>
              <w:rPr>
                <w:color w:val="auto"/>
                <w:highlight w:val="none"/>
              </w:rPr>
            </w:pPr>
            <w:r>
              <w:rPr>
                <w:color w:val="auto"/>
                <w:highlight w:val="none"/>
              </w:rPr>
              <w:t>7</w:t>
            </w:r>
            <w:r>
              <w:rPr>
                <w:rFonts w:hint="eastAsia"/>
                <w:color w:val="auto"/>
                <w:highlight w:val="none"/>
              </w:rPr>
              <w:t>、耐火性能：</w:t>
            </w:r>
            <w:r>
              <w:rPr>
                <w:color w:val="auto"/>
                <w:highlight w:val="none"/>
              </w:rPr>
              <w:t>A</w:t>
            </w:r>
            <w:r>
              <w:rPr>
                <w:rFonts w:hint="eastAsia"/>
                <w:color w:val="auto"/>
                <w:highlight w:val="none"/>
              </w:rPr>
              <w:t>级，依据</w:t>
            </w:r>
            <w:r>
              <w:rPr>
                <w:color w:val="auto"/>
                <w:highlight w:val="none"/>
              </w:rPr>
              <w:t>GB50222-2017</w:t>
            </w:r>
            <w:r>
              <w:rPr>
                <w:rFonts w:hint="eastAsia"/>
                <w:color w:val="auto"/>
                <w:highlight w:val="none"/>
              </w:rPr>
              <w:t>检测</w:t>
            </w:r>
            <w:r>
              <w:rPr>
                <w:color w:val="auto"/>
                <w:highlight w:val="none"/>
              </w:rPr>
              <w:t>,</w:t>
            </w:r>
            <w:r>
              <w:rPr>
                <w:rFonts w:hint="eastAsia"/>
                <w:color w:val="auto"/>
                <w:highlight w:val="none"/>
              </w:rPr>
              <w:t>该静电粉末喷涂铝板可作</w:t>
            </w:r>
            <w:r>
              <w:rPr>
                <w:color w:val="auto"/>
                <w:highlight w:val="none"/>
              </w:rPr>
              <w:t>A</w:t>
            </w:r>
            <w:r>
              <w:rPr>
                <w:rFonts w:hint="eastAsia"/>
                <w:color w:val="auto"/>
                <w:highlight w:val="none"/>
              </w:rPr>
              <w:t>级装修材料使用。</w:t>
            </w:r>
          </w:p>
          <w:p>
            <w:pPr>
              <w:rPr>
                <w:color w:val="auto"/>
                <w:highlight w:val="none"/>
              </w:rPr>
            </w:pPr>
            <w:r>
              <w:rPr>
                <w:color w:val="auto"/>
                <w:highlight w:val="none"/>
              </w:rPr>
              <w:t>8</w:t>
            </w:r>
            <w:r>
              <w:rPr>
                <w:rFonts w:hint="eastAsia"/>
                <w:color w:val="auto"/>
                <w:highlight w:val="none"/>
              </w:rPr>
              <w:t>、翻边高度</w:t>
            </w:r>
            <w:r>
              <w:rPr>
                <w:color w:val="auto"/>
                <w:highlight w:val="none"/>
              </w:rPr>
              <w:t>25mm/30mm</w:t>
            </w:r>
            <w:r>
              <w:rPr>
                <w:rFonts w:hint="eastAsia"/>
                <w:color w:val="auto"/>
                <w:highlight w:val="none"/>
              </w:rPr>
              <w:t>，采用勾搭式安装结构，翻边四周加贴</w:t>
            </w:r>
            <w:r>
              <w:rPr>
                <w:color w:val="auto"/>
                <w:highlight w:val="none"/>
              </w:rPr>
              <w:t>1mm</w:t>
            </w:r>
            <w:r>
              <w:rPr>
                <w:rFonts w:hint="eastAsia"/>
                <w:color w:val="auto"/>
                <w:highlight w:val="none"/>
              </w:rPr>
              <w:t>～</w:t>
            </w:r>
            <w:r>
              <w:rPr>
                <w:color w:val="auto"/>
                <w:highlight w:val="none"/>
              </w:rPr>
              <w:t>2mm</w:t>
            </w:r>
            <w:r>
              <w:rPr>
                <w:rFonts w:hint="eastAsia"/>
                <w:color w:val="auto"/>
                <w:highlight w:val="none"/>
              </w:rPr>
              <w:t>厚防撞减震条。</w:t>
            </w:r>
          </w:p>
          <w:p>
            <w:pPr>
              <w:rPr>
                <w:color w:val="auto"/>
                <w:highlight w:val="none"/>
              </w:rPr>
            </w:pPr>
            <w:r>
              <w:rPr>
                <w:color w:val="auto"/>
                <w:highlight w:val="none"/>
              </w:rPr>
              <w:t>9</w:t>
            </w:r>
            <w:r>
              <w:rPr>
                <w:rFonts w:hint="eastAsia"/>
                <w:color w:val="auto"/>
                <w:highlight w:val="none"/>
              </w:rPr>
              <w:t>、</w:t>
            </w:r>
            <w:r>
              <w:rPr>
                <w:color w:val="auto"/>
                <w:highlight w:val="none"/>
              </w:rPr>
              <w:t xml:space="preserve">Z </w:t>
            </w:r>
            <w:r>
              <w:rPr>
                <w:rFonts w:hint="eastAsia"/>
                <w:color w:val="auto"/>
                <w:highlight w:val="none"/>
              </w:rPr>
              <w:t>型龙骨采用</w:t>
            </w:r>
            <w:r>
              <w:rPr>
                <w:color w:val="auto"/>
                <w:highlight w:val="none"/>
              </w:rPr>
              <w:t>1.2mm</w:t>
            </w:r>
            <w:r>
              <w:rPr>
                <w:rFonts w:hint="eastAsia"/>
                <w:color w:val="auto"/>
                <w:highlight w:val="none"/>
              </w:rPr>
              <w:t>厚冷轧镀锌钢板，相关连接件表面镀锌，镀锌层厚度≥</w:t>
            </w:r>
            <w:r>
              <w:rPr>
                <w:color w:val="auto"/>
                <w:highlight w:val="none"/>
              </w:rPr>
              <w:t>9</w:t>
            </w:r>
            <w:r>
              <w:rPr>
                <w:rFonts w:hint="eastAsia"/>
                <w:color w:val="auto"/>
                <w:highlight w:val="none"/>
              </w:rPr>
              <w:t>μ</w:t>
            </w:r>
            <w:r>
              <w:rPr>
                <w:color w:val="auto"/>
                <w:highlight w:val="none"/>
              </w:rPr>
              <w:t>m</w:t>
            </w:r>
            <w:r>
              <w:rPr>
                <w:rFonts w:hint="eastAsia"/>
                <w:color w:val="auto"/>
                <w:highlight w:val="none"/>
              </w:rPr>
              <w:t>；</w:t>
            </w:r>
          </w:p>
          <w:p>
            <w:pPr>
              <w:rPr>
                <w:color w:val="auto"/>
                <w:highlight w:val="none"/>
              </w:rPr>
            </w:pPr>
            <w:r>
              <w:rPr>
                <w:color w:val="auto"/>
                <w:highlight w:val="none"/>
              </w:rPr>
              <w:t>10</w:t>
            </w:r>
            <w:r>
              <w:rPr>
                <w:rFonts w:hint="eastAsia"/>
                <w:color w:val="auto"/>
                <w:highlight w:val="none"/>
              </w:rPr>
              <w:t>、成品尺寸符合</w:t>
            </w:r>
            <w:r>
              <w:rPr>
                <w:color w:val="auto"/>
                <w:highlight w:val="none"/>
              </w:rPr>
              <w:t>GB/T3194-1998</w:t>
            </w:r>
            <w:r>
              <w:rPr>
                <w:rFonts w:hint="eastAsia"/>
                <w:color w:val="auto"/>
                <w:highlight w:val="none"/>
              </w:rPr>
              <w:t>，成品色差测试符合</w:t>
            </w:r>
            <w:r>
              <w:rPr>
                <w:color w:val="auto"/>
                <w:highlight w:val="none"/>
              </w:rPr>
              <w:t>GB8031</w:t>
            </w:r>
            <w:r>
              <w:rPr>
                <w:rFonts w:hint="eastAsia"/>
                <w:color w:val="auto"/>
                <w:highlight w:val="none"/>
              </w:rPr>
              <w:t>。</w:t>
            </w:r>
          </w:p>
          <w:p>
            <w:pPr>
              <w:rPr>
                <w:color w:val="auto"/>
                <w:highlight w:val="none"/>
              </w:rPr>
            </w:pPr>
            <w:r>
              <w:rPr>
                <w:color w:val="auto"/>
                <w:highlight w:val="none"/>
              </w:rPr>
              <w:t>11</w:t>
            </w:r>
            <w:r>
              <w:rPr>
                <w:rFonts w:hint="eastAsia"/>
                <w:color w:val="auto"/>
                <w:highlight w:val="none"/>
              </w:rPr>
              <w:t>、实际长度规格若按图纸尺寸有所调整，在</w:t>
            </w:r>
            <w:r>
              <w:rPr>
                <w:color w:val="auto"/>
                <w:highlight w:val="none"/>
              </w:rPr>
              <w:t>+3%</w:t>
            </w:r>
            <w:r>
              <w:rPr>
                <w:rFonts w:hint="eastAsia"/>
                <w:color w:val="auto"/>
                <w:highlight w:val="none"/>
              </w:rPr>
              <w:t>之内单价不做调整。</w:t>
            </w:r>
          </w:p>
          <w:p>
            <w:pPr>
              <w:rPr>
                <w:color w:val="auto"/>
                <w:highlight w:val="none"/>
              </w:rPr>
            </w:pPr>
            <w:r>
              <w:rPr>
                <w:color w:val="auto"/>
                <w:highlight w:val="none"/>
              </w:rPr>
              <w:t>12</w:t>
            </w:r>
            <w:r>
              <w:rPr>
                <w:rFonts w:hint="eastAsia"/>
                <w:color w:val="auto"/>
                <w:highlight w:val="none"/>
              </w:rPr>
              <w:t>、必须采用容易装卸、检修、耐用及不变形的构造方式以便吊顶内设备管线的维修。</w:t>
            </w:r>
          </w:p>
          <w:p>
            <w:pPr>
              <w:rPr>
                <w:color w:val="auto"/>
                <w:highlight w:val="none"/>
              </w:rPr>
            </w:pPr>
            <w:r>
              <w:rPr>
                <w:color w:val="auto"/>
                <w:highlight w:val="none"/>
              </w:rPr>
              <w:t>13</w:t>
            </w:r>
            <w:r>
              <w:rPr>
                <w:rFonts w:hint="eastAsia"/>
                <w:color w:val="auto"/>
                <w:highlight w:val="none"/>
              </w:rPr>
              <w:t>、天花完成后要求平整，无明显的凹凸、下垂。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75" w:type="dxa"/>
            <w:noWrap w:val="0"/>
            <w:vAlign w:val="center"/>
          </w:tcPr>
          <w:p>
            <w:pPr>
              <w:rPr>
                <w:color w:val="auto"/>
                <w:highlight w:val="none"/>
              </w:rPr>
            </w:pPr>
            <w:r>
              <w:rPr>
                <w:color w:val="auto"/>
                <w:highlight w:val="none"/>
              </w:rPr>
              <w:t>7</w:t>
            </w:r>
          </w:p>
        </w:tc>
        <w:tc>
          <w:tcPr>
            <w:tcW w:w="1398" w:type="dxa"/>
            <w:noWrap w:val="0"/>
            <w:vAlign w:val="center"/>
          </w:tcPr>
          <w:p>
            <w:pPr>
              <w:rPr>
                <w:color w:val="auto"/>
                <w:highlight w:val="none"/>
              </w:rPr>
            </w:pPr>
            <w:r>
              <w:rPr>
                <w:rFonts w:hint="eastAsia"/>
                <w:color w:val="auto"/>
                <w:highlight w:val="none"/>
              </w:rPr>
              <w:t>铝型材</w:t>
            </w:r>
          </w:p>
        </w:tc>
        <w:tc>
          <w:tcPr>
            <w:tcW w:w="6864" w:type="dxa"/>
            <w:noWrap w:val="0"/>
            <w:vAlign w:val="center"/>
          </w:tcPr>
          <w:p>
            <w:pPr>
              <w:rPr>
                <w:color w:val="auto"/>
                <w:highlight w:val="none"/>
              </w:rPr>
            </w:pPr>
            <w:r>
              <w:rPr>
                <w:color w:val="auto"/>
                <w:highlight w:val="none"/>
              </w:rPr>
              <w:t>1</w:t>
            </w:r>
            <w:r>
              <w:rPr>
                <w:rFonts w:hint="eastAsia"/>
                <w:color w:val="auto"/>
                <w:highlight w:val="none"/>
              </w:rPr>
              <w:t>、符合</w:t>
            </w:r>
            <w:r>
              <w:rPr>
                <w:color w:val="auto"/>
                <w:highlight w:val="none"/>
              </w:rPr>
              <w:t>GB/T5237.1-2004</w:t>
            </w:r>
            <w:r>
              <w:rPr>
                <w:rFonts w:hint="eastAsia"/>
                <w:color w:val="auto"/>
                <w:highlight w:val="none"/>
              </w:rPr>
              <w:t>、</w:t>
            </w:r>
            <w:r>
              <w:rPr>
                <w:color w:val="auto"/>
                <w:highlight w:val="none"/>
              </w:rPr>
              <w:t>GB/T5237.5-2004</w:t>
            </w:r>
            <w:r>
              <w:rPr>
                <w:rFonts w:hint="eastAsia"/>
                <w:color w:val="auto"/>
                <w:highlight w:val="none"/>
              </w:rPr>
              <w:t>、</w:t>
            </w:r>
            <w:r>
              <w:rPr>
                <w:color w:val="auto"/>
                <w:highlight w:val="none"/>
              </w:rPr>
              <w:t>GB/T5237.6-2004</w:t>
            </w:r>
            <w:r>
              <w:rPr>
                <w:rFonts w:hint="eastAsia"/>
                <w:color w:val="auto"/>
                <w:highlight w:val="none"/>
              </w:rPr>
              <w:t>等相关规范要求；</w:t>
            </w:r>
          </w:p>
          <w:p>
            <w:pPr>
              <w:rPr>
                <w:color w:val="auto"/>
                <w:highlight w:val="none"/>
              </w:rPr>
            </w:pPr>
            <w:r>
              <w:rPr>
                <w:color w:val="auto"/>
                <w:highlight w:val="none"/>
              </w:rPr>
              <w:t>2</w:t>
            </w:r>
            <w:r>
              <w:rPr>
                <w:rFonts w:hint="eastAsia"/>
                <w:color w:val="auto"/>
                <w:highlight w:val="none"/>
              </w:rPr>
              <w:t>、材质为</w:t>
            </w:r>
            <w:r>
              <w:rPr>
                <w:color w:val="auto"/>
                <w:highlight w:val="none"/>
              </w:rPr>
              <w:t>6063-T5</w:t>
            </w:r>
            <w:r>
              <w:rPr>
                <w:rFonts w:hint="eastAsia"/>
                <w:color w:val="auto"/>
                <w:highlight w:val="none"/>
              </w:rPr>
              <w:t>，人工时效（</w:t>
            </w:r>
            <w:r>
              <w:rPr>
                <w:color w:val="auto"/>
                <w:highlight w:val="none"/>
              </w:rPr>
              <w:t>RCS</w:t>
            </w:r>
            <w:r>
              <w:rPr>
                <w:rFonts w:hint="eastAsia"/>
                <w:color w:val="auto"/>
                <w:highlight w:val="none"/>
              </w:rPr>
              <w:t>）处理；</w:t>
            </w:r>
          </w:p>
          <w:p>
            <w:pPr>
              <w:rPr>
                <w:color w:val="auto"/>
                <w:highlight w:val="none"/>
              </w:rPr>
            </w:pPr>
            <w:r>
              <w:rPr>
                <w:color w:val="auto"/>
                <w:highlight w:val="none"/>
              </w:rPr>
              <w:t>3</w:t>
            </w:r>
            <w:r>
              <w:rPr>
                <w:rFonts w:hint="eastAsia"/>
                <w:color w:val="auto"/>
                <w:highlight w:val="none"/>
              </w:rPr>
              <w:t>、铝型材表面氟碳喷涂处理，涂层平均膜厚</w:t>
            </w:r>
            <w:r>
              <w:rPr>
                <w:color w:val="auto"/>
                <w:highlight w:val="none"/>
              </w:rPr>
              <w:t>&gt;40um</w:t>
            </w: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75" w:type="dxa"/>
            <w:noWrap w:val="0"/>
            <w:vAlign w:val="center"/>
          </w:tcPr>
          <w:p>
            <w:pPr>
              <w:rPr>
                <w:color w:val="auto"/>
                <w:highlight w:val="none"/>
              </w:rPr>
            </w:pPr>
            <w:r>
              <w:rPr>
                <w:color w:val="auto"/>
                <w:highlight w:val="none"/>
              </w:rPr>
              <w:t>8</w:t>
            </w:r>
          </w:p>
        </w:tc>
        <w:tc>
          <w:tcPr>
            <w:tcW w:w="1398" w:type="dxa"/>
            <w:noWrap w:val="0"/>
            <w:vAlign w:val="center"/>
          </w:tcPr>
          <w:p>
            <w:pPr>
              <w:rPr>
                <w:color w:val="auto"/>
                <w:highlight w:val="none"/>
              </w:rPr>
            </w:pPr>
            <w:r>
              <w:rPr>
                <w:rFonts w:hint="eastAsia"/>
                <w:color w:val="auto"/>
                <w:highlight w:val="none"/>
              </w:rPr>
              <w:t>花岗岩石材</w:t>
            </w:r>
          </w:p>
        </w:tc>
        <w:tc>
          <w:tcPr>
            <w:tcW w:w="6864" w:type="dxa"/>
            <w:noWrap w:val="0"/>
            <w:vAlign w:val="center"/>
          </w:tcPr>
          <w:p>
            <w:pPr>
              <w:rPr>
                <w:color w:val="auto"/>
                <w:highlight w:val="none"/>
              </w:rPr>
            </w:pPr>
            <w:r>
              <w:rPr>
                <w:color w:val="auto"/>
                <w:highlight w:val="none"/>
              </w:rPr>
              <w:t>1.</w:t>
            </w:r>
            <w:r>
              <w:rPr>
                <w:rFonts w:hint="eastAsia"/>
                <w:color w:val="auto"/>
                <w:highlight w:val="none"/>
              </w:rPr>
              <w:t>其质量标准符合</w:t>
            </w:r>
            <w:r>
              <w:rPr>
                <w:color w:val="auto"/>
                <w:highlight w:val="none"/>
              </w:rPr>
              <w:t>GB/T18601-2001</w:t>
            </w:r>
            <w:r>
              <w:rPr>
                <w:rFonts w:hint="eastAsia"/>
                <w:color w:val="auto"/>
                <w:highlight w:val="none"/>
              </w:rPr>
              <w:t>；</w:t>
            </w:r>
          </w:p>
          <w:p>
            <w:pPr>
              <w:rPr>
                <w:color w:val="auto"/>
                <w:highlight w:val="none"/>
              </w:rPr>
            </w:pPr>
            <w:r>
              <w:rPr>
                <w:color w:val="auto"/>
                <w:highlight w:val="none"/>
              </w:rPr>
              <w:t>2.</w:t>
            </w:r>
            <w:r>
              <w:rPr>
                <w:rFonts w:hint="eastAsia"/>
                <w:color w:val="auto"/>
                <w:highlight w:val="none"/>
              </w:rPr>
              <w:t>石材尺寸规格应满足设计要求，厚度偏差不超过±</w:t>
            </w:r>
            <w:r>
              <w:rPr>
                <w:color w:val="auto"/>
                <w:highlight w:val="none"/>
              </w:rPr>
              <w:t>1mm</w:t>
            </w:r>
            <w:r>
              <w:rPr>
                <w:rFonts w:hint="eastAsia"/>
                <w:color w:val="auto"/>
                <w:highlight w:val="none"/>
              </w:rPr>
              <w:t>、平面尺寸偏差</w:t>
            </w:r>
            <w:r>
              <w:rPr>
                <w:color w:val="auto"/>
                <w:highlight w:val="none"/>
              </w:rPr>
              <w:t>0</w:t>
            </w:r>
            <w:r>
              <w:rPr>
                <w:rFonts w:hint="eastAsia"/>
                <w:color w:val="auto"/>
                <w:highlight w:val="none"/>
              </w:rPr>
              <w:t>～</w:t>
            </w:r>
            <w:r>
              <w:rPr>
                <w:color w:val="auto"/>
                <w:highlight w:val="none"/>
              </w:rPr>
              <w:t>1mm</w:t>
            </w:r>
            <w:r>
              <w:rPr>
                <w:rFonts w:hint="eastAsia"/>
                <w:color w:val="auto"/>
                <w:highlight w:val="none"/>
              </w:rPr>
              <w:t>，平面度允许公差</w:t>
            </w:r>
            <w:r>
              <w:rPr>
                <w:color w:val="auto"/>
                <w:highlight w:val="none"/>
              </w:rPr>
              <w:t>0.70</w:t>
            </w:r>
            <w:r>
              <w:rPr>
                <w:rFonts w:hint="eastAsia"/>
                <w:color w:val="auto"/>
                <w:highlight w:val="none"/>
              </w:rPr>
              <w:t>，角度允许公差</w:t>
            </w:r>
            <w:r>
              <w:rPr>
                <w:color w:val="auto"/>
                <w:highlight w:val="none"/>
              </w:rPr>
              <w:t>0.4</w:t>
            </w:r>
            <w:r>
              <w:rPr>
                <w:rFonts w:hint="eastAsia"/>
                <w:color w:val="auto"/>
                <w:highlight w:val="none"/>
              </w:rPr>
              <w:t>；</w:t>
            </w:r>
          </w:p>
          <w:p>
            <w:pPr>
              <w:rPr>
                <w:color w:val="auto"/>
                <w:highlight w:val="none"/>
              </w:rPr>
            </w:pPr>
            <w:r>
              <w:rPr>
                <w:color w:val="auto"/>
                <w:highlight w:val="none"/>
              </w:rPr>
              <w:t>3.</w:t>
            </w:r>
            <w:r>
              <w:rPr>
                <w:rFonts w:hint="eastAsia"/>
                <w:color w:val="auto"/>
                <w:highlight w:val="none"/>
              </w:rPr>
              <w:t>石材外观不允许缺棱、缺角、裂纹、色斑、色线；</w:t>
            </w:r>
          </w:p>
          <w:p>
            <w:pPr>
              <w:rPr>
                <w:color w:val="auto"/>
                <w:highlight w:val="none"/>
              </w:rPr>
            </w:pPr>
            <w:r>
              <w:rPr>
                <w:color w:val="auto"/>
                <w:highlight w:val="none"/>
              </w:rPr>
              <w:t>4.</w:t>
            </w:r>
            <w:r>
              <w:rPr>
                <w:rFonts w:hint="eastAsia"/>
                <w:color w:val="auto"/>
                <w:highlight w:val="none"/>
              </w:rPr>
              <w:t>幕墙石材吸水率不应大于</w:t>
            </w:r>
            <w:r>
              <w:rPr>
                <w:color w:val="auto"/>
                <w:highlight w:val="none"/>
              </w:rPr>
              <w:t>0.8%</w:t>
            </w:r>
            <w:r>
              <w:rPr>
                <w:rFonts w:hint="eastAsia"/>
                <w:color w:val="auto"/>
                <w:highlight w:val="none"/>
              </w:rPr>
              <w:t>，花岗岩的弯曲强度不应小于</w:t>
            </w:r>
            <w:r>
              <w:rPr>
                <w:color w:val="auto"/>
                <w:highlight w:val="none"/>
              </w:rPr>
              <w:t>8MPa</w:t>
            </w:r>
            <w:r>
              <w:rPr>
                <w:rFonts w:hint="eastAsia"/>
                <w:color w:val="auto"/>
                <w:highlight w:val="none"/>
              </w:rPr>
              <w:t>；</w:t>
            </w:r>
          </w:p>
          <w:p>
            <w:pPr>
              <w:rPr>
                <w:color w:val="auto"/>
                <w:highlight w:val="none"/>
              </w:rPr>
            </w:pPr>
            <w:r>
              <w:rPr>
                <w:color w:val="auto"/>
                <w:highlight w:val="none"/>
              </w:rPr>
              <w:t>5.</w:t>
            </w:r>
            <w:r>
              <w:rPr>
                <w:rFonts w:hint="eastAsia"/>
                <w:color w:val="auto"/>
                <w:highlight w:val="none"/>
              </w:rPr>
              <w:t>石材表面应采用机械进行加工，加工后的表面应用高压水冲洗或用水和刷子清洗，严禁用溶剂型的化学清洁剂清洗石材；</w:t>
            </w:r>
          </w:p>
          <w:p>
            <w:pPr>
              <w:rPr>
                <w:color w:val="auto"/>
                <w:highlight w:val="none"/>
              </w:rPr>
            </w:pPr>
            <w:r>
              <w:rPr>
                <w:rFonts w:hint="eastAsia"/>
                <w:color w:val="auto"/>
                <w:highlight w:val="none"/>
              </w:rPr>
              <w:t>石材防污处理：所有的石材板块均应做六面保护处理</w:t>
            </w:r>
            <w:r>
              <w:rPr>
                <w:color w:val="auto"/>
                <w:highlight w:val="none"/>
              </w:rPr>
              <w:t>,</w:t>
            </w:r>
            <w:r>
              <w:rPr>
                <w:rFonts w:hint="eastAsia"/>
                <w:color w:val="auto"/>
                <w:highlight w:val="none"/>
              </w:rPr>
              <w:t>石材养护、防水剂、宝石洁石材防护防护剂六面</w:t>
            </w:r>
          </w:p>
          <w:p>
            <w:pPr>
              <w:rPr>
                <w:color w:val="auto"/>
                <w:highlight w:val="none"/>
              </w:rPr>
            </w:pPr>
            <w:r>
              <w:rPr>
                <w:rFonts w:hint="eastAsia"/>
                <w:color w:val="auto"/>
                <w:highlight w:val="none"/>
              </w:rPr>
              <w:t>涂；石材粘接用胶应采用用环氧树脂类胶；石材密封用胶应采用石材专用密封胶。</w:t>
            </w:r>
          </w:p>
          <w:p>
            <w:pPr>
              <w:rPr>
                <w:color w:val="auto"/>
                <w:highlight w:val="none"/>
              </w:rPr>
            </w:pPr>
            <w:r>
              <w:rPr>
                <w:color w:val="auto"/>
                <w:highlight w:val="none"/>
              </w:rPr>
              <w:t>6.</w:t>
            </w:r>
            <w:r>
              <w:rPr>
                <w:rFonts w:hint="eastAsia"/>
                <w:color w:val="auto"/>
                <w:highlight w:val="none"/>
              </w:rPr>
              <w:t>密度</w:t>
            </w:r>
            <w:r>
              <w:rPr>
                <w:color w:val="auto"/>
                <w:highlight w:val="none"/>
              </w:rPr>
              <w:t>2500—2700</w:t>
            </w:r>
            <w:r>
              <w:rPr>
                <w:rFonts w:hint="eastAsia"/>
                <w:color w:val="auto"/>
                <w:highlight w:val="none"/>
              </w:rPr>
              <w:t>㎏</w:t>
            </w:r>
            <w:r>
              <w:rPr>
                <w:color w:val="auto"/>
                <w:highlight w:val="none"/>
              </w:rPr>
              <w:t>/m3,</w:t>
            </w:r>
            <w:r>
              <w:rPr>
                <w:rFonts w:hint="eastAsia"/>
                <w:color w:val="auto"/>
                <w:highlight w:val="none"/>
              </w:rPr>
              <w:t>抗压强度</w:t>
            </w:r>
            <w:r>
              <w:rPr>
                <w:color w:val="auto"/>
                <w:highlight w:val="none"/>
              </w:rPr>
              <w:t>120—250MPa,</w:t>
            </w:r>
            <w:r>
              <w:rPr>
                <w:rFonts w:hint="eastAsia"/>
                <w:color w:val="auto"/>
                <w:highlight w:val="none"/>
              </w:rPr>
              <w:t>抗折强度</w:t>
            </w:r>
            <w:r>
              <w:rPr>
                <w:color w:val="auto"/>
                <w:highlight w:val="none"/>
              </w:rPr>
              <w:t>8.5—15.0Mpa</w:t>
            </w:r>
            <w:r>
              <w:rPr>
                <w:rFonts w:hint="eastAsia"/>
                <w:color w:val="auto"/>
                <w:highlight w:val="none"/>
              </w:rPr>
              <w:t>，硬度（肖氏）</w:t>
            </w:r>
            <w:r>
              <w:rPr>
                <w:color w:val="auto"/>
                <w:highlight w:val="none"/>
              </w:rPr>
              <w:t>80—100</w:t>
            </w:r>
            <w:r>
              <w:rPr>
                <w:rFonts w:hint="eastAsia"/>
                <w:color w:val="auto"/>
                <w:highlight w:val="none"/>
              </w:rPr>
              <w:t>，吸水率＜</w:t>
            </w:r>
            <w:r>
              <w:rPr>
                <w:color w:val="auto"/>
                <w:highlight w:val="none"/>
              </w:rPr>
              <w:t>1%</w:t>
            </w:r>
            <w:r>
              <w:rPr>
                <w:rFonts w:hint="eastAsia"/>
                <w:color w:val="auto"/>
                <w:highlight w:val="none"/>
              </w:rPr>
              <w:t>，膨胀系数</w:t>
            </w:r>
            <w:r>
              <w:rPr>
                <w:color w:val="auto"/>
                <w:highlight w:val="none"/>
              </w:rPr>
              <w:t>5.6</w:t>
            </w:r>
            <w:r>
              <w:rPr>
                <w:rFonts w:hint="eastAsia"/>
                <w:color w:val="auto"/>
                <w:highlight w:val="none"/>
              </w:rPr>
              <w:t>×</w:t>
            </w:r>
            <w:r>
              <w:rPr>
                <w:color w:val="auto"/>
                <w:highlight w:val="none"/>
              </w:rPr>
              <w:t>10</w:t>
            </w:r>
            <w:r>
              <w:rPr>
                <w:rFonts w:hint="eastAsia"/>
                <w:color w:val="auto"/>
                <w:highlight w:val="none"/>
              </w:rPr>
              <w:t>－</w:t>
            </w:r>
            <w:r>
              <w:rPr>
                <w:color w:val="auto"/>
                <w:highlight w:val="none"/>
              </w:rPr>
              <w:t>6</w:t>
            </w:r>
            <w:r>
              <w:rPr>
                <w:rFonts w:hint="eastAsia"/>
                <w:color w:val="auto"/>
                <w:highlight w:val="none"/>
              </w:rPr>
              <w:t>～</w:t>
            </w:r>
            <w:r>
              <w:rPr>
                <w:color w:val="auto"/>
                <w:highlight w:val="none"/>
              </w:rPr>
              <w:t>7.34</w:t>
            </w:r>
            <w:r>
              <w:rPr>
                <w:rFonts w:hint="eastAsia"/>
                <w:color w:val="auto"/>
                <w:highlight w:val="none"/>
              </w:rPr>
              <w:t>×</w:t>
            </w:r>
            <w:r>
              <w:rPr>
                <w:color w:val="auto"/>
                <w:highlight w:val="none"/>
              </w:rPr>
              <w:t>10—6/</w:t>
            </w:r>
            <w:r>
              <w:rPr>
                <w:rFonts w:hint="eastAsia"/>
                <w:color w:val="auto"/>
                <w:highlight w:val="none"/>
              </w:rPr>
              <w:t>℃，平均韧性</w:t>
            </w:r>
            <w:r>
              <w:rPr>
                <w:color w:val="auto"/>
                <w:highlight w:val="none"/>
              </w:rPr>
              <w:t>8</w:t>
            </w:r>
            <w:r>
              <w:rPr>
                <w:rFonts w:hint="eastAsia"/>
                <w:color w:val="auto"/>
                <w:highlight w:val="none"/>
              </w:rPr>
              <w:t>㎝，平均质量磨耗率</w:t>
            </w:r>
            <w:r>
              <w:rPr>
                <w:color w:val="auto"/>
                <w:highlight w:val="none"/>
              </w:rPr>
              <w:t>11%</w:t>
            </w:r>
            <w:r>
              <w:rPr>
                <w:rFonts w:hint="eastAsia"/>
                <w:color w:val="auto"/>
                <w:highlight w:val="none"/>
              </w:rPr>
              <w:t>，化学稳定性不易风化变质，耐酸性很强，耐久性：细粒岗岩石使用年限可达</w:t>
            </w:r>
            <w:r>
              <w:rPr>
                <w:color w:val="auto"/>
                <w:highlight w:val="none"/>
              </w:rPr>
              <w:t>500</w:t>
            </w:r>
            <w:r>
              <w:rPr>
                <w:rFonts w:hint="eastAsia"/>
                <w:color w:val="auto"/>
                <w:highlight w:val="none"/>
              </w:rPr>
              <w:t>～</w:t>
            </w:r>
            <w:r>
              <w:rPr>
                <w:color w:val="auto"/>
                <w:highlight w:val="none"/>
              </w:rPr>
              <w:t>1000</w:t>
            </w:r>
            <w:r>
              <w:rPr>
                <w:rFonts w:hint="eastAsia"/>
                <w:color w:val="auto"/>
                <w:highlight w:val="none"/>
              </w:rPr>
              <w:t>年，粗粒花岗石可达</w:t>
            </w:r>
            <w:r>
              <w:rPr>
                <w:color w:val="auto"/>
                <w:highlight w:val="none"/>
              </w:rPr>
              <w:t>100</w:t>
            </w:r>
            <w:r>
              <w:rPr>
                <w:rFonts w:hint="eastAsia"/>
                <w:color w:val="auto"/>
                <w:highlight w:val="none"/>
              </w:rPr>
              <w:t>～</w:t>
            </w:r>
            <w:r>
              <w:rPr>
                <w:color w:val="auto"/>
                <w:highlight w:val="none"/>
              </w:rPr>
              <w:t>200</w:t>
            </w:r>
            <w:r>
              <w:rPr>
                <w:rFonts w:hint="eastAsia"/>
                <w:color w:val="auto"/>
                <w:highlight w:val="none"/>
              </w:rPr>
              <w:t>年。</w:t>
            </w:r>
          </w:p>
          <w:p>
            <w:pPr>
              <w:rPr>
                <w:color w:val="auto"/>
                <w:highlight w:val="none"/>
              </w:rPr>
            </w:pPr>
            <w:r>
              <w:rPr>
                <w:color w:val="auto"/>
                <w:highlight w:val="none"/>
              </w:rPr>
              <w:t>7.</w:t>
            </w:r>
            <w:r>
              <w:rPr>
                <w:rFonts w:hint="eastAsia"/>
                <w:color w:val="auto"/>
                <w:highlight w:val="none"/>
              </w:rPr>
              <w:t>其他要求详见实物样板标准。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75" w:type="dxa"/>
            <w:noWrap w:val="0"/>
            <w:vAlign w:val="center"/>
          </w:tcPr>
          <w:p>
            <w:pPr>
              <w:rPr>
                <w:color w:val="auto"/>
                <w:highlight w:val="none"/>
              </w:rPr>
            </w:pPr>
            <w:r>
              <w:rPr>
                <w:color w:val="auto"/>
                <w:highlight w:val="none"/>
              </w:rPr>
              <w:t>9</w:t>
            </w:r>
          </w:p>
        </w:tc>
        <w:tc>
          <w:tcPr>
            <w:tcW w:w="1398" w:type="dxa"/>
            <w:noWrap w:val="0"/>
            <w:vAlign w:val="center"/>
          </w:tcPr>
          <w:p>
            <w:pPr>
              <w:rPr>
                <w:color w:val="auto"/>
                <w:highlight w:val="none"/>
              </w:rPr>
            </w:pPr>
            <w:r>
              <w:rPr>
                <w:rFonts w:hint="eastAsia"/>
                <w:color w:val="auto"/>
                <w:highlight w:val="none"/>
              </w:rPr>
              <w:t>普通地砖、防滑地砖、抛光砖墙面、仿石砖墙面</w:t>
            </w:r>
          </w:p>
        </w:tc>
        <w:tc>
          <w:tcPr>
            <w:tcW w:w="6864" w:type="dxa"/>
            <w:noWrap w:val="0"/>
            <w:vAlign w:val="center"/>
          </w:tcPr>
          <w:p>
            <w:pPr>
              <w:rPr>
                <w:color w:val="auto"/>
                <w:highlight w:val="none"/>
              </w:rPr>
            </w:pPr>
            <w:r>
              <w:rPr>
                <w:color w:val="auto"/>
                <w:highlight w:val="none"/>
              </w:rPr>
              <w:t>1</w:t>
            </w:r>
            <w:r>
              <w:rPr>
                <w:rFonts w:hint="eastAsia"/>
                <w:color w:val="auto"/>
                <w:highlight w:val="none"/>
              </w:rPr>
              <w:t>、产品执行标准：</w:t>
            </w:r>
            <w:r>
              <w:rPr>
                <w:color w:val="auto"/>
                <w:highlight w:val="none"/>
              </w:rPr>
              <w:t>GB/T4100-2006</w:t>
            </w:r>
            <w:r>
              <w:rPr>
                <w:rFonts w:hint="eastAsia"/>
                <w:color w:val="auto"/>
                <w:highlight w:val="none"/>
              </w:rPr>
              <w:t>。</w:t>
            </w:r>
          </w:p>
          <w:p>
            <w:pPr>
              <w:rPr>
                <w:color w:val="auto"/>
                <w:highlight w:val="none"/>
              </w:rPr>
            </w:pPr>
            <w:r>
              <w:rPr>
                <w:color w:val="auto"/>
                <w:highlight w:val="none"/>
              </w:rPr>
              <w:t>2</w:t>
            </w:r>
            <w:r>
              <w:rPr>
                <w:rFonts w:hint="eastAsia"/>
                <w:color w:val="auto"/>
                <w:highlight w:val="none"/>
              </w:rPr>
              <w:t>、优等品，符合国标要求，并符合相关规定及环保要求，规格按设计要求。</w:t>
            </w:r>
          </w:p>
          <w:p>
            <w:pPr>
              <w:rPr>
                <w:color w:val="auto"/>
                <w:highlight w:val="none"/>
              </w:rPr>
            </w:pPr>
            <w:r>
              <w:rPr>
                <w:color w:val="auto"/>
                <w:highlight w:val="none"/>
              </w:rPr>
              <w:t>3</w:t>
            </w:r>
            <w:r>
              <w:rPr>
                <w:rFonts w:hint="eastAsia"/>
                <w:color w:val="auto"/>
                <w:highlight w:val="none"/>
              </w:rPr>
              <w:t>、普通地砖、防滑地砖：应选用强度高、耐磨性好的干压陶瓷砖，陶质砖执行</w:t>
            </w:r>
            <w:r>
              <w:rPr>
                <w:color w:val="auto"/>
                <w:highlight w:val="none"/>
              </w:rPr>
              <w:t xml:space="preserve">GB/T4100-2006 </w:t>
            </w:r>
            <w:r>
              <w:rPr>
                <w:rFonts w:hint="eastAsia"/>
                <w:color w:val="auto"/>
                <w:highlight w:val="none"/>
              </w:rPr>
              <w:t>附录</w:t>
            </w:r>
            <w:r>
              <w:rPr>
                <w:color w:val="auto"/>
                <w:highlight w:val="none"/>
              </w:rPr>
              <w:t>L</w:t>
            </w:r>
            <w:r>
              <w:rPr>
                <w:rFonts w:hint="eastAsia"/>
                <w:color w:val="auto"/>
                <w:highlight w:val="none"/>
              </w:rPr>
              <w:t>要求，炻质砖执行</w:t>
            </w:r>
            <w:r>
              <w:rPr>
                <w:color w:val="auto"/>
                <w:highlight w:val="none"/>
              </w:rPr>
              <w:t xml:space="preserve">GB/T4100-2006 </w:t>
            </w:r>
            <w:r>
              <w:rPr>
                <w:rFonts w:hint="eastAsia"/>
                <w:color w:val="auto"/>
                <w:highlight w:val="none"/>
              </w:rPr>
              <w:t>附录</w:t>
            </w:r>
            <w:r>
              <w:rPr>
                <w:color w:val="auto"/>
                <w:highlight w:val="none"/>
              </w:rPr>
              <w:t>K</w:t>
            </w:r>
            <w:r>
              <w:rPr>
                <w:rFonts w:hint="eastAsia"/>
                <w:color w:val="auto"/>
                <w:highlight w:val="none"/>
              </w:rPr>
              <w:t>要求；</w:t>
            </w:r>
          </w:p>
          <w:p>
            <w:pPr>
              <w:rPr>
                <w:color w:val="auto"/>
                <w:highlight w:val="none"/>
              </w:rPr>
            </w:pPr>
            <w:r>
              <w:rPr>
                <w:rFonts w:hint="eastAsia"/>
                <w:color w:val="auto"/>
                <w:highlight w:val="none"/>
              </w:rPr>
              <w:t>抛光砖墙面：干压陶瓷砖，执行</w:t>
            </w:r>
            <w:r>
              <w:rPr>
                <w:color w:val="auto"/>
                <w:highlight w:val="none"/>
              </w:rPr>
              <w:t xml:space="preserve">GB/T4100-2006 </w:t>
            </w:r>
            <w:r>
              <w:rPr>
                <w:rFonts w:hint="eastAsia"/>
                <w:color w:val="auto"/>
                <w:highlight w:val="none"/>
              </w:rPr>
              <w:t>附录</w:t>
            </w:r>
            <w:r>
              <w:rPr>
                <w:color w:val="auto"/>
                <w:highlight w:val="none"/>
              </w:rPr>
              <w:t>G</w:t>
            </w:r>
            <w:r>
              <w:rPr>
                <w:rFonts w:hint="eastAsia"/>
                <w:color w:val="auto"/>
                <w:highlight w:val="none"/>
              </w:rPr>
              <w:t>要求；</w:t>
            </w:r>
            <w:r>
              <w:rPr>
                <w:color w:val="auto"/>
                <w:highlight w:val="none"/>
              </w:rPr>
              <w:br w:type="textWrapping"/>
            </w:r>
            <w:r>
              <w:rPr>
                <w:rFonts w:hint="eastAsia"/>
                <w:color w:val="auto"/>
                <w:highlight w:val="none"/>
              </w:rPr>
              <w:t>仿石砖墙面：干压陶瓷砖，执行</w:t>
            </w:r>
            <w:r>
              <w:rPr>
                <w:color w:val="auto"/>
                <w:highlight w:val="none"/>
              </w:rPr>
              <w:t xml:space="preserve">GB/T4100-2006 </w:t>
            </w:r>
            <w:r>
              <w:rPr>
                <w:rFonts w:hint="eastAsia"/>
                <w:color w:val="auto"/>
                <w:highlight w:val="none"/>
              </w:rPr>
              <w:t>附录</w:t>
            </w:r>
            <w:r>
              <w:rPr>
                <w:color w:val="auto"/>
                <w:highlight w:val="none"/>
              </w:rPr>
              <w:t>K</w:t>
            </w:r>
            <w:r>
              <w:rPr>
                <w:rFonts w:hint="eastAsia"/>
                <w:color w:val="auto"/>
                <w:highlight w:val="none"/>
              </w:rPr>
              <w:t>要求；</w:t>
            </w:r>
          </w:p>
          <w:p>
            <w:pPr>
              <w:rPr>
                <w:color w:val="auto"/>
                <w:highlight w:val="none"/>
              </w:rPr>
            </w:pPr>
            <w:r>
              <w:rPr>
                <w:color w:val="auto"/>
                <w:highlight w:val="none"/>
              </w:rPr>
              <w:t>4</w:t>
            </w:r>
            <w:r>
              <w:rPr>
                <w:rFonts w:hint="eastAsia"/>
                <w:color w:val="auto"/>
                <w:highlight w:val="none"/>
              </w:rPr>
              <w:t>、材质符合实物样板要求。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75" w:type="dxa"/>
            <w:noWrap w:val="0"/>
            <w:vAlign w:val="center"/>
          </w:tcPr>
          <w:p>
            <w:pPr>
              <w:rPr>
                <w:color w:val="auto"/>
                <w:highlight w:val="none"/>
              </w:rPr>
            </w:pPr>
            <w:r>
              <w:rPr>
                <w:color w:val="auto"/>
                <w:highlight w:val="none"/>
              </w:rPr>
              <w:t>10</w:t>
            </w:r>
          </w:p>
        </w:tc>
        <w:tc>
          <w:tcPr>
            <w:tcW w:w="1398" w:type="dxa"/>
            <w:noWrap w:val="0"/>
            <w:vAlign w:val="center"/>
          </w:tcPr>
          <w:p>
            <w:pPr>
              <w:rPr>
                <w:color w:val="auto"/>
                <w:highlight w:val="none"/>
              </w:rPr>
            </w:pPr>
            <w:r>
              <w:rPr>
                <w:rFonts w:hint="eastAsia"/>
                <w:color w:val="auto"/>
                <w:highlight w:val="none"/>
              </w:rPr>
              <w:t>地毯</w:t>
            </w:r>
          </w:p>
        </w:tc>
        <w:tc>
          <w:tcPr>
            <w:tcW w:w="6864" w:type="dxa"/>
            <w:noWrap w:val="0"/>
            <w:vAlign w:val="center"/>
          </w:tcPr>
          <w:p>
            <w:pPr>
              <w:rPr>
                <w:color w:val="auto"/>
                <w:highlight w:val="none"/>
              </w:rPr>
            </w:pPr>
            <w:r>
              <w:rPr>
                <w:rFonts w:hint="eastAsia"/>
                <w:color w:val="auto"/>
                <w:highlight w:val="none"/>
              </w:rPr>
              <w:t>符合环保要求</w:t>
            </w:r>
          </w:p>
          <w:p>
            <w:pPr>
              <w:rPr>
                <w:color w:val="auto"/>
                <w:highlight w:val="none"/>
              </w:rPr>
            </w:pPr>
            <w:r>
              <w:rPr>
                <w:rFonts w:hint="eastAsia"/>
                <w:color w:val="auto"/>
                <w:highlight w:val="none"/>
              </w:rPr>
              <w:t>防火性能：</w:t>
            </w:r>
            <w:r>
              <w:rPr>
                <w:color w:val="auto"/>
                <w:highlight w:val="none"/>
              </w:rPr>
              <w:t>B1</w:t>
            </w:r>
            <w:r>
              <w:rPr>
                <w:rFonts w:hint="eastAsia"/>
                <w:color w:val="auto"/>
                <w:highlight w:val="none"/>
              </w:rPr>
              <w:t>级</w:t>
            </w:r>
          </w:p>
          <w:p>
            <w:pPr>
              <w:rPr>
                <w:color w:val="auto"/>
                <w:highlight w:val="none"/>
              </w:rPr>
            </w:pPr>
            <w:r>
              <w:rPr>
                <w:rFonts w:hint="eastAsia"/>
                <w:color w:val="auto"/>
                <w:highlight w:val="none"/>
              </w:rPr>
              <w:t>符合</w:t>
            </w:r>
            <w:r>
              <w:rPr>
                <w:color w:val="auto"/>
                <w:highlight w:val="none"/>
              </w:rPr>
              <w:t>ISO9001:2000</w:t>
            </w:r>
            <w:r>
              <w:rPr>
                <w:rFonts w:hint="eastAsia"/>
                <w:color w:val="auto"/>
                <w:highlight w:val="none"/>
              </w:rPr>
              <w:t>质量体系认证</w:t>
            </w:r>
          </w:p>
          <w:p>
            <w:pPr>
              <w:rPr>
                <w:color w:val="auto"/>
                <w:highlight w:val="none"/>
              </w:rPr>
            </w:pPr>
            <w:r>
              <w:rPr>
                <w:rFonts w:hint="eastAsia"/>
                <w:color w:val="auto"/>
                <w:highlight w:val="none"/>
              </w:rPr>
              <w:t>符合国家标准</w:t>
            </w:r>
            <w:r>
              <w:rPr>
                <w:color w:val="auto"/>
                <w:highlight w:val="none"/>
              </w:rPr>
              <w:t>GB18587-2001</w:t>
            </w:r>
            <w:r>
              <w:rPr>
                <w:rFonts w:hint="eastAsia"/>
                <w:color w:val="auto"/>
                <w:highlight w:val="none"/>
              </w:rPr>
              <w:t>《室内装饰装修材料地毯、地毯衬垫及地毯胶粘剂有害物质释放限量》</w:t>
            </w:r>
            <w:r>
              <w:rPr>
                <w:color w:val="auto"/>
                <w:highlight w:val="none"/>
              </w:rPr>
              <w:t>A</w:t>
            </w:r>
            <w:r>
              <w:rPr>
                <w:rFonts w:hint="eastAsia"/>
                <w:color w:val="auto"/>
                <w:highlight w:val="none"/>
              </w:rPr>
              <w:t>级指标要求</w:t>
            </w:r>
          </w:p>
          <w:p>
            <w:pPr>
              <w:rPr>
                <w:color w:val="auto"/>
                <w:highlight w:val="none"/>
              </w:rPr>
            </w:pPr>
            <w:r>
              <w:rPr>
                <w:rFonts w:hint="eastAsia"/>
                <w:color w:val="auto"/>
                <w:highlight w:val="none"/>
              </w:rPr>
              <w:t>材料主要技术参数要求（一）：</w:t>
            </w:r>
          </w:p>
          <w:tbl>
            <w:tblPr>
              <w:tblStyle w:val="43"/>
              <w:tblW w:w="60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1"/>
              <w:gridCol w:w="900"/>
              <w:gridCol w:w="1080"/>
              <w:gridCol w:w="900"/>
              <w:gridCol w:w="129"/>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检验项目</w:t>
                  </w:r>
                </w:p>
              </w:tc>
              <w:tc>
                <w:tcPr>
                  <w:tcW w:w="900"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单位</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标准指标</w:t>
                  </w:r>
                </w:p>
              </w:tc>
              <w:tc>
                <w:tcPr>
                  <w:tcW w:w="2058" w:type="dxa"/>
                  <w:gridSpan w:val="3"/>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实测数值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中等静负载厚度减少</w:t>
                  </w:r>
                </w:p>
              </w:tc>
              <w:tc>
                <w:tcPr>
                  <w:tcW w:w="900"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color w:val="auto"/>
                      <w:highlight w:val="none"/>
                    </w:rPr>
                    <w:t>mm</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w:t>
                  </w:r>
                  <w:r>
                    <w:rPr>
                      <w:color w:val="auto"/>
                      <w:highlight w:val="none"/>
                    </w:rPr>
                    <w:t>2</w:t>
                  </w:r>
                </w:p>
              </w:tc>
              <w:tc>
                <w:tcPr>
                  <w:tcW w:w="2058" w:type="dxa"/>
                  <w:gridSpan w:val="3"/>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color w:val="auto"/>
                      <w:highlight w:val="none"/>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绒簇拔出力</w:t>
                  </w:r>
                </w:p>
              </w:tc>
              <w:tc>
                <w:tcPr>
                  <w:tcW w:w="900"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color w:val="auto"/>
                      <w:highlight w:val="none"/>
                    </w:rPr>
                    <w:t>N</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w:t>
                  </w:r>
                  <w:r>
                    <w:rPr>
                      <w:color w:val="auto"/>
                      <w:highlight w:val="none"/>
                    </w:rPr>
                    <w:t>20</w:t>
                  </w:r>
                </w:p>
              </w:tc>
              <w:tc>
                <w:tcPr>
                  <w:tcW w:w="2058" w:type="dxa"/>
                  <w:gridSpan w:val="3"/>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color w:val="auto"/>
                      <w:highlight w:val="none"/>
                    </w:rPr>
                    <w:t>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绒头质量</w:t>
                  </w:r>
                </w:p>
              </w:tc>
              <w:tc>
                <w:tcPr>
                  <w:tcW w:w="900"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color w:val="auto"/>
                      <w:highlight w:val="none"/>
                    </w:rPr>
                    <w:t>g/m</w:t>
                  </w:r>
                  <w:r>
                    <w:rPr>
                      <w:rFonts w:hint="eastAsia"/>
                      <w:color w:val="auto"/>
                      <w:highlight w:val="none"/>
                    </w:rPr>
                    <w:t>²</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w:t>
                  </w:r>
                  <w:r>
                    <w:rPr>
                      <w:color w:val="auto"/>
                      <w:highlight w:val="none"/>
                    </w:rPr>
                    <w:t>250</w:t>
                  </w:r>
                </w:p>
              </w:tc>
              <w:tc>
                <w:tcPr>
                  <w:tcW w:w="2058" w:type="dxa"/>
                  <w:gridSpan w:val="3"/>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color w:val="auto"/>
                      <w:highlight w:val="none"/>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trPr>
              <w:tc>
                <w:tcPr>
                  <w:tcW w:w="2031" w:type="dxa"/>
                  <w:vMerge w:val="restart"/>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耐摩擦牢度（干摩擦）</w:t>
                  </w:r>
                </w:p>
              </w:tc>
              <w:tc>
                <w:tcPr>
                  <w:tcW w:w="900" w:type="dxa"/>
                  <w:vMerge w:val="restart"/>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级</w:t>
                  </w: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w:t>
                  </w:r>
                  <w:r>
                    <w:rPr>
                      <w:color w:val="auto"/>
                      <w:highlight w:val="none"/>
                    </w:rPr>
                    <w:t>3-4</w:t>
                  </w:r>
                </w:p>
              </w:tc>
              <w:tc>
                <w:tcPr>
                  <w:tcW w:w="1029" w:type="dxa"/>
                  <w:gridSpan w:val="2"/>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纵向</w:t>
                  </w:r>
                </w:p>
              </w:tc>
              <w:tc>
                <w:tcPr>
                  <w:tcW w:w="1029"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color w:val="auto"/>
                      <w:highlight w:val="none"/>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trPr>
              <w:tc>
                <w:tcPr>
                  <w:tcW w:w="2031" w:type="dxa"/>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1029" w:type="dxa"/>
                  <w:gridSpan w:val="2"/>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横向</w:t>
                  </w:r>
                </w:p>
              </w:tc>
              <w:tc>
                <w:tcPr>
                  <w:tcW w:w="1029"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color w:val="auto"/>
                      <w:highlight w:val="none"/>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耐光色牢度（氙弧）</w:t>
                  </w:r>
                </w:p>
              </w:tc>
              <w:tc>
                <w:tcPr>
                  <w:tcW w:w="900"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级</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w:t>
                  </w:r>
                  <w:r>
                    <w:rPr>
                      <w:color w:val="auto"/>
                      <w:highlight w:val="none"/>
                    </w:rPr>
                    <w:t>4</w:t>
                  </w:r>
                </w:p>
              </w:tc>
              <w:tc>
                <w:tcPr>
                  <w:tcW w:w="2058" w:type="dxa"/>
                  <w:gridSpan w:val="3"/>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color w:val="auto"/>
                      <w:highlight w:val="none"/>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trPr>
              <w:tc>
                <w:tcPr>
                  <w:tcW w:w="2031" w:type="dxa"/>
                  <w:vMerge w:val="restart"/>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背衬剥离强度</w:t>
                  </w:r>
                </w:p>
              </w:tc>
              <w:tc>
                <w:tcPr>
                  <w:tcW w:w="900" w:type="dxa"/>
                  <w:vMerge w:val="restart"/>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color w:val="auto"/>
                      <w:highlight w:val="none"/>
                    </w:rPr>
                    <w:t>N</w:t>
                  </w: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w:t>
                  </w:r>
                  <w:r>
                    <w:rPr>
                      <w:color w:val="auto"/>
                      <w:highlight w:val="none"/>
                    </w:rPr>
                    <w:t>20</w:t>
                  </w:r>
                </w:p>
              </w:tc>
              <w:tc>
                <w:tcPr>
                  <w:tcW w:w="900"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纵向</w:t>
                  </w:r>
                </w:p>
              </w:tc>
              <w:tc>
                <w:tcPr>
                  <w:tcW w:w="1158" w:type="dxa"/>
                  <w:gridSpan w:val="2"/>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color w:val="auto"/>
                      <w:highlight w:val="none"/>
                    </w:rPr>
                    <w:t>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1" w:hRule="atLeast"/>
              </w:trPr>
              <w:tc>
                <w:tcPr>
                  <w:tcW w:w="2031" w:type="dxa"/>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横向</w:t>
                  </w:r>
                </w:p>
              </w:tc>
              <w:tc>
                <w:tcPr>
                  <w:tcW w:w="1158" w:type="dxa"/>
                  <w:gridSpan w:val="2"/>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color w:val="auto"/>
                      <w:highlight w:val="none"/>
                    </w:rPr>
                    <w:t>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1"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耐燃性（水平法，片剂）</w:t>
                  </w:r>
                </w:p>
              </w:tc>
              <w:tc>
                <w:tcPr>
                  <w:tcW w:w="900"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color w:val="auto"/>
                      <w:highlight w:val="none"/>
                    </w:rPr>
                    <w:t>mm</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损毁最大距离≤</w:t>
                  </w:r>
                  <w:r>
                    <w:rPr>
                      <w:color w:val="auto"/>
                      <w:highlight w:val="none"/>
                    </w:rPr>
                    <w:t>75</w:t>
                  </w:r>
                </w:p>
                <w:p>
                  <w:pPr>
                    <w:rPr>
                      <w:color w:val="auto"/>
                      <w:highlight w:val="none"/>
                    </w:rPr>
                  </w:pPr>
                  <w:r>
                    <w:rPr>
                      <w:rFonts w:hint="eastAsia"/>
                      <w:color w:val="auto"/>
                      <w:highlight w:val="none"/>
                    </w:rPr>
                    <w:t>至少七快合格</w:t>
                  </w:r>
                </w:p>
              </w:tc>
              <w:tc>
                <w:tcPr>
                  <w:tcW w:w="2058" w:type="dxa"/>
                  <w:gridSpan w:val="3"/>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八块试样达到标准要求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2031" w:type="dxa"/>
                  <w:vMerge w:val="restart"/>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尺寸偏差</w:t>
                  </w:r>
                </w:p>
              </w:tc>
              <w:tc>
                <w:tcPr>
                  <w:tcW w:w="900" w:type="dxa"/>
                  <w:vMerge w:val="restart"/>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color w:val="auto"/>
                      <w:highlight w:val="none"/>
                    </w:rPr>
                    <w:t>%</w:t>
                  </w: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幅宽的±</w:t>
                  </w:r>
                  <w:r>
                    <w:rPr>
                      <w:color w:val="auto"/>
                      <w:highlight w:val="none"/>
                    </w:rPr>
                    <w:t>0.5</w:t>
                  </w:r>
                  <w:r>
                    <w:rPr>
                      <w:rFonts w:hint="eastAsia"/>
                      <w:color w:val="auto"/>
                      <w:highlight w:val="none"/>
                    </w:rPr>
                    <w:t>内卷长度不小于公称尺寸</w:t>
                  </w:r>
                </w:p>
              </w:tc>
              <w:tc>
                <w:tcPr>
                  <w:tcW w:w="900"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宽度差</w:t>
                  </w:r>
                </w:p>
              </w:tc>
              <w:tc>
                <w:tcPr>
                  <w:tcW w:w="1158" w:type="dxa"/>
                  <w:gridSpan w:val="2"/>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color w:val="auto"/>
                      <w:highlight w:val="none"/>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2031" w:type="dxa"/>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长度差</w:t>
                  </w:r>
                </w:p>
              </w:tc>
              <w:tc>
                <w:tcPr>
                  <w:tcW w:w="1158" w:type="dxa"/>
                  <w:gridSpan w:val="2"/>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1"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外观质量</w:t>
                  </w:r>
                </w:p>
              </w:tc>
              <w:tc>
                <w:tcPr>
                  <w:tcW w:w="900"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优等品</w:t>
                  </w:r>
                </w:p>
                <w:p>
                  <w:pPr>
                    <w:rPr>
                      <w:color w:val="auto"/>
                      <w:highlight w:val="none"/>
                    </w:rPr>
                  </w:pPr>
                  <w:r>
                    <w:rPr>
                      <w:rFonts w:hint="eastAsia"/>
                      <w:color w:val="auto"/>
                      <w:highlight w:val="none"/>
                    </w:rPr>
                    <w:t>一等品</w:t>
                  </w:r>
                </w:p>
                <w:p>
                  <w:pPr>
                    <w:rPr>
                      <w:color w:val="auto"/>
                      <w:highlight w:val="none"/>
                    </w:rPr>
                  </w:pPr>
                  <w:r>
                    <w:rPr>
                      <w:rFonts w:hint="eastAsia"/>
                      <w:color w:val="auto"/>
                      <w:highlight w:val="none"/>
                    </w:rPr>
                    <w:t>合格品</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九项外观疵点</w:t>
                  </w:r>
                </w:p>
              </w:tc>
              <w:tc>
                <w:tcPr>
                  <w:tcW w:w="2058" w:type="dxa"/>
                  <w:gridSpan w:val="3"/>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九项外观疵点检查符合标准优等品指标要求。</w:t>
                  </w:r>
                </w:p>
                <w:p>
                  <w:pPr>
                    <w:rPr>
                      <w:color w:val="auto"/>
                      <w:highlight w:val="none"/>
                    </w:rPr>
                  </w:pPr>
                  <w:r>
                    <w:rPr>
                      <w:rFonts w:hint="eastAsia"/>
                      <w:color w:val="auto"/>
                      <w:highlight w:val="none"/>
                    </w:rPr>
                    <w:t>（优等品）</w:t>
                  </w:r>
                </w:p>
              </w:tc>
            </w:tr>
          </w:tbl>
          <w:p>
            <w:pPr>
              <w:rPr>
                <w:color w:val="auto"/>
                <w:highlight w:val="none"/>
              </w:rPr>
            </w:pPr>
            <w:r>
              <w:rPr>
                <w:rFonts w:hint="eastAsia"/>
                <w:color w:val="auto"/>
                <w:highlight w:val="none"/>
              </w:rPr>
              <w:t>材料主要技术参数要求（二）：</w:t>
            </w:r>
          </w:p>
          <w:tbl>
            <w:tblPr>
              <w:tblStyle w:val="43"/>
              <w:tblW w:w="60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4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织作方法</w:t>
                  </w:r>
                </w:p>
              </w:tc>
              <w:tc>
                <w:tcPr>
                  <w:tcW w:w="4758"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簇绒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织做工艺</w:t>
                  </w:r>
                </w:p>
              </w:tc>
              <w:tc>
                <w:tcPr>
                  <w:tcW w:w="4758"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高割低圈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11"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绒头成份</w:t>
                  </w:r>
                </w:p>
              </w:tc>
              <w:tc>
                <w:tcPr>
                  <w:tcW w:w="4758"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优质丙纶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针距</w:t>
                  </w:r>
                </w:p>
              </w:tc>
              <w:tc>
                <w:tcPr>
                  <w:tcW w:w="4758"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color w:val="auto"/>
                      <w:highlight w:val="none"/>
                    </w:rPr>
                    <w:t>1/10</w:t>
                  </w:r>
                  <w:r>
                    <w:rPr>
                      <w:rFonts w:hint="eastAsia"/>
                      <w:color w:val="auto"/>
                      <w:highlight w:val="none"/>
                    </w:rPr>
                    <w:t>英寸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绒高</w:t>
                  </w:r>
                </w:p>
              </w:tc>
              <w:tc>
                <w:tcPr>
                  <w:tcW w:w="4758"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color w:val="auto"/>
                      <w:highlight w:val="none"/>
                    </w:rPr>
                    <w:t>5-10mm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绒重</w:t>
                  </w:r>
                </w:p>
              </w:tc>
              <w:tc>
                <w:tcPr>
                  <w:tcW w:w="4758"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color w:val="auto"/>
                      <w:highlight w:val="none"/>
                    </w:rPr>
                    <w:t>1360</w:t>
                  </w:r>
                  <w:r>
                    <w:rPr>
                      <w:rFonts w:hint="eastAsia"/>
                      <w:color w:val="auto"/>
                      <w:highlight w:val="none"/>
                    </w:rPr>
                    <w:t>克</w:t>
                  </w:r>
                  <w:r>
                    <w:rPr>
                      <w:color w:val="auto"/>
                      <w:highlight w:val="none"/>
                    </w:rPr>
                    <w:t>/</w:t>
                  </w:r>
                  <w:r>
                    <w:rPr>
                      <w:rFonts w:hint="eastAsia"/>
                      <w:color w:val="auto"/>
                      <w:highlight w:val="none"/>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底背材料</w:t>
                  </w:r>
                </w:p>
              </w:tc>
              <w:tc>
                <w:tcPr>
                  <w:tcW w:w="4758"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color w:val="auto"/>
                      <w:highlight w:val="none"/>
                    </w:rPr>
                    <w:t>Pp</w:t>
                  </w:r>
                  <w:r>
                    <w:rPr>
                      <w:rFonts w:hint="eastAsia"/>
                      <w:color w:val="auto"/>
                      <w:highlight w:val="none"/>
                    </w:rPr>
                    <w:t>网络</w:t>
                  </w:r>
                </w:p>
              </w:tc>
            </w:tr>
          </w:tbl>
          <w:p>
            <w:pPr>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75" w:type="dxa"/>
            <w:noWrap w:val="0"/>
            <w:vAlign w:val="center"/>
          </w:tcPr>
          <w:p>
            <w:pPr>
              <w:rPr>
                <w:color w:val="auto"/>
                <w:highlight w:val="none"/>
              </w:rPr>
            </w:pPr>
            <w:r>
              <w:rPr>
                <w:color w:val="auto"/>
                <w:highlight w:val="none"/>
              </w:rPr>
              <w:t>11</w:t>
            </w:r>
          </w:p>
        </w:tc>
        <w:tc>
          <w:tcPr>
            <w:tcW w:w="1398" w:type="dxa"/>
            <w:noWrap w:val="0"/>
            <w:vAlign w:val="center"/>
          </w:tcPr>
          <w:p>
            <w:pPr>
              <w:rPr>
                <w:color w:val="auto"/>
                <w:highlight w:val="none"/>
              </w:rPr>
            </w:pPr>
            <w:r>
              <w:rPr>
                <w:rFonts w:hint="eastAsia"/>
                <w:color w:val="auto"/>
                <w:highlight w:val="none"/>
              </w:rPr>
              <w:t>乳胶漆</w:t>
            </w:r>
          </w:p>
        </w:tc>
        <w:tc>
          <w:tcPr>
            <w:tcW w:w="6864" w:type="dxa"/>
            <w:noWrap w:val="0"/>
            <w:vAlign w:val="center"/>
          </w:tcPr>
          <w:p>
            <w:pPr>
              <w:rPr>
                <w:color w:val="auto"/>
                <w:highlight w:val="none"/>
              </w:rPr>
            </w:pPr>
            <w:r>
              <w:rPr>
                <w:rFonts w:hint="eastAsia"/>
                <w:color w:val="auto"/>
                <w:highlight w:val="none"/>
              </w:rPr>
              <w:t>符合设计及国家标准的相关规定、环保要求；经过国家</w:t>
            </w:r>
            <w:r>
              <w:rPr>
                <w:color w:val="auto"/>
                <w:highlight w:val="none"/>
              </w:rPr>
              <w:t>ISO</w:t>
            </w:r>
            <w:r>
              <w:rPr>
                <w:rFonts w:hint="eastAsia"/>
                <w:color w:val="auto"/>
                <w:highlight w:val="none"/>
              </w:rPr>
              <w:t>国际质量认证，环保认证必须符合国家强制性标准（</w:t>
            </w:r>
            <w:r>
              <w:rPr>
                <w:color w:val="auto"/>
                <w:highlight w:val="none"/>
              </w:rPr>
              <w:t>GB18582-2001</w:t>
            </w:r>
            <w:r>
              <w:rPr>
                <w:rFonts w:hint="eastAsia"/>
                <w:color w:val="auto"/>
                <w:highlight w:val="none"/>
              </w:rPr>
              <w:t>）《室内装饰装修材料内墙涂料中有害物质限量》的要求和</w:t>
            </w:r>
            <w:r>
              <w:rPr>
                <w:color w:val="auto"/>
                <w:highlight w:val="none"/>
              </w:rPr>
              <w:t>3C</w:t>
            </w:r>
            <w:r>
              <w:rPr>
                <w:rFonts w:hint="eastAsia"/>
                <w:color w:val="auto"/>
                <w:highlight w:val="none"/>
              </w:rPr>
              <w:t>认证。</w:t>
            </w:r>
          </w:p>
          <w:p>
            <w:pPr>
              <w:rPr>
                <w:color w:val="auto"/>
                <w:highlight w:val="none"/>
              </w:rPr>
            </w:pPr>
            <w:r>
              <w:rPr>
                <w:color w:val="auto"/>
                <w:highlight w:val="none"/>
              </w:rPr>
              <w:t>1.</w:t>
            </w:r>
            <w:r>
              <w:rPr>
                <w:rFonts w:hint="eastAsia"/>
                <w:color w:val="auto"/>
                <w:highlight w:val="none"/>
              </w:rPr>
              <w:t>耐擦洗性能：≥</w:t>
            </w:r>
            <w:r>
              <w:rPr>
                <w:color w:val="auto"/>
                <w:highlight w:val="none"/>
              </w:rPr>
              <w:t>5000</w:t>
            </w:r>
            <w:r>
              <w:rPr>
                <w:rFonts w:hint="eastAsia"/>
                <w:color w:val="auto"/>
                <w:highlight w:val="none"/>
              </w:rPr>
              <w:t>次</w:t>
            </w:r>
          </w:p>
          <w:p>
            <w:pPr>
              <w:rPr>
                <w:color w:val="auto"/>
                <w:highlight w:val="none"/>
              </w:rPr>
            </w:pPr>
            <w:r>
              <w:rPr>
                <w:color w:val="auto"/>
                <w:highlight w:val="none"/>
              </w:rPr>
              <w:t>2.</w:t>
            </w:r>
            <w:r>
              <w:rPr>
                <w:rFonts w:hint="eastAsia"/>
                <w:color w:val="auto"/>
                <w:highlight w:val="none"/>
              </w:rPr>
              <w:t>干燥时间</w:t>
            </w:r>
            <w:r>
              <w:rPr>
                <w:color w:val="auto"/>
                <w:highlight w:val="none"/>
              </w:rPr>
              <w:t>(</w:t>
            </w:r>
            <w:r>
              <w:rPr>
                <w:rFonts w:hint="eastAsia"/>
                <w:color w:val="auto"/>
                <w:highlight w:val="none"/>
              </w:rPr>
              <w:t>表干</w:t>
            </w:r>
            <w:r>
              <w:rPr>
                <w:color w:val="auto"/>
                <w:highlight w:val="none"/>
              </w:rPr>
              <w:t>)</w:t>
            </w:r>
            <w:r>
              <w:rPr>
                <w:rFonts w:hint="eastAsia"/>
                <w:color w:val="auto"/>
                <w:highlight w:val="none"/>
              </w:rPr>
              <w:t>：≤</w:t>
            </w:r>
            <w:r>
              <w:rPr>
                <w:color w:val="auto"/>
                <w:highlight w:val="none"/>
              </w:rPr>
              <w:t>2.0</w:t>
            </w:r>
            <w:r>
              <w:rPr>
                <w:rFonts w:hint="eastAsia"/>
                <w:color w:val="auto"/>
                <w:highlight w:val="none"/>
              </w:rPr>
              <w:t>小时</w:t>
            </w:r>
          </w:p>
          <w:p>
            <w:pPr>
              <w:rPr>
                <w:color w:val="auto"/>
                <w:highlight w:val="none"/>
              </w:rPr>
            </w:pPr>
            <w:r>
              <w:rPr>
                <w:color w:val="auto"/>
                <w:highlight w:val="none"/>
              </w:rPr>
              <w:t>3.</w:t>
            </w:r>
            <w:r>
              <w:rPr>
                <w:rFonts w:hint="eastAsia"/>
                <w:color w:val="auto"/>
                <w:highlight w:val="none"/>
              </w:rPr>
              <w:t>耐水性：较好</w:t>
            </w:r>
          </w:p>
          <w:p>
            <w:pPr>
              <w:rPr>
                <w:color w:val="auto"/>
                <w:highlight w:val="none"/>
              </w:rPr>
            </w:pPr>
            <w:r>
              <w:rPr>
                <w:color w:val="auto"/>
                <w:highlight w:val="none"/>
              </w:rPr>
              <w:t>4.</w:t>
            </w:r>
            <w:r>
              <w:rPr>
                <w:rFonts w:hint="eastAsia"/>
                <w:color w:val="auto"/>
                <w:highlight w:val="none"/>
              </w:rPr>
              <w:t>耐碱性：</w:t>
            </w:r>
            <w:r>
              <w:rPr>
                <w:color w:val="auto"/>
                <w:highlight w:val="none"/>
              </w:rPr>
              <w:t>(48h</w:t>
            </w:r>
            <w:r>
              <w:rPr>
                <w:rFonts w:hint="eastAsia"/>
                <w:color w:val="auto"/>
                <w:highlight w:val="none"/>
              </w:rPr>
              <w:t>，饱和氢氧化钙溶液</w:t>
            </w:r>
            <w:r>
              <w:rPr>
                <w:color w:val="auto"/>
                <w:highlight w:val="none"/>
              </w:rPr>
              <w:t>)</w:t>
            </w:r>
            <w:r>
              <w:rPr>
                <w:rFonts w:hint="eastAsia"/>
                <w:color w:val="auto"/>
                <w:highlight w:val="none"/>
              </w:rPr>
              <w:t>无异常</w:t>
            </w:r>
          </w:p>
          <w:p>
            <w:pPr>
              <w:rPr>
                <w:color w:val="auto"/>
                <w:highlight w:val="none"/>
              </w:rPr>
            </w:pPr>
            <w:r>
              <w:rPr>
                <w:color w:val="auto"/>
                <w:highlight w:val="none"/>
              </w:rPr>
              <w:t>5.</w:t>
            </w:r>
            <w:r>
              <w:rPr>
                <w:rFonts w:hint="eastAsia"/>
                <w:color w:val="auto"/>
                <w:highlight w:val="none"/>
              </w:rPr>
              <w:t>黏度（</w:t>
            </w:r>
            <w:r>
              <w:rPr>
                <w:color w:val="auto"/>
                <w:highlight w:val="none"/>
              </w:rPr>
              <w:t>s</w:t>
            </w:r>
            <w:r>
              <w:rPr>
                <w:rFonts w:hint="eastAsia"/>
                <w:color w:val="auto"/>
                <w:highlight w:val="none"/>
              </w:rPr>
              <w:t>）：</w:t>
            </w:r>
            <w:r>
              <w:rPr>
                <w:color w:val="auto"/>
                <w:highlight w:val="none"/>
              </w:rPr>
              <w:t xml:space="preserve"> 30</w:t>
            </w:r>
            <w:r>
              <w:rPr>
                <w:rFonts w:hint="eastAsia"/>
                <w:color w:val="auto"/>
                <w:highlight w:val="none"/>
              </w:rPr>
              <w:t>～</w:t>
            </w:r>
            <w:r>
              <w:rPr>
                <w:color w:val="auto"/>
                <w:highlight w:val="none"/>
              </w:rPr>
              <w:t>75</w:t>
            </w:r>
          </w:p>
          <w:p>
            <w:pPr>
              <w:rPr>
                <w:color w:val="auto"/>
                <w:highlight w:val="none"/>
              </w:rPr>
            </w:pPr>
            <w:r>
              <w:rPr>
                <w:color w:val="auto"/>
                <w:highlight w:val="none"/>
              </w:rPr>
              <w:t>6.</w:t>
            </w:r>
            <w:r>
              <w:rPr>
                <w:rFonts w:hint="eastAsia"/>
                <w:color w:val="auto"/>
                <w:highlight w:val="none"/>
              </w:rPr>
              <w:t>细度</w:t>
            </w:r>
            <w:r>
              <w:rPr>
                <w:color w:val="auto"/>
                <w:highlight w:val="none"/>
              </w:rPr>
              <w:t>(um)</w:t>
            </w:r>
            <w:r>
              <w:rPr>
                <w:rFonts w:hint="eastAsia"/>
                <w:color w:val="auto"/>
                <w:highlight w:val="none"/>
              </w:rPr>
              <w:t>：≤</w:t>
            </w:r>
            <w:r>
              <w:rPr>
                <w:color w:val="auto"/>
                <w:highlight w:val="none"/>
              </w:rPr>
              <w:t>100</w:t>
            </w:r>
          </w:p>
          <w:p>
            <w:pPr>
              <w:rPr>
                <w:color w:val="auto"/>
                <w:highlight w:val="none"/>
              </w:rPr>
            </w:pPr>
            <w:r>
              <w:rPr>
                <w:color w:val="auto"/>
                <w:highlight w:val="none"/>
              </w:rPr>
              <w:t>7.</w:t>
            </w:r>
            <w:r>
              <w:rPr>
                <w:rFonts w:hint="eastAsia"/>
                <w:color w:val="auto"/>
                <w:highlight w:val="none"/>
              </w:rPr>
              <w:t>遮盖力</w:t>
            </w:r>
            <w:r>
              <w:rPr>
                <w:color w:val="auto"/>
                <w:highlight w:val="none"/>
              </w:rPr>
              <w:t>(g/</w:t>
            </w:r>
            <w:r>
              <w:rPr>
                <w:rFonts w:hint="eastAsia"/>
                <w:color w:val="auto"/>
                <w:highlight w:val="none"/>
              </w:rPr>
              <w:t>㎡</w:t>
            </w:r>
            <w:r>
              <w:rPr>
                <w:color w:val="auto"/>
                <w:highlight w:val="none"/>
              </w:rPr>
              <w:t xml:space="preserve">) </w:t>
            </w:r>
            <w:r>
              <w:rPr>
                <w:rFonts w:hint="eastAsia"/>
                <w:color w:val="auto"/>
                <w:highlight w:val="none"/>
              </w:rPr>
              <w:t>：≤</w:t>
            </w:r>
            <w:r>
              <w:rPr>
                <w:color w:val="auto"/>
                <w:highlight w:val="none"/>
              </w:rPr>
              <w:t>300</w:t>
            </w:r>
          </w:p>
          <w:p>
            <w:pPr>
              <w:rPr>
                <w:color w:val="auto"/>
                <w:highlight w:val="none"/>
              </w:rPr>
            </w:pPr>
            <w:r>
              <w:rPr>
                <w:color w:val="auto"/>
                <w:highlight w:val="none"/>
              </w:rPr>
              <w:t>8.</w:t>
            </w:r>
            <w:r>
              <w:rPr>
                <w:rFonts w:hint="eastAsia"/>
                <w:color w:val="auto"/>
                <w:highlight w:val="none"/>
              </w:rPr>
              <w:t>对比率（白色和浅色）≥</w:t>
            </w:r>
            <w:r>
              <w:rPr>
                <w:color w:val="auto"/>
                <w:highlight w:val="none"/>
              </w:rPr>
              <w:t>0.90</w:t>
            </w:r>
          </w:p>
          <w:p>
            <w:pPr>
              <w:rPr>
                <w:color w:val="auto"/>
                <w:highlight w:val="none"/>
              </w:rPr>
            </w:pPr>
            <w:r>
              <w:rPr>
                <w:color w:val="auto"/>
                <w:highlight w:val="none"/>
              </w:rPr>
              <w:t>9.</w:t>
            </w:r>
            <w:r>
              <w:rPr>
                <w:rFonts w:hint="eastAsia"/>
                <w:color w:val="auto"/>
                <w:highlight w:val="none"/>
              </w:rPr>
              <w:t>附着力</w:t>
            </w:r>
            <w:r>
              <w:rPr>
                <w:color w:val="auto"/>
                <w:highlight w:val="none"/>
              </w:rPr>
              <w:t>(%)</w:t>
            </w:r>
            <w:r>
              <w:rPr>
                <w:rFonts w:hint="eastAsia"/>
                <w:color w:val="auto"/>
                <w:highlight w:val="none"/>
              </w:rPr>
              <w:t>：</w:t>
            </w:r>
            <w:r>
              <w:rPr>
                <w:color w:val="auto"/>
                <w:highlight w:val="none"/>
              </w:rPr>
              <w:t>100</w:t>
            </w:r>
          </w:p>
          <w:p>
            <w:pPr>
              <w:rPr>
                <w:color w:val="auto"/>
                <w:highlight w:val="none"/>
              </w:rPr>
            </w:pPr>
            <w:r>
              <w:rPr>
                <w:color w:val="auto"/>
                <w:highlight w:val="none"/>
              </w:rPr>
              <w:t>10.</w:t>
            </w:r>
            <w:r>
              <w:rPr>
                <w:rFonts w:hint="eastAsia"/>
                <w:color w:val="auto"/>
                <w:highlight w:val="none"/>
              </w:rPr>
              <w:t>耐沾染性（</w:t>
            </w:r>
            <w:r>
              <w:rPr>
                <w:color w:val="auto"/>
                <w:highlight w:val="none"/>
              </w:rPr>
              <w:t>%</w:t>
            </w:r>
            <w:r>
              <w:rPr>
                <w:rFonts w:hint="eastAsia"/>
                <w:color w:val="auto"/>
                <w:highlight w:val="none"/>
              </w:rPr>
              <w:t>）：≤</w:t>
            </w:r>
            <w:r>
              <w:rPr>
                <w:color w:val="auto"/>
                <w:highlight w:val="none"/>
              </w:rPr>
              <w:t>30</w:t>
            </w:r>
          </w:p>
          <w:p>
            <w:pPr>
              <w:rPr>
                <w:color w:val="auto"/>
                <w:highlight w:val="none"/>
              </w:rPr>
            </w:pPr>
            <w:r>
              <w:rPr>
                <w:color w:val="auto"/>
                <w:highlight w:val="none"/>
              </w:rPr>
              <w:t>11.</w:t>
            </w:r>
            <w:r>
              <w:rPr>
                <w:rFonts w:hint="eastAsia"/>
                <w:color w:val="auto"/>
                <w:highlight w:val="none"/>
              </w:rPr>
              <w:t>延伸率（</w:t>
            </w:r>
            <w:r>
              <w:rPr>
                <w:color w:val="auto"/>
                <w:highlight w:val="none"/>
              </w:rPr>
              <w:t>%</w:t>
            </w:r>
            <w:r>
              <w:rPr>
                <w:rFonts w:hint="eastAsia"/>
                <w:color w:val="auto"/>
                <w:highlight w:val="none"/>
              </w:rPr>
              <w:t>）：≥</w:t>
            </w:r>
            <w:r>
              <w:rPr>
                <w:color w:val="auto"/>
                <w:highlight w:val="none"/>
              </w:rPr>
              <w:t>150</w:t>
            </w:r>
          </w:p>
          <w:p>
            <w:pPr>
              <w:rPr>
                <w:color w:val="auto"/>
                <w:highlight w:val="none"/>
              </w:rPr>
            </w:pPr>
            <w:r>
              <w:rPr>
                <w:color w:val="auto"/>
                <w:highlight w:val="none"/>
              </w:rPr>
              <w:t>12.</w:t>
            </w:r>
            <w:r>
              <w:rPr>
                <w:rFonts w:hint="eastAsia"/>
                <w:color w:val="auto"/>
                <w:highlight w:val="none"/>
              </w:rPr>
              <w:t>涂膜口红污染试验：通过</w:t>
            </w:r>
          </w:p>
          <w:p>
            <w:pPr>
              <w:rPr>
                <w:color w:val="auto"/>
                <w:highlight w:val="none"/>
              </w:rPr>
            </w:pPr>
            <w:r>
              <w:rPr>
                <w:color w:val="auto"/>
                <w:highlight w:val="none"/>
              </w:rPr>
              <w:t>13.</w:t>
            </w:r>
            <w:r>
              <w:rPr>
                <w:rFonts w:hint="eastAsia"/>
                <w:color w:val="auto"/>
                <w:highlight w:val="none"/>
              </w:rPr>
              <w:t>游离甲醛（</w:t>
            </w:r>
            <w:r>
              <w:rPr>
                <w:color w:val="auto"/>
                <w:highlight w:val="none"/>
              </w:rPr>
              <w:t>g/kg</w:t>
            </w:r>
            <w:r>
              <w:rPr>
                <w:rFonts w:hint="eastAsia"/>
                <w:color w:val="auto"/>
                <w:highlight w:val="none"/>
              </w:rPr>
              <w:t>）≤</w:t>
            </w:r>
            <w:r>
              <w:rPr>
                <w:color w:val="auto"/>
                <w:highlight w:val="none"/>
              </w:rPr>
              <w:t>0.1</w:t>
            </w:r>
          </w:p>
          <w:p>
            <w:pPr>
              <w:rPr>
                <w:color w:val="auto"/>
                <w:highlight w:val="none"/>
              </w:rPr>
            </w:pPr>
            <w:r>
              <w:rPr>
                <w:color w:val="auto"/>
                <w:highlight w:val="none"/>
              </w:rPr>
              <w:t>14.</w:t>
            </w:r>
            <w:r>
              <w:rPr>
                <w:rFonts w:hint="eastAsia"/>
                <w:color w:val="auto"/>
                <w:highlight w:val="none"/>
              </w:rPr>
              <w:t>挥发性有机化合物（</w:t>
            </w:r>
            <w:r>
              <w:rPr>
                <w:color w:val="auto"/>
                <w:highlight w:val="none"/>
              </w:rPr>
              <w:t>g/l</w:t>
            </w:r>
            <w:r>
              <w:rPr>
                <w:rFonts w:hint="eastAsia"/>
                <w:color w:val="auto"/>
                <w:highlight w:val="none"/>
              </w:rPr>
              <w:t>）≤</w:t>
            </w:r>
            <w:r>
              <w:rPr>
                <w:color w:val="auto"/>
                <w:highlight w:val="none"/>
              </w:rPr>
              <w:t>200</w:t>
            </w:r>
          </w:p>
          <w:p>
            <w:pPr>
              <w:rPr>
                <w:color w:val="auto"/>
                <w:highlight w:val="none"/>
              </w:rPr>
            </w:pPr>
            <w:r>
              <w:rPr>
                <w:color w:val="auto"/>
                <w:highlight w:val="none"/>
              </w:rPr>
              <w:t>15.</w:t>
            </w:r>
            <w:r>
              <w:rPr>
                <w:rFonts w:hint="eastAsia"/>
                <w:color w:val="auto"/>
                <w:highlight w:val="none"/>
              </w:rPr>
              <w:t>可溶性铅（</w:t>
            </w:r>
            <w:r>
              <w:rPr>
                <w:color w:val="auto"/>
                <w:highlight w:val="none"/>
              </w:rPr>
              <w:t>Pd</w:t>
            </w:r>
            <w:r>
              <w:rPr>
                <w:rFonts w:hint="eastAsia"/>
                <w:color w:val="auto"/>
                <w:highlight w:val="none"/>
              </w:rPr>
              <w:t>）</w:t>
            </w:r>
            <w:r>
              <w:rPr>
                <w:color w:val="auto"/>
                <w:highlight w:val="none"/>
              </w:rPr>
              <w:t xml:space="preserve">(mg/kg) </w:t>
            </w:r>
            <w:r>
              <w:rPr>
                <w:rFonts w:hint="eastAsia"/>
                <w:color w:val="auto"/>
                <w:highlight w:val="none"/>
              </w:rPr>
              <w:t>≤</w:t>
            </w:r>
            <w:r>
              <w:rPr>
                <w:color w:val="auto"/>
                <w:highlight w:val="none"/>
              </w:rPr>
              <w:t>90</w:t>
            </w:r>
          </w:p>
          <w:p>
            <w:pPr>
              <w:rPr>
                <w:color w:val="auto"/>
                <w:highlight w:val="none"/>
              </w:rPr>
            </w:pPr>
            <w:r>
              <w:rPr>
                <w:color w:val="auto"/>
                <w:highlight w:val="none"/>
              </w:rPr>
              <w:t>16.</w:t>
            </w:r>
            <w:r>
              <w:rPr>
                <w:rFonts w:hint="eastAsia"/>
                <w:color w:val="auto"/>
                <w:highlight w:val="none"/>
              </w:rPr>
              <w:t>可溶性镉（</w:t>
            </w:r>
            <w:r>
              <w:rPr>
                <w:color w:val="auto"/>
                <w:highlight w:val="none"/>
              </w:rPr>
              <w:t>Cd</w:t>
            </w:r>
            <w:r>
              <w:rPr>
                <w:rFonts w:hint="eastAsia"/>
                <w:color w:val="auto"/>
                <w:highlight w:val="none"/>
              </w:rPr>
              <w:t>）</w:t>
            </w:r>
            <w:r>
              <w:rPr>
                <w:color w:val="auto"/>
                <w:highlight w:val="none"/>
              </w:rPr>
              <w:t xml:space="preserve"> (mg/kg) </w:t>
            </w:r>
            <w:r>
              <w:rPr>
                <w:rFonts w:hint="eastAsia"/>
                <w:color w:val="auto"/>
                <w:highlight w:val="none"/>
              </w:rPr>
              <w:t>≤</w:t>
            </w:r>
            <w:r>
              <w:rPr>
                <w:color w:val="auto"/>
                <w:highlight w:val="none"/>
              </w:rPr>
              <w:t>75</w:t>
            </w:r>
          </w:p>
          <w:p>
            <w:pPr>
              <w:rPr>
                <w:color w:val="auto"/>
                <w:highlight w:val="none"/>
              </w:rPr>
            </w:pPr>
            <w:r>
              <w:rPr>
                <w:color w:val="auto"/>
                <w:highlight w:val="none"/>
              </w:rPr>
              <w:t>17.</w:t>
            </w:r>
            <w:r>
              <w:rPr>
                <w:rFonts w:hint="eastAsia"/>
                <w:color w:val="auto"/>
                <w:highlight w:val="none"/>
              </w:rPr>
              <w:t>可溶性铬（</w:t>
            </w:r>
            <w:r>
              <w:rPr>
                <w:color w:val="auto"/>
                <w:highlight w:val="none"/>
              </w:rPr>
              <w:t>Cr</w:t>
            </w:r>
            <w:r>
              <w:rPr>
                <w:rFonts w:hint="eastAsia"/>
                <w:color w:val="auto"/>
                <w:highlight w:val="none"/>
              </w:rPr>
              <w:t>）</w:t>
            </w:r>
            <w:r>
              <w:rPr>
                <w:color w:val="auto"/>
                <w:highlight w:val="none"/>
              </w:rPr>
              <w:t xml:space="preserve">(mg/kg) </w:t>
            </w:r>
            <w:r>
              <w:rPr>
                <w:rFonts w:hint="eastAsia"/>
                <w:color w:val="auto"/>
                <w:highlight w:val="none"/>
              </w:rPr>
              <w:t>≤</w:t>
            </w:r>
            <w:r>
              <w:rPr>
                <w:color w:val="auto"/>
                <w:highlight w:val="none"/>
              </w:rPr>
              <w:t>60</w:t>
            </w:r>
          </w:p>
          <w:p>
            <w:pPr>
              <w:rPr>
                <w:color w:val="auto"/>
                <w:highlight w:val="none"/>
              </w:rPr>
            </w:pPr>
            <w:r>
              <w:rPr>
                <w:color w:val="auto"/>
                <w:highlight w:val="none"/>
              </w:rPr>
              <w:t>18.</w:t>
            </w:r>
            <w:r>
              <w:rPr>
                <w:rFonts w:hint="eastAsia"/>
                <w:color w:val="auto"/>
                <w:highlight w:val="none"/>
              </w:rPr>
              <w:t>可溶性汞（</w:t>
            </w:r>
            <w:r>
              <w:rPr>
                <w:color w:val="auto"/>
                <w:highlight w:val="none"/>
              </w:rPr>
              <w:t>Hg</w:t>
            </w:r>
            <w:r>
              <w:rPr>
                <w:rFonts w:hint="eastAsia"/>
                <w:color w:val="auto"/>
                <w:highlight w:val="none"/>
              </w:rPr>
              <w:t>）</w:t>
            </w:r>
            <w:r>
              <w:rPr>
                <w:color w:val="auto"/>
                <w:highlight w:val="none"/>
              </w:rPr>
              <w:t xml:space="preserve">(mg/kg) </w:t>
            </w:r>
            <w:r>
              <w:rPr>
                <w:rFonts w:hint="eastAsia"/>
                <w:color w:val="auto"/>
                <w:highlight w:val="none"/>
              </w:rPr>
              <w:t>≤</w:t>
            </w:r>
            <w:r>
              <w:rPr>
                <w:color w:val="auto"/>
                <w:highlight w:val="none"/>
              </w:rPr>
              <w:t>60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75" w:type="dxa"/>
            <w:noWrap w:val="0"/>
            <w:vAlign w:val="center"/>
          </w:tcPr>
          <w:p>
            <w:pPr>
              <w:rPr>
                <w:color w:val="auto"/>
                <w:highlight w:val="none"/>
              </w:rPr>
            </w:pPr>
            <w:r>
              <w:rPr>
                <w:color w:val="auto"/>
                <w:highlight w:val="none"/>
              </w:rPr>
              <w:t>12</w:t>
            </w:r>
          </w:p>
        </w:tc>
        <w:tc>
          <w:tcPr>
            <w:tcW w:w="1398" w:type="dxa"/>
            <w:noWrap w:val="0"/>
            <w:vAlign w:val="center"/>
          </w:tcPr>
          <w:p>
            <w:pPr>
              <w:rPr>
                <w:color w:val="auto"/>
                <w:highlight w:val="none"/>
              </w:rPr>
            </w:pPr>
            <w:r>
              <w:rPr>
                <w:rFonts w:hint="eastAsia"/>
                <w:color w:val="auto"/>
                <w:highlight w:val="none"/>
              </w:rPr>
              <w:t>防霉涂料</w:t>
            </w:r>
          </w:p>
        </w:tc>
        <w:tc>
          <w:tcPr>
            <w:tcW w:w="6864" w:type="dxa"/>
            <w:noWrap w:val="0"/>
            <w:vAlign w:val="center"/>
          </w:tcPr>
          <w:p>
            <w:pPr>
              <w:rPr>
                <w:color w:val="auto"/>
                <w:highlight w:val="none"/>
              </w:rPr>
            </w:pPr>
            <w:r>
              <w:rPr>
                <w:rFonts w:hint="eastAsia"/>
                <w:color w:val="auto"/>
                <w:highlight w:val="none"/>
              </w:rPr>
              <w:t>有光泽、硬度高、耐洗刷、对黑曲霉、黄曲霉、杂色曲霉等霉菌具有良好的抗耐性。其主要性能指标如下：</w:t>
            </w:r>
          </w:p>
          <w:p>
            <w:pPr>
              <w:rPr>
                <w:color w:val="auto"/>
                <w:highlight w:val="none"/>
              </w:rPr>
            </w:pPr>
            <w:r>
              <w:rPr>
                <w:color w:val="auto"/>
                <w:highlight w:val="none"/>
              </w:rPr>
              <w:t>1</w:t>
            </w:r>
            <w:r>
              <w:rPr>
                <w:rFonts w:hint="eastAsia"/>
                <w:color w:val="auto"/>
                <w:highlight w:val="none"/>
              </w:rPr>
              <w:t>、防霉性：混合菌种</w:t>
            </w:r>
            <w:r>
              <w:rPr>
                <w:color w:val="auto"/>
                <w:highlight w:val="none"/>
              </w:rPr>
              <w:t>4</w:t>
            </w:r>
            <w:r>
              <w:rPr>
                <w:rFonts w:hint="eastAsia"/>
                <w:color w:val="auto"/>
                <w:highlight w:val="none"/>
              </w:rPr>
              <w:t>个月为零级。</w:t>
            </w:r>
          </w:p>
          <w:p>
            <w:pPr>
              <w:rPr>
                <w:color w:val="auto"/>
                <w:highlight w:val="none"/>
              </w:rPr>
            </w:pPr>
            <w:r>
              <w:rPr>
                <w:color w:val="auto"/>
                <w:highlight w:val="none"/>
              </w:rPr>
              <w:t>2</w:t>
            </w:r>
            <w:r>
              <w:rPr>
                <w:rFonts w:hint="eastAsia"/>
                <w:color w:val="auto"/>
                <w:highlight w:val="none"/>
              </w:rPr>
              <w:t>、附着力：贴胶布法，</w:t>
            </w:r>
            <w:r>
              <w:rPr>
                <w:color w:val="auto"/>
                <w:highlight w:val="none"/>
              </w:rPr>
              <w:t>100%</w:t>
            </w:r>
            <w:r>
              <w:rPr>
                <w:rFonts w:hint="eastAsia"/>
                <w:color w:val="auto"/>
                <w:highlight w:val="none"/>
              </w:rPr>
              <w:t>不脱落</w:t>
            </w:r>
          </w:p>
          <w:p>
            <w:pPr>
              <w:rPr>
                <w:color w:val="auto"/>
                <w:highlight w:val="none"/>
              </w:rPr>
            </w:pPr>
            <w:r>
              <w:rPr>
                <w:color w:val="auto"/>
                <w:highlight w:val="none"/>
              </w:rPr>
              <w:t>3</w:t>
            </w:r>
            <w:r>
              <w:rPr>
                <w:rFonts w:hint="eastAsia"/>
                <w:color w:val="auto"/>
                <w:highlight w:val="none"/>
              </w:rPr>
              <w:t>、遮盖力：</w:t>
            </w:r>
            <w:r>
              <w:rPr>
                <w:color w:val="auto"/>
                <w:highlight w:val="none"/>
              </w:rPr>
              <w:t>300</w:t>
            </w:r>
            <w:r>
              <w:rPr>
                <w:rFonts w:hint="eastAsia"/>
                <w:color w:val="auto"/>
                <w:highlight w:val="none"/>
              </w:rPr>
              <w:t>～</w:t>
            </w:r>
            <w:r>
              <w:rPr>
                <w:color w:val="auto"/>
                <w:highlight w:val="none"/>
              </w:rPr>
              <w:t>350</w:t>
            </w:r>
            <w:r>
              <w:rPr>
                <w:rFonts w:hint="eastAsia"/>
                <w:color w:val="auto"/>
                <w:highlight w:val="none"/>
              </w:rPr>
              <w:t>克</w:t>
            </w:r>
            <w:r>
              <w:rPr>
                <w:color w:val="auto"/>
                <w:highlight w:val="none"/>
              </w:rPr>
              <w:t>/m2</w:t>
            </w:r>
          </w:p>
          <w:p>
            <w:pPr>
              <w:rPr>
                <w:color w:val="auto"/>
                <w:highlight w:val="none"/>
              </w:rPr>
            </w:pPr>
            <w:r>
              <w:rPr>
                <w:color w:val="auto"/>
                <w:highlight w:val="none"/>
              </w:rPr>
              <w:t>4</w:t>
            </w:r>
            <w:r>
              <w:rPr>
                <w:rFonts w:hint="eastAsia"/>
                <w:color w:val="auto"/>
                <w:highlight w:val="none"/>
              </w:rPr>
              <w:t>、干燥时间：</w:t>
            </w:r>
          </w:p>
          <w:p>
            <w:pPr>
              <w:rPr>
                <w:color w:val="auto"/>
                <w:highlight w:val="none"/>
              </w:rPr>
            </w:pPr>
            <w:r>
              <w:rPr>
                <w:rFonts w:hint="eastAsia"/>
                <w:color w:val="auto"/>
                <w:highlight w:val="none"/>
              </w:rPr>
              <w:t>底涂：表干</w:t>
            </w:r>
            <w:r>
              <w:rPr>
                <w:color w:val="auto"/>
                <w:highlight w:val="none"/>
              </w:rPr>
              <w:t>4</w:t>
            </w:r>
            <w:r>
              <w:rPr>
                <w:rFonts w:hint="eastAsia"/>
                <w:color w:val="auto"/>
                <w:highlight w:val="none"/>
              </w:rPr>
              <w:t>小时，实干</w:t>
            </w:r>
            <w:r>
              <w:rPr>
                <w:color w:val="auto"/>
                <w:highlight w:val="none"/>
              </w:rPr>
              <w:t>24</w:t>
            </w:r>
            <w:r>
              <w:rPr>
                <w:rFonts w:hint="eastAsia"/>
                <w:color w:val="auto"/>
                <w:highlight w:val="none"/>
              </w:rPr>
              <w:t>小时</w:t>
            </w:r>
          </w:p>
          <w:p>
            <w:pPr>
              <w:rPr>
                <w:color w:val="auto"/>
                <w:highlight w:val="none"/>
              </w:rPr>
            </w:pPr>
            <w:r>
              <w:rPr>
                <w:rFonts w:hint="eastAsia"/>
                <w:color w:val="auto"/>
                <w:highlight w:val="none"/>
              </w:rPr>
              <w:t>面涂：表干</w:t>
            </w:r>
            <w:r>
              <w:rPr>
                <w:color w:val="auto"/>
                <w:highlight w:val="none"/>
              </w:rPr>
              <w:t>0.5</w:t>
            </w:r>
            <w:r>
              <w:rPr>
                <w:rFonts w:hint="eastAsia"/>
                <w:color w:val="auto"/>
                <w:highlight w:val="none"/>
              </w:rPr>
              <w:t>小时，实干</w:t>
            </w:r>
            <w:r>
              <w:rPr>
                <w:color w:val="auto"/>
                <w:highlight w:val="none"/>
              </w:rPr>
              <w:t>4</w:t>
            </w:r>
            <w:r>
              <w:rPr>
                <w:rFonts w:hint="eastAsia"/>
                <w:color w:val="auto"/>
                <w:highlight w:val="none"/>
              </w:rPr>
              <w:t>小时</w:t>
            </w:r>
          </w:p>
          <w:p>
            <w:pPr>
              <w:rPr>
                <w:color w:val="auto"/>
                <w:highlight w:val="none"/>
              </w:rPr>
            </w:pPr>
            <w:r>
              <w:rPr>
                <w:color w:val="auto"/>
                <w:highlight w:val="none"/>
              </w:rPr>
              <w:t>5</w:t>
            </w:r>
            <w:r>
              <w:rPr>
                <w:rFonts w:hint="eastAsia"/>
                <w:color w:val="auto"/>
                <w:highlight w:val="none"/>
              </w:rPr>
              <w:t>、外观：平整、有光泽</w:t>
            </w:r>
          </w:p>
          <w:p>
            <w:pPr>
              <w:rPr>
                <w:color w:val="auto"/>
                <w:highlight w:val="none"/>
              </w:rPr>
            </w:pPr>
            <w:r>
              <w:rPr>
                <w:color w:val="auto"/>
                <w:highlight w:val="none"/>
              </w:rPr>
              <w:t>6</w:t>
            </w:r>
            <w:r>
              <w:rPr>
                <w:rFonts w:hint="eastAsia"/>
                <w:color w:val="auto"/>
                <w:highlight w:val="none"/>
              </w:rPr>
              <w:t>、耐湿热：</w:t>
            </w:r>
            <w:r>
              <w:rPr>
                <w:color w:val="auto"/>
                <w:highlight w:val="none"/>
              </w:rPr>
              <w:t>47</w:t>
            </w:r>
            <w:r>
              <w:rPr>
                <w:rFonts w:hint="eastAsia"/>
                <w:color w:val="auto"/>
                <w:highlight w:val="none"/>
              </w:rPr>
              <w:t>±</w:t>
            </w:r>
            <w:r>
              <w:rPr>
                <w:color w:val="auto"/>
                <w:highlight w:val="none"/>
              </w:rPr>
              <w:t>1</w:t>
            </w:r>
            <w:r>
              <w:rPr>
                <w:rFonts w:hint="eastAsia"/>
                <w:color w:val="auto"/>
                <w:highlight w:val="none"/>
              </w:rPr>
              <w:t>℃，</w:t>
            </w:r>
            <w:r>
              <w:rPr>
                <w:color w:val="auto"/>
                <w:highlight w:val="none"/>
              </w:rPr>
              <w:t>PH.</w:t>
            </w:r>
            <w:r>
              <w:rPr>
                <w:rFonts w:hint="eastAsia"/>
                <w:color w:val="auto"/>
                <w:highlight w:val="none"/>
              </w:rPr>
              <w:t>＞</w:t>
            </w:r>
            <w:r>
              <w:rPr>
                <w:color w:val="auto"/>
                <w:highlight w:val="none"/>
              </w:rPr>
              <w:t>95%</w:t>
            </w:r>
            <w:r>
              <w:rPr>
                <w:rFonts w:hint="eastAsia"/>
                <w:color w:val="auto"/>
                <w:highlight w:val="none"/>
              </w:rPr>
              <w:t>，涂膜</w:t>
            </w:r>
            <w:r>
              <w:rPr>
                <w:color w:val="auto"/>
                <w:highlight w:val="none"/>
              </w:rPr>
              <w:t>7</w:t>
            </w:r>
            <w:r>
              <w:rPr>
                <w:rFonts w:hint="eastAsia"/>
                <w:color w:val="auto"/>
                <w:highlight w:val="none"/>
              </w:rPr>
              <w:t>天无变化</w:t>
            </w:r>
          </w:p>
          <w:p>
            <w:pPr>
              <w:rPr>
                <w:color w:val="auto"/>
                <w:highlight w:val="none"/>
              </w:rPr>
            </w:pPr>
            <w:r>
              <w:rPr>
                <w:color w:val="auto"/>
                <w:highlight w:val="none"/>
              </w:rPr>
              <w:t>7</w:t>
            </w:r>
            <w:r>
              <w:rPr>
                <w:rFonts w:hint="eastAsia"/>
                <w:color w:val="auto"/>
                <w:highlight w:val="none"/>
              </w:rPr>
              <w:t>、耐酸性：</w:t>
            </w:r>
            <w:r>
              <w:rPr>
                <w:color w:val="auto"/>
                <w:highlight w:val="none"/>
              </w:rPr>
              <w:t>10%NaOH</w:t>
            </w:r>
            <w:r>
              <w:rPr>
                <w:rFonts w:hint="eastAsia"/>
                <w:color w:val="auto"/>
                <w:highlight w:val="none"/>
              </w:rPr>
              <w:t>液中浸泡</w:t>
            </w:r>
            <w:r>
              <w:rPr>
                <w:color w:val="auto"/>
                <w:highlight w:val="none"/>
              </w:rPr>
              <w:t>240</w:t>
            </w:r>
            <w:r>
              <w:rPr>
                <w:rFonts w:hint="eastAsia"/>
                <w:color w:val="auto"/>
                <w:highlight w:val="none"/>
              </w:rPr>
              <w:t>小时涂膜无变化</w:t>
            </w:r>
          </w:p>
          <w:p>
            <w:pPr>
              <w:rPr>
                <w:color w:val="auto"/>
                <w:highlight w:val="none"/>
              </w:rPr>
            </w:pPr>
            <w:r>
              <w:rPr>
                <w:color w:val="auto"/>
                <w:highlight w:val="none"/>
              </w:rPr>
              <w:t>8</w:t>
            </w:r>
            <w:r>
              <w:rPr>
                <w:rFonts w:hint="eastAsia"/>
                <w:color w:val="auto"/>
                <w:highlight w:val="none"/>
              </w:rPr>
              <w:t>、耐酸性：</w:t>
            </w:r>
            <w:r>
              <w:rPr>
                <w:color w:val="auto"/>
                <w:highlight w:val="none"/>
              </w:rPr>
              <w:t>1%H2SO4</w:t>
            </w:r>
            <w:r>
              <w:rPr>
                <w:rFonts w:hint="eastAsia"/>
                <w:color w:val="auto"/>
                <w:highlight w:val="none"/>
              </w:rPr>
              <w:t>液中浸泡</w:t>
            </w:r>
            <w:r>
              <w:rPr>
                <w:color w:val="auto"/>
                <w:highlight w:val="none"/>
              </w:rPr>
              <w:t>3</w:t>
            </w:r>
            <w:r>
              <w:rPr>
                <w:rFonts w:hint="eastAsia"/>
                <w:color w:val="auto"/>
                <w:highlight w:val="none"/>
              </w:rPr>
              <w:t>天涂膜无变化</w:t>
            </w:r>
          </w:p>
          <w:p>
            <w:pPr>
              <w:rPr>
                <w:color w:val="auto"/>
                <w:highlight w:val="none"/>
              </w:rPr>
            </w:pPr>
            <w:r>
              <w:rPr>
                <w:color w:val="auto"/>
                <w:highlight w:val="none"/>
              </w:rPr>
              <w:t>9</w:t>
            </w:r>
            <w:r>
              <w:rPr>
                <w:rFonts w:hint="eastAsia"/>
                <w:color w:val="auto"/>
                <w:highlight w:val="none"/>
              </w:rPr>
              <w:t>、硬度：钢笔，</w:t>
            </w:r>
            <w:r>
              <w:rPr>
                <w:color w:val="auto"/>
                <w:highlight w:val="none"/>
              </w:rPr>
              <w:t>4-5H</w:t>
            </w:r>
          </w:p>
          <w:p>
            <w:pPr>
              <w:rPr>
                <w:color w:val="auto"/>
                <w:highlight w:val="none"/>
              </w:rPr>
            </w:pPr>
            <w:r>
              <w:rPr>
                <w:color w:val="auto"/>
                <w:highlight w:val="none"/>
              </w:rPr>
              <w:t>10</w:t>
            </w:r>
            <w:r>
              <w:rPr>
                <w:rFonts w:hint="eastAsia"/>
                <w:color w:val="auto"/>
                <w:highlight w:val="none"/>
              </w:rPr>
              <w:t>、耐洗刷性：湿布上压</w:t>
            </w:r>
            <w:r>
              <w:rPr>
                <w:color w:val="auto"/>
                <w:highlight w:val="none"/>
              </w:rPr>
              <w:t>200</w:t>
            </w:r>
            <w:r>
              <w:rPr>
                <w:rFonts w:hint="eastAsia"/>
                <w:color w:val="auto"/>
                <w:highlight w:val="none"/>
              </w:rPr>
              <w:t>克砝码，湿擦大于一千次</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75" w:type="dxa"/>
            <w:noWrap w:val="0"/>
            <w:vAlign w:val="center"/>
          </w:tcPr>
          <w:p>
            <w:pPr>
              <w:rPr>
                <w:color w:val="auto"/>
                <w:highlight w:val="none"/>
              </w:rPr>
            </w:pPr>
            <w:r>
              <w:rPr>
                <w:color w:val="auto"/>
                <w:highlight w:val="none"/>
              </w:rPr>
              <w:t>13</w:t>
            </w:r>
          </w:p>
        </w:tc>
        <w:tc>
          <w:tcPr>
            <w:tcW w:w="1398" w:type="dxa"/>
            <w:noWrap w:val="0"/>
            <w:vAlign w:val="center"/>
          </w:tcPr>
          <w:p>
            <w:pPr>
              <w:rPr>
                <w:color w:val="auto"/>
                <w:highlight w:val="none"/>
              </w:rPr>
            </w:pPr>
            <w:r>
              <w:rPr>
                <w:color w:val="auto"/>
                <w:highlight w:val="none"/>
              </w:rPr>
              <w:t>Low-E</w:t>
            </w:r>
            <w:r>
              <w:rPr>
                <w:rFonts w:hint="eastAsia"/>
                <w:color w:val="auto"/>
                <w:highlight w:val="none"/>
              </w:rPr>
              <w:t>钢化中空玻璃、中空钢化玻璃</w:t>
            </w:r>
          </w:p>
        </w:tc>
        <w:tc>
          <w:tcPr>
            <w:tcW w:w="6864" w:type="dxa"/>
            <w:noWrap w:val="0"/>
            <w:vAlign w:val="center"/>
          </w:tcPr>
          <w:p>
            <w:pPr>
              <w:rPr>
                <w:color w:val="auto"/>
                <w:highlight w:val="none"/>
              </w:rPr>
            </w:pPr>
            <w:r>
              <w:rPr>
                <w:rFonts w:hint="eastAsia"/>
                <w:color w:val="auto"/>
                <w:highlight w:val="none"/>
              </w:rPr>
              <w:t>设计要求</w:t>
            </w:r>
            <w:r>
              <w:rPr>
                <w:color w:val="auto"/>
                <w:highlight w:val="none"/>
              </w:rPr>
              <w:t xml:space="preserve">: </w:t>
            </w:r>
            <w:r>
              <w:rPr>
                <w:rFonts w:hint="eastAsia"/>
                <w:color w:val="auto"/>
                <w:highlight w:val="none"/>
              </w:rPr>
              <w:t>符合</w:t>
            </w:r>
            <w:r>
              <w:rPr>
                <w:color w:val="auto"/>
                <w:highlight w:val="none"/>
              </w:rPr>
              <w:t>JGJ113-2003</w:t>
            </w:r>
            <w:r>
              <w:rPr>
                <w:rFonts w:hint="eastAsia"/>
                <w:color w:val="auto"/>
                <w:highlight w:val="none"/>
              </w:rPr>
              <w:t>、</w:t>
            </w:r>
            <w:r>
              <w:rPr>
                <w:color w:val="auto"/>
                <w:highlight w:val="none"/>
              </w:rPr>
              <w:t>GB/T9963</w:t>
            </w:r>
            <w:r>
              <w:rPr>
                <w:rFonts w:hint="eastAsia"/>
                <w:color w:val="auto"/>
                <w:highlight w:val="none"/>
              </w:rPr>
              <w:t>－</w:t>
            </w:r>
            <w:r>
              <w:rPr>
                <w:color w:val="auto"/>
                <w:highlight w:val="none"/>
              </w:rPr>
              <w:t>1998</w:t>
            </w:r>
            <w:r>
              <w:rPr>
                <w:rFonts w:hint="eastAsia"/>
                <w:color w:val="auto"/>
                <w:highlight w:val="none"/>
              </w:rPr>
              <w:t>、</w:t>
            </w:r>
            <w:r>
              <w:rPr>
                <w:color w:val="auto"/>
                <w:highlight w:val="none"/>
              </w:rPr>
              <w:t>GB9962-1999</w:t>
            </w:r>
            <w:r>
              <w:rPr>
                <w:rFonts w:hint="eastAsia"/>
                <w:color w:val="auto"/>
                <w:highlight w:val="none"/>
              </w:rPr>
              <w:t>规范要求；</w:t>
            </w:r>
          </w:p>
          <w:p>
            <w:pPr>
              <w:rPr>
                <w:color w:val="auto"/>
                <w:highlight w:val="none"/>
              </w:rPr>
            </w:pPr>
            <w:r>
              <w:rPr>
                <w:rFonts w:hint="eastAsia"/>
                <w:color w:val="auto"/>
                <w:highlight w:val="none"/>
              </w:rPr>
              <w:t>技术参数详见幕墙技术要求。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75" w:type="dxa"/>
            <w:noWrap w:val="0"/>
            <w:vAlign w:val="center"/>
          </w:tcPr>
          <w:p>
            <w:pPr>
              <w:rPr>
                <w:color w:val="auto"/>
                <w:highlight w:val="none"/>
              </w:rPr>
            </w:pPr>
            <w:r>
              <w:rPr>
                <w:color w:val="auto"/>
                <w:highlight w:val="none"/>
              </w:rPr>
              <w:t>14</w:t>
            </w:r>
          </w:p>
        </w:tc>
        <w:tc>
          <w:tcPr>
            <w:tcW w:w="1398" w:type="dxa"/>
            <w:noWrap w:val="0"/>
            <w:vAlign w:val="center"/>
          </w:tcPr>
          <w:p>
            <w:pPr>
              <w:rPr>
                <w:color w:val="auto"/>
                <w:highlight w:val="none"/>
              </w:rPr>
            </w:pPr>
            <w:r>
              <w:rPr>
                <w:rFonts w:hint="eastAsia"/>
                <w:color w:val="auto"/>
                <w:highlight w:val="none"/>
              </w:rPr>
              <w:t>无色透明中空玻璃</w:t>
            </w:r>
          </w:p>
        </w:tc>
        <w:tc>
          <w:tcPr>
            <w:tcW w:w="6864" w:type="dxa"/>
            <w:noWrap w:val="0"/>
            <w:vAlign w:val="center"/>
          </w:tcPr>
          <w:p>
            <w:pPr>
              <w:rPr>
                <w:color w:val="auto"/>
                <w:highlight w:val="none"/>
              </w:rPr>
            </w:pPr>
            <w:r>
              <w:rPr>
                <w:rFonts w:hint="eastAsia"/>
                <w:color w:val="auto"/>
                <w:highlight w:val="none"/>
              </w:rPr>
              <w:t>玻璃选用国产优质钢化玻璃，应符合《建筑用安全玻璃》（</w:t>
            </w:r>
            <w:r>
              <w:rPr>
                <w:color w:val="auto"/>
                <w:highlight w:val="none"/>
              </w:rPr>
              <w:t>GB15763.2-2005</w:t>
            </w:r>
            <w:r>
              <w:rPr>
                <w:rFonts w:hint="eastAsia"/>
                <w:color w:val="auto"/>
                <w:highlight w:val="none"/>
              </w:rPr>
              <w:t>）、《建筑玻璃应用技术规范》（</w:t>
            </w:r>
            <w:r>
              <w:rPr>
                <w:color w:val="auto"/>
                <w:highlight w:val="none"/>
              </w:rPr>
              <w:t>JGJ113-2003</w:t>
            </w:r>
            <w:r>
              <w:rPr>
                <w:rFonts w:hint="eastAsia"/>
                <w:color w:val="auto"/>
                <w:highlight w:val="none"/>
              </w:rPr>
              <w:t>）、《幕墙用钢化玻璃与半钢化玻璃》</w:t>
            </w:r>
            <w:r>
              <w:rPr>
                <w:color w:val="auto"/>
                <w:highlight w:val="none"/>
              </w:rPr>
              <w:t>GB17841-1999</w:t>
            </w:r>
            <w:r>
              <w:rPr>
                <w:rFonts w:hint="eastAsia"/>
                <w:color w:val="auto"/>
                <w:highlight w:val="none"/>
              </w:rPr>
              <w:t>等相关标准要求。</w:t>
            </w:r>
          </w:p>
          <w:p>
            <w:pPr>
              <w:rPr>
                <w:color w:val="auto"/>
                <w:highlight w:val="none"/>
              </w:rPr>
            </w:pPr>
            <w:r>
              <w:rPr>
                <w:rFonts w:hint="eastAsia"/>
                <w:color w:val="auto"/>
                <w:highlight w:val="none"/>
              </w:rPr>
              <w:t>玻璃原片及深加工采用优质产品，并</w:t>
            </w:r>
            <w:r>
              <w:rPr>
                <w:color w:val="auto"/>
                <w:highlight w:val="none"/>
              </w:rPr>
              <w:t>100%</w:t>
            </w:r>
            <w:r>
              <w:rPr>
                <w:rFonts w:hint="eastAsia"/>
                <w:color w:val="auto"/>
                <w:highlight w:val="none"/>
              </w:rPr>
              <w:t>均质处理。玻璃颜色以设计要求为准且不得增加费用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75" w:type="dxa"/>
            <w:noWrap w:val="0"/>
            <w:vAlign w:val="center"/>
          </w:tcPr>
          <w:p>
            <w:pPr>
              <w:rPr>
                <w:color w:val="auto"/>
                <w:highlight w:val="none"/>
              </w:rPr>
            </w:pPr>
            <w:r>
              <w:rPr>
                <w:color w:val="auto"/>
                <w:highlight w:val="none"/>
              </w:rPr>
              <w:t>15</w:t>
            </w:r>
          </w:p>
        </w:tc>
        <w:tc>
          <w:tcPr>
            <w:tcW w:w="1398" w:type="dxa"/>
            <w:noWrap w:val="0"/>
            <w:vAlign w:val="center"/>
          </w:tcPr>
          <w:p>
            <w:pPr>
              <w:rPr>
                <w:color w:val="auto"/>
                <w:highlight w:val="none"/>
              </w:rPr>
            </w:pPr>
            <w:r>
              <w:rPr>
                <w:rFonts w:hint="eastAsia"/>
                <w:color w:val="auto"/>
                <w:highlight w:val="none"/>
              </w:rPr>
              <w:t>建筑胶（结构胶、耐候胶）</w:t>
            </w:r>
          </w:p>
        </w:tc>
        <w:tc>
          <w:tcPr>
            <w:tcW w:w="6864" w:type="dxa"/>
            <w:noWrap w:val="0"/>
            <w:vAlign w:val="center"/>
          </w:tcPr>
          <w:p>
            <w:pPr>
              <w:rPr>
                <w:color w:val="auto"/>
                <w:highlight w:val="none"/>
              </w:rPr>
            </w:pPr>
            <w:r>
              <w:rPr>
                <w:color w:val="auto"/>
                <w:highlight w:val="none"/>
              </w:rPr>
              <w:t>1</w:t>
            </w:r>
            <w:r>
              <w:rPr>
                <w:rFonts w:hint="eastAsia"/>
                <w:color w:val="auto"/>
                <w:highlight w:val="none"/>
              </w:rPr>
              <w:t>、采用优质中性硅酮结构胶、优质中性硅酮耐候密封胶。</w:t>
            </w:r>
          </w:p>
          <w:p>
            <w:pPr>
              <w:rPr>
                <w:color w:val="auto"/>
                <w:highlight w:val="none"/>
              </w:rPr>
            </w:pPr>
            <w:r>
              <w:rPr>
                <w:color w:val="auto"/>
                <w:highlight w:val="none"/>
              </w:rPr>
              <w:t>2</w:t>
            </w:r>
            <w:r>
              <w:rPr>
                <w:rFonts w:hint="eastAsia"/>
                <w:color w:val="auto"/>
                <w:highlight w:val="none"/>
              </w:rPr>
              <w:t>、应符合《建筑用硅酮结构密封胶》</w:t>
            </w:r>
            <w:r>
              <w:rPr>
                <w:color w:val="auto"/>
                <w:highlight w:val="none"/>
              </w:rPr>
              <w:t>GB16776</w:t>
            </w:r>
            <w:r>
              <w:rPr>
                <w:rFonts w:hint="eastAsia"/>
                <w:color w:val="auto"/>
                <w:highlight w:val="none"/>
              </w:rPr>
              <w:t>规定。</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75" w:type="dxa"/>
            <w:noWrap w:val="0"/>
            <w:vAlign w:val="center"/>
          </w:tcPr>
          <w:p>
            <w:pPr>
              <w:rPr>
                <w:color w:val="auto"/>
                <w:highlight w:val="none"/>
              </w:rPr>
            </w:pPr>
            <w:r>
              <w:rPr>
                <w:color w:val="auto"/>
                <w:highlight w:val="none"/>
              </w:rPr>
              <w:t>16</w:t>
            </w:r>
          </w:p>
        </w:tc>
        <w:tc>
          <w:tcPr>
            <w:tcW w:w="1398" w:type="dxa"/>
            <w:noWrap w:val="0"/>
            <w:vAlign w:val="center"/>
          </w:tcPr>
          <w:p>
            <w:pPr>
              <w:rPr>
                <w:color w:val="auto"/>
                <w:highlight w:val="none"/>
              </w:rPr>
            </w:pPr>
            <w:r>
              <w:rPr>
                <w:rFonts w:hint="eastAsia"/>
                <w:color w:val="auto"/>
                <w:highlight w:val="none"/>
              </w:rPr>
              <w:t>防火卷帘（含特级）</w:t>
            </w:r>
          </w:p>
        </w:tc>
        <w:tc>
          <w:tcPr>
            <w:tcW w:w="6864" w:type="dxa"/>
            <w:noWrap w:val="0"/>
            <w:vAlign w:val="center"/>
          </w:tcPr>
          <w:p>
            <w:pPr>
              <w:rPr>
                <w:color w:val="auto"/>
                <w:highlight w:val="none"/>
              </w:rPr>
            </w:pPr>
            <w:r>
              <w:rPr>
                <w:rFonts w:hint="eastAsia"/>
                <w:color w:val="auto"/>
                <w:highlight w:val="none"/>
              </w:rPr>
              <w:t>符合设计及国家有关标准、规范、规程相关要求，并满足下列要求：</w:t>
            </w:r>
          </w:p>
          <w:p>
            <w:pPr>
              <w:rPr>
                <w:color w:val="auto"/>
                <w:highlight w:val="none"/>
              </w:rPr>
            </w:pPr>
            <w:r>
              <w:rPr>
                <w:color w:val="auto"/>
                <w:highlight w:val="none"/>
              </w:rPr>
              <w:t>1</w:t>
            </w:r>
            <w:r>
              <w:rPr>
                <w:rFonts w:hint="eastAsia"/>
                <w:color w:val="auto"/>
                <w:highlight w:val="none"/>
              </w:rPr>
              <w:t>．采用全封闭式卷帘轴承，保证在起火时风压作用下卷轴不会脱落。</w:t>
            </w:r>
          </w:p>
          <w:p>
            <w:pPr>
              <w:rPr>
                <w:color w:val="auto"/>
                <w:highlight w:val="none"/>
              </w:rPr>
            </w:pPr>
            <w:r>
              <w:rPr>
                <w:color w:val="auto"/>
                <w:highlight w:val="none"/>
              </w:rPr>
              <w:t>2</w:t>
            </w:r>
            <w:r>
              <w:rPr>
                <w:rFonts w:hint="eastAsia"/>
                <w:color w:val="auto"/>
                <w:highlight w:val="none"/>
              </w:rPr>
              <w:t>．钢制防火卷帘门帘片：材料选用电镀锌冷轧钢板，表面静电喷涂；帘身的钢板厚度不小于</w:t>
            </w:r>
            <w:r>
              <w:rPr>
                <w:color w:val="auto"/>
                <w:highlight w:val="none"/>
              </w:rPr>
              <w:t>1.0</w:t>
            </w:r>
            <w:r>
              <w:rPr>
                <w:rFonts w:hint="eastAsia"/>
                <w:color w:val="auto"/>
                <w:highlight w:val="none"/>
              </w:rPr>
              <w:t>㎜，相邻互锁帘板串接后，摆动±</w:t>
            </w:r>
            <w:r>
              <w:rPr>
                <w:color w:val="auto"/>
                <w:highlight w:val="none"/>
              </w:rPr>
              <w:t>900</w:t>
            </w:r>
            <w:r>
              <w:rPr>
                <w:rFonts w:hint="eastAsia"/>
                <w:color w:val="auto"/>
                <w:highlight w:val="none"/>
              </w:rPr>
              <w:t>不脱落。</w:t>
            </w:r>
          </w:p>
          <w:p>
            <w:pPr>
              <w:rPr>
                <w:color w:val="auto"/>
                <w:highlight w:val="none"/>
              </w:rPr>
            </w:pPr>
            <w:r>
              <w:rPr>
                <w:color w:val="auto"/>
                <w:highlight w:val="none"/>
              </w:rPr>
              <w:t>3</w:t>
            </w:r>
            <w:r>
              <w:rPr>
                <w:rFonts w:hint="eastAsia"/>
                <w:color w:val="auto"/>
                <w:highlight w:val="none"/>
              </w:rPr>
              <w:t>．导轨厚度不小于</w:t>
            </w:r>
            <w:r>
              <w:rPr>
                <w:color w:val="auto"/>
                <w:highlight w:val="none"/>
              </w:rPr>
              <w:t>1.2</w:t>
            </w:r>
            <w:r>
              <w:rPr>
                <w:rFonts w:hint="eastAsia"/>
                <w:color w:val="auto"/>
                <w:highlight w:val="none"/>
              </w:rPr>
              <w:t>㎜。</w:t>
            </w:r>
          </w:p>
          <w:p>
            <w:pPr>
              <w:rPr>
                <w:color w:val="auto"/>
                <w:highlight w:val="none"/>
              </w:rPr>
            </w:pPr>
            <w:r>
              <w:rPr>
                <w:color w:val="auto"/>
                <w:highlight w:val="none"/>
              </w:rPr>
              <w:t>4</w:t>
            </w:r>
            <w:r>
              <w:rPr>
                <w:rFonts w:hint="eastAsia"/>
                <w:color w:val="auto"/>
                <w:highlight w:val="none"/>
              </w:rPr>
              <w:t>．卷帘启闭、运行的平均噪音：卷门机功率为</w:t>
            </w:r>
            <w:r>
              <w:rPr>
                <w:color w:val="auto"/>
                <w:highlight w:val="none"/>
              </w:rPr>
              <w:t>0.5KW</w:t>
            </w:r>
            <w:r>
              <w:rPr>
                <w:rFonts w:hint="eastAsia"/>
                <w:color w:val="auto"/>
                <w:highlight w:val="none"/>
              </w:rPr>
              <w:t>平均噪音≤</w:t>
            </w:r>
            <w:r>
              <w:rPr>
                <w:color w:val="auto"/>
                <w:highlight w:val="none"/>
              </w:rPr>
              <w:t>60dB</w:t>
            </w:r>
            <w:r>
              <w:rPr>
                <w:rFonts w:hint="eastAsia"/>
                <w:color w:val="auto"/>
                <w:highlight w:val="none"/>
              </w:rPr>
              <w:t>；</w:t>
            </w:r>
          </w:p>
          <w:p>
            <w:pPr>
              <w:rPr>
                <w:color w:val="auto"/>
                <w:highlight w:val="none"/>
              </w:rPr>
            </w:pPr>
            <w:r>
              <w:rPr>
                <w:color w:val="auto"/>
                <w:highlight w:val="none"/>
              </w:rPr>
              <w:t>5</w:t>
            </w:r>
            <w:r>
              <w:rPr>
                <w:rFonts w:hint="eastAsia"/>
                <w:color w:val="auto"/>
                <w:highlight w:val="none"/>
              </w:rPr>
              <w:t>．卷帘启闭平均速度：电动启、降速度</w:t>
            </w:r>
            <w:r>
              <w:rPr>
                <w:color w:val="auto"/>
                <w:highlight w:val="none"/>
              </w:rPr>
              <w:t>2.5</w:t>
            </w:r>
            <w:r>
              <w:rPr>
                <w:rFonts w:hint="eastAsia"/>
                <w:color w:val="auto"/>
                <w:highlight w:val="none"/>
              </w:rPr>
              <w:t>－</w:t>
            </w:r>
            <w:r>
              <w:rPr>
                <w:color w:val="auto"/>
                <w:highlight w:val="none"/>
              </w:rPr>
              <w:t>6.5M/MIN</w:t>
            </w:r>
            <w:r>
              <w:rPr>
                <w:rFonts w:hint="eastAsia"/>
                <w:color w:val="auto"/>
                <w:highlight w:val="none"/>
              </w:rPr>
              <w:t>，自重下降速度</w:t>
            </w:r>
            <w:r>
              <w:rPr>
                <w:color w:val="auto"/>
                <w:highlight w:val="none"/>
              </w:rPr>
              <w:t>3</w:t>
            </w:r>
            <w:r>
              <w:rPr>
                <w:rFonts w:hint="eastAsia"/>
                <w:color w:val="auto"/>
                <w:highlight w:val="none"/>
              </w:rPr>
              <w:t>－</w:t>
            </w:r>
            <w:r>
              <w:rPr>
                <w:color w:val="auto"/>
                <w:highlight w:val="none"/>
              </w:rPr>
              <w:t>7M/MIN;</w:t>
            </w:r>
          </w:p>
          <w:p>
            <w:pPr>
              <w:rPr>
                <w:color w:val="auto"/>
                <w:highlight w:val="none"/>
              </w:rPr>
            </w:pPr>
            <w:r>
              <w:rPr>
                <w:color w:val="auto"/>
                <w:highlight w:val="none"/>
              </w:rPr>
              <w:t>6</w:t>
            </w:r>
            <w:r>
              <w:rPr>
                <w:rFonts w:hint="eastAsia"/>
                <w:color w:val="auto"/>
                <w:highlight w:val="none"/>
              </w:rPr>
              <w:t>．电动卷门机：电机选用上海电机厂、湘潭电机厂、广州电机厂及以上品牌生产的优等品；并且通过“国家固定灭火系统和耐火构件质量监督检验中心”检验；</w:t>
            </w:r>
          </w:p>
          <w:p>
            <w:pPr>
              <w:rPr>
                <w:color w:val="auto"/>
                <w:highlight w:val="none"/>
              </w:rPr>
            </w:pPr>
            <w:r>
              <w:rPr>
                <w:color w:val="auto"/>
                <w:highlight w:val="none"/>
              </w:rPr>
              <w:t>7.</w:t>
            </w:r>
            <w:r>
              <w:rPr>
                <w:rFonts w:hint="eastAsia"/>
                <w:color w:val="auto"/>
                <w:highlight w:val="none"/>
              </w:rPr>
              <w:t>重复定位误差</w:t>
            </w:r>
            <w:r>
              <w:rPr>
                <w:color w:val="auto"/>
                <w:highlight w:val="none"/>
              </w:rPr>
              <w:t>&lt;20MM</w:t>
            </w:r>
            <w:r>
              <w:rPr>
                <w:rFonts w:hint="eastAsia"/>
                <w:color w:val="auto"/>
                <w:highlight w:val="none"/>
              </w:rPr>
              <w:t>；设有手动启降装置；具有自重下降恒速性能；能在任何位置停止；下降至</w:t>
            </w:r>
            <w:r>
              <w:rPr>
                <w:color w:val="auto"/>
                <w:highlight w:val="none"/>
              </w:rPr>
              <w:t>1.5M</w:t>
            </w:r>
            <w:r>
              <w:rPr>
                <w:rFonts w:hint="eastAsia"/>
                <w:color w:val="auto"/>
                <w:highlight w:val="none"/>
              </w:rPr>
              <w:t>处有延时下降装置；使用手动速放装置时，臂力≤</w:t>
            </w:r>
            <w:r>
              <w:rPr>
                <w:color w:val="auto"/>
                <w:highlight w:val="none"/>
              </w:rPr>
              <w:t>50N</w:t>
            </w: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75" w:type="dxa"/>
            <w:noWrap w:val="0"/>
            <w:vAlign w:val="center"/>
          </w:tcPr>
          <w:p>
            <w:pPr>
              <w:rPr>
                <w:color w:val="auto"/>
                <w:highlight w:val="none"/>
              </w:rPr>
            </w:pPr>
            <w:r>
              <w:rPr>
                <w:color w:val="auto"/>
                <w:highlight w:val="none"/>
              </w:rPr>
              <w:t>17</w:t>
            </w:r>
          </w:p>
        </w:tc>
        <w:tc>
          <w:tcPr>
            <w:tcW w:w="1398" w:type="dxa"/>
            <w:noWrap w:val="0"/>
            <w:vAlign w:val="center"/>
          </w:tcPr>
          <w:p>
            <w:pPr>
              <w:rPr>
                <w:color w:val="auto"/>
                <w:highlight w:val="none"/>
              </w:rPr>
            </w:pPr>
            <w:r>
              <w:rPr>
                <w:rFonts w:hint="eastAsia"/>
                <w:color w:val="auto"/>
                <w:highlight w:val="none"/>
              </w:rPr>
              <w:t>钢质防火门（甲、乙级、丙级）</w:t>
            </w:r>
          </w:p>
        </w:tc>
        <w:tc>
          <w:tcPr>
            <w:tcW w:w="6864" w:type="dxa"/>
            <w:noWrap w:val="0"/>
            <w:vAlign w:val="center"/>
          </w:tcPr>
          <w:p>
            <w:pPr>
              <w:rPr>
                <w:color w:val="auto"/>
                <w:highlight w:val="none"/>
              </w:rPr>
            </w:pPr>
            <w:r>
              <w:rPr>
                <w:rFonts w:hint="eastAsia"/>
                <w:color w:val="auto"/>
                <w:highlight w:val="none"/>
              </w:rPr>
              <w:t>符合设计及《</w:t>
            </w:r>
            <w:r>
              <w:rPr>
                <w:color w:val="auto"/>
                <w:highlight w:val="none"/>
              </w:rPr>
              <w:t>GB12955-2008</w:t>
            </w:r>
            <w:r>
              <w:rPr>
                <w:rFonts w:hint="eastAsia"/>
                <w:color w:val="auto"/>
                <w:highlight w:val="none"/>
              </w:rPr>
              <w:t>》标准要求，同时必须达到：</w:t>
            </w:r>
          </w:p>
          <w:p>
            <w:pPr>
              <w:rPr>
                <w:color w:val="auto"/>
                <w:highlight w:val="none"/>
              </w:rPr>
            </w:pPr>
            <w:r>
              <w:rPr>
                <w:color w:val="auto"/>
                <w:highlight w:val="none"/>
              </w:rPr>
              <w:t>1.</w:t>
            </w:r>
            <w:r>
              <w:rPr>
                <w:rFonts w:hint="eastAsia"/>
                <w:color w:val="auto"/>
                <w:highlight w:val="none"/>
              </w:rPr>
              <w:t>钢质防火门外观质量和颜色必须达到实物样板和设计要求。</w:t>
            </w:r>
          </w:p>
          <w:p>
            <w:pPr>
              <w:rPr>
                <w:color w:val="auto"/>
                <w:highlight w:val="none"/>
              </w:rPr>
            </w:pPr>
            <w:r>
              <w:rPr>
                <w:color w:val="auto"/>
                <w:highlight w:val="none"/>
              </w:rPr>
              <w:t>2.</w:t>
            </w:r>
            <w:r>
              <w:rPr>
                <w:rFonts w:hint="eastAsia"/>
                <w:color w:val="auto"/>
                <w:highlight w:val="none"/>
              </w:rPr>
              <w:t>耐火隔热性和耐火完整性：</w:t>
            </w:r>
            <w:r>
              <w:rPr>
                <w:color w:val="auto"/>
                <w:highlight w:val="none"/>
              </w:rPr>
              <w:t>A1.50(</w:t>
            </w:r>
            <w:r>
              <w:rPr>
                <w:rFonts w:hint="eastAsia"/>
                <w:color w:val="auto"/>
                <w:highlight w:val="none"/>
              </w:rPr>
              <w:t>甲级</w:t>
            </w:r>
            <w:r>
              <w:rPr>
                <w:color w:val="auto"/>
                <w:highlight w:val="none"/>
              </w:rPr>
              <w:t>)</w:t>
            </w:r>
            <w:r>
              <w:rPr>
                <w:rFonts w:hint="eastAsia"/>
                <w:color w:val="auto"/>
                <w:highlight w:val="none"/>
              </w:rPr>
              <w:t>≥</w:t>
            </w:r>
            <w:r>
              <w:rPr>
                <w:color w:val="auto"/>
                <w:highlight w:val="none"/>
              </w:rPr>
              <w:t>1.5h</w:t>
            </w:r>
            <w:r>
              <w:rPr>
                <w:rFonts w:hint="eastAsia"/>
                <w:color w:val="auto"/>
                <w:highlight w:val="none"/>
              </w:rPr>
              <w:t>，</w:t>
            </w:r>
            <w:r>
              <w:rPr>
                <w:color w:val="auto"/>
                <w:highlight w:val="none"/>
              </w:rPr>
              <w:t>A1.00</w:t>
            </w:r>
            <w:r>
              <w:rPr>
                <w:rFonts w:hint="eastAsia"/>
                <w:color w:val="auto"/>
                <w:highlight w:val="none"/>
              </w:rPr>
              <w:t>（乙级）≥</w:t>
            </w:r>
            <w:r>
              <w:rPr>
                <w:color w:val="auto"/>
                <w:highlight w:val="none"/>
              </w:rPr>
              <w:t>1.0h</w:t>
            </w:r>
            <w:r>
              <w:rPr>
                <w:rFonts w:hint="eastAsia"/>
                <w:color w:val="auto"/>
                <w:highlight w:val="none"/>
              </w:rPr>
              <w:t>，</w:t>
            </w:r>
            <w:r>
              <w:rPr>
                <w:color w:val="auto"/>
                <w:highlight w:val="none"/>
              </w:rPr>
              <w:t>A0.5</w:t>
            </w:r>
            <w:r>
              <w:rPr>
                <w:rFonts w:hint="eastAsia"/>
                <w:color w:val="auto"/>
                <w:highlight w:val="none"/>
              </w:rPr>
              <w:t>（丙级）≥</w:t>
            </w:r>
            <w:r>
              <w:rPr>
                <w:color w:val="auto"/>
                <w:highlight w:val="none"/>
              </w:rPr>
              <w:t>0.5h</w:t>
            </w:r>
            <w:r>
              <w:rPr>
                <w:rFonts w:hint="eastAsia"/>
                <w:color w:val="auto"/>
                <w:highlight w:val="none"/>
              </w:rPr>
              <w:t>。</w:t>
            </w:r>
          </w:p>
          <w:p>
            <w:pPr>
              <w:rPr>
                <w:color w:val="auto"/>
                <w:highlight w:val="none"/>
              </w:rPr>
            </w:pPr>
            <w:r>
              <w:rPr>
                <w:color w:val="auto"/>
                <w:highlight w:val="none"/>
              </w:rPr>
              <w:t>3.</w:t>
            </w:r>
            <w:r>
              <w:rPr>
                <w:rFonts w:hint="eastAsia"/>
                <w:color w:val="auto"/>
                <w:highlight w:val="none"/>
              </w:rPr>
              <w:t>填充材料：应用对人体无毒无害的防火隔热材料，并经国家认可授权检测机构检验达到</w:t>
            </w:r>
            <w:r>
              <w:rPr>
                <w:color w:val="auto"/>
                <w:highlight w:val="none"/>
              </w:rPr>
              <w:t>GB8624-2006</w:t>
            </w:r>
            <w:r>
              <w:rPr>
                <w:rFonts w:hint="eastAsia"/>
                <w:color w:val="auto"/>
                <w:highlight w:val="none"/>
              </w:rPr>
              <w:t>规定燃烧性能</w:t>
            </w:r>
            <w:r>
              <w:rPr>
                <w:color w:val="auto"/>
                <w:highlight w:val="none"/>
              </w:rPr>
              <w:t>A1</w:t>
            </w:r>
            <w:r>
              <w:rPr>
                <w:rFonts w:hint="eastAsia"/>
                <w:color w:val="auto"/>
                <w:highlight w:val="none"/>
              </w:rPr>
              <w:t>级要求和</w:t>
            </w:r>
            <w:r>
              <w:rPr>
                <w:color w:val="auto"/>
                <w:highlight w:val="none"/>
              </w:rPr>
              <w:t>GB/T20285-2006</w:t>
            </w:r>
            <w:r>
              <w:rPr>
                <w:rFonts w:hint="eastAsia"/>
                <w:color w:val="auto"/>
                <w:highlight w:val="none"/>
              </w:rPr>
              <w:t>规定产烟毒性危险分级</w:t>
            </w:r>
            <w:r>
              <w:rPr>
                <w:color w:val="auto"/>
                <w:highlight w:val="none"/>
              </w:rPr>
              <w:t>ZA2</w:t>
            </w:r>
            <w:r>
              <w:rPr>
                <w:rFonts w:hint="eastAsia"/>
                <w:color w:val="auto"/>
                <w:highlight w:val="none"/>
              </w:rPr>
              <w:t>级要求。采用不燃烧材料硅酸铝纤维绵（白色、较重）。</w:t>
            </w:r>
          </w:p>
          <w:p>
            <w:pPr>
              <w:rPr>
                <w:color w:val="auto"/>
                <w:highlight w:val="none"/>
              </w:rPr>
            </w:pPr>
            <w:r>
              <w:rPr>
                <w:color w:val="auto"/>
                <w:highlight w:val="none"/>
              </w:rPr>
              <w:t xml:space="preserve">4. </w:t>
            </w:r>
            <w:r>
              <w:rPr>
                <w:rFonts w:hint="eastAsia"/>
                <w:color w:val="auto"/>
                <w:highlight w:val="none"/>
              </w:rPr>
              <w:t>门扇采用不包边暗扣结构，门扇与门框之间必须配有防撞胶条，无外露螺丝（含观察窗部位）。</w:t>
            </w:r>
          </w:p>
          <w:p>
            <w:pPr>
              <w:rPr>
                <w:color w:val="auto"/>
                <w:highlight w:val="none"/>
              </w:rPr>
            </w:pPr>
            <w:r>
              <w:rPr>
                <w:color w:val="auto"/>
                <w:highlight w:val="none"/>
              </w:rPr>
              <w:t>5.</w:t>
            </w:r>
            <w:r>
              <w:rPr>
                <w:rFonts w:hint="eastAsia"/>
                <w:color w:val="auto"/>
                <w:highlight w:val="none"/>
              </w:rPr>
              <w:t>材料厚度：材料选用双面电镀锌冷轧钢板，门框采用≥</w:t>
            </w:r>
            <w:r>
              <w:rPr>
                <w:color w:val="auto"/>
                <w:highlight w:val="none"/>
              </w:rPr>
              <w:t>1.2MM</w:t>
            </w:r>
            <w:r>
              <w:rPr>
                <w:rFonts w:hint="eastAsia"/>
                <w:color w:val="auto"/>
                <w:highlight w:val="none"/>
              </w:rPr>
              <w:t>厚镀锌钢板，门扇采用≥</w:t>
            </w:r>
            <w:r>
              <w:rPr>
                <w:color w:val="auto"/>
                <w:highlight w:val="none"/>
              </w:rPr>
              <w:t>1.0MM</w:t>
            </w:r>
            <w:r>
              <w:rPr>
                <w:rFonts w:hint="eastAsia"/>
                <w:color w:val="auto"/>
                <w:highlight w:val="none"/>
              </w:rPr>
              <w:t>厚镀锌钢板，加固件遇有螺孔处的钢板厚度不低于</w:t>
            </w:r>
            <w:r>
              <w:rPr>
                <w:color w:val="auto"/>
                <w:highlight w:val="none"/>
              </w:rPr>
              <w:t>2.5 MM</w:t>
            </w:r>
            <w:r>
              <w:rPr>
                <w:rFonts w:hint="eastAsia"/>
                <w:color w:val="auto"/>
                <w:highlight w:val="none"/>
              </w:rPr>
              <w:t>。防火锁安装处要进行加固处理。</w:t>
            </w:r>
          </w:p>
          <w:p>
            <w:pPr>
              <w:rPr>
                <w:color w:val="auto"/>
                <w:highlight w:val="none"/>
              </w:rPr>
            </w:pPr>
            <w:r>
              <w:rPr>
                <w:color w:val="auto"/>
                <w:highlight w:val="none"/>
              </w:rPr>
              <w:t>6.</w:t>
            </w:r>
            <w:r>
              <w:rPr>
                <w:rFonts w:hint="eastAsia"/>
                <w:color w:val="auto"/>
                <w:highlight w:val="none"/>
              </w:rPr>
              <w:t>喷涂要求：静电喷涂，涂层应均匀、平整、光滑，不得有堆漆、麻点、气泡、漏涂、咬色及流淌等现象。</w:t>
            </w:r>
          </w:p>
          <w:p>
            <w:pPr>
              <w:rPr>
                <w:color w:val="auto"/>
                <w:highlight w:val="none"/>
              </w:rPr>
            </w:pPr>
            <w:r>
              <w:rPr>
                <w:color w:val="auto"/>
                <w:highlight w:val="none"/>
              </w:rPr>
              <w:t>7.</w:t>
            </w:r>
            <w:r>
              <w:rPr>
                <w:rFonts w:hint="eastAsia"/>
                <w:color w:val="auto"/>
                <w:highlight w:val="none"/>
              </w:rPr>
              <w:t>防火门应为向疏散方向开启的平开门，并在关闭后应能从任何一侧手动开启。用于疏散的走道、楼梯和前室的防火门，应具有自行关闭的功能。双扇和多扇防火门，还应具有按顺序关闭的功能。</w:t>
            </w:r>
          </w:p>
          <w:p>
            <w:pPr>
              <w:rPr>
                <w:color w:val="auto"/>
                <w:highlight w:val="none"/>
              </w:rPr>
            </w:pPr>
            <w:r>
              <w:rPr>
                <w:color w:val="auto"/>
                <w:highlight w:val="none"/>
              </w:rPr>
              <w:t>8.</w:t>
            </w:r>
            <w:r>
              <w:rPr>
                <w:rFonts w:hint="eastAsia"/>
                <w:color w:val="auto"/>
                <w:highlight w:val="none"/>
              </w:rPr>
              <w:t>防火门门扇、门框的尺寸极限偏差和形位公差必须符合规范要求。</w:t>
            </w:r>
          </w:p>
          <w:p>
            <w:pPr>
              <w:rPr>
                <w:color w:val="auto"/>
                <w:highlight w:val="none"/>
              </w:rPr>
            </w:pPr>
            <w:r>
              <w:rPr>
                <w:color w:val="auto"/>
                <w:highlight w:val="none"/>
              </w:rPr>
              <w:t>9.</w:t>
            </w:r>
            <w:r>
              <w:rPr>
                <w:rFonts w:hint="eastAsia"/>
                <w:color w:val="auto"/>
                <w:highlight w:val="none"/>
              </w:rPr>
              <w:t>粘接剂：应使用对人体无毒无害的产品，并经国家认可授权检测机构检验达到</w:t>
            </w:r>
            <w:r>
              <w:rPr>
                <w:color w:val="auto"/>
                <w:highlight w:val="none"/>
              </w:rPr>
              <w:t>GB/T20285-2006</w:t>
            </w:r>
            <w:r>
              <w:rPr>
                <w:rFonts w:hint="eastAsia"/>
                <w:color w:val="auto"/>
                <w:highlight w:val="none"/>
              </w:rPr>
              <w:t>规定产烟毒性危险分级</w:t>
            </w:r>
            <w:r>
              <w:rPr>
                <w:color w:val="auto"/>
                <w:highlight w:val="none"/>
              </w:rPr>
              <w:t>ZA2</w:t>
            </w:r>
            <w:r>
              <w:rPr>
                <w:rFonts w:hint="eastAsia"/>
                <w:color w:val="auto"/>
                <w:highlight w:val="none"/>
              </w:rPr>
              <w:t>级要求。</w:t>
            </w:r>
          </w:p>
          <w:p>
            <w:pPr>
              <w:rPr>
                <w:color w:val="auto"/>
                <w:highlight w:val="none"/>
              </w:rPr>
            </w:pPr>
            <w:r>
              <w:rPr>
                <w:color w:val="auto"/>
                <w:highlight w:val="none"/>
              </w:rPr>
              <w:t>10.</w:t>
            </w:r>
            <w:r>
              <w:rPr>
                <w:rFonts w:hint="eastAsia"/>
                <w:color w:val="auto"/>
                <w:highlight w:val="none"/>
              </w:rPr>
              <w:t>门框必须进行灌浆处理；</w:t>
            </w:r>
          </w:p>
          <w:p>
            <w:pPr>
              <w:rPr>
                <w:color w:val="auto"/>
                <w:highlight w:val="none"/>
              </w:rPr>
            </w:pPr>
            <w:r>
              <w:rPr>
                <w:color w:val="auto"/>
                <w:highlight w:val="none"/>
              </w:rPr>
              <w:t xml:space="preserve">11. </w:t>
            </w:r>
            <w:r>
              <w:rPr>
                <w:rFonts w:hint="eastAsia"/>
                <w:color w:val="auto"/>
                <w:highlight w:val="none"/>
              </w:rPr>
              <w:t>有吸附式要求的还须达到规定标准。</w:t>
            </w:r>
          </w:p>
          <w:p>
            <w:pPr>
              <w:rPr>
                <w:color w:val="auto"/>
                <w:highlight w:val="none"/>
              </w:rPr>
            </w:pPr>
            <w:r>
              <w:rPr>
                <w:color w:val="auto"/>
                <w:highlight w:val="none"/>
              </w:rPr>
              <w:t>12.</w:t>
            </w:r>
            <w:r>
              <w:rPr>
                <w:rFonts w:hint="eastAsia"/>
                <w:color w:val="auto"/>
                <w:highlight w:val="none"/>
              </w:rPr>
              <w:t>档案库房电梯厅之防火门需做门套（以防碰撞刮坏墙体），包门套</w:t>
            </w:r>
            <w:r>
              <w:rPr>
                <w:color w:val="auto"/>
                <w:highlight w:val="none"/>
              </w:rPr>
              <w:t>100</w:t>
            </w:r>
            <w:r>
              <w:rPr>
                <w:rFonts w:hint="eastAsia"/>
                <w:color w:val="auto"/>
                <w:highlight w:val="none"/>
              </w:rPr>
              <w:t>宽，采用</w:t>
            </w:r>
            <w:r>
              <w:rPr>
                <w:color w:val="auto"/>
                <w:highlight w:val="none"/>
              </w:rPr>
              <w:t>1.5</w:t>
            </w:r>
            <w:r>
              <w:rPr>
                <w:rFonts w:hint="eastAsia"/>
                <w:color w:val="auto"/>
                <w:highlight w:val="none"/>
              </w:rPr>
              <w:t>㎜厚镀锌钢板。漆面同门体。</w:t>
            </w:r>
          </w:p>
          <w:p>
            <w:pPr>
              <w:rPr>
                <w:color w:val="auto"/>
                <w:highlight w:val="none"/>
              </w:rPr>
            </w:pPr>
            <w:r>
              <w:rPr>
                <w:color w:val="auto"/>
                <w:highlight w:val="none"/>
              </w:rPr>
              <w:t>13.</w:t>
            </w:r>
            <w:r>
              <w:rPr>
                <w:rFonts w:hint="eastAsia"/>
                <w:color w:val="auto"/>
                <w:highlight w:val="none"/>
              </w:rPr>
              <w:t>其它按照实物样板标准执行。</w:t>
            </w:r>
          </w:p>
          <w:p>
            <w:pPr>
              <w:rPr>
                <w:color w:val="auto"/>
                <w:highlight w:val="none"/>
              </w:rPr>
            </w:pPr>
            <w:r>
              <w:rPr>
                <w:rFonts w:hint="eastAsia"/>
                <w:color w:val="auto"/>
                <w:highlight w:val="none"/>
              </w:rPr>
              <w:t>钢质门要求：</w:t>
            </w:r>
          </w:p>
          <w:p>
            <w:pPr>
              <w:rPr>
                <w:color w:val="auto"/>
                <w:highlight w:val="none"/>
              </w:rPr>
            </w:pPr>
            <w:r>
              <w:rPr>
                <w:color w:val="auto"/>
                <w:highlight w:val="none"/>
              </w:rPr>
              <w:t>A</w:t>
            </w:r>
            <w:r>
              <w:rPr>
                <w:rFonts w:hint="eastAsia"/>
                <w:color w:val="auto"/>
                <w:highlight w:val="none"/>
              </w:rPr>
              <w:t>、钢质门要求为</w:t>
            </w:r>
            <w:r>
              <w:rPr>
                <w:color w:val="auto"/>
                <w:highlight w:val="none"/>
              </w:rPr>
              <w:t>50mm</w:t>
            </w:r>
            <w:r>
              <w:rPr>
                <w:rFonts w:hint="eastAsia"/>
                <w:color w:val="auto"/>
                <w:highlight w:val="none"/>
              </w:rPr>
              <w:t>厚</w:t>
            </w:r>
          </w:p>
          <w:p>
            <w:pPr>
              <w:rPr>
                <w:color w:val="auto"/>
                <w:highlight w:val="none"/>
              </w:rPr>
            </w:pPr>
            <w:r>
              <w:rPr>
                <w:color w:val="auto"/>
                <w:highlight w:val="none"/>
              </w:rPr>
              <w:t>B</w:t>
            </w:r>
            <w:r>
              <w:rPr>
                <w:rFonts w:hint="eastAsia"/>
                <w:color w:val="auto"/>
                <w:highlight w:val="none"/>
              </w:rPr>
              <w:t>、门框与门扇面板应采用性能不低于冷轧薄钢板的钢质材料，加固件采用不低于热轧钢材的钢质材料，铰链板厚度不低于</w:t>
            </w:r>
            <w:r>
              <w:rPr>
                <w:color w:val="auto"/>
                <w:highlight w:val="none"/>
              </w:rPr>
              <w:t>3mm</w:t>
            </w:r>
          </w:p>
          <w:p>
            <w:pPr>
              <w:rPr>
                <w:color w:val="auto"/>
                <w:highlight w:val="none"/>
              </w:rPr>
            </w:pPr>
            <w:r>
              <w:rPr>
                <w:color w:val="auto"/>
                <w:highlight w:val="none"/>
              </w:rPr>
              <w:t>C</w:t>
            </w:r>
            <w:r>
              <w:rPr>
                <w:rFonts w:hint="eastAsia"/>
                <w:color w:val="auto"/>
                <w:highlight w:val="none"/>
              </w:rPr>
              <w:t>、门框、门扇面板均采用镀锌钢板，面喷灰色氟碳漆。门框采用</w:t>
            </w:r>
            <w:r>
              <w:rPr>
                <w:color w:val="auto"/>
                <w:highlight w:val="none"/>
              </w:rPr>
              <w:t>1.4mm</w:t>
            </w:r>
            <w:r>
              <w:rPr>
                <w:rFonts w:hint="eastAsia"/>
                <w:color w:val="auto"/>
                <w:highlight w:val="none"/>
              </w:rPr>
              <w:t>厚镀锌钢板，门扇面板采用</w:t>
            </w:r>
            <w:r>
              <w:rPr>
                <w:color w:val="auto"/>
                <w:highlight w:val="none"/>
              </w:rPr>
              <w:t>0.8mm</w:t>
            </w:r>
            <w:r>
              <w:rPr>
                <w:rFonts w:hint="eastAsia"/>
                <w:color w:val="auto"/>
                <w:highlight w:val="none"/>
              </w:rPr>
              <w:t>厚镀锌钢板，加固件螺孔，钢板厚板应不低于</w:t>
            </w:r>
            <w:r>
              <w:rPr>
                <w:color w:val="auto"/>
                <w:highlight w:val="none"/>
              </w:rPr>
              <w:t>3.0mm</w:t>
            </w:r>
            <w:r>
              <w:rPr>
                <w:rFonts w:hint="eastAsia"/>
                <w:color w:val="auto"/>
                <w:highlight w:val="none"/>
              </w:rPr>
              <w:t>。</w:t>
            </w:r>
          </w:p>
          <w:p>
            <w:pPr>
              <w:rPr>
                <w:color w:val="auto"/>
                <w:highlight w:val="none"/>
              </w:rPr>
            </w:pPr>
            <w:r>
              <w:rPr>
                <w:color w:val="auto"/>
                <w:highlight w:val="none"/>
              </w:rPr>
              <w:t>D</w:t>
            </w:r>
            <w:r>
              <w:rPr>
                <w:rFonts w:hint="eastAsia"/>
                <w:color w:val="auto"/>
                <w:highlight w:val="none"/>
              </w:rPr>
              <w:t>、门框和门扇内用不燃性材料填实。填充材料应符合《建筑材料不燃性试验方法》（</w:t>
            </w:r>
            <w:r>
              <w:rPr>
                <w:color w:val="auto"/>
                <w:highlight w:val="none"/>
              </w:rPr>
              <w:t>GB5464</w:t>
            </w:r>
            <w:r>
              <w:rPr>
                <w:rFonts w:hint="eastAsia"/>
                <w:color w:val="auto"/>
                <w:highlight w:val="none"/>
              </w:rPr>
              <w:t>）规定，同时满足环保要求。</w:t>
            </w:r>
          </w:p>
          <w:p>
            <w:pPr>
              <w:rPr>
                <w:color w:val="auto"/>
                <w:highlight w:val="none"/>
              </w:rPr>
            </w:pPr>
            <w:r>
              <w:rPr>
                <w:color w:val="auto"/>
                <w:highlight w:val="none"/>
              </w:rPr>
              <w:t>E</w:t>
            </w:r>
            <w:r>
              <w:rPr>
                <w:rFonts w:hint="eastAsia"/>
                <w:color w:val="auto"/>
                <w:highlight w:val="none"/>
              </w:rPr>
              <w:t>、玻璃材料：</w:t>
            </w:r>
            <w:r>
              <w:rPr>
                <w:color w:val="auto"/>
                <w:highlight w:val="none"/>
              </w:rPr>
              <w:t>8+8</w:t>
            </w:r>
            <w:r>
              <w:rPr>
                <w:rFonts w:hint="eastAsia"/>
                <w:color w:val="auto"/>
                <w:highlight w:val="none"/>
              </w:rPr>
              <w:t>复合防火玻璃，玻璃性能应能满足钢质门耐火性能实验要求，玻璃的耐火等级同其门的防火等级要求相同。</w:t>
            </w:r>
          </w:p>
          <w:p>
            <w:pPr>
              <w:rPr>
                <w:color w:val="auto"/>
                <w:highlight w:val="none"/>
              </w:rPr>
            </w:pPr>
            <w:r>
              <w:rPr>
                <w:rFonts w:hint="eastAsia"/>
                <w:color w:val="auto"/>
                <w:highlight w:val="none"/>
              </w:rPr>
              <w:t>监理工程师有权到加工厂监造，在施工期间监理工程师有权至少抽取</w:t>
            </w:r>
            <w:r>
              <w:rPr>
                <w:color w:val="auto"/>
                <w:highlight w:val="none"/>
              </w:rPr>
              <w:t>2</w:t>
            </w:r>
            <w:r>
              <w:rPr>
                <w:rFonts w:hint="eastAsia"/>
                <w:color w:val="auto"/>
                <w:highlight w:val="none"/>
              </w:rPr>
              <w:t>扇门检验上述参数。</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75" w:type="dxa"/>
            <w:noWrap w:val="0"/>
            <w:vAlign w:val="center"/>
          </w:tcPr>
          <w:p>
            <w:pPr>
              <w:rPr>
                <w:color w:val="auto"/>
                <w:highlight w:val="none"/>
              </w:rPr>
            </w:pPr>
            <w:r>
              <w:rPr>
                <w:color w:val="auto"/>
                <w:highlight w:val="none"/>
              </w:rPr>
              <w:t>18</w:t>
            </w:r>
          </w:p>
        </w:tc>
        <w:tc>
          <w:tcPr>
            <w:tcW w:w="1398" w:type="dxa"/>
            <w:noWrap w:val="0"/>
            <w:vAlign w:val="center"/>
          </w:tcPr>
          <w:p>
            <w:pPr>
              <w:rPr>
                <w:color w:val="auto"/>
                <w:highlight w:val="none"/>
              </w:rPr>
            </w:pPr>
            <w:r>
              <w:rPr>
                <w:rFonts w:hint="eastAsia"/>
                <w:color w:val="auto"/>
                <w:highlight w:val="none"/>
              </w:rPr>
              <w:t>防火门五金配件</w:t>
            </w:r>
          </w:p>
        </w:tc>
        <w:tc>
          <w:tcPr>
            <w:tcW w:w="6864" w:type="dxa"/>
            <w:noWrap w:val="0"/>
            <w:vAlign w:val="center"/>
          </w:tcPr>
          <w:p>
            <w:pPr>
              <w:rPr>
                <w:color w:val="auto"/>
                <w:highlight w:val="none"/>
              </w:rPr>
            </w:pPr>
            <w:r>
              <w:rPr>
                <w:rFonts w:hint="eastAsia"/>
                <w:color w:val="auto"/>
                <w:highlight w:val="none"/>
              </w:rPr>
              <w:t>符合设计及国家有关标准、规范、规定，并符合下列要求：</w:t>
            </w:r>
          </w:p>
          <w:p>
            <w:pPr>
              <w:rPr>
                <w:color w:val="auto"/>
                <w:highlight w:val="none"/>
              </w:rPr>
            </w:pPr>
            <w:r>
              <w:rPr>
                <w:color w:val="auto"/>
                <w:highlight w:val="none"/>
              </w:rPr>
              <w:t>1</w:t>
            </w:r>
            <w:r>
              <w:rPr>
                <w:rFonts w:hint="eastAsia"/>
                <w:color w:val="auto"/>
                <w:highlight w:val="none"/>
              </w:rPr>
              <w:t>．闭门器</w:t>
            </w:r>
          </w:p>
          <w:p>
            <w:pPr>
              <w:rPr>
                <w:color w:val="auto"/>
                <w:highlight w:val="none"/>
              </w:rPr>
            </w:pPr>
            <w:r>
              <w:rPr>
                <w:color w:val="auto"/>
                <w:highlight w:val="none"/>
              </w:rPr>
              <w:t>1</w:t>
            </w:r>
            <w:r>
              <w:rPr>
                <w:rFonts w:hint="eastAsia"/>
                <w:color w:val="auto"/>
                <w:highlight w:val="none"/>
              </w:rPr>
              <w:t>）通过</w:t>
            </w:r>
            <w:r>
              <w:rPr>
                <w:color w:val="auto"/>
                <w:highlight w:val="none"/>
              </w:rPr>
              <w:t>GB9305-88</w:t>
            </w:r>
            <w:r>
              <w:rPr>
                <w:rFonts w:hint="eastAsia"/>
                <w:color w:val="auto"/>
                <w:highlight w:val="none"/>
              </w:rPr>
              <w:t>要求优等品；通过国内防火检测，具有在有效期内的《检验报告》；</w:t>
            </w:r>
          </w:p>
          <w:p>
            <w:pPr>
              <w:rPr>
                <w:color w:val="auto"/>
                <w:highlight w:val="none"/>
              </w:rPr>
            </w:pPr>
            <w:r>
              <w:rPr>
                <w:color w:val="auto"/>
                <w:highlight w:val="none"/>
              </w:rPr>
              <w:t>2</w:t>
            </w:r>
            <w:r>
              <w:rPr>
                <w:rFonts w:hint="eastAsia"/>
                <w:color w:val="auto"/>
                <w:highlight w:val="none"/>
              </w:rPr>
              <w:t>）闭门速度液压无级可调；</w:t>
            </w:r>
          </w:p>
          <w:p>
            <w:pPr>
              <w:rPr>
                <w:color w:val="auto"/>
                <w:highlight w:val="none"/>
              </w:rPr>
            </w:pPr>
            <w:r>
              <w:rPr>
                <w:color w:val="auto"/>
                <w:highlight w:val="none"/>
              </w:rPr>
              <w:t>3</w:t>
            </w:r>
            <w:r>
              <w:rPr>
                <w:rFonts w:hint="eastAsia"/>
                <w:color w:val="auto"/>
                <w:highlight w:val="none"/>
              </w:rPr>
              <w:t>）关门力度按</w:t>
            </w:r>
            <w:r>
              <w:rPr>
                <w:color w:val="auto"/>
                <w:highlight w:val="none"/>
              </w:rPr>
              <w:t>EN</w:t>
            </w:r>
            <w:r>
              <w:rPr>
                <w:rFonts w:hint="eastAsia"/>
                <w:color w:val="auto"/>
                <w:highlight w:val="none"/>
              </w:rPr>
              <w:t>标准</w:t>
            </w:r>
            <w:r>
              <w:rPr>
                <w:color w:val="auto"/>
                <w:highlight w:val="none"/>
              </w:rPr>
              <w:t>2/3/4</w:t>
            </w:r>
            <w:r>
              <w:rPr>
                <w:rFonts w:hint="eastAsia"/>
                <w:color w:val="auto"/>
                <w:highlight w:val="none"/>
              </w:rPr>
              <w:t>级分档可调；</w:t>
            </w:r>
          </w:p>
          <w:p>
            <w:pPr>
              <w:rPr>
                <w:color w:val="auto"/>
                <w:highlight w:val="none"/>
              </w:rPr>
            </w:pPr>
            <w:r>
              <w:rPr>
                <w:color w:val="auto"/>
                <w:highlight w:val="none"/>
              </w:rPr>
              <w:t>4</w:t>
            </w:r>
            <w:r>
              <w:rPr>
                <w:rFonts w:hint="eastAsia"/>
                <w:color w:val="auto"/>
                <w:highlight w:val="none"/>
              </w:rPr>
              <w:t>）提供连续开启</w:t>
            </w:r>
            <w:r>
              <w:rPr>
                <w:color w:val="auto"/>
                <w:highlight w:val="none"/>
              </w:rPr>
              <w:t>40</w:t>
            </w:r>
            <w:r>
              <w:rPr>
                <w:rFonts w:hint="eastAsia"/>
                <w:color w:val="auto"/>
                <w:highlight w:val="none"/>
              </w:rPr>
              <w:t>万次以上的检测报告；</w:t>
            </w:r>
          </w:p>
          <w:p>
            <w:pPr>
              <w:rPr>
                <w:color w:val="auto"/>
                <w:highlight w:val="none"/>
              </w:rPr>
            </w:pPr>
            <w:r>
              <w:rPr>
                <w:color w:val="auto"/>
                <w:highlight w:val="none"/>
              </w:rPr>
              <w:t>5</w:t>
            </w:r>
            <w:r>
              <w:rPr>
                <w:rFonts w:hint="eastAsia"/>
                <w:color w:val="auto"/>
                <w:highlight w:val="none"/>
              </w:rPr>
              <w:t>）末端撞门可调；</w:t>
            </w:r>
          </w:p>
          <w:p>
            <w:pPr>
              <w:rPr>
                <w:color w:val="auto"/>
                <w:highlight w:val="none"/>
              </w:rPr>
            </w:pPr>
            <w:r>
              <w:rPr>
                <w:rFonts w:hint="eastAsia"/>
                <w:color w:val="auto"/>
                <w:highlight w:val="none"/>
              </w:rPr>
              <w:t>其它按照实物样板标准执行。</w:t>
            </w:r>
          </w:p>
          <w:p>
            <w:pPr>
              <w:rPr>
                <w:color w:val="auto"/>
                <w:highlight w:val="none"/>
              </w:rPr>
            </w:pPr>
            <w:r>
              <w:rPr>
                <w:color w:val="auto"/>
                <w:highlight w:val="none"/>
              </w:rPr>
              <w:t>2</w:t>
            </w:r>
            <w:r>
              <w:rPr>
                <w:rFonts w:hint="eastAsia"/>
                <w:color w:val="auto"/>
                <w:highlight w:val="none"/>
              </w:rPr>
              <w:t>．防火锁具（含逃生推杆）：</w:t>
            </w:r>
          </w:p>
          <w:p>
            <w:pPr>
              <w:rPr>
                <w:color w:val="auto"/>
                <w:highlight w:val="none"/>
              </w:rPr>
            </w:pPr>
            <w:r>
              <w:rPr>
                <w:color w:val="auto"/>
                <w:highlight w:val="none"/>
              </w:rPr>
              <w:t>1</w:t>
            </w:r>
            <w:r>
              <w:rPr>
                <w:rFonts w:hint="eastAsia"/>
                <w:color w:val="auto"/>
                <w:highlight w:val="none"/>
              </w:rPr>
              <w:t>）通过国内防火检测，具有在有效期内的《检验报告》；</w:t>
            </w:r>
          </w:p>
          <w:p>
            <w:pPr>
              <w:rPr>
                <w:color w:val="auto"/>
                <w:highlight w:val="none"/>
              </w:rPr>
            </w:pPr>
            <w:r>
              <w:rPr>
                <w:color w:val="auto"/>
                <w:highlight w:val="none"/>
              </w:rPr>
              <w:t>2</w:t>
            </w:r>
            <w:r>
              <w:rPr>
                <w:rFonts w:hint="eastAsia"/>
                <w:color w:val="auto"/>
                <w:highlight w:val="none"/>
              </w:rPr>
              <w:t>）疏散防火门把手采用尼龙</w:t>
            </w:r>
            <w:r>
              <w:rPr>
                <w:color w:val="auto"/>
                <w:highlight w:val="none"/>
              </w:rPr>
              <w:t>/</w:t>
            </w:r>
            <w:r>
              <w:rPr>
                <w:rFonts w:hint="eastAsia"/>
                <w:color w:val="auto"/>
                <w:highlight w:val="none"/>
              </w:rPr>
              <w:t>不锈钢联体式把手，颜色可选，在双面</w:t>
            </w:r>
            <w:r>
              <w:rPr>
                <w:color w:val="auto"/>
                <w:highlight w:val="none"/>
              </w:rPr>
              <w:t>100N</w:t>
            </w:r>
            <w:r>
              <w:rPr>
                <w:rFonts w:hint="eastAsia"/>
                <w:color w:val="auto"/>
                <w:highlight w:val="none"/>
              </w:rPr>
              <w:t>拉力作用下，</w:t>
            </w:r>
            <w:r>
              <w:rPr>
                <w:color w:val="auto"/>
                <w:highlight w:val="none"/>
              </w:rPr>
              <w:t>20</w:t>
            </w:r>
            <w:r>
              <w:rPr>
                <w:rFonts w:hint="eastAsia"/>
                <w:color w:val="auto"/>
                <w:highlight w:val="none"/>
              </w:rPr>
              <w:t>万次开启测试把手偏角不大于</w:t>
            </w:r>
            <w:r>
              <w:rPr>
                <w:color w:val="auto"/>
                <w:highlight w:val="none"/>
              </w:rPr>
              <w:t>1O</w:t>
            </w:r>
            <w:r>
              <w:rPr>
                <w:rFonts w:hint="eastAsia"/>
                <w:color w:val="auto"/>
                <w:highlight w:val="none"/>
              </w:rPr>
              <w:t>；双锁舌；</w:t>
            </w:r>
          </w:p>
          <w:p>
            <w:pPr>
              <w:rPr>
                <w:color w:val="auto"/>
                <w:highlight w:val="none"/>
              </w:rPr>
            </w:pPr>
            <w:r>
              <w:rPr>
                <w:color w:val="auto"/>
                <w:highlight w:val="none"/>
              </w:rPr>
              <w:t>3</w:t>
            </w:r>
            <w:r>
              <w:rPr>
                <w:rFonts w:hint="eastAsia"/>
                <w:color w:val="auto"/>
                <w:highlight w:val="none"/>
              </w:rPr>
              <w:t>）锁芯具备钥匙通开性能。</w:t>
            </w:r>
          </w:p>
          <w:p>
            <w:pPr>
              <w:rPr>
                <w:color w:val="auto"/>
                <w:highlight w:val="none"/>
              </w:rPr>
            </w:pPr>
            <w:r>
              <w:rPr>
                <w:color w:val="auto"/>
                <w:highlight w:val="none"/>
              </w:rPr>
              <w:t>4</w:t>
            </w:r>
            <w:r>
              <w:rPr>
                <w:rFonts w:hint="eastAsia"/>
                <w:color w:val="auto"/>
                <w:highlight w:val="none"/>
              </w:rPr>
              <w:t>）管井门采用暗扣拉手，单锁舌。</w:t>
            </w:r>
          </w:p>
          <w:p>
            <w:pPr>
              <w:rPr>
                <w:color w:val="auto"/>
                <w:highlight w:val="none"/>
              </w:rPr>
            </w:pPr>
            <w:r>
              <w:rPr>
                <w:color w:val="auto"/>
                <w:highlight w:val="none"/>
              </w:rPr>
              <w:t>3</w:t>
            </w:r>
            <w:r>
              <w:rPr>
                <w:rFonts w:hint="eastAsia"/>
                <w:color w:val="auto"/>
                <w:highlight w:val="none"/>
              </w:rPr>
              <w:t>．防火铰链</w:t>
            </w:r>
          </w:p>
          <w:p>
            <w:pPr>
              <w:rPr>
                <w:color w:val="auto"/>
                <w:highlight w:val="none"/>
              </w:rPr>
            </w:pPr>
            <w:r>
              <w:rPr>
                <w:color w:val="auto"/>
                <w:highlight w:val="none"/>
              </w:rPr>
              <w:t>1</w:t>
            </w:r>
            <w:r>
              <w:rPr>
                <w:rFonts w:hint="eastAsia"/>
                <w:color w:val="auto"/>
                <w:highlight w:val="none"/>
              </w:rPr>
              <w:t>）不锈钢材质旗型铰链，厚度不小于</w:t>
            </w:r>
            <w:r>
              <w:rPr>
                <w:color w:val="auto"/>
                <w:highlight w:val="none"/>
              </w:rPr>
              <w:t>3mm</w:t>
            </w:r>
            <w:r>
              <w:rPr>
                <w:rFonts w:hint="eastAsia"/>
                <w:color w:val="auto"/>
                <w:highlight w:val="none"/>
              </w:rPr>
              <w:t>；</w:t>
            </w:r>
          </w:p>
          <w:p>
            <w:pPr>
              <w:rPr>
                <w:color w:val="auto"/>
                <w:highlight w:val="none"/>
              </w:rPr>
            </w:pPr>
            <w:r>
              <w:rPr>
                <w:color w:val="auto"/>
                <w:highlight w:val="none"/>
              </w:rPr>
              <w:t>2</w:t>
            </w:r>
            <w:r>
              <w:rPr>
                <w:rFonts w:hint="eastAsia"/>
                <w:color w:val="auto"/>
                <w:highlight w:val="none"/>
              </w:rPr>
              <w:t>）疏散防火门每扇门上采用旗型铰链不少于</w:t>
            </w:r>
            <w:r>
              <w:rPr>
                <w:color w:val="auto"/>
                <w:highlight w:val="none"/>
              </w:rPr>
              <w:t>3</w:t>
            </w:r>
            <w:r>
              <w:rPr>
                <w:rFonts w:hint="eastAsia"/>
                <w:color w:val="auto"/>
                <w:highlight w:val="none"/>
              </w:rPr>
              <w:t>个；</w:t>
            </w:r>
          </w:p>
          <w:p>
            <w:pPr>
              <w:rPr>
                <w:color w:val="auto"/>
                <w:highlight w:val="none"/>
              </w:rPr>
            </w:pPr>
            <w:r>
              <w:rPr>
                <w:color w:val="auto"/>
                <w:highlight w:val="none"/>
              </w:rPr>
              <w:t>3</w:t>
            </w:r>
            <w:r>
              <w:rPr>
                <w:rFonts w:hint="eastAsia"/>
                <w:color w:val="auto"/>
                <w:highlight w:val="none"/>
              </w:rPr>
              <w:t>）其它按照实物样板标准执行。</w:t>
            </w:r>
          </w:p>
          <w:p>
            <w:pPr>
              <w:rPr>
                <w:color w:val="auto"/>
                <w:highlight w:val="none"/>
              </w:rPr>
            </w:pPr>
            <w:r>
              <w:rPr>
                <w:color w:val="auto"/>
                <w:highlight w:val="none"/>
              </w:rPr>
              <w:t>4</w:t>
            </w:r>
            <w:r>
              <w:rPr>
                <w:rFonts w:hint="eastAsia"/>
                <w:color w:val="auto"/>
                <w:highlight w:val="none"/>
              </w:rPr>
              <w:t>）、管井门配二只</w:t>
            </w:r>
            <w:r>
              <w:rPr>
                <w:color w:val="auto"/>
                <w:highlight w:val="none"/>
              </w:rPr>
              <w:t>4</w:t>
            </w:r>
            <w:r>
              <w:rPr>
                <w:rFonts w:hint="eastAsia"/>
                <w:color w:val="auto"/>
                <w:highlight w:val="none"/>
              </w:rPr>
              <w:t>寸不锈钢铰链。</w:t>
            </w:r>
          </w:p>
          <w:p>
            <w:pPr>
              <w:rPr>
                <w:color w:val="auto"/>
                <w:highlight w:val="none"/>
              </w:rPr>
            </w:pPr>
            <w:r>
              <w:rPr>
                <w:color w:val="auto"/>
                <w:highlight w:val="none"/>
              </w:rPr>
              <w:t>4.</w:t>
            </w:r>
            <w:r>
              <w:rPr>
                <w:rFonts w:hint="eastAsia"/>
                <w:color w:val="auto"/>
                <w:highlight w:val="none"/>
              </w:rPr>
              <w:t>所有螺丝</w:t>
            </w:r>
            <w:r>
              <w:rPr>
                <w:color w:val="auto"/>
                <w:highlight w:val="none"/>
              </w:rPr>
              <w:t>/</w:t>
            </w:r>
            <w:r>
              <w:rPr>
                <w:rFonts w:hint="eastAsia"/>
                <w:color w:val="auto"/>
                <w:highlight w:val="none"/>
              </w:rPr>
              <w:t>螺钉均采用不锈钢材质。</w:t>
            </w:r>
          </w:p>
          <w:p>
            <w:pPr>
              <w:rPr>
                <w:color w:val="auto"/>
                <w:highlight w:val="none"/>
              </w:rPr>
            </w:pPr>
            <w:r>
              <w:rPr>
                <w:rFonts w:hint="eastAsia"/>
                <w:color w:val="auto"/>
                <w:highlight w:val="none"/>
              </w:rPr>
              <w:t>其他要求详见实物样板标准。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75" w:type="dxa"/>
            <w:noWrap w:val="0"/>
            <w:vAlign w:val="center"/>
          </w:tcPr>
          <w:p>
            <w:pPr>
              <w:rPr>
                <w:color w:val="auto"/>
                <w:highlight w:val="none"/>
              </w:rPr>
            </w:pPr>
            <w:r>
              <w:rPr>
                <w:color w:val="auto"/>
                <w:highlight w:val="none"/>
              </w:rPr>
              <w:t>19</w:t>
            </w:r>
          </w:p>
        </w:tc>
        <w:tc>
          <w:tcPr>
            <w:tcW w:w="1398" w:type="dxa"/>
            <w:noWrap w:val="0"/>
            <w:vAlign w:val="center"/>
          </w:tcPr>
          <w:p>
            <w:pPr>
              <w:rPr>
                <w:color w:val="auto"/>
                <w:highlight w:val="none"/>
              </w:rPr>
            </w:pPr>
            <w:r>
              <w:rPr>
                <w:rFonts w:hint="eastAsia"/>
                <w:color w:val="auto"/>
                <w:highlight w:val="none"/>
              </w:rPr>
              <w:t>成品木门</w:t>
            </w:r>
          </w:p>
          <w:p>
            <w:pPr>
              <w:rPr>
                <w:color w:val="auto"/>
                <w:highlight w:val="none"/>
              </w:rPr>
            </w:pPr>
          </w:p>
        </w:tc>
        <w:tc>
          <w:tcPr>
            <w:tcW w:w="6864" w:type="dxa"/>
            <w:noWrap w:val="0"/>
            <w:vAlign w:val="center"/>
          </w:tcPr>
          <w:p>
            <w:pPr>
              <w:rPr>
                <w:color w:val="auto"/>
                <w:highlight w:val="none"/>
              </w:rPr>
            </w:pPr>
            <w:r>
              <w:rPr>
                <w:color w:val="auto"/>
                <w:highlight w:val="none"/>
              </w:rPr>
              <w:t>1</w:t>
            </w:r>
            <w:r>
              <w:rPr>
                <w:rFonts w:hint="eastAsia"/>
                <w:color w:val="auto"/>
                <w:highlight w:val="none"/>
              </w:rPr>
              <w:t>、成品木门</w:t>
            </w:r>
          </w:p>
          <w:p>
            <w:pPr>
              <w:rPr>
                <w:color w:val="auto"/>
                <w:highlight w:val="none"/>
              </w:rPr>
            </w:pPr>
            <w:r>
              <w:rPr>
                <w:rFonts w:hint="eastAsia"/>
                <w:color w:val="auto"/>
                <w:highlight w:val="none"/>
              </w:rPr>
              <w:t>符合设计要求及国家《建筑木门、木窗》规范和标准，并符合实物样板的技术要求和设计要求。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）木材：使用的木材，材质无腐朽、无死节、无</w:t>
            </w:r>
            <w:r>
              <w:rPr>
                <w:color w:val="auto"/>
                <w:highlight w:val="none"/>
              </w:rPr>
              <w:t>2</w:t>
            </w:r>
            <w:r>
              <w:rPr>
                <w:rFonts w:hint="eastAsia"/>
                <w:color w:val="auto"/>
                <w:highlight w:val="none"/>
              </w:rPr>
              <w:t>㎜以上开裂、无严重色变，门框须采用硬杂木；</w:t>
            </w:r>
          </w:p>
          <w:p>
            <w:pPr>
              <w:rPr>
                <w:color w:val="auto"/>
                <w:highlight w:val="none"/>
              </w:rPr>
            </w:pPr>
            <w:r>
              <w:rPr>
                <w:rFonts w:hint="eastAsia"/>
                <w:color w:val="auto"/>
                <w:highlight w:val="none"/>
              </w:rPr>
              <w:t>（</w:t>
            </w:r>
            <w:r>
              <w:rPr>
                <w:color w:val="auto"/>
                <w:highlight w:val="none"/>
              </w:rPr>
              <w:t>2</w:t>
            </w:r>
            <w:r>
              <w:rPr>
                <w:rFonts w:hint="eastAsia"/>
                <w:color w:val="auto"/>
                <w:highlight w:val="none"/>
              </w:rPr>
              <w:t>）板材：采用</w:t>
            </w:r>
            <w:r>
              <w:rPr>
                <w:color w:val="auto"/>
                <w:highlight w:val="none"/>
              </w:rPr>
              <w:t>II</w:t>
            </w:r>
            <w:r>
              <w:rPr>
                <w:rFonts w:hint="eastAsia"/>
                <w:color w:val="auto"/>
                <w:highlight w:val="none"/>
              </w:rPr>
              <w:t>级防水板材，达到</w:t>
            </w:r>
            <w:r>
              <w:rPr>
                <w:color w:val="auto"/>
                <w:highlight w:val="none"/>
              </w:rPr>
              <w:t>E0</w:t>
            </w:r>
            <w:r>
              <w:rPr>
                <w:rFonts w:hint="eastAsia"/>
                <w:color w:val="auto"/>
                <w:highlight w:val="none"/>
              </w:rPr>
              <w:t>级环保要求；</w:t>
            </w:r>
          </w:p>
          <w:p>
            <w:pPr>
              <w:rPr>
                <w:color w:val="auto"/>
                <w:highlight w:val="none"/>
              </w:rPr>
            </w:pPr>
            <w:r>
              <w:rPr>
                <w:rFonts w:hint="eastAsia"/>
                <w:color w:val="auto"/>
                <w:highlight w:val="none"/>
              </w:rPr>
              <w:t>（</w:t>
            </w:r>
            <w:r>
              <w:rPr>
                <w:color w:val="auto"/>
                <w:highlight w:val="none"/>
              </w:rPr>
              <w:t>3</w:t>
            </w:r>
            <w:r>
              <w:rPr>
                <w:rFonts w:hint="eastAsia"/>
                <w:color w:val="auto"/>
                <w:highlight w:val="none"/>
              </w:rPr>
              <w:t>）含水率：使用木材、板材含水率为</w:t>
            </w:r>
            <w:r>
              <w:rPr>
                <w:color w:val="auto"/>
                <w:highlight w:val="none"/>
              </w:rPr>
              <w:t>10%-14%</w:t>
            </w:r>
            <w:r>
              <w:rPr>
                <w:rFonts w:hint="eastAsia"/>
                <w:color w:val="auto"/>
                <w:highlight w:val="none"/>
              </w:rPr>
              <w:t>，适合广东地区平衡湿度；</w:t>
            </w:r>
          </w:p>
          <w:p>
            <w:pPr>
              <w:rPr>
                <w:color w:val="auto"/>
                <w:highlight w:val="none"/>
              </w:rPr>
            </w:pPr>
            <w:r>
              <w:rPr>
                <w:rFonts w:hint="eastAsia"/>
                <w:color w:val="auto"/>
                <w:highlight w:val="none"/>
              </w:rPr>
              <w:t>（</w:t>
            </w:r>
            <w:r>
              <w:rPr>
                <w:color w:val="auto"/>
                <w:highlight w:val="none"/>
              </w:rPr>
              <w:t>4</w:t>
            </w:r>
            <w:r>
              <w:rPr>
                <w:rFonts w:hint="eastAsia"/>
                <w:color w:val="auto"/>
                <w:highlight w:val="none"/>
              </w:rPr>
              <w:t>）油漆：采用中国名牌</w:t>
            </w:r>
            <w:r>
              <w:rPr>
                <w:color w:val="auto"/>
                <w:highlight w:val="none"/>
              </w:rPr>
              <w:t>PU</w:t>
            </w:r>
            <w:r>
              <w:rPr>
                <w:rFonts w:hint="eastAsia"/>
                <w:color w:val="auto"/>
                <w:highlight w:val="none"/>
              </w:rPr>
              <w:t>水性环保漆（不饱和聚酯油漆），</w:t>
            </w:r>
            <w:r>
              <w:rPr>
                <w:color w:val="auto"/>
                <w:highlight w:val="none"/>
              </w:rPr>
              <w:t>3</w:t>
            </w:r>
            <w:r>
              <w:rPr>
                <w:rFonts w:hint="eastAsia"/>
                <w:color w:val="auto"/>
                <w:highlight w:val="none"/>
              </w:rPr>
              <w:t>道底漆、</w:t>
            </w:r>
            <w:r>
              <w:rPr>
                <w:color w:val="auto"/>
                <w:highlight w:val="none"/>
              </w:rPr>
              <w:t>2</w:t>
            </w:r>
            <w:r>
              <w:rPr>
                <w:rFonts w:hint="eastAsia"/>
                <w:color w:val="auto"/>
                <w:highlight w:val="none"/>
              </w:rPr>
              <w:t>道面漆；外观指标达到高级标准；</w:t>
            </w:r>
          </w:p>
          <w:p>
            <w:pPr>
              <w:rPr>
                <w:color w:val="auto"/>
                <w:highlight w:val="none"/>
              </w:rPr>
            </w:pPr>
            <w:r>
              <w:rPr>
                <w:rFonts w:hint="eastAsia"/>
                <w:color w:val="auto"/>
                <w:highlight w:val="none"/>
              </w:rPr>
              <w:t>（</w:t>
            </w:r>
            <w:r>
              <w:rPr>
                <w:color w:val="auto"/>
                <w:highlight w:val="none"/>
              </w:rPr>
              <w:t>5</w:t>
            </w:r>
            <w:r>
              <w:rPr>
                <w:rFonts w:hint="eastAsia"/>
                <w:color w:val="auto"/>
                <w:highlight w:val="none"/>
              </w:rPr>
              <w:t>）胶水：采用</w:t>
            </w:r>
            <w:r>
              <w:rPr>
                <w:color w:val="auto"/>
                <w:highlight w:val="none"/>
              </w:rPr>
              <w:t>D4</w:t>
            </w:r>
            <w:r>
              <w:rPr>
                <w:rFonts w:hint="eastAsia"/>
                <w:color w:val="auto"/>
                <w:highlight w:val="none"/>
              </w:rPr>
              <w:t>双组份防水木工环保胶；</w:t>
            </w:r>
          </w:p>
          <w:p>
            <w:pPr>
              <w:rPr>
                <w:color w:val="auto"/>
                <w:highlight w:val="none"/>
              </w:rPr>
            </w:pPr>
            <w:r>
              <w:rPr>
                <w:rFonts w:hint="eastAsia"/>
                <w:color w:val="auto"/>
                <w:highlight w:val="none"/>
              </w:rPr>
              <w:t>（</w:t>
            </w:r>
            <w:r>
              <w:rPr>
                <w:color w:val="auto"/>
                <w:highlight w:val="none"/>
              </w:rPr>
              <w:t>6</w:t>
            </w:r>
            <w:r>
              <w:rPr>
                <w:rFonts w:hint="eastAsia"/>
                <w:color w:val="auto"/>
                <w:highlight w:val="none"/>
              </w:rPr>
              <w:t>）工艺结构</w:t>
            </w:r>
          </w:p>
          <w:p>
            <w:pPr>
              <w:rPr>
                <w:color w:val="auto"/>
                <w:highlight w:val="none"/>
              </w:rPr>
            </w:pPr>
            <w:r>
              <w:rPr>
                <w:color w:val="auto"/>
                <w:highlight w:val="none"/>
              </w:rPr>
              <w:t>1</w:t>
            </w:r>
            <w:r>
              <w:rPr>
                <w:rFonts w:hint="eastAsia"/>
                <w:color w:val="auto"/>
                <w:highlight w:val="none"/>
              </w:rPr>
              <w:t>）拼板：采用无缝拼接技术，拼好的板无胶线，使用欧洲感色带测试拼缝效果</w:t>
            </w:r>
          </w:p>
          <w:p>
            <w:pPr>
              <w:rPr>
                <w:color w:val="auto"/>
                <w:highlight w:val="none"/>
              </w:rPr>
            </w:pPr>
            <w:r>
              <w:rPr>
                <w:color w:val="auto"/>
                <w:highlight w:val="none"/>
              </w:rPr>
              <w:t>2</w:t>
            </w:r>
            <w:r>
              <w:rPr>
                <w:rFonts w:hint="eastAsia"/>
                <w:color w:val="auto"/>
                <w:highlight w:val="none"/>
              </w:rPr>
              <w:t>）组合：采用榫胶结合和钉胶结合二种工艺，榫为∮</w:t>
            </w:r>
            <w:r>
              <w:rPr>
                <w:color w:val="auto"/>
                <w:highlight w:val="none"/>
              </w:rPr>
              <w:t>14</w:t>
            </w:r>
            <w:r>
              <w:rPr>
                <w:rFonts w:hint="eastAsia"/>
                <w:color w:val="auto"/>
                <w:highlight w:val="none"/>
              </w:rPr>
              <w:t>㎜加长木榫，采用无锈枪钉</w:t>
            </w:r>
          </w:p>
          <w:p>
            <w:pPr>
              <w:rPr>
                <w:color w:val="auto"/>
                <w:highlight w:val="none"/>
              </w:rPr>
            </w:pPr>
            <w:r>
              <w:rPr>
                <w:color w:val="auto"/>
                <w:highlight w:val="none"/>
              </w:rPr>
              <w:t>3</w:t>
            </w:r>
            <w:r>
              <w:rPr>
                <w:rFonts w:hint="eastAsia"/>
                <w:color w:val="auto"/>
                <w:highlight w:val="none"/>
              </w:rPr>
              <w:t>）防水：采用国内先进的阻水剂，经过</w:t>
            </w:r>
            <w:r>
              <w:rPr>
                <w:color w:val="auto"/>
                <w:highlight w:val="none"/>
              </w:rPr>
              <w:t>6</w:t>
            </w:r>
            <w:r>
              <w:rPr>
                <w:rFonts w:hint="eastAsia"/>
                <w:color w:val="auto"/>
                <w:highlight w:val="none"/>
              </w:rPr>
              <w:t>个循环的冷热测试，防水效果优异</w:t>
            </w:r>
          </w:p>
          <w:p>
            <w:pPr>
              <w:rPr>
                <w:color w:val="auto"/>
                <w:highlight w:val="none"/>
              </w:rPr>
            </w:pPr>
            <w:r>
              <w:rPr>
                <w:color w:val="auto"/>
                <w:highlight w:val="none"/>
              </w:rPr>
              <w:t>4</w:t>
            </w:r>
            <w:r>
              <w:rPr>
                <w:rFonts w:hint="eastAsia"/>
                <w:color w:val="auto"/>
                <w:highlight w:val="none"/>
              </w:rPr>
              <w:t>）密封：采用德国高抗环境变异塑胶密封条，密封严密，耐久性能好</w:t>
            </w:r>
          </w:p>
          <w:p>
            <w:pPr>
              <w:rPr>
                <w:color w:val="auto"/>
                <w:highlight w:val="none"/>
              </w:rPr>
            </w:pPr>
            <w:r>
              <w:rPr>
                <w:color w:val="auto"/>
                <w:highlight w:val="none"/>
              </w:rPr>
              <w:t>5</w:t>
            </w:r>
            <w:r>
              <w:rPr>
                <w:rFonts w:hint="eastAsia"/>
                <w:color w:val="auto"/>
                <w:highlight w:val="none"/>
              </w:rPr>
              <w:t>）包装：防震双层保护，</w:t>
            </w:r>
            <w:r>
              <w:rPr>
                <w:color w:val="auto"/>
                <w:highlight w:val="none"/>
              </w:rPr>
              <w:t>PU</w:t>
            </w:r>
            <w:r>
              <w:rPr>
                <w:rFonts w:hint="eastAsia"/>
                <w:color w:val="auto"/>
                <w:highlight w:val="none"/>
              </w:rPr>
              <w:t>套角及</w:t>
            </w:r>
            <w:r>
              <w:rPr>
                <w:color w:val="auto"/>
                <w:highlight w:val="none"/>
              </w:rPr>
              <w:t>A=B</w:t>
            </w:r>
            <w:r>
              <w:rPr>
                <w:rFonts w:hint="eastAsia"/>
                <w:color w:val="auto"/>
                <w:highlight w:val="none"/>
              </w:rPr>
              <w:t>加强芯五层双坑纸箱保护</w:t>
            </w:r>
          </w:p>
          <w:p>
            <w:pPr>
              <w:rPr>
                <w:color w:val="auto"/>
                <w:highlight w:val="none"/>
              </w:rPr>
            </w:pPr>
            <w:r>
              <w:rPr>
                <w:color w:val="auto"/>
                <w:highlight w:val="none"/>
              </w:rPr>
              <w:t>6</w:t>
            </w:r>
            <w:r>
              <w:rPr>
                <w:rFonts w:hint="eastAsia"/>
                <w:color w:val="auto"/>
                <w:highlight w:val="none"/>
              </w:rPr>
              <w:t>）缝隙：门扇和门框标准间隙为</w:t>
            </w:r>
            <w:r>
              <w:rPr>
                <w:color w:val="auto"/>
                <w:highlight w:val="none"/>
              </w:rPr>
              <w:t>2.5-4</w:t>
            </w:r>
            <w:r>
              <w:rPr>
                <w:rFonts w:hint="eastAsia"/>
                <w:color w:val="auto"/>
                <w:highlight w:val="none"/>
              </w:rPr>
              <w:t>㎜；</w:t>
            </w:r>
          </w:p>
          <w:p>
            <w:pPr>
              <w:rPr>
                <w:color w:val="auto"/>
                <w:highlight w:val="none"/>
              </w:rPr>
            </w:pPr>
            <w:r>
              <w:rPr>
                <w:color w:val="auto"/>
                <w:highlight w:val="none"/>
              </w:rPr>
              <w:t>7</w:t>
            </w:r>
            <w:r>
              <w:rPr>
                <w:rFonts w:hint="eastAsia"/>
                <w:color w:val="auto"/>
                <w:highlight w:val="none"/>
              </w:rPr>
              <w:t>）门框：门框和线条采用卡线结构，组合严密，调整由于墙厚误差造成的缺陷</w:t>
            </w:r>
          </w:p>
          <w:p>
            <w:pPr>
              <w:rPr>
                <w:color w:val="auto"/>
                <w:highlight w:val="none"/>
              </w:rPr>
            </w:pPr>
            <w:r>
              <w:rPr>
                <w:color w:val="auto"/>
                <w:highlight w:val="none"/>
              </w:rPr>
              <w:t>8</w:t>
            </w:r>
            <w:r>
              <w:rPr>
                <w:rFonts w:hint="eastAsia"/>
                <w:color w:val="auto"/>
                <w:highlight w:val="none"/>
              </w:rPr>
              <w:t>）变形：采用</w:t>
            </w:r>
            <w:r>
              <w:rPr>
                <w:color w:val="auto"/>
                <w:highlight w:val="none"/>
              </w:rPr>
              <w:t>350</w:t>
            </w:r>
            <w:r>
              <w:rPr>
                <w:rFonts w:hint="eastAsia"/>
                <w:color w:val="auto"/>
                <w:highlight w:val="none"/>
              </w:rPr>
              <w:t>集成材工艺，加防变</w:t>
            </w:r>
            <w:r>
              <w:rPr>
                <w:color w:val="auto"/>
                <w:highlight w:val="none"/>
              </w:rPr>
              <w:t>U</w:t>
            </w:r>
            <w:r>
              <w:rPr>
                <w:rFonts w:hint="eastAsia"/>
                <w:color w:val="auto"/>
                <w:highlight w:val="none"/>
              </w:rPr>
              <w:t>槽，木门变形率低于</w:t>
            </w:r>
            <w:r>
              <w:rPr>
                <w:color w:val="auto"/>
                <w:highlight w:val="none"/>
              </w:rPr>
              <w:t>0.5</w:t>
            </w:r>
            <w:r>
              <w:rPr>
                <w:rFonts w:hint="eastAsia"/>
                <w:color w:val="auto"/>
                <w:highlight w:val="none"/>
              </w:rPr>
              <w:t>‰</w:t>
            </w:r>
          </w:p>
          <w:p>
            <w:pPr>
              <w:rPr>
                <w:color w:val="auto"/>
                <w:highlight w:val="none"/>
              </w:rPr>
            </w:pPr>
            <w:r>
              <w:rPr>
                <w:color w:val="auto"/>
                <w:highlight w:val="none"/>
              </w:rPr>
              <w:t>9</w:t>
            </w:r>
            <w:r>
              <w:rPr>
                <w:rFonts w:hint="eastAsia"/>
                <w:color w:val="auto"/>
                <w:highlight w:val="none"/>
              </w:rPr>
              <w:t>）除湿：生产周期内增加一次窑干平衡处理。</w:t>
            </w:r>
          </w:p>
          <w:p>
            <w:pPr>
              <w:rPr>
                <w:color w:val="auto"/>
                <w:highlight w:val="none"/>
              </w:rPr>
            </w:pPr>
            <w:r>
              <w:rPr>
                <w:color w:val="auto"/>
                <w:highlight w:val="none"/>
              </w:rPr>
              <w:t>2</w:t>
            </w:r>
            <w:r>
              <w:rPr>
                <w:rFonts w:hint="eastAsia"/>
                <w:color w:val="auto"/>
                <w:highlight w:val="none"/>
              </w:rPr>
              <w:t>、门的五金</w:t>
            </w:r>
          </w:p>
          <w:p>
            <w:pPr>
              <w:rPr>
                <w:color w:val="auto"/>
                <w:highlight w:val="none"/>
              </w:rPr>
            </w:pPr>
            <w:r>
              <w:rPr>
                <w:rFonts w:hint="eastAsia"/>
                <w:color w:val="auto"/>
                <w:highlight w:val="none"/>
              </w:rPr>
              <w:t>符合设计及国家有关标准、规范、规定，并符合下列要求：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）闭门器</w:t>
            </w:r>
          </w:p>
          <w:p>
            <w:pPr>
              <w:rPr>
                <w:color w:val="auto"/>
                <w:highlight w:val="none"/>
              </w:rPr>
            </w:pPr>
            <w:r>
              <w:rPr>
                <w:color w:val="auto"/>
                <w:highlight w:val="none"/>
              </w:rPr>
              <w:t>1</w:t>
            </w:r>
            <w:r>
              <w:rPr>
                <w:rFonts w:hint="eastAsia"/>
                <w:color w:val="auto"/>
                <w:highlight w:val="none"/>
              </w:rPr>
              <w:t>）通过</w:t>
            </w:r>
            <w:r>
              <w:rPr>
                <w:color w:val="auto"/>
                <w:highlight w:val="none"/>
              </w:rPr>
              <w:t>GB9305-88</w:t>
            </w:r>
            <w:r>
              <w:rPr>
                <w:rFonts w:hint="eastAsia"/>
                <w:color w:val="auto"/>
                <w:highlight w:val="none"/>
              </w:rPr>
              <w:t>要求优等品；通过国内防火检测，具有在有效期内的《检验报告》；</w:t>
            </w:r>
          </w:p>
          <w:p>
            <w:pPr>
              <w:rPr>
                <w:color w:val="auto"/>
                <w:highlight w:val="none"/>
              </w:rPr>
            </w:pPr>
            <w:r>
              <w:rPr>
                <w:color w:val="auto"/>
                <w:highlight w:val="none"/>
              </w:rPr>
              <w:t>2</w:t>
            </w:r>
            <w:r>
              <w:rPr>
                <w:rFonts w:hint="eastAsia"/>
                <w:color w:val="auto"/>
                <w:highlight w:val="none"/>
              </w:rPr>
              <w:t>）闭门速度液压无级可调；</w:t>
            </w:r>
          </w:p>
          <w:p>
            <w:pPr>
              <w:rPr>
                <w:color w:val="auto"/>
                <w:highlight w:val="none"/>
              </w:rPr>
            </w:pPr>
            <w:r>
              <w:rPr>
                <w:color w:val="auto"/>
                <w:highlight w:val="none"/>
              </w:rPr>
              <w:t>3</w:t>
            </w:r>
            <w:r>
              <w:rPr>
                <w:rFonts w:hint="eastAsia"/>
                <w:color w:val="auto"/>
                <w:highlight w:val="none"/>
              </w:rPr>
              <w:t>）关门力度按</w:t>
            </w:r>
            <w:r>
              <w:rPr>
                <w:color w:val="auto"/>
                <w:highlight w:val="none"/>
              </w:rPr>
              <w:t>EN</w:t>
            </w:r>
            <w:r>
              <w:rPr>
                <w:rFonts w:hint="eastAsia"/>
                <w:color w:val="auto"/>
                <w:highlight w:val="none"/>
              </w:rPr>
              <w:t>标准</w:t>
            </w:r>
            <w:r>
              <w:rPr>
                <w:color w:val="auto"/>
                <w:highlight w:val="none"/>
              </w:rPr>
              <w:t>2/3/4</w:t>
            </w:r>
            <w:r>
              <w:rPr>
                <w:rFonts w:hint="eastAsia"/>
                <w:color w:val="auto"/>
                <w:highlight w:val="none"/>
              </w:rPr>
              <w:t>级分档可调；</w:t>
            </w:r>
          </w:p>
          <w:p>
            <w:pPr>
              <w:rPr>
                <w:color w:val="auto"/>
                <w:highlight w:val="none"/>
              </w:rPr>
            </w:pPr>
            <w:r>
              <w:rPr>
                <w:color w:val="auto"/>
                <w:highlight w:val="none"/>
              </w:rPr>
              <w:t>4</w:t>
            </w:r>
            <w:r>
              <w:rPr>
                <w:rFonts w:hint="eastAsia"/>
                <w:color w:val="auto"/>
                <w:highlight w:val="none"/>
              </w:rPr>
              <w:t>）提供连续开启</w:t>
            </w:r>
            <w:r>
              <w:rPr>
                <w:color w:val="auto"/>
                <w:highlight w:val="none"/>
              </w:rPr>
              <w:t>40</w:t>
            </w:r>
            <w:r>
              <w:rPr>
                <w:rFonts w:hint="eastAsia"/>
                <w:color w:val="auto"/>
                <w:highlight w:val="none"/>
              </w:rPr>
              <w:t>万次以上的检测报告；</w:t>
            </w:r>
          </w:p>
          <w:p>
            <w:pPr>
              <w:rPr>
                <w:color w:val="auto"/>
                <w:highlight w:val="none"/>
              </w:rPr>
            </w:pPr>
            <w:r>
              <w:rPr>
                <w:color w:val="auto"/>
                <w:highlight w:val="none"/>
              </w:rPr>
              <w:t>5</w:t>
            </w:r>
            <w:r>
              <w:rPr>
                <w:rFonts w:hint="eastAsia"/>
                <w:color w:val="auto"/>
                <w:highlight w:val="none"/>
              </w:rPr>
              <w:t>）末端撞门可调；</w:t>
            </w:r>
          </w:p>
          <w:p>
            <w:pPr>
              <w:rPr>
                <w:color w:val="auto"/>
                <w:highlight w:val="none"/>
              </w:rPr>
            </w:pPr>
            <w:r>
              <w:rPr>
                <w:rFonts w:hint="eastAsia"/>
                <w:color w:val="auto"/>
                <w:highlight w:val="none"/>
              </w:rPr>
              <w:t>（</w:t>
            </w:r>
            <w:r>
              <w:rPr>
                <w:color w:val="auto"/>
                <w:highlight w:val="none"/>
              </w:rPr>
              <w:t>2</w:t>
            </w:r>
            <w:r>
              <w:rPr>
                <w:rFonts w:hint="eastAsia"/>
                <w:color w:val="auto"/>
                <w:highlight w:val="none"/>
              </w:rPr>
              <w:t>）锁具：</w:t>
            </w:r>
          </w:p>
          <w:p>
            <w:pPr>
              <w:rPr>
                <w:color w:val="auto"/>
                <w:highlight w:val="none"/>
              </w:rPr>
            </w:pPr>
            <w:r>
              <w:rPr>
                <w:color w:val="auto"/>
                <w:highlight w:val="none"/>
              </w:rPr>
              <w:t>1</w:t>
            </w:r>
            <w:r>
              <w:rPr>
                <w:rFonts w:hint="eastAsia"/>
                <w:color w:val="auto"/>
                <w:highlight w:val="none"/>
              </w:rPr>
              <w:t>）通过国内防火检测，具有在有效期内的《检验报告》；</w:t>
            </w:r>
          </w:p>
          <w:p>
            <w:pPr>
              <w:rPr>
                <w:color w:val="auto"/>
                <w:highlight w:val="none"/>
              </w:rPr>
            </w:pPr>
            <w:r>
              <w:rPr>
                <w:color w:val="auto"/>
                <w:highlight w:val="none"/>
              </w:rPr>
              <w:t>2</w:t>
            </w:r>
            <w:r>
              <w:rPr>
                <w:rFonts w:hint="eastAsia"/>
                <w:color w:val="auto"/>
                <w:highlight w:val="none"/>
              </w:rPr>
              <w:t>）疏散门把手采用不锈钢联体式把手，颜色可选，在双面</w:t>
            </w:r>
            <w:r>
              <w:rPr>
                <w:color w:val="auto"/>
                <w:highlight w:val="none"/>
              </w:rPr>
              <w:t>100N</w:t>
            </w:r>
            <w:r>
              <w:rPr>
                <w:rFonts w:hint="eastAsia"/>
                <w:color w:val="auto"/>
                <w:highlight w:val="none"/>
              </w:rPr>
              <w:t>拉力作用下，</w:t>
            </w:r>
            <w:r>
              <w:rPr>
                <w:color w:val="auto"/>
                <w:highlight w:val="none"/>
              </w:rPr>
              <w:t>20</w:t>
            </w:r>
            <w:r>
              <w:rPr>
                <w:rFonts w:hint="eastAsia"/>
                <w:color w:val="auto"/>
                <w:highlight w:val="none"/>
              </w:rPr>
              <w:t>万次开启测试把手偏角不大于</w:t>
            </w:r>
            <w:r>
              <w:rPr>
                <w:color w:val="auto"/>
                <w:highlight w:val="none"/>
              </w:rPr>
              <w:t>1O</w:t>
            </w:r>
            <w:r>
              <w:rPr>
                <w:rFonts w:hint="eastAsia"/>
                <w:color w:val="auto"/>
                <w:highlight w:val="none"/>
              </w:rPr>
              <w:t>；双锁舌；</w:t>
            </w:r>
          </w:p>
          <w:p>
            <w:pPr>
              <w:rPr>
                <w:color w:val="auto"/>
                <w:highlight w:val="none"/>
              </w:rPr>
            </w:pPr>
            <w:r>
              <w:rPr>
                <w:color w:val="auto"/>
                <w:highlight w:val="none"/>
              </w:rPr>
              <w:t>3</w:t>
            </w:r>
            <w:r>
              <w:rPr>
                <w:rFonts w:hint="eastAsia"/>
                <w:color w:val="auto"/>
                <w:highlight w:val="none"/>
              </w:rPr>
              <w:t>）锁芯具备钥匙通开性能。</w:t>
            </w:r>
          </w:p>
          <w:p>
            <w:pPr>
              <w:rPr>
                <w:color w:val="auto"/>
                <w:highlight w:val="none"/>
              </w:rPr>
            </w:pPr>
            <w:r>
              <w:rPr>
                <w:rFonts w:hint="eastAsia"/>
                <w:color w:val="auto"/>
                <w:highlight w:val="none"/>
              </w:rPr>
              <w:t>（</w:t>
            </w:r>
            <w:r>
              <w:rPr>
                <w:color w:val="auto"/>
                <w:highlight w:val="none"/>
              </w:rPr>
              <w:t>3</w:t>
            </w:r>
            <w:r>
              <w:rPr>
                <w:rFonts w:hint="eastAsia"/>
                <w:color w:val="auto"/>
                <w:highlight w:val="none"/>
              </w:rPr>
              <w:t>）铰链</w:t>
            </w:r>
          </w:p>
          <w:p>
            <w:pPr>
              <w:rPr>
                <w:color w:val="auto"/>
                <w:highlight w:val="none"/>
              </w:rPr>
            </w:pPr>
            <w:r>
              <w:rPr>
                <w:color w:val="auto"/>
                <w:highlight w:val="none"/>
              </w:rPr>
              <w:t>1</w:t>
            </w:r>
            <w:r>
              <w:rPr>
                <w:rFonts w:hint="eastAsia"/>
                <w:color w:val="auto"/>
                <w:highlight w:val="none"/>
              </w:rPr>
              <w:t>）不锈钢材质旗型铰链，厚度不小于</w:t>
            </w:r>
            <w:r>
              <w:rPr>
                <w:color w:val="auto"/>
                <w:highlight w:val="none"/>
              </w:rPr>
              <w:t>3mm</w:t>
            </w:r>
            <w:r>
              <w:rPr>
                <w:rFonts w:hint="eastAsia"/>
                <w:color w:val="auto"/>
                <w:highlight w:val="none"/>
              </w:rPr>
              <w:t>；</w:t>
            </w:r>
          </w:p>
          <w:p>
            <w:pPr>
              <w:rPr>
                <w:color w:val="auto"/>
                <w:highlight w:val="none"/>
              </w:rPr>
            </w:pPr>
            <w:r>
              <w:rPr>
                <w:color w:val="auto"/>
                <w:highlight w:val="none"/>
              </w:rPr>
              <w:t>2</w:t>
            </w:r>
            <w:r>
              <w:rPr>
                <w:rFonts w:hint="eastAsia"/>
                <w:color w:val="auto"/>
                <w:highlight w:val="none"/>
              </w:rPr>
              <w:t>）疏散门每扇门上采用旗型铰链不少于</w:t>
            </w:r>
            <w:r>
              <w:rPr>
                <w:color w:val="auto"/>
                <w:highlight w:val="none"/>
              </w:rPr>
              <w:t>3</w:t>
            </w:r>
            <w:r>
              <w:rPr>
                <w:rFonts w:hint="eastAsia"/>
                <w:color w:val="auto"/>
                <w:highlight w:val="none"/>
              </w:rPr>
              <w:t>个；</w:t>
            </w:r>
          </w:p>
          <w:p>
            <w:pPr>
              <w:rPr>
                <w:color w:val="auto"/>
                <w:highlight w:val="none"/>
              </w:rPr>
            </w:pPr>
            <w:r>
              <w:rPr>
                <w:color w:val="auto"/>
                <w:highlight w:val="none"/>
              </w:rPr>
              <w:t>3</w:t>
            </w:r>
            <w:r>
              <w:rPr>
                <w:rFonts w:hint="eastAsia"/>
                <w:color w:val="auto"/>
                <w:highlight w:val="none"/>
              </w:rPr>
              <w:t>）其它按照实物样板标准执行。</w:t>
            </w:r>
          </w:p>
          <w:p>
            <w:pPr>
              <w:rPr>
                <w:color w:val="auto"/>
                <w:highlight w:val="none"/>
              </w:rPr>
            </w:pPr>
            <w:r>
              <w:rPr>
                <w:rFonts w:hint="eastAsia"/>
                <w:color w:val="auto"/>
                <w:highlight w:val="none"/>
              </w:rPr>
              <w:t>（</w:t>
            </w:r>
            <w:r>
              <w:rPr>
                <w:color w:val="auto"/>
                <w:highlight w:val="none"/>
              </w:rPr>
              <w:t>4</w:t>
            </w:r>
            <w:r>
              <w:rPr>
                <w:rFonts w:hint="eastAsia"/>
                <w:color w:val="auto"/>
                <w:highlight w:val="none"/>
              </w:rPr>
              <w:t>）所有螺丝</w:t>
            </w:r>
            <w:r>
              <w:rPr>
                <w:color w:val="auto"/>
                <w:highlight w:val="none"/>
              </w:rPr>
              <w:t>/</w:t>
            </w:r>
            <w:r>
              <w:rPr>
                <w:rFonts w:hint="eastAsia"/>
                <w:color w:val="auto"/>
                <w:highlight w:val="none"/>
              </w:rPr>
              <w:t>螺钉均采用不锈钢材质。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75" w:type="dxa"/>
            <w:noWrap w:val="0"/>
            <w:vAlign w:val="center"/>
          </w:tcPr>
          <w:p>
            <w:pPr>
              <w:rPr>
                <w:color w:val="auto"/>
                <w:highlight w:val="none"/>
              </w:rPr>
            </w:pPr>
            <w:r>
              <w:rPr>
                <w:color w:val="auto"/>
                <w:highlight w:val="none"/>
              </w:rPr>
              <w:t>20</w:t>
            </w:r>
          </w:p>
        </w:tc>
        <w:tc>
          <w:tcPr>
            <w:tcW w:w="1398" w:type="dxa"/>
            <w:noWrap w:val="0"/>
            <w:vAlign w:val="center"/>
          </w:tcPr>
          <w:p>
            <w:pPr>
              <w:rPr>
                <w:color w:val="auto"/>
                <w:highlight w:val="none"/>
              </w:rPr>
            </w:pPr>
            <w:r>
              <w:rPr>
                <w:rFonts w:hint="eastAsia"/>
                <w:color w:val="auto"/>
                <w:highlight w:val="none"/>
              </w:rPr>
              <w:t>门窗五金配件</w:t>
            </w:r>
          </w:p>
        </w:tc>
        <w:tc>
          <w:tcPr>
            <w:tcW w:w="6864" w:type="dxa"/>
            <w:noWrap w:val="0"/>
            <w:vAlign w:val="center"/>
          </w:tcPr>
          <w:p>
            <w:pPr>
              <w:rPr>
                <w:color w:val="auto"/>
                <w:highlight w:val="none"/>
              </w:rPr>
            </w:pPr>
            <w:r>
              <w:rPr>
                <w:rFonts w:hint="eastAsia"/>
                <w:color w:val="auto"/>
                <w:highlight w:val="none"/>
              </w:rPr>
              <w:t>符合设计、现行国家、地方及行业标准，具有国家认可的检测机构出具的检测报告。</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75" w:type="dxa"/>
            <w:noWrap w:val="0"/>
            <w:vAlign w:val="center"/>
          </w:tcPr>
          <w:p>
            <w:pPr>
              <w:rPr>
                <w:color w:val="auto"/>
                <w:highlight w:val="none"/>
              </w:rPr>
            </w:pPr>
            <w:r>
              <w:rPr>
                <w:color w:val="auto"/>
                <w:highlight w:val="none"/>
              </w:rPr>
              <w:t>21</w:t>
            </w:r>
          </w:p>
        </w:tc>
        <w:tc>
          <w:tcPr>
            <w:tcW w:w="1398" w:type="dxa"/>
            <w:noWrap w:val="0"/>
            <w:vAlign w:val="center"/>
          </w:tcPr>
          <w:p>
            <w:pPr>
              <w:rPr>
                <w:color w:val="auto"/>
                <w:highlight w:val="none"/>
              </w:rPr>
            </w:pPr>
            <w:r>
              <w:rPr>
                <w:rFonts w:hint="eastAsia"/>
                <w:color w:val="auto"/>
                <w:highlight w:val="none"/>
              </w:rPr>
              <w:t>挤塑聚苯板</w:t>
            </w:r>
          </w:p>
        </w:tc>
        <w:tc>
          <w:tcPr>
            <w:tcW w:w="6864" w:type="dxa"/>
            <w:noWrap w:val="0"/>
            <w:vAlign w:val="center"/>
          </w:tcPr>
          <w:p>
            <w:pPr>
              <w:rPr>
                <w:color w:val="auto"/>
                <w:highlight w:val="none"/>
              </w:rPr>
            </w:pPr>
            <w:r>
              <w:rPr>
                <w:color w:val="auto"/>
                <w:highlight w:val="none"/>
              </w:rPr>
              <w:t>1</w:t>
            </w:r>
            <w:r>
              <w:rPr>
                <w:rFonts w:hint="eastAsia"/>
                <w:color w:val="auto"/>
                <w:highlight w:val="none"/>
              </w:rPr>
              <w:t>、挤塑板应符合《深圳市建筑标准设计：屋面及外墙隔热构造图集》（图集号：</w:t>
            </w:r>
            <w:r>
              <w:rPr>
                <w:color w:val="auto"/>
                <w:highlight w:val="none"/>
              </w:rPr>
              <w:t>SZJT—01</w:t>
            </w:r>
            <w:r>
              <w:rPr>
                <w:rFonts w:hint="eastAsia"/>
                <w:color w:val="auto"/>
                <w:highlight w:val="none"/>
              </w:rPr>
              <w:t>）中关于倒置式屋面用保温材料的各项性能要求。</w:t>
            </w:r>
          </w:p>
          <w:p>
            <w:pPr>
              <w:rPr>
                <w:color w:val="auto"/>
                <w:highlight w:val="none"/>
              </w:rPr>
            </w:pPr>
            <w:r>
              <w:rPr>
                <w:color w:val="auto"/>
                <w:highlight w:val="none"/>
              </w:rPr>
              <w:t>2</w:t>
            </w:r>
            <w:r>
              <w:rPr>
                <w:rFonts w:hint="eastAsia"/>
                <w:color w:val="auto"/>
                <w:highlight w:val="none"/>
              </w:rPr>
              <w:t>、挤塑板应符合《绝热用挤塑聚苯乙烯泡沫塑料（</w:t>
            </w:r>
            <w:r>
              <w:rPr>
                <w:color w:val="auto"/>
                <w:highlight w:val="none"/>
              </w:rPr>
              <w:t>XPS</w:t>
            </w:r>
            <w:r>
              <w:rPr>
                <w:rFonts w:hint="eastAsia"/>
                <w:color w:val="auto"/>
                <w:highlight w:val="none"/>
              </w:rPr>
              <w:t>）》国家标准（</w:t>
            </w:r>
            <w:r>
              <w:rPr>
                <w:color w:val="auto"/>
                <w:highlight w:val="none"/>
              </w:rPr>
              <w:t>GB/T10801.2-2002</w:t>
            </w:r>
            <w:r>
              <w:rPr>
                <w:rFonts w:hint="eastAsia"/>
                <w:color w:val="auto"/>
                <w:highlight w:val="none"/>
              </w:rPr>
              <w:t>）的要求。</w:t>
            </w:r>
          </w:p>
          <w:p>
            <w:pPr>
              <w:rPr>
                <w:color w:val="auto"/>
                <w:highlight w:val="none"/>
              </w:rPr>
            </w:pPr>
            <w:r>
              <w:rPr>
                <w:color w:val="auto"/>
                <w:highlight w:val="none"/>
              </w:rPr>
              <w:t>3</w:t>
            </w:r>
            <w:r>
              <w:rPr>
                <w:rFonts w:hint="eastAsia"/>
                <w:color w:val="auto"/>
                <w:highlight w:val="none"/>
              </w:rPr>
              <w:t>、挤塑板应通过“国家塑料制品质量监督检验中心”的检验，具有在有效期内的《检验报告》。</w:t>
            </w:r>
          </w:p>
          <w:p>
            <w:pPr>
              <w:rPr>
                <w:color w:val="auto"/>
                <w:highlight w:val="none"/>
              </w:rPr>
            </w:pPr>
            <w:r>
              <w:rPr>
                <w:color w:val="auto"/>
                <w:highlight w:val="none"/>
              </w:rPr>
              <w:t>4</w:t>
            </w:r>
            <w:r>
              <w:rPr>
                <w:rFonts w:hint="eastAsia"/>
                <w:color w:val="auto"/>
                <w:highlight w:val="none"/>
              </w:rPr>
              <w:t>、挤塑板的导热系数≤</w:t>
            </w:r>
            <w:r>
              <w:rPr>
                <w:color w:val="auto"/>
                <w:highlight w:val="none"/>
              </w:rPr>
              <w:t>0.03 W / (m</w:t>
            </w:r>
            <w:r>
              <w:rPr>
                <w:rFonts w:hint="eastAsia"/>
                <w:color w:val="auto"/>
                <w:highlight w:val="none"/>
              </w:rPr>
              <w:t>·</w:t>
            </w:r>
            <w:r>
              <w:rPr>
                <w:color w:val="auto"/>
                <w:highlight w:val="none"/>
              </w:rPr>
              <w:t>K)</w:t>
            </w:r>
            <w:r>
              <w:rPr>
                <w:rFonts w:hint="eastAsia"/>
                <w:color w:val="auto"/>
                <w:highlight w:val="none"/>
              </w:rPr>
              <w:t>。挤塑板的导热系数和热阻性能应通过自产品生产之日起在环境条件下放置</w:t>
            </w:r>
            <w:r>
              <w:rPr>
                <w:color w:val="auto"/>
                <w:highlight w:val="none"/>
              </w:rPr>
              <w:t>90d</w:t>
            </w:r>
            <w:r>
              <w:rPr>
                <w:rFonts w:hint="eastAsia"/>
                <w:color w:val="auto"/>
                <w:highlight w:val="none"/>
              </w:rPr>
              <w:t>后的检验，当材料已在工程中实际使用，在环境条件下放置</w:t>
            </w:r>
            <w:r>
              <w:rPr>
                <w:color w:val="auto"/>
                <w:highlight w:val="none"/>
              </w:rPr>
              <w:t>90d</w:t>
            </w:r>
            <w:r>
              <w:rPr>
                <w:rFonts w:hint="eastAsia"/>
                <w:color w:val="auto"/>
                <w:highlight w:val="none"/>
              </w:rPr>
              <w:t>后的检验不合格时，材料供应商必须承担已在工程实际使用材料的所有返工损失。</w:t>
            </w:r>
          </w:p>
          <w:p>
            <w:pPr>
              <w:rPr>
                <w:color w:val="auto"/>
                <w:highlight w:val="none"/>
              </w:rPr>
            </w:pPr>
            <w:r>
              <w:rPr>
                <w:color w:val="auto"/>
                <w:highlight w:val="none"/>
              </w:rPr>
              <w:t>5</w:t>
            </w:r>
            <w:r>
              <w:rPr>
                <w:rFonts w:hint="eastAsia"/>
                <w:color w:val="auto"/>
                <w:highlight w:val="none"/>
              </w:rPr>
              <w:t>、挤塑板的单位重量≥</w:t>
            </w:r>
            <w:r>
              <w:rPr>
                <w:color w:val="auto"/>
                <w:highlight w:val="none"/>
              </w:rPr>
              <w:t>45 kg/m3</w:t>
            </w:r>
            <w:r>
              <w:rPr>
                <w:rFonts w:hint="eastAsia"/>
                <w:color w:val="auto"/>
                <w:highlight w:val="none"/>
              </w:rPr>
              <w:t>。</w:t>
            </w:r>
          </w:p>
          <w:p>
            <w:pPr>
              <w:rPr>
                <w:color w:val="auto"/>
                <w:highlight w:val="none"/>
              </w:rPr>
            </w:pPr>
            <w:r>
              <w:rPr>
                <w:color w:val="auto"/>
                <w:highlight w:val="none"/>
              </w:rPr>
              <w:t>6</w:t>
            </w:r>
            <w:r>
              <w:rPr>
                <w:rFonts w:hint="eastAsia"/>
                <w:color w:val="auto"/>
                <w:highlight w:val="none"/>
              </w:rPr>
              <w:t>、燃烧等级为</w:t>
            </w:r>
            <w:r>
              <w:rPr>
                <w:color w:val="auto"/>
                <w:highlight w:val="none"/>
              </w:rPr>
              <w:t>B1</w:t>
            </w:r>
            <w:r>
              <w:rPr>
                <w:rFonts w:hint="eastAsia"/>
                <w:color w:val="auto"/>
                <w:highlight w:val="none"/>
              </w:rPr>
              <w:t>级，满足消防要求。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75" w:type="dxa"/>
            <w:noWrap w:val="0"/>
            <w:vAlign w:val="center"/>
          </w:tcPr>
          <w:p>
            <w:pPr>
              <w:rPr>
                <w:color w:val="auto"/>
                <w:highlight w:val="none"/>
              </w:rPr>
            </w:pPr>
            <w:r>
              <w:rPr>
                <w:color w:val="auto"/>
                <w:highlight w:val="none"/>
              </w:rPr>
              <w:t>22</w:t>
            </w:r>
          </w:p>
        </w:tc>
        <w:tc>
          <w:tcPr>
            <w:tcW w:w="1398" w:type="dxa"/>
            <w:noWrap w:val="0"/>
            <w:vAlign w:val="center"/>
          </w:tcPr>
          <w:p>
            <w:pPr>
              <w:rPr>
                <w:color w:val="auto"/>
                <w:highlight w:val="none"/>
              </w:rPr>
            </w:pPr>
            <w:r>
              <w:rPr>
                <w:rFonts w:hint="eastAsia"/>
                <w:color w:val="auto"/>
                <w:highlight w:val="none"/>
              </w:rPr>
              <w:t>卫生间成品隔断</w:t>
            </w:r>
          </w:p>
        </w:tc>
        <w:tc>
          <w:tcPr>
            <w:tcW w:w="6864" w:type="dxa"/>
            <w:noWrap w:val="0"/>
            <w:vAlign w:val="center"/>
          </w:tcPr>
          <w:p>
            <w:pPr>
              <w:rPr>
                <w:color w:val="auto"/>
                <w:highlight w:val="none"/>
              </w:rPr>
            </w:pPr>
            <w:r>
              <w:rPr>
                <w:color w:val="auto"/>
                <w:highlight w:val="none"/>
              </w:rPr>
              <w:t>1</w:t>
            </w:r>
            <w:r>
              <w:rPr>
                <w:rFonts w:hint="eastAsia"/>
                <w:color w:val="auto"/>
                <w:highlight w:val="none"/>
              </w:rPr>
              <w:t>、板材为</w:t>
            </w:r>
            <w:r>
              <w:rPr>
                <w:color w:val="auto"/>
                <w:highlight w:val="none"/>
              </w:rPr>
              <w:t>12mm</w:t>
            </w:r>
            <w:r>
              <w:rPr>
                <w:rFonts w:hint="eastAsia"/>
                <w:color w:val="auto"/>
                <w:highlight w:val="none"/>
              </w:rPr>
              <w:t>厚、</w:t>
            </w:r>
            <w:r>
              <w:rPr>
                <w:color w:val="auto"/>
                <w:highlight w:val="none"/>
              </w:rPr>
              <w:t>1800mm</w:t>
            </w:r>
            <w:r>
              <w:rPr>
                <w:rFonts w:hint="eastAsia"/>
                <w:color w:val="auto"/>
                <w:highlight w:val="none"/>
              </w:rPr>
              <w:t>高，分隔与宽度根据设计要求，采用高密度树脂板。</w:t>
            </w:r>
          </w:p>
          <w:p>
            <w:pPr>
              <w:rPr>
                <w:color w:val="auto"/>
                <w:highlight w:val="none"/>
              </w:rPr>
            </w:pPr>
            <w:r>
              <w:rPr>
                <w:color w:val="auto"/>
                <w:highlight w:val="none"/>
              </w:rPr>
              <w:t>2</w:t>
            </w:r>
            <w:r>
              <w:rPr>
                <w:rFonts w:hint="eastAsia"/>
                <w:color w:val="auto"/>
                <w:highlight w:val="none"/>
              </w:rPr>
              <w:t>、配件为底角、合页、门锁、把手、衣钩、拉杆，材质按照设计要求。</w:t>
            </w:r>
          </w:p>
          <w:p>
            <w:pPr>
              <w:rPr>
                <w:color w:val="auto"/>
                <w:highlight w:val="none"/>
              </w:rPr>
            </w:pPr>
            <w:r>
              <w:rPr>
                <w:color w:val="auto"/>
                <w:highlight w:val="none"/>
              </w:rPr>
              <w:t>3</w:t>
            </w:r>
            <w:r>
              <w:rPr>
                <w:rFonts w:hint="eastAsia"/>
                <w:color w:val="auto"/>
                <w:highlight w:val="none"/>
              </w:rPr>
              <w:t>、符合现行国家标准规范要求，挡板及配件参照实物样板，投标人选用板材和配件不得低于样板的品质和档次。</w:t>
            </w:r>
          </w:p>
          <w:p>
            <w:pPr>
              <w:rPr>
                <w:color w:val="auto"/>
                <w:highlight w:val="none"/>
              </w:rPr>
            </w:pPr>
            <w:r>
              <w:rPr>
                <w:color w:val="auto"/>
                <w:highlight w:val="none"/>
              </w:rPr>
              <w:t>4</w:t>
            </w:r>
            <w:r>
              <w:rPr>
                <w:rFonts w:hint="eastAsia"/>
                <w:color w:val="auto"/>
                <w:highlight w:val="none"/>
              </w:rPr>
              <w:t>、颜色参照样板的颜色。以设计院确认颜色为准。</w:t>
            </w:r>
          </w:p>
          <w:p>
            <w:pPr>
              <w:rPr>
                <w:color w:val="auto"/>
                <w:highlight w:val="none"/>
              </w:rPr>
            </w:pPr>
            <w:r>
              <w:rPr>
                <w:color w:val="auto"/>
                <w:highlight w:val="none"/>
              </w:rPr>
              <w:t>5</w:t>
            </w:r>
            <w:r>
              <w:rPr>
                <w:rFonts w:hint="eastAsia"/>
                <w:color w:val="auto"/>
                <w:highlight w:val="none"/>
              </w:rPr>
              <w:t>、隔断支腿内必须加衬钢。</w:t>
            </w:r>
          </w:p>
          <w:p>
            <w:pPr>
              <w:rPr>
                <w:color w:val="auto"/>
                <w:highlight w:val="none"/>
              </w:rPr>
            </w:pPr>
            <w:r>
              <w:rPr>
                <w:color w:val="auto"/>
                <w:highlight w:val="none"/>
              </w:rPr>
              <w:t>6</w:t>
            </w:r>
            <w:r>
              <w:rPr>
                <w:rFonts w:hint="eastAsia"/>
                <w:color w:val="auto"/>
                <w:highlight w:val="none"/>
              </w:rPr>
              <w:t>、隔断顶部拉接杆材质为铝合金。</w:t>
            </w:r>
          </w:p>
          <w:p>
            <w:pPr>
              <w:rPr>
                <w:color w:val="auto"/>
                <w:highlight w:val="none"/>
              </w:rPr>
            </w:pPr>
            <w:r>
              <w:rPr>
                <w:color w:val="auto"/>
                <w:highlight w:val="none"/>
              </w:rPr>
              <w:t>7</w:t>
            </w:r>
            <w:r>
              <w:rPr>
                <w:rFonts w:hint="eastAsia"/>
                <w:color w:val="auto"/>
                <w:highlight w:val="none"/>
              </w:rPr>
              <w:t>、蹲位隔断和冲凉隔断均应合理布置支腿和吊件。</w:t>
            </w:r>
          </w:p>
          <w:p>
            <w:pPr>
              <w:rPr>
                <w:color w:val="auto"/>
                <w:highlight w:val="none"/>
              </w:rPr>
            </w:pPr>
            <w:r>
              <w:rPr>
                <w:color w:val="auto"/>
                <w:highlight w:val="none"/>
              </w:rPr>
              <w:t>8</w:t>
            </w:r>
            <w:r>
              <w:rPr>
                <w:rFonts w:hint="eastAsia"/>
                <w:color w:val="auto"/>
                <w:highlight w:val="none"/>
              </w:rPr>
              <w:t>、防火要求：产品的燃烧性能必须达到</w:t>
            </w:r>
            <w:r>
              <w:rPr>
                <w:color w:val="auto"/>
                <w:highlight w:val="none"/>
              </w:rPr>
              <w:t>GB/T8624-1997</w:t>
            </w:r>
            <w:r>
              <w:rPr>
                <w:rFonts w:hint="eastAsia"/>
                <w:color w:val="auto"/>
                <w:highlight w:val="none"/>
              </w:rPr>
              <w:t>《建筑材料燃烧性能分级方法》中的</w:t>
            </w:r>
            <w:r>
              <w:rPr>
                <w:color w:val="auto"/>
                <w:highlight w:val="none"/>
              </w:rPr>
              <w:t>B1</w:t>
            </w:r>
            <w:r>
              <w:rPr>
                <w:rFonts w:hint="eastAsia"/>
                <w:color w:val="auto"/>
                <w:highlight w:val="none"/>
              </w:rPr>
              <w:t>级要求。</w:t>
            </w:r>
          </w:p>
          <w:p>
            <w:pPr>
              <w:rPr>
                <w:color w:val="auto"/>
                <w:highlight w:val="none"/>
              </w:rPr>
            </w:pPr>
            <w:r>
              <w:rPr>
                <w:color w:val="auto"/>
                <w:highlight w:val="none"/>
              </w:rPr>
              <w:t>9</w:t>
            </w:r>
            <w:r>
              <w:rPr>
                <w:rFonts w:hint="eastAsia"/>
                <w:color w:val="auto"/>
                <w:highlight w:val="none"/>
              </w:rPr>
              <w:t>、外观形式：参照实物样板，品质不低于实物样板要求，按设计范围进行安装。</w:t>
            </w:r>
          </w:p>
          <w:p>
            <w:pPr>
              <w:rPr>
                <w:color w:val="auto"/>
                <w:highlight w:val="none"/>
              </w:rPr>
            </w:pPr>
            <w:r>
              <w:rPr>
                <w:color w:val="auto"/>
                <w:highlight w:val="none"/>
              </w:rPr>
              <w:t>10</w:t>
            </w:r>
            <w:r>
              <w:rPr>
                <w:rFonts w:hint="eastAsia"/>
                <w:color w:val="auto"/>
                <w:highlight w:val="none"/>
              </w:rPr>
              <w:t>、隔断门朝外开，门闩可以内外开启。</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75" w:type="dxa"/>
            <w:tcBorders>
              <w:bottom w:val="single" w:color="auto" w:sz="12" w:space="0"/>
            </w:tcBorders>
            <w:noWrap w:val="0"/>
            <w:vAlign w:val="center"/>
          </w:tcPr>
          <w:p>
            <w:pPr>
              <w:rPr>
                <w:color w:val="auto"/>
                <w:highlight w:val="none"/>
              </w:rPr>
            </w:pPr>
            <w:r>
              <w:rPr>
                <w:color w:val="auto"/>
                <w:highlight w:val="none"/>
              </w:rPr>
              <w:t>23</w:t>
            </w:r>
          </w:p>
        </w:tc>
        <w:tc>
          <w:tcPr>
            <w:tcW w:w="1398" w:type="dxa"/>
            <w:tcBorders>
              <w:bottom w:val="single" w:color="auto" w:sz="12" w:space="0"/>
            </w:tcBorders>
            <w:noWrap w:val="0"/>
            <w:vAlign w:val="center"/>
          </w:tcPr>
          <w:p>
            <w:pPr>
              <w:rPr>
                <w:color w:val="auto"/>
                <w:highlight w:val="none"/>
              </w:rPr>
            </w:pPr>
            <w:r>
              <w:rPr>
                <w:rFonts w:hint="eastAsia"/>
                <w:color w:val="auto"/>
                <w:highlight w:val="none"/>
              </w:rPr>
              <w:t>其他材料</w:t>
            </w:r>
          </w:p>
        </w:tc>
        <w:tc>
          <w:tcPr>
            <w:tcW w:w="6864" w:type="dxa"/>
            <w:tcBorders>
              <w:bottom w:val="single" w:color="auto" w:sz="12" w:space="0"/>
            </w:tcBorders>
            <w:noWrap w:val="0"/>
            <w:vAlign w:val="center"/>
          </w:tcPr>
          <w:p>
            <w:pPr>
              <w:rPr>
                <w:color w:val="auto"/>
                <w:highlight w:val="none"/>
              </w:rPr>
            </w:pPr>
            <w:r>
              <w:rPr>
                <w:color w:val="auto"/>
                <w:highlight w:val="none"/>
              </w:rPr>
              <w:t>1.</w:t>
            </w:r>
            <w:r>
              <w:rPr>
                <w:rFonts w:hint="eastAsia"/>
                <w:color w:val="auto"/>
                <w:highlight w:val="none"/>
              </w:rPr>
              <w:t>所用材料的品种、规格和质量就符合设计要求和国家现行标准的规定。当设计无要求时应符合国家现行标准的规定，严禁使用国家明令淘汰的材料。</w:t>
            </w:r>
          </w:p>
          <w:p>
            <w:pPr>
              <w:rPr>
                <w:color w:val="auto"/>
                <w:highlight w:val="none"/>
              </w:rPr>
            </w:pPr>
            <w:r>
              <w:rPr>
                <w:color w:val="auto"/>
                <w:highlight w:val="none"/>
              </w:rPr>
              <w:t>2.</w:t>
            </w:r>
            <w:r>
              <w:rPr>
                <w:rFonts w:hint="eastAsia"/>
                <w:color w:val="auto"/>
                <w:highlight w:val="none"/>
              </w:rPr>
              <w:t>所用材料的燃烧性应符合现行国家标准《建筑内部装修设计防火规范》（</w:t>
            </w:r>
            <w:r>
              <w:rPr>
                <w:color w:val="auto"/>
                <w:highlight w:val="none"/>
              </w:rPr>
              <w:t>GB50222-2017</w:t>
            </w:r>
            <w:r>
              <w:rPr>
                <w:rFonts w:hint="eastAsia"/>
                <w:color w:val="auto"/>
                <w:highlight w:val="none"/>
              </w:rPr>
              <w:t>）、《建筑设计防火规范》（</w:t>
            </w:r>
            <w:r>
              <w:rPr>
                <w:color w:val="auto"/>
                <w:highlight w:val="none"/>
              </w:rPr>
              <w:t>GBJ16-87</w:t>
            </w:r>
            <w:r>
              <w:rPr>
                <w:rFonts w:hint="eastAsia"/>
                <w:color w:val="auto"/>
                <w:highlight w:val="none"/>
              </w:rPr>
              <w:t>）。</w:t>
            </w:r>
          </w:p>
          <w:p>
            <w:pPr>
              <w:rPr>
                <w:color w:val="auto"/>
                <w:highlight w:val="none"/>
              </w:rPr>
            </w:pPr>
            <w:r>
              <w:rPr>
                <w:color w:val="auto"/>
                <w:highlight w:val="none"/>
              </w:rPr>
              <w:t>3.</w:t>
            </w:r>
            <w:r>
              <w:rPr>
                <w:rFonts w:hint="eastAsia"/>
                <w:color w:val="auto"/>
                <w:highlight w:val="none"/>
              </w:rPr>
              <w:t>所用材料应符合国家有关建筑装饰装修材料有害物质限量标准的规定；</w:t>
            </w:r>
          </w:p>
          <w:p>
            <w:pPr>
              <w:rPr>
                <w:color w:val="auto"/>
                <w:highlight w:val="none"/>
              </w:rPr>
            </w:pPr>
            <w:r>
              <w:rPr>
                <w:color w:val="auto"/>
                <w:highlight w:val="none"/>
              </w:rPr>
              <w:t>4.</w:t>
            </w:r>
            <w:r>
              <w:rPr>
                <w:rFonts w:hint="eastAsia"/>
                <w:color w:val="auto"/>
                <w:highlight w:val="none"/>
              </w:rPr>
              <w:t>所有材料进场时应对品种、规格、外观和尺寸进行验收。材料包装应完好，应有产品合格证书、中文说明书及相关性能的检测报告；进口产品应按规定进行商品检验。</w:t>
            </w:r>
          </w:p>
          <w:p>
            <w:pPr>
              <w:rPr>
                <w:color w:val="auto"/>
                <w:highlight w:val="none"/>
              </w:rPr>
            </w:pPr>
            <w:r>
              <w:rPr>
                <w:color w:val="auto"/>
                <w:highlight w:val="none"/>
              </w:rPr>
              <w:t>5.</w:t>
            </w:r>
            <w:r>
              <w:rPr>
                <w:rFonts w:hint="eastAsia"/>
                <w:color w:val="auto"/>
                <w:highlight w:val="none"/>
              </w:rPr>
              <w:t>进场后需进行复检的材料种类及项目应符合《建筑装饰装修工程质量验收规范》（</w:t>
            </w:r>
            <w:r>
              <w:rPr>
                <w:color w:val="auto"/>
                <w:highlight w:val="none"/>
              </w:rPr>
              <w:t>GB50210-2001</w:t>
            </w:r>
            <w:r>
              <w:rPr>
                <w:rFonts w:hint="eastAsia"/>
                <w:color w:val="auto"/>
                <w:highlight w:val="none"/>
              </w:rPr>
              <w:t>）各章的规定。同一厂家生产的同一品种、同一类型的进场材料应至少抽取一组样品进行复检，当合同另有约定时应按合同执行。</w:t>
            </w:r>
          </w:p>
          <w:p>
            <w:pPr>
              <w:rPr>
                <w:color w:val="auto"/>
                <w:highlight w:val="none"/>
              </w:rPr>
            </w:pPr>
            <w:r>
              <w:rPr>
                <w:color w:val="auto"/>
                <w:highlight w:val="none"/>
              </w:rPr>
              <w:t>6.</w:t>
            </w:r>
            <w:r>
              <w:rPr>
                <w:rFonts w:hint="eastAsia"/>
                <w:color w:val="auto"/>
                <w:highlight w:val="none"/>
              </w:rPr>
              <w:t>当国家规定或合同约定应对材料进行见证检测时，或对材料的质量发生争议时，应进行见证检测。</w:t>
            </w:r>
          </w:p>
          <w:p>
            <w:pPr>
              <w:rPr>
                <w:color w:val="auto"/>
                <w:highlight w:val="none"/>
              </w:rPr>
            </w:pPr>
            <w:r>
              <w:rPr>
                <w:color w:val="auto"/>
                <w:highlight w:val="none"/>
              </w:rPr>
              <w:t>7.</w:t>
            </w:r>
            <w:r>
              <w:rPr>
                <w:rFonts w:hint="eastAsia"/>
                <w:color w:val="auto"/>
                <w:highlight w:val="none"/>
              </w:rPr>
              <w:t>承担建筑装饰装修材料检测的单位应具备相应的资质，并应建立质量管理体系。</w:t>
            </w:r>
          </w:p>
          <w:p>
            <w:pPr>
              <w:rPr>
                <w:color w:val="auto"/>
                <w:highlight w:val="none"/>
              </w:rPr>
            </w:pPr>
            <w:r>
              <w:rPr>
                <w:color w:val="auto"/>
                <w:highlight w:val="none"/>
              </w:rPr>
              <w:t>8.</w:t>
            </w:r>
            <w:r>
              <w:rPr>
                <w:rFonts w:hint="eastAsia"/>
                <w:color w:val="auto"/>
                <w:highlight w:val="none"/>
              </w:rPr>
              <w:t>建筑装饰装修工程所使用的材料在运输、储存和施工过程中，必须采取有效措施防止损坏，变质和污染环境。</w:t>
            </w:r>
          </w:p>
          <w:p>
            <w:pPr>
              <w:rPr>
                <w:color w:val="auto"/>
                <w:highlight w:val="none"/>
              </w:rPr>
            </w:pPr>
            <w:r>
              <w:rPr>
                <w:rFonts w:hint="eastAsia"/>
                <w:color w:val="auto"/>
                <w:highlight w:val="none"/>
              </w:rPr>
              <w:t>建筑装饰装修工程所使用的材料应按设计要求进行防火、防腐和防虫处理。</w:t>
            </w:r>
          </w:p>
          <w:p>
            <w:pPr>
              <w:rPr>
                <w:color w:val="auto"/>
                <w:highlight w:val="none"/>
              </w:rPr>
            </w:pPr>
            <w:r>
              <w:rPr>
                <w:color w:val="auto"/>
                <w:highlight w:val="none"/>
              </w:rPr>
              <w:t>9.</w:t>
            </w:r>
            <w:r>
              <w:rPr>
                <w:rFonts w:hint="eastAsia"/>
                <w:color w:val="auto"/>
                <w:highlight w:val="none"/>
              </w:rPr>
              <w:t>现场配制的材料如砂浆、胶粘剂等，应按设计要求或产品说明书配制。</w:t>
            </w:r>
          </w:p>
          <w:p>
            <w:pPr>
              <w:rPr>
                <w:color w:val="auto"/>
                <w:highlight w:val="none"/>
              </w:rPr>
            </w:pPr>
            <w:r>
              <w:rPr>
                <w:color w:val="auto"/>
                <w:highlight w:val="none"/>
              </w:rPr>
              <w:t>10.</w:t>
            </w:r>
            <w:r>
              <w:rPr>
                <w:rFonts w:hint="eastAsia"/>
                <w:color w:val="auto"/>
                <w:highlight w:val="none"/>
              </w:rPr>
              <w:t>复层涂料应符合</w:t>
            </w:r>
            <w:r>
              <w:rPr>
                <w:color w:val="auto"/>
                <w:highlight w:val="none"/>
              </w:rPr>
              <w:t>GB/T9779-88</w:t>
            </w:r>
            <w:r>
              <w:rPr>
                <w:rFonts w:hint="eastAsia"/>
                <w:color w:val="auto"/>
                <w:highlight w:val="none"/>
              </w:rPr>
              <w:t>要求，采用一级品及以上产品。</w:t>
            </w:r>
          </w:p>
        </w:tc>
      </w:tr>
    </w:tbl>
    <w:p>
      <w:pPr>
        <w:rPr>
          <w:color w:val="auto"/>
          <w:highlight w:val="none"/>
        </w:rPr>
      </w:pPr>
      <w:r>
        <w:rPr>
          <w:rFonts w:hint="eastAsia"/>
          <w:color w:val="auto"/>
          <w:highlight w:val="none"/>
        </w:rPr>
        <w:t>本工程所有材料技术性能要求需满足国家现行法律法规的相关规定，以及参照《深圳市建筑工务署品牌库</w:t>
      </w:r>
      <w:r>
        <w:rPr>
          <w:color w:val="auto"/>
          <w:highlight w:val="none"/>
        </w:rPr>
        <w:t>14</w:t>
      </w:r>
      <w:r>
        <w:rPr>
          <w:rFonts w:hint="eastAsia"/>
          <w:color w:val="auto"/>
          <w:highlight w:val="none"/>
        </w:rPr>
        <w:t>种材料技术性能要求》和《深圳市建筑工务署非品牌库</w:t>
      </w:r>
      <w:r>
        <w:rPr>
          <w:color w:val="auto"/>
          <w:highlight w:val="none"/>
        </w:rPr>
        <w:t>36</w:t>
      </w:r>
      <w:r>
        <w:rPr>
          <w:rFonts w:hint="eastAsia"/>
          <w:color w:val="auto"/>
          <w:highlight w:val="none"/>
        </w:rPr>
        <w:t>种材料技术性能要求》的规定。</w:t>
      </w:r>
    </w:p>
    <w:p>
      <w:pPr>
        <w:widowControl/>
        <w:jc w:val="left"/>
        <w:rPr>
          <w:color w:val="auto"/>
          <w:highlight w:val="none"/>
        </w:rPr>
      </w:pPr>
      <w:r>
        <w:rPr>
          <w:color w:val="auto"/>
          <w:highlight w:val="none"/>
        </w:rPr>
        <w:br w:type="page"/>
      </w:r>
    </w:p>
    <w:p>
      <w:pPr>
        <w:widowControl/>
        <w:jc w:val="left"/>
        <w:rPr>
          <w:color w:val="auto"/>
          <w:highlight w:val="none"/>
        </w:rPr>
      </w:pPr>
      <w:bookmarkStart w:id="7746" w:name="_Toc505345730"/>
    </w:p>
    <w:p>
      <w:pPr>
        <w:widowControl/>
        <w:jc w:val="left"/>
        <w:rPr>
          <w:color w:val="auto"/>
          <w:highlight w:val="none"/>
        </w:rPr>
      </w:pPr>
    </w:p>
    <w:p>
      <w:pPr>
        <w:widowControl/>
        <w:jc w:val="left"/>
        <w:rPr>
          <w:color w:val="auto"/>
          <w:highlight w:val="none"/>
        </w:rPr>
      </w:pPr>
    </w:p>
    <w:p>
      <w:pPr>
        <w:widowControl/>
        <w:jc w:val="left"/>
        <w:rPr>
          <w:color w:val="auto"/>
          <w:highlight w:val="none"/>
        </w:rPr>
      </w:pPr>
    </w:p>
    <w:p>
      <w:pPr>
        <w:widowControl/>
        <w:jc w:val="left"/>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2"/>
        <w:outlineLvl w:val="0"/>
        <w:rPr>
          <w:color w:val="auto"/>
          <w:highlight w:val="none"/>
        </w:rPr>
      </w:pPr>
      <w:bookmarkStart w:id="7747" w:name="_Toc66890412"/>
      <w:bookmarkStart w:id="7748" w:name="_Toc66634417"/>
      <w:bookmarkStart w:id="7749" w:name="_Toc69114158"/>
      <w:r>
        <w:rPr>
          <w:rFonts w:hint="eastAsia"/>
          <w:color w:val="auto"/>
          <w:highlight w:val="none"/>
        </w:rPr>
        <w:t>第三部分</w:t>
      </w:r>
      <w:r>
        <w:rPr>
          <w:color w:val="auto"/>
          <w:highlight w:val="none"/>
        </w:rPr>
        <w:t xml:space="preserve">  </w:t>
      </w:r>
      <w:r>
        <w:rPr>
          <w:rFonts w:hint="eastAsia"/>
          <w:color w:val="auto"/>
          <w:highlight w:val="none"/>
        </w:rPr>
        <w:t>电气工程技术要求</w:t>
      </w:r>
      <w:bookmarkEnd w:id="7746"/>
      <w:bookmarkEnd w:id="7747"/>
      <w:bookmarkEnd w:id="7748"/>
      <w:bookmarkEnd w:id="7749"/>
    </w:p>
    <w:p>
      <w:pPr>
        <w:widowControl/>
        <w:jc w:val="left"/>
        <w:rPr>
          <w:rFonts w:ascii="黑体" w:hAnsi="黑体" w:eastAsia="黑体"/>
          <w:b/>
          <w:color w:val="auto"/>
          <w:sz w:val="32"/>
          <w:szCs w:val="32"/>
          <w:highlight w:val="none"/>
        </w:rPr>
      </w:pPr>
      <w:bookmarkStart w:id="7750" w:name="_Toc505345731"/>
      <w:r>
        <w:rPr>
          <w:color w:val="auto"/>
          <w:highlight w:val="none"/>
        </w:rPr>
        <w:br w:type="page"/>
      </w:r>
    </w:p>
    <w:p>
      <w:pPr>
        <w:pStyle w:val="188"/>
        <w:spacing w:before="120" w:after="120"/>
        <w:outlineLvl w:val="1"/>
        <w:rPr>
          <w:color w:val="auto"/>
          <w:highlight w:val="none"/>
        </w:rPr>
      </w:pPr>
      <w:bookmarkStart w:id="7751" w:name="_Toc66890413"/>
      <w:bookmarkStart w:id="7752" w:name="_Toc69114159"/>
      <w:bookmarkStart w:id="7753" w:name="_Toc66634418"/>
      <w:r>
        <w:rPr>
          <w:rFonts w:hint="eastAsia"/>
          <w:color w:val="auto"/>
          <w:highlight w:val="none"/>
        </w:rPr>
        <w:t>第</w:t>
      </w:r>
      <w:r>
        <w:rPr>
          <w:color w:val="auto"/>
          <w:highlight w:val="none"/>
        </w:rPr>
        <w:t>1</w:t>
      </w:r>
      <w:r>
        <w:rPr>
          <w:rFonts w:hint="eastAsia"/>
          <w:color w:val="auto"/>
          <w:highlight w:val="none"/>
        </w:rPr>
        <w:t>章</w:t>
      </w:r>
      <w:r>
        <w:rPr>
          <w:color w:val="auto"/>
          <w:highlight w:val="none"/>
        </w:rPr>
        <w:t xml:space="preserve"> </w:t>
      </w:r>
      <w:r>
        <w:rPr>
          <w:rFonts w:hint="eastAsia"/>
          <w:color w:val="auto"/>
          <w:highlight w:val="none"/>
        </w:rPr>
        <w:t>工程范围</w:t>
      </w:r>
      <w:bookmarkEnd w:id="7750"/>
      <w:bookmarkEnd w:id="7751"/>
      <w:bookmarkEnd w:id="7752"/>
      <w:bookmarkEnd w:id="7753"/>
    </w:p>
    <w:p>
      <w:pPr>
        <w:pStyle w:val="113"/>
        <w:spacing w:before="120" w:after="120"/>
        <w:outlineLvl w:val="2"/>
        <w:rPr>
          <w:color w:val="auto"/>
          <w:highlight w:val="none"/>
        </w:rPr>
      </w:pPr>
      <w:bookmarkStart w:id="7754" w:name="_Toc69114160"/>
      <w:bookmarkStart w:id="7755" w:name="_Toc66634419"/>
      <w:bookmarkStart w:id="7756" w:name="_Toc66890414"/>
      <w:bookmarkStart w:id="7757" w:name="_Toc505345732"/>
      <w:r>
        <w:rPr>
          <w:color w:val="auto"/>
          <w:highlight w:val="none"/>
        </w:rPr>
        <w:t xml:space="preserve">1.1 </w:t>
      </w:r>
      <w:r>
        <w:rPr>
          <w:rFonts w:hint="eastAsia"/>
          <w:color w:val="auto"/>
          <w:highlight w:val="none"/>
        </w:rPr>
        <w:t>工作范围</w:t>
      </w:r>
      <w:bookmarkEnd w:id="7754"/>
      <w:bookmarkEnd w:id="7755"/>
      <w:bookmarkEnd w:id="7756"/>
      <w:bookmarkEnd w:id="7757"/>
    </w:p>
    <w:p>
      <w:pPr>
        <w:pStyle w:val="217"/>
        <w:rPr>
          <w:color w:val="auto"/>
          <w:highlight w:val="none"/>
        </w:rPr>
      </w:pPr>
      <w:r>
        <w:rPr>
          <w:rFonts w:hint="eastAsia"/>
          <w:color w:val="auto"/>
          <w:highlight w:val="none"/>
        </w:rPr>
        <w:t>承包人负责完成本项目电气施工图纸的所有工作内容，包括指定承包人工程以外所有电气设备的供货、安装、调试和验收，以及所有图示内容相关的设备、材料和构配件的供货、安装、调试和验收等。工作范围包括但不限于：</w:t>
      </w:r>
    </w:p>
    <w:p>
      <w:pPr>
        <w:pStyle w:val="217"/>
        <w:rPr>
          <w:color w:val="auto"/>
          <w:highlight w:val="none"/>
        </w:rPr>
      </w:pPr>
      <w:r>
        <w:rPr>
          <w:color w:val="auto"/>
          <w:highlight w:val="none"/>
        </w:rPr>
        <w:t>1.</w:t>
      </w:r>
      <w:r>
        <w:rPr>
          <w:rFonts w:hint="eastAsia"/>
          <w:color w:val="auto"/>
          <w:highlight w:val="none"/>
        </w:rPr>
        <w:t>高低压配电工程：包括高压柜、低压柜、柴油发电机组等的采购及安装；含柴油发电机房环保工程等。</w:t>
      </w:r>
    </w:p>
    <w:p>
      <w:pPr>
        <w:pStyle w:val="217"/>
        <w:rPr>
          <w:color w:val="auto"/>
          <w:highlight w:val="none"/>
        </w:rPr>
      </w:pPr>
      <w:r>
        <w:rPr>
          <w:color w:val="auto"/>
          <w:highlight w:val="none"/>
        </w:rPr>
        <w:t>2.</w:t>
      </w:r>
      <w:r>
        <w:rPr>
          <w:rFonts w:hint="eastAsia"/>
          <w:color w:val="auto"/>
          <w:highlight w:val="none"/>
        </w:rPr>
        <w:t>动力配电工程：动力照明、配电箱线路的安装调试、敷设、电缆头制作，。本工程项目范围内所有的电气动力线路（各种电线）线管、桥架、线槽、动力配电箱、</w:t>
      </w:r>
      <w:r>
        <w:rPr>
          <w:color w:val="auto"/>
          <w:highlight w:val="none"/>
        </w:rPr>
        <w:t>T</w:t>
      </w:r>
      <w:r>
        <w:rPr>
          <w:rFonts w:hint="eastAsia"/>
          <w:color w:val="auto"/>
          <w:highlight w:val="none"/>
        </w:rPr>
        <w:t>接箱、电源控制箱、双电源切换箱、应急照明箱、备用电源箱等的供货及安装；</w:t>
      </w:r>
    </w:p>
    <w:p>
      <w:pPr>
        <w:pStyle w:val="217"/>
        <w:rPr>
          <w:color w:val="auto"/>
          <w:highlight w:val="none"/>
        </w:rPr>
      </w:pPr>
      <w:r>
        <w:rPr>
          <w:color w:val="auto"/>
          <w:highlight w:val="none"/>
        </w:rPr>
        <w:t>3.</w:t>
      </w:r>
      <w:r>
        <w:rPr>
          <w:rFonts w:hint="eastAsia"/>
          <w:color w:val="auto"/>
          <w:highlight w:val="none"/>
        </w:rPr>
        <w:t>本项目范围内部分普通电气照明和应急照明线路、线管、线槽、照明箱、灯具（含光源）、开关面板、插座等的供货及安装；</w:t>
      </w:r>
    </w:p>
    <w:p>
      <w:pPr>
        <w:pStyle w:val="217"/>
        <w:rPr>
          <w:color w:val="auto"/>
          <w:highlight w:val="none"/>
        </w:rPr>
      </w:pPr>
      <w:r>
        <w:rPr>
          <w:color w:val="auto"/>
          <w:highlight w:val="none"/>
        </w:rPr>
        <w:t>4.</w:t>
      </w:r>
      <w:r>
        <w:rPr>
          <w:rFonts w:hint="eastAsia"/>
          <w:color w:val="auto"/>
          <w:highlight w:val="none"/>
        </w:rPr>
        <w:t>本项目范围内所有电气（含强弱电专业）预留洞、预埋套管、线管、件、盒和孔洞的封堵及设备基础的施工；</w:t>
      </w:r>
    </w:p>
    <w:p>
      <w:pPr>
        <w:pStyle w:val="217"/>
        <w:rPr>
          <w:color w:val="auto"/>
          <w:highlight w:val="none"/>
        </w:rPr>
      </w:pPr>
      <w:r>
        <w:rPr>
          <w:color w:val="auto"/>
          <w:highlight w:val="none"/>
        </w:rPr>
        <w:t>5.</w:t>
      </w:r>
      <w:r>
        <w:rPr>
          <w:rFonts w:hint="eastAsia"/>
          <w:color w:val="auto"/>
          <w:highlight w:val="none"/>
        </w:rPr>
        <w:t>防雷接地和等电位联结：本项目范围内所有防雷接地工程的安装、制作（含金属外墙面及玻璃幕墙、铝合金窗等通过预埋件与防雷引下线的联接；等电位端子箱的制作以及和各接地系统的联结）；所有设备机房预留等电位点；室内外不带电的金属物体的接地安装；桥架、线槽、强、弱电竖井的接地干线安装等；</w:t>
      </w:r>
    </w:p>
    <w:p>
      <w:pPr>
        <w:pStyle w:val="217"/>
        <w:rPr>
          <w:color w:val="auto"/>
          <w:highlight w:val="none"/>
        </w:rPr>
      </w:pPr>
      <w:r>
        <w:rPr>
          <w:color w:val="auto"/>
          <w:highlight w:val="none"/>
        </w:rPr>
        <w:t>6.</w:t>
      </w:r>
      <w:r>
        <w:rPr>
          <w:rFonts w:hint="eastAsia"/>
          <w:color w:val="auto"/>
          <w:highlight w:val="none"/>
        </w:rPr>
        <w:t>为弱电专业提供≤</w:t>
      </w:r>
      <w:r>
        <w:rPr>
          <w:color w:val="auto"/>
          <w:highlight w:val="none"/>
        </w:rPr>
        <w:t>1</w:t>
      </w:r>
      <w:r>
        <w:rPr>
          <w:rFonts w:hint="eastAsia"/>
          <w:color w:val="auto"/>
          <w:highlight w:val="none"/>
        </w:rPr>
        <w:t>欧姆的总接地极，电源插座的</w:t>
      </w:r>
      <w:r>
        <w:rPr>
          <w:color w:val="auto"/>
          <w:highlight w:val="none"/>
        </w:rPr>
        <w:t>PE</w:t>
      </w:r>
      <w:r>
        <w:rPr>
          <w:rFonts w:hint="eastAsia"/>
          <w:color w:val="auto"/>
          <w:highlight w:val="none"/>
        </w:rPr>
        <w:t>端子及金属底座均应与专用的</w:t>
      </w:r>
      <w:r>
        <w:rPr>
          <w:color w:val="auto"/>
          <w:highlight w:val="none"/>
        </w:rPr>
        <w:t>PE</w:t>
      </w:r>
      <w:r>
        <w:rPr>
          <w:rFonts w:hint="eastAsia"/>
          <w:color w:val="auto"/>
          <w:highlight w:val="none"/>
        </w:rPr>
        <w:t>导线相连接，从总等电位连接盘至屋面机房各层的消防和弱电公共金属线槽沿其外侧用</w:t>
      </w:r>
      <w:r>
        <w:rPr>
          <w:color w:val="auto"/>
          <w:highlight w:val="none"/>
        </w:rPr>
        <w:t>-25</w:t>
      </w:r>
      <w:r>
        <w:rPr>
          <w:rFonts w:hint="eastAsia"/>
          <w:color w:val="auto"/>
          <w:highlight w:val="none"/>
        </w:rPr>
        <w:t>×</w:t>
      </w:r>
      <w:r>
        <w:rPr>
          <w:color w:val="auto"/>
          <w:highlight w:val="none"/>
        </w:rPr>
        <w:t>4</w:t>
      </w:r>
      <w:r>
        <w:rPr>
          <w:rFonts w:hint="eastAsia"/>
          <w:color w:val="auto"/>
          <w:highlight w:val="none"/>
        </w:rPr>
        <w:t>镀锌扁钢或Φ</w:t>
      </w:r>
      <w:r>
        <w:rPr>
          <w:color w:val="auto"/>
          <w:highlight w:val="none"/>
        </w:rPr>
        <w:t>12</w:t>
      </w:r>
      <w:r>
        <w:rPr>
          <w:rFonts w:hint="eastAsia"/>
          <w:color w:val="auto"/>
          <w:highlight w:val="none"/>
        </w:rPr>
        <w:t>通长敷设一专用接地干线。金属线槽及其支架和引入或引出的金属导管可靠接地。</w:t>
      </w:r>
    </w:p>
    <w:p>
      <w:pPr>
        <w:pStyle w:val="217"/>
        <w:rPr>
          <w:color w:val="auto"/>
          <w:highlight w:val="none"/>
        </w:rPr>
      </w:pPr>
      <w:r>
        <w:rPr>
          <w:color w:val="auto"/>
          <w:highlight w:val="none"/>
        </w:rPr>
        <w:t>7.</w:t>
      </w:r>
      <w:r>
        <w:rPr>
          <w:rFonts w:hint="eastAsia"/>
          <w:color w:val="auto"/>
          <w:highlight w:val="none"/>
        </w:rPr>
        <w:t>需深化设计的图纸，承包人必须保证所出图纸获得强审单位的认可并盖出图章，包括总承包范围内和招标人指定专业承包范围在内的所有管道综合布线图、高低压配电工程、柴油发电机房环保工程的深化设计，及其他业主和设计单位认为有必要的深化设计内容。</w:t>
      </w:r>
    </w:p>
    <w:p>
      <w:pPr>
        <w:pStyle w:val="217"/>
        <w:rPr>
          <w:color w:val="auto"/>
          <w:highlight w:val="none"/>
        </w:rPr>
      </w:pPr>
      <w:r>
        <w:rPr>
          <w:color w:val="auto"/>
          <w:highlight w:val="none"/>
        </w:rPr>
        <w:t>8.</w:t>
      </w:r>
      <w:r>
        <w:rPr>
          <w:rFonts w:hint="eastAsia"/>
          <w:color w:val="auto"/>
          <w:highlight w:val="none"/>
        </w:rPr>
        <w:t>本工程包括室外景观照明系统配电箱、线路﹑管线﹑灯具的的采购与安装，具体以设计院的有关设计要求为准。</w:t>
      </w:r>
    </w:p>
    <w:p>
      <w:pPr>
        <w:pStyle w:val="113"/>
        <w:spacing w:before="120" w:after="120"/>
        <w:outlineLvl w:val="2"/>
        <w:rPr>
          <w:color w:val="auto"/>
          <w:highlight w:val="none"/>
        </w:rPr>
      </w:pPr>
      <w:bookmarkStart w:id="7758" w:name="_Toc66634420"/>
      <w:bookmarkStart w:id="7759" w:name="_Toc505345733"/>
      <w:bookmarkStart w:id="7760" w:name="_Toc69114161"/>
      <w:bookmarkStart w:id="7761" w:name="_Toc66890415"/>
      <w:r>
        <w:rPr>
          <w:color w:val="auto"/>
          <w:highlight w:val="none"/>
        </w:rPr>
        <w:t xml:space="preserve">1.2 </w:t>
      </w:r>
      <w:r>
        <w:rPr>
          <w:rFonts w:hint="eastAsia"/>
          <w:color w:val="auto"/>
          <w:highlight w:val="none"/>
        </w:rPr>
        <w:t>法律、法规</w:t>
      </w:r>
      <w:bookmarkEnd w:id="7758"/>
      <w:bookmarkEnd w:id="7759"/>
      <w:bookmarkEnd w:id="7760"/>
      <w:bookmarkEnd w:id="7761"/>
    </w:p>
    <w:p>
      <w:pPr>
        <w:pStyle w:val="217"/>
        <w:rPr>
          <w:color w:val="auto"/>
          <w:highlight w:val="none"/>
        </w:rPr>
      </w:pPr>
      <w:r>
        <w:rPr>
          <w:rFonts w:hint="eastAsia"/>
          <w:color w:val="auto"/>
          <w:highlight w:val="none"/>
        </w:rPr>
        <w:t>本承包人负责提供的所有设备、材料、施工工艺和施工要求必须符合本文的技术要求和本设计图纸的要求外，还必须符合下列有关规范、标准：</w:t>
      </w:r>
    </w:p>
    <w:p>
      <w:pPr>
        <w:pStyle w:val="217"/>
        <w:rPr>
          <w:color w:val="auto"/>
          <w:highlight w:val="none"/>
        </w:rPr>
      </w:pPr>
      <w:r>
        <w:rPr>
          <w:rFonts w:hint="eastAsia"/>
          <w:color w:val="auto"/>
          <w:highlight w:val="none"/>
        </w:rPr>
        <w:t>详见《总则、技术规范篇》</w:t>
      </w:r>
    </w:p>
    <w:p>
      <w:pPr>
        <w:rPr>
          <w:color w:val="auto"/>
          <w:highlight w:val="none"/>
        </w:rPr>
      </w:pPr>
    </w:p>
    <w:p>
      <w:pPr>
        <w:pStyle w:val="188"/>
        <w:spacing w:before="120" w:after="120"/>
        <w:outlineLvl w:val="1"/>
        <w:rPr>
          <w:color w:val="auto"/>
          <w:highlight w:val="none"/>
        </w:rPr>
      </w:pPr>
      <w:bookmarkStart w:id="7762" w:name="_Toc69114162"/>
      <w:bookmarkStart w:id="7763" w:name="_Toc505345734"/>
      <w:bookmarkStart w:id="7764" w:name="_Toc66634421"/>
      <w:bookmarkStart w:id="7765" w:name="_Toc66890416"/>
      <w:r>
        <w:rPr>
          <w:rFonts w:hint="eastAsia"/>
          <w:color w:val="auto"/>
          <w:highlight w:val="none"/>
        </w:rPr>
        <w:t>第</w:t>
      </w:r>
      <w:r>
        <w:rPr>
          <w:color w:val="auto"/>
          <w:highlight w:val="none"/>
        </w:rPr>
        <w:t>2</w:t>
      </w:r>
      <w:r>
        <w:rPr>
          <w:rFonts w:hint="eastAsia"/>
          <w:color w:val="auto"/>
          <w:highlight w:val="none"/>
        </w:rPr>
        <w:t>章</w:t>
      </w:r>
      <w:r>
        <w:rPr>
          <w:color w:val="auto"/>
          <w:highlight w:val="none"/>
        </w:rPr>
        <w:t xml:space="preserve">  </w:t>
      </w:r>
      <w:r>
        <w:rPr>
          <w:rFonts w:hint="eastAsia"/>
          <w:color w:val="auto"/>
          <w:highlight w:val="none"/>
        </w:rPr>
        <w:t>通用要求</w:t>
      </w:r>
      <w:bookmarkEnd w:id="7762"/>
      <w:bookmarkEnd w:id="7763"/>
      <w:bookmarkEnd w:id="7764"/>
      <w:bookmarkEnd w:id="7765"/>
    </w:p>
    <w:p>
      <w:pPr>
        <w:pStyle w:val="113"/>
        <w:spacing w:before="120" w:after="120"/>
        <w:outlineLvl w:val="2"/>
        <w:rPr>
          <w:color w:val="auto"/>
          <w:highlight w:val="none"/>
        </w:rPr>
      </w:pPr>
      <w:bookmarkStart w:id="7766" w:name="_Toc505345735"/>
      <w:bookmarkStart w:id="7767" w:name="_Toc69114163"/>
      <w:bookmarkStart w:id="7768" w:name="_Toc66634422"/>
      <w:bookmarkStart w:id="7769" w:name="_Toc66890417"/>
      <w:r>
        <w:rPr>
          <w:color w:val="auto"/>
          <w:highlight w:val="none"/>
        </w:rPr>
        <w:t xml:space="preserve">2.1 </w:t>
      </w:r>
      <w:r>
        <w:rPr>
          <w:rFonts w:hint="eastAsia"/>
          <w:color w:val="auto"/>
          <w:highlight w:val="none"/>
        </w:rPr>
        <w:t>施工过程的协调与配合</w:t>
      </w:r>
      <w:bookmarkEnd w:id="7766"/>
      <w:bookmarkEnd w:id="7767"/>
      <w:bookmarkEnd w:id="7768"/>
      <w:bookmarkEnd w:id="7769"/>
    </w:p>
    <w:p>
      <w:pPr>
        <w:pStyle w:val="172"/>
        <w:rPr>
          <w:color w:val="auto"/>
          <w:highlight w:val="none"/>
        </w:rPr>
      </w:pPr>
      <w:r>
        <w:rPr>
          <w:color w:val="auto"/>
          <w:highlight w:val="none"/>
        </w:rPr>
        <w:t xml:space="preserve">2.1.1 </w:t>
      </w:r>
      <w:r>
        <w:rPr>
          <w:rFonts w:hint="eastAsia"/>
          <w:color w:val="auto"/>
          <w:highlight w:val="none"/>
        </w:rPr>
        <w:t>与政府有关各部门及公用事业机构的协调</w:t>
      </w:r>
    </w:p>
    <w:p>
      <w:pPr>
        <w:pStyle w:val="217"/>
        <w:rPr>
          <w:color w:val="auto"/>
          <w:highlight w:val="none"/>
        </w:rPr>
      </w:pPr>
      <w:r>
        <w:rPr>
          <w:rFonts w:hint="eastAsia"/>
          <w:color w:val="auto"/>
          <w:highlight w:val="none"/>
        </w:rPr>
        <w:t>本承包人必须负责协助业主与政府有关各部门及公用事业机构协调。</w:t>
      </w:r>
    </w:p>
    <w:p>
      <w:pPr>
        <w:pStyle w:val="217"/>
        <w:rPr>
          <w:color w:val="auto"/>
          <w:highlight w:val="none"/>
        </w:rPr>
      </w:pPr>
      <w:r>
        <w:rPr>
          <w:color w:val="auto"/>
          <w:highlight w:val="none"/>
        </w:rPr>
        <w:t>1.</w:t>
      </w:r>
      <w:r>
        <w:rPr>
          <w:rFonts w:hint="eastAsia"/>
          <w:color w:val="auto"/>
          <w:highlight w:val="none"/>
        </w:rPr>
        <w:t>承包人须提供有关的资料（图纸、样品、产品说明书等）经政府有关各部门及公用事业机构作审批依据，如因所送资料不符合要求而需重新送审，因此而造成的工期延误等损失由本承包人负责。</w:t>
      </w:r>
    </w:p>
    <w:p>
      <w:pPr>
        <w:pStyle w:val="217"/>
        <w:rPr>
          <w:color w:val="auto"/>
          <w:highlight w:val="none"/>
        </w:rPr>
      </w:pPr>
      <w:r>
        <w:rPr>
          <w:color w:val="auto"/>
          <w:highlight w:val="none"/>
        </w:rPr>
        <w:t>2.</w:t>
      </w:r>
      <w:r>
        <w:rPr>
          <w:rFonts w:hint="eastAsia"/>
          <w:color w:val="auto"/>
          <w:highlight w:val="none"/>
        </w:rPr>
        <w:t>如因与政府有关部门及公用事业单位协调或合作不够导致已安装的设备或系统需更改或拆除，承包人除需负起所有有关的费用和导致工期延误的责任外，还须对业主做出相应的赔偿。</w:t>
      </w:r>
    </w:p>
    <w:p>
      <w:pPr>
        <w:pStyle w:val="217"/>
        <w:rPr>
          <w:color w:val="auto"/>
          <w:highlight w:val="none"/>
        </w:rPr>
      </w:pPr>
      <w:r>
        <w:rPr>
          <w:color w:val="auto"/>
          <w:highlight w:val="none"/>
        </w:rPr>
        <w:t>3.</w:t>
      </w:r>
      <w:r>
        <w:rPr>
          <w:rFonts w:hint="eastAsia"/>
          <w:color w:val="auto"/>
          <w:highlight w:val="none"/>
        </w:rPr>
        <w:t>承包人应接受授权监理单位的监理，工程完工后应通过深圳供电局的验收。由承包人负责联系、邀请深圳供电局相关部门对本工程进行测试、试验、验收并承担一切所发生的费用。</w:t>
      </w:r>
    </w:p>
    <w:p>
      <w:pPr>
        <w:pStyle w:val="172"/>
        <w:rPr>
          <w:color w:val="auto"/>
          <w:highlight w:val="none"/>
        </w:rPr>
      </w:pPr>
      <w:r>
        <w:rPr>
          <w:color w:val="auto"/>
          <w:highlight w:val="none"/>
        </w:rPr>
        <w:t xml:space="preserve">2.1.2 </w:t>
      </w:r>
      <w:r>
        <w:rPr>
          <w:rFonts w:hint="eastAsia"/>
          <w:color w:val="auto"/>
          <w:highlight w:val="none"/>
        </w:rPr>
        <w:t>与其它承包人的协调及交接工作</w:t>
      </w:r>
    </w:p>
    <w:p>
      <w:pPr>
        <w:pStyle w:val="217"/>
        <w:rPr>
          <w:color w:val="auto"/>
          <w:highlight w:val="none"/>
        </w:rPr>
      </w:pPr>
      <w:r>
        <w:rPr>
          <w:rFonts w:hint="eastAsia"/>
          <w:color w:val="auto"/>
          <w:highlight w:val="none"/>
        </w:rPr>
        <w:t>本项目承包人必须与本项目其它承包人协调和合作，提供所需要的有关资料、设备和人员，确保在分工交界点处与其它承包人能满意配合，顺利交接。</w:t>
      </w:r>
    </w:p>
    <w:p>
      <w:pPr>
        <w:pStyle w:val="217"/>
        <w:rPr>
          <w:color w:val="auto"/>
          <w:highlight w:val="none"/>
        </w:rPr>
      </w:pPr>
      <w:r>
        <w:rPr>
          <w:color w:val="auto"/>
          <w:highlight w:val="none"/>
        </w:rPr>
        <w:t>1.</w:t>
      </w:r>
      <w:r>
        <w:rPr>
          <w:rFonts w:hint="eastAsia"/>
          <w:color w:val="auto"/>
          <w:highlight w:val="none"/>
        </w:rPr>
        <w:t>与电梯工程承包人的协调工作：</w:t>
      </w:r>
    </w:p>
    <w:p>
      <w:pPr>
        <w:pStyle w:val="217"/>
        <w:rPr>
          <w:color w:val="auto"/>
          <w:highlight w:val="none"/>
        </w:rPr>
      </w:pPr>
      <w:r>
        <w:rPr>
          <w:rFonts w:hint="eastAsia"/>
          <w:color w:val="auto"/>
          <w:highlight w:val="none"/>
        </w:rPr>
        <w:t>本承包人必须保证电梯井道的干燥，若有任何水渍导致的电梯或其配件损坏，一律由本承包人负责。由于本承包人不能提供有效证据证明非自身责任的造成电梯的损坏，一律由本承包人负责。本承包人应及时配合电梯工程承包人完成相应收口收边工作。</w:t>
      </w:r>
    </w:p>
    <w:p>
      <w:pPr>
        <w:pStyle w:val="217"/>
        <w:rPr>
          <w:color w:val="auto"/>
          <w:highlight w:val="none"/>
        </w:rPr>
      </w:pPr>
      <w:r>
        <w:rPr>
          <w:color w:val="auto"/>
          <w:highlight w:val="none"/>
        </w:rPr>
        <w:t>2.</w:t>
      </w:r>
      <w:r>
        <w:rPr>
          <w:rFonts w:hint="eastAsia"/>
          <w:color w:val="auto"/>
          <w:highlight w:val="none"/>
        </w:rPr>
        <w:t>关于甲供电缆的约定：</w:t>
      </w:r>
    </w:p>
    <w:p>
      <w:pPr>
        <w:pStyle w:val="217"/>
        <w:rPr>
          <w:color w:val="auto"/>
          <w:highlight w:val="none"/>
        </w:rPr>
      </w:pPr>
      <w:r>
        <w:rPr>
          <w:rFonts w:hint="eastAsia"/>
          <w:color w:val="auto"/>
          <w:highlight w:val="none"/>
        </w:rPr>
        <w:t>本承包人应认真核对图纸并计算出需使用电缆的数量并在与甲方合同签订后</w:t>
      </w:r>
      <w:r>
        <w:rPr>
          <w:color w:val="auto"/>
          <w:highlight w:val="none"/>
        </w:rPr>
        <w:t>6</w:t>
      </w:r>
      <w:r>
        <w:rPr>
          <w:rFonts w:hint="eastAsia"/>
          <w:color w:val="auto"/>
          <w:highlight w:val="none"/>
        </w:rPr>
        <w:t>个月与监理、造价咨询核对无误盖章后交甲方采购。具体使用电缆前</w:t>
      </w:r>
      <w:r>
        <w:rPr>
          <w:color w:val="auto"/>
          <w:highlight w:val="none"/>
        </w:rPr>
        <w:t>1</w:t>
      </w:r>
      <w:r>
        <w:rPr>
          <w:rFonts w:hint="eastAsia"/>
          <w:color w:val="auto"/>
          <w:highlight w:val="none"/>
        </w:rPr>
        <w:t>个月需按甲方的表格填报申报。最终实际进场的电缆数量超出图纸计算的部分，由本承包人负责。</w:t>
      </w:r>
    </w:p>
    <w:p>
      <w:pPr>
        <w:pStyle w:val="217"/>
        <w:rPr>
          <w:color w:val="auto"/>
          <w:highlight w:val="none"/>
        </w:rPr>
      </w:pPr>
      <w:r>
        <w:rPr>
          <w:color w:val="auto"/>
          <w:highlight w:val="none"/>
        </w:rPr>
        <w:t>3.</w:t>
      </w:r>
      <w:r>
        <w:rPr>
          <w:rFonts w:hint="eastAsia"/>
          <w:color w:val="auto"/>
          <w:highlight w:val="none"/>
        </w:rPr>
        <w:t>关于材料设备品牌报审的约定：</w:t>
      </w:r>
    </w:p>
    <w:p>
      <w:pPr>
        <w:pStyle w:val="217"/>
        <w:rPr>
          <w:color w:val="auto"/>
          <w:highlight w:val="none"/>
        </w:rPr>
      </w:pPr>
      <w:r>
        <w:rPr>
          <w:rFonts w:hint="eastAsia"/>
          <w:color w:val="auto"/>
          <w:highlight w:val="none"/>
        </w:rPr>
        <w:t>本承包人应编制详细的进度计划、样品提供和材料设备品牌报审计划。若材料设备距离计划使用时间不满</w:t>
      </w:r>
      <w:r>
        <w:rPr>
          <w:color w:val="auto"/>
          <w:highlight w:val="none"/>
        </w:rPr>
        <w:t>30</w:t>
      </w:r>
      <w:r>
        <w:rPr>
          <w:rFonts w:hint="eastAsia"/>
          <w:color w:val="auto"/>
          <w:highlight w:val="none"/>
        </w:rPr>
        <w:t>天尚未申报的，发包人有权从招标文件所列品牌中指定市场价格最高的品牌作为项目使用品牌，招标文件中没有列明品牌的材料设备，发包人有权委托造价咨询公司进行市场询价并指定价格最高的品牌作为项目使用品牌。</w:t>
      </w:r>
    </w:p>
    <w:p>
      <w:pPr>
        <w:pStyle w:val="113"/>
        <w:spacing w:before="120" w:after="120"/>
        <w:outlineLvl w:val="2"/>
        <w:rPr>
          <w:color w:val="auto"/>
          <w:highlight w:val="none"/>
        </w:rPr>
      </w:pPr>
      <w:bookmarkStart w:id="7770" w:name="_Toc505345736"/>
      <w:bookmarkStart w:id="7771" w:name="_Toc69114164"/>
      <w:bookmarkStart w:id="7772" w:name="_Toc66890418"/>
      <w:bookmarkStart w:id="7773" w:name="_Toc66634423"/>
      <w:r>
        <w:rPr>
          <w:color w:val="auto"/>
          <w:highlight w:val="none"/>
        </w:rPr>
        <w:t xml:space="preserve">2.2 </w:t>
      </w:r>
      <w:r>
        <w:rPr>
          <w:rFonts w:hint="eastAsia"/>
          <w:color w:val="auto"/>
          <w:highlight w:val="none"/>
        </w:rPr>
        <w:t>设备及材料说明</w:t>
      </w:r>
      <w:bookmarkEnd w:id="7770"/>
      <w:bookmarkEnd w:id="7771"/>
      <w:bookmarkEnd w:id="7772"/>
      <w:bookmarkEnd w:id="7773"/>
    </w:p>
    <w:p>
      <w:pPr>
        <w:pStyle w:val="217"/>
        <w:rPr>
          <w:color w:val="auto"/>
          <w:highlight w:val="none"/>
        </w:rPr>
      </w:pPr>
      <w:r>
        <w:rPr>
          <w:rFonts w:hint="eastAsia"/>
          <w:color w:val="auto"/>
          <w:highlight w:val="none"/>
        </w:rPr>
        <w:t>承包人在本项目中所提供的所有材料和设备，必须经设计认可并须由具有</w:t>
      </w:r>
      <w:r>
        <w:rPr>
          <w:color w:val="auto"/>
          <w:highlight w:val="none"/>
        </w:rPr>
        <w:t>5</w:t>
      </w:r>
      <w:r>
        <w:rPr>
          <w:rFonts w:hint="eastAsia"/>
          <w:color w:val="auto"/>
          <w:highlight w:val="none"/>
        </w:rPr>
        <w:t>年以上生产同类型产品经验的承包人提供，详见设备技术要求。承包人须提交有关材料设备承包人的资质证明文件。</w:t>
      </w:r>
    </w:p>
    <w:p>
      <w:pPr>
        <w:pStyle w:val="172"/>
        <w:rPr>
          <w:color w:val="auto"/>
          <w:highlight w:val="none"/>
        </w:rPr>
      </w:pPr>
      <w:r>
        <w:rPr>
          <w:color w:val="auto"/>
          <w:highlight w:val="none"/>
        </w:rPr>
        <w:t xml:space="preserve">2.2.1 </w:t>
      </w:r>
      <w:r>
        <w:rPr>
          <w:rFonts w:hint="eastAsia"/>
          <w:color w:val="auto"/>
          <w:highlight w:val="none"/>
        </w:rPr>
        <w:t>适用的规范、标准和当地条例</w:t>
      </w:r>
    </w:p>
    <w:p>
      <w:pPr>
        <w:pStyle w:val="217"/>
        <w:rPr>
          <w:color w:val="auto"/>
          <w:highlight w:val="none"/>
        </w:rPr>
      </w:pPr>
      <w:r>
        <w:rPr>
          <w:color w:val="auto"/>
          <w:highlight w:val="none"/>
        </w:rPr>
        <w:t>1.</w:t>
      </w:r>
      <w:r>
        <w:rPr>
          <w:rFonts w:hint="eastAsia"/>
          <w:color w:val="auto"/>
          <w:highlight w:val="none"/>
        </w:rPr>
        <w:t>本招标文件内所列的有关规范和标准是指签订合同时所颁布的最新修订版本。</w:t>
      </w:r>
    </w:p>
    <w:p>
      <w:pPr>
        <w:pStyle w:val="217"/>
        <w:rPr>
          <w:color w:val="auto"/>
          <w:highlight w:val="none"/>
        </w:rPr>
      </w:pPr>
      <w:r>
        <w:rPr>
          <w:color w:val="auto"/>
          <w:highlight w:val="none"/>
        </w:rPr>
        <w:t>2.</w:t>
      </w:r>
      <w:r>
        <w:rPr>
          <w:rFonts w:hint="eastAsia"/>
          <w:color w:val="auto"/>
          <w:highlight w:val="none"/>
        </w:rPr>
        <w:t>若招标文件内对某些要求未有列明标准，则有关的细节、材料、设备和工艺要求应遵照相关的国内或行业标准，取较高者为依据。</w:t>
      </w:r>
    </w:p>
    <w:p>
      <w:pPr>
        <w:pStyle w:val="217"/>
        <w:rPr>
          <w:color w:val="auto"/>
          <w:highlight w:val="none"/>
        </w:rPr>
      </w:pPr>
      <w:r>
        <w:rPr>
          <w:color w:val="auto"/>
          <w:highlight w:val="none"/>
        </w:rPr>
        <w:t>3.</w:t>
      </w:r>
      <w:r>
        <w:rPr>
          <w:rFonts w:hint="eastAsia"/>
          <w:color w:val="auto"/>
          <w:highlight w:val="none"/>
        </w:rPr>
        <w:t>所有高低压供电系统装置的施工应遵照当地法规或条例进行。</w:t>
      </w:r>
    </w:p>
    <w:p>
      <w:pPr>
        <w:pStyle w:val="217"/>
        <w:rPr>
          <w:color w:val="auto"/>
          <w:highlight w:val="none"/>
        </w:rPr>
      </w:pPr>
      <w:r>
        <w:rPr>
          <w:color w:val="auto"/>
          <w:highlight w:val="none"/>
        </w:rPr>
        <w:t>4.</w:t>
      </w:r>
      <w:r>
        <w:rPr>
          <w:rFonts w:hint="eastAsia"/>
          <w:color w:val="auto"/>
          <w:highlight w:val="none"/>
        </w:rPr>
        <w:t>若上述各技术要求之间发生矛盾，则应按下列顺序优选选择。</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w:t>
      </w:r>
      <w:r>
        <w:rPr>
          <w:color w:val="auto"/>
          <w:highlight w:val="none"/>
        </w:rPr>
        <w:t xml:space="preserve"> </w:t>
      </w:r>
      <w:r>
        <w:rPr>
          <w:rFonts w:hint="eastAsia"/>
          <w:color w:val="auto"/>
          <w:highlight w:val="none"/>
        </w:rPr>
        <w:t>当地政府的条例、指令和规范</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）公用事业公司的条例</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）本招标文件和图纸</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）其它认可的标准</w:t>
      </w:r>
    </w:p>
    <w:p>
      <w:pPr>
        <w:pStyle w:val="172"/>
        <w:rPr>
          <w:color w:val="auto"/>
          <w:highlight w:val="none"/>
        </w:rPr>
      </w:pPr>
      <w:r>
        <w:rPr>
          <w:color w:val="auto"/>
          <w:highlight w:val="none"/>
        </w:rPr>
        <w:t xml:space="preserve">2.2.2 </w:t>
      </w:r>
      <w:r>
        <w:rPr>
          <w:rFonts w:hint="eastAsia"/>
          <w:color w:val="auto"/>
          <w:highlight w:val="none"/>
        </w:rPr>
        <w:t>保证</w:t>
      </w:r>
    </w:p>
    <w:p>
      <w:pPr>
        <w:pStyle w:val="217"/>
        <w:rPr>
          <w:color w:val="auto"/>
          <w:highlight w:val="none"/>
        </w:rPr>
      </w:pPr>
      <w:r>
        <w:rPr>
          <w:color w:val="auto"/>
          <w:highlight w:val="none"/>
        </w:rPr>
        <w:t>1.</w:t>
      </w:r>
      <w:r>
        <w:rPr>
          <w:rFonts w:hint="eastAsia"/>
          <w:color w:val="auto"/>
          <w:highlight w:val="none"/>
        </w:rPr>
        <w:t>承包人须保证整个高、低压配电系统的安装及运行，均达到有关部门的要求并通过验收送电。</w:t>
      </w:r>
    </w:p>
    <w:p>
      <w:pPr>
        <w:pStyle w:val="217"/>
        <w:rPr>
          <w:color w:val="auto"/>
          <w:highlight w:val="none"/>
        </w:rPr>
      </w:pPr>
      <w:r>
        <w:rPr>
          <w:color w:val="auto"/>
          <w:highlight w:val="none"/>
        </w:rPr>
        <w:t>2.</w:t>
      </w:r>
      <w:r>
        <w:rPr>
          <w:rFonts w:hint="eastAsia"/>
          <w:color w:val="auto"/>
          <w:highlight w:val="none"/>
        </w:rPr>
        <w:t>承包人必须保证所提供的设备或配件均能按要求在任何工作环境正常操作。</w:t>
      </w:r>
    </w:p>
    <w:p>
      <w:pPr>
        <w:pStyle w:val="217"/>
        <w:rPr>
          <w:color w:val="auto"/>
          <w:highlight w:val="none"/>
        </w:rPr>
      </w:pPr>
      <w:r>
        <w:rPr>
          <w:color w:val="auto"/>
          <w:highlight w:val="none"/>
        </w:rPr>
        <w:t>3.</w:t>
      </w:r>
      <w:r>
        <w:rPr>
          <w:rFonts w:hint="eastAsia"/>
          <w:color w:val="auto"/>
          <w:highlight w:val="none"/>
        </w:rPr>
        <w:t>保证期是指自合同生效直至竣工证书发出日起计两年为止。</w:t>
      </w:r>
    </w:p>
    <w:p>
      <w:pPr>
        <w:pStyle w:val="217"/>
        <w:rPr>
          <w:color w:val="auto"/>
          <w:highlight w:val="none"/>
        </w:rPr>
      </w:pPr>
      <w:r>
        <w:rPr>
          <w:color w:val="auto"/>
          <w:highlight w:val="none"/>
        </w:rPr>
        <w:t>4.</w:t>
      </w:r>
      <w:r>
        <w:rPr>
          <w:rFonts w:hint="eastAsia"/>
          <w:color w:val="auto"/>
          <w:highlight w:val="none"/>
        </w:rPr>
        <w:t>承包人如认为本招标文件或图纸中的要求或说明与承包人所负的责任不适用时，必须在投标时提出。</w:t>
      </w:r>
    </w:p>
    <w:p>
      <w:pPr>
        <w:pStyle w:val="217"/>
        <w:rPr>
          <w:color w:val="auto"/>
          <w:highlight w:val="none"/>
        </w:rPr>
      </w:pPr>
      <w:r>
        <w:rPr>
          <w:color w:val="auto"/>
          <w:highlight w:val="none"/>
        </w:rPr>
        <w:t>5.</w:t>
      </w:r>
      <w:r>
        <w:rPr>
          <w:rFonts w:hint="eastAsia"/>
          <w:color w:val="auto"/>
          <w:highlight w:val="none"/>
        </w:rPr>
        <w:t>任何承包人的产品保证在工程完工后仍然有效，该保证的权属应自动转归业主所有，其后有关承包人保证中的权利和责任也转为业主所有。</w:t>
      </w:r>
    </w:p>
    <w:p>
      <w:pPr>
        <w:pStyle w:val="217"/>
        <w:rPr>
          <w:color w:val="auto"/>
          <w:highlight w:val="none"/>
        </w:rPr>
      </w:pPr>
      <w:r>
        <w:rPr>
          <w:color w:val="auto"/>
          <w:highlight w:val="none"/>
        </w:rPr>
        <w:t>6.</w:t>
      </w:r>
      <w:r>
        <w:rPr>
          <w:rFonts w:hint="eastAsia"/>
          <w:color w:val="auto"/>
          <w:highlight w:val="none"/>
        </w:rPr>
        <w:t>若在保证期满后，发现系统上潜在的缺陷，经技术人员认定是由于承包人的工料和施工方法不符合本招标文件和图纸要求引起，承包人须负全责免费更换或整改，而不得推诿。</w:t>
      </w:r>
    </w:p>
    <w:p>
      <w:pPr>
        <w:pStyle w:val="172"/>
        <w:rPr>
          <w:color w:val="auto"/>
          <w:highlight w:val="none"/>
        </w:rPr>
      </w:pPr>
      <w:r>
        <w:rPr>
          <w:color w:val="auto"/>
          <w:highlight w:val="none"/>
        </w:rPr>
        <w:t xml:space="preserve">2.2.3 </w:t>
      </w:r>
      <w:r>
        <w:rPr>
          <w:rFonts w:hint="eastAsia"/>
          <w:color w:val="auto"/>
          <w:highlight w:val="none"/>
        </w:rPr>
        <w:t>工程更改</w:t>
      </w:r>
    </w:p>
    <w:p>
      <w:pPr>
        <w:pStyle w:val="217"/>
        <w:rPr>
          <w:color w:val="auto"/>
          <w:highlight w:val="none"/>
        </w:rPr>
      </w:pPr>
      <w:r>
        <w:rPr>
          <w:color w:val="auto"/>
          <w:highlight w:val="none"/>
        </w:rPr>
        <w:t>1.</w:t>
      </w:r>
      <w:r>
        <w:rPr>
          <w:rFonts w:hint="eastAsia"/>
          <w:color w:val="auto"/>
          <w:highlight w:val="none"/>
        </w:rPr>
        <w:t>在合同生效后，在特殊情况下，承包人需要更改某些设备或材料须以书面提交合理的解释及证明文件，并提出建议；重新建议的设备或材料承包人，必须在本标书的可接受的生产商范围内挑选并同时经业主及相关技术人员的书面批准方可使用。同时更改后的材料和设备必须达到本招标文件的要求。此外，如有额外费用及合同上的责任应由承包人负责。</w:t>
      </w:r>
    </w:p>
    <w:p>
      <w:pPr>
        <w:pStyle w:val="217"/>
        <w:rPr>
          <w:color w:val="auto"/>
          <w:highlight w:val="none"/>
        </w:rPr>
      </w:pPr>
      <w:r>
        <w:rPr>
          <w:color w:val="auto"/>
          <w:highlight w:val="none"/>
        </w:rPr>
        <w:t>2.</w:t>
      </w:r>
      <w:r>
        <w:rPr>
          <w:rFonts w:hint="eastAsia"/>
          <w:color w:val="auto"/>
          <w:highlight w:val="none"/>
        </w:rPr>
        <w:t>承包人更改材料和设备而延误的工期，由承包人全部负责。</w:t>
      </w:r>
    </w:p>
    <w:p>
      <w:pPr>
        <w:pStyle w:val="217"/>
        <w:rPr>
          <w:color w:val="auto"/>
          <w:highlight w:val="none"/>
        </w:rPr>
      </w:pPr>
      <w:r>
        <w:rPr>
          <w:color w:val="auto"/>
          <w:highlight w:val="none"/>
        </w:rPr>
        <w:t>3.</w:t>
      </w:r>
      <w:r>
        <w:rPr>
          <w:rFonts w:hint="eastAsia"/>
          <w:color w:val="auto"/>
          <w:highlight w:val="none"/>
        </w:rPr>
        <w:t>因更改材料和设备导致有关建筑和结构的改动，对本承包人及其它承包人所产生的影响及由此而引起的额外费用由本承包人负责。</w:t>
      </w:r>
    </w:p>
    <w:p>
      <w:pPr>
        <w:pStyle w:val="217"/>
        <w:rPr>
          <w:color w:val="auto"/>
          <w:highlight w:val="none"/>
        </w:rPr>
      </w:pPr>
      <w:r>
        <w:rPr>
          <w:color w:val="auto"/>
          <w:highlight w:val="none"/>
        </w:rPr>
        <w:t>4.</w:t>
      </w:r>
      <w:r>
        <w:rPr>
          <w:rFonts w:hint="eastAsia"/>
          <w:color w:val="auto"/>
          <w:highlight w:val="none"/>
        </w:rPr>
        <w:t>因更改材料和设备而引致和相关的管道、电缆、导管和设备的数量及排列的变化，本承包人需提供因变化所需的材料和附件并承担所有增加的费用。</w:t>
      </w:r>
    </w:p>
    <w:p>
      <w:pPr>
        <w:pStyle w:val="217"/>
        <w:rPr>
          <w:color w:val="auto"/>
          <w:highlight w:val="none"/>
        </w:rPr>
      </w:pPr>
      <w:r>
        <w:rPr>
          <w:color w:val="auto"/>
          <w:highlight w:val="none"/>
        </w:rPr>
        <w:t>5.</w:t>
      </w:r>
      <w:r>
        <w:rPr>
          <w:rFonts w:hint="eastAsia"/>
          <w:color w:val="auto"/>
          <w:highlight w:val="none"/>
        </w:rPr>
        <w:t>除非在施工中出现不可预见的情况，经设计和发包方及监理</w:t>
      </w:r>
      <w:r>
        <w:rPr>
          <w:rFonts w:hint="eastAsia"/>
          <w:color w:val="auto"/>
          <w:highlight w:val="none"/>
          <w:lang w:eastAsia="zh-CN"/>
        </w:rPr>
        <w:t>书面</w:t>
      </w:r>
      <w:r>
        <w:rPr>
          <w:rFonts w:hint="eastAsia"/>
          <w:color w:val="auto"/>
          <w:highlight w:val="none"/>
        </w:rPr>
        <w:t>同意后可允许变更，否则不予变更，由施工单位自行解决。</w:t>
      </w:r>
    </w:p>
    <w:p>
      <w:pPr>
        <w:pStyle w:val="172"/>
        <w:rPr>
          <w:color w:val="auto"/>
          <w:highlight w:val="none"/>
        </w:rPr>
      </w:pPr>
      <w:r>
        <w:rPr>
          <w:color w:val="auto"/>
          <w:highlight w:val="none"/>
        </w:rPr>
        <w:t xml:space="preserve">2.2.4 </w:t>
      </w:r>
      <w:r>
        <w:rPr>
          <w:rFonts w:hint="eastAsia"/>
          <w:color w:val="auto"/>
          <w:highlight w:val="none"/>
        </w:rPr>
        <w:t>不合格的材料、设备严禁入场</w:t>
      </w:r>
    </w:p>
    <w:p>
      <w:pPr>
        <w:pStyle w:val="217"/>
        <w:rPr>
          <w:color w:val="auto"/>
          <w:highlight w:val="none"/>
        </w:rPr>
      </w:pPr>
      <w:r>
        <w:rPr>
          <w:rFonts w:hint="eastAsia"/>
          <w:color w:val="auto"/>
          <w:highlight w:val="none"/>
        </w:rPr>
        <w:t>业主、监理工程师有权拒绝不合格的材料、设备进入施工现场；若发现承包人使用，有权命令拆除和更换，由此引致工期延误和费用由承包人负责。</w:t>
      </w:r>
    </w:p>
    <w:p>
      <w:pPr>
        <w:pStyle w:val="172"/>
        <w:rPr>
          <w:color w:val="auto"/>
          <w:highlight w:val="none"/>
        </w:rPr>
      </w:pPr>
      <w:r>
        <w:rPr>
          <w:color w:val="auto"/>
          <w:highlight w:val="none"/>
        </w:rPr>
        <w:t xml:space="preserve">2.2.5 </w:t>
      </w:r>
      <w:r>
        <w:rPr>
          <w:rFonts w:hint="eastAsia"/>
          <w:color w:val="auto"/>
          <w:highlight w:val="none"/>
        </w:rPr>
        <w:t>工件的包装和保护</w:t>
      </w:r>
    </w:p>
    <w:p>
      <w:pPr>
        <w:pStyle w:val="217"/>
        <w:rPr>
          <w:color w:val="auto"/>
          <w:highlight w:val="none"/>
        </w:rPr>
      </w:pPr>
      <w:r>
        <w:rPr>
          <w:color w:val="auto"/>
          <w:highlight w:val="none"/>
        </w:rPr>
        <w:t>1.</w:t>
      </w:r>
      <w:r>
        <w:rPr>
          <w:rFonts w:hint="eastAsia"/>
          <w:color w:val="auto"/>
          <w:highlight w:val="none"/>
        </w:rPr>
        <w:t>所有运送到工地的设备和材料均应保持全新状态，并应有适当的包装和保护。</w:t>
      </w:r>
    </w:p>
    <w:p>
      <w:pPr>
        <w:pStyle w:val="217"/>
        <w:rPr>
          <w:color w:val="auto"/>
          <w:highlight w:val="none"/>
        </w:rPr>
      </w:pPr>
      <w:r>
        <w:rPr>
          <w:color w:val="auto"/>
          <w:highlight w:val="none"/>
        </w:rPr>
        <w:t>2.</w:t>
      </w:r>
      <w:r>
        <w:rPr>
          <w:rFonts w:hint="eastAsia"/>
          <w:color w:val="auto"/>
          <w:highlight w:val="none"/>
        </w:rPr>
        <w:t>所有运送过程中或在工地上受损的设备和材料，将拒绝使用，承包人必须无偿更换，因此而引起的工期延误承包人负责。</w:t>
      </w:r>
    </w:p>
    <w:p>
      <w:pPr>
        <w:pStyle w:val="217"/>
        <w:rPr>
          <w:color w:val="auto"/>
          <w:highlight w:val="none"/>
        </w:rPr>
      </w:pPr>
      <w:r>
        <w:rPr>
          <w:color w:val="auto"/>
          <w:highlight w:val="none"/>
        </w:rPr>
        <w:t>3.</w:t>
      </w:r>
      <w:r>
        <w:rPr>
          <w:rFonts w:hint="eastAsia"/>
          <w:color w:val="auto"/>
          <w:highlight w:val="none"/>
        </w:rPr>
        <w:t>承包人对大型设备的进场必须事先有详细的计划和安排，并提出切实可行的运送方案，工地一般不可能提供临时贮存场地。</w:t>
      </w:r>
    </w:p>
    <w:p>
      <w:pPr>
        <w:pStyle w:val="172"/>
        <w:rPr>
          <w:color w:val="auto"/>
          <w:highlight w:val="none"/>
        </w:rPr>
      </w:pPr>
      <w:r>
        <w:rPr>
          <w:color w:val="auto"/>
          <w:highlight w:val="none"/>
        </w:rPr>
        <w:t xml:space="preserve">2.2.6 </w:t>
      </w:r>
      <w:r>
        <w:rPr>
          <w:rFonts w:hint="eastAsia"/>
          <w:color w:val="auto"/>
          <w:highlight w:val="none"/>
        </w:rPr>
        <w:t>对机件和设备的责任和拥有权。</w:t>
      </w:r>
    </w:p>
    <w:p>
      <w:pPr>
        <w:pStyle w:val="217"/>
        <w:rPr>
          <w:color w:val="auto"/>
          <w:highlight w:val="none"/>
        </w:rPr>
      </w:pPr>
      <w:r>
        <w:rPr>
          <w:color w:val="auto"/>
          <w:highlight w:val="none"/>
        </w:rPr>
        <w:t>1.</w:t>
      </w:r>
      <w:r>
        <w:rPr>
          <w:rFonts w:hint="eastAsia"/>
          <w:color w:val="auto"/>
          <w:highlight w:val="none"/>
        </w:rPr>
        <w:t>在工程施工期间，承包人必须对所有材料、设备、机件的破损和遗失负责。</w:t>
      </w:r>
    </w:p>
    <w:p>
      <w:pPr>
        <w:pStyle w:val="217"/>
        <w:rPr>
          <w:color w:val="auto"/>
          <w:highlight w:val="none"/>
        </w:rPr>
      </w:pPr>
      <w:r>
        <w:rPr>
          <w:color w:val="auto"/>
          <w:highlight w:val="none"/>
        </w:rPr>
        <w:t>2.</w:t>
      </w:r>
      <w:r>
        <w:rPr>
          <w:rFonts w:hint="eastAsia"/>
          <w:color w:val="auto"/>
          <w:highlight w:val="none"/>
        </w:rPr>
        <w:t>在本合同范围内所提供的一切材料、设备、机件一经送达工地，其拥有权归业主所有。没有业主和现场工程师的</w:t>
      </w:r>
      <w:r>
        <w:rPr>
          <w:rFonts w:hint="eastAsia"/>
          <w:color w:val="auto"/>
          <w:highlight w:val="none"/>
          <w:lang w:eastAsia="zh-CN"/>
        </w:rPr>
        <w:t>书面</w:t>
      </w:r>
      <w:r>
        <w:rPr>
          <w:rFonts w:hint="eastAsia"/>
          <w:color w:val="auto"/>
          <w:highlight w:val="none"/>
        </w:rPr>
        <w:t>批准不得移离工地。</w:t>
      </w:r>
    </w:p>
    <w:p>
      <w:pPr>
        <w:pStyle w:val="172"/>
        <w:rPr>
          <w:color w:val="auto"/>
          <w:highlight w:val="none"/>
        </w:rPr>
      </w:pPr>
      <w:r>
        <w:rPr>
          <w:color w:val="auto"/>
          <w:highlight w:val="none"/>
        </w:rPr>
        <w:t xml:space="preserve">2.2.7 </w:t>
      </w:r>
      <w:r>
        <w:rPr>
          <w:rFonts w:hint="eastAsia"/>
          <w:color w:val="auto"/>
          <w:highlight w:val="none"/>
        </w:rPr>
        <w:t>装置的大小及设备交送通道</w:t>
      </w:r>
    </w:p>
    <w:p>
      <w:pPr>
        <w:pStyle w:val="217"/>
        <w:rPr>
          <w:color w:val="auto"/>
          <w:highlight w:val="none"/>
        </w:rPr>
      </w:pPr>
      <w:r>
        <w:rPr>
          <w:color w:val="auto"/>
          <w:highlight w:val="none"/>
        </w:rPr>
        <w:t>1.</w:t>
      </w:r>
      <w:r>
        <w:rPr>
          <w:rFonts w:hint="eastAsia"/>
          <w:color w:val="auto"/>
          <w:highlight w:val="none"/>
        </w:rPr>
        <w:t>所提供的装置和设备的大小尺寸应能适合指定的安装空间，并须考虑提供足够的维修及保养通道。</w:t>
      </w:r>
    </w:p>
    <w:p>
      <w:pPr>
        <w:pStyle w:val="217"/>
        <w:rPr>
          <w:color w:val="auto"/>
          <w:highlight w:val="none"/>
        </w:rPr>
      </w:pPr>
      <w:r>
        <w:rPr>
          <w:color w:val="auto"/>
          <w:highlight w:val="none"/>
        </w:rPr>
        <w:t>2.</w:t>
      </w:r>
      <w:r>
        <w:rPr>
          <w:rFonts w:hint="eastAsia"/>
          <w:color w:val="auto"/>
          <w:highlight w:val="none"/>
        </w:rPr>
        <w:t>承包人应负责把全部材料运送到安装现场，对于大型重要设备的运送应拟定方案，事先交现场监理工程师审查。若承包人所提供的设备尺寸与图纸不符，由此造成的一切改动和费用，须由承包人负责。</w:t>
      </w:r>
    </w:p>
    <w:p>
      <w:pPr>
        <w:pStyle w:val="172"/>
        <w:rPr>
          <w:color w:val="auto"/>
          <w:highlight w:val="none"/>
        </w:rPr>
      </w:pPr>
      <w:r>
        <w:rPr>
          <w:color w:val="auto"/>
          <w:highlight w:val="none"/>
        </w:rPr>
        <w:t xml:space="preserve">2.2.8 </w:t>
      </w:r>
      <w:r>
        <w:rPr>
          <w:rFonts w:hint="eastAsia"/>
          <w:color w:val="auto"/>
          <w:highlight w:val="none"/>
        </w:rPr>
        <w:t>样品审批</w:t>
      </w:r>
    </w:p>
    <w:p>
      <w:pPr>
        <w:pStyle w:val="217"/>
        <w:rPr>
          <w:color w:val="auto"/>
          <w:highlight w:val="none"/>
        </w:rPr>
      </w:pPr>
      <w:r>
        <w:rPr>
          <w:color w:val="auto"/>
          <w:highlight w:val="none"/>
        </w:rPr>
        <w:t>1.</w:t>
      </w:r>
      <w:r>
        <w:rPr>
          <w:rFonts w:hint="eastAsia"/>
          <w:color w:val="auto"/>
          <w:highlight w:val="none"/>
        </w:rPr>
        <w:t>承包人须在合同生效的两周内，提交一份具体的样品清单给现场工程师审批。清单内应注明设备材料名称，承包人名称、产地、规格型号、预定交货的日期。如现场工程师认为有必要，可要求承包人补充清单以外的样品。</w:t>
      </w:r>
    </w:p>
    <w:p>
      <w:pPr>
        <w:pStyle w:val="217"/>
        <w:rPr>
          <w:color w:val="auto"/>
          <w:highlight w:val="none"/>
        </w:rPr>
      </w:pPr>
      <w:r>
        <w:rPr>
          <w:color w:val="auto"/>
          <w:highlight w:val="none"/>
        </w:rPr>
        <w:t>2.</w:t>
      </w:r>
      <w:r>
        <w:rPr>
          <w:rFonts w:hint="eastAsia"/>
          <w:color w:val="auto"/>
          <w:highlight w:val="none"/>
        </w:rPr>
        <w:t>送审的样品需采用木板挂成行列提交，样品板应按业主指定的统一模式制造。所有材料及工艺的样品须先获得现场工程师的书面批准才可在现场使用。</w:t>
      </w:r>
    </w:p>
    <w:p>
      <w:pPr>
        <w:pStyle w:val="217"/>
        <w:rPr>
          <w:color w:val="auto"/>
          <w:highlight w:val="none"/>
        </w:rPr>
      </w:pPr>
      <w:r>
        <w:rPr>
          <w:color w:val="auto"/>
          <w:highlight w:val="none"/>
        </w:rPr>
        <w:t>3.</w:t>
      </w:r>
      <w:r>
        <w:rPr>
          <w:rFonts w:hint="eastAsia"/>
          <w:color w:val="auto"/>
          <w:highlight w:val="none"/>
        </w:rPr>
        <w:t>承包人须将获</w:t>
      </w:r>
      <w:r>
        <w:rPr>
          <w:rFonts w:hint="eastAsia"/>
          <w:color w:val="auto"/>
          <w:highlight w:val="none"/>
          <w:lang w:eastAsia="zh-CN"/>
        </w:rPr>
        <w:t>书面</w:t>
      </w:r>
      <w:r>
        <w:rPr>
          <w:rFonts w:hint="eastAsia"/>
          <w:color w:val="auto"/>
          <w:highlight w:val="none"/>
        </w:rPr>
        <w:t>批准的样品板（一式两份），交到工地，一份保留在工地现场，一份保留在业主处，以备日后对所用材料和工艺的核对和验收。</w:t>
      </w:r>
    </w:p>
    <w:p>
      <w:pPr>
        <w:pStyle w:val="217"/>
        <w:rPr>
          <w:color w:val="auto"/>
          <w:highlight w:val="none"/>
        </w:rPr>
      </w:pPr>
      <w:r>
        <w:rPr>
          <w:color w:val="auto"/>
          <w:highlight w:val="none"/>
        </w:rPr>
        <w:t>4.</w:t>
      </w:r>
      <w:r>
        <w:rPr>
          <w:rFonts w:hint="eastAsia"/>
          <w:color w:val="auto"/>
          <w:highlight w:val="none"/>
        </w:rPr>
        <w:t>在每一个样品上应附有中文说明标签，标明有关承包人名称，合同名称，将投入使用的系统名称，还必须有现场工程师的签字。</w:t>
      </w:r>
    </w:p>
    <w:p>
      <w:pPr>
        <w:pStyle w:val="217"/>
        <w:rPr>
          <w:color w:val="auto"/>
          <w:highlight w:val="none"/>
        </w:rPr>
      </w:pPr>
      <w:r>
        <w:rPr>
          <w:color w:val="auto"/>
          <w:highlight w:val="none"/>
        </w:rPr>
        <w:t>5.</w:t>
      </w:r>
      <w:r>
        <w:rPr>
          <w:rFonts w:hint="eastAsia"/>
          <w:color w:val="auto"/>
          <w:highlight w:val="none"/>
        </w:rPr>
        <w:t>承包人还应按本招标文件的要求，提供足够的样品，以备需要时进行破坏性试验用，样品试验所需的费用应由承包人负责。</w:t>
      </w:r>
    </w:p>
    <w:p>
      <w:pPr>
        <w:pStyle w:val="172"/>
        <w:rPr>
          <w:color w:val="auto"/>
          <w:highlight w:val="none"/>
        </w:rPr>
      </w:pPr>
      <w:r>
        <w:rPr>
          <w:color w:val="auto"/>
          <w:highlight w:val="none"/>
        </w:rPr>
        <w:t xml:space="preserve">2.2.9 </w:t>
      </w:r>
      <w:r>
        <w:rPr>
          <w:rFonts w:hint="eastAsia"/>
          <w:color w:val="auto"/>
          <w:highlight w:val="none"/>
        </w:rPr>
        <w:t>材料和工艺</w:t>
      </w:r>
    </w:p>
    <w:p>
      <w:pPr>
        <w:pStyle w:val="217"/>
        <w:rPr>
          <w:color w:val="auto"/>
          <w:highlight w:val="none"/>
        </w:rPr>
      </w:pPr>
      <w:r>
        <w:rPr>
          <w:color w:val="auto"/>
          <w:highlight w:val="none"/>
        </w:rPr>
        <w:t>1.</w:t>
      </w:r>
      <w:r>
        <w:rPr>
          <w:rFonts w:hint="eastAsia"/>
          <w:color w:val="auto"/>
          <w:highlight w:val="none"/>
        </w:rPr>
        <w:t>除了本招标文件有特殊说明外，本合同范围内所使用的所有设备、材料和物品必须为全新和标准产品，并具有相应的合格等级标准。详细要求请见附表《工程所用材料性能技术要求》。</w:t>
      </w:r>
    </w:p>
    <w:p>
      <w:pPr>
        <w:pStyle w:val="217"/>
        <w:rPr>
          <w:color w:val="auto"/>
          <w:highlight w:val="none"/>
        </w:rPr>
      </w:pPr>
      <w:r>
        <w:rPr>
          <w:color w:val="auto"/>
          <w:highlight w:val="none"/>
        </w:rPr>
        <w:t>2.</w:t>
      </w:r>
      <w:r>
        <w:rPr>
          <w:rFonts w:hint="eastAsia"/>
          <w:color w:val="auto"/>
          <w:highlight w:val="none"/>
        </w:rPr>
        <w:t>同类型的设备和材料应采有同一承包人的产品。</w:t>
      </w:r>
    </w:p>
    <w:p>
      <w:pPr>
        <w:pStyle w:val="217"/>
        <w:rPr>
          <w:color w:val="auto"/>
          <w:highlight w:val="none"/>
        </w:rPr>
      </w:pPr>
      <w:r>
        <w:rPr>
          <w:color w:val="auto"/>
          <w:highlight w:val="none"/>
        </w:rPr>
        <w:t>3.</w:t>
      </w:r>
      <w:r>
        <w:rPr>
          <w:rFonts w:hint="eastAsia"/>
          <w:color w:val="auto"/>
          <w:highlight w:val="none"/>
        </w:rPr>
        <w:t>同类型的设备的零部件及其组装零件应能互相调换，备用零件材料与原机零件材料相同，性能相同。若需使用机械加工的备件，机械加工要求及允许偏差应符合图纸要求。</w:t>
      </w:r>
    </w:p>
    <w:p>
      <w:pPr>
        <w:pStyle w:val="217"/>
        <w:rPr>
          <w:color w:val="auto"/>
          <w:highlight w:val="none"/>
        </w:rPr>
      </w:pPr>
      <w:r>
        <w:rPr>
          <w:color w:val="auto"/>
          <w:highlight w:val="none"/>
        </w:rPr>
        <w:t>4.</w:t>
      </w:r>
      <w:r>
        <w:rPr>
          <w:rFonts w:hint="eastAsia"/>
          <w:color w:val="auto"/>
          <w:highlight w:val="none"/>
        </w:rPr>
        <w:t>所有受尘埃影响会出现磨损或损坏的零部件，应设置防尘保护罩。</w:t>
      </w:r>
    </w:p>
    <w:p>
      <w:pPr>
        <w:pStyle w:val="217"/>
        <w:rPr>
          <w:color w:val="auto"/>
          <w:highlight w:val="none"/>
        </w:rPr>
      </w:pPr>
      <w:r>
        <w:rPr>
          <w:color w:val="auto"/>
          <w:highlight w:val="none"/>
        </w:rPr>
        <w:t>5.</w:t>
      </w:r>
      <w:r>
        <w:rPr>
          <w:rFonts w:hint="eastAsia"/>
          <w:color w:val="auto"/>
          <w:highlight w:val="none"/>
        </w:rPr>
        <w:t>本合同范围内的全部施工须由熟练的专业工人和技术人员进行，并应遵照本说明书所规定的工艺要求施工。业主和监理工程师有权要求承包人提供各专业工人和技术人员的资历作审查。</w:t>
      </w:r>
    </w:p>
    <w:p>
      <w:pPr>
        <w:pStyle w:val="217"/>
        <w:rPr>
          <w:color w:val="auto"/>
          <w:highlight w:val="none"/>
        </w:rPr>
      </w:pPr>
      <w:r>
        <w:rPr>
          <w:color w:val="auto"/>
          <w:highlight w:val="none"/>
        </w:rPr>
        <w:t>6.</w:t>
      </w:r>
      <w:r>
        <w:rPr>
          <w:rFonts w:hint="eastAsia"/>
          <w:color w:val="auto"/>
          <w:highlight w:val="none"/>
        </w:rPr>
        <w:t>所有部件的安装位置方便维修保养和更换。</w:t>
      </w:r>
    </w:p>
    <w:p>
      <w:pPr>
        <w:pStyle w:val="172"/>
        <w:rPr>
          <w:color w:val="auto"/>
          <w:highlight w:val="none"/>
        </w:rPr>
      </w:pPr>
      <w:r>
        <w:rPr>
          <w:color w:val="auto"/>
          <w:highlight w:val="none"/>
        </w:rPr>
        <w:t xml:space="preserve">2.2.10 </w:t>
      </w:r>
      <w:r>
        <w:rPr>
          <w:rFonts w:hint="eastAsia"/>
          <w:color w:val="auto"/>
          <w:highlight w:val="none"/>
        </w:rPr>
        <w:t>安全文明施工</w:t>
      </w:r>
    </w:p>
    <w:p>
      <w:pPr>
        <w:pStyle w:val="217"/>
        <w:rPr>
          <w:color w:val="auto"/>
          <w:highlight w:val="none"/>
        </w:rPr>
      </w:pPr>
      <w:r>
        <w:rPr>
          <w:color w:val="auto"/>
          <w:highlight w:val="none"/>
        </w:rPr>
        <w:t>1.</w:t>
      </w:r>
      <w:r>
        <w:rPr>
          <w:rFonts w:hint="eastAsia"/>
          <w:color w:val="auto"/>
          <w:highlight w:val="none"/>
        </w:rPr>
        <w:t>施工期间，承包人须提供足够的临时安全设施，若承包人的工作区域不在总承包所负责的范围内，应对会对施工人员及其它人员构成危险的地台、墙壁孔洞提供足够的保护设施。</w:t>
      </w:r>
    </w:p>
    <w:p>
      <w:pPr>
        <w:pStyle w:val="217"/>
        <w:rPr>
          <w:color w:val="auto"/>
          <w:highlight w:val="none"/>
        </w:rPr>
      </w:pPr>
      <w:r>
        <w:rPr>
          <w:color w:val="auto"/>
          <w:highlight w:val="none"/>
        </w:rPr>
        <w:t>2.</w:t>
      </w:r>
      <w:r>
        <w:rPr>
          <w:rFonts w:hint="eastAsia"/>
          <w:color w:val="auto"/>
          <w:highlight w:val="none"/>
        </w:rPr>
        <w:t>在本承包人工作、生活范围内所有对其工作人员及其他人员构成危险的地方均须提供足够的安全保护设施。</w:t>
      </w:r>
    </w:p>
    <w:p>
      <w:pPr>
        <w:pStyle w:val="113"/>
        <w:spacing w:before="120" w:after="120"/>
        <w:outlineLvl w:val="2"/>
        <w:rPr>
          <w:color w:val="auto"/>
          <w:highlight w:val="none"/>
        </w:rPr>
      </w:pPr>
      <w:bookmarkStart w:id="7774" w:name="_Toc66634424"/>
      <w:bookmarkStart w:id="7775" w:name="_Toc69114165"/>
      <w:bookmarkStart w:id="7776" w:name="_Toc66890419"/>
      <w:bookmarkStart w:id="7777" w:name="_Toc505345737"/>
      <w:r>
        <w:rPr>
          <w:color w:val="auto"/>
          <w:highlight w:val="none"/>
        </w:rPr>
        <w:t xml:space="preserve">2.3 </w:t>
      </w:r>
      <w:r>
        <w:rPr>
          <w:rFonts w:hint="eastAsia"/>
          <w:color w:val="auto"/>
          <w:highlight w:val="none"/>
        </w:rPr>
        <w:t>培训</w:t>
      </w:r>
      <w:bookmarkEnd w:id="7774"/>
      <w:bookmarkEnd w:id="7775"/>
      <w:bookmarkEnd w:id="7776"/>
      <w:bookmarkEnd w:id="7777"/>
    </w:p>
    <w:p>
      <w:pPr>
        <w:pStyle w:val="217"/>
        <w:rPr>
          <w:color w:val="auto"/>
          <w:highlight w:val="none"/>
        </w:rPr>
      </w:pPr>
      <w:r>
        <w:rPr>
          <w:color w:val="auto"/>
          <w:highlight w:val="none"/>
        </w:rPr>
        <w:t>1.</w:t>
      </w:r>
      <w:r>
        <w:rPr>
          <w:rFonts w:hint="eastAsia"/>
          <w:color w:val="auto"/>
          <w:highlight w:val="none"/>
        </w:rPr>
        <w:t>承包人须提供所需的培训设施和课程，以确保业主的工程人员能对承包人所提供的系统、设备和装置的设计、日常的动作、故障和例行维护、事故的处理和解决方面等有全面性的认识和了解。</w:t>
      </w:r>
    </w:p>
    <w:p>
      <w:pPr>
        <w:pStyle w:val="217"/>
        <w:rPr>
          <w:color w:val="auto"/>
          <w:highlight w:val="none"/>
        </w:rPr>
      </w:pPr>
      <w:r>
        <w:rPr>
          <w:color w:val="auto"/>
          <w:highlight w:val="none"/>
        </w:rPr>
        <w:t>2.</w:t>
      </w:r>
      <w:r>
        <w:rPr>
          <w:rFonts w:hint="eastAsia"/>
          <w:color w:val="auto"/>
          <w:highlight w:val="none"/>
        </w:rPr>
        <w:t>承包人须委派资深导师进行每项培训工作。向培训学员提供并讲解有关设计资料、文件、图纸等，以使学员对整套系统的各个方面都能熟悉掌握。</w:t>
      </w:r>
    </w:p>
    <w:p>
      <w:pPr>
        <w:pStyle w:val="217"/>
        <w:rPr>
          <w:color w:val="auto"/>
          <w:highlight w:val="none"/>
        </w:rPr>
      </w:pPr>
      <w:r>
        <w:rPr>
          <w:color w:val="auto"/>
          <w:highlight w:val="none"/>
        </w:rPr>
        <w:t>3.</w:t>
      </w:r>
      <w:r>
        <w:rPr>
          <w:rFonts w:hint="eastAsia"/>
          <w:color w:val="auto"/>
          <w:highlight w:val="none"/>
        </w:rPr>
        <w:t>上述培训所需的费用应包括在承包人的合同价内。</w:t>
      </w:r>
    </w:p>
    <w:p>
      <w:pPr>
        <w:rPr>
          <w:color w:val="auto"/>
          <w:highlight w:val="none"/>
        </w:rPr>
      </w:pPr>
    </w:p>
    <w:p>
      <w:pPr>
        <w:pStyle w:val="188"/>
        <w:spacing w:before="120" w:after="120"/>
        <w:outlineLvl w:val="1"/>
        <w:rPr>
          <w:color w:val="auto"/>
          <w:highlight w:val="none"/>
        </w:rPr>
      </w:pPr>
      <w:bookmarkStart w:id="7778" w:name="_Toc66634425"/>
      <w:bookmarkStart w:id="7779" w:name="_Toc505345738"/>
      <w:bookmarkStart w:id="7780" w:name="_Toc69114166"/>
      <w:bookmarkStart w:id="7781" w:name="_Toc66890420"/>
      <w:r>
        <w:rPr>
          <w:rFonts w:hint="eastAsia"/>
          <w:color w:val="auto"/>
          <w:highlight w:val="none"/>
        </w:rPr>
        <w:t>第</w:t>
      </w:r>
      <w:r>
        <w:rPr>
          <w:color w:val="auto"/>
          <w:highlight w:val="none"/>
        </w:rPr>
        <w:t>3</w:t>
      </w:r>
      <w:r>
        <w:rPr>
          <w:rFonts w:hint="eastAsia"/>
          <w:color w:val="auto"/>
          <w:highlight w:val="none"/>
        </w:rPr>
        <w:t>章</w:t>
      </w:r>
      <w:r>
        <w:rPr>
          <w:color w:val="auto"/>
          <w:highlight w:val="none"/>
        </w:rPr>
        <w:t xml:space="preserve">  </w:t>
      </w:r>
      <w:r>
        <w:rPr>
          <w:rFonts w:hint="eastAsia"/>
          <w:color w:val="auto"/>
          <w:highlight w:val="none"/>
        </w:rPr>
        <w:t>专用要求</w:t>
      </w:r>
      <w:bookmarkEnd w:id="7778"/>
      <w:bookmarkEnd w:id="7779"/>
      <w:bookmarkEnd w:id="7780"/>
      <w:bookmarkEnd w:id="7781"/>
    </w:p>
    <w:p>
      <w:pPr>
        <w:pStyle w:val="113"/>
        <w:spacing w:before="120" w:after="120"/>
        <w:outlineLvl w:val="2"/>
        <w:rPr>
          <w:color w:val="auto"/>
          <w:highlight w:val="none"/>
        </w:rPr>
      </w:pPr>
      <w:bookmarkStart w:id="7782" w:name="_Toc66634426"/>
      <w:bookmarkStart w:id="7783" w:name="_Toc69114167"/>
      <w:bookmarkStart w:id="7784" w:name="_Toc66890421"/>
      <w:bookmarkStart w:id="7785" w:name="_Toc505345739"/>
      <w:r>
        <w:rPr>
          <w:color w:val="auto"/>
          <w:highlight w:val="none"/>
        </w:rPr>
        <w:t xml:space="preserve">3.1 </w:t>
      </w:r>
      <w:r>
        <w:rPr>
          <w:rFonts w:hint="eastAsia"/>
          <w:color w:val="auto"/>
          <w:highlight w:val="none"/>
        </w:rPr>
        <w:t>高低压变配电工程</w:t>
      </w:r>
      <w:bookmarkEnd w:id="7782"/>
      <w:bookmarkEnd w:id="7783"/>
      <w:bookmarkEnd w:id="7784"/>
      <w:bookmarkEnd w:id="7785"/>
    </w:p>
    <w:p>
      <w:pPr>
        <w:pStyle w:val="217"/>
        <w:rPr>
          <w:color w:val="auto"/>
          <w:highlight w:val="none"/>
        </w:rPr>
      </w:pPr>
      <w:r>
        <w:rPr>
          <w:rFonts w:hint="eastAsia"/>
          <w:color w:val="auto"/>
          <w:highlight w:val="none"/>
        </w:rPr>
        <w:t>工程范围包括不局限于设计、报建、供货、安装、调试、验收、通电等相关工作。</w:t>
      </w:r>
    </w:p>
    <w:p>
      <w:pPr>
        <w:pStyle w:val="172"/>
        <w:rPr>
          <w:color w:val="auto"/>
          <w:highlight w:val="none"/>
        </w:rPr>
      </w:pPr>
      <w:r>
        <w:rPr>
          <w:color w:val="auto"/>
          <w:highlight w:val="none"/>
        </w:rPr>
        <w:t xml:space="preserve">3.1.1 </w:t>
      </w:r>
      <w:r>
        <w:rPr>
          <w:rFonts w:hint="eastAsia"/>
          <w:color w:val="auto"/>
          <w:highlight w:val="none"/>
        </w:rPr>
        <w:t>技术要求</w:t>
      </w:r>
    </w:p>
    <w:p>
      <w:pPr>
        <w:pStyle w:val="217"/>
        <w:rPr>
          <w:color w:val="auto"/>
          <w:highlight w:val="none"/>
        </w:rPr>
      </w:pPr>
      <w:r>
        <w:rPr>
          <w:color w:val="auto"/>
          <w:highlight w:val="none"/>
        </w:rPr>
        <w:t>1.</w:t>
      </w:r>
      <w:r>
        <w:rPr>
          <w:rFonts w:hint="eastAsia"/>
          <w:color w:val="auto"/>
          <w:highlight w:val="none"/>
        </w:rPr>
        <w:t>质量功能技术要求</w:t>
      </w:r>
    </w:p>
    <w:p>
      <w:pPr>
        <w:pStyle w:val="217"/>
        <w:rPr>
          <w:color w:val="auto"/>
          <w:highlight w:val="none"/>
        </w:rPr>
      </w:pPr>
      <w:r>
        <w:rPr>
          <w:rFonts w:hint="eastAsia"/>
          <w:color w:val="auto"/>
          <w:highlight w:val="none"/>
        </w:rPr>
        <w:t>品牌选择须满足发包人材料设备参考品牌库要求且必须经过电力主管部门认可备案。</w:t>
      </w:r>
    </w:p>
    <w:p>
      <w:pPr>
        <w:pStyle w:val="217"/>
        <w:rPr>
          <w:color w:val="auto"/>
          <w:highlight w:val="none"/>
        </w:rPr>
      </w:pPr>
      <w:r>
        <w:rPr>
          <w:rFonts w:hint="eastAsia"/>
          <w:color w:val="auto"/>
          <w:highlight w:val="none"/>
        </w:rPr>
        <w:t>质量需严格按照设计及供电部门认可的图纸及方案组织施工。</w:t>
      </w:r>
    </w:p>
    <w:p>
      <w:pPr>
        <w:pStyle w:val="217"/>
        <w:rPr>
          <w:color w:val="auto"/>
          <w:highlight w:val="none"/>
        </w:rPr>
      </w:pPr>
      <w:r>
        <w:rPr>
          <w:rFonts w:hint="eastAsia"/>
          <w:color w:val="auto"/>
          <w:highlight w:val="none"/>
        </w:rPr>
        <w:t>施工需严格依据国家、地方有关电力工程最新的标准、规范、规程及设计图纸施工。</w:t>
      </w:r>
    </w:p>
    <w:p>
      <w:pPr>
        <w:pStyle w:val="217"/>
        <w:rPr>
          <w:color w:val="auto"/>
          <w:highlight w:val="none"/>
        </w:rPr>
      </w:pPr>
      <w:r>
        <w:rPr>
          <w:rFonts w:hint="eastAsia"/>
          <w:color w:val="auto"/>
          <w:highlight w:val="none"/>
        </w:rPr>
        <w:t>供电方式要求：高压配电系统采用单母线分段运行方式，两路高压同时工作，互为备用。</w:t>
      </w:r>
    </w:p>
    <w:p>
      <w:pPr>
        <w:pStyle w:val="217"/>
        <w:rPr>
          <w:color w:val="auto"/>
          <w:highlight w:val="none"/>
        </w:rPr>
      </w:pPr>
      <w:r>
        <w:rPr>
          <w:color w:val="auto"/>
          <w:highlight w:val="none"/>
        </w:rPr>
        <w:t>2.</w:t>
      </w:r>
      <w:r>
        <w:rPr>
          <w:rFonts w:hint="eastAsia"/>
          <w:color w:val="auto"/>
          <w:highlight w:val="none"/>
        </w:rPr>
        <w:t>施工技术要求：</w:t>
      </w:r>
    </w:p>
    <w:p>
      <w:pPr>
        <w:pStyle w:val="217"/>
        <w:rPr>
          <w:color w:val="auto"/>
          <w:highlight w:val="none"/>
        </w:rPr>
      </w:pPr>
      <w:r>
        <w:rPr>
          <w:rFonts w:hint="eastAsia"/>
          <w:color w:val="auto"/>
          <w:highlight w:val="none"/>
        </w:rPr>
        <w:t>通用施工工艺要求：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）必须紧固变压器、高低压开关柜、直流屏内的所有一、二次回路固定螺丝。</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）母排、电缆端头连接时必须保证接触面清洁（无油漆等）、平整。</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）所有母排、电缆的连接螺栓必须加弹簧垫圈并完全紧固。</w:t>
      </w:r>
      <w:r>
        <w:rPr>
          <w:color w:val="auto"/>
          <w:highlight w:val="none"/>
        </w:rPr>
        <w:t> </w:t>
      </w:r>
    </w:p>
    <w:p>
      <w:pPr>
        <w:pStyle w:val="217"/>
        <w:rPr>
          <w:color w:val="auto"/>
          <w:highlight w:val="none"/>
        </w:rPr>
      </w:pPr>
      <w:r>
        <w:rPr>
          <w:rFonts w:hint="eastAsia"/>
          <w:color w:val="auto"/>
          <w:highlight w:val="none"/>
        </w:rPr>
        <w:t>电缆端头的制作必须保证电缆芯线与套管间的间隙尽量小，压接必须到位。</w:t>
      </w:r>
      <w:r>
        <w:rPr>
          <w:color w:val="auto"/>
          <w:highlight w:val="none"/>
        </w:rPr>
        <w:t> </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）上进线开关柜的进、出电缆必须保证电缆承重卡子起作用，不允许电缆端头承担电缆重量。</w:t>
      </w:r>
      <w:r>
        <w:rPr>
          <w:color w:val="auto"/>
          <w:highlight w:val="none"/>
        </w:rPr>
        <w:t> </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）其它施工工艺详见“建筑电气安装工程图集”。</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）所有外露的非带电金属部份和非电气装置之金属部分应按经批准的方式连接至硬拉，高导电率铜排之接地母线。此接地母线沿应配电柜全长敷设，并以螺栓连接至每台开关柜之主框架上。所有连接处须镀锡。</w:t>
      </w:r>
    </w:p>
    <w:p>
      <w:pPr>
        <w:pStyle w:val="217"/>
        <w:rPr>
          <w:color w:val="auto"/>
          <w:highlight w:val="none"/>
        </w:rPr>
      </w:pPr>
      <w:r>
        <w:rPr>
          <w:rFonts w:hint="eastAsia"/>
          <w:color w:val="auto"/>
          <w:highlight w:val="none"/>
        </w:rPr>
        <w:t>（</w:t>
      </w:r>
      <w:r>
        <w:rPr>
          <w:color w:val="auto"/>
          <w:highlight w:val="none"/>
        </w:rPr>
        <w:t>7</w:t>
      </w:r>
      <w:r>
        <w:rPr>
          <w:rFonts w:hint="eastAsia"/>
          <w:color w:val="auto"/>
          <w:highlight w:val="none"/>
        </w:rPr>
        <w:t>）高压开关柜的金属骨架及其安装于柜内的高压电器的金属支架均应有符合技术条件的接地，并且与专门的接地体连接牢固，每一高压开关柜之间的专用接地导体均相互连接，并通过专用端子连接牢固。</w:t>
      </w:r>
    </w:p>
    <w:p>
      <w:pPr>
        <w:pStyle w:val="217"/>
        <w:rPr>
          <w:color w:val="auto"/>
          <w:highlight w:val="none"/>
        </w:rPr>
      </w:pPr>
      <w:r>
        <w:rPr>
          <w:rFonts w:hint="eastAsia"/>
          <w:color w:val="auto"/>
          <w:highlight w:val="none"/>
        </w:rPr>
        <w:t>（</w:t>
      </w:r>
      <w:r>
        <w:rPr>
          <w:color w:val="auto"/>
          <w:highlight w:val="none"/>
        </w:rPr>
        <w:t>8</w:t>
      </w:r>
      <w:r>
        <w:rPr>
          <w:rFonts w:hint="eastAsia"/>
          <w:color w:val="auto"/>
          <w:highlight w:val="none"/>
        </w:rPr>
        <w:t>）在配电柜前面，沿全长须铺宽</w:t>
      </w:r>
      <w:r>
        <w:rPr>
          <w:color w:val="auto"/>
          <w:highlight w:val="none"/>
        </w:rPr>
        <w:t>1</w:t>
      </w:r>
      <w:r>
        <w:rPr>
          <w:rFonts w:hint="eastAsia"/>
          <w:color w:val="auto"/>
          <w:highlight w:val="none"/>
        </w:rPr>
        <w:t>米之橡胶垫。橡胶垫须符合有关国家用电安全标准。</w:t>
      </w:r>
    </w:p>
    <w:p>
      <w:pPr>
        <w:pStyle w:val="172"/>
        <w:rPr>
          <w:color w:val="auto"/>
          <w:highlight w:val="none"/>
        </w:rPr>
      </w:pPr>
      <w:r>
        <w:rPr>
          <w:color w:val="auto"/>
          <w:highlight w:val="none"/>
        </w:rPr>
        <w:t xml:space="preserve">3.1.2 </w:t>
      </w:r>
      <w:r>
        <w:rPr>
          <w:rFonts w:hint="eastAsia"/>
          <w:color w:val="auto"/>
          <w:highlight w:val="none"/>
        </w:rPr>
        <w:t>变压器安装技术要求</w:t>
      </w:r>
    </w:p>
    <w:p>
      <w:pPr>
        <w:pStyle w:val="217"/>
        <w:rPr>
          <w:color w:val="auto"/>
          <w:highlight w:val="none"/>
        </w:rPr>
      </w:pPr>
      <w:r>
        <w:rPr>
          <w:color w:val="auto"/>
          <w:highlight w:val="none"/>
        </w:rPr>
        <w:t>1.</w:t>
      </w:r>
      <w:r>
        <w:rPr>
          <w:rFonts w:hint="eastAsia"/>
          <w:color w:val="auto"/>
          <w:highlight w:val="none"/>
        </w:rPr>
        <w:t>变压器的装卸及运输</w:t>
      </w:r>
      <w:r>
        <w:rPr>
          <w:color w:val="auto"/>
          <w:highlight w:val="none"/>
        </w:rPr>
        <w:t> </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）承包人应对运输路径及两端装卸条件作充分调查，并送建筑师及机电工程师供批准有关之施工技术措施。</w:t>
      </w:r>
      <w:r>
        <w:rPr>
          <w:color w:val="auto"/>
          <w:highlight w:val="none"/>
        </w:rPr>
        <w:t> </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）变压器装卸时，应有专人观察装卸情况。</w:t>
      </w:r>
      <w:r>
        <w:rPr>
          <w:color w:val="auto"/>
          <w:highlight w:val="none"/>
        </w:rPr>
        <w:t> </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）变压器在装卸和运输过程中，不应有撞击或严重振动情况。利用机械牵引时，牵引的着力点，应在变压器重心以下，以防倾倒及防止内部结构变形。</w:t>
      </w:r>
      <w:r>
        <w:rPr>
          <w:color w:val="auto"/>
          <w:highlight w:val="none"/>
        </w:rPr>
        <w:t> </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）干式变压器在运输途中，应有防雨措施。</w:t>
      </w:r>
      <w:r>
        <w:rPr>
          <w:color w:val="auto"/>
          <w:highlight w:val="none"/>
        </w:rPr>
        <w:t> </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）所有设备及器材，均应符合现行技术标准，并有合格证证件。设备应有铭牌。</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）设备安装用的紧固件，除地脚螺栓外，应采用镀锌制品。</w:t>
      </w:r>
      <w:r>
        <w:rPr>
          <w:color w:val="auto"/>
          <w:highlight w:val="none"/>
        </w:rPr>
        <w:t> </w:t>
      </w:r>
    </w:p>
    <w:p>
      <w:pPr>
        <w:pStyle w:val="217"/>
        <w:rPr>
          <w:color w:val="auto"/>
          <w:highlight w:val="none"/>
        </w:rPr>
      </w:pPr>
      <w:r>
        <w:rPr>
          <w:color w:val="auto"/>
          <w:highlight w:val="none"/>
        </w:rPr>
        <w:t>2.</w:t>
      </w:r>
      <w:r>
        <w:rPr>
          <w:rFonts w:hint="eastAsia"/>
          <w:color w:val="auto"/>
          <w:highlight w:val="none"/>
        </w:rPr>
        <w:t>变压器安装应按下列要求</w:t>
      </w:r>
      <w:r>
        <w:rPr>
          <w:color w:val="auto"/>
          <w:highlight w:val="none"/>
        </w:rPr>
        <w:t>: </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）变压器基础的轨道应水平，轨距与轮距应配合。</w:t>
      </w:r>
      <w:r>
        <w:rPr>
          <w:color w:val="auto"/>
          <w:highlight w:val="none"/>
        </w:rPr>
        <w:t> </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）当变压器低压须与封闭母线槽连接者，其低压出线中心线应与封闭母线安装中心线相符</w:t>
      </w:r>
      <w:r>
        <w:rPr>
          <w:color w:val="auto"/>
          <w:highlight w:val="none"/>
        </w:rPr>
        <w:t>; </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）装有滚轮的变压器，滚轮应能转动灵活，在变压器就位后，应将滚轮用能拆卸的制动装置加以固定。</w:t>
      </w:r>
      <w:r>
        <w:rPr>
          <w:color w:val="auto"/>
          <w:highlight w:val="none"/>
        </w:rPr>
        <w:t> </w:t>
      </w:r>
    </w:p>
    <w:p>
      <w:pPr>
        <w:pStyle w:val="217"/>
        <w:rPr>
          <w:color w:val="auto"/>
          <w:highlight w:val="none"/>
        </w:rPr>
      </w:pPr>
      <w:r>
        <w:rPr>
          <w:color w:val="auto"/>
          <w:highlight w:val="none"/>
        </w:rPr>
        <w:t>3.</w:t>
      </w:r>
      <w:r>
        <w:rPr>
          <w:rFonts w:hint="eastAsia"/>
          <w:color w:val="auto"/>
          <w:highlight w:val="none"/>
        </w:rPr>
        <w:t>变压器验收：在验收时，应移交下列资料和文件：</w:t>
      </w:r>
      <w:r>
        <w:rPr>
          <w:color w:val="auto"/>
          <w:highlight w:val="none"/>
        </w:rPr>
        <w:t> </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）制造厂提供的产品说明书﹑试验记录﹑合格证件及安装图纸等技术文件</w:t>
      </w:r>
      <w:r>
        <w:rPr>
          <w:color w:val="auto"/>
          <w:highlight w:val="none"/>
        </w:rPr>
        <w:t>;</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）安装技术记录</w:t>
      </w:r>
      <w:r>
        <w:rPr>
          <w:color w:val="auto"/>
          <w:highlight w:val="none"/>
        </w:rPr>
        <w:t>  </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）调整试验记录。</w:t>
      </w:r>
    </w:p>
    <w:p>
      <w:pPr>
        <w:pStyle w:val="172"/>
        <w:rPr>
          <w:color w:val="auto"/>
          <w:highlight w:val="none"/>
        </w:rPr>
      </w:pPr>
      <w:r>
        <w:rPr>
          <w:color w:val="auto"/>
          <w:highlight w:val="none"/>
        </w:rPr>
        <w:t xml:space="preserve">3.1.3 </w:t>
      </w:r>
      <w:r>
        <w:rPr>
          <w:rFonts w:hint="eastAsia"/>
          <w:color w:val="auto"/>
          <w:highlight w:val="none"/>
        </w:rPr>
        <w:t>高压柜安装要求</w:t>
      </w:r>
    </w:p>
    <w:p>
      <w:pPr>
        <w:pStyle w:val="217"/>
        <w:rPr>
          <w:color w:val="auto"/>
          <w:highlight w:val="none"/>
        </w:rPr>
      </w:pPr>
      <w:r>
        <w:rPr>
          <w:color w:val="auto"/>
          <w:highlight w:val="none"/>
        </w:rPr>
        <w:t>1.</w:t>
      </w:r>
      <w:r>
        <w:rPr>
          <w:rFonts w:hint="eastAsia"/>
          <w:color w:val="auto"/>
          <w:highlight w:val="none"/>
        </w:rPr>
        <w:t>设备基础型钢制作安装水平误差不应超过产品的技术规定。</w:t>
      </w:r>
    </w:p>
    <w:p>
      <w:pPr>
        <w:pStyle w:val="217"/>
        <w:rPr>
          <w:color w:val="auto"/>
          <w:highlight w:val="none"/>
        </w:rPr>
      </w:pPr>
      <w:r>
        <w:rPr>
          <w:color w:val="auto"/>
          <w:highlight w:val="none"/>
        </w:rPr>
        <w:t>2.</w:t>
      </w:r>
      <w:r>
        <w:rPr>
          <w:rFonts w:hint="eastAsia"/>
          <w:color w:val="auto"/>
          <w:highlight w:val="none"/>
        </w:rPr>
        <w:t>配电室内高压开关的各种通道最小宽度（</w:t>
      </w:r>
      <w:r>
        <w:rPr>
          <w:color w:val="auto"/>
          <w:highlight w:val="none"/>
        </w:rPr>
        <w:t>mm</w:t>
      </w:r>
      <w:r>
        <w:rPr>
          <w:rFonts w:hint="eastAsia"/>
          <w:color w:val="auto"/>
          <w:highlight w:val="none"/>
        </w:rPr>
        <w:t>）符合规范相关规定。</w:t>
      </w:r>
    </w:p>
    <w:p>
      <w:pPr>
        <w:pStyle w:val="217"/>
        <w:rPr>
          <w:color w:val="auto"/>
          <w:highlight w:val="none"/>
        </w:rPr>
      </w:pPr>
      <w:r>
        <w:rPr>
          <w:color w:val="auto"/>
          <w:highlight w:val="none"/>
        </w:rPr>
        <w:t>3.</w:t>
      </w:r>
      <w:r>
        <w:rPr>
          <w:rFonts w:hint="eastAsia"/>
          <w:color w:val="auto"/>
          <w:highlight w:val="none"/>
        </w:rPr>
        <w:t>制造厂已装配好的各电器元件在现场组装时，不应解体检查。如有缺陷必须在现场检查时，应经制造厂同意并在厂方人员指导下进行。</w:t>
      </w:r>
    </w:p>
    <w:p>
      <w:pPr>
        <w:pStyle w:val="217"/>
        <w:rPr>
          <w:color w:val="auto"/>
          <w:highlight w:val="none"/>
        </w:rPr>
      </w:pPr>
      <w:r>
        <w:rPr>
          <w:color w:val="auto"/>
          <w:highlight w:val="none"/>
        </w:rPr>
        <w:t>4.</w:t>
      </w:r>
      <w:r>
        <w:rPr>
          <w:rFonts w:hint="eastAsia"/>
          <w:color w:val="auto"/>
          <w:highlight w:val="none"/>
        </w:rPr>
        <w:t>组合电器元件装配时，应在空气相对湿度小于</w:t>
      </w:r>
      <w:r>
        <w:rPr>
          <w:color w:val="auto"/>
          <w:highlight w:val="none"/>
        </w:rPr>
        <w:t>80%</w:t>
      </w:r>
      <w:r>
        <w:rPr>
          <w:rFonts w:hint="eastAsia"/>
          <w:color w:val="auto"/>
          <w:highlight w:val="none"/>
        </w:rPr>
        <w:t>的条件下进行，并采取防尘、防潮措施。</w:t>
      </w:r>
    </w:p>
    <w:p>
      <w:pPr>
        <w:pStyle w:val="217"/>
        <w:rPr>
          <w:color w:val="auto"/>
          <w:highlight w:val="none"/>
        </w:rPr>
      </w:pPr>
      <w:r>
        <w:rPr>
          <w:color w:val="auto"/>
          <w:highlight w:val="none"/>
        </w:rPr>
        <w:t>5.</w:t>
      </w:r>
      <w:r>
        <w:rPr>
          <w:rFonts w:hint="eastAsia"/>
          <w:color w:val="auto"/>
          <w:highlight w:val="none"/>
        </w:rPr>
        <w:t>设备的所有螺栓紧固均应使用力矩扳手，其力矩值应符合产品的技术规定。</w:t>
      </w:r>
    </w:p>
    <w:p>
      <w:pPr>
        <w:pStyle w:val="217"/>
        <w:rPr>
          <w:color w:val="auto"/>
          <w:highlight w:val="none"/>
        </w:rPr>
      </w:pPr>
      <w:r>
        <w:rPr>
          <w:color w:val="auto"/>
          <w:highlight w:val="none"/>
        </w:rPr>
        <w:t>6.</w:t>
      </w:r>
      <w:r>
        <w:rPr>
          <w:rFonts w:hint="eastAsia"/>
          <w:color w:val="auto"/>
          <w:highlight w:val="none"/>
        </w:rPr>
        <w:t>连接插件的触头中心应对准插口，不得阻卡，插入的深度应符合产品的技术规定。</w:t>
      </w:r>
    </w:p>
    <w:p>
      <w:pPr>
        <w:pStyle w:val="217"/>
        <w:rPr>
          <w:color w:val="auto"/>
          <w:highlight w:val="none"/>
        </w:rPr>
      </w:pPr>
      <w:r>
        <w:rPr>
          <w:color w:val="auto"/>
          <w:highlight w:val="none"/>
        </w:rPr>
        <w:t>7.</w:t>
      </w:r>
      <w:r>
        <w:rPr>
          <w:rFonts w:hint="eastAsia"/>
          <w:color w:val="auto"/>
          <w:highlight w:val="none"/>
        </w:rPr>
        <w:t>设备接线端子的接触面表面应平整、清洁、无氧化膜，并涂以薄层电力复合脂；镀银部分不得挫磨；载流部分其表面应无凹陷及毛刺，连接螺栓应齐全、紧固。</w:t>
      </w:r>
    </w:p>
    <w:p>
      <w:pPr>
        <w:pStyle w:val="217"/>
        <w:rPr>
          <w:color w:val="auto"/>
          <w:highlight w:val="none"/>
        </w:rPr>
      </w:pPr>
      <w:r>
        <w:rPr>
          <w:color w:val="auto"/>
          <w:highlight w:val="none"/>
        </w:rPr>
        <w:t>8.</w:t>
      </w:r>
      <w:r>
        <w:rPr>
          <w:rFonts w:hint="eastAsia"/>
          <w:color w:val="auto"/>
          <w:highlight w:val="none"/>
        </w:rPr>
        <w:t>高压熔断器的熔丝管应紧密地插入钳口内，熔丝的规格应符合设计要求，且无弯曲、压扁或损伤。</w:t>
      </w:r>
    </w:p>
    <w:p>
      <w:pPr>
        <w:pStyle w:val="217"/>
        <w:rPr>
          <w:color w:val="auto"/>
          <w:highlight w:val="none"/>
        </w:rPr>
      </w:pPr>
      <w:r>
        <w:rPr>
          <w:color w:val="auto"/>
          <w:highlight w:val="none"/>
        </w:rPr>
        <w:t>9.</w:t>
      </w:r>
      <w:r>
        <w:rPr>
          <w:rFonts w:hint="eastAsia"/>
          <w:color w:val="auto"/>
          <w:highlight w:val="none"/>
        </w:rPr>
        <w:t>安装完成后模拟操作其传动机构的联动应正常，无阻卡现象，分、合闸指示正确；辅助开关及电气、机械闭锁应动作正确可靠。</w:t>
      </w:r>
    </w:p>
    <w:p>
      <w:pPr>
        <w:pStyle w:val="172"/>
        <w:rPr>
          <w:color w:val="auto"/>
          <w:highlight w:val="none"/>
        </w:rPr>
      </w:pPr>
      <w:r>
        <w:rPr>
          <w:color w:val="auto"/>
          <w:highlight w:val="none"/>
        </w:rPr>
        <w:t xml:space="preserve"> 3.1.4 </w:t>
      </w:r>
      <w:r>
        <w:rPr>
          <w:rFonts w:hint="eastAsia"/>
          <w:color w:val="auto"/>
          <w:highlight w:val="none"/>
        </w:rPr>
        <w:t>低压柜安装要求</w:t>
      </w:r>
    </w:p>
    <w:p>
      <w:pPr>
        <w:pStyle w:val="217"/>
        <w:rPr>
          <w:color w:val="auto"/>
          <w:highlight w:val="none"/>
        </w:rPr>
      </w:pPr>
      <w:r>
        <w:rPr>
          <w:color w:val="auto"/>
          <w:highlight w:val="none"/>
        </w:rPr>
        <w:t>1.</w:t>
      </w:r>
      <w:r>
        <w:rPr>
          <w:rFonts w:hint="eastAsia"/>
          <w:color w:val="auto"/>
          <w:highlight w:val="none"/>
        </w:rPr>
        <w:t>基础型钢安装应符合下表的规定：</w:t>
      </w:r>
    </w:p>
    <w:p>
      <w:pPr>
        <w:pStyle w:val="217"/>
        <w:rPr>
          <w:color w:val="auto"/>
          <w:highlight w:val="none"/>
        </w:rPr>
      </w:pPr>
      <w:r>
        <w:rPr>
          <w:rFonts w:hint="eastAsia"/>
          <w:color w:val="auto"/>
          <w:highlight w:val="none"/>
        </w:rPr>
        <w:t>基础型钢安装允许偏差</w:t>
      </w:r>
    </w:p>
    <w:tbl>
      <w:tblPr>
        <w:tblStyle w:val="43"/>
        <w:tblW w:w="906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5"/>
        <w:gridCol w:w="2788"/>
        <w:gridCol w:w="2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505" w:type="dxa"/>
            <w:vMerge w:val="restart"/>
            <w:noWrap w:val="0"/>
            <w:vAlign w:val="center"/>
          </w:tcPr>
          <w:p>
            <w:pPr>
              <w:rPr>
                <w:color w:val="auto"/>
                <w:highlight w:val="none"/>
              </w:rPr>
            </w:pPr>
            <w:r>
              <w:rPr>
                <w:rFonts w:hint="eastAsia"/>
                <w:color w:val="auto"/>
                <w:highlight w:val="none"/>
              </w:rPr>
              <w:t>项目</w:t>
            </w:r>
          </w:p>
        </w:tc>
        <w:tc>
          <w:tcPr>
            <w:tcW w:w="5558" w:type="dxa"/>
            <w:gridSpan w:val="2"/>
            <w:noWrap w:val="0"/>
            <w:vAlign w:val="center"/>
          </w:tcPr>
          <w:p>
            <w:pPr>
              <w:rPr>
                <w:color w:val="auto"/>
                <w:highlight w:val="none"/>
              </w:rPr>
            </w:pPr>
            <w:r>
              <w:rPr>
                <w:rFonts w:hint="eastAsia"/>
                <w:color w:val="auto"/>
                <w:highlight w:val="none"/>
              </w:rPr>
              <w:t>允许偏差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505" w:type="dxa"/>
            <w:vMerge w:val="continue"/>
            <w:noWrap w:val="0"/>
            <w:vAlign w:val="center"/>
          </w:tcPr>
          <w:p>
            <w:pPr>
              <w:rPr>
                <w:color w:val="auto"/>
                <w:highlight w:val="none"/>
              </w:rPr>
            </w:pPr>
          </w:p>
        </w:tc>
        <w:tc>
          <w:tcPr>
            <w:tcW w:w="2788" w:type="dxa"/>
            <w:noWrap w:val="0"/>
            <w:vAlign w:val="center"/>
          </w:tcPr>
          <w:p>
            <w:pPr>
              <w:rPr>
                <w:color w:val="auto"/>
                <w:highlight w:val="none"/>
              </w:rPr>
            </w:pPr>
            <w:r>
              <w:rPr>
                <w:color w:val="auto"/>
                <w:highlight w:val="none"/>
              </w:rPr>
              <w:t>(mm/m)</w:t>
            </w:r>
          </w:p>
        </w:tc>
        <w:tc>
          <w:tcPr>
            <w:tcW w:w="2770" w:type="dxa"/>
            <w:noWrap w:val="0"/>
            <w:vAlign w:val="center"/>
          </w:tcPr>
          <w:p>
            <w:pPr>
              <w:rPr>
                <w:color w:val="auto"/>
                <w:highlight w:val="none"/>
              </w:rPr>
            </w:pPr>
            <w:r>
              <w:rPr>
                <w:color w:val="auto"/>
                <w:highlight w:val="none"/>
              </w:rPr>
              <w:t>(mm/</w:t>
            </w:r>
            <w:r>
              <w:rPr>
                <w:rFonts w:hint="eastAsia"/>
                <w:color w:val="auto"/>
                <w:highlight w:val="none"/>
              </w:rPr>
              <w:t>全长</w:t>
            </w:r>
            <w:r>
              <w:rPr>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505" w:type="dxa"/>
            <w:noWrap w:val="0"/>
            <w:vAlign w:val="center"/>
          </w:tcPr>
          <w:p>
            <w:pPr>
              <w:rPr>
                <w:color w:val="auto"/>
                <w:highlight w:val="none"/>
              </w:rPr>
            </w:pPr>
            <w:r>
              <w:rPr>
                <w:rFonts w:hint="eastAsia"/>
                <w:color w:val="auto"/>
                <w:highlight w:val="none"/>
              </w:rPr>
              <w:t>不直度</w:t>
            </w:r>
          </w:p>
        </w:tc>
        <w:tc>
          <w:tcPr>
            <w:tcW w:w="2788" w:type="dxa"/>
            <w:noWrap w:val="0"/>
            <w:vAlign w:val="center"/>
          </w:tcPr>
          <w:p>
            <w:pPr>
              <w:rPr>
                <w:color w:val="auto"/>
                <w:highlight w:val="none"/>
              </w:rPr>
            </w:pPr>
            <w:r>
              <w:rPr>
                <w:color w:val="auto"/>
                <w:highlight w:val="none"/>
              </w:rPr>
              <w:t>1</w:t>
            </w:r>
          </w:p>
        </w:tc>
        <w:tc>
          <w:tcPr>
            <w:tcW w:w="2770" w:type="dxa"/>
            <w:noWrap w:val="0"/>
            <w:vAlign w:val="center"/>
          </w:tcPr>
          <w:p>
            <w:pPr>
              <w:rPr>
                <w:color w:val="auto"/>
                <w:highlight w:val="none"/>
              </w:rPr>
            </w:pPr>
            <w:r>
              <w:rPr>
                <w:color w:val="auto"/>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505" w:type="dxa"/>
            <w:noWrap w:val="0"/>
            <w:vAlign w:val="center"/>
          </w:tcPr>
          <w:p>
            <w:pPr>
              <w:rPr>
                <w:color w:val="auto"/>
                <w:highlight w:val="none"/>
              </w:rPr>
            </w:pPr>
            <w:r>
              <w:rPr>
                <w:rFonts w:hint="eastAsia"/>
                <w:color w:val="auto"/>
                <w:highlight w:val="none"/>
              </w:rPr>
              <w:t>水平度</w:t>
            </w:r>
          </w:p>
        </w:tc>
        <w:tc>
          <w:tcPr>
            <w:tcW w:w="2788" w:type="dxa"/>
            <w:noWrap w:val="0"/>
            <w:vAlign w:val="center"/>
          </w:tcPr>
          <w:p>
            <w:pPr>
              <w:rPr>
                <w:color w:val="auto"/>
                <w:highlight w:val="none"/>
              </w:rPr>
            </w:pPr>
            <w:r>
              <w:rPr>
                <w:color w:val="auto"/>
                <w:highlight w:val="none"/>
              </w:rPr>
              <w:t>1</w:t>
            </w:r>
          </w:p>
        </w:tc>
        <w:tc>
          <w:tcPr>
            <w:tcW w:w="2770" w:type="dxa"/>
            <w:noWrap w:val="0"/>
            <w:vAlign w:val="center"/>
          </w:tcPr>
          <w:p>
            <w:pPr>
              <w:rPr>
                <w:color w:val="auto"/>
                <w:highlight w:val="none"/>
              </w:rPr>
            </w:pPr>
            <w:r>
              <w:rPr>
                <w:color w:val="auto"/>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505" w:type="dxa"/>
            <w:noWrap w:val="0"/>
            <w:vAlign w:val="center"/>
          </w:tcPr>
          <w:p>
            <w:pPr>
              <w:rPr>
                <w:color w:val="auto"/>
                <w:highlight w:val="none"/>
              </w:rPr>
            </w:pPr>
            <w:r>
              <w:rPr>
                <w:rFonts w:hint="eastAsia"/>
                <w:color w:val="auto"/>
                <w:highlight w:val="none"/>
              </w:rPr>
              <w:t>不平行度</w:t>
            </w:r>
          </w:p>
        </w:tc>
        <w:tc>
          <w:tcPr>
            <w:tcW w:w="2788" w:type="dxa"/>
            <w:noWrap w:val="0"/>
            <w:vAlign w:val="center"/>
          </w:tcPr>
          <w:p>
            <w:pPr>
              <w:rPr>
                <w:color w:val="auto"/>
                <w:highlight w:val="none"/>
              </w:rPr>
            </w:pPr>
            <w:r>
              <w:rPr>
                <w:color w:val="auto"/>
                <w:highlight w:val="none"/>
              </w:rPr>
              <w:t>/</w:t>
            </w:r>
          </w:p>
        </w:tc>
        <w:tc>
          <w:tcPr>
            <w:tcW w:w="2770" w:type="dxa"/>
            <w:noWrap w:val="0"/>
            <w:vAlign w:val="center"/>
          </w:tcPr>
          <w:p>
            <w:pPr>
              <w:rPr>
                <w:color w:val="auto"/>
                <w:highlight w:val="none"/>
              </w:rPr>
            </w:pPr>
            <w:r>
              <w:rPr>
                <w:color w:val="auto"/>
                <w:highlight w:val="none"/>
              </w:rPr>
              <w:t>5</w:t>
            </w:r>
          </w:p>
        </w:tc>
      </w:tr>
    </w:tbl>
    <w:p>
      <w:pPr>
        <w:rPr>
          <w:color w:val="auto"/>
          <w:highlight w:val="none"/>
        </w:rPr>
      </w:pPr>
    </w:p>
    <w:p>
      <w:pPr>
        <w:pStyle w:val="217"/>
        <w:rPr>
          <w:color w:val="auto"/>
          <w:highlight w:val="none"/>
        </w:rPr>
      </w:pPr>
      <w:r>
        <w:rPr>
          <w:color w:val="auto"/>
          <w:highlight w:val="none"/>
        </w:rPr>
        <w:t>2.</w:t>
      </w:r>
      <w:r>
        <w:rPr>
          <w:rFonts w:hint="eastAsia"/>
          <w:color w:val="auto"/>
          <w:highlight w:val="none"/>
        </w:rPr>
        <w:t>低压柜之间或低压柜与基础型钢之间应用镀锌螺栓连接，且防松零件齐全。</w:t>
      </w:r>
    </w:p>
    <w:p>
      <w:pPr>
        <w:pStyle w:val="217"/>
        <w:rPr>
          <w:color w:val="auto"/>
          <w:highlight w:val="none"/>
        </w:rPr>
      </w:pPr>
      <w:r>
        <w:rPr>
          <w:color w:val="auto"/>
          <w:highlight w:val="none"/>
        </w:rPr>
        <w:t>3.</w:t>
      </w:r>
      <w:r>
        <w:rPr>
          <w:rFonts w:hint="eastAsia"/>
          <w:color w:val="auto"/>
          <w:highlight w:val="none"/>
        </w:rPr>
        <w:t>低压柜与基础型钢应有可靠的接地。</w:t>
      </w:r>
    </w:p>
    <w:p>
      <w:pPr>
        <w:pStyle w:val="217"/>
        <w:rPr>
          <w:color w:val="auto"/>
          <w:highlight w:val="none"/>
        </w:rPr>
      </w:pPr>
      <w:r>
        <w:rPr>
          <w:color w:val="auto"/>
          <w:highlight w:val="none"/>
        </w:rPr>
        <w:t>4.</w:t>
      </w:r>
      <w:r>
        <w:rPr>
          <w:rFonts w:hint="eastAsia"/>
          <w:color w:val="auto"/>
          <w:highlight w:val="none"/>
        </w:rPr>
        <w:t>低压柜安装垂直度允许偏差为</w:t>
      </w:r>
      <w:r>
        <w:rPr>
          <w:color w:val="auto"/>
          <w:highlight w:val="none"/>
        </w:rPr>
        <w:t>1.5</w:t>
      </w:r>
      <w:r>
        <w:rPr>
          <w:rFonts w:hint="eastAsia"/>
          <w:color w:val="auto"/>
          <w:highlight w:val="none"/>
        </w:rPr>
        <w:t>‰，低压柜之间接缝不应大于</w:t>
      </w:r>
      <w:r>
        <w:rPr>
          <w:color w:val="auto"/>
          <w:highlight w:val="none"/>
        </w:rPr>
        <w:t>2 mm</w:t>
      </w:r>
      <w:r>
        <w:rPr>
          <w:rFonts w:hint="eastAsia"/>
          <w:color w:val="auto"/>
          <w:highlight w:val="none"/>
        </w:rPr>
        <w:t>，成列盘面偏差不应大于</w:t>
      </w:r>
      <w:r>
        <w:rPr>
          <w:color w:val="auto"/>
          <w:highlight w:val="none"/>
        </w:rPr>
        <w:t>5 mm</w:t>
      </w:r>
      <w:r>
        <w:rPr>
          <w:rFonts w:hint="eastAsia"/>
          <w:color w:val="auto"/>
          <w:highlight w:val="none"/>
        </w:rPr>
        <w:t>。</w:t>
      </w:r>
    </w:p>
    <w:p>
      <w:pPr>
        <w:pStyle w:val="217"/>
        <w:rPr>
          <w:color w:val="auto"/>
          <w:highlight w:val="none"/>
        </w:rPr>
      </w:pPr>
      <w:r>
        <w:rPr>
          <w:color w:val="auto"/>
          <w:highlight w:val="none"/>
        </w:rPr>
        <w:t>5.</w:t>
      </w:r>
      <w:r>
        <w:rPr>
          <w:rFonts w:hint="eastAsia"/>
          <w:color w:val="auto"/>
          <w:highlight w:val="none"/>
        </w:rPr>
        <w:t>成排布置的配电屏，其屏前和屏后的通道最小宽度应符合规范规定。</w:t>
      </w:r>
      <w:r>
        <w:rPr>
          <w:color w:val="auto"/>
          <w:highlight w:val="none"/>
        </w:rPr>
        <w:t xml:space="preserve">  </w:t>
      </w:r>
    </w:p>
    <w:p>
      <w:pPr>
        <w:pStyle w:val="217"/>
        <w:rPr>
          <w:color w:val="auto"/>
          <w:highlight w:val="none"/>
        </w:rPr>
      </w:pPr>
      <w:r>
        <w:rPr>
          <w:color w:val="auto"/>
          <w:highlight w:val="none"/>
        </w:rPr>
        <w:t>3.1.5</w:t>
      </w:r>
      <w:r>
        <w:rPr>
          <w:rFonts w:hint="eastAsia"/>
          <w:color w:val="auto"/>
          <w:highlight w:val="none"/>
        </w:rPr>
        <w:t>裸母线、密闭母线安装</w:t>
      </w:r>
      <w:r>
        <w:rPr>
          <w:color w:val="auto"/>
          <w:highlight w:val="none"/>
        </w:rPr>
        <w:t xml:space="preserve"> </w:t>
      </w:r>
    </w:p>
    <w:p>
      <w:pPr>
        <w:pStyle w:val="217"/>
        <w:rPr>
          <w:color w:val="auto"/>
          <w:highlight w:val="none"/>
        </w:rPr>
      </w:pPr>
      <w:r>
        <w:rPr>
          <w:color w:val="auto"/>
          <w:highlight w:val="none"/>
        </w:rPr>
        <w:t>1.</w:t>
      </w:r>
      <w:r>
        <w:rPr>
          <w:rFonts w:hint="eastAsia"/>
          <w:color w:val="auto"/>
          <w:highlight w:val="none"/>
        </w:rPr>
        <w:t>变压器、高低压成套配电柜、穿墙套管桥架等安装就位，经检查合格，才能安装母线</w:t>
      </w:r>
      <w:r>
        <w:rPr>
          <w:color w:val="auto"/>
          <w:highlight w:val="none"/>
        </w:rPr>
        <w:t xml:space="preserve"> </w:t>
      </w:r>
      <w:r>
        <w:rPr>
          <w:rFonts w:hint="eastAsia"/>
          <w:color w:val="auto"/>
          <w:highlight w:val="none"/>
        </w:rPr>
        <w:t>。</w:t>
      </w:r>
    </w:p>
    <w:p>
      <w:pPr>
        <w:pStyle w:val="217"/>
        <w:rPr>
          <w:color w:val="auto"/>
          <w:highlight w:val="none"/>
        </w:rPr>
      </w:pPr>
      <w:r>
        <w:rPr>
          <w:color w:val="auto"/>
          <w:highlight w:val="none"/>
        </w:rPr>
        <w:t>2.</w:t>
      </w:r>
      <w:r>
        <w:rPr>
          <w:rFonts w:hint="eastAsia"/>
          <w:color w:val="auto"/>
          <w:highlight w:val="none"/>
        </w:rPr>
        <w:t>与母线安装位置有关的管道、空调及建筑装修工程施工基本结束，确认扫尾施工不会影响已安装的母线后，才能安装母线。</w:t>
      </w:r>
    </w:p>
    <w:p>
      <w:pPr>
        <w:pStyle w:val="217"/>
        <w:rPr>
          <w:color w:val="auto"/>
          <w:highlight w:val="none"/>
        </w:rPr>
      </w:pPr>
      <w:r>
        <w:rPr>
          <w:color w:val="auto"/>
          <w:highlight w:val="none"/>
        </w:rPr>
        <w:t>3.</w:t>
      </w:r>
      <w:r>
        <w:rPr>
          <w:rFonts w:hint="eastAsia"/>
          <w:color w:val="auto"/>
          <w:highlight w:val="none"/>
        </w:rPr>
        <w:t>每段母线对接前，应测试绝缘电阻，且阻值应大于</w:t>
      </w:r>
      <w:r>
        <w:rPr>
          <w:color w:val="auto"/>
          <w:highlight w:val="none"/>
        </w:rPr>
        <w:t>20 M</w:t>
      </w:r>
      <w:r>
        <w:rPr>
          <w:rFonts w:hint="eastAsia"/>
          <w:color w:val="auto"/>
          <w:highlight w:val="none"/>
        </w:rPr>
        <w:t>Ω才能对接安装。</w:t>
      </w:r>
    </w:p>
    <w:p>
      <w:pPr>
        <w:pStyle w:val="217"/>
        <w:rPr>
          <w:color w:val="auto"/>
          <w:highlight w:val="none"/>
        </w:rPr>
      </w:pPr>
      <w:r>
        <w:rPr>
          <w:color w:val="auto"/>
          <w:highlight w:val="none"/>
        </w:rPr>
        <w:t>4.</w:t>
      </w:r>
      <w:r>
        <w:rPr>
          <w:rFonts w:hint="eastAsia"/>
          <w:color w:val="auto"/>
          <w:highlight w:val="none"/>
        </w:rPr>
        <w:t>母线的各类搭接连接的钻孔直径和搭接长度应符合相关规定。</w:t>
      </w:r>
    </w:p>
    <w:p>
      <w:pPr>
        <w:pStyle w:val="217"/>
        <w:rPr>
          <w:color w:val="auto"/>
          <w:highlight w:val="none"/>
        </w:rPr>
      </w:pPr>
      <w:r>
        <w:rPr>
          <w:color w:val="auto"/>
          <w:highlight w:val="none"/>
        </w:rPr>
        <w:t>5.</w:t>
      </w:r>
      <w:r>
        <w:rPr>
          <w:rFonts w:hint="eastAsia"/>
          <w:color w:val="auto"/>
          <w:highlight w:val="none"/>
        </w:rPr>
        <w:t>母线的各类搭接连接螺栓的拧紧力矩值应符合下表规定：</w:t>
      </w:r>
    </w:p>
    <w:p>
      <w:pPr>
        <w:pStyle w:val="217"/>
        <w:rPr>
          <w:color w:val="auto"/>
          <w:highlight w:val="none"/>
        </w:rPr>
      </w:pPr>
      <w:r>
        <w:rPr>
          <w:rFonts w:hint="eastAsia"/>
          <w:color w:val="auto"/>
          <w:highlight w:val="none"/>
        </w:rPr>
        <w:t>母线搭接螺栓的拧紧力矩</w:t>
      </w:r>
    </w:p>
    <w:tbl>
      <w:tblPr>
        <w:tblStyle w:val="43"/>
        <w:tblW w:w="9056"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019"/>
        <w:gridCol w:w="3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18" w:type="dxa"/>
            <w:noWrap w:val="0"/>
            <w:vAlign w:val="center"/>
          </w:tcPr>
          <w:p>
            <w:pPr>
              <w:rPr>
                <w:color w:val="auto"/>
                <w:highlight w:val="none"/>
              </w:rPr>
            </w:pPr>
            <w:r>
              <w:rPr>
                <w:rFonts w:hint="eastAsia"/>
                <w:color w:val="auto"/>
                <w:highlight w:val="none"/>
              </w:rPr>
              <w:t>序号</w:t>
            </w:r>
          </w:p>
        </w:tc>
        <w:tc>
          <w:tcPr>
            <w:tcW w:w="3019" w:type="dxa"/>
            <w:noWrap w:val="0"/>
            <w:vAlign w:val="center"/>
          </w:tcPr>
          <w:p>
            <w:pPr>
              <w:rPr>
                <w:color w:val="auto"/>
                <w:highlight w:val="none"/>
              </w:rPr>
            </w:pPr>
            <w:r>
              <w:rPr>
                <w:rFonts w:hint="eastAsia"/>
                <w:color w:val="auto"/>
                <w:highlight w:val="none"/>
              </w:rPr>
              <w:t>螺栓规格</w:t>
            </w:r>
          </w:p>
        </w:tc>
        <w:tc>
          <w:tcPr>
            <w:tcW w:w="3019" w:type="dxa"/>
            <w:noWrap w:val="0"/>
            <w:vAlign w:val="center"/>
          </w:tcPr>
          <w:p>
            <w:pPr>
              <w:rPr>
                <w:color w:val="auto"/>
                <w:highlight w:val="none"/>
              </w:rPr>
            </w:pPr>
            <w:r>
              <w:rPr>
                <w:rFonts w:hint="eastAsia"/>
                <w:color w:val="auto"/>
                <w:highlight w:val="none"/>
              </w:rPr>
              <w:t>力矩值（</w:t>
            </w:r>
            <w:r>
              <w:rPr>
                <w:color w:val="auto"/>
                <w:highlight w:val="none"/>
              </w:rPr>
              <w:t>N .m</w:t>
            </w: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18" w:type="dxa"/>
            <w:noWrap w:val="0"/>
            <w:vAlign w:val="center"/>
          </w:tcPr>
          <w:p>
            <w:pPr>
              <w:rPr>
                <w:color w:val="auto"/>
                <w:highlight w:val="none"/>
              </w:rPr>
            </w:pPr>
            <w:r>
              <w:rPr>
                <w:color w:val="auto"/>
                <w:highlight w:val="none"/>
              </w:rPr>
              <w:t>1</w:t>
            </w:r>
          </w:p>
        </w:tc>
        <w:tc>
          <w:tcPr>
            <w:tcW w:w="3019" w:type="dxa"/>
            <w:noWrap w:val="0"/>
            <w:vAlign w:val="center"/>
          </w:tcPr>
          <w:p>
            <w:pPr>
              <w:rPr>
                <w:color w:val="auto"/>
                <w:highlight w:val="none"/>
              </w:rPr>
            </w:pPr>
            <w:r>
              <w:rPr>
                <w:color w:val="auto"/>
                <w:highlight w:val="none"/>
              </w:rPr>
              <w:t>M8</w:t>
            </w:r>
          </w:p>
        </w:tc>
        <w:tc>
          <w:tcPr>
            <w:tcW w:w="3019" w:type="dxa"/>
            <w:noWrap w:val="0"/>
            <w:vAlign w:val="center"/>
          </w:tcPr>
          <w:p>
            <w:pPr>
              <w:rPr>
                <w:color w:val="auto"/>
                <w:highlight w:val="none"/>
              </w:rPr>
            </w:pPr>
            <w:r>
              <w:rPr>
                <w:color w:val="auto"/>
                <w:highlight w:val="none"/>
              </w:rPr>
              <w:t>8.8</w:t>
            </w:r>
            <w:r>
              <w:rPr>
                <w:rFonts w:hint="eastAsia"/>
                <w:color w:val="auto"/>
                <w:highlight w:val="none"/>
              </w:rPr>
              <w:t>～</w:t>
            </w:r>
            <w:r>
              <w:rPr>
                <w:color w:val="auto"/>
                <w:highlight w:val="none"/>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18" w:type="dxa"/>
            <w:noWrap w:val="0"/>
            <w:vAlign w:val="center"/>
          </w:tcPr>
          <w:p>
            <w:pPr>
              <w:rPr>
                <w:color w:val="auto"/>
                <w:highlight w:val="none"/>
              </w:rPr>
            </w:pPr>
            <w:r>
              <w:rPr>
                <w:color w:val="auto"/>
                <w:highlight w:val="none"/>
              </w:rPr>
              <w:t>2</w:t>
            </w:r>
          </w:p>
        </w:tc>
        <w:tc>
          <w:tcPr>
            <w:tcW w:w="3019" w:type="dxa"/>
            <w:noWrap w:val="0"/>
            <w:vAlign w:val="center"/>
          </w:tcPr>
          <w:p>
            <w:pPr>
              <w:rPr>
                <w:color w:val="auto"/>
                <w:highlight w:val="none"/>
              </w:rPr>
            </w:pPr>
            <w:r>
              <w:rPr>
                <w:color w:val="auto"/>
                <w:highlight w:val="none"/>
              </w:rPr>
              <w:t>M10</w:t>
            </w:r>
          </w:p>
        </w:tc>
        <w:tc>
          <w:tcPr>
            <w:tcW w:w="3019" w:type="dxa"/>
            <w:noWrap w:val="0"/>
            <w:vAlign w:val="center"/>
          </w:tcPr>
          <w:p>
            <w:pPr>
              <w:rPr>
                <w:color w:val="auto"/>
                <w:highlight w:val="none"/>
              </w:rPr>
            </w:pPr>
            <w:r>
              <w:rPr>
                <w:color w:val="auto"/>
                <w:highlight w:val="none"/>
              </w:rPr>
              <w:t>17.7</w:t>
            </w:r>
            <w:r>
              <w:rPr>
                <w:rFonts w:hint="eastAsia"/>
                <w:color w:val="auto"/>
                <w:highlight w:val="none"/>
              </w:rPr>
              <w:t>～</w:t>
            </w:r>
            <w:r>
              <w:rPr>
                <w:color w:val="auto"/>
                <w:highlight w:val="none"/>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18" w:type="dxa"/>
            <w:noWrap w:val="0"/>
            <w:vAlign w:val="center"/>
          </w:tcPr>
          <w:p>
            <w:pPr>
              <w:rPr>
                <w:color w:val="auto"/>
                <w:highlight w:val="none"/>
              </w:rPr>
            </w:pPr>
            <w:r>
              <w:rPr>
                <w:color w:val="auto"/>
                <w:highlight w:val="none"/>
              </w:rPr>
              <w:t>3</w:t>
            </w:r>
          </w:p>
        </w:tc>
        <w:tc>
          <w:tcPr>
            <w:tcW w:w="3019" w:type="dxa"/>
            <w:noWrap w:val="0"/>
            <w:vAlign w:val="center"/>
          </w:tcPr>
          <w:p>
            <w:pPr>
              <w:rPr>
                <w:color w:val="auto"/>
                <w:highlight w:val="none"/>
              </w:rPr>
            </w:pPr>
            <w:r>
              <w:rPr>
                <w:color w:val="auto"/>
                <w:highlight w:val="none"/>
              </w:rPr>
              <w:t>M12</w:t>
            </w:r>
          </w:p>
        </w:tc>
        <w:tc>
          <w:tcPr>
            <w:tcW w:w="3019" w:type="dxa"/>
            <w:noWrap w:val="0"/>
            <w:vAlign w:val="center"/>
          </w:tcPr>
          <w:p>
            <w:pPr>
              <w:rPr>
                <w:color w:val="auto"/>
                <w:highlight w:val="none"/>
              </w:rPr>
            </w:pPr>
            <w:r>
              <w:rPr>
                <w:color w:val="auto"/>
                <w:highlight w:val="none"/>
              </w:rPr>
              <w:t>31.4</w:t>
            </w:r>
            <w:r>
              <w:rPr>
                <w:rFonts w:hint="eastAsia"/>
                <w:color w:val="auto"/>
                <w:highlight w:val="none"/>
              </w:rPr>
              <w:t>～</w:t>
            </w:r>
            <w:r>
              <w:rPr>
                <w:color w:val="auto"/>
                <w:highlight w:val="none"/>
              </w:rPr>
              <w:t>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18" w:type="dxa"/>
            <w:noWrap w:val="0"/>
            <w:vAlign w:val="center"/>
          </w:tcPr>
          <w:p>
            <w:pPr>
              <w:rPr>
                <w:color w:val="auto"/>
                <w:highlight w:val="none"/>
              </w:rPr>
            </w:pPr>
            <w:r>
              <w:rPr>
                <w:color w:val="auto"/>
                <w:highlight w:val="none"/>
              </w:rPr>
              <w:t>4</w:t>
            </w:r>
          </w:p>
        </w:tc>
        <w:tc>
          <w:tcPr>
            <w:tcW w:w="3019" w:type="dxa"/>
            <w:noWrap w:val="0"/>
            <w:vAlign w:val="center"/>
          </w:tcPr>
          <w:p>
            <w:pPr>
              <w:rPr>
                <w:color w:val="auto"/>
                <w:highlight w:val="none"/>
              </w:rPr>
            </w:pPr>
            <w:r>
              <w:rPr>
                <w:color w:val="auto"/>
                <w:highlight w:val="none"/>
              </w:rPr>
              <w:t>M14</w:t>
            </w:r>
          </w:p>
        </w:tc>
        <w:tc>
          <w:tcPr>
            <w:tcW w:w="3019" w:type="dxa"/>
            <w:noWrap w:val="0"/>
            <w:vAlign w:val="center"/>
          </w:tcPr>
          <w:p>
            <w:pPr>
              <w:rPr>
                <w:color w:val="auto"/>
                <w:highlight w:val="none"/>
              </w:rPr>
            </w:pPr>
            <w:r>
              <w:rPr>
                <w:color w:val="auto"/>
                <w:highlight w:val="none"/>
              </w:rPr>
              <w:t>51.0</w:t>
            </w:r>
            <w:r>
              <w:rPr>
                <w:rFonts w:hint="eastAsia"/>
                <w:color w:val="auto"/>
                <w:highlight w:val="none"/>
              </w:rPr>
              <w:t>～</w:t>
            </w:r>
            <w:r>
              <w:rPr>
                <w:color w:val="auto"/>
                <w:highlight w:val="none"/>
              </w:rPr>
              <w:t>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18" w:type="dxa"/>
            <w:noWrap w:val="0"/>
            <w:vAlign w:val="center"/>
          </w:tcPr>
          <w:p>
            <w:pPr>
              <w:rPr>
                <w:color w:val="auto"/>
                <w:highlight w:val="none"/>
              </w:rPr>
            </w:pPr>
            <w:r>
              <w:rPr>
                <w:color w:val="auto"/>
                <w:highlight w:val="none"/>
              </w:rPr>
              <w:t>5</w:t>
            </w:r>
          </w:p>
        </w:tc>
        <w:tc>
          <w:tcPr>
            <w:tcW w:w="3019" w:type="dxa"/>
            <w:noWrap w:val="0"/>
            <w:vAlign w:val="center"/>
          </w:tcPr>
          <w:p>
            <w:pPr>
              <w:rPr>
                <w:color w:val="auto"/>
                <w:highlight w:val="none"/>
              </w:rPr>
            </w:pPr>
            <w:r>
              <w:rPr>
                <w:color w:val="auto"/>
                <w:highlight w:val="none"/>
              </w:rPr>
              <w:t>M16</w:t>
            </w:r>
          </w:p>
        </w:tc>
        <w:tc>
          <w:tcPr>
            <w:tcW w:w="3019" w:type="dxa"/>
            <w:noWrap w:val="0"/>
            <w:vAlign w:val="center"/>
          </w:tcPr>
          <w:p>
            <w:pPr>
              <w:rPr>
                <w:color w:val="auto"/>
                <w:highlight w:val="none"/>
              </w:rPr>
            </w:pPr>
            <w:r>
              <w:rPr>
                <w:color w:val="auto"/>
                <w:highlight w:val="none"/>
              </w:rPr>
              <w:t>78.5</w:t>
            </w:r>
            <w:r>
              <w:rPr>
                <w:rFonts w:hint="eastAsia"/>
                <w:color w:val="auto"/>
                <w:highlight w:val="none"/>
              </w:rPr>
              <w:t>～</w:t>
            </w:r>
            <w:r>
              <w:rPr>
                <w:color w:val="auto"/>
                <w:highlight w:val="none"/>
              </w:rPr>
              <w:t>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18" w:type="dxa"/>
            <w:noWrap w:val="0"/>
            <w:vAlign w:val="center"/>
          </w:tcPr>
          <w:p>
            <w:pPr>
              <w:rPr>
                <w:color w:val="auto"/>
                <w:highlight w:val="none"/>
              </w:rPr>
            </w:pPr>
            <w:r>
              <w:rPr>
                <w:color w:val="auto"/>
                <w:highlight w:val="none"/>
              </w:rPr>
              <w:t>6</w:t>
            </w:r>
          </w:p>
        </w:tc>
        <w:tc>
          <w:tcPr>
            <w:tcW w:w="3019" w:type="dxa"/>
            <w:noWrap w:val="0"/>
            <w:vAlign w:val="center"/>
          </w:tcPr>
          <w:p>
            <w:pPr>
              <w:rPr>
                <w:color w:val="auto"/>
                <w:highlight w:val="none"/>
              </w:rPr>
            </w:pPr>
            <w:r>
              <w:rPr>
                <w:color w:val="auto"/>
                <w:highlight w:val="none"/>
              </w:rPr>
              <w:t>M18</w:t>
            </w:r>
          </w:p>
        </w:tc>
        <w:tc>
          <w:tcPr>
            <w:tcW w:w="3019" w:type="dxa"/>
            <w:noWrap w:val="0"/>
            <w:vAlign w:val="center"/>
          </w:tcPr>
          <w:p>
            <w:pPr>
              <w:rPr>
                <w:color w:val="auto"/>
                <w:highlight w:val="none"/>
              </w:rPr>
            </w:pPr>
            <w:r>
              <w:rPr>
                <w:color w:val="auto"/>
                <w:highlight w:val="none"/>
              </w:rPr>
              <w:t>98</w:t>
            </w:r>
            <w:r>
              <w:rPr>
                <w:rFonts w:hint="eastAsia"/>
                <w:color w:val="auto"/>
                <w:highlight w:val="none"/>
              </w:rPr>
              <w:t>～</w:t>
            </w:r>
            <w:r>
              <w:rPr>
                <w:color w:val="auto"/>
                <w:highlight w:val="none"/>
              </w:rPr>
              <w:t>127.4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18" w:type="dxa"/>
            <w:noWrap w:val="0"/>
            <w:vAlign w:val="center"/>
          </w:tcPr>
          <w:p>
            <w:pPr>
              <w:rPr>
                <w:color w:val="auto"/>
                <w:highlight w:val="none"/>
              </w:rPr>
            </w:pPr>
            <w:r>
              <w:rPr>
                <w:color w:val="auto"/>
                <w:highlight w:val="none"/>
              </w:rPr>
              <w:t>7</w:t>
            </w:r>
          </w:p>
        </w:tc>
        <w:tc>
          <w:tcPr>
            <w:tcW w:w="3019" w:type="dxa"/>
            <w:noWrap w:val="0"/>
            <w:vAlign w:val="center"/>
          </w:tcPr>
          <w:p>
            <w:pPr>
              <w:rPr>
                <w:color w:val="auto"/>
                <w:highlight w:val="none"/>
              </w:rPr>
            </w:pPr>
            <w:r>
              <w:rPr>
                <w:color w:val="auto"/>
                <w:highlight w:val="none"/>
              </w:rPr>
              <w:t>M20</w:t>
            </w:r>
          </w:p>
        </w:tc>
        <w:tc>
          <w:tcPr>
            <w:tcW w:w="3019" w:type="dxa"/>
            <w:noWrap w:val="0"/>
            <w:vAlign w:val="center"/>
          </w:tcPr>
          <w:p>
            <w:pPr>
              <w:rPr>
                <w:color w:val="auto"/>
                <w:highlight w:val="none"/>
              </w:rPr>
            </w:pPr>
            <w:r>
              <w:rPr>
                <w:color w:val="auto"/>
                <w:highlight w:val="none"/>
              </w:rPr>
              <w:t>156.9</w:t>
            </w:r>
            <w:r>
              <w:rPr>
                <w:rFonts w:hint="eastAsia"/>
                <w:color w:val="auto"/>
                <w:highlight w:val="none"/>
              </w:rPr>
              <w:t>～</w:t>
            </w:r>
            <w:r>
              <w:rPr>
                <w:color w:val="auto"/>
                <w:highlight w:val="none"/>
              </w:rPr>
              <w:t>196.2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18" w:type="dxa"/>
            <w:noWrap w:val="0"/>
            <w:vAlign w:val="center"/>
          </w:tcPr>
          <w:p>
            <w:pPr>
              <w:rPr>
                <w:color w:val="auto"/>
                <w:highlight w:val="none"/>
              </w:rPr>
            </w:pPr>
            <w:r>
              <w:rPr>
                <w:color w:val="auto"/>
                <w:highlight w:val="none"/>
              </w:rPr>
              <w:t>8</w:t>
            </w:r>
          </w:p>
        </w:tc>
        <w:tc>
          <w:tcPr>
            <w:tcW w:w="3019" w:type="dxa"/>
            <w:noWrap w:val="0"/>
            <w:vAlign w:val="center"/>
          </w:tcPr>
          <w:p>
            <w:pPr>
              <w:rPr>
                <w:color w:val="auto"/>
                <w:highlight w:val="none"/>
              </w:rPr>
            </w:pPr>
            <w:r>
              <w:rPr>
                <w:color w:val="auto"/>
                <w:highlight w:val="none"/>
              </w:rPr>
              <w:t>M24</w:t>
            </w:r>
          </w:p>
        </w:tc>
        <w:tc>
          <w:tcPr>
            <w:tcW w:w="3019" w:type="dxa"/>
            <w:noWrap w:val="0"/>
            <w:vAlign w:val="center"/>
          </w:tcPr>
          <w:p>
            <w:pPr>
              <w:rPr>
                <w:color w:val="auto"/>
                <w:highlight w:val="none"/>
              </w:rPr>
            </w:pPr>
            <w:r>
              <w:rPr>
                <w:color w:val="auto"/>
                <w:highlight w:val="none"/>
              </w:rPr>
              <w:t>274.6</w:t>
            </w:r>
            <w:r>
              <w:rPr>
                <w:rFonts w:hint="eastAsia"/>
                <w:color w:val="auto"/>
                <w:highlight w:val="none"/>
              </w:rPr>
              <w:t>～</w:t>
            </w:r>
            <w:r>
              <w:rPr>
                <w:color w:val="auto"/>
                <w:highlight w:val="none"/>
              </w:rPr>
              <w:t>343.2</w:t>
            </w:r>
          </w:p>
        </w:tc>
      </w:tr>
    </w:tbl>
    <w:p>
      <w:pPr>
        <w:rPr>
          <w:color w:val="auto"/>
          <w:highlight w:val="none"/>
        </w:rPr>
      </w:pPr>
    </w:p>
    <w:p>
      <w:pPr>
        <w:pStyle w:val="217"/>
        <w:rPr>
          <w:color w:val="auto"/>
          <w:highlight w:val="none"/>
        </w:rPr>
      </w:pPr>
      <w:r>
        <w:rPr>
          <w:color w:val="auto"/>
          <w:highlight w:val="none"/>
        </w:rPr>
        <w:t>6.</w:t>
      </w:r>
      <w:r>
        <w:rPr>
          <w:rFonts w:hint="eastAsia"/>
          <w:color w:val="auto"/>
          <w:highlight w:val="none"/>
        </w:rPr>
        <w:t>母线的接触面应保持清洁并在搭接面进行双面搪锡。</w:t>
      </w:r>
    </w:p>
    <w:p>
      <w:pPr>
        <w:pStyle w:val="217"/>
        <w:rPr>
          <w:color w:val="auto"/>
          <w:highlight w:val="none"/>
        </w:rPr>
      </w:pPr>
      <w:r>
        <w:rPr>
          <w:color w:val="auto"/>
          <w:highlight w:val="none"/>
        </w:rPr>
        <w:t>7.</w:t>
      </w:r>
      <w:r>
        <w:rPr>
          <w:rFonts w:hint="eastAsia"/>
          <w:color w:val="auto"/>
          <w:highlight w:val="none"/>
        </w:rPr>
        <w:t>母线支架和封闭母线母线的外壳接地完成，母线的绝缘电阻测试和交流工频耐压试验合格后，才能通电。</w:t>
      </w:r>
    </w:p>
    <w:p>
      <w:pPr>
        <w:pStyle w:val="172"/>
        <w:rPr>
          <w:color w:val="auto"/>
          <w:highlight w:val="none"/>
        </w:rPr>
      </w:pPr>
      <w:r>
        <w:rPr>
          <w:color w:val="auto"/>
          <w:highlight w:val="none"/>
        </w:rPr>
        <w:t xml:space="preserve">3.1.6 </w:t>
      </w:r>
      <w:r>
        <w:rPr>
          <w:rFonts w:hint="eastAsia"/>
          <w:color w:val="auto"/>
          <w:highlight w:val="none"/>
        </w:rPr>
        <w:t>高低压电缆敷设施工技术要求：</w:t>
      </w:r>
    </w:p>
    <w:p>
      <w:pPr>
        <w:pStyle w:val="217"/>
        <w:rPr>
          <w:color w:val="auto"/>
          <w:highlight w:val="none"/>
        </w:rPr>
      </w:pPr>
      <w:r>
        <w:rPr>
          <w:color w:val="auto"/>
          <w:highlight w:val="none"/>
        </w:rPr>
        <w:t>1.</w:t>
      </w:r>
      <w:r>
        <w:rPr>
          <w:rFonts w:hint="eastAsia"/>
          <w:color w:val="auto"/>
          <w:highlight w:val="none"/>
        </w:rPr>
        <w:t>电缆敷设</w:t>
      </w:r>
      <w:r>
        <w:rPr>
          <w:color w:val="auto"/>
          <w:highlight w:val="none"/>
        </w:rPr>
        <w:t> </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）电缆应成盘运输至项目现场。电缆两端应保持密封。当电缆自电缆盘上切下后须立即按批准的方式将两端予以密封以避免潮气浸入。</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）所供应的电缆应为两终端间连续的整段而无中间接头。</w:t>
      </w:r>
      <w:r>
        <w:rPr>
          <w:color w:val="auto"/>
          <w:highlight w:val="none"/>
        </w:rPr>
        <w:t> </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）原则应依据批准的施工图或施工方案上所示的电缆路径敷设电缆。</w:t>
      </w:r>
      <w:r>
        <w:rPr>
          <w:color w:val="auto"/>
          <w:highlight w:val="none"/>
        </w:rPr>
        <w:t> </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）若于其它专业之工程尚未完成的地段安装电缆时应采取相应措施保护电缆以避免与其它工程施工时损伤电缆，若因保护措施不完备发生的电缆破损事故由承包方自行负责。</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）在电缆通过马路时，应穿厚壁镀锌钢管加以保护，其管径尺寸及埋地深度符合规范。</w:t>
      </w:r>
      <w:r>
        <w:rPr>
          <w:color w:val="auto"/>
          <w:highlight w:val="none"/>
        </w:rPr>
        <w:t> </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）室外电缆在学校内部敷设当管路敷设较长时（无论施工图中是否有无指示）应每隔</w:t>
      </w:r>
      <w:r>
        <w:rPr>
          <w:color w:val="auto"/>
          <w:highlight w:val="none"/>
        </w:rPr>
        <w:t>50m</w:t>
      </w:r>
      <w:r>
        <w:rPr>
          <w:rFonts w:hint="eastAsia"/>
          <w:color w:val="auto"/>
          <w:highlight w:val="none"/>
        </w:rPr>
        <w:t>设一拉线井，其井体尺寸应符合规范要求。</w:t>
      </w:r>
    </w:p>
    <w:p>
      <w:pPr>
        <w:pStyle w:val="217"/>
        <w:rPr>
          <w:color w:val="auto"/>
          <w:highlight w:val="none"/>
        </w:rPr>
      </w:pPr>
      <w:r>
        <w:rPr>
          <w:rFonts w:hint="eastAsia"/>
          <w:color w:val="auto"/>
          <w:highlight w:val="none"/>
        </w:rPr>
        <w:t>（</w:t>
      </w:r>
      <w:r>
        <w:rPr>
          <w:color w:val="auto"/>
          <w:highlight w:val="none"/>
        </w:rPr>
        <w:t>7</w:t>
      </w:r>
      <w:r>
        <w:rPr>
          <w:rFonts w:hint="eastAsia"/>
          <w:color w:val="auto"/>
          <w:highlight w:val="none"/>
        </w:rPr>
        <w:t>）除铺设在地沟中的电缆外，所有电缆不论垂直还是水平方向均应安放核定的夹具固定和使用电缆管架，电缆固定的间距应根据上述线路规范图表的规定执行，电缆敷设须符合供电部门的要求。</w:t>
      </w:r>
      <w:r>
        <w:rPr>
          <w:color w:val="auto"/>
          <w:highlight w:val="none"/>
        </w:rPr>
        <w:t> </w:t>
      </w:r>
    </w:p>
    <w:p>
      <w:pPr>
        <w:pStyle w:val="217"/>
        <w:rPr>
          <w:color w:val="auto"/>
          <w:highlight w:val="none"/>
        </w:rPr>
      </w:pPr>
      <w:r>
        <w:rPr>
          <w:rFonts w:hint="eastAsia"/>
          <w:color w:val="auto"/>
          <w:highlight w:val="none"/>
        </w:rPr>
        <w:t>（</w:t>
      </w:r>
      <w:r>
        <w:rPr>
          <w:color w:val="auto"/>
          <w:highlight w:val="none"/>
        </w:rPr>
        <w:t>8</w:t>
      </w:r>
      <w:r>
        <w:rPr>
          <w:rFonts w:hint="eastAsia"/>
          <w:color w:val="auto"/>
          <w:highlight w:val="none"/>
        </w:rPr>
        <w:t>）敷设电缆时应利用人力将电缆自电缆盘上放出。整段电缆放置在滚动导轮上并用手拉使之通过。不可用电缆绞盘敷设电缆。</w:t>
      </w:r>
      <w:r>
        <w:rPr>
          <w:color w:val="auto"/>
          <w:highlight w:val="none"/>
        </w:rPr>
        <w:t> </w:t>
      </w:r>
    </w:p>
    <w:p>
      <w:pPr>
        <w:pStyle w:val="217"/>
        <w:rPr>
          <w:color w:val="auto"/>
          <w:highlight w:val="none"/>
        </w:rPr>
      </w:pPr>
      <w:r>
        <w:rPr>
          <w:rFonts w:hint="eastAsia"/>
          <w:color w:val="auto"/>
          <w:highlight w:val="none"/>
        </w:rPr>
        <w:t>（</w:t>
      </w:r>
      <w:r>
        <w:rPr>
          <w:color w:val="auto"/>
          <w:highlight w:val="none"/>
        </w:rPr>
        <w:t>9</w:t>
      </w:r>
      <w:r>
        <w:rPr>
          <w:rFonts w:hint="eastAsia"/>
          <w:color w:val="auto"/>
          <w:highlight w:val="none"/>
        </w:rPr>
        <w:t>）按</w:t>
      </w:r>
      <w:r>
        <w:rPr>
          <w:color w:val="auto"/>
          <w:highlight w:val="none"/>
        </w:rPr>
        <w:t>IEE</w:t>
      </w:r>
      <w:r>
        <w:rPr>
          <w:rFonts w:hint="eastAsia"/>
          <w:color w:val="auto"/>
          <w:highlight w:val="none"/>
        </w:rPr>
        <w:t>布线规程的要求安装电缆。每个电缆弯曲时的弯曲内径不应使电缆受损并不得小于</w:t>
      </w:r>
      <w:r>
        <w:rPr>
          <w:color w:val="auto"/>
          <w:highlight w:val="none"/>
        </w:rPr>
        <w:t>IEE</w:t>
      </w:r>
      <w:r>
        <w:rPr>
          <w:rFonts w:hint="eastAsia"/>
          <w:color w:val="auto"/>
          <w:highlight w:val="none"/>
        </w:rPr>
        <w:t>布置规程中的规定值。</w:t>
      </w:r>
      <w:r>
        <w:rPr>
          <w:color w:val="auto"/>
          <w:highlight w:val="none"/>
        </w:rPr>
        <w:t> </w:t>
      </w:r>
    </w:p>
    <w:p>
      <w:pPr>
        <w:pStyle w:val="217"/>
        <w:rPr>
          <w:color w:val="auto"/>
          <w:highlight w:val="none"/>
        </w:rPr>
      </w:pPr>
      <w:r>
        <w:rPr>
          <w:rFonts w:hint="eastAsia"/>
          <w:color w:val="auto"/>
          <w:highlight w:val="none"/>
        </w:rPr>
        <w:t>（</w:t>
      </w:r>
      <w:r>
        <w:rPr>
          <w:color w:val="auto"/>
          <w:highlight w:val="none"/>
        </w:rPr>
        <w:t>10</w:t>
      </w:r>
      <w:r>
        <w:rPr>
          <w:rFonts w:hint="eastAsia"/>
          <w:color w:val="auto"/>
          <w:highlight w:val="none"/>
        </w:rPr>
        <w:t>）电缆除敷设于电缆管中或电线管中外，均必须敷设于水平和垂直的电缆托盘或梯架上，并按规定方式予以牢固。在水平方向以尼龙带扣将电缆束牢。在垂直方向敷设的电缆上以批准的电缆夹或鞍型夹固定。电缆固定点的间距须按</w:t>
      </w:r>
      <w:r>
        <w:rPr>
          <w:color w:val="auto"/>
          <w:highlight w:val="none"/>
        </w:rPr>
        <w:t>IEE</w:t>
      </w:r>
      <w:r>
        <w:rPr>
          <w:rFonts w:hint="eastAsia"/>
          <w:color w:val="auto"/>
          <w:highlight w:val="none"/>
        </w:rPr>
        <w:t>布线规程的规定。</w:t>
      </w:r>
    </w:p>
    <w:p>
      <w:pPr>
        <w:pStyle w:val="217"/>
        <w:rPr>
          <w:color w:val="auto"/>
          <w:highlight w:val="none"/>
        </w:rPr>
      </w:pPr>
      <w:r>
        <w:rPr>
          <w:rFonts w:hint="eastAsia"/>
          <w:color w:val="auto"/>
          <w:highlight w:val="none"/>
        </w:rPr>
        <w:t>（</w:t>
      </w:r>
      <w:r>
        <w:rPr>
          <w:color w:val="auto"/>
          <w:highlight w:val="none"/>
        </w:rPr>
        <w:t>11</w:t>
      </w:r>
      <w:r>
        <w:rPr>
          <w:rFonts w:hint="eastAsia"/>
          <w:color w:val="auto"/>
          <w:highlight w:val="none"/>
        </w:rPr>
        <w:t>）所有电缆一般应当在两个终端一次连续连接，不要形成中间接点。</w:t>
      </w:r>
      <w:r>
        <w:rPr>
          <w:color w:val="auto"/>
          <w:highlight w:val="none"/>
        </w:rPr>
        <w:t> </w:t>
      </w:r>
    </w:p>
    <w:p>
      <w:pPr>
        <w:pStyle w:val="217"/>
        <w:rPr>
          <w:color w:val="auto"/>
          <w:highlight w:val="none"/>
        </w:rPr>
      </w:pPr>
      <w:r>
        <w:rPr>
          <w:rFonts w:hint="eastAsia"/>
          <w:color w:val="auto"/>
          <w:highlight w:val="none"/>
        </w:rPr>
        <w:t>（</w:t>
      </w:r>
      <w:r>
        <w:rPr>
          <w:color w:val="auto"/>
          <w:highlight w:val="none"/>
        </w:rPr>
        <w:t>12</w:t>
      </w:r>
      <w:r>
        <w:rPr>
          <w:rFonts w:hint="eastAsia"/>
          <w:color w:val="auto"/>
          <w:highlight w:val="none"/>
        </w:rPr>
        <w:t>）在三相回路用单芯电缆的情况，电缆以单层排列并与其它回路的电缆至少相隔等于相邻电缆群中最大电缆直径之两倍。</w:t>
      </w:r>
      <w:r>
        <w:rPr>
          <w:color w:val="auto"/>
          <w:highlight w:val="none"/>
        </w:rPr>
        <w:t> </w:t>
      </w:r>
    </w:p>
    <w:p>
      <w:pPr>
        <w:pStyle w:val="217"/>
        <w:rPr>
          <w:color w:val="auto"/>
          <w:highlight w:val="none"/>
        </w:rPr>
      </w:pPr>
      <w:r>
        <w:rPr>
          <w:rFonts w:hint="eastAsia"/>
          <w:color w:val="auto"/>
          <w:highlight w:val="none"/>
        </w:rPr>
        <w:t>（</w:t>
      </w:r>
      <w:r>
        <w:rPr>
          <w:color w:val="auto"/>
          <w:highlight w:val="none"/>
        </w:rPr>
        <w:t>13</w:t>
      </w:r>
      <w:r>
        <w:rPr>
          <w:rFonts w:hint="eastAsia"/>
          <w:color w:val="auto"/>
          <w:highlight w:val="none"/>
        </w:rPr>
        <w:t>）不得将一个以上的单芯电缆回路或一回以上多芯电缆敷设在一起。单芯电缆回路或多芯电缆间至少相隔等于相邻电缆群中最大电缆直径之两倍。</w:t>
      </w:r>
      <w:r>
        <w:rPr>
          <w:color w:val="auto"/>
          <w:highlight w:val="none"/>
        </w:rPr>
        <w:t> </w:t>
      </w:r>
    </w:p>
    <w:p>
      <w:pPr>
        <w:pStyle w:val="217"/>
        <w:rPr>
          <w:color w:val="auto"/>
          <w:highlight w:val="none"/>
        </w:rPr>
      </w:pPr>
      <w:r>
        <w:rPr>
          <w:rFonts w:hint="eastAsia"/>
          <w:color w:val="auto"/>
          <w:highlight w:val="none"/>
        </w:rPr>
        <w:t>（</w:t>
      </w:r>
      <w:r>
        <w:rPr>
          <w:color w:val="auto"/>
          <w:highlight w:val="none"/>
        </w:rPr>
        <w:t>14</w:t>
      </w:r>
      <w:r>
        <w:rPr>
          <w:rFonts w:hint="eastAsia"/>
          <w:color w:val="auto"/>
          <w:highlight w:val="none"/>
        </w:rPr>
        <w:t>）电缆穿过楼板和墙壁处应采用防火材料将电缆孔封闭，以保持与所穿过的楼板和墙壁相同的耐火等级。</w:t>
      </w:r>
      <w:r>
        <w:rPr>
          <w:color w:val="auto"/>
          <w:highlight w:val="none"/>
        </w:rPr>
        <w:t> </w:t>
      </w:r>
    </w:p>
    <w:p>
      <w:pPr>
        <w:pStyle w:val="217"/>
        <w:rPr>
          <w:color w:val="auto"/>
          <w:highlight w:val="none"/>
        </w:rPr>
      </w:pPr>
      <w:r>
        <w:rPr>
          <w:rFonts w:hint="eastAsia"/>
          <w:color w:val="auto"/>
          <w:highlight w:val="none"/>
        </w:rPr>
        <w:t>（</w:t>
      </w:r>
      <w:r>
        <w:rPr>
          <w:color w:val="auto"/>
          <w:highlight w:val="none"/>
        </w:rPr>
        <w:t>15</w:t>
      </w:r>
      <w:r>
        <w:rPr>
          <w:rFonts w:hint="eastAsia"/>
          <w:color w:val="auto"/>
          <w:highlight w:val="none"/>
        </w:rPr>
        <w:t>）电缆穿过建筑沉降缝处（若涉及），应留一圆环。圆环之大小应使沉降缝移动时不会使电缆承受任何应力。</w:t>
      </w:r>
      <w:r>
        <w:rPr>
          <w:color w:val="auto"/>
          <w:highlight w:val="none"/>
        </w:rPr>
        <w:t> </w:t>
      </w:r>
    </w:p>
    <w:p>
      <w:pPr>
        <w:pStyle w:val="217"/>
        <w:rPr>
          <w:color w:val="auto"/>
          <w:highlight w:val="none"/>
        </w:rPr>
      </w:pPr>
      <w:r>
        <w:rPr>
          <w:rFonts w:hint="eastAsia"/>
          <w:color w:val="auto"/>
          <w:highlight w:val="none"/>
        </w:rPr>
        <w:t>（</w:t>
      </w:r>
      <w:r>
        <w:rPr>
          <w:color w:val="auto"/>
          <w:highlight w:val="none"/>
        </w:rPr>
        <w:t>16</w:t>
      </w:r>
      <w:r>
        <w:rPr>
          <w:rFonts w:hint="eastAsia"/>
          <w:color w:val="auto"/>
          <w:highlight w:val="none"/>
        </w:rPr>
        <w:t>）当电缆和环境温度均低于</w:t>
      </w:r>
      <w:r>
        <w:rPr>
          <w:color w:val="auto"/>
          <w:highlight w:val="none"/>
        </w:rPr>
        <w:t>0</w:t>
      </w:r>
      <w:r>
        <w:rPr>
          <w:rFonts w:hint="eastAsia"/>
          <w:color w:val="auto"/>
          <w:highlight w:val="none"/>
        </w:rPr>
        <w:t>℃并已持续达</w:t>
      </w:r>
      <w:r>
        <w:rPr>
          <w:color w:val="auto"/>
          <w:highlight w:val="none"/>
        </w:rPr>
        <w:t>24</w:t>
      </w:r>
      <w:r>
        <w:rPr>
          <w:rFonts w:hint="eastAsia"/>
          <w:color w:val="auto"/>
          <w:highlight w:val="none"/>
        </w:rPr>
        <w:t>小时，则不应进行敷设电缆，固定电缆及端接电缆等。</w:t>
      </w:r>
    </w:p>
    <w:p>
      <w:pPr>
        <w:pStyle w:val="217"/>
        <w:rPr>
          <w:color w:val="auto"/>
          <w:highlight w:val="none"/>
        </w:rPr>
      </w:pPr>
      <w:r>
        <w:rPr>
          <w:color w:val="auto"/>
          <w:highlight w:val="none"/>
        </w:rPr>
        <w:t>2.</w:t>
      </w:r>
      <w:r>
        <w:rPr>
          <w:rFonts w:hint="eastAsia"/>
          <w:color w:val="auto"/>
          <w:highlight w:val="none"/>
        </w:rPr>
        <w:t>电缆端接</w:t>
      </w:r>
      <w:r>
        <w:rPr>
          <w:color w:val="auto"/>
          <w:highlight w:val="none"/>
        </w:rPr>
        <w:t> </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）按规定选用适当的电缆封套将电缆终接。</w:t>
      </w:r>
      <w:r>
        <w:rPr>
          <w:color w:val="auto"/>
          <w:highlight w:val="none"/>
        </w:rPr>
        <w:t> </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）封套外套以规定的</w:t>
      </w:r>
      <w:r>
        <w:rPr>
          <w:color w:val="auto"/>
          <w:highlight w:val="none"/>
        </w:rPr>
        <w:t>PVC</w:t>
      </w:r>
      <w:r>
        <w:rPr>
          <w:rFonts w:hint="eastAsia"/>
          <w:color w:val="auto"/>
          <w:highlight w:val="none"/>
        </w:rPr>
        <w:t>护罩。</w:t>
      </w:r>
      <w:r>
        <w:rPr>
          <w:color w:val="auto"/>
          <w:highlight w:val="none"/>
        </w:rPr>
        <w:t> </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）对铠装电缆，清除铠装和铠装夹或连接器之表面并于终接前使连接器与铠装接触。将铠装夹旋紧以保证电气接触良好。</w:t>
      </w:r>
      <w:r>
        <w:rPr>
          <w:color w:val="auto"/>
          <w:highlight w:val="none"/>
        </w:rPr>
        <w:t> </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）电缆导线的终端须用重型无焊电缆线耳。线耳须为高导电镀锌铜制，除另有规定外，须用液压压接钳压于导线上。高压电缆终端应用专用高压电缆终端，并用成型热缩绝缘材料进行绝缘防护。</w:t>
      </w:r>
      <w:r>
        <w:rPr>
          <w:color w:val="auto"/>
          <w:highlight w:val="none"/>
        </w:rPr>
        <w:t> </w:t>
      </w:r>
    </w:p>
    <w:p>
      <w:pPr>
        <w:pStyle w:val="217"/>
        <w:rPr>
          <w:color w:val="auto"/>
          <w:highlight w:val="none"/>
        </w:rPr>
      </w:pPr>
      <w:r>
        <w:rPr>
          <w:color w:val="auto"/>
          <w:highlight w:val="none"/>
        </w:rPr>
        <w:t>3.</w:t>
      </w:r>
      <w:r>
        <w:rPr>
          <w:rFonts w:hint="eastAsia"/>
          <w:color w:val="auto"/>
          <w:highlight w:val="none"/>
        </w:rPr>
        <w:t>铠装接地</w:t>
      </w:r>
      <w:r>
        <w:rPr>
          <w:color w:val="auto"/>
          <w:highlight w:val="none"/>
        </w:rPr>
        <w:t> </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）将同一回路所有电缆首尾两端的金属护套和</w:t>
      </w:r>
      <w:r>
        <w:rPr>
          <w:color w:val="auto"/>
          <w:highlight w:val="none"/>
        </w:rPr>
        <w:t>/</w:t>
      </w:r>
      <w:r>
        <w:rPr>
          <w:rFonts w:hint="eastAsia"/>
          <w:color w:val="auto"/>
          <w:highlight w:val="none"/>
        </w:rPr>
        <w:t>或铠装连接在一起并接地。接地须由接地线耳或接于电缆封套上之接地环片延长至主接地系统。</w:t>
      </w:r>
      <w:r>
        <w:rPr>
          <w:color w:val="auto"/>
          <w:highlight w:val="none"/>
        </w:rPr>
        <w:t> </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）按</w:t>
      </w:r>
      <w:r>
        <w:rPr>
          <w:color w:val="auto"/>
          <w:highlight w:val="none"/>
        </w:rPr>
        <w:t>IEE</w:t>
      </w:r>
      <w:r>
        <w:rPr>
          <w:rFonts w:hint="eastAsia"/>
          <w:color w:val="auto"/>
          <w:highlight w:val="none"/>
        </w:rPr>
        <w:t>布线规程之规定选择接地导线的截面。</w:t>
      </w:r>
      <w:r>
        <w:rPr>
          <w:color w:val="auto"/>
          <w:highlight w:val="none"/>
        </w:rPr>
        <w:t> </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）接地导线须尽可能短而直。</w:t>
      </w:r>
      <w:r>
        <w:rPr>
          <w:color w:val="auto"/>
          <w:highlight w:val="none"/>
        </w:rPr>
        <w:t> </w:t>
      </w:r>
    </w:p>
    <w:p>
      <w:pPr>
        <w:pStyle w:val="217"/>
        <w:rPr>
          <w:color w:val="auto"/>
          <w:highlight w:val="none"/>
        </w:rPr>
      </w:pPr>
      <w:r>
        <w:rPr>
          <w:color w:val="auto"/>
          <w:highlight w:val="none"/>
        </w:rPr>
        <w:t>4.</w:t>
      </w:r>
      <w:r>
        <w:rPr>
          <w:rFonts w:hint="eastAsia"/>
          <w:color w:val="auto"/>
          <w:highlight w:val="none"/>
        </w:rPr>
        <w:t>电缆标示</w:t>
      </w:r>
      <w:r>
        <w:rPr>
          <w:color w:val="auto"/>
          <w:highlight w:val="none"/>
        </w:rPr>
        <w:t> </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）在电缆终端，在埋地电缆管之进出点及其它需要识别和寻迹电缆路径处配置电缆识别标志。电缆非穿管敷设并有多条一起敷设时则每隔</w:t>
      </w:r>
      <w:r>
        <w:rPr>
          <w:color w:val="auto"/>
          <w:highlight w:val="none"/>
        </w:rPr>
        <w:t>10</w:t>
      </w:r>
      <w:r>
        <w:rPr>
          <w:rFonts w:hint="eastAsia"/>
          <w:color w:val="auto"/>
          <w:highlight w:val="none"/>
        </w:rPr>
        <w:t>米须设立标志。</w:t>
      </w:r>
      <w:r>
        <w:rPr>
          <w:color w:val="auto"/>
          <w:highlight w:val="none"/>
        </w:rPr>
        <w:t> </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）电缆标志须</w:t>
      </w:r>
      <w:bookmarkStart w:id="7786" w:name="高低压配电"/>
      <w:bookmarkEnd w:id="7786"/>
      <w:r>
        <w:rPr>
          <w:rFonts w:hint="eastAsia"/>
          <w:color w:val="auto"/>
          <w:highlight w:val="none"/>
        </w:rPr>
        <w:t>由椭圆形的</w:t>
      </w:r>
      <w:r>
        <w:rPr>
          <w:color w:val="auto"/>
          <w:highlight w:val="none"/>
        </w:rPr>
        <w:t>PVC</w:t>
      </w:r>
      <w:r>
        <w:rPr>
          <w:rFonts w:hint="eastAsia"/>
          <w:color w:val="auto"/>
          <w:highlight w:val="none"/>
        </w:rPr>
        <w:t>标记，穿标记带及尼龙扎带组成。整个标志须能耐</w:t>
      </w:r>
      <w:r>
        <w:rPr>
          <w:color w:val="auto"/>
          <w:highlight w:val="none"/>
        </w:rPr>
        <w:t>70</w:t>
      </w:r>
      <w:r>
        <w:rPr>
          <w:rFonts w:hint="eastAsia"/>
          <w:color w:val="auto"/>
          <w:highlight w:val="none"/>
        </w:rPr>
        <w:t>℃的温度。</w:t>
      </w:r>
      <w:r>
        <w:rPr>
          <w:color w:val="auto"/>
          <w:highlight w:val="none"/>
        </w:rPr>
        <w:t> </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）对单芯电缆和多芯电缆的每条芯线需在终端配置按</w:t>
      </w:r>
      <w:r>
        <w:rPr>
          <w:color w:val="auto"/>
          <w:highlight w:val="none"/>
        </w:rPr>
        <w:t>IEE</w:t>
      </w:r>
      <w:r>
        <w:rPr>
          <w:rFonts w:hint="eastAsia"/>
          <w:color w:val="auto"/>
          <w:highlight w:val="none"/>
        </w:rPr>
        <w:t>布线规程规定的带形，套管或有颜色的碟形标记。</w:t>
      </w:r>
      <w:r>
        <w:rPr>
          <w:color w:val="auto"/>
          <w:highlight w:val="none"/>
        </w:rPr>
        <w:t> </w:t>
      </w:r>
    </w:p>
    <w:p>
      <w:pPr>
        <w:pStyle w:val="217"/>
        <w:rPr>
          <w:color w:val="auto"/>
          <w:highlight w:val="none"/>
        </w:rPr>
      </w:pPr>
      <w:r>
        <w:rPr>
          <w:color w:val="auto"/>
          <w:highlight w:val="none"/>
        </w:rPr>
        <w:t>5.</w:t>
      </w:r>
      <w:r>
        <w:rPr>
          <w:rFonts w:hint="eastAsia"/>
          <w:color w:val="auto"/>
          <w:highlight w:val="none"/>
        </w:rPr>
        <w:t>电缆测试及验收</w:t>
      </w:r>
      <w:r>
        <w:rPr>
          <w:color w:val="auto"/>
          <w:highlight w:val="none"/>
        </w:rPr>
        <w:t> </w:t>
      </w:r>
    </w:p>
    <w:p>
      <w:pPr>
        <w:pStyle w:val="217"/>
        <w:rPr>
          <w:color w:val="auto"/>
          <w:highlight w:val="none"/>
        </w:rPr>
      </w:pPr>
      <w:r>
        <w:rPr>
          <w:rFonts w:hint="eastAsia"/>
          <w:color w:val="auto"/>
          <w:highlight w:val="none"/>
        </w:rPr>
        <w:t>以下为电缆验收时最低限度所应要求的测试：</w:t>
      </w:r>
      <w:r>
        <w:rPr>
          <w:color w:val="auto"/>
          <w:highlight w:val="none"/>
        </w:rPr>
        <w:t> </w:t>
      </w:r>
      <w:r>
        <w:rPr>
          <w:rFonts w:hint="eastAsia"/>
          <w:color w:val="auto"/>
          <w:highlight w:val="none"/>
        </w:rPr>
        <w:t></w:t>
      </w:r>
    </w:p>
    <w:p>
      <w:pPr>
        <w:pStyle w:val="217"/>
        <w:rPr>
          <w:color w:val="auto"/>
          <w:highlight w:val="none"/>
        </w:rPr>
      </w:pPr>
      <w:r>
        <w:rPr>
          <w:rFonts w:hint="eastAsia"/>
          <w:color w:val="auto"/>
          <w:highlight w:val="none"/>
        </w:rPr>
        <w:t>连续性测试</w:t>
      </w:r>
      <w:r>
        <w:rPr>
          <w:color w:val="auto"/>
          <w:highlight w:val="none"/>
        </w:rPr>
        <w:t>/</w:t>
      </w:r>
      <w:r>
        <w:rPr>
          <w:rFonts w:hint="eastAsia"/>
          <w:color w:val="auto"/>
          <w:highlight w:val="none"/>
        </w:rPr>
        <w:t>绝缘电阻测试</w:t>
      </w:r>
      <w:r>
        <w:rPr>
          <w:color w:val="auto"/>
          <w:highlight w:val="none"/>
        </w:rPr>
        <w:t>/</w:t>
      </w:r>
      <w:r>
        <w:rPr>
          <w:rFonts w:hint="eastAsia"/>
          <w:color w:val="auto"/>
          <w:highlight w:val="none"/>
        </w:rPr>
        <w:t>接地测试</w:t>
      </w:r>
      <w:r>
        <w:rPr>
          <w:color w:val="auto"/>
          <w:highlight w:val="none"/>
        </w:rPr>
        <w:t>/</w:t>
      </w:r>
      <w:r>
        <w:rPr>
          <w:rFonts w:hint="eastAsia"/>
          <w:color w:val="auto"/>
          <w:highlight w:val="none"/>
        </w:rPr>
        <w:t>耐压测试</w:t>
      </w:r>
      <w:r>
        <w:rPr>
          <w:color w:val="auto"/>
          <w:highlight w:val="none"/>
        </w:rPr>
        <w:t>/</w:t>
      </w:r>
      <w:r>
        <w:rPr>
          <w:rFonts w:hint="eastAsia"/>
          <w:color w:val="auto"/>
          <w:highlight w:val="none"/>
        </w:rPr>
        <w:t>极性测验</w:t>
      </w:r>
      <w:r>
        <w:rPr>
          <w:color w:val="auto"/>
          <w:highlight w:val="none"/>
        </w:rPr>
        <w:t>/</w:t>
      </w:r>
      <w:r>
        <w:rPr>
          <w:rFonts w:hint="eastAsia"/>
          <w:color w:val="auto"/>
          <w:highlight w:val="none"/>
        </w:rPr>
        <w:t>泄漏电流测试（高压电缆）</w:t>
      </w:r>
    </w:p>
    <w:p>
      <w:pPr>
        <w:pStyle w:val="172"/>
        <w:rPr>
          <w:color w:val="auto"/>
          <w:highlight w:val="none"/>
        </w:rPr>
      </w:pPr>
      <w:r>
        <w:rPr>
          <w:color w:val="auto"/>
          <w:highlight w:val="none"/>
        </w:rPr>
        <w:t xml:space="preserve"> 3.1.7 </w:t>
      </w:r>
      <w:r>
        <w:rPr>
          <w:rFonts w:hint="eastAsia"/>
          <w:color w:val="auto"/>
          <w:highlight w:val="none"/>
        </w:rPr>
        <w:t>柴油发电机房工程技术要求</w:t>
      </w:r>
    </w:p>
    <w:p>
      <w:pPr>
        <w:pStyle w:val="217"/>
        <w:rPr>
          <w:color w:val="auto"/>
          <w:highlight w:val="none"/>
        </w:rPr>
      </w:pPr>
      <w:r>
        <w:rPr>
          <w:rFonts w:hint="eastAsia"/>
          <w:color w:val="auto"/>
          <w:highlight w:val="none"/>
        </w:rPr>
        <w:t>柴油发电机控制系统须预留</w:t>
      </w:r>
      <w:r>
        <w:rPr>
          <w:color w:val="auto"/>
          <w:highlight w:val="none"/>
        </w:rPr>
        <w:t>BA</w:t>
      </w:r>
      <w:r>
        <w:rPr>
          <w:rFonts w:hint="eastAsia"/>
          <w:color w:val="auto"/>
          <w:highlight w:val="none"/>
        </w:rPr>
        <w:t>接口</w:t>
      </w:r>
    </w:p>
    <w:p>
      <w:pPr>
        <w:pStyle w:val="217"/>
        <w:rPr>
          <w:color w:val="auto"/>
          <w:highlight w:val="none"/>
        </w:rPr>
      </w:pPr>
      <w:r>
        <w:rPr>
          <w:rFonts w:hint="eastAsia"/>
          <w:color w:val="auto"/>
          <w:highlight w:val="none"/>
        </w:rPr>
        <w:t>详见电气工程材料</w:t>
      </w:r>
      <w:r>
        <w:rPr>
          <w:color w:val="auto"/>
          <w:highlight w:val="none"/>
        </w:rPr>
        <w:t>,</w:t>
      </w:r>
      <w:r>
        <w:rPr>
          <w:rFonts w:hint="eastAsia"/>
          <w:color w:val="auto"/>
          <w:highlight w:val="none"/>
        </w:rPr>
        <w:t>设备技术要求附表</w:t>
      </w:r>
      <w:r>
        <w:rPr>
          <w:color w:val="auto"/>
          <w:highlight w:val="none"/>
        </w:rPr>
        <w:t>1</w:t>
      </w:r>
      <w:r>
        <w:rPr>
          <w:rFonts w:hint="eastAsia"/>
          <w:color w:val="auto"/>
          <w:highlight w:val="none"/>
        </w:rPr>
        <w:t>《电气工程材料、设备技术要求表》</w:t>
      </w:r>
    </w:p>
    <w:p>
      <w:pPr>
        <w:pStyle w:val="172"/>
        <w:rPr>
          <w:color w:val="auto"/>
          <w:highlight w:val="none"/>
        </w:rPr>
      </w:pPr>
      <w:r>
        <w:rPr>
          <w:color w:val="auto"/>
          <w:highlight w:val="none"/>
        </w:rPr>
        <w:t xml:space="preserve"> 3.1.8 </w:t>
      </w:r>
      <w:r>
        <w:rPr>
          <w:rFonts w:hint="eastAsia"/>
          <w:color w:val="auto"/>
          <w:highlight w:val="none"/>
        </w:rPr>
        <w:t>变配电室内明敷接地干线的安装</w:t>
      </w:r>
    </w:p>
    <w:p>
      <w:pPr>
        <w:pStyle w:val="217"/>
        <w:rPr>
          <w:color w:val="auto"/>
          <w:highlight w:val="none"/>
        </w:rPr>
      </w:pPr>
      <w:r>
        <w:rPr>
          <w:color w:val="auto"/>
          <w:highlight w:val="none"/>
        </w:rPr>
        <w:t>1.</w:t>
      </w:r>
      <w:r>
        <w:rPr>
          <w:rFonts w:hint="eastAsia"/>
          <w:color w:val="auto"/>
          <w:highlight w:val="none"/>
        </w:rPr>
        <w:t>应安装在便于检查，敷设位置不妨碍设备的拆卸与检修的位置。</w:t>
      </w:r>
    </w:p>
    <w:p>
      <w:pPr>
        <w:pStyle w:val="217"/>
        <w:rPr>
          <w:color w:val="auto"/>
          <w:highlight w:val="none"/>
        </w:rPr>
      </w:pPr>
      <w:r>
        <w:rPr>
          <w:color w:val="auto"/>
          <w:highlight w:val="none"/>
        </w:rPr>
        <w:t>2.</w:t>
      </w:r>
      <w:r>
        <w:rPr>
          <w:rFonts w:hint="eastAsia"/>
          <w:color w:val="auto"/>
          <w:highlight w:val="none"/>
        </w:rPr>
        <w:t>当沿墙壁水平敷设时，距地面高度</w:t>
      </w:r>
      <w:r>
        <w:rPr>
          <w:color w:val="auto"/>
          <w:highlight w:val="none"/>
        </w:rPr>
        <w:t>250</w:t>
      </w:r>
      <w:r>
        <w:rPr>
          <w:rFonts w:hint="eastAsia"/>
          <w:color w:val="auto"/>
          <w:highlight w:val="none"/>
        </w:rPr>
        <w:t>～</w:t>
      </w:r>
      <w:r>
        <w:rPr>
          <w:color w:val="auto"/>
          <w:highlight w:val="none"/>
        </w:rPr>
        <w:t>300mm</w:t>
      </w:r>
      <w:r>
        <w:rPr>
          <w:rFonts w:hint="eastAsia"/>
          <w:color w:val="auto"/>
          <w:highlight w:val="none"/>
        </w:rPr>
        <w:t>；与墙壁的间隙</w:t>
      </w:r>
      <w:r>
        <w:rPr>
          <w:color w:val="auto"/>
          <w:highlight w:val="none"/>
        </w:rPr>
        <w:t>10</w:t>
      </w:r>
      <w:r>
        <w:rPr>
          <w:rFonts w:hint="eastAsia"/>
          <w:color w:val="auto"/>
          <w:highlight w:val="none"/>
        </w:rPr>
        <w:t>～</w:t>
      </w:r>
      <w:r>
        <w:rPr>
          <w:color w:val="auto"/>
          <w:highlight w:val="none"/>
        </w:rPr>
        <w:t>15mm</w:t>
      </w:r>
      <w:r>
        <w:rPr>
          <w:rFonts w:hint="eastAsia"/>
          <w:color w:val="auto"/>
          <w:highlight w:val="none"/>
        </w:rPr>
        <w:t>。</w:t>
      </w:r>
    </w:p>
    <w:p>
      <w:pPr>
        <w:pStyle w:val="217"/>
        <w:rPr>
          <w:color w:val="auto"/>
          <w:highlight w:val="none"/>
        </w:rPr>
      </w:pPr>
      <w:r>
        <w:rPr>
          <w:color w:val="auto"/>
          <w:highlight w:val="none"/>
        </w:rPr>
        <w:t>3.</w:t>
      </w:r>
      <w:r>
        <w:rPr>
          <w:rFonts w:hint="eastAsia"/>
          <w:color w:val="auto"/>
          <w:highlight w:val="none"/>
        </w:rPr>
        <w:t>当接地线跨越变形缝时，设补偿装置。</w:t>
      </w:r>
    </w:p>
    <w:p>
      <w:pPr>
        <w:pStyle w:val="217"/>
        <w:rPr>
          <w:color w:val="auto"/>
          <w:highlight w:val="none"/>
        </w:rPr>
      </w:pPr>
      <w:r>
        <w:rPr>
          <w:color w:val="auto"/>
          <w:highlight w:val="none"/>
        </w:rPr>
        <w:t>4.</w:t>
      </w:r>
      <w:r>
        <w:rPr>
          <w:rFonts w:hint="eastAsia"/>
          <w:color w:val="auto"/>
          <w:highlight w:val="none"/>
        </w:rPr>
        <w:t>接地线表面沿长度方向，每段为</w:t>
      </w:r>
      <w:r>
        <w:rPr>
          <w:color w:val="auto"/>
          <w:highlight w:val="none"/>
        </w:rPr>
        <w:t>15</w:t>
      </w:r>
      <w:r>
        <w:rPr>
          <w:rFonts w:hint="eastAsia"/>
          <w:color w:val="auto"/>
          <w:highlight w:val="none"/>
        </w:rPr>
        <w:t>～</w:t>
      </w:r>
      <w:r>
        <w:rPr>
          <w:color w:val="auto"/>
          <w:highlight w:val="none"/>
        </w:rPr>
        <w:t>100mm</w:t>
      </w:r>
      <w:r>
        <w:rPr>
          <w:rFonts w:hint="eastAsia"/>
          <w:color w:val="auto"/>
          <w:highlight w:val="none"/>
        </w:rPr>
        <w:t>，分别涂以黄色与绿色相间的条纹。</w:t>
      </w:r>
    </w:p>
    <w:p>
      <w:pPr>
        <w:pStyle w:val="217"/>
        <w:rPr>
          <w:color w:val="auto"/>
          <w:highlight w:val="none"/>
        </w:rPr>
      </w:pPr>
      <w:r>
        <w:rPr>
          <w:color w:val="auto"/>
          <w:highlight w:val="none"/>
        </w:rPr>
        <w:t>5.</w:t>
      </w:r>
      <w:r>
        <w:rPr>
          <w:rFonts w:hint="eastAsia"/>
          <w:color w:val="auto"/>
          <w:highlight w:val="none"/>
        </w:rPr>
        <w:t>变压器室、高压配电室的接地干线上应设置不少于</w:t>
      </w:r>
      <w:r>
        <w:rPr>
          <w:color w:val="auto"/>
          <w:highlight w:val="none"/>
        </w:rPr>
        <w:t>2</w:t>
      </w:r>
      <w:r>
        <w:rPr>
          <w:rFonts w:hint="eastAsia"/>
          <w:color w:val="auto"/>
          <w:highlight w:val="none"/>
        </w:rPr>
        <w:t>个供临时接地用的接线柱或接地螺栓。</w:t>
      </w:r>
    </w:p>
    <w:p>
      <w:pPr>
        <w:pStyle w:val="217"/>
        <w:rPr>
          <w:color w:val="auto"/>
          <w:highlight w:val="none"/>
        </w:rPr>
      </w:pPr>
      <w:r>
        <w:rPr>
          <w:color w:val="auto"/>
          <w:highlight w:val="none"/>
        </w:rPr>
        <w:t>6.</w:t>
      </w:r>
      <w:r>
        <w:rPr>
          <w:rFonts w:hint="eastAsia"/>
          <w:color w:val="auto"/>
          <w:highlight w:val="none"/>
        </w:rPr>
        <w:t>当电缆穿过零序电流互感器时，电缆头的接地线应通过零序电流互感器后接地；由电缆头至穿过零序电流互感器的一段电缆金属护层和接地线应对地绝缘。</w:t>
      </w:r>
    </w:p>
    <w:p>
      <w:pPr>
        <w:pStyle w:val="217"/>
        <w:rPr>
          <w:color w:val="auto"/>
          <w:highlight w:val="none"/>
        </w:rPr>
      </w:pPr>
      <w:r>
        <w:rPr>
          <w:color w:val="auto"/>
          <w:highlight w:val="none"/>
        </w:rPr>
        <w:t>7.</w:t>
      </w:r>
      <w:r>
        <w:rPr>
          <w:rFonts w:hint="eastAsia"/>
          <w:color w:val="auto"/>
          <w:highlight w:val="none"/>
        </w:rPr>
        <w:t>配电间隔和静止补偿装置的栅栏门及变配电室金属门铰链处的接地连接，应采用编织铜线。变配电室的避雷器应用最短的接地线与接地干线连接。</w:t>
      </w:r>
    </w:p>
    <w:p>
      <w:pPr>
        <w:pStyle w:val="113"/>
        <w:spacing w:before="120" w:after="120"/>
        <w:outlineLvl w:val="2"/>
        <w:rPr>
          <w:color w:val="auto"/>
          <w:highlight w:val="none"/>
        </w:rPr>
      </w:pPr>
      <w:bookmarkStart w:id="7787" w:name="_Toc66890422"/>
      <w:bookmarkStart w:id="7788" w:name="_Toc66634427"/>
      <w:bookmarkStart w:id="7789" w:name="_Toc69114168"/>
      <w:bookmarkStart w:id="7790" w:name="_Toc505345740"/>
      <w:r>
        <w:rPr>
          <w:color w:val="auto"/>
          <w:highlight w:val="none"/>
        </w:rPr>
        <w:t xml:space="preserve">3.2 </w:t>
      </w:r>
      <w:r>
        <w:rPr>
          <w:rFonts w:hint="eastAsia"/>
          <w:color w:val="auto"/>
          <w:highlight w:val="none"/>
        </w:rPr>
        <w:t>三箱配电系统</w:t>
      </w:r>
      <w:bookmarkEnd w:id="7787"/>
      <w:bookmarkEnd w:id="7788"/>
      <w:bookmarkEnd w:id="7789"/>
      <w:bookmarkEnd w:id="7790"/>
    </w:p>
    <w:p>
      <w:pPr>
        <w:pStyle w:val="172"/>
        <w:rPr>
          <w:color w:val="auto"/>
          <w:highlight w:val="none"/>
        </w:rPr>
      </w:pPr>
      <w:r>
        <w:rPr>
          <w:color w:val="auto"/>
          <w:highlight w:val="none"/>
        </w:rPr>
        <w:t xml:space="preserve">3.2.1 </w:t>
      </w:r>
      <w:r>
        <w:rPr>
          <w:rFonts w:hint="eastAsia"/>
          <w:color w:val="auto"/>
          <w:highlight w:val="none"/>
        </w:rPr>
        <w:t>动力配电箱（柜）、照明配电箱（盘）和控制柜（屏、台）</w:t>
      </w:r>
    </w:p>
    <w:p>
      <w:pPr>
        <w:pStyle w:val="217"/>
        <w:rPr>
          <w:color w:val="auto"/>
          <w:highlight w:val="none"/>
        </w:rPr>
      </w:pPr>
      <w:r>
        <w:rPr>
          <w:color w:val="auto"/>
          <w:highlight w:val="none"/>
        </w:rPr>
        <w:t>1.</w:t>
      </w:r>
      <w:r>
        <w:rPr>
          <w:rFonts w:hint="eastAsia"/>
          <w:color w:val="auto"/>
          <w:highlight w:val="none"/>
        </w:rPr>
        <w:t>动力配电箱（柜）、照明配电箱（盘）和控制柜（屏、台）必须按设计要求从厂家定制。对以上设备的性能及技术要求和生产厂家所具备的基本条件详见附表《电气工程材料、设备技术要求表》。</w:t>
      </w:r>
    </w:p>
    <w:p>
      <w:pPr>
        <w:pStyle w:val="217"/>
        <w:rPr>
          <w:color w:val="auto"/>
          <w:highlight w:val="none"/>
        </w:rPr>
      </w:pPr>
      <w:r>
        <w:rPr>
          <w:color w:val="auto"/>
          <w:highlight w:val="none"/>
        </w:rPr>
        <w:t>2.</w:t>
      </w:r>
      <w:r>
        <w:rPr>
          <w:rFonts w:hint="eastAsia"/>
          <w:color w:val="auto"/>
          <w:highlight w:val="none"/>
        </w:rPr>
        <w:t>安装：</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）柜、箱、盘、屏、台的金属框架及基础型钢必须接地（</w:t>
      </w:r>
      <w:r>
        <w:rPr>
          <w:color w:val="auto"/>
          <w:highlight w:val="none"/>
        </w:rPr>
        <w:t>PE</w:t>
      </w:r>
      <w:r>
        <w:rPr>
          <w:rFonts w:hint="eastAsia"/>
          <w:color w:val="auto"/>
          <w:highlight w:val="none"/>
        </w:rPr>
        <w:t>）或接零（</w:t>
      </w:r>
      <w:r>
        <w:rPr>
          <w:color w:val="auto"/>
          <w:highlight w:val="none"/>
        </w:rPr>
        <w:t>PEN</w:t>
      </w:r>
      <w:r>
        <w:rPr>
          <w:rFonts w:hint="eastAsia"/>
          <w:color w:val="auto"/>
          <w:highlight w:val="none"/>
        </w:rPr>
        <w:t>）可靠，装有电器的门可开启，门和框架的接地端子间应用裸编织铜线连接，且有标识。</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）柜、箱、盘、屏、台应有可靠的电击保护，柜（屏、台、箱、盘）内保护导体应有裸露的连接外部保护导体的端子，保护导体的最小截面积应符合规范要求。</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）柜、箱、盘、屏、台间线路的相间和相对地间绝缘电阻，馈电线路必须大于</w:t>
      </w:r>
      <w:r>
        <w:rPr>
          <w:color w:val="auto"/>
          <w:highlight w:val="none"/>
        </w:rPr>
        <w:t>0.5M</w:t>
      </w:r>
      <w:r>
        <w:rPr>
          <w:rFonts w:hint="eastAsia"/>
          <w:color w:val="auto"/>
          <w:highlight w:val="none"/>
        </w:rPr>
        <w:t>Ω；二次回路必须大于</w:t>
      </w:r>
      <w:r>
        <w:rPr>
          <w:color w:val="auto"/>
          <w:highlight w:val="none"/>
        </w:rPr>
        <w:t>1M</w:t>
      </w:r>
      <w:r>
        <w:rPr>
          <w:rFonts w:hint="eastAsia"/>
          <w:color w:val="auto"/>
          <w:highlight w:val="none"/>
        </w:rPr>
        <w:t>Ω。</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）柜、箱、盘、屏、台间二次回路交流工频耐压试验，当绝缘电阻大于</w:t>
      </w:r>
      <w:r>
        <w:rPr>
          <w:color w:val="auto"/>
          <w:highlight w:val="none"/>
        </w:rPr>
        <w:t>10M</w:t>
      </w:r>
      <w:r>
        <w:rPr>
          <w:rFonts w:hint="eastAsia"/>
          <w:color w:val="auto"/>
          <w:highlight w:val="none"/>
        </w:rPr>
        <w:t>Ω时，用</w:t>
      </w:r>
      <w:r>
        <w:rPr>
          <w:color w:val="auto"/>
          <w:highlight w:val="none"/>
        </w:rPr>
        <w:t>2500V</w:t>
      </w:r>
      <w:r>
        <w:rPr>
          <w:rFonts w:hint="eastAsia"/>
          <w:color w:val="auto"/>
          <w:highlight w:val="none"/>
        </w:rPr>
        <w:t>兆欧表摇测</w:t>
      </w:r>
      <w:r>
        <w:rPr>
          <w:color w:val="auto"/>
          <w:highlight w:val="none"/>
        </w:rPr>
        <w:t>1min</w:t>
      </w:r>
      <w:r>
        <w:rPr>
          <w:rFonts w:hint="eastAsia"/>
          <w:color w:val="auto"/>
          <w:highlight w:val="none"/>
        </w:rPr>
        <w:t>；应无闪络击穿现象；当绝缘电阻在</w:t>
      </w:r>
      <w:r>
        <w:rPr>
          <w:color w:val="auto"/>
          <w:highlight w:val="none"/>
        </w:rPr>
        <w:t>1</w:t>
      </w:r>
      <w:r>
        <w:rPr>
          <w:rFonts w:hint="eastAsia"/>
          <w:color w:val="auto"/>
          <w:highlight w:val="none"/>
        </w:rPr>
        <w:t>～</w:t>
      </w:r>
      <w:r>
        <w:rPr>
          <w:color w:val="auto"/>
          <w:highlight w:val="none"/>
        </w:rPr>
        <w:t>10M</w:t>
      </w:r>
      <w:r>
        <w:rPr>
          <w:rFonts w:hint="eastAsia"/>
          <w:color w:val="auto"/>
          <w:highlight w:val="none"/>
        </w:rPr>
        <w:t>Ω时做</w:t>
      </w:r>
      <w:r>
        <w:rPr>
          <w:color w:val="auto"/>
          <w:highlight w:val="none"/>
        </w:rPr>
        <w:t>1000V</w:t>
      </w:r>
      <w:r>
        <w:rPr>
          <w:rFonts w:hint="eastAsia"/>
          <w:color w:val="auto"/>
          <w:highlight w:val="none"/>
        </w:rPr>
        <w:t>交流工频耐压试验时间</w:t>
      </w:r>
      <w:r>
        <w:rPr>
          <w:color w:val="auto"/>
          <w:highlight w:val="none"/>
        </w:rPr>
        <w:t>1min</w:t>
      </w:r>
      <w:r>
        <w:rPr>
          <w:rFonts w:hint="eastAsia"/>
          <w:color w:val="auto"/>
          <w:highlight w:val="none"/>
        </w:rPr>
        <w:t>，应无闪络击穿现象。</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）时照明配电箱（盘）的安装：</w:t>
      </w:r>
    </w:p>
    <w:p>
      <w:pPr>
        <w:pStyle w:val="217"/>
        <w:rPr>
          <w:color w:val="auto"/>
          <w:highlight w:val="none"/>
        </w:rPr>
      </w:pPr>
      <w:r>
        <w:rPr>
          <w:color w:val="auto"/>
          <w:highlight w:val="none"/>
        </w:rPr>
        <w:t>1</w:t>
      </w:r>
      <w:r>
        <w:rPr>
          <w:rFonts w:hint="eastAsia"/>
          <w:color w:val="auto"/>
          <w:highlight w:val="none"/>
        </w:rPr>
        <w:t>）时箱（盘）内配线整齐，无绞接现象。导线连接紧密，不伤线芯，不断股。垫圈下螺丝两侧压的导线截面相同，同一端子上的导线连接不多于</w:t>
      </w:r>
      <w:r>
        <w:rPr>
          <w:color w:val="auto"/>
          <w:highlight w:val="none"/>
        </w:rPr>
        <w:t>2</w:t>
      </w:r>
      <w:r>
        <w:rPr>
          <w:rFonts w:hint="eastAsia"/>
          <w:color w:val="auto"/>
          <w:highlight w:val="none"/>
        </w:rPr>
        <w:t>根，防松垫圈等零件齐全。</w:t>
      </w:r>
    </w:p>
    <w:p>
      <w:pPr>
        <w:pStyle w:val="217"/>
        <w:rPr>
          <w:color w:val="auto"/>
          <w:highlight w:val="none"/>
        </w:rPr>
      </w:pPr>
      <w:r>
        <w:rPr>
          <w:color w:val="auto"/>
          <w:highlight w:val="none"/>
        </w:rPr>
        <w:t>2</w:t>
      </w:r>
      <w:r>
        <w:rPr>
          <w:rFonts w:hint="eastAsia"/>
          <w:color w:val="auto"/>
          <w:highlight w:val="none"/>
        </w:rPr>
        <w:t>）时箱（盘）内开关动作灵活可靠，带有漏电保护的回路，漏电保护装置动作电流不大于</w:t>
      </w:r>
      <w:r>
        <w:rPr>
          <w:color w:val="auto"/>
          <w:highlight w:val="none"/>
        </w:rPr>
        <w:t>30MA</w:t>
      </w:r>
      <w:r>
        <w:rPr>
          <w:rFonts w:hint="eastAsia"/>
          <w:color w:val="auto"/>
          <w:highlight w:val="none"/>
        </w:rPr>
        <w:t>，动作时间不大于</w:t>
      </w:r>
      <w:r>
        <w:rPr>
          <w:color w:val="auto"/>
          <w:highlight w:val="none"/>
        </w:rPr>
        <w:t>0.1S</w:t>
      </w:r>
      <w:r>
        <w:rPr>
          <w:rFonts w:hint="eastAsia"/>
          <w:color w:val="auto"/>
          <w:highlight w:val="none"/>
        </w:rPr>
        <w:t>。</w:t>
      </w:r>
    </w:p>
    <w:p>
      <w:pPr>
        <w:pStyle w:val="217"/>
        <w:rPr>
          <w:color w:val="auto"/>
          <w:highlight w:val="none"/>
        </w:rPr>
      </w:pPr>
      <w:r>
        <w:rPr>
          <w:color w:val="auto"/>
          <w:highlight w:val="none"/>
        </w:rPr>
        <w:t>3</w:t>
      </w:r>
      <w:r>
        <w:rPr>
          <w:rFonts w:hint="eastAsia"/>
          <w:color w:val="auto"/>
          <w:highlight w:val="none"/>
        </w:rPr>
        <w:t>）时照明箱（盘）内，分别设置零线（</w:t>
      </w:r>
      <w:r>
        <w:rPr>
          <w:color w:val="auto"/>
          <w:highlight w:val="none"/>
        </w:rPr>
        <w:t>N</w:t>
      </w:r>
      <w:r>
        <w:rPr>
          <w:rFonts w:hint="eastAsia"/>
          <w:color w:val="auto"/>
          <w:highlight w:val="none"/>
        </w:rPr>
        <w:t>）和保护地线（</w:t>
      </w:r>
      <w:r>
        <w:rPr>
          <w:color w:val="auto"/>
          <w:highlight w:val="none"/>
        </w:rPr>
        <w:t>PE</w:t>
      </w:r>
      <w:r>
        <w:rPr>
          <w:rFonts w:hint="eastAsia"/>
          <w:color w:val="auto"/>
          <w:highlight w:val="none"/>
        </w:rPr>
        <w:t>线）汇流排，零线和保护地线经汇流排配出。</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）时柜、屏、台、箱、盘相互间或与基础型钢应用镀锌螺栓连接，且防松零件齐全。</w:t>
      </w:r>
    </w:p>
    <w:p>
      <w:pPr>
        <w:pStyle w:val="217"/>
        <w:rPr>
          <w:color w:val="auto"/>
          <w:highlight w:val="none"/>
        </w:rPr>
      </w:pPr>
      <w:r>
        <w:rPr>
          <w:rFonts w:hint="eastAsia"/>
          <w:color w:val="auto"/>
          <w:highlight w:val="none"/>
        </w:rPr>
        <w:t>（</w:t>
      </w:r>
      <w:r>
        <w:rPr>
          <w:color w:val="auto"/>
          <w:highlight w:val="none"/>
        </w:rPr>
        <w:t>7</w:t>
      </w:r>
      <w:r>
        <w:rPr>
          <w:rFonts w:hint="eastAsia"/>
          <w:color w:val="auto"/>
          <w:highlight w:val="none"/>
        </w:rPr>
        <w:t>）时柜、屏、台、箱、盘安装垂直度允许偏差为</w:t>
      </w:r>
      <w:r>
        <w:rPr>
          <w:color w:val="auto"/>
          <w:highlight w:val="none"/>
        </w:rPr>
        <w:t>1.5</w:t>
      </w:r>
      <w:r>
        <w:rPr>
          <w:rFonts w:hint="eastAsia"/>
          <w:color w:val="auto"/>
          <w:highlight w:val="none"/>
        </w:rPr>
        <w:t>‰，相互间接缝不应大于</w:t>
      </w:r>
      <w:r>
        <w:rPr>
          <w:color w:val="auto"/>
          <w:highlight w:val="none"/>
        </w:rPr>
        <w:t>2mm</w:t>
      </w:r>
      <w:r>
        <w:rPr>
          <w:rFonts w:hint="eastAsia"/>
          <w:color w:val="auto"/>
          <w:highlight w:val="none"/>
        </w:rPr>
        <w:t>，成列盘面偏差不应大于</w:t>
      </w:r>
      <w:r>
        <w:rPr>
          <w:color w:val="auto"/>
          <w:highlight w:val="none"/>
        </w:rPr>
        <w:t>5</w:t>
      </w:r>
      <w:r>
        <w:rPr>
          <w:rFonts w:hint="eastAsia"/>
          <w:color w:val="auto"/>
          <w:highlight w:val="none"/>
        </w:rPr>
        <w:t>㎜</w:t>
      </w:r>
    </w:p>
    <w:p>
      <w:pPr>
        <w:pStyle w:val="217"/>
        <w:rPr>
          <w:color w:val="auto"/>
          <w:highlight w:val="none"/>
        </w:rPr>
      </w:pPr>
      <w:r>
        <w:rPr>
          <w:color w:val="auto"/>
          <w:highlight w:val="none"/>
        </w:rPr>
        <w:t>3.</w:t>
      </w:r>
      <w:r>
        <w:rPr>
          <w:rFonts w:hint="eastAsia"/>
          <w:color w:val="auto"/>
          <w:highlight w:val="none"/>
        </w:rPr>
        <w:t>检查试验：</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）柜、屏、台和盘内检查试验应符合下列规定：</w:t>
      </w:r>
    </w:p>
    <w:p>
      <w:pPr>
        <w:pStyle w:val="217"/>
        <w:rPr>
          <w:color w:val="auto"/>
          <w:highlight w:val="none"/>
        </w:rPr>
      </w:pPr>
      <w:r>
        <w:rPr>
          <w:color w:val="auto"/>
          <w:highlight w:val="none"/>
        </w:rPr>
        <w:t>1</w:t>
      </w:r>
      <w:r>
        <w:rPr>
          <w:rFonts w:hint="eastAsia"/>
          <w:color w:val="auto"/>
          <w:highlight w:val="none"/>
        </w:rPr>
        <w:t>）控制开关及保护装置的规格、型号符合设计要求。</w:t>
      </w:r>
    </w:p>
    <w:p>
      <w:pPr>
        <w:pStyle w:val="217"/>
        <w:rPr>
          <w:color w:val="auto"/>
          <w:highlight w:val="none"/>
        </w:rPr>
      </w:pPr>
      <w:r>
        <w:rPr>
          <w:color w:val="auto"/>
          <w:highlight w:val="none"/>
        </w:rPr>
        <w:t>2</w:t>
      </w:r>
      <w:r>
        <w:rPr>
          <w:rFonts w:hint="eastAsia"/>
          <w:color w:val="auto"/>
          <w:highlight w:val="none"/>
        </w:rPr>
        <w:t>）闭锁装置动作准确、可靠。</w:t>
      </w:r>
    </w:p>
    <w:p>
      <w:pPr>
        <w:pStyle w:val="217"/>
        <w:rPr>
          <w:color w:val="auto"/>
          <w:highlight w:val="none"/>
        </w:rPr>
      </w:pPr>
      <w:r>
        <w:rPr>
          <w:color w:val="auto"/>
          <w:highlight w:val="none"/>
        </w:rPr>
        <w:t>3</w:t>
      </w:r>
      <w:r>
        <w:rPr>
          <w:rFonts w:hint="eastAsia"/>
          <w:color w:val="auto"/>
          <w:highlight w:val="none"/>
        </w:rPr>
        <w:t>）主开关的辅助开关切换动作与主开关动作一致。</w:t>
      </w:r>
    </w:p>
    <w:p>
      <w:pPr>
        <w:pStyle w:val="217"/>
        <w:rPr>
          <w:color w:val="auto"/>
          <w:highlight w:val="none"/>
        </w:rPr>
      </w:pPr>
      <w:r>
        <w:rPr>
          <w:color w:val="auto"/>
          <w:highlight w:val="none"/>
        </w:rPr>
        <w:t>4</w:t>
      </w:r>
      <w:r>
        <w:rPr>
          <w:rFonts w:hint="eastAsia"/>
          <w:color w:val="auto"/>
          <w:highlight w:val="none"/>
        </w:rPr>
        <w:t>）柜、屏、台、箱、盘上的标识器件标明被控制设备编号、名称或操作位置，接线端子有编号，且清晰、工整、不易脱色。</w:t>
      </w:r>
    </w:p>
    <w:p>
      <w:pPr>
        <w:pStyle w:val="217"/>
        <w:rPr>
          <w:color w:val="auto"/>
          <w:highlight w:val="none"/>
        </w:rPr>
      </w:pPr>
      <w:r>
        <w:rPr>
          <w:color w:val="auto"/>
          <w:highlight w:val="none"/>
        </w:rPr>
        <w:t>5</w:t>
      </w:r>
      <w:r>
        <w:rPr>
          <w:rFonts w:hint="eastAsia"/>
          <w:color w:val="auto"/>
          <w:highlight w:val="none"/>
        </w:rPr>
        <w:t>）回路中的电子元件不应参加交流耐压试验；</w:t>
      </w:r>
      <w:r>
        <w:rPr>
          <w:color w:val="auto"/>
          <w:highlight w:val="none"/>
        </w:rPr>
        <w:t>48V</w:t>
      </w:r>
      <w:r>
        <w:rPr>
          <w:rFonts w:hint="eastAsia"/>
          <w:color w:val="auto"/>
          <w:highlight w:val="none"/>
        </w:rPr>
        <w:t>及以下回路可不作交流工频耐压试验。</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）低压电器组合应符合下列规定：</w:t>
      </w:r>
    </w:p>
    <w:p>
      <w:pPr>
        <w:pStyle w:val="217"/>
        <w:rPr>
          <w:color w:val="auto"/>
          <w:highlight w:val="none"/>
        </w:rPr>
      </w:pPr>
      <w:r>
        <w:rPr>
          <w:color w:val="auto"/>
          <w:highlight w:val="none"/>
        </w:rPr>
        <w:t>1</w:t>
      </w:r>
      <w:r>
        <w:rPr>
          <w:rFonts w:hint="eastAsia"/>
          <w:color w:val="auto"/>
          <w:highlight w:val="none"/>
        </w:rPr>
        <w:t>）发热元件安装在散热良好的位置。</w:t>
      </w:r>
    </w:p>
    <w:p>
      <w:pPr>
        <w:pStyle w:val="217"/>
        <w:rPr>
          <w:color w:val="auto"/>
          <w:highlight w:val="none"/>
        </w:rPr>
      </w:pPr>
      <w:r>
        <w:rPr>
          <w:color w:val="auto"/>
          <w:highlight w:val="none"/>
        </w:rPr>
        <w:t>2</w:t>
      </w:r>
      <w:r>
        <w:rPr>
          <w:rFonts w:hint="eastAsia"/>
          <w:color w:val="auto"/>
          <w:highlight w:val="none"/>
        </w:rPr>
        <w:t>）自动开关的整定值符合设计要求。</w:t>
      </w:r>
    </w:p>
    <w:p>
      <w:pPr>
        <w:pStyle w:val="217"/>
        <w:rPr>
          <w:color w:val="auto"/>
          <w:highlight w:val="none"/>
        </w:rPr>
      </w:pPr>
      <w:r>
        <w:rPr>
          <w:color w:val="auto"/>
          <w:highlight w:val="none"/>
        </w:rPr>
        <w:t>3</w:t>
      </w:r>
      <w:r>
        <w:rPr>
          <w:rFonts w:hint="eastAsia"/>
          <w:color w:val="auto"/>
          <w:highlight w:val="none"/>
        </w:rPr>
        <w:t>）信号回路的信号灯、按钮、光字牌、电铃、电笛、事故电气中等动作和信号显示正确。</w:t>
      </w:r>
    </w:p>
    <w:p>
      <w:pPr>
        <w:pStyle w:val="217"/>
        <w:rPr>
          <w:color w:val="auto"/>
          <w:highlight w:val="none"/>
        </w:rPr>
      </w:pPr>
      <w:r>
        <w:rPr>
          <w:color w:val="auto"/>
          <w:highlight w:val="none"/>
        </w:rPr>
        <w:t>4</w:t>
      </w:r>
      <w:r>
        <w:rPr>
          <w:rFonts w:hint="eastAsia"/>
          <w:color w:val="auto"/>
          <w:highlight w:val="none"/>
        </w:rPr>
        <w:t>）外壳需接地（</w:t>
      </w:r>
      <w:r>
        <w:rPr>
          <w:color w:val="auto"/>
          <w:highlight w:val="none"/>
        </w:rPr>
        <w:t>PE</w:t>
      </w:r>
      <w:r>
        <w:rPr>
          <w:rFonts w:hint="eastAsia"/>
          <w:color w:val="auto"/>
          <w:highlight w:val="none"/>
        </w:rPr>
        <w:t>）或接零（</w:t>
      </w:r>
      <w:r>
        <w:rPr>
          <w:color w:val="auto"/>
          <w:highlight w:val="none"/>
        </w:rPr>
        <w:t>PEN</w:t>
      </w:r>
      <w:r>
        <w:rPr>
          <w:rFonts w:hint="eastAsia"/>
          <w:color w:val="auto"/>
          <w:highlight w:val="none"/>
        </w:rPr>
        <w:t>）的，连接可靠。</w:t>
      </w:r>
    </w:p>
    <w:p>
      <w:pPr>
        <w:pStyle w:val="217"/>
        <w:rPr>
          <w:color w:val="auto"/>
          <w:highlight w:val="none"/>
        </w:rPr>
      </w:pPr>
      <w:r>
        <w:rPr>
          <w:color w:val="auto"/>
          <w:highlight w:val="none"/>
        </w:rPr>
        <w:t>5</w:t>
      </w:r>
      <w:r>
        <w:rPr>
          <w:rFonts w:hint="eastAsia"/>
          <w:color w:val="auto"/>
          <w:highlight w:val="none"/>
        </w:rPr>
        <w:t>）端子排安装牢固，端子有序号，强电、弱电端子隔离布置，端子规格与线芯截面大小适配。</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）柜、屏、台、箱（盘）间配线：电流回路应采用额定电压不低于</w:t>
      </w:r>
      <w:r>
        <w:rPr>
          <w:color w:val="auto"/>
          <w:highlight w:val="none"/>
        </w:rPr>
        <w:t>750V</w:t>
      </w:r>
      <w:r>
        <w:rPr>
          <w:rFonts w:hint="eastAsia"/>
          <w:color w:val="auto"/>
          <w:highlight w:val="none"/>
        </w:rPr>
        <w:t>，线芯截面不小于</w:t>
      </w:r>
      <w:r>
        <w:rPr>
          <w:color w:val="auto"/>
          <w:highlight w:val="none"/>
        </w:rPr>
        <w:t>2.5mm2</w:t>
      </w:r>
      <w:r>
        <w:rPr>
          <w:rFonts w:hint="eastAsia"/>
          <w:color w:val="auto"/>
          <w:highlight w:val="none"/>
        </w:rPr>
        <w:t>的铜芯绝缘电线或电缆；除电子元件回路或类似回路外，其它回路的电线应采用额定电压不低于</w:t>
      </w:r>
      <w:r>
        <w:rPr>
          <w:color w:val="auto"/>
          <w:highlight w:val="none"/>
        </w:rPr>
        <w:t>750V</w:t>
      </w:r>
      <w:r>
        <w:rPr>
          <w:rFonts w:hint="eastAsia"/>
          <w:color w:val="auto"/>
          <w:highlight w:val="none"/>
        </w:rPr>
        <w:t>、线芯截面不小于</w:t>
      </w:r>
      <w:r>
        <w:rPr>
          <w:color w:val="auto"/>
          <w:highlight w:val="none"/>
        </w:rPr>
        <w:t>1.5mm2</w:t>
      </w:r>
      <w:r>
        <w:rPr>
          <w:rFonts w:hint="eastAsia"/>
          <w:color w:val="auto"/>
          <w:highlight w:val="none"/>
        </w:rPr>
        <w:t>的铜芯绝缘电线或电缆。</w:t>
      </w:r>
    </w:p>
    <w:p>
      <w:pPr>
        <w:pStyle w:val="217"/>
        <w:rPr>
          <w:color w:val="auto"/>
          <w:highlight w:val="none"/>
        </w:rPr>
      </w:pPr>
      <w:r>
        <w:rPr>
          <w:rFonts w:hint="eastAsia"/>
          <w:color w:val="auto"/>
          <w:highlight w:val="none"/>
        </w:rPr>
        <w:t>二次回路连线应成束绑扎，不同电压等级、交流、直流线路及计算机控制线路应分别绑扎，且有标识，固定后不得妨碍抽出部件拉出或推入。</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）次连接柜、屏、台、箱、盘面板上的电器及控制台、板可动部位的电线应符合下列规定：</w:t>
      </w:r>
    </w:p>
    <w:p>
      <w:pPr>
        <w:pStyle w:val="217"/>
        <w:rPr>
          <w:color w:val="auto"/>
          <w:highlight w:val="none"/>
        </w:rPr>
      </w:pPr>
      <w:r>
        <w:rPr>
          <w:color w:val="auto"/>
          <w:highlight w:val="none"/>
        </w:rPr>
        <w:t>1</w:t>
      </w:r>
      <w:r>
        <w:rPr>
          <w:rFonts w:hint="eastAsia"/>
          <w:color w:val="auto"/>
          <w:highlight w:val="none"/>
        </w:rPr>
        <w:t>）次采用多股铜芯软电线，敷设长度留有适当裕量。</w:t>
      </w:r>
    </w:p>
    <w:p>
      <w:pPr>
        <w:pStyle w:val="217"/>
        <w:rPr>
          <w:color w:val="auto"/>
          <w:highlight w:val="none"/>
        </w:rPr>
      </w:pPr>
      <w:r>
        <w:rPr>
          <w:color w:val="auto"/>
          <w:highlight w:val="none"/>
        </w:rPr>
        <w:t>2</w:t>
      </w:r>
      <w:r>
        <w:rPr>
          <w:rFonts w:hint="eastAsia"/>
          <w:color w:val="auto"/>
          <w:highlight w:val="none"/>
        </w:rPr>
        <w:t>）次线束有外套塑料管等加强绝缘保护层。</w:t>
      </w:r>
    </w:p>
    <w:p>
      <w:pPr>
        <w:pStyle w:val="217"/>
        <w:rPr>
          <w:color w:val="auto"/>
          <w:highlight w:val="none"/>
        </w:rPr>
      </w:pPr>
      <w:r>
        <w:rPr>
          <w:color w:val="auto"/>
          <w:highlight w:val="none"/>
        </w:rPr>
        <w:t>3</w:t>
      </w:r>
      <w:r>
        <w:rPr>
          <w:rFonts w:hint="eastAsia"/>
          <w:color w:val="auto"/>
          <w:highlight w:val="none"/>
        </w:rPr>
        <w:t>）次与电器连接时，端部绞紧，且有不开口的终端端子或搪锡，不松散、断股。</w:t>
      </w:r>
    </w:p>
    <w:p>
      <w:pPr>
        <w:pStyle w:val="217"/>
        <w:rPr>
          <w:color w:val="auto"/>
          <w:highlight w:val="none"/>
        </w:rPr>
      </w:pPr>
      <w:r>
        <w:rPr>
          <w:color w:val="auto"/>
          <w:highlight w:val="none"/>
        </w:rPr>
        <w:t>4</w:t>
      </w:r>
      <w:r>
        <w:rPr>
          <w:rFonts w:hint="eastAsia"/>
          <w:color w:val="auto"/>
          <w:highlight w:val="none"/>
        </w:rPr>
        <w:t>）次可转动部位的两端用卡子固定。</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）次照明盘电箱（盘）的安装应符合下列规定：</w:t>
      </w:r>
    </w:p>
    <w:p>
      <w:pPr>
        <w:pStyle w:val="217"/>
        <w:rPr>
          <w:color w:val="auto"/>
          <w:highlight w:val="none"/>
        </w:rPr>
      </w:pPr>
      <w:r>
        <w:rPr>
          <w:color w:val="auto"/>
          <w:highlight w:val="none"/>
        </w:rPr>
        <w:t>1</w:t>
      </w:r>
      <w:r>
        <w:rPr>
          <w:rFonts w:hint="eastAsia"/>
          <w:color w:val="auto"/>
          <w:highlight w:val="none"/>
        </w:rPr>
        <w:t>）次位置正确，部件齐全，箱体开孔与导管管径相适配；暗装配电箱箱盖紧贴墙面，箱（盘）涂层完整。</w:t>
      </w:r>
    </w:p>
    <w:p>
      <w:pPr>
        <w:pStyle w:val="217"/>
        <w:rPr>
          <w:color w:val="auto"/>
          <w:highlight w:val="none"/>
        </w:rPr>
      </w:pPr>
      <w:r>
        <w:rPr>
          <w:color w:val="auto"/>
          <w:highlight w:val="none"/>
        </w:rPr>
        <w:t>2</w:t>
      </w:r>
      <w:r>
        <w:rPr>
          <w:rFonts w:hint="eastAsia"/>
          <w:color w:val="auto"/>
          <w:highlight w:val="none"/>
        </w:rPr>
        <w:t>）次箱（盘）内接线整齐，回路编号齐全，标识正确。</w:t>
      </w:r>
    </w:p>
    <w:p>
      <w:pPr>
        <w:pStyle w:val="217"/>
        <w:rPr>
          <w:color w:val="auto"/>
          <w:highlight w:val="none"/>
        </w:rPr>
      </w:pPr>
      <w:r>
        <w:rPr>
          <w:color w:val="auto"/>
          <w:highlight w:val="none"/>
        </w:rPr>
        <w:t>3</w:t>
      </w:r>
      <w:r>
        <w:rPr>
          <w:rFonts w:hint="eastAsia"/>
          <w:color w:val="auto"/>
          <w:highlight w:val="none"/>
        </w:rPr>
        <w:t>）次箱（盘）不采用可燃材料制作。</w:t>
      </w:r>
    </w:p>
    <w:p>
      <w:pPr>
        <w:pStyle w:val="217"/>
        <w:rPr>
          <w:color w:val="auto"/>
          <w:highlight w:val="none"/>
        </w:rPr>
      </w:pPr>
      <w:r>
        <w:rPr>
          <w:color w:val="auto"/>
          <w:highlight w:val="none"/>
        </w:rPr>
        <w:t>4</w:t>
      </w:r>
      <w:r>
        <w:rPr>
          <w:rFonts w:hint="eastAsia"/>
          <w:color w:val="auto"/>
          <w:highlight w:val="none"/>
        </w:rPr>
        <w:t>）次箱（盘）安装牢固，垂直度允许偏差为</w:t>
      </w:r>
      <w:r>
        <w:rPr>
          <w:color w:val="auto"/>
          <w:highlight w:val="none"/>
        </w:rPr>
        <w:t>1.5</w:t>
      </w:r>
      <w:r>
        <w:rPr>
          <w:rFonts w:hint="eastAsia"/>
          <w:color w:val="auto"/>
          <w:highlight w:val="none"/>
        </w:rPr>
        <w:t>‰；底边距地为</w:t>
      </w:r>
      <w:r>
        <w:rPr>
          <w:color w:val="auto"/>
          <w:highlight w:val="none"/>
        </w:rPr>
        <w:t>1.5m</w:t>
      </w:r>
      <w:r>
        <w:rPr>
          <w:rFonts w:hint="eastAsia"/>
          <w:color w:val="auto"/>
          <w:highlight w:val="none"/>
        </w:rPr>
        <w:t>；照明配电板底边距地面不小于</w:t>
      </w:r>
      <w:r>
        <w:rPr>
          <w:color w:val="auto"/>
          <w:highlight w:val="none"/>
        </w:rPr>
        <w:t>1.8m</w:t>
      </w:r>
      <w:r>
        <w:rPr>
          <w:rFonts w:hint="eastAsia"/>
          <w:color w:val="auto"/>
          <w:highlight w:val="none"/>
        </w:rPr>
        <w:t>。</w:t>
      </w:r>
    </w:p>
    <w:p>
      <w:pPr>
        <w:pStyle w:val="172"/>
        <w:rPr>
          <w:color w:val="auto"/>
          <w:highlight w:val="none"/>
        </w:rPr>
      </w:pPr>
      <w:r>
        <w:rPr>
          <w:color w:val="auto"/>
          <w:highlight w:val="none"/>
        </w:rPr>
        <w:t xml:space="preserve">3.2.2 </w:t>
      </w:r>
      <w:r>
        <w:rPr>
          <w:rFonts w:hint="eastAsia"/>
          <w:color w:val="auto"/>
          <w:highlight w:val="none"/>
        </w:rPr>
        <w:t>配电线路</w:t>
      </w:r>
    </w:p>
    <w:p>
      <w:pPr>
        <w:pStyle w:val="217"/>
        <w:rPr>
          <w:color w:val="auto"/>
          <w:highlight w:val="none"/>
        </w:rPr>
      </w:pPr>
      <w:r>
        <w:rPr>
          <w:color w:val="auto"/>
          <w:highlight w:val="none"/>
        </w:rPr>
        <w:t>1.</w:t>
      </w:r>
      <w:r>
        <w:rPr>
          <w:rFonts w:hint="eastAsia"/>
          <w:color w:val="auto"/>
          <w:highlight w:val="none"/>
        </w:rPr>
        <w:t>配线所用材料电线导管、绝缘导管、线槽、电线电缆必须符合设计要求。对以上材料的性能及技术要求和生产厂家所具备的基本条件详见附表《电气工程材料、设备产品性能、技术要求或生产厂家基本要求》。</w:t>
      </w:r>
    </w:p>
    <w:p>
      <w:pPr>
        <w:pStyle w:val="217"/>
        <w:rPr>
          <w:color w:val="auto"/>
          <w:highlight w:val="none"/>
        </w:rPr>
      </w:pPr>
      <w:r>
        <w:rPr>
          <w:color w:val="auto"/>
          <w:highlight w:val="none"/>
        </w:rPr>
        <w:t>2.</w:t>
      </w:r>
      <w:r>
        <w:rPr>
          <w:rFonts w:hint="eastAsia"/>
          <w:color w:val="auto"/>
          <w:highlight w:val="none"/>
        </w:rPr>
        <w:t>电线导管敷设质量要求：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）金属导管敷设要求</w:t>
      </w:r>
    </w:p>
    <w:p>
      <w:pPr>
        <w:pStyle w:val="217"/>
        <w:rPr>
          <w:color w:val="auto"/>
          <w:highlight w:val="none"/>
        </w:rPr>
      </w:pPr>
      <w:r>
        <w:rPr>
          <w:color w:val="auto"/>
          <w:highlight w:val="none"/>
        </w:rPr>
        <w:t>1</w:t>
      </w:r>
      <w:r>
        <w:rPr>
          <w:rFonts w:hint="eastAsia"/>
          <w:color w:val="auto"/>
          <w:highlight w:val="none"/>
        </w:rPr>
        <w:t>）金属导管严禁对口熔焊连接；镀锌钢管和壁厚小于或等于</w:t>
      </w:r>
      <w:r>
        <w:rPr>
          <w:color w:val="auto"/>
          <w:highlight w:val="none"/>
        </w:rPr>
        <w:t>2mm</w:t>
      </w:r>
      <w:r>
        <w:rPr>
          <w:rFonts w:hint="eastAsia"/>
          <w:color w:val="auto"/>
          <w:highlight w:val="none"/>
        </w:rPr>
        <w:t>的钢导管不得用套管熔焊连接。直径为</w:t>
      </w:r>
      <w:r>
        <w:rPr>
          <w:color w:val="auto"/>
          <w:highlight w:val="none"/>
        </w:rPr>
        <w:t>20mm</w:t>
      </w:r>
      <w:r>
        <w:rPr>
          <w:rFonts w:hint="eastAsia"/>
          <w:color w:val="auto"/>
          <w:highlight w:val="none"/>
        </w:rPr>
        <w:t>金属导管壁厚不能小于</w:t>
      </w:r>
      <w:r>
        <w:rPr>
          <w:color w:val="auto"/>
          <w:highlight w:val="none"/>
        </w:rPr>
        <w:t>2.0mm</w:t>
      </w:r>
      <w:r>
        <w:rPr>
          <w:rFonts w:hint="eastAsia"/>
          <w:color w:val="auto"/>
          <w:highlight w:val="none"/>
        </w:rPr>
        <w:t>。直径大于</w:t>
      </w:r>
      <w:r>
        <w:rPr>
          <w:color w:val="auto"/>
          <w:highlight w:val="none"/>
        </w:rPr>
        <w:t>20mm</w:t>
      </w:r>
      <w:r>
        <w:rPr>
          <w:rFonts w:hint="eastAsia"/>
          <w:color w:val="auto"/>
          <w:highlight w:val="none"/>
        </w:rPr>
        <w:t>金属导管其壁厚应符合规范要求。</w:t>
      </w:r>
    </w:p>
    <w:p>
      <w:pPr>
        <w:pStyle w:val="217"/>
        <w:rPr>
          <w:color w:val="auto"/>
          <w:highlight w:val="none"/>
        </w:rPr>
      </w:pPr>
      <w:r>
        <w:rPr>
          <w:color w:val="auto"/>
          <w:highlight w:val="none"/>
        </w:rPr>
        <w:t>2</w:t>
      </w:r>
      <w:r>
        <w:rPr>
          <w:rFonts w:hint="eastAsia"/>
          <w:color w:val="auto"/>
          <w:highlight w:val="none"/>
        </w:rPr>
        <w:t>）属金属导管和线槽必须接地（</w:t>
      </w:r>
      <w:r>
        <w:rPr>
          <w:color w:val="auto"/>
          <w:highlight w:val="none"/>
        </w:rPr>
        <w:t>PE</w:t>
      </w:r>
      <w:r>
        <w:rPr>
          <w:rFonts w:hint="eastAsia"/>
          <w:color w:val="auto"/>
          <w:highlight w:val="none"/>
        </w:rPr>
        <w:t>）或接零（</w:t>
      </w:r>
      <w:r>
        <w:rPr>
          <w:color w:val="auto"/>
          <w:highlight w:val="none"/>
        </w:rPr>
        <w:t>PEN</w:t>
      </w:r>
      <w:r>
        <w:rPr>
          <w:rFonts w:hint="eastAsia"/>
          <w:color w:val="auto"/>
          <w:highlight w:val="none"/>
        </w:rPr>
        <w:t>）可靠，镀锌钢导管、可挠性金属导管不得熔焊跨接接地线，须以专用接地卡跨接的两卡间连线为铜芯软导线，截面积不小于</w:t>
      </w:r>
      <w:r>
        <w:rPr>
          <w:color w:val="auto"/>
          <w:highlight w:val="none"/>
        </w:rPr>
        <w:t>4mm2</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）室外导管的管口应设置在盒箱内。所有管口在穿入电线后应作密封处理。壁厚小于</w:t>
      </w:r>
      <w:r>
        <w:rPr>
          <w:color w:val="auto"/>
          <w:highlight w:val="none"/>
        </w:rPr>
        <w:t>2mm</w:t>
      </w:r>
      <w:r>
        <w:rPr>
          <w:rFonts w:hint="eastAsia"/>
          <w:color w:val="auto"/>
          <w:highlight w:val="none"/>
        </w:rPr>
        <w:t>的钢电线管不应埋设于室外土壤内。</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）钢进入落地室柜、台、箱、盘内的导管管口，应高于台、箱盘的基础面</w:t>
      </w:r>
      <w:r>
        <w:rPr>
          <w:color w:val="auto"/>
          <w:highlight w:val="none"/>
        </w:rPr>
        <w:t>50</w:t>
      </w:r>
      <w:r>
        <w:rPr>
          <w:rFonts w:hint="eastAsia"/>
          <w:color w:val="auto"/>
          <w:highlight w:val="none"/>
        </w:rPr>
        <w:t>～</w:t>
      </w:r>
      <w:r>
        <w:rPr>
          <w:color w:val="auto"/>
          <w:highlight w:val="none"/>
        </w:rPr>
        <w:t>80mm</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）钢明配管应排列整齐，横平竖直，固定点间距均匀，安装牢固；在终端、弯头中点或柜、台、箱等边缘的距离</w:t>
      </w:r>
      <w:r>
        <w:rPr>
          <w:color w:val="auto"/>
          <w:highlight w:val="none"/>
        </w:rPr>
        <w:t>150</w:t>
      </w:r>
      <w:r>
        <w:rPr>
          <w:rFonts w:hint="eastAsia"/>
          <w:color w:val="auto"/>
          <w:highlight w:val="none"/>
        </w:rPr>
        <w:t>～</w:t>
      </w:r>
      <w:r>
        <w:rPr>
          <w:color w:val="auto"/>
          <w:highlight w:val="none"/>
        </w:rPr>
        <w:t>500mm</w:t>
      </w:r>
      <w:r>
        <w:rPr>
          <w:rFonts w:hint="eastAsia"/>
          <w:color w:val="auto"/>
          <w:highlight w:val="none"/>
        </w:rPr>
        <w:t>范围内没有管卡，中间直线段管卡间的最大距离符合规范要求。</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）钢绝缘导管的敷设要求</w:t>
      </w:r>
    </w:p>
    <w:p>
      <w:pPr>
        <w:pStyle w:val="217"/>
        <w:rPr>
          <w:color w:val="auto"/>
          <w:highlight w:val="none"/>
        </w:rPr>
      </w:pPr>
      <w:r>
        <w:rPr>
          <w:color w:val="auto"/>
          <w:highlight w:val="none"/>
        </w:rPr>
        <w:t>1</w:t>
      </w:r>
      <w:r>
        <w:rPr>
          <w:rFonts w:hint="eastAsia"/>
          <w:color w:val="auto"/>
          <w:highlight w:val="none"/>
        </w:rPr>
        <w:t>）钢管口平整光滑，管与管、管与盒（箱）等器件采用插入法连接时，连接处结合面涂专用胶粘剂，接口牢固密封。</w:t>
      </w:r>
    </w:p>
    <w:p>
      <w:pPr>
        <w:pStyle w:val="217"/>
        <w:rPr>
          <w:color w:val="auto"/>
          <w:highlight w:val="none"/>
        </w:rPr>
      </w:pPr>
      <w:r>
        <w:rPr>
          <w:color w:val="auto"/>
          <w:highlight w:val="none"/>
        </w:rPr>
        <w:t>2</w:t>
      </w:r>
      <w:r>
        <w:rPr>
          <w:rFonts w:hint="eastAsia"/>
          <w:color w:val="auto"/>
          <w:highlight w:val="none"/>
        </w:rPr>
        <w:t>）钢直埋于地下或楼板内的刚性绝缘导管，在穿出地面或楼板易受机械损伤的一段，采取保护措施。</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）钢金属、非金属柔性导管的敷设：</w:t>
      </w:r>
    </w:p>
    <w:p>
      <w:pPr>
        <w:pStyle w:val="217"/>
        <w:rPr>
          <w:color w:val="auto"/>
          <w:highlight w:val="none"/>
        </w:rPr>
      </w:pPr>
      <w:r>
        <w:rPr>
          <w:color w:val="auto"/>
          <w:highlight w:val="none"/>
        </w:rPr>
        <w:t>1</w:t>
      </w:r>
      <w:r>
        <w:rPr>
          <w:rFonts w:hint="eastAsia"/>
          <w:color w:val="auto"/>
          <w:highlight w:val="none"/>
        </w:rPr>
        <w:t>）钢刚性导管经柔性导管与刚性导管或电气设备、器具间连接，柔性导管的长度在动力工程中不大于</w:t>
      </w:r>
      <w:r>
        <w:rPr>
          <w:color w:val="auto"/>
          <w:highlight w:val="none"/>
        </w:rPr>
        <w:t>0.8m</w:t>
      </w:r>
      <w:r>
        <w:rPr>
          <w:rFonts w:hint="eastAsia"/>
          <w:color w:val="auto"/>
          <w:highlight w:val="none"/>
        </w:rPr>
        <w:t>；在照明工程中不大于</w:t>
      </w:r>
      <w:r>
        <w:rPr>
          <w:color w:val="auto"/>
          <w:highlight w:val="none"/>
        </w:rPr>
        <w:t>1.2m</w:t>
      </w:r>
      <w:r>
        <w:rPr>
          <w:rFonts w:hint="eastAsia"/>
          <w:color w:val="auto"/>
          <w:highlight w:val="none"/>
        </w:rPr>
        <w:t>。</w:t>
      </w:r>
    </w:p>
    <w:p>
      <w:pPr>
        <w:pStyle w:val="217"/>
        <w:rPr>
          <w:color w:val="auto"/>
          <w:highlight w:val="none"/>
        </w:rPr>
      </w:pPr>
      <w:r>
        <w:rPr>
          <w:color w:val="auto"/>
          <w:highlight w:val="none"/>
        </w:rPr>
        <w:t>2</w:t>
      </w:r>
      <w:r>
        <w:rPr>
          <w:rFonts w:hint="eastAsia"/>
          <w:color w:val="auto"/>
          <w:highlight w:val="none"/>
        </w:rPr>
        <w:t>）可挠金属管或其它柔性导管与刚性导管或电气设备、器具间的连接采用专用接头，复合型可挠金属管或其它柔性导管的连接处密封良好，防腐液覆盖层完整无损。</w:t>
      </w:r>
    </w:p>
    <w:p>
      <w:pPr>
        <w:pStyle w:val="217"/>
        <w:rPr>
          <w:color w:val="auto"/>
          <w:highlight w:val="none"/>
        </w:rPr>
      </w:pPr>
      <w:r>
        <w:rPr>
          <w:color w:val="auto"/>
          <w:highlight w:val="none"/>
        </w:rPr>
        <w:t>3</w:t>
      </w:r>
      <w:r>
        <w:rPr>
          <w:rFonts w:hint="eastAsia"/>
          <w:color w:val="auto"/>
          <w:highlight w:val="none"/>
        </w:rPr>
        <w:t>）可挠性金属导管和金属柔性导管不能做接地（</w:t>
      </w:r>
      <w:r>
        <w:rPr>
          <w:color w:val="auto"/>
          <w:highlight w:val="none"/>
        </w:rPr>
        <w:t>PE</w:t>
      </w:r>
      <w:r>
        <w:rPr>
          <w:rFonts w:hint="eastAsia"/>
          <w:color w:val="auto"/>
          <w:highlight w:val="none"/>
        </w:rPr>
        <w:t>）或接零（</w:t>
      </w:r>
      <w:r>
        <w:rPr>
          <w:color w:val="auto"/>
          <w:highlight w:val="none"/>
        </w:rPr>
        <w:t>PEN</w:t>
      </w:r>
      <w:r>
        <w:rPr>
          <w:rFonts w:hint="eastAsia"/>
          <w:color w:val="auto"/>
          <w:highlight w:val="none"/>
        </w:rPr>
        <w:t>）的接续导体。</w:t>
      </w:r>
    </w:p>
    <w:p>
      <w:pPr>
        <w:pStyle w:val="217"/>
        <w:rPr>
          <w:color w:val="auto"/>
          <w:highlight w:val="none"/>
        </w:rPr>
      </w:pPr>
      <w:r>
        <w:rPr>
          <w:color w:val="auto"/>
          <w:highlight w:val="none"/>
        </w:rPr>
        <w:t>4</w:t>
      </w:r>
      <w:r>
        <w:rPr>
          <w:rFonts w:hint="eastAsia"/>
          <w:color w:val="auto"/>
          <w:highlight w:val="none"/>
        </w:rPr>
        <w:t>）导管在建筑物变形缝处应设补偿装置。</w:t>
      </w:r>
    </w:p>
    <w:p>
      <w:pPr>
        <w:pStyle w:val="217"/>
        <w:rPr>
          <w:color w:val="auto"/>
          <w:highlight w:val="none"/>
        </w:rPr>
      </w:pPr>
      <w:r>
        <w:rPr>
          <w:color w:val="auto"/>
          <w:highlight w:val="none"/>
        </w:rPr>
        <w:t>3.</w:t>
      </w:r>
      <w:r>
        <w:rPr>
          <w:rFonts w:hint="eastAsia"/>
          <w:color w:val="auto"/>
          <w:highlight w:val="none"/>
        </w:rPr>
        <w:t>电线穿管的质量要求：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）三相式单相交流单芯电缆，不得单独穿于钢导管内。</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）电线穿管前，应清除管内杂物和积水。管口应有保护措施，不进入接线盒（箱）的垂直管口穿入电线后，管口应密封。</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）不同回路、不同电压等级和交流与直流的电线，不应穿于同一导管内；同一交流回路的电线应穿于同一金属导管内，且管内电线不得有接头。</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）当采用多相供电时，同一建筑物、构筑物的电线绝缘层颜色选择一致，保护地线（</w:t>
      </w:r>
      <w:r>
        <w:rPr>
          <w:color w:val="auto"/>
          <w:highlight w:val="none"/>
        </w:rPr>
        <w:t>PE</w:t>
      </w:r>
      <w:r>
        <w:rPr>
          <w:rFonts w:hint="eastAsia"/>
          <w:color w:val="auto"/>
          <w:highlight w:val="none"/>
        </w:rPr>
        <w:t>）应是黄绿相间色，零线用淡兰色；相线用：</w:t>
      </w:r>
      <w:r>
        <w:rPr>
          <w:color w:val="auto"/>
          <w:highlight w:val="none"/>
        </w:rPr>
        <w:t>A</w:t>
      </w:r>
      <w:r>
        <w:rPr>
          <w:rFonts w:hint="eastAsia"/>
          <w:color w:val="auto"/>
          <w:highlight w:val="none"/>
        </w:rPr>
        <w:t>相</w:t>
      </w:r>
      <w:r>
        <w:rPr>
          <w:color w:val="auto"/>
          <w:highlight w:val="none"/>
        </w:rPr>
        <w:t>—</w:t>
      </w:r>
      <w:r>
        <w:rPr>
          <w:rFonts w:hint="eastAsia"/>
          <w:color w:val="auto"/>
          <w:highlight w:val="none"/>
        </w:rPr>
        <w:t>黄色，</w:t>
      </w:r>
      <w:r>
        <w:rPr>
          <w:color w:val="auto"/>
          <w:highlight w:val="none"/>
        </w:rPr>
        <w:t>B</w:t>
      </w:r>
      <w:r>
        <w:rPr>
          <w:rFonts w:hint="eastAsia"/>
          <w:color w:val="auto"/>
          <w:highlight w:val="none"/>
        </w:rPr>
        <w:t>相</w:t>
      </w:r>
      <w:r>
        <w:rPr>
          <w:color w:val="auto"/>
          <w:highlight w:val="none"/>
        </w:rPr>
        <w:t>—</w:t>
      </w:r>
      <w:r>
        <w:rPr>
          <w:rFonts w:hint="eastAsia"/>
          <w:color w:val="auto"/>
          <w:highlight w:val="none"/>
        </w:rPr>
        <w:t>绿色，</w:t>
      </w:r>
      <w:r>
        <w:rPr>
          <w:color w:val="auto"/>
          <w:highlight w:val="none"/>
        </w:rPr>
        <w:t>C</w:t>
      </w:r>
      <w:r>
        <w:rPr>
          <w:rFonts w:hint="eastAsia"/>
          <w:color w:val="auto"/>
          <w:highlight w:val="none"/>
        </w:rPr>
        <w:t>相</w:t>
      </w:r>
      <w:r>
        <w:rPr>
          <w:color w:val="auto"/>
          <w:highlight w:val="none"/>
        </w:rPr>
        <w:t>—</w:t>
      </w:r>
      <w:r>
        <w:rPr>
          <w:rFonts w:hint="eastAsia"/>
          <w:color w:val="auto"/>
          <w:highlight w:val="none"/>
        </w:rPr>
        <w:t>红色。</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）低压电线，相间和相对地间的绝缘电阻必须大于</w:t>
      </w:r>
      <w:r>
        <w:rPr>
          <w:color w:val="auto"/>
          <w:highlight w:val="none"/>
        </w:rPr>
        <w:t>0.5M</w:t>
      </w:r>
      <w:r>
        <w:rPr>
          <w:rFonts w:hint="eastAsia"/>
          <w:color w:val="auto"/>
          <w:highlight w:val="none"/>
        </w:rPr>
        <w:t>Ω。</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）电线接线必须正确，并联运行的电线的型号、规格、长度、相位一致。</w:t>
      </w:r>
    </w:p>
    <w:p>
      <w:pPr>
        <w:pStyle w:val="217"/>
        <w:rPr>
          <w:color w:val="auto"/>
          <w:highlight w:val="none"/>
        </w:rPr>
      </w:pPr>
      <w:r>
        <w:rPr>
          <w:color w:val="auto"/>
          <w:highlight w:val="none"/>
        </w:rPr>
        <w:t>4.</w:t>
      </w:r>
      <w:r>
        <w:rPr>
          <w:rFonts w:hint="eastAsia"/>
          <w:color w:val="auto"/>
          <w:highlight w:val="none"/>
        </w:rPr>
        <w:t>金属线槽敷设质量要求：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）金属线槽必须接地（</w:t>
      </w:r>
      <w:r>
        <w:rPr>
          <w:color w:val="auto"/>
          <w:highlight w:val="none"/>
        </w:rPr>
        <w:t>PE</w:t>
      </w:r>
      <w:r>
        <w:rPr>
          <w:rFonts w:hint="eastAsia"/>
          <w:color w:val="auto"/>
          <w:highlight w:val="none"/>
        </w:rPr>
        <w:t>）或接零（</w:t>
      </w:r>
      <w:r>
        <w:rPr>
          <w:color w:val="auto"/>
          <w:highlight w:val="none"/>
        </w:rPr>
        <w:t>PEN</w:t>
      </w:r>
      <w:r>
        <w:rPr>
          <w:rFonts w:hint="eastAsia"/>
          <w:color w:val="auto"/>
          <w:highlight w:val="none"/>
        </w:rPr>
        <w:t>）可靠，并符合下列规定：</w:t>
      </w:r>
    </w:p>
    <w:p>
      <w:pPr>
        <w:pStyle w:val="217"/>
        <w:rPr>
          <w:color w:val="auto"/>
          <w:highlight w:val="none"/>
        </w:rPr>
      </w:pPr>
      <w:r>
        <w:rPr>
          <w:color w:val="auto"/>
          <w:highlight w:val="none"/>
        </w:rPr>
        <w:t>1</w:t>
      </w:r>
      <w:r>
        <w:rPr>
          <w:rFonts w:hint="eastAsia"/>
          <w:color w:val="auto"/>
          <w:highlight w:val="none"/>
        </w:rPr>
        <w:t>）金属线槽不作设备的接地导体，当设计无要求时，金属线槽全长不少于两处与接地（</w:t>
      </w:r>
      <w:r>
        <w:rPr>
          <w:color w:val="auto"/>
          <w:highlight w:val="none"/>
        </w:rPr>
        <w:t>PE</w:t>
      </w:r>
      <w:r>
        <w:rPr>
          <w:rFonts w:hint="eastAsia"/>
          <w:color w:val="auto"/>
          <w:highlight w:val="none"/>
        </w:rPr>
        <w:t>）或接零（</w:t>
      </w:r>
      <w:r>
        <w:rPr>
          <w:color w:val="auto"/>
          <w:highlight w:val="none"/>
        </w:rPr>
        <w:t>PEN</w:t>
      </w:r>
      <w:r>
        <w:rPr>
          <w:rFonts w:hint="eastAsia"/>
          <w:color w:val="auto"/>
          <w:highlight w:val="none"/>
        </w:rPr>
        <w:t>）干线连接。</w:t>
      </w:r>
    </w:p>
    <w:p>
      <w:pPr>
        <w:pStyle w:val="217"/>
        <w:rPr>
          <w:color w:val="auto"/>
          <w:highlight w:val="none"/>
        </w:rPr>
      </w:pPr>
      <w:r>
        <w:rPr>
          <w:color w:val="auto"/>
          <w:highlight w:val="none"/>
        </w:rPr>
        <w:t>2</w:t>
      </w:r>
      <w:r>
        <w:rPr>
          <w:rFonts w:hint="eastAsia"/>
          <w:color w:val="auto"/>
          <w:highlight w:val="none"/>
        </w:rPr>
        <w:t>）镀锌线槽间连接板的两端不跨接接地线，但连接板两端不少于</w:t>
      </w:r>
      <w:r>
        <w:rPr>
          <w:color w:val="auto"/>
          <w:highlight w:val="none"/>
        </w:rPr>
        <w:t>2</w:t>
      </w:r>
      <w:r>
        <w:rPr>
          <w:rFonts w:hint="eastAsia"/>
          <w:color w:val="auto"/>
          <w:highlight w:val="none"/>
        </w:rPr>
        <w:t>个有防松螺帽或防松垫圈的连接固定螺栓。</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）线槽敷设应平直、整齐，连接应连接无间断，安装应牢固，无扭曲变形，紧固件的螺母应在线槽外侧。每节槽的固定点不应少于两个，在转角、分支和端部均应有固定点。</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）线槽在建筑物变形缝处应设补偿装置。</w:t>
      </w:r>
    </w:p>
    <w:p>
      <w:pPr>
        <w:pStyle w:val="217"/>
        <w:rPr>
          <w:color w:val="auto"/>
          <w:highlight w:val="none"/>
        </w:rPr>
      </w:pPr>
      <w:r>
        <w:rPr>
          <w:color w:val="auto"/>
          <w:highlight w:val="none"/>
        </w:rPr>
        <w:t>5.</w:t>
      </w:r>
      <w:r>
        <w:rPr>
          <w:rFonts w:hint="eastAsia"/>
          <w:color w:val="auto"/>
          <w:highlight w:val="none"/>
        </w:rPr>
        <w:t>线槽敷线质量要求：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）电线在线槽内有一定余量，不得有接头。电线按回路编号分段绑扎，绑扎点间距不应大于</w:t>
      </w:r>
      <w:r>
        <w:rPr>
          <w:color w:val="auto"/>
          <w:highlight w:val="none"/>
        </w:rPr>
        <w:t>2m</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）同一回路相线、零线敷设于同一线槽内。</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）同一电源的不同回路，无抗干扰要求的线路可敷设于同一线槽内，敷设于同一线槽内有抗干扰要求的线路用隔板隔离，或采用屏蔽电线且屏蔽护套一端接地。</w:t>
      </w:r>
    </w:p>
    <w:p>
      <w:pPr>
        <w:pStyle w:val="172"/>
        <w:rPr>
          <w:color w:val="auto"/>
          <w:highlight w:val="none"/>
        </w:rPr>
      </w:pPr>
      <w:r>
        <w:rPr>
          <w:color w:val="auto"/>
          <w:highlight w:val="none"/>
        </w:rPr>
        <w:t xml:space="preserve">3.2.3 </w:t>
      </w:r>
      <w:r>
        <w:rPr>
          <w:rFonts w:hint="eastAsia"/>
          <w:color w:val="auto"/>
          <w:highlight w:val="none"/>
        </w:rPr>
        <w:t>电缆线路</w:t>
      </w:r>
    </w:p>
    <w:p>
      <w:pPr>
        <w:pStyle w:val="217"/>
        <w:rPr>
          <w:color w:val="auto"/>
          <w:highlight w:val="none"/>
        </w:rPr>
      </w:pPr>
      <w:r>
        <w:rPr>
          <w:color w:val="auto"/>
          <w:highlight w:val="none"/>
        </w:rPr>
        <w:t>1.</w:t>
      </w:r>
      <w:r>
        <w:rPr>
          <w:rFonts w:hint="eastAsia"/>
          <w:color w:val="auto"/>
          <w:highlight w:val="none"/>
        </w:rPr>
        <w:t>电缆线路施工应按已批准的设计图纸要求施工，电缆型号、电压、规格应符合设计要求，所用的材料：电缆桥架、托架、电缆、电缆头部件及接线端子应符合设计要求和国家相关标准的规定，详见附表《电气工程材料、设备技术要求表》。</w:t>
      </w:r>
    </w:p>
    <w:p>
      <w:pPr>
        <w:pStyle w:val="217"/>
        <w:rPr>
          <w:color w:val="auto"/>
          <w:highlight w:val="none"/>
        </w:rPr>
      </w:pPr>
      <w:r>
        <w:rPr>
          <w:color w:val="auto"/>
          <w:highlight w:val="none"/>
        </w:rPr>
        <w:t>2.</w:t>
      </w:r>
      <w:r>
        <w:rPr>
          <w:rFonts w:hint="eastAsia"/>
          <w:color w:val="auto"/>
          <w:highlight w:val="none"/>
        </w:rPr>
        <w:t>施工中的安全技术措施应符合国家有关规范和现行有关安全技术标准及产品的技术文件的规定。</w:t>
      </w:r>
    </w:p>
    <w:p>
      <w:pPr>
        <w:pStyle w:val="217"/>
        <w:rPr>
          <w:color w:val="auto"/>
          <w:highlight w:val="none"/>
        </w:rPr>
      </w:pPr>
      <w:r>
        <w:rPr>
          <w:color w:val="auto"/>
          <w:highlight w:val="none"/>
        </w:rPr>
        <w:t>3.</w:t>
      </w:r>
      <w:r>
        <w:rPr>
          <w:rFonts w:hint="eastAsia"/>
          <w:color w:val="auto"/>
          <w:highlight w:val="none"/>
        </w:rPr>
        <w:t>电缆及其附件安装用的钢制紧固件，除地脚螺栓外，应用热镀锌制品。地下室所有明敷线管、线槽、桥架及其支吊架应按设计要求做防腐处理</w:t>
      </w:r>
      <w:r>
        <w:rPr>
          <w:color w:val="auto"/>
          <w:highlight w:val="none"/>
        </w:rPr>
        <w:t xml:space="preserve">, </w:t>
      </w:r>
      <w:r>
        <w:rPr>
          <w:rFonts w:hint="eastAsia"/>
          <w:color w:val="auto"/>
          <w:highlight w:val="none"/>
        </w:rPr>
        <w:t>所有支吊架采用热镀锌制品。</w:t>
      </w:r>
    </w:p>
    <w:p>
      <w:pPr>
        <w:pStyle w:val="217"/>
        <w:rPr>
          <w:color w:val="auto"/>
          <w:highlight w:val="none"/>
        </w:rPr>
      </w:pPr>
      <w:r>
        <w:rPr>
          <w:color w:val="auto"/>
          <w:highlight w:val="none"/>
        </w:rPr>
        <w:t>4.</w:t>
      </w:r>
      <w:r>
        <w:rPr>
          <w:rFonts w:hint="eastAsia"/>
          <w:color w:val="auto"/>
          <w:highlight w:val="none"/>
        </w:rPr>
        <w:t>金属电缆桥架安装和桥架内电缆敷设：</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）金属电缆桥架及其支架和引入或引出的金属电缆导管必须接地（</w:t>
      </w:r>
      <w:r>
        <w:rPr>
          <w:color w:val="auto"/>
          <w:highlight w:val="none"/>
        </w:rPr>
        <w:t>PE</w:t>
      </w:r>
      <w:r>
        <w:rPr>
          <w:rFonts w:hint="eastAsia"/>
          <w:color w:val="auto"/>
          <w:highlight w:val="none"/>
        </w:rPr>
        <w:t>）或接零（</w:t>
      </w:r>
      <w:r>
        <w:rPr>
          <w:color w:val="auto"/>
          <w:highlight w:val="none"/>
        </w:rPr>
        <w:t>PEN</w:t>
      </w:r>
      <w:r>
        <w:rPr>
          <w:rFonts w:hint="eastAsia"/>
          <w:color w:val="auto"/>
          <w:highlight w:val="none"/>
        </w:rPr>
        <w:t>）可靠，且必须符合下列规定：</w:t>
      </w:r>
    </w:p>
    <w:p>
      <w:pPr>
        <w:pStyle w:val="217"/>
        <w:rPr>
          <w:color w:val="auto"/>
          <w:highlight w:val="none"/>
        </w:rPr>
      </w:pPr>
      <w:r>
        <w:rPr>
          <w:color w:val="auto"/>
          <w:highlight w:val="none"/>
        </w:rPr>
        <w:t>1</w:t>
      </w:r>
      <w:r>
        <w:rPr>
          <w:rFonts w:hint="eastAsia"/>
          <w:color w:val="auto"/>
          <w:highlight w:val="none"/>
        </w:rPr>
        <w:t>）金属电缆桥架及其支架全长应不少于</w:t>
      </w:r>
      <w:r>
        <w:rPr>
          <w:color w:val="auto"/>
          <w:highlight w:val="none"/>
        </w:rPr>
        <w:t>2</w:t>
      </w:r>
      <w:r>
        <w:rPr>
          <w:rFonts w:hint="eastAsia"/>
          <w:color w:val="auto"/>
          <w:highlight w:val="none"/>
        </w:rPr>
        <w:t>处与接地（</w:t>
      </w:r>
      <w:r>
        <w:rPr>
          <w:color w:val="auto"/>
          <w:highlight w:val="none"/>
        </w:rPr>
        <w:t>PE</w:t>
      </w:r>
      <w:r>
        <w:rPr>
          <w:rFonts w:hint="eastAsia"/>
          <w:color w:val="auto"/>
          <w:highlight w:val="none"/>
        </w:rPr>
        <w:t>）或接零（</w:t>
      </w:r>
      <w:r>
        <w:rPr>
          <w:color w:val="auto"/>
          <w:highlight w:val="none"/>
        </w:rPr>
        <w:t>PEN</w:t>
      </w:r>
      <w:r>
        <w:rPr>
          <w:rFonts w:hint="eastAsia"/>
          <w:color w:val="auto"/>
          <w:highlight w:val="none"/>
        </w:rPr>
        <w:t>）干线相连。</w:t>
      </w:r>
    </w:p>
    <w:p>
      <w:pPr>
        <w:pStyle w:val="217"/>
        <w:rPr>
          <w:color w:val="auto"/>
          <w:highlight w:val="none"/>
        </w:rPr>
      </w:pPr>
      <w:r>
        <w:rPr>
          <w:color w:val="auto"/>
          <w:highlight w:val="none"/>
        </w:rPr>
        <w:t>2</w:t>
      </w:r>
      <w:r>
        <w:rPr>
          <w:rFonts w:hint="eastAsia"/>
          <w:color w:val="auto"/>
          <w:highlight w:val="none"/>
        </w:rPr>
        <w:t>）镀锌电缆桥架间连接板的两端跨接接地线，但连接板两端不少于</w:t>
      </w:r>
      <w:r>
        <w:rPr>
          <w:color w:val="auto"/>
          <w:highlight w:val="none"/>
        </w:rPr>
        <w:t>2</w:t>
      </w:r>
      <w:r>
        <w:rPr>
          <w:rFonts w:hint="eastAsia"/>
          <w:color w:val="auto"/>
          <w:highlight w:val="none"/>
        </w:rPr>
        <w:t>个防松螺帽或防松垫圈的连接固定螺栓。</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）直线段钢制电缆桥架超过</w:t>
      </w:r>
      <w:r>
        <w:rPr>
          <w:color w:val="auto"/>
          <w:highlight w:val="none"/>
        </w:rPr>
        <w:t>30m</w:t>
      </w:r>
      <w:r>
        <w:rPr>
          <w:rFonts w:hint="eastAsia"/>
          <w:color w:val="auto"/>
          <w:highlight w:val="none"/>
        </w:rPr>
        <w:t>，设有伸缩节；电缆桥架跨越建筑物变形缝处设补偿装置。</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）设电缆桥架转弯处的弯曲半径不小于桥架内最大截面电缆的最小允许弯曲半径。</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）设电缆桥架水平安装的支架间距为</w:t>
      </w:r>
      <w:r>
        <w:rPr>
          <w:color w:val="auto"/>
          <w:highlight w:val="none"/>
        </w:rPr>
        <w:t>1.5</w:t>
      </w:r>
      <w:r>
        <w:rPr>
          <w:rFonts w:hint="eastAsia"/>
          <w:color w:val="auto"/>
          <w:highlight w:val="none"/>
        </w:rPr>
        <w:t>～</w:t>
      </w:r>
      <w:r>
        <w:rPr>
          <w:color w:val="auto"/>
          <w:highlight w:val="none"/>
        </w:rPr>
        <w:t>3m</w:t>
      </w:r>
      <w:r>
        <w:rPr>
          <w:rFonts w:hint="eastAsia"/>
          <w:color w:val="auto"/>
          <w:highlight w:val="none"/>
        </w:rPr>
        <w:t>；垂直安装的支架间距不大于</w:t>
      </w:r>
      <w:r>
        <w:rPr>
          <w:color w:val="auto"/>
          <w:highlight w:val="none"/>
        </w:rPr>
        <w:t>2m</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）电缆桥架敷设在易燃易爆气体管道和热水管道的下方，与管道的最小净距符合相关规范规定。</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）敷设在竖井内和穿越不同防火分区的桥架，按设计要求位置，有防火隔堵措施。</w:t>
      </w:r>
    </w:p>
    <w:p>
      <w:pPr>
        <w:pStyle w:val="217"/>
        <w:rPr>
          <w:color w:val="auto"/>
          <w:highlight w:val="none"/>
        </w:rPr>
      </w:pPr>
      <w:r>
        <w:rPr>
          <w:rFonts w:hint="eastAsia"/>
          <w:color w:val="auto"/>
          <w:highlight w:val="none"/>
        </w:rPr>
        <w:t>在竖对强、弱电桥架的公用支、吊架进行优化，使桥架的综合布置有序、美观，桥架弯头应采用弧形（无弯折）。</w:t>
      </w:r>
    </w:p>
    <w:p>
      <w:pPr>
        <w:pStyle w:val="217"/>
        <w:rPr>
          <w:color w:val="auto"/>
          <w:highlight w:val="none"/>
        </w:rPr>
      </w:pPr>
      <w:r>
        <w:rPr>
          <w:color w:val="auto"/>
          <w:highlight w:val="none"/>
        </w:rPr>
        <w:t>5.</w:t>
      </w:r>
      <w:r>
        <w:rPr>
          <w:rFonts w:hint="eastAsia"/>
          <w:color w:val="auto"/>
          <w:highlight w:val="none"/>
        </w:rPr>
        <w:t>桥架内电缆的敷设应符合下列要求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）电缆敷设严禁有绞拧、铠装压扁、护层断裂和表面严等缺陷。电缆最小允许弯曲半径应符合规范要求。</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）大于</w:t>
      </w:r>
      <w:r>
        <w:rPr>
          <w:color w:val="auto"/>
          <w:highlight w:val="none"/>
        </w:rPr>
        <w:t>450</w:t>
      </w:r>
      <w:r>
        <w:rPr>
          <w:rFonts w:hint="eastAsia"/>
          <w:color w:val="auto"/>
          <w:highlight w:val="none"/>
        </w:rPr>
        <w:t>倾斜敷设的电缆每隔</w:t>
      </w:r>
      <w:r>
        <w:rPr>
          <w:color w:val="auto"/>
          <w:highlight w:val="none"/>
        </w:rPr>
        <w:t>2m</w:t>
      </w:r>
      <w:r>
        <w:rPr>
          <w:rFonts w:hint="eastAsia"/>
          <w:color w:val="auto"/>
          <w:highlight w:val="none"/>
        </w:rPr>
        <w:t>处设固定点</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）设电缆出入电缆沟、竖井、建筑物、柜（盘）、台处及管子管口处做密封处理。</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）设电缆排列整齐，水平敷设的电缆首、层两端、转弯两侧及每隔</w:t>
      </w:r>
      <w:r>
        <w:rPr>
          <w:color w:val="auto"/>
          <w:highlight w:val="none"/>
        </w:rPr>
        <w:t>5</w:t>
      </w:r>
      <w:r>
        <w:rPr>
          <w:rFonts w:hint="eastAsia"/>
          <w:color w:val="auto"/>
          <w:highlight w:val="none"/>
        </w:rPr>
        <w:t>～</w:t>
      </w:r>
      <w:r>
        <w:rPr>
          <w:color w:val="auto"/>
          <w:highlight w:val="none"/>
        </w:rPr>
        <w:t>10m</w:t>
      </w:r>
      <w:r>
        <w:rPr>
          <w:rFonts w:hint="eastAsia"/>
          <w:color w:val="auto"/>
          <w:highlight w:val="none"/>
        </w:rPr>
        <w:t>处设固定点，敷设于垂直桥架内的电缆固定间距应符合相关规定。</w:t>
      </w:r>
    </w:p>
    <w:p>
      <w:pPr>
        <w:pStyle w:val="217"/>
        <w:rPr>
          <w:color w:val="auto"/>
          <w:highlight w:val="none"/>
        </w:rPr>
      </w:pPr>
      <w:r>
        <w:rPr>
          <w:color w:val="auto"/>
          <w:highlight w:val="none"/>
        </w:rPr>
        <w:t>6.</w:t>
      </w:r>
      <w:r>
        <w:rPr>
          <w:rFonts w:hint="eastAsia"/>
          <w:color w:val="auto"/>
          <w:highlight w:val="none"/>
        </w:rPr>
        <w:t>电缆的首端、末端和分支处应设标志牌。</w:t>
      </w:r>
    </w:p>
    <w:p>
      <w:pPr>
        <w:pStyle w:val="217"/>
        <w:rPr>
          <w:color w:val="auto"/>
          <w:highlight w:val="none"/>
        </w:rPr>
      </w:pPr>
      <w:r>
        <w:rPr>
          <w:color w:val="auto"/>
          <w:highlight w:val="none"/>
        </w:rPr>
        <w:t>7.</w:t>
      </w:r>
      <w:r>
        <w:rPr>
          <w:rFonts w:hint="eastAsia"/>
          <w:color w:val="auto"/>
          <w:highlight w:val="none"/>
        </w:rPr>
        <w:t>电缆头制作、接线和线路绝缘测试：</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）低压电缆、相间和相对地间的绝缘电阻必须大于</w:t>
      </w:r>
      <w:r>
        <w:rPr>
          <w:color w:val="auto"/>
          <w:highlight w:val="none"/>
        </w:rPr>
        <w:t>0.5M</w:t>
      </w:r>
      <w:r>
        <w:rPr>
          <w:rFonts w:hint="eastAsia"/>
          <w:color w:val="auto"/>
          <w:highlight w:val="none"/>
        </w:rPr>
        <w:t>Ω。</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）电缆接线必须准确，并联运行电缆的型号、规格、长度、相位应一致。</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）芯线与电器设备的连接应符合下列规定：</w:t>
      </w:r>
    </w:p>
    <w:p>
      <w:pPr>
        <w:pStyle w:val="217"/>
        <w:rPr>
          <w:color w:val="auto"/>
          <w:highlight w:val="none"/>
        </w:rPr>
      </w:pPr>
      <w:r>
        <w:rPr>
          <w:color w:val="auto"/>
          <w:highlight w:val="none"/>
        </w:rPr>
        <w:t>1</w:t>
      </w:r>
      <w:r>
        <w:rPr>
          <w:rFonts w:hint="eastAsia"/>
          <w:color w:val="auto"/>
          <w:highlight w:val="none"/>
        </w:rPr>
        <w:t>）截面积在</w:t>
      </w:r>
      <w:r>
        <w:rPr>
          <w:color w:val="auto"/>
          <w:highlight w:val="none"/>
        </w:rPr>
        <w:t>10mm2</w:t>
      </w:r>
      <w:r>
        <w:rPr>
          <w:rFonts w:hint="eastAsia"/>
          <w:color w:val="auto"/>
          <w:highlight w:val="none"/>
        </w:rPr>
        <w:t>以下的单股铜芯线直接与设备、器具端子连接。</w:t>
      </w:r>
    </w:p>
    <w:p>
      <w:pPr>
        <w:pStyle w:val="217"/>
        <w:rPr>
          <w:color w:val="auto"/>
          <w:highlight w:val="none"/>
        </w:rPr>
      </w:pPr>
      <w:r>
        <w:rPr>
          <w:color w:val="auto"/>
          <w:highlight w:val="none"/>
        </w:rPr>
        <w:t>2</w:t>
      </w:r>
      <w:r>
        <w:rPr>
          <w:rFonts w:hint="eastAsia"/>
          <w:color w:val="auto"/>
          <w:highlight w:val="none"/>
        </w:rPr>
        <w:t>）截面积在</w:t>
      </w:r>
      <w:r>
        <w:rPr>
          <w:color w:val="auto"/>
          <w:highlight w:val="none"/>
        </w:rPr>
        <w:t>2.5mm2</w:t>
      </w:r>
      <w:r>
        <w:rPr>
          <w:rFonts w:hint="eastAsia"/>
          <w:color w:val="auto"/>
          <w:highlight w:val="none"/>
        </w:rPr>
        <w:t>及以下的多股铜芯线拧紧搪锡或接续端子后与设备、器具的端子连接。</w:t>
      </w:r>
    </w:p>
    <w:p>
      <w:pPr>
        <w:pStyle w:val="217"/>
        <w:rPr>
          <w:color w:val="auto"/>
          <w:highlight w:val="none"/>
        </w:rPr>
      </w:pPr>
      <w:r>
        <w:rPr>
          <w:color w:val="auto"/>
          <w:highlight w:val="none"/>
        </w:rPr>
        <w:t>3</w:t>
      </w:r>
      <w:r>
        <w:rPr>
          <w:rFonts w:hint="eastAsia"/>
          <w:color w:val="auto"/>
          <w:highlight w:val="none"/>
        </w:rPr>
        <w:t>）截面积大于</w:t>
      </w:r>
      <w:r>
        <w:rPr>
          <w:color w:val="auto"/>
          <w:highlight w:val="none"/>
        </w:rPr>
        <w:t>2.5mm2</w:t>
      </w:r>
      <w:r>
        <w:rPr>
          <w:rFonts w:hint="eastAsia"/>
          <w:color w:val="auto"/>
          <w:highlight w:val="none"/>
        </w:rPr>
        <w:t>的多股铜芯线，除设备自带插接式端子外，接续端子后与设备或器具的端子连接；多股铜芯线与插接端子连接前端都拧紧搪锡。</w:t>
      </w:r>
    </w:p>
    <w:p>
      <w:pPr>
        <w:pStyle w:val="217"/>
        <w:rPr>
          <w:color w:val="auto"/>
          <w:highlight w:val="none"/>
        </w:rPr>
      </w:pPr>
      <w:r>
        <w:rPr>
          <w:color w:val="auto"/>
          <w:highlight w:val="none"/>
        </w:rPr>
        <w:t>4</w:t>
      </w:r>
      <w:r>
        <w:rPr>
          <w:rFonts w:hint="eastAsia"/>
          <w:color w:val="auto"/>
          <w:highlight w:val="none"/>
        </w:rPr>
        <w:t>）设备和器具的每个端子接线不多于</w:t>
      </w:r>
      <w:r>
        <w:rPr>
          <w:color w:val="auto"/>
          <w:highlight w:val="none"/>
        </w:rPr>
        <w:t>2</w:t>
      </w:r>
      <w:r>
        <w:rPr>
          <w:rFonts w:hint="eastAsia"/>
          <w:color w:val="auto"/>
          <w:highlight w:val="none"/>
        </w:rPr>
        <w:t>根电线。</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）电线电缆的芯线连接金具（连接管和端子）规格应与芯线的规格适配且不得采用开口端子。</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）电线、电缆的回路标志应清晰，编号准确。</w:t>
      </w:r>
    </w:p>
    <w:p>
      <w:pPr>
        <w:pStyle w:val="113"/>
        <w:spacing w:before="120" w:after="120"/>
        <w:outlineLvl w:val="2"/>
        <w:rPr>
          <w:color w:val="auto"/>
          <w:highlight w:val="none"/>
        </w:rPr>
      </w:pPr>
      <w:bookmarkStart w:id="7791" w:name="_Toc505345741"/>
      <w:bookmarkStart w:id="7792" w:name="_Toc66890423"/>
      <w:bookmarkStart w:id="7793" w:name="_Toc66634428"/>
      <w:bookmarkStart w:id="7794" w:name="_Toc69114169"/>
      <w:r>
        <w:rPr>
          <w:color w:val="auto"/>
          <w:highlight w:val="none"/>
        </w:rPr>
        <w:t xml:space="preserve">3.3 </w:t>
      </w:r>
      <w:r>
        <w:rPr>
          <w:rFonts w:hint="eastAsia"/>
          <w:color w:val="auto"/>
          <w:highlight w:val="none"/>
        </w:rPr>
        <w:t>照明系统</w:t>
      </w:r>
      <w:bookmarkEnd w:id="7791"/>
      <w:bookmarkEnd w:id="7792"/>
      <w:bookmarkEnd w:id="7793"/>
      <w:bookmarkEnd w:id="7794"/>
    </w:p>
    <w:p>
      <w:pPr>
        <w:pStyle w:val="172"/>
        <w:rPr>
          <w:color w:val="auto"/>
          <w:highlight w:val="none"/>
        </w:rPr>
      </w:pPr>
      <w:r>
        <w:rPr>
          <w:color w:val="auto"/>
          <w:highlight w:val="none"/>
        </w:rPr>
        <w:t xml:space="preserve">3.3.1 </w:t>
      </w:r>
      <w:r>
        <w:rPr>
          <w:rFonts w:hint="eastAsia"/>
          <w:color w:val="auto"/>
          <w:highlight w:val="none"/>
        </w:rPr>
        <w:t>照明灯具</w:t>
      </w:r>
      <w:r>
        <w:rPr>
          <w:color w:val="auto"/>
          <w:highlight w:val="none"/>
        </w:rPr>
        <w:tab/>
      </w:r>
    </w:p>
    <w:p>
      <w:pPr>
        <w:pStyle w:val="217"/>
        <w:rPr>
          <w:color w:val="auto"/>
          <w:highlight w:val="none"/>
        </w:rPr>
      </w:pPr>
      <w:r>
        <w:rPr>
          <w:color w:val="auto"/>
          <w:highlight w:val="none"/>
        </w:rPr>
        <w:t>1.</w:t>
      </w:r>
      <w:r>
        <w:rPr>
          <w:rFonts w:hint="eastAsia"/>
          <w:color w:val="auto"/>
          <w:highlight w:val="none"/>
        </w:rPr>
        <w:t>照明灯具的安装必须符合已批准的设计要求，灯具及其附件的规格、型号必须符合设计要求和国家相关标准的规定，详见附表《电气工程材料、设备技术要求表》。</w:t>
      </w:r>
    </w:p>
    <w:p>
      <w:pPr>
        <w:pStyle w:val="217"/>
        <w:rPr>
          <w:color w:val="auto"/>
          <w:highlight w:val="none"/>
        </w:rPr>
      </w:pPr>
      <w:r>
        <w:rPr>
          <w:color w:val="auto"/>
          <w:highlight w:val="none"/>
        </w:rPr>
        <w:t>2.</w:t>
      </w:r>
      <w:r>
        <w:rPr>
          <w:rFonts w:hint="eastAsia"/>
          <w:color w:val="auto"/>
          <w:highlight w:val="none"/>
        </w:rPr>
        <w:t>施工中的安全技术措施应符合国家有关规定和现行有关安全技术标准及产品的技术文件规定。</w:t>
      </w:r>
    </w:p>
    <w:p>
      <w:pPr>
        <w:pStyle w:val="217"/>
        <w:rPr>
          <w:color w:val="auto"/>
          <w:highlight w:val="none"/>
        </w:rPr>
      </w:pPr>
      <w:r>
        <w:rPr>
          <w:color w:val="auto"/>
          <w:highlight w:val="none"/>
        </w:rPr>
        <w:t>3.</w:t>
      </w:r>
      <w:r>
        <w:rPr>
          <w:rFonts w:hint="eastAsia"/>
          <w:color w:val="auto"/>
          <w:highlight w:val="none"/>
        </w:rPr>
        <w:t>普通照明灯具</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）灯具的固定应符合下列规定：</w:t>
      </w:r>
    </w:p>
    <w:p>
      <w:pPr>
        <w:pStyle w:val="217"/>
        <w:rPr>
          <w:color w:val="auto"/>
          <w:highlight w:val="none"/>
        </w:rPr>
      </w:pPr>
      <w:r>
        <w:rPr>
          <w:color w:val="auto"/>
          <w:highlight w:val="none"/>
        </w:rPr>
        <w:t>1</w:t>
      </w:r>
      <w:r>
        <w:rPr>
          <w:rFonts w:hint="eastAsia"/>
          <w:color w:val="auto"/>
          <w:highlight w:val="none"/>
        </w:rPr>
        <w:t>）灯具的重量大于</w:t>
      </w:r>
      <w:r>
        <w:rPr>
          <w:color w:val="auto"/>
          <w:highlight w:val="none"/>
        </w:rPr>
        <w:t>3kg</w:t>
      </w:r>
      <w:r>
        <w:rPr>
          <w:rFonts w:hint="eastAsia"/>
          <w:color w:val="auto"/>
          <w:highlight w:val="none"/>
        </w:rPr>
        <w:t>时，固定在螺栓或预埋吊钩上。</w:t>
      </w:r>
    </w:p>
    <w:p>
      <w:pPr>
        <w:pStyle w:val="217"/>
        <w:rPr>
          <w:color w:val="auto"/>
          <w:highlight w:val="none"/>
        </w:rPr>
      </w:pPr>
      <w:r>
        <w:rPr>
          <w:color w:val="auto"/>
          <w:highlight w:val="none"/>
        </w:rPr>
        <w:t>2</w:t>
      </w:r>
      <w:r>
        <w:rPr>
          <w:rFonts w:hint="eastAsia"/>
          <w:color w:val="auto"/>
          <w:highlight w:val="none"/>
        </w:rPr>
        <w:t>）灯具固定牢固可靠，不使用木楔。每个灯具固定用螺钉或螺栓不少于</w:t>
      </w:r>
      <w:r>
        <w:rPr>
          <w:color w:val="auto"/>
          <w:highlight w:val="none"/>
        </w:rPr>
        <w:t>2</w:t>
      </w:r>
      <w:r>
        <w:rPr>
          <w:rFonts w:hint="eastAsia"/>
          <w:color w:val="auto"/>
          <w:highlight w:val="none"/>
        </w:rPr>
        <w:t>个，当绝缘台直径在</w:t>
      </w:r>
      <w:r>
        <w:rPr>
          <w:color w:val="auto"/>
          <w:highlight w:val="none"/>
        </w:rPr>
        <w:t>75mm</w:t>
      </w:r>
      <w:r>
        <w:rPr>
          <w:rFonts w:hint="eastAsia"/>
          <w:color w:val="auto"/>
          <w:highlight w:val="none"/>
        </w:rPr>
        <w:t>及以下时，采用一个螺钉或螺栓固定。</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）花灯吊钩圆钢直径不应小于灯具挂销直径，且不应小于</w:t>
      </w:r>
      <w:r>
        <w:rPr>
          <w:color w:val="auto"/>
          <w:highlight w:val="none"/>
        </w:rPr>
        <w:t>6mm</w:t>
      </w:r>
      <w:r>
        <w:rPr>
          <w:rFonts w:hint="eastAsia"/>
          <w:color w:val="auto"/>
          <w:highlight w:val="none"/>
        </w:rPr>
        <w:t>；大型花灯的固定及悬吊装置应按灯具重量的</w:t>
      </w:r>
      <w:r>
        <w:rPr>
          <w:color w:val="auto"/>
          <w:highlight w:val="none"/>
        </w:rPr>
        <w:t>2</w:t>
      </w:r>
      <w:r>
        <w:rPr>
          <w:rFonts w:hint="eastAsia"/>
          <w:color w:val="auto"/>
          <w:highlight w:val="none"/>
        </w:rPr>
        <w:t>倍做过载试验。</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）大当钢管做灯杆时，钢管内径不应小于</w:t>
      </w:r>
      <w:r>
        <w:rPr>
          <w:color w:val="auto"/>
          <w:highlight w:val="none"/>
        </w:rPr>
        <w:t>10mm</w:t>
      </w:r>
      <w:r>
        <w:rPr>
          <w:rFonts w:hint="eastAsia"/>
          <w:color w:val="auto"/>
          <w:highlight w:val="none"/>
        </w:rPr>
        <w:t>，钢管厚度不应小于</w:t>
      </w:r>
      <w:r>
        <w:rPr>
          <w:color w:val="auto"/>
          <w:highlight w:val="none"/>
        </w:rPr>
        <w:t>1.5mm</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）固定灯具带电部件的绝缘材料以及提供防触电保护的绝缘材料应耐燃烧和防明火。</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）当灯具距地面高度小于</w:t>
      </w:r>
      <w:r>
        <w:rPr>
          <w:color w:val="auto"/>
          <w:highlight w:val="none"/>
        </w:rPr>
        <w:t>2.4m</w:t>
      </w:r>
      <w:r>
        <w:rPr>
          <w:rFonts w:hint="eastAsia"/>
          <w:color w:val="auto"/>
          <w:highlight w:val="none"/>
        </w:rPr>
        <w:t>时，灯具的可接近裸露导体必须接地（</w:t>
      </w:r>
      <w:r>
        <w:rPr>
          <w:color w:val="auto"/>
          <w:highlight w:val="none"/>
        </w:rPr>
        <w:t>PE</w:t>
      </w:r>
      <w:r>
        <w:rPr>
          <w:rFonts w:hint="eastAsia"/>
          <w:color w:val="auto"/>
          <w:highlight w:val="none"/>
        </w:rPr>
        <w:t>）或零（</w:t>
      </w:r>
      <w:r>
        <w:rPr>
          <w:color w:val="auto"/>
          <w:highlight w:val="none"/>
        </w:rPr>
        <w:t>PEN</w:t>
      </w:r>
      <w:r>
        <w:rPr>
          <w:rFonts w:hint="eastAsia"/>
          <w:color w:val="auto"/>
          <w:highlight w:val="none"/>
        </w:rPr>
        <w:t>）可靠，并应有专用接地螺栓，且有标识。引向每个灯具的导线线芯最小截面应符合规范要求。</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）灯具的安装高度按设计要求进行。</w:t>
      </w:r>
    </w:p>
    <w:p>
      <w:pPr>
        <w:pStyle w:val="217"/>
        <w:rPr>
          <w:color w:val="auto"/>
          <w:highlight w:val="none"/>
        </w:rPr>
      </w:pPr>
      <w:r>
        <w:rPr>
          <w:color w:val="auto"/>
          <w:highlight w:val="none"/>
        </w:rPr>
        <w:t>4.</w:t>
      </w:r>
      <w:r>
        <w:rPr>
          <w:rFonts w:hint="eastAsia"/>
          <w:color w:val="auto"/>
          <w:highlight w:val="none"/>
        </w:rPr>
        <w:t>灯具的外形、灯头及接线应符合下列规定：</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）灯具及其配件齐全，无机械损伤、变形，涂层剥落和灯罩破损等缺陷。</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）除敞开式灯具外，其它各类灯具灯泡容量在</w:t>
      </w:r>
      <w:r>
        <w:rPr>
          <w:color w:val="auto"/>
          <w:highlight w:val="none"/>
        </w:rPr>
        <w:t>100W</w:t>
      </w:r>
      <w:r>
        <w:rPr>
          <w:rFonts w:hint="eastAsia"/>
          <w:color w:val="auto"/>
          <w:highlight w:val="none"/>
        </w:rPr>
        <w:t>及以上者，采用瓷质灯头。</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）灯头的绝缘外壳不破损和漏电。</w:t>
      </w:r>
    </w:p>
    <w:p>
      <w:pPr>
        <w:pStyle w:val="217"/>
        <w:rPr>
          <w:color w:val="auto"/>
          <w:highlight w:val="none"/>
        </w:rPr>
      </w:pPr>
      <w:r>
        <w:rPr>
          <w:color w:val="auto"/>
          <w:highlight w:val="none"/>
        </w:rPr>
        <w:t>5.</w:t>
      </w:r>
      <w:r>
        <w:rPr>
          <w:rFonts w:hint="eastAsia"/>
          <w:color w:val="auto"/>
          <w:highlight w:val="none"/>
        </w:rPr>
        <w:t>变电所内高、低压配电设备及裸母线的正上方不应安装灯具。</w:t>
      </w:r>
    </w:p>
    <w:p>
      <w:pPr>
        <w:pStyle w:val="217"/>
        <w:rPr>
          <w:color w:val="auto"/>
          <w:highlight w:val="none"/>
        </w:rPr>
      </w:pPr>
      <w:r>
        <w:rPr>
          <w:color w:val="auto"/>
          <w:highlight w:val="none"/>
        </w:rPr>
        <w:t>6.</w:t>
      </w:r>
      <w:r>
        <w:rPr>
          <w:rFonts w:hint="eastAsia"/>
          <w:color w:val="auto"/>
          <w:highlight w:val="none"/>
        </w:rPr>
        <w:t>装有白炽灯泡的吸顶灯具，灯泡不应紧贴灯罩，当灯泡与绝缘台间距离小于</w:t>
      </w:r>
      <w:r>
        <w:rPr>
          <w:color w:val="auto"/>
          <w:highlight w:val="none"/>
        </w:rPr>
        <w:t>5mm</w:t>
      </w:r>
      <w:r>
        <w:rPr>
          <w:rFonts w:hint="eastAsia"/>
          <w:color w:val="auto"/>
          <w:highlight w:val="none"/>
        </w:rPr>
        <w:t>时，灯泡与绝缘台应采取隔热措施。</w:t>
      </w:r>
    </w:p>
    <w:p>
      <w:pPr>
        <w:pStyle w:val="217"/>
        <w:rPr>
          <w:color w:val="auto"/>
          <w:highlight w:val="none"/>
        </w:rPr>
      </w:pPr>
      <w:r>
        <w:rPr>
          <w:color w:val="auto"/>
          <w:highlight w:val="none"/>
        </w:rPr>
        <w:t>7.</w:t>
      </w:r>
      <w:r>
        <w:rPr>
          <w:rFonts w:hint="eastAsia"/>
          <w:color w:val="auto"/>
          <w:highlight w:val="none"/>
        </w:rPr>
        <w:t>应急灯具的安装应符合下列规定：</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）应急照明灯的电源除正常电源外，另有一路电源供电；或是独立于正常电源的柴油发电机供电；或由蓄电池供电或选用自带电源型应急灯具。</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）应急照明在正常电源断电后，电源转换时间为：疏散照明</w:t>
      </w:r>
      <w:r>
        <w:rPr>
          <w:color w:val="auto"/>
          <w:highlight w:val="none"/>
        </w:rPr>
        <w:t>≤15S</w:t>
      </w:r>
      <w:r>
        <w:rPr>
          <w:rFonts w:hint="eastAsia"/>
          <w:color w:val="auto"/>
          <w:highlight w:val="none"/>
        </w:rPr>
        <w:t>；备用照明</w:t>
      </w:r>
      <w:r>
        <w:rPr>
          <w:color w:val="auto"/>
          <w:highlight w:val="none"/>
        </w:rPr>
        <w:t>≤15S</w:t>
      </w:r>
      <w:r>
        <w:rPr>
          <w:rFonts w:hint="eastAsia"/>
          <w:color w:val="auto"/>
          <w:highlight w:val="none"/>
        </w:rPr>
        <w:t>，金融商店交易所</w:t>
      </w:r>
      <w:r>
        <w:rPr>
          <w:color w:val="auto"/>
          <w:highlight w:val="none"/>
        </w:rPr>
        <w:t>≤1.5S</w:t>
      </w:r>
      <w:r>
        <w:rPr>
          <w:rFonts w:hint="eastAsia"/>
          <w:color w:val="auto"/>
          <w:highlight w:val="none"/>
        </w:rPr>
        <w:t>；安全照明</w:t>
      </w:r>
      <w:r>
        <w:rPr>
          <w:color w:val="auto"/>
          <w:highlight w:val="none"/>
        </w:rPr>
        <w:t>≤0.5S</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）疏散照明由安全出口标志灯和疏散标志灯组成，安全出口标志灯距地高度不低于</w:t>
      </w:r>
      <w:r>
        <w:rPr>
          <w:color w:val="auto"/>
          <w:highlight w:val="none"/>
        </w:rPr>
        <w:t>2m</w:t>
      </w:r>
      <w:r>
        <w:rPr>
          <w:rFonts w:hint="eastAsia"/>
          <w:color w:val="auto"/>
          <w:highlight w:val="none"/>
        </w:rPr>
        <w:t>；且安装在疏散出口和楼梯口里侧的上方。</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）且疏散标志灯安装在安全出口的顶部，楼梯间、疏散走道及其转角处应安装在</w:t>
      </w:r>
      <w:r>
        <w:rPr>
          <w:color w:val="auto"/>
          <w:highlight w:val="none"/>
        </w:rPr>
        <w:t>1m</w:t>
      </w:r>
      <w:r>
        <w:rPr>
          <w:rFonts w:hint="eastAsia"/>
          <w:color w:val="auto"/>
          <w:highlight w:val="none"/>
        </w:rPr>
        <w:t>以下的墙面上。不易安装的部位可安装在上部。疏散通道上标志灯间距不大于</w:t>
      </w:r>
      <w:r>
        <w:rPr>
          <w:color w:val="auto"/>
          <w:highlight w:val="none"/>
        </w:rPr>
        <w:t>20m</w:t>
      </w:r>
      <w:r>
        <w:rPr>
          <w:rFonts w:hint="eastAsia"/>
          <w:color w:val="auto"/>
          <w:highlight w:val="none"/>
        </w:rPr>
        <w:t>（人防工程不大于</w:t>
      </w:r>
      <w:r>
        <w:rPr>
          <w:color w:val="auto"/>
          <w:highlight w:val="none"/>
        </w:rPr>
        <w:t>10m</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）疏散标志灯的设置，不影响正常通行，且不在其周围设置容易混同疏散标志灯的其它标准牌等。</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）应急照明灯具，运行中温度高于</w:t>
      </w:r>
      <w:r>
        <w:rPr>
          <w:color w:val="auto"/>
          <w:highlight w:val="none"/>
        </w:rPr>
        <w:t>60</w:t>
      </w:r>
      <w:r>
        <w:rPr>
          <w:rFonts w:hint="eastAsia"/>
          <w:color w:val="auto"/>
          <w:highlight w:val="none"/>
        </w:rPr>
        <w:t>应的灯具，当靠近可燃物时，采取隔热、散热等防火措施，当采用白炽灯、卤钨灯等光源时，不直接安装在可燃装修材料或可燃物件上。</w:t>
      </w:r>
    </w:p>
    <w:p>
      <w:pPr>
        <w:pStyle w:val="217"/>
        <w:rPr>
          <w:color w:val="auto"/>
          <w:highlight w:val="none"/>
        </w:rPr>
      </w:pPr>
      <w:r>
        <w:rPr>
          <w:rFonts w:hint="eastAsia"/>
          <w:color w:val="auto"/>
          <w:highlight w:val="none"/>
        </w:rPr>
        <w:t>（</w:t>
      </w:r>
      <w:r>
        <w:rPr>
          <w:color w:val="auto"/>
          <w:highlight w:val="none"/>
        </w:rPr>
        <w:t>7</w:t>
      </w:r>
      <w:r>
        <w:rPr>
          <w:rFonts w:hint="eastAsia"/>
          <w:color w:val="auto"/>
          <w:highlight w:val="none"/>
        </w:rPr>
        <w:t>）灯应急照明线路在每个防火分区有独立的应急照明回路，穿越不同防火分区的线路有防火隔堵措施。</w:t>
      </w:r>
    </w:p>
    <w:p>
      <w:pPr>
        <w:pStyle w:val="217"/>
        <w:rPr>
          <w:color w:val="auto"/>
          <w:highlight w:val="none"/>
        </w:rPr>
      </w:pPr>
      <w:r>
        <w:rPr>
          <w:rFonts w:hint="eastAsia"/>
          <w:color w:val="auto"/>
          <w:highlight w:val="none"/>
        </w:rPr>
        <w:t>（</w:t>
      </w:r>
      <w:r>
        <w:rPr>
          <w:color w:val="auto"/>
          <w:highlight w:val="none"/>
        </w:rPr>
        <w:t>8</w:t>
      </w:r>
      <w:r>
        <w:rPr>
          <w:rFonts w:hint="eastAsia"/>
          <w:color w:val="auto"/>
          <w:highlight w:val="none"/>
        </w:rPr>
        <w:t>）灯疏散照明线路采用耐火电线、电缆，穿管明敷或在非燃烧体内穿刚性导管暗敷，暗敷保护层厚度不小于</w:t>
      </w:r>
      <w:r>
        <w:rPr>
          <w:color w:val="auto"/>
          <w:highlight w:val="none"/>
        </w:rPr>
        <w:t>30mm</w:t>
      </w:r>
      <w:r>
        <w:rPr>
          <w:rFonts w:hint="eastAsia"/>
          <w:color w:val="auto"/>
          <w:highlight w:val="none"/>
        </w:rPr>
        <w:t>；电缆采用额定电压不低于</w:t>
      </w:r>
      <w:r>
        <w:rPr>
          <w:color w:val="auto"/>
          <w:highlight w:val="none"/>
        </w:rPr>
        <w:t>750V</w:t>
      </w:r>
      <w:r>
        <w:rPr>
          <w:rFonts w:hint="eastAsia"/>
          <w:color w:val="auto"/>
          <w:highlight w:val="none"/>
        </w:rPr>
        <w:t>铜芯绝缘电线。</w:t>
      </w:r>
    </w:p>
    <w:p>
      <w:pPr>
        <w:pStyle w:val="172"/>
        <w:rPr>
          <w:color w:val="auto"/>
          <w:highlight w:val="none"/>
        </w:rPr>
      </w:pPr>
      <w:r>
        <w:rPr>
          <w:color w:val="auto"/>
          <w:highlight w:val="none"/>
        </w:rPr>
        <w:t xml:space="preserve">3.3.2 </w:t>
      </w:r>
      <w:r>
        <w:rPr>
          <w:rFonts w:hint="eastAsia"/>
          <w:color w:val="auto"/>
          <w:highlight w:val="none"/>
        </w:rPr>
        <w:t>开关、插座、风扇的安装</w:t>
      </w:r>
    </w:p>
    <w:p>
      <w:pPr>
        <w:pStyle w:val="217"/>
        <w:rPr>
          <w:color w:val="auto"/>
          <w:highlight w:val="none"/>
        </w:rPr>
      </w:pPr>
      <w:r>
        <w:rPr>
          <w:color w:val="auto"/>
          <w:highlight w:val="none"/>
        </w:rPr>
        <w:t>1.</w:t>
      </w:r>
      <w:r>
        <w:rPr>
          <w:rFonts w:hint="eastAsia"/>
          <w:color w:val="auto"/>
          <w:highlight w:val="none"/>
        </w:rPr>
        <w:t>所有开关、插座、风扇的安装按已批准的设计执行，开关、插座、风扇的规格型号电压等级符合设计要求，性能及技术要求见附表《电气工程材料、设备技术要求表》。</w:t>
      </w:r>
    </w:p>
    <w:p>
      <w:pPr>
        <w:pStyle w:val="217"/>
        <w:rPr>
          <w:color w:val="auto"/>
          <w:highlight w:val="none"/>
        </w:rPr>
      </w:pPr>
      <w:r>
        <w:rPr>
          <w:color w:val="auto"/>
          <w:highlight w:val="none"/>
        </w:rPr>
        <w:t>2.</w:t>
      </w:r>
      <w:r>
        <w:rPr>
          <w:rFonts w:hint="eastAsia"/>
          <w:color w:val="auto"/>
          <w:highlight w:val="none"/>
        </w:rPr>
        <w:t>安装质量要求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）当交流、直流或不同电压等级的插座安装在同一场所时，应有明显区别，且必须选择不同结构、不同规格和不能互换的插座，配套的插头应按交流、直流或不同电压等级区别使用。</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）插座接线应符合下列规定：</w:t>
      </w:r>
    </w:p>
    <w:p>
      <w:pPr>
        <w:pStyle w:val="217"/>
        <w:rPr>
          <w:color w:val="auto"/>
          <w:highlight w:val="none"/>
        </w:rPr>
      </w:pPr>
      <w:r>
        <w:rPr>
          <w:color w:val="auto"/>
          <w:highlight w:val="none"/>
        </w:rPr>
        <w:t>1</w:t>
      </w:r>
      <w:r>
        <w:rPr>
          <w:rFonts w:hint="eastAsia"/>
          <w:color w:val="auto"/>
          <w:highlight w:val="none"/>
        </w:rPr>
        <w:t>）单相三孔插座：面对插座的右孔和上孔与相线连接，左孔或下孔与零线连接；单相两孔插座：面对插座的右孔与相线连接，左孔与零线连接。</w:t>
      </w:r>
    </w:p>
    <w:p>
      <w:pPr>
        <w:pStyle w:val="217"/>
        <w:rPr>
          <w:color w:val="auto"/>
          <w:highlight w:val="none"/>
        </w:rPr>
      </w:pPr>
      <w:r>
        <w:rPr>
          <w:color w:val="auto"/>
          <w:highlight w:val="none"/>
        </w:rPr>
        <w:t>2</w:t>
      </w:r>
      <w:r>
        <w:rPr>
          <w:rFonts w:hint="eastAsia"/>
          <w:color w:val="auto"/>
          <w:highlight w:val="none"/>
        </w:rPr>
        <w:t>）单相三孔、三相四孔及三相五孔插座的接地（</w:t>
      </w:r>
      <w:r>
        <w:rPr>
          <w:color w:val="auto"/>
          <w:highlight w:val="none"/>
        </w:rPr>
        <w:t>PE</w:t>
      </w:r>
      <w:r>
        <w:rPr>
          <w:rFonts w:hint="eastAsia"/>
          <w:color w:val="auto"/>
          <w:highlight w:val="none"/>
        </w:rPr>
        <w:t>）或接零（</w:t>
      </w:r>
      <w:r>
        <w:rPr>
          <w:color w:val="auto"/>
          <w:highlight w:val="none"/>
        </w:rPr>
        <w:t>PEN</w:t>
      </w:r>
      <w:r>
        <w:rPr>
          <w:rFonts w:hint="eastAsia"/>
          <w:color w:val="auto"/>
          <w:highlight w:val="none"/>
        </w:rPr>
        <w:t>）接线在上孔。插座的接地端子不与零线端子连接。同一场所的三相插座、接线的相序一致。</w:t>
      </w:r>
    </w:p>
    <w:p>
      <w:pPr>
        <w:pStyle w:val="217"/>
        <w:rPr>
          <w:color w:val="auto"/>
          <w:highlight w:val="none"/>
        </w:rPr>
      </w:pPr>
      <w:r>
        <w:rPr>
          <w:color w:val="auto"/>
          <w:highlight w:val="none"/>
        </w:rPr>
        <w:t>3</w:t>
      </w:r>
      <w:r>
        <w:rPr>
          <w:rFonts w:hint="eastAsia"/>
          <w:color w:val="auto"/>
          <w:highlight w:val="none"/>
        </w:rPr>
        <w:t>）接地（</w:t>
      </w:r>
      <w:r>
        <w:rPr>
          <w:color w:val="auto"/>
          <w:highlight w:val="none"/>
        </w:rPr>
        <w:t>PE</w:t>
      </w:r>
      <w:r>
        <w:rPr>
          <w:rFonts w:hint="eastAsia"/>
          <w:color w:val="auto"/>
          <w:highlight w:val="none"/>
        </w:rPr>
        <w:t>）或接零（</w:t>
      </w:r>
      <w:r>
        <w:rPr>
          <w:color w:val="auto"/>
          <w:highlight w:val="none"/>
        </w:rPr>
        <w:t>PEN</w:t>
      </w:r>
      <w:r>
        <w:rPr>
          <w:rFonts w:hint="eastAsia"/>
          <w:color w:val="auto"/>
          <w:highlight w:val="none"/>
        </w:rPr>
        <w:t>）线在插座中不串联连接。</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）当插座用于有触电危险的家用电器时，采用能断开电源的带开关插座，开关断开相线。</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）潮湿场所采用密封型并带保护地线触头的保护型插座，安装高度不低于</w:t>
      </w:r>
      <w:r>
        <w:rPr>
          <w:color w:val="auto"/>
          <w:highlight w:val="none"/>
        </w:rPr>
        <w:t>1.5m</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）照明开关安装应符合下列规定：</w:t>
      </w:r>
    </w:p>
    <w:p>
      <w:pPr>
        <w:pStyle w:val="217"/>
        <w:rPr>
          <w:color w:val="auto"/>
          <w:highlight w:val="none"/>
        </w:rPr>
      </w:pPr>
      <w:r>
        <w:rPr>
          <w:color w:val="auto"/>
          <w:highlight w:val="none"/>
        </w:rPr>
        <w:t>1</w:t>
      </w:r>
      <w:r>
        <w:rPr>
          <w:rFonts w:hint="eastAsia"/>
          <w:color w:val="auto"/>
          <w:highlight w:val="none"/>
        </w:rPr>
        <w:t>）相线经开关控制。</w:t>
      </w:r>
    </w:p>
    <w:p>
      <w:pPr>
        <w:pStyle w:val="217"/>
        <w:rPr>
          <w:color w:val="auto"/>
          <w:highlight w:val="none"/>
        </w:rPr>
      </w:pPr>
      <w:r>
        <w:rPr>
          <w:color w:val="auto"/>
          <w:highlight w:val="none"/>
        </w:rPr>
        <w:t>2</w:t>
      </w:r>
      <w:r>
        <w:rPr>
          <w:rFonts w:hint="eastAsia"/>
          <w:color w:val="auto"/>
          <w:highlight w:val="none"/>
        </w:rPr>
        <w:t>）同一建筑物的开关采用同一系列产品，开关通断位置一致，操作灵活，接触可靠。</w:t>
      </w:r>
    </w:p>
    <w:p>
      <w:pPr>
        <w:pStyle w:val="217"/>
        <w:rPr>
          <w:color w:val="auto"/>
          <w:highlight w:val="none"/>
        </w:rPr>
      </w:pPr>
      <w:r>
        <w:rPr>
          <w:color w:val="auto"/>
          <w:highlight w:val="none"/>
        </w:rPr>
        <w:t>3</w:t>
      </w:r>
      <w:r>
        <w:rPr>
          <w:rFonts w:hint="eastAsia"/>
          <w:color w:val="auto"/>
          <w:highlight w:val="none"/>
        </w:rPr>
        <w:t>）开关的安装位置便于操作，开关边缘距门框边缘距离</w:t>
      </w:r>
      <w:r>
        <w:rPr>
          <w:color w:val="auto"/>
          <w:highlight w:val="none"/>
        </w:rPr>
        <w:t>0.15</w:t>
      </w:r>
      <w:r>
        <w:rPr>
          <w:rFonts w:hint="eastAsia"/>
          <w:color w:val="auto"/>
          <w:highlight w:val="none"/>
        </w:rPr>
        <w:t>～</w:t>
      </w:r>
      <w:r>
        <w:rPr>
          <w:color w:val="auto"/>
          <w:highlight w:val="none"/>
        </w:rPr>
        <w:t>0.2m</w:t>
      </w:r>
      <w:r>
        <w:rPr>
          <w:rFonts w:hint="eastAsia"/>
          <w:color w:val="auto"/>
          <w:highlight w:val="none"/>
        </w:rPr>
        <w:t>；开关距地高度</w:t>
      </w:r>
      <w:r>
        <w:rPr>
          <w:color w:val="auto"/>
          <w:highlight w:val="none"/>
        </w:rPr>
        <w:t>1.3m</w:t>
      </w:r>
      <w:r>
        <w:rPr>
          <w:rFonts w:hint="eastAsia"/>
          <w:color w:val="auto"/>
          <w:highlight w:val="none"/>
        </w:rPr>
        <w:t>。</w:t>
      </w:r>
    </w:p>
    <w:p>
      <w:pPr>
        <w:pStyle w:val="217"/>
        <w:rPr>
          <w:color w:val="auto"/>
          <w:highlight w:val="none"/>
        </w:rPr>
      </w:pPr>
      <w:r>
        <w:rPr>
          <w:color w:val="auto"/>
          <w:highlight w:val="none"/>
        </w:rPr>
        <w:t>4</w:t>
      </w:r>
      <w:r>
        <w:rPr>
          <w:rFonts w:hint="eastAsia"/>
          <w:color w:val="auto"/>
          <w:highlight w:val="none"/>
        </w:rPr>
        <w:t>）相同型号并列安装及同一室内开关安装高度一致，且控制有序不错位。</w:t>
      </w:r>
    </w:p>
    <w:p>
      <w:pPr>
        <w:pStyle w:val="217"/>
        <w:rPr>
          <w:color w:val="auto"/>
          <w:highlight w:val="none"/>
        </w:rPr>
      </w:pPr>
      <w:r>
        <w:rPr>
          <w:color w:val="auto"/>
          <w:highlight w:val="none"/>
        </w:rPr>
        <w:t>5</w:t>
      </w:r>
      <w:r>
        <w:rPr>
          <w:rFonts w:hint="eastAsia"/>
          <w:color w:val="auto"/>
          <w:highlight w:val="none"/>
        </w:rPr>
        <w:t>）暗装的开关面板应紧贴墙面，四周无缝隙，安装牢固，表面光滑整洁，无破碎划伤，装饰帽齐全。</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）卫生间排气扇的安装</w:t>
      </w:r>
    </w:p>
    <w:p>
      <w:pPr>
        <w:pStyle w:val="217"/>
        <w:rPr>
          <w:color w:val="auto"/>
          <w:highlight w:val="none"/>
        </w:rPr>
      </w:pPr>
      <w:r>
        <w:rPr>
          <w:color w:val="auto"/>
          <w:highlight w:val="none"/>
        </w:rPr>
        <w:t>1</w:t>
      </w:r>
      <w:r>
        <w:rPr>
          <w:rFonts w:hint="eastAsia"/>
          <w:color w:val="auto"/>
          <w:highlight w:val="none"/>
        </w:rPr>
        <w:t>）排气扇要固定牢固、可靠，防护罩扣紧，固定可靠，当运转时扇叶和防护罩无明显颤动和异常声响。</w:t>
      </w:r>
    </w:p>
    <w:p>
      <w:pPr>
        <w:pStyle w:val="217"/>
        <w:rPr>
          <w:color w:val="auto"/>
          <w:highlight w:val="none"/>
        </w:rPr>
      </w:pPr>
      <w:r>
        <w:rPr>
          <w:color w:val="auto"/>
          <w:highlight w:val="none"/>
        </w:rPr>
        <w:t>2</w:t>
      </w:r>
      <w:r>
        <w:rPr>
          <w:rFonts w:hint="eastAsia"/>
          <w:color w:val="auto"/>
          <w:highlight w:val="none"/>
        </w:rPr>
        <w:t>）安装高度下侧边缘不小于</w:t>
      </w:r>
      <w:r>
        <w:rPr>
          <w:color w:val="auto"/>
          <w:highlight w:val="none"/>
        </w:rPr>
        <w:t>1.8m</w:t>
      </w:r>
      <w:r>
        <w:rPr>
          <w:rFonts w:hint="eastAsia"/>
          <w:color w:val="auto"/>
          <w:highlight w:val="none"/>
        </w:rPr>
        <w:t>。</w:t>
      </w:r>
    </w:p>
    <w:p>
      <w:pPr>
        <w:pStyle w:val="217"/>
        <w:rPr>
          <w:color w:val="auto"/>
          <w:highlight w:val="none"/>
        </w:rPr>
      </w:pPr>
      <w:r>
        <w:rPr>
          <w:rFonts w:hint="eastAsia"/>
          <w:color w:val="auto"/>
          <w:highlight w:val="none"/>
        </w:rPr>
        <w:t>风扇绝缘电阻符合要求，安装牢固、可靠，运转正常。</w:t>
      </w:r>
    </w:p>
    <w:p>
      <w:pPr>
        <w:rPr>
          <w:color w:val="auto"/>
          <w:highlight w:val="none"/>
        </w:rPr>
      </w:pPr>
    </w:p>
    <w:p>
      <w:pPr>
        <w:pStyle w:val="113"/>
        <w:spacing w:before="120" w:after="120"/>
        <w:outlineLvl w:val="2"/>
        <w:rPr>
          <w:color w:val="auto"/>
          <w:highlight w:val="none"/>
        </w:rPr>
      </w:pPr>
      <w:bookmarkStart w:id="7795" w:name="_Toc505345742"/>
      <w:bookmarkStart w:id="7796" w:name="_Toc69114170"/>
      <w:bookmarkStart w:id="7797" w:name="_Toc66890424"/>
      <w:bookmarkStart w:id="7798" w:name="_Toc66634429"/>
      <w:r>
        <w:rPr>
          <w:color w:val="auto"/>
          <w:highlight w:val="none"/>
        </w:rPr>
        <w:t xml:space="preserve">3.4 </w:t>
      </w:r>
      <w:r>
        <w:rPr>
          <w:rFonts w:hint="eastAsia"/>
          <w:color w:val="auto"/>
          <w:highlight w:val="none"/>
        </w:rPr>
        <w:t>防雷接地</w:t>
      </w:r>
      <w:bookmarkEnd w:id="7795"/>
      <w:bookmarkEnd w:id="7796"/>
      <w:bookmarkEnd w:id="7797"/>
      <w:bookmarkEnd w:id="7798"/>
    </w:p>
    <w:p>
      <w:pPr>
        <w:pStyle w:val="172"/>
        <w:rPr>
          <w:color w:val="auto"/>
          <w:highlight w:val="none"/>
        </w:rPr>
      </w:pPr>
      <w:r>
        <w:rPr>
          <w:color w:val="auto"/>
          <w:highlight w:val="none"/>
        </w:rPr>
        <w:t xml:space="preserve">3.4.1 </w:t>
      </w:r>
      <w:r>
        <w:rPr>
          <w:rFonts w:hint="eastAsia"/>
          <w:color w:val="auto"/>
          <w:highlight w:val="none"/>
        </w:rPr>
        <w:t>说明</w:t>
      </w:r>
    </w:p>
    <w:p>
      <w:pPr>
        <w:pStyle w:val="217"/>
        <w:rPr>
          <w:color w:val="auto"/>
          <w:highlight w:val="none"/>
        </w:rPr>
      </w:pPr>
      <w:r>
        <w:rPr>
          <w:color w:val="auto"/>
          <w:highlight w:val="none"/>
        </w:rPr>
        <w:t>1.</w:t>
      </w:r>
      <w:r>
        <w:rPr>
          <w:rFonts w:hint="eastAsia"/>
          <w:color w:val="auto"/>
          <w:highlight w:val="none"/>
        </w:rPr>
        <w:t>接地极、避雷用型钢等镀锌制品应符合设计要求，镀锌厂家应出具镀锌质量证明书，外观检查镀锌层覆盖完整，表面无锈斑，金具配件齐全，无砂眼。</w:t>
      </w:r>
    </w:p>
    <w:p>
      <w:pPr>
        <w:pStyle w:val="217"/>
        <w:rPr>
          <w:color w:val="auto"/>
          <w:highlight w:val="none"/>
        </w:rPr>
      </w:pPr>
      <w:r>
        <w:rPr>
          <w:color w:val="auto"/>
          <w:highlight w:val="none"/>
        </w:rPr>
        <w:t>2.</w:t>
      </w:r>
      <w:r>
        <w:rPr>
          <w:rFonts w:hint="eastAsia"/>
          <w:color w:val="auto"/>
          <w:highlight w:val="none"/>
        </w:rPr>
        <w:t>建筑物基础钢筋的接地装置必须在地面以上按设计要求位置设测试点。</w:t>
      </w:r>
    </w:p>
    <w:p>
      <w:pPr>
        <w:pStyle w:val="217"/>
        <w:rPr>
          <w:color w:val="auto"/>
          <w:highlight w:val="none"/>
        </w:rPr>
      </w:pPr>
      <w:r>
        <w:rPr>
          <w:color w:val="auto"/>
          <w:highlight w:val="none"/>
        </w:rPr>
        <w:t>3.</w:t>
      </w:r>
      <w:r>
        <w:rPr>
          <w:rFonts w:hint="eastAsia"/>
          <w:color w:val="auto"/>
          <w:highlight w:val="none"/>
        </w:rPr>
        <w:t>接地装置的焊接应采用搭接焊，搭接长度应符合下列规定：</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）扁钢与扁钢搭接为扁钢宽度的</w:t>
      </w:r>
      <w:r>
        <w:rPr>
          <w:color w:val="auto"/>
          <w:highlight w:val="none"/>
        </w:rPr>
        <w:t>2</w:t>
      </w:r>
      <w:r>
        <w:rPr>
          <w:rFonts w:hint="eastAsia"/>
          <w:color w:val="auto"/>
          <w:highlight w:val="none"/>
        </w:rPr>
        <w:t>倍，不少于三面焊接。</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）圆钢与圆钢搭接为圆钢直径的</w:t>
      </w:r>
      <w:r>
        <w:rPr>
          <w:color w:val="auto"/>
          <w:highlight w:val="none"/>
        </w:rPr>
        <w:t>6</w:t>
      </w:r>
      <w:r>
        <w:rPr>
          <w:rFonts w:hint="eastAsia"/>
          <w:color w:val="auto"/>
          <w:highlight w:val="none"/>
        </w:rPr>
        <w:t>倍，双面焊接。</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）扁钢与钢管、扁钢与角钢焊接紧贴角钢外侧两面，或紧贴</w:t>
      </w:r>
      <w:r>
        <w:rPr>
          <w:color w:val="auto"/>
          <w:highlight w:val="none"/>
        </w:rPr>
        <w:t>3/4</w:t>
      </w:r>
      <w:r>
        <w:rPr>
          <w:rFonts w:hint="eastAsia"/>
          <w:color w:val="auto"/>
          <w:highlight w:val="none"/>
        </w:rPr>
        <w:t>钢管表面，上、下两侧焊接。</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）圆钢与扁钢搭接为圆钢直径的</w:t>
      </w:r>
      <w:r>
        <w:rPr>
          <w:color w:val="auto"/>
          <w:highlight w:val="none"/>
        </w:rPr>
        <w:t>6</w:t>
      </w:r>
      <w:r>
        <w:rPr>
          <w:rFonts w:hint="eastAsia"/>
          <w:color w:val="auto"/>
          <w:highlight w:val="none"/>
        </w:rPr>
        <w:t>倍，双面焊接。</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）除埋设在混凝土中的焊接接头外，有防腐措施。</w:t>
      </w:r>
    </w:p>
    <w:p>
      <w:pPr>
        <w:pStyle w:val="217"/>
        <w:rPr>
          <w:color w:val="auto"/>
          <w:highlight w:val="none"/>
        </w:rPr>
      </w:pPr>
      <w:r>
        <w:rPr>
          <w:color w:val="auto"/>
          <w:highlight w:val="none"/>
        </w:rPr>
        <w:t>4.</w:t>
      </w:r>
      <w:r>
        <w:rPr>
          <w:rFonts w:hint="eastAsia"/>
          <w:color w:val="auto"/>
          <w:highlight w:val="none"/>
        </w:rPr>
        <w:t>测试接地装置的接地电阻值必须符合设计要求。</w:t>
      </w:r>
    </w:p>
    <w:p>
      <w:pPr>
        <w:pStyle w:val="217"/>
        <w:rPr>
          <w:color w:val="auto"/>
          <w:highlight w:val="none"/>
        </w:rPr>
      </w:pPr>
      <w:r>
        <w:rPr>
          <w:color w:val="auto"/>
          <w:highlight w:val="none"/>
        </w:rPr>
        <w:t>5.</w:t>
      </w:r>
      <w:r>
        <w:rPr>
          <w:rFonts w:hint="eastAsia"/>
          <w:color w:val="auto"/>
          <w:highlight w:val="none"/>
        </w:rPr>
        <w:t>设计要求接地的幕墙金属框架和建筑物的金属门窗，应就近与接地干线连接可靠，连接处不同金属间应有防电化腐蚀措施。</w:t>
      </w:r>
    </w:p>
    <w:p>
      <w:pPr>
        <w:pStyle w:val="217"/>
        <w:rPr>
          <w:color w:val="auto"/>
          <w:highlight w:val="none"/>
        </w:rPr>
      </w:pPr>
      <w:r>
        <w:rPr>
          <w:color w:val="auto"/>
          <w:highlight w:val="none"/>
        </w:rPr>
        <w:t>6.</w:t>
      </w:r>
      <w:r>
        <w:rPr>
          <w:rFonts w:hint="eastAsia"/>
          <w:color w:val="auto"/>
          <w:highlight w:val="none"/>
        </w:rPr>
        <w:t>建筑物防雷接地安装完毕后应进行测试。一般要求做两次测试。对于利用建筑物基础作接地装置时，一次是建筑物底板钢筋绑扎完毕，接地装置连接烧焊完毕，作一次接地电阻测试。另一次则为屋顶避雷针、接闪带施工完毕，整个避雷系统连接完成后进行，接地电阻值应符合设计要求。</w:t>
      </w:r>
    </w:p>
    <w:p>
      <w:pPr>
        <w:pStyle w:val="172"/>
        <w:rPr>
          <w:color w:val="auto"/>
          <w:highlight w:val="none"/>
        </w:rPr>
      </w:pPr>
      <w:r>
        <w:rPr>
          <w:color w:val="auto"/>
          <w:highlight w:val="none"/>
        </w:rPr>
        <w:t xml:space="preserve">3.4.2 </w:t>
      </w:r>
      <w:r>
        <w:rPr>
          <w:rFonts w:hint="eastAsia"/>
          <w:color w:val="auto"/>
          <w:highlight w:val="none"/>
        </w:rPr>
        <w:t>避雷引下线和变配电室接地干线的敷设</w:t>
      </w:r>
    </w:p>
    <w:p>
      <w:pPr>
        <w:pStyle w:val="217"/>
        <w:rPr>
          <w:color w:val="auto"/>
          <w:highlight w:val="none"/>
        </w:rPr>
      </w:pPr>
      <w:r>
        <w:rPr>
          <w:color w:val="auto"/>
          <w:highlight w:val="none"/>
        </w:rPr>
        <w:t>1.</w:t>
      </w:r>
      <w:r>
        <w:rPr>
          <w:rFonts w:hint="eastAsia"/>
          <w:color w:val="auto"/>
          <w:highlight w:val="none"/>
        </w:rPr>
        <w:t>暗敷在建筑物抹灰层内的引下线应有卡钉分段固定；明敷的引下线应平直，无急弯，与支架焊接处，油漆防腐，无遗漏。</w:t>
      </w:r>
    </w:p>
    <w:p>
      <w:pPr>
        <w:pStyle w:val="217"/>
        <w:rPr>
          <w:color w:val="auto"/>
          <w:highlight w:val="none"/>
        </w:rPr>
      </w:pPr>
      <w:r>
        <w:rPr>
          <w:color w:val="auto"/>
          <w:highlight w:val="none"/>
        </w:rPr>
        <w:t>2.</w:t>
      </w:r>
      <w:r>
        <w:rPr>
          <w:rFonts w:hint="eastAsia"/>
          <w:color w:val="auto"/>
          <w:highlight w:val="none"/>
        </w:rPr>
        <w:t>变压器室、高低压开关室内的接地干线应有不少于</w:t>
      </w:r>
      <w:r>
        <w:rPr>
          <w:color w:val="auto"/>
          <w:highlight w:val="none"/>
        </w:rPr>
        <w:t>2</w:t>
      </w:r>
      <w:r>
        <w:rPr>
          <w:rFonts w:hint="eastAsia"/>
          <w:color w:val="auto"/>
          <w:highlight w:val="none"/>
        </w:rPr>
        <w:t>处与接地装置引出干线连接。</w:t>
      </w:r>
    </w:p>
    <w:p>
      <w:pPr>
        <w:pStyle w:val="217"/>
        <w:rPr>
          <w:color w:val="auto"/>
          <w:highlight w:val="none"/>
        </w:rPr>
      </w:pPr>
      <w:r>
        <w:rPr>
          <w:color w:val="auto"/>
          <w:highlight w:val="none"/>
        </w:rPr>
        <w:t>3.</w:t>
      </w:r>
      <w:r>
        <w:rPr>
          <w:rFonts w:hint="eastAsia"/>
          <w:color w:val="auto"/>
          <w:highlight w:val="none"/>
        </w:rPr>
        <w:t>钢制接地线的焊接和接地装置的焊接规范要求相同，材料选用和最小允许规格、尺寸应符合设计要求。</w:t>
      </w:r>
    </w:p>
    <w:p>
      <w:pPr>
        <w:pStyle w:val="217"/>
        <w:rPr>
          <w:color w:val="auto"/>
          <w:highlight w:val="none"/>
        </w:rPr>
      </w:pPr>
      <w:r>
        <w:rPr>
          <w:color w:val="auto"/>
          <w:highlight w:val="none"/>
        </w:rPr>
        <w:t>4.</w:t>
      </w:r>
      <w:r>
        <w:rPr>
          <w:rFonts w:hint="eastAsia"/>
          <w:color w:val="auto"/>
          <w:highlight w:val="none"/>
        </w:rPr>
        <w:t>明敷接地引下线及室内接地干线的支持件间距应均匀，水平直线部分</w:t>
      </w:r>
      <w:r>
        <w:rPr>
          <w:color w:val="auto"/>
          <w:highlight w:val="none"/>
        </w:rPr>
        <w:t>0.5</w:t>
      </w:r>
      <w:r>
        <w:rPr>
          <w:rFonts w:hint="eastAsia"/>
          <w:color w:val="auto"/>
          <w:highlight w:val="none"/>
        </w:rPr>
        <w:t>～</w:t>
      </w:r>
      <w:r>
        <w:rPr>
          <w:color w:val="auto"/>
          <w:highlight w:val="none"/>
        </w:rPr>
        <w:t>1.5m</w:t>
      </w:r>
      <w:r>
        <w:rPr>
          <w:rFonts w:hint="eastAsia"/>
          <w:color w:val="auto"/>
          <w:highlight w:val="none"/>
        </w:rPr>
        <w:t>；垂直部分</w:t>
      </w:r>
      <w:r>
        <w:rPr>
          <w:color w:val="auto"/>
          <w:highlight w:val="none"/>
        </w:rPr>
        <w:t>1.5</w:t>
      </w:r>
      <w:r>
        <w:rPr>
          <w:rFonts w:hint="eastAsia"/>
          <w:color w:val="auto"/>
          <w:highlight w:val="none"/>
        </w:rPr>
        <w:t>～</w:t>
      </w:r>
      <w:r>
        <w:rPr>
          <w:color w:val="auto"/>
          <w:highlight w:val="none"/>
        </w:rPr>
        <w:t>3m</w:t>
      </w:r>
      <w:r>
        <w:rPr>
          <w:rFonts w:hint="eastAsia"/>
          <w:color w:val="auto"/>
          <w:highlight w:val="none"/>
        </w:rPr>
        <w:t>；弯曲部分</w:t>
      </w:r>
      <w:r>
        <w:rPr>
          <w:color w:val="auto"/>
          <w:highlight w:val="none"/>
        </w:rPr>
        <w:t>0.3</w:t>
      </w:r>
      <w:r>
        <w:rPr>
          <w:rFonts w:hint="eastAsia"/>
          <w:color w:val="auto"/>
          <w:highlight w:val="none"/>
        </w:rPr>
        <w:t>～</w:t>
      </w:r>
      <w:r>
        <w:rPr>
          <w:color w:val="auto"/>
          <w:highlight w:val="none"/>
        </w:rPr>
        <w:t>0.5m</w:t>
      </w:r>
      <w:r>
        <w:rPr>
          <w:rFonts w:hint="eastAsia"/>
          <w:color w:val="auto"/>
          <w:highlight w:val="none"/>
        </w:rPr>
        <w:t>。</w:t>
      </w:r>
    </w:p>
    <w:p>
      <w:pPr>
        <w:pStyle w:val="217"/>
        <w:rPr>
          <w:color w:val="auto"/>
          <w:highlight w:val="none"/>
        </w:rPr>
      </w:pPr>
      <w:r>
        <w:rPr>
          <w:color w:val="auto"/>
          <w:highlight w:val="none"/>
        </w:rPr>
        <w:t>5.</w:t>
      </w:r>
      <w:r>
        <w:rPr>
          <w:rFonts w:hint="eastAsia"/>
          <w:color w:val="auto"/>
          <w:highlight w:val="none"/>
        </w:rPr>
        <w:t>接地线在穿越墙壁、楼板和地坪处应加套钢管或其它坚固的保护套管，钢套管应与接地线做电气连通。</w:t>
      </w:r>
    </w:p>
    <w:p>
      <w:pPr>
        <w:pStyle w:val="172"/>
        <w:rPr>
          <w:color w:val="auto"/>
          <w:highlight w:val="none"/>
        </w:rPr>
      </w:pPr>
      <w:r>
        <w:rPr>
          <w:color w:val="auto"/>
          <w:highlight w:val="none"/>
        </w:rPr>
        <w:t xml:space="preserve">3.4.3 </w:t>
      </w:r>
      <w:r>
        <w:rPr>
          <w:rFonts w:hint="eastAsia"/>
          <w:color w:val="auto"/>
          <w:highlight w:val="none"/>
        </w:rPr>
        <w:t>接闪器的安装</w:t>
      </w:r>
    </w:p>
    <w:p>
      <w:pPr>
        <w:pStyle w:val="217"/>
        <w:rPr>
          <w:color w:val="auto"/>
          <w:highlight w:val="none"/>
        </w:rPr>
      </w:pPr>
      <w:r>
        <w:rPr>
          <w:color w:val="auto"/>
          <w:highlight w:val="none"/>
        </w:rPr>
        <w:t>1.</w:t>
      </w:r>
      <w:r>
        <w:rPr>
          <w:rFonts w:hint="eastAsia"/>
          <w:color w:val="auto"/>
          <w:highlight w:val="none"/>
        </w:rPr>
        <w:t>建筑物顶部的避雷针、接闪带等必须与顶部外露的其它金属物体连成一个整体的电气通路，且与避雷引下线连接可靠。</w:t>
      </w:r>
    </w:p>
    <w:p>
      <w:pPr>
        <w:pStyle w:val="217"/>
        <w:rPr>
          <w:color w:val="auto"/>
          <w:highlight w:val="none"/>
        </w:rPr>
      </w:pPr>
      <w:r>
        <w:rPr>
          <w:color w:val="auto"/>
          <w:highlight w:val="none"/>
        </w:rPr>
        <w:t>2.</w:t>
      </w:r>
      <w:r>
        <w:rPr>
          <w:rFonts w:hint="eastAsia"/>
          <w:color w:val="auto"/>
          <w:highlight w:val="none"/>
        </w:rPr>
        <w:t>避雷针、接闪带应位置正确，焊接固定的焊缝饱满无遗漏，螺栓固定的应备帽等防松零件齐全，焊接部分补刷的防腐油漆完整。</w:t>
      </w:r>
    </w:p>
    <w:p>
      <w:pPr>
        <w:pStyle w:val="217"/>
        <w:rPr>
          <w:color w:val="auto"/>
          <w:highlight w:val="none"/>
        </w:rPr>
      </w:pPr>
      <w:r>
        <w:rPr>
          <w:rFonts w:hint="eastAsia"/>
          <w:color w:val="auto"/>
          <w:highlight w:val="none"/>
        </w:rPr>
        <w:t>接闪带应平正顺直，固定点支持件间距均匀，固定可靠，每个支持件应能承受大于</w:t>
      </w:r>
      <w:r>
        <w:rPr>
          <w:color w:val="auto"/>
          <w:highlight w:val="none"/>
        </w:rPr>
        <w:t>5kg</w:t>
      </w:r>
      <w:r>
        <w:rPr>
          <w:rFonts w:hint="eastAsia"/>
          <w:color w:val="auto"/>
          <w:highlight w:val="none"/>
        </w:rPr>
        <w:t>的垂直拉力。接闪带支持件的间距和明敷引下线及室内接地干线支持件间距相同。</w:t>
      </w:r>
    </w:p>
    <w:p>
      <w:pPr>
        <w:rPr>
          <w:color w:val="auto"/>
          <w:highlight w:val="none"/>
        </w:rPr>
      </w:pPr>
    </w:p>
    <w:p>
      <w:pPr>
        <w:pStyle w:val="188"/>
        <w:spacing w:before="120" w:after="120"/>
        <w:outlineLvl w:val="1"/>
        <w:rPr>
          <w:color w:val="auto"/>
          <w:highlight w:val="none"/>
        </w:rPr>
      </w:pPr>
      <w:bookmarkStart w:id="7799" w:name="_Toc66890425"/>
      <w:bookmarkStart w:id="7800" w:name="_Toc66634430"/>
      <w:bookmarkStart w:id="7801" w:name="_Toc69114171"/>
      <w:bookmarkStart w:id="7802" w:name="_Toc505345743"/>
      <w:r>
        <w:rPr>
          <w:rFonts w:hint="eastAsia"/>
          <w:color w:val="auto"/>
          <w:highlight w:val="none"/>
        </w:rPr>
        <w:t>第</w:t>
      </w:r>
      <w:r>
        <w:rPr>
          <w:color w:val="auto"/>
          <w:highlight w:val="none"/>
        </w:rPr>
        <w:t>4</w:t>
      </w:r>
      <w:r>
        <w:rPr>
          <w:rFonts w:hint="eastAsia"/>
          <w:color w:val="auto"/>
          <w:highlight w:val="none"/>
        </w:rPr>
        <w:t>章</w:t>
      </w:r>
      <w:r>
        <w:rPr>
          <w:color w:val="auto"/>
          <w:highlight w:val="none"/>
        </w:rPr>
        <w:t xml:space="preserve">  </w:t>
      </w:r>
      <w:r>
        <w:rPr>
          <w:rFonts w:hint="eastAsia"/>
          <w:color w:val="auto"/>
          <w:highlight w:val="none"/>
        </w:rPr>
        <w:t>等电位联结</w:t>
      </w:r>
      <w:bookmarkEnd w:id="7799"/>
      <w:bookmarkEnd w:id="7800"/>
      <w:bookmarkEnd w:id="7801"/>
      <w:bookmarkEnd w:id="7802"/>
    </w:p>
    <w:p>
      <w:pPr>
        <w:pStyle w:val="217"/>
        <w:rPr>
          <w:color w:val="auto"/>
          <w:highlight w:val="none"/>
        </w:rPr>
      </w:pPr>
      <w:r>
        <w:rPr>
          <w:rFonts w:hint="eastAsia"/>
          <w:color w:val="auto"/>
          <w:highlight w:val="none"/>
        </w:rPr>
        <w:t>等电位联结的施工按已批准的设计执行，采用钢材作等电位联结时，要求用镀锌制品，镀锌厂家应出具镀锌质量证明书。</w:t>
      </w:r>
    </w:p>
    <w:p>
      <w:pPr>
        <w:pStyle w:val="217"/>
        <w:rPr>
          <w:color w:val="auto"/>
          <w:highlight w:val="none"/>
        </w:rPr>
      </w:pPr>
      <w:r>
        <w:rPr>
          <w:rFonts w:hint="eastAsia"/>
          <w:color w:val="auto"/>
          <w:highlight w:val="none"/>
        </w:rPr>
        <w:t>施工质量要求：</w:t>
      </w:r>
    </w:p>
    <w:p>
      <w:pPr>
        <w:pStyle w:val="217"/>
        <w:rPr>
          <w:color w:val="auto"/>
          <w:highlight w:val="none"/>
        </w:rPr>
      </w:pPr>
      <w:r>
        <w:rPr>
          <w:color w:val="auto"/>
          <w:highlight w:val="none"/>
        </w:rPr>
        <w:t>1.</w:t>
      </w:r>
      <w:r>
        <w:rPr>
          <w:rFonts w:hint="eastAsia"/>
          <w:color w:val="auto"/>
          <w:highlight w:val="none"/>
        </w:rPr>
        <w:t>建筑物等电位联结干线应从与接地装置有不少于</w:t>
      </w:r>
      <w:r>
        <w:rPr>
          <w:color w:val="auto"/>
          <w:highlight w:val="none"/>
        </w:rPr>
        <w:t>2</w:t>
      </w:r>
      <w:r>
        <w:rPr>
          <w:rFonts w:hint="eastAsia"/>
          <w:color w:val="auto"/>
          <w:highlight w:val="none"/>
        </w:rPr>
        <w:t>处直接连接的接地干线或总等电位箱引出，等电位联结干线或局部等电位箱间的连接线形成环形网路，环形网路应就近与等电位联接干线或局部等电位箱连接，支线间不应串联连接。</w:t>
      </w:r>
    </w:p>
    <w:p>
      <w:pPr>
        <w:pStyle w:val="217"/>
        <w:rPr>
          <w:color w:val="auto"/>
          <w:highlight w:val="none"/>
        </w:rPr>
      </w:pPr>
      <w:r>
        <w:rPr>
          <w:color w:val="auto"/>
          <w:highlight w:val="none"/>
        </w:rPr>
        <w:t>1.</w:t>
      </w:r>
      <w:r>
        <w:rPr>
          <w:rFonts w:hint="eastAsia"/>
          <w:color w:val="auto"/>
          <w:highlight w:val="none"/>
        </w:rPr>
        <w:t>等电位联接的线路最小允许截面钢材干线为</w:t>
      </w:r>
      <w:r>
        <w:rPr>
          <w:color w:val="auto"/>
          <w:highlight w:val="none"/>
        </w:rPr>
        <w:t>50mm2</w:t>
      </w:r>
      <w:r>
        <w:rPr>
          <w:rFonts w:hint="eastAsia"/>
          <w:color w:val="auto"/>
          <w:highlight w:val="none"/>
        </w:rPr>
        <w:t>，支线为</w:t>
      </w:r>
      <w:r>
        <w:rPr>
          <w:color w:val="auto"/>
          <w:highlight w:val="none"/>
        </w:rPr>
        <w:t>16mm2</w:t>
      </w:r>
      <w:r>
        <w:rPr>
          <w:rFonts w:hint="eastAsia"/>
          <w:color w:val="auto"/>
          <w:highlight w:val="none"/>
        </w:rPr>
        <w:t>。</w:t>
      </w:r>
    </w:p>
    <w:p>
      <w:pPr>
        <w:pStyle w:val="217"/>
        <w:rPr>
          <w:color w:val="auto"/>
          <w:highlight w:val="none"/>
        </w:rPr>
      </w:pPr>
      <w:r>
        <w:rPr>
          <w:color w:val="auto"/>
          <w:highlight w:val="none"/>
        </w:rPr>
        <w:t>2.</w:t>
      </w:r>
      <w:r>
        <w:rPr>
          <w:rFonts w:hint="eastAsia"/>
          <w:color w:val="auto"/>
          <w:highlight w:val="none"/>
        </w:rPr>
        <w:t>等电位联结的可接近裸露导体或其它金属部件、构件与支线连接应可靠，熔焊、钎焊或机械紧固应导通正常。</w:t>
      </w:r>
    </w:p>
    <w:p>
      <w:pPr>
        <w:pStyle w:val="217"/>
        <w:rPr>
          <w:color w:val="auto"/>
          <w:highlight w:val="none"/>
        </w:rPr>
      </w:pPr>
      <w:r>
        <w:rPr>
          <w:color w:val="auto"/>
          <w:highlight w:val="none"/>
        </w:rPr>
        <w:t>3.</w:t>
      </w:r>
      <w:r>
        <w:rPr>
          <w:rFonts w:hint="eastAsia"/>
          <w:color w:val="auto"/>
          <w:highlight w:val="none"/>
        </w:rPr>
        <w:t>需等电位联接的高级装修金属部件或零件，应有专用接线螺栓与等电位联接支线连接，且有标识；连接处螺帽紧固，防松零件齐全。</w:t>
      </w:r>
    </w:p>
    <w:p>
      <w:pPr>
        <w:pStyle w:val="217"/>
        <w:rPr>
          <w:color w:val="auto"/>
          <w:highlight w:val="none"/>
        </w:rPr>
      </w:pPr>
      <w:r>
        <w:rPr>
          <w:color w:val="auto"/>
          <w:highlight w:val="none"/>
        </w:rPr>
        <w:t>4.</w:t>
      </w:r>
      <w:r>
        <w:rPr>
          <w:rFonts w:hint="eastAsia"/>
          <w:color w:val="auto"/>
          <w:highlight w:val="none"/>
        </w:rPr>
        <w:t>等电位联结安装完毕后应进行导通性测试，测试值应符合设计和规范要求附表</w:t>
      </w:r>
      <w:r>
        <w:rPr>
          <w:color w:val="auto"/>
          <w:highlight w:val="none"/>
        </w:rPr>
        <w:t>1</w:t>
      </w:r>
    </w:p>
    <w:p>
      <w:pPr>
        <w:pStyle w:val="217"/>
        <w:rPr>
          <w:color w:val="auto"/>
          <w:highlight w:val="none"/>
        </w:rPr>
      </w:pPr>
      <w:r>
        <w:rPr>
          <w:rFonts w:hint="eastAsia"/>
          <w:color w:val="auto"/>
          <w:highlight w:val="none"/>
        </w:rPr>
        <w:t>电气工程材料、设备技术要求表</w:t>
      </w:r>
    </w:p>
    <w:tbl>
      <w:tblPr>
        <w:tblStyle w:val="43"/>
        <w:tblW w:w="903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08"/>
        <w:gridCol w:w="1134"/>
        <w:gridCol w:w="6127"/>
        <w:gridCol w:w="10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blHeader/>
          <w:jc w:val="center"/>
        </w:trPr>
        <w:tc>
          <w:tcPr>
            <w:tcW w:w="708" w:type="dxa"/>
            <w:noWrap w:val="0"/>
            <w:vAlign w:val="center"/>
          </w:tcPr>
          <w:p>
            <w:pPr>
              <w:spacing w:line="360" w:lineRule="auto"/>
              <w:jc w:val="center"/>
              <w:rPr>
                <w:rFonts w:ascii="宋体" w:hAnsi="宋体"/>
                <w:b/>
                <w:color w:val="auto"/>
                <w:szCs w:val="21"/>
                <w:highlight w:val="none"/>
              </w:rPr>
            </w:pPr>
            <w:r>
              <w:rPr>
                <w:rFonts w:hint="eastAsia" w:ascii="宋体" w:hAnsi="宋体"/>
                <w:b/>
                <w:color w:val="auto"/>
                <w:szCs w:val="21"/>
                <w:highlight w:val="none"/>
              </w:rPr>
              <w:t>序号</w:t>
            </w:r>
          </w:p>
        </w:tc>
        <w:tc>
          <w:tcPr>
            <w:tcW w:w="1134" w:type="dxa"/>
            <w:noWrap w:val="0"/>
            <w:vAlign w:val="center"/>
          </w:tcPr>
          <w:p>
            <w:pPr>
              <w:spacing w:line="360" w:lineRule="auto"/>
              <w:jc w:val="center"/>
              <w:rPr>
                <w:rFonts w:ascii="宋体" w:hAnsi="宋体"/>
                <w:b/>
                <w:color w:val="auto"/>
                <w:szCs w:val="21"/>
                <w:highlight w:val="none"/>
              </w:rPr>
            </w:pPr>
            <w:r>
              <w:rPr>
                <w:rFonts w:hint="eastAsia" w:ascii="宋体" w:hAnsi="宋体"/>
                <w:b/>
                <w:color w:val="auto"/>
                <w:szCs w:val="21"/>
                <w:highlight w:val="none"/>
              </w:rPr>
              <w:t>产品名称</w:t>
            </w:r>
          </w:p>
        </w:tc>
        <w:tc>
          <w:tcPr>
            <w:tcW w:w="6127" w:type="dxa"/>
            <w:noWrap w:val="0"/>
            <w:vAlign w:val="center"/>
          </w:tcPr>
          <w:p>
            <w:pPr>
              <w:spacing w:line="360" w:lineRule="auto"/>
              <w:jc w:val="center"/>
              <w:rPr>
                <w:rFonts w:ascii="宋体" w:hAnsi="宋体"/>
                <w:b/>
                <w:color w:val="auto"/>
                <w:szCs w:val="21"/>
                <w:highlight w:val="none"/>
              </w:rPr>
            </w:pPr>
            <w:r>
              <w:rPr>
                <w:rFonts w:hint="eastAsia" w:ascii="宋体" w:hAnsi="宋体"/>
                <w:b/>
                <w:color w:val="auto"/>
                <w:szCs w:val="21"/>
                <w:highlight w:val="none"/>
              </w:rPr>
              <w:t>产品技术要求</w:t>
            </w:r>
          </w:p>
        </w:tc>
        <w:tc>
          <w:tcPr>
            <w:tcW w:w="1070" w:type="dxa"/>
            <w:noWrap w:val="0"/>
            <w:vAlign w:val="center"/>
          </w:tcPr>
          <w:p>
            <w:pPr>
              <w:spacing w:line="360" w:lineRule="auto"/>
              <w:jc w:val="center"/>
              <w:rPr>
                <w:rFonts w:ascii="宋体" w:hAnsi="宋体"/>
                <w:b/>
                <w:color w:val="auto"/>
                <w:szCs w:val="21"/>
                <w:highlight w:val="none"/>
              </w:rPr>
            </w:pPr>
            <w:r>
              <w:rPr>
                <w:rFonts w:hint="eastAsia" w:ascii="宋体" w:hAnsi="宋体"/>
                <w:b/>
                <w:color w:val="auto"/>
                <w:szCs w:val="21"/>
                <w:highlight w:val="none"/>
              </w:rPr>
              <w:t>参考品牌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08" w:type="dxa"/>
            <w:noWrap w:val="0"/>
            <w:vAlign w:val="center"/>
          </w:tcPr>
          <w:p>
            <w:pPr>
              <w:numPr>
                <w:ilvl w:val="0"/>
                <w:numId w:val="14"/>
              </w:numPr>
              <w:spacing w:line="360" w:lineRule="auto"/>
              <w:jc w:val="center"/>
              <w:rPr>
                <w:rFonts w:ascii="宋体" w:hAnsi="宋体"/>
                <w:color w:val="auto"/>
                <w:szCs w:val="21"/>
                <w:highlight w:val="none"/>
              </w:rPr>
            </w:pPr>
          </w:p>
        </w:tc>
        <w:tc>
          <w:tcPr>
            <w:tcW w:w="1134" w:type="dxa"/>
            <w:noWrap w:val="0"/>
            <w:vAlign w:val="center"/>
          </w:tcPr>
          <w:p>
            <w:pPr>
              <w:spacing w:after="78" w:line="360" w:lineRule="auto"/>
              <w:rPr>
                <w:rFonts w:ascii="宋体" w:hAnsi="宋体"/>
                <w:color w:val="auto"/>
                <w:szCs w:val="21"/>
                <w:highlight w:val="none"/>
              </w:rPr>
            </w:pPr>
            <w:r>
              <w:rPr>
                <w:rFonts w:hint="eastAsia" w:ascii="宋体"/>
                <w:color w:val="auto"/>
                <w:szCs w:val="21"/>
                <w:highlight w:val="none"/>
              </w:rPr>
              <w:t>高压中置柜</w:t>
            </w:r>
          </w:p>
        </w:tc>
        <w:tc>
          <w:tcPr>
            <w:tcW w:w="6127" w:type="dxa"/>
            <w:noWrap w:val="0"/>
            <w:vAlign w:val="center"/>
          </w:tcPr>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一、制造商的要求：</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1、投标人所提供的设备必须是经过现场验证过的，并且在最近三年至少为三个以上工程提供相同型号设备一年以上的满意运行，必须提供用户清单及详细的设备型号、规格、数量。</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2、设备进场前需提供设备制造商针对本项目的供货证明或授权书及保证售后服务、保证产品质量的承诺函。</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投标产品高压柜必须通过国家级高压电器质量监督检验机构的型式试验</w:t>
            </w:r>
            <w:r>
              <w:rPr>
                <w:rFonts w:hint="eastAsia" w:ascii="宋体" w:hAnsi="宋体"/>
                <w:color w:val="auto"/>
                <w:szCs w:val="21"/>
                <w:highlight w:val="none"/>
              </w:rPr>
              <w:t>。</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投标产品</w:t>
            </w:r>
            <w:r>
              <w:rPr>
                <w:rFonts w:hint="eastAsia" w:ascii="宋体" w:hAnsi="宋体"/>
                <w:color w:val="auto"/>
                <w:szCs w:val="21"/>
                <w:highlight w:val="none"/>
              </w:rPr>
              <w:t>订货前提供制造商拟采购品牌、型号的型式检验报告，送检单位需与制造商一致。</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二、依据标准：</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1、现行国家标准及深圳供电主管部门地方标准：</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2、其他有关的现行国家标准及广东省、深圳供电主管部门地方标准。</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3、电气施工图纸</w:t>
            </w:r>
            <w:r>
              <w:rPr>
                <w:rFonts w:hint="eastAsia"/>
                <w:color w:val="auto"/>
                <w:szCs w:val="21"/>
                <w:highlight w:val="none"/>
              </w:rPr>
              <w:t>及供电部门的审图意见</w:t>
            </w:r>
            <w:r>
              <w:rPr>
                <w:rFonts w:hint="eastAsia" w:ascii="宋体" w:hAnsi="宋体"/>
                <w:color w:val="auto"/>
                <w:szCs w:val="21"/>
                <w:highlight w:val="none"/>
              </w:rPr>
              <w:t>。</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投标人可根据图纸设计技术要求、本技术文件要求，提供技术参数优良、运行业绩良好的产品，设备型号由投标人根据所投产品按本工程设计文件、本技术文件的要求确定，但必须不低于图纸设计中的所有的技术参数且通过国家级权威检验机构的型式试验。</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三、设备运行条件：</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环境温度：-5℃～+40℃</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最大相对湿度：90%（25℃）</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海拔高度：＜1000米</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耐受地震能力：水平加速度0.2；</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垂直加速度0.1；</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本工程气候条件：海洋性气候、盐雾腐蚀</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安装位置：户内</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四、高压真空开关柜主要技术要求：</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1、技术参数：</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1.1、额定电压:ACl2kV三相三线</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1.2、额定频率:5OHZ</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1.3、额定绝缘水平:l m</w:t>
            </w:r>
            <w:r>
              <w:rPr>
                <w:rFonts w:ascii="宋体" w:hAnsi="宋体"/>
                <w:color w:val="auto"/>
                <w:szCs w:val="21"/>
                <w:highlight w:val="none"/>
              </w:rPr>
              <w:t>i</w:t>
            </w:r>
            <w:r>
              <w:rPr>
                <w:rFonts w:hint="eastAsia" w:ascii="宋体" w:hAnsi="宋体"/>
                <w:color w:val="auto"/>
                <w:szCs w:val="21"/>
                <w:highlight w:val="none"/>
              </w:rPr>
              <w:t>n工频耐压: ≥42kV(相间、对地)≥48kV(断口)；雷电冲击耐压: ≥75kV(相间、对地)≥85kV(断口)；</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1.4、真空断路器技术参数:</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进线及联络断路器1250A</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出线断路器630A</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额定短路开断电流:31.5KA (1250A)</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额定短路开断电流:31.5KA (630A)</w:t>
            </w:r>
          </w:p>
          <w:p>
            <w:pPr>
              <w:tabs>
                <w:tab w:val="left" w:pos="4845"/>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额定短路关合电流:8OKA (1250A)</w:t>
            </w:r>
          </w:p>
          <w:p>
            <w:pPr>
              <w:tabs>
                <w:tab w:val="left" w:pos="4845"/>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额定短路关合电流:8OKA (630A)</w:t>
            </w:r>
          </w:p>
          <w:p>
            <w:pPr>
              <w:tabs>
                <w:tab w:val="left" w:pos="4845"/>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额定动稳定电流:80KA (1250A)</w:t>
            </w:r>
          </w:p>
          <w:p>
            <w:pPr>
              <w:tabs>
                <w:tab w:val="left" w:pos="4845"/>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额定动稳定电流:80KA (630A)</w:t>
            </w:r>
          </w:p>
          <w:p>
            <w:pPr>
              <w:tabs>
                <w:tab w:val="left" w:pos="4845"/>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3s热稳定电流(有效值):31.5KA (1250A)</w:t>
            </w:r>
          </w:p>
          <w:p>
            <w:pPr>
              <w:tabs>
                <w:tab w:val="left" w:pos="4845"/>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3s热稳定电流(有效值):31.5KA (630A)</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额定短路电流开断次数:50次 (31.5kA)</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断路器电气寿命:10000次</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断路器机械寿命:10000次</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断路器机电免维寿命:10000次 </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触头合闸弹跳时间: ≤2ms</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操作过电压系数≤3</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1.5、真空断路器操作机构</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弹簧储能式，储能电动机电源电压：DC220V；</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分合闸控制电压:DC220V；可手动储能；</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合闸、分闸电压波动范围:合闸85%～110%，分闸65%～120%</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1.6、电流互感器</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电流互感器应按IEC185标准的有关要求进行及选用,并考虑到每个装置的具体要求.</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电流互感器应符合规定的电流比要求,其精度等级满足仪表仪器运行要求.计量CT为0.2级,保护CT为0.5级.</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电流互感器二次侧应考虑开路保护。</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1.7、电压互感器</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电压互感器应按IEC186标准的有关要求进行及选用,并考虑到每个装置的具体要求. 电压互感器初级采用高压熔断器保护,母排不断电可调换熔断器。计量PT为0.2级,保护PT为0.5级. </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1.8、接地开关</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接地开关应为快速接地开关，与操作人员的动作快慢无关，接地设备的容量在接地开关闭合时应能承受短路电流，接地开关在闭合、断开两个位置均能锁扣，接地与否能在柜前辩别。接地开关应具有机械联锁性能，以防止误操作。</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1.9、母排</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母排应是刚性、高导电率的电解铜，应符合IEC431，接触面镀银。</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每根母排的截面在整个长度内应均匀，其截面应能承载连续的负载电流及短路电流。</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母排的接点应确保有效的导电和牢固的连接。</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母排应于出厂前先钻孔，母排的孔应光洁，无毛口，母排的夹紧螺栓应采用高拉伸的不锈钢螺栓。母排不应由功能单元支撑，支持母排的绝缘子或其他材料应具有良好的性能，以适应机械及电气要求。</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1.10、中性母排和接地母排：提供满足系统要求的中性母排和接地母排，上述母排出厂前应先钻孔，便于连接。</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2、高压开关柜必须满足全工况、全隔离、全封闭的要求。</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3、绝缘子爬电距离:瓷质材料≥207mm，有机材料≥23Omm</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4、高压开关柜体外壳要求采用敷铝锌钢板，厚度≥2mm。（面板除外）</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根据柜内电气设备的功能，柜体用隔板分成四个不同的功能单元。母线室、断路器室、低压室、电缆室等应具有独立的隔间，其隔间的隔板应采用敷铝锌钢板并且分别独立接地。母线、断路器、电缆三个室必须通过内部燃弧实验并有独立的向上的排泄通道。外壳防护等级为IP3X，断路器室门打开时的防护等级为IP2X。</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6、开关柜应具有五防的功能:即防止误分误合断路器；防止带负荷推入或拉出隔离插头；防止带电合接地开关；防止接地开关在合闸位置送电；防止误入带电间隔。</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具体要求如下:</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6.1、断路器在合闸位置时，断路器手车拉不出。</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6.2、断路器在合闸状态下，断路器手车不能从实验位置推入。</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6.3、断路器手车在运行位置时，接地开关不能合闸。</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6.4、接地开关在合闸或分闸未到位时，断路器手车不能从实验位置推入。</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6.5、断路器手车一次隔离插头不到位，断路器不能合闸。</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6.6、断路器手车在移动过程中，断路器不能合闸。</w:t>
            </w:r>
          </w:p>
          <w:p>
            <w:pPr>
              <w:spacing w:line="360" w:lineRule="auto"/>
              <w:ind w:firstLine="407" w:firstLineChars="194"/>
              <w:rPr>
                <w:rFonts w:ascii="宋体" w:hAnsi="宋体"/>
                <w:color w:val="auto"/>
                <w:szCs w:val="21"/>
                <w:highlight w:val="none"/>
              </w:rPr>
            </w:pPr>
            <w:r>
              <w:rPr>
                <w:rFonts w:hint="eastAsia" w:ascii="宋体" w:hAnsi="宋体"/>
                <w:color w:val="auto"/>
                <w:szCs w:val="21"/>
                <w:highlight w:val="none"/>
              </w:rPr>
              <w:t>6.7、断路器手车与控制回路插头应闭锁。当断路器手车处于工作时控制回路的插头不能拔出。</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6.8、接地开关处于合闸状态时，断路器手车不能从试验位置推进工作位置。</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6.9、接地开关处于合闸状态下，电缆室门才能被打开；带电时，电缆室门不准打开。</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6.10、带电显示与接地开关闭锁。</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6.11、断路器应有防跳功能，在一次指令下只能合闸一次。</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7、为防止绝缘件表面在高湿度期间产生凝露，电缆室、断路器室应装有加热器防潮装置。</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8、开关柜内金属活门应开启灵活、可靠，当断路器拉出柜外时，活门应当闭锁，以防止带电的静触头外露。</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9、功能、容量相同的断路器手车应能互换。</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10、一次动触头应能自动对中，保证操作灵活、接触良好。</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11、断路器的分、合闸指示、储能弹簧的储能状态指示应明显、直观、便于观察。</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12、断路器的就地分、合闸按钮应操作方便、灵活，并设有防止误操作的措施。</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13、断路器应能在失去操作电源的情况下方便地进行手动储能，手动分、合闸。</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14、断路器手车应有运行位置、实验位置的定位装置，且有明显可见的指示标志。</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15、接地开关应有可靠的接地位置指示器，以校核其位置。</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16、高压开关柜进出线方式：见设计</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17、承包人所选设备必须满足技术文件中高压开关柜系统图、配电室平面布置图(详见附图)、供电局有关批文的要求。这些图纸是本招标文件重要的有效组成部分，除技术文件技术要求中作出修改内容外，投标人不得随意改动设计参数。</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19、二次回路主要电器元件可按厂家的标准配置，但质量应是高可靠性的产品。</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20、应设置专用的高压电能计量柜、专用的计量用电压互感器和计量用电流互感器。10KV计量CT由供电部门确定。</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21、真空断路器开关柜内两进线开关应可实现电源自动切换，并应具备电气联锁，以防止两路电源并列运行。</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22、10KV继电保护，不允许采用反时限继电保护。进线，设限时电流速断、定时限过流保护；出线，设电流速断、定时限过流、零序电流保护。</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23、柜内元器件均应具有CCC认证。</w:t>
            </w:r>
          </w:p>
          <w:p>
            <w:pPr>
              <w:spacing w:line="360" w:lineRule="auto"/>
              <w:rPr>
                <w:rFonts w:ascii="宋体" w:hAnsi="宋体"/>
                <w:color w:val="auto"/>
                <w:szCs w:val="21"/>
                <w:highlight w:val="none"/>
              </w:rPr>
            </w:pPr>
            <w:r>
              <w:rPr>
                <w:rFonts w:hint="eastAsia" w:ascii="宋体" w:hAnsi="宋体"/>
                <w:color w:val="auto"/>
                <w:szCs w:val="21"/>
                <w:highlight w:val="none"/>
              </w:rPr>
              <w:t>五、继电保护装置及自动装置：</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1、基本要求</w:t>
            </w:r>
          </w:p>
          <w:p>
            <w:pPr>
              <w:tabs>
                <w:tab w:val="left" w:pos="2408"/>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1.1、有继电保护及自动装置的技术内容，均应符合国家标准、（电力）行业标准，以及国家电力公司的相关要求。</w:t>
            </w:r>
          </w:p>
          <w:p>
            <w:pPr>
              <w:tabs>
                <w:tab w:val="left" w:pos="2408"/>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1.2、采用具有保护、控制、测量和通讯功能的保护装置，装置具有速断、过流、低电压、过电压、延时、零序、频率等保护功能。</w:t>
            </w:r>
          </w:p>
          <w:p>
            <w:pPr>
              <w:tabs>
                <w:tab w:val="left" w:pos="2408"/>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1.2.1、继电保护装置应能测量：电压（精度：0.5级）、电流（精度：0.5级）、有功功率（精度：1.0级）、无功功率（精度：1.0级）、功率因素（精度：0.01）、电度（精度：1.0级）、频率（精度：0.01赫兹）等。</w:t>
            </w:r>
          </w:p>
          <w:p>
            <w:pPr>
              <w:tabs>
                <w:tab w:val="left" w:pos="2408"/>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1.2.2、继电保护装置适应的环境温度要求为：-5℃-- +40℃。</w:t>
            </w:r>
          </w:p>
          <w:p>
            <w:pPr>
              <w:tabs>
                <w:tab w:val="left" w:pos="2408"/>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1.2.3、继电保护装置面板应具有LCD显示屏，可方便的在就地通过面板操作查看三相电流、三相电压、保护定值等信息，该信息可由用户组态和修改，并可显示开关状态及手车位置。</w:t>
            </w:r>
          </w:p>
          <w:p>
            <w:pPr>
              <w:tabs>
                <w:tab w:val="left" w:pos="2408"/>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1.2.4、继电保护装置可以显示故障类型及运行状态，保护装置具有高可靠性的通信接口，可实现与后台计算机的通信。</w:t>
            </w:r>
          </w:p>
          <w:p>
            <w:pPr>
              <w:tabs>
                <w:tab w:val="left" w:pos="2408"/>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1.2.5、所有继电保护装置均应有2套以上的定值，可根据需要自动切换，并具有修改定值的功能，可储存在非遗失的内存里面。</w:t>
            </w:r>
          </w:p>
          <w:p>
            <w:pPr>
              <w:tabs>
                <w:tab w:val="left" w:pos="2408"/>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1.2.6、继电保护装置具有逻辑编程能力。</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1.2.7、继电保护装置中应具有加密功能，具备权限限制。</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1.2.8、继电保护装置应并具有自检功能，自检范围应足够宽，当保护异常时，应可靠地闭锁保护的动作，并发出告警信号。</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1.2.9、断路器跳（合）闸线卷的出口接点控制回路，必须设有串联自保持的继电器回路，保证跳（合）闸出口继电器的接点不断弧、断路器可靠跳、合。</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2、10</w:t>
            </w:r>
            <w:r>
              <w:rPr>
                <w:rFonts w:ascii="宋体" w:hAnsi="宋体"/>
                <w:color w:val="auto"/>
                <w:szCs w:val="21"/>
                <w:highlight w:val="none"/>
              </w:rPr>
              <w:t>k</w:t>
            </w:r>
            <w:r>
              <w:rPr>
                <w:rFonts w:hint="eastAsia" w:ascii="宋体" w:hAnsi="宋体"/>
                <w:color w:val="auto"/>
                <w:szCs w:val="21"/>
                <w:highlight w:val="none"/>
              </w:rPr>
              <w:t>V进线柜</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2.1、保护功能：</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电流速断、定时限电流速断、过流、零序保护、具有进线和母联备自投功能、连锁保护 （实现两段进线与母联之间的电气互锁）、低电压、过电压</w:t>
            </w:r>
          </w:p>
          <w:p>
            <w:pPr>
              <w:tabs>
                <w:tab w:val="left" w:pos="1830"/>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2.2、测量功能：</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电流、电压、功率、电度、功率因数、频率</w:t>
            </w:r>
          </w:p>
          <w:p>
            <w:pPr>
              <w:tabs>
                <w:tab w:val="left" w:pos="1830"/>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2.3、监控功能</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断路器可远方、就地控制；断路器、小车位置、储能机构监视；各种事故，预告信号报警和闭锁功能；断路器动作计数；跳闸回路监视</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10KV</w:t>
            </w:r>
            <w:r>
              <w:rPr>
                <w:rFonts w:hint="eastAsia" w:ascii="宋体" w:hAnsi="宋体"/>
                <w:color w:val="auto"/>
                <w:szCs w:val="21"/>
                <w:highlight w:val="none"/>
              </w:rPr>
              <w:t>/0.4</w:t>
            </w:r>
            <w:r>
              <w:rPr>
                <w:rFonts w:ascii="宋体" w:hAnsi="宋体"/>
                <w:color w:val="auto"/>
                <w:szCs w:val="21"/>
                <w:highlight w:val="none"/>
              </w:rPr>
              <w:t>k</w:t>
            </w:r>
            <w:r>
              <w:rPr>
                <w:rFonts w:hint="eastAsia" w:ascii="宋体" w:hAnsi="宋体"/>
                <w:color w:val="auto"/>
                <w:szCs w:val="21"/>
                <w:highlight w:val="none"/>
              </w:rPr>
              <w:t>V变压器柜</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3.1、保护功能：</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电流速断、过流、零序保护、温度保护</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3.2、测量功能：</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电流、电压、功率、电度、功率因数、频率</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3.3、监控功能：</w:t>
            </w:r>
          </w:p>
          <w:p>
            <w:pPr>
              <w:tabs>
                <w:tab w:val="left" w:pos="1145"/>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断路器远方、就地控制；断路器、小车位置、储能机构监视；各种事故，预告信号报警和闭锁功能；断路器动作计数；跳闸回路监视</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4、10KV电压互感器PT柜</w:t>
            </w:r>
          </w:p>
          <w:p>
            <w:pPr>
              <w:tabs>
                <w:tab w:val="left" w:pos="720"/>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4.1、保护功能：电压切换</w:t>
            </w:r>
          </w:p>
          <w:p>
            <w:pPr>
              <w:tabs>
                <w:tab w:val="left" w:pos="720"/>
              </w:tabs>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4.2、测量功能：电压</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5、联络开关自投（LZT）(系指每组中两路电源之间的母联开关)</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5.1、联络开关自投功能是指当某段母线失电时，系统根据运行条件自动投入联络开关，使失电母线恢复供电的功能。当失电母线故障解除时，只能通过手动恢复正常供电。</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5.2、基本要求</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5.2.1、各LZT均为独立装置，与外回路的逻辑联系不采用通信形式</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5.2.2、能自动识别运行方式。</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5.2.3、可实现远方投退。</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5.3、自投及闭锁逻辑</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5.3.1、联络开关自投动作条件：任一工作回路无电压、无电流，另一回路有电压。</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5.3.2、当任一工作回路失去电流、电压时，先切断该工作回路断路器，然后合上联络开关断路器。</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5.3.3、当LZT动作，联络开关投到故障点时，应加速断开（可由相应保护实现）。</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5.3.4、操作分闸工作电源断路器时，LZT应闭锁。</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5.3.5、LZT只能动作一次。</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5.3.6、LZT动作应闭锁由它断开的断路器重合闸.</w:t>
            </w:r>
          </w:p>
          <w:p>
            <w:pPr>
              <w:spacing w:line="360" w:lineRule="auto"/>
              <w:rPr>
                <w:rFonts w:ascii="宋体" w:hAnsi="宋体"/>
                <w:color w:val="auto"/>
                <w:szCs w:val="21"/>
                <w:highlight w:val="none"/>
              </w:rPr>
            </w:pPr>
            <w:r>
              <w:rPr>
                <w:rFonts w:hint="eastAsia" w:ascii="宋体" w:hAnsi="宋体"/>
                <w:color w:val="auto"/>
                <w:szCs w:val="21"/>
                <w:highlight w:val="none"/>
              </w:rPr>
              <w:t>六、</w:t>
            </w:r>
            <w:r>
              <w:rPr>
                <w:rFonts w:ascii="宋体" w:hAnsi="宋体"/>
                <w:color w:val="auto"/>
                <w:szCs w:val="21"/>
                <w:highlight w:val="none"/>
              </w:rPr>
              <w:t>直流屏基本技术要求</w:t>
            </w:r>
            <w:r>
              <w:rPr>
                <w:rFonts w:hint="eastAsia" w:ascii="宋体" w:hAnsi="宋体"/>
                <w:color w:val="auto"/>
                <w:szCs w:val="21"/>
                <w:highlight w:val="none"/>
              </w:rPr>
              <w:t>：</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采用免维护电池，可选择进口或合资厂生产的品质优秀的产品</w:t>
            </w:r>
            <w:r>
              <w:rPr>
                <w:rFonts w:hint="eastAsia" w:ascii="宋体" w:hAnsi="宋体"/>
                <w:color w:val="auto"/>
                <w:szCs w:val="21"/>
                <w:highlight w:val="none"/>
              </w:rPr>
              <w:t>。</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电源方式为高频开关直流电源（成熟定型产品）</w:t>
            </w:r>
          </w:p>
          <w:p>
            <w:pPr>
              <w:spacing w:line="360" w:lineRule="auto"/>
              <w:ind w:firstLine="420" w:firstLineChars="200"/>
              <w:rPr>
                <w:rFonts w:ascii="宋体" w:hAnsi="宋体"/>
                <w:color w:val="auto"/>
                <w:szCs w:val="21"/>
                <w:highlight w:val="none"/>
              </w:rPr>
            </w:pPr>
            <w:r>
              <w:rPr>
                <w:rFonts w:ascii="宋体" w:hAnsi="宋体"/>
                <w:color w:val="auto"/>
                <w:szCs w:val="21"/>
                <w:highlight w:val="none"/>
              </w:rPr>
              <w:t>采用智能型电池充电管理，能实时监测电池的充电电压，并在必要时对电池进行充电，具有防过冲及欠压保护</w:t>
            </w:r>
            <w:r>
              <w:rPr>
                <w:rFonts w:hint="eastAsia" w:ascii="宋体" w:hAnsi="宋体"/>
                <w:color w:val="auto"/>
                <w:szCs w:val="21"/>
                <w:highlight w:val="none"/>
              </w:rPr>
              <w:t>。</w:t>
            </w:r>
            <w:r>
              <w:rPr>
                <w:rFonts w:ascii="宋体" w:hAnsi="宋体"/>
                <w:color w:val="auto"/>
                <w:szCs w:val="21"/>
                <w:highlight w:val="none"/>
              </w:rPr>
              <w:t>　</w:t>
            </w:r>
          </w:p>
          <w:p>
            <w:pPr>
              <w:spacing w:line="360" w:lineRule="auto"/>
              <w:ind w:firstLine="420" w:firstLineChars="200"/>
              <w:rPr>
                <w:rFonts w:ascii="宋体" w:hAnsi="宋体"/>
                <w:color w:val="auto"/>
                <w:szCs w:val="21"/>
                <w:highlight w:val="none"/>
              </w:rPr>
            </w:pPr>
            <w:r>
              <w:rPr>
                <w:rFonts w:ascii="宋体" w:hAnsi="宋体"/>
                <w:color w:val="auto"/>
                <w:szCs w:val="21"/>
                <w:highlight w:val="none"/>
              </w:rPr>
              <w:t>直流电源为</w:t>
            </w:r>
            <w:r>
              <w:rPr>
                <w:rFonts w:hint="eastAsia" w:ascii="宋体" w:hAnsi="宋体"/>
                <w:color w:val="auto"/>
                <w:szCs w:val="21"/>
                <w:highlight w:val="none"/>
              </w:rPr>
              <w:t>22</w:t>
            </w:r>
            <w:r>
              <w:rPr>
                <w:rFonts w:ascii="宋体" w:hAnsi="宋体"/>
                <w:color w:val="auto"/>
                <w:szCs w:val="21"/>
                <w:highlight w:val="none"/>
              </w:rPr>
              <w:t>0V</w:t>
            </w:r>
            <w:r>
              <w:rPr>
                <w:rFonts w:hint="eastAsia" w:ascii="宋体" w:hAnsi="宋体"/>
                <w:color w:val="auto"/>
                <w:szCs w:val="21"/>
                <w:highlight w:val="none"/>
              </w:rPr>
              <w:t>。</w:t>
            </w:r>
          </w:p>
          <w:p>
            <w:pPr>
              <w:spacing w:line="360" w:lineRule="auto"/>
              <w:ind w:firstLine="420" w:firstLineChars="200"/>
              <w:rPr>
                <w:rFonts w:ascii="宋体" w:hAnsi="宋体"/>
                <w:color w:val="auto"/>
                <w:szCs w:val="21"/>
                <w:highlight w:val="none"/>
              </w:rPr>
            </w:pPr>
            <w:r>
              <w:rPr>
                <w:rFonts w:ascii="宋体" w:hAnsi="宋体"/>
                <w:color w:val="auto"/>
                <w:szCs w:val="21"/>
                <w:highlight w:val="none"/>
              </w:rPr>
              <w:t>纹波系数≤0.1%　</w:t>
            </w:r>
          </w:p>
          <w:p>
            <w:pPr>
              <w:spacing w:line="360" w:lineRule="auto"/>
              <w:ind w:firstLine="420" w:firstLineChars="200"/>
              <w:rPr>
                <w:rFonts w:ascii="宋体" w:hAnsi="宋体"/>
                <w:color w:val="auto"/>
                <w:szCs w:val="21"/>
                <w:highlight w:val="none"/>
              </w:rPr>
            </w:pPr>
            <w:r>
              <w:rPr>
                <w:rFonts w:ascii="宋体" w:hAnsi="宋体"/>
                <w:color w:val="auto"/>
                <w:szCs w:val="21"/>
                <w:highlight w:val="none"/>
              </w:rPr>
              <w:t>稳压精度≤±0.5%　</w:t>
            </w:r>
          </w:p>
          <w:p>
            <w:pPr>
              <w:spacing w:line="360" w:lineRule="auto"/>
              <w:ind w:firstLine="420" w:firstLineChars="200"/>
              <w:rPr>
                <w:rFonts w:ascii="宋体" w:hAnsi="宋体"/>
                <w:color w:val="auto"/>
                <w:szCs w:val="21"/>
                <w:highlight w:val="none"/>
              </w:rPr>
            </w:pPr>
            <w:r>
              <w:rPr>
                <w:rFonts w:ascii="宋体" w:hAnsi="宋体"/>
                <w:color w:val="auto"/>
                <w:szCs w:val="21"/>
                <w:highlight w:val="none"/>
              </w:rPr>
              <w:t>稳流精度≤±1%　</w:t>
            </w:r>
          </w:p>
          <w:p>
            <w:pPr>
              <w:spacing w:line="360" w:lineRule="auto"/>
              <w:ind w:firstLine="420" w:firstLineChars="200"/>
              <w:rPr>
                <w:rFonts w:ascii="宋体" w:hAnsi="宋体"/>
                <w:color w:val="auto"/>
                <w:szCs w:val="21"/>
                <w:highlight w:val="none"/>
              </w:rPr>
            </w:pPr>
            <w:r>
              <w:rPr>
                <w:rFonts w:ascii="宋体" w:hAnsi="宋体"/>
                <w:color w:val="auto"/>
                <w:szCs w:val="21"/>
                <w:highlight w:val="none"/>
              </w:rPr>
              <w:t>工作噪声≤60dB(A)　</w:t>
            </w:r>
          </w:p>
          <w:p>
            <w:pPr>
              <w:spacing w:line="360" w:lineRule="auto"/>
              <w:ind w:firstLine="420" w:firstLineChars="200"/>
              <w:rPr>
                <w:rFonts w:ascii="宋体" w:hAnsi="宋体"/>
                <w:color w:val="auto"/>
                <w:szCs w:val="21"/>
                <w:highlight w:val="none"/>
              </w:rPr>
            </w:pPr>
            <w:r>
              <w:rPr>
                <w:rFonts w:ascii="宋体" w:hAnsi="宋体"/>
                <w:color w:val="auto"/>
                <w:szCs w:val="21"/>
                <w:highlight w:val="none"/>
              </w:rPr>
              <w:t>效率≥90%　</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 xml:space="preserve">2、直流操作电源屏： </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2.1、投标人所选用直流屏应通过国家相关质量监督检验机构的型式试验，而且通过省级以上主管部门的鉴定。</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2.2、交流电源的输入端应有可靠的防雷击浪涌保护装置。</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2.3、配置的电池组，选用高倍率优质无需补液的密封镉镍电池，运行中无爬硷现象。电池寿命不低于国家规范和相关行业标准，免维护。</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2.4、直流屏的系统中应有对电池进行活化处理的功能。</w:t>
            </w:r>
          </w:p>
          <w:p>
            <w:pPr>
              <w:spacing w:line="360" w:lineRule="auto"/>
              <w:ind w:firstLine="407" w:firstLineChars="194"/>
              <w:rPr>
                <w:rFonts w:ascii="宋体" w:hAnsi="宋体"/>
                <w:color w:val="auto"/>
                <w:szCs w:val="21"/>
                <w:highlight w:val="none"/>
              </w:rPr>
            </w:pPr>
            <w:r>
              <w:rPr>
                <w:rFonts w:hint="eastAsia" w:ascii="宋体" w:hAnsi="宋体"/>
                <w:color w:val="auto"/>
                <w:szCs w:val="21"/>
                <w:highlight w:val="none"/>
              </w:rPr>
              <w:t>2.5、直流电源屏的监控应具有控制电压、开关状态、控制电压高/低报警、母线接地、整流器故障报警等功能。</w:t>
            </w:r>
          </w:p>
          <w:p>
            <w:pPr>
              <w:spacing w:line="360" w:lineRule="auto"/>
              <w:ind w:firstLine="407" w:firstLineChars="194"/>
              <w:rPr>
                <w:rFonts w:ascii="宋体" w:hAnsi="宋体" w:cs="Courier New"/>
                <w:color w:val="auto"/>
                <w:szCs w:val="21"/>
                <w:highlight w:val="none"/>
              </w:rPr>
            </w:pPr>
            <w:r>
              <w:rPr>
                <w:rFonts w:hint="eastAsia" w:ascii="宋体" w:hAnsi="宋体"/>
                <w:color w:val="auto"/>
                <w:szCs w:val="21"/>
                <w:highlight w:val="none"/>
              </w:rPr>
              <w:t>2.6、</w:t>
            </w:r>
            <w:r>
              <w:rPr>
                <w:rFonts w:hint="eastAsia" w:ascii="宋体" w:hAnsi="宋体" w:cs="Courier New"/>
                <w:color w:val="auto"/>
                <w:szCs w:val="21"/>
                <w:highlight w:val="none"/>
              </w:rPr>
              <w:t>配电系统满足高压柜的供电要求</w:t>
            </w:r>
            <w:r>
              <w:rPr>
                <w:rFonts w:ascii="宋体" w:hAnsi="宋体" w:cs="Courier New"/>
                <w:color w:val="auto"/>
                <w:szCs w:val="21"/>
                <w:highlight w:val="none"/>
              </w:rPr>
              <w:t>。</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3、直流屏需为智能配电监控系统提供标准通迅接口RS485。</w:t>
            </w:r>
          </w:p>
          <w:p>
            <w:pPr>
              <w:spacing w:after="78" w:line="360" w:lineRule="auto"/>
              <w:ind w:firstLine="420" w:firstLineChars="200"/>
              <w:rPr>
                <w:rFonts w:ascii="宋体" w:hAnsi="宋体"/>
                <w:color w:val="auto"/>
                <w:szCs w:val="21"/>
                <w:highlight w:val="none"/>
              </w:rPr>
            </w:pPr>
            <w:r>
              <w:rPr>
                <w:rFonts w:hint="eastAsia" w:ascii="宋体" w:hAnsi="宋体"/>
                <w:color w:val="auto"/>
                <w:szCs w:val="21"/>
                <w:highlight w:val="none"/>
              </w:rPr>
              <w:t>4、直流屏由高压柜厂家配套提供。</w:t>
            </w:r>
          </w:p>
          <w:p>
            <w:pPr>
              <w:pStyle w:val="106"/>
              <w:ind w:firstLine="0" w:firstLineChars="0"/>
              <w:rPr>
                <w:rFonts w:hAnsi="宋体"/>
                <w:color w:val="auto"/>
                <w:sz w:val="21"/>
                <w:szCs w:val="21"/>
                <w:highlight w:val="none"/>
              </w:rPr>
            </w:pPr>
            <w:r>
              <w:rPr>
                <w:rFonts w:hint="eastAsia" w:hAnsi="宋体"/>
                <w:color w:val="auto"/>
                <w:sz w:val="21"/>
                <w:szCs w:val="21"/>
                <w:highlight w:val="none"/>
              </w:rPr>
              <w:t>七、智能化要求</w:t>
            </w:r>
          </w:p>
          <w:p>
            <w:pPr>
              <w:pStyle w:val="106"/>
              <w:ind w:firstLine="420"/>
              <w:rPr>
                <w:rFonts w:hAnsi="宋体"/>
                <w:color w:val="auto"/>
                <w:sz w:val="21"/>
                <w:szCs w:val="21"/>
                <w:highlight w:val="none"/>
              </w:rPr>
            </w:pPr>
            <w:r>
              <w:rPr>
                <w:rFonts w:hint="eastAsia" w:hAnsi="宋体"/>
                <w:color w:val="auto"/>
                <w:sz w:val="21"/>
                <w:szCs w:val="21"/>
                <w:highlight w:val="none"/>
              </w:rPr>
              <w:t>1、高压配电柜箱体预留孔洞，便于智能化单位穿线。</w:t>
            </w:r>
          </w:p>
          <w:p>
            <w:pPr>
              <w:pStyle w:val="106"/>
              <w:ind w:firstLine="420"/>
              <w:rPr>
                <w:rFonts w:hAnsi="宋体"/>
                <w:color w:val="auto"/>
                <w:sz w:val="21"/>
                <w:szCs w:val="21"/>
                <w:highlight w:val="none"/>
              </w:rPr>
            </w:pPr>
            <w:r>
              <w:rPr>
                <w:rFonts w:hint="eastAsia" w:hAnsi="宋体"/>
                <w:color w:val="auto"/>
                <w:sz w:val="21"/>
                <w:szCs w:val="21"/>
                <w:highlight w:val="none"/>
              </w:rPr>
              <w:t>2、高压配电柜内需为智能化模块预留一定空间并负责安装。</w:t>
            </w:r>
          </w:p>
          <w:p>
            <w:pPr>
              <w:spacing w:after="78" w:line="360" w:lineRule="auto"/>
              <w:ind w:firstLine="420" w:firstLineChars="200"/>
              <w:rPr>
                <w:rFonts w:ascii="宋体" w:hAnsi="宋体"/>
                <w:color w:val="auto"/>
                <w:szCs w:val="21"/>
                <w:highlight w:val="none"/>
              </w:rPr>
            </w:pPr>
            <w:r>
              <w:rPr>
                <w:rFonts w:hint="eastAsia" w:ascii="宋体" w:hAnsi="宋体"/>
                <w:color w:val="auto"/>
                <w:szCs w:val="21"/>
                <w:highlight w:val="none"/>
              </w:rPr>
              <w:t>3、</w:t>
            </w:r>
            <w:r>
              <w:rPr>
                <w:rFonts w:hint="eastAsia" w:hAnsi="宋体"/>
                <w:color w:val="auto"/>
                <w:szCs w:val="21"/>
                <w:highlight w:val="none"/>
              </w:rPr>
              <w:t>无论本次发标所用图纸是否满足智能化需求，但要求承包人必须充分考虑智能化各项要求，如有需要，承包人必须自行填加配置足够的元器件，直至满足要求为止。</w:t>
            </w:r>
          </w:p>
          <w:p>
            <w:pPr>
              <w:spacing w:line="360" w:lineRule="auto"/>
              <w:rPr>
                <w:rFonts w:ascii="宋体"/>
                <w:bCs/>
                <w:color w:val="auto"/>
                <w:szCs w:val="21"/>
                <w:highlight w:val="none"/>
              </w:rPr>
            </w:pPr>
            <w:r>
              <w:rPr>
                <w:rFonts w:hint="eastAsia" w:ascii="宋体"/>
                <w:bCs/>
                <w:color w:val="auto"/>
                <w:szCs w:val="21"/>
                <w:highlight w:val="none"/>
              </w:rPr>
              <w:t>八、技术文件</w:t>
            </w:r>
          </w:p>
          <w:p>
            <w:pPr>
              <w:spacing w:line="360" w:lineRule="auto"/>
              <w:rPr>
                <w:rFonts w:ascii="宋体"/>
                <w:bCs/>
                <w:color w:val="auto"/>
                <w:szCs w:val="21"/>
                <w:highlight w:val="none"/>
              </w:rPr>
            </w:pPr>
            <w:r>
              <w:rPr>
                <w:rFonts w:hint="eastAsia" w:ascii="宋体"/>
                <w:bCs/>
                <w:color w:val="auto"/>
                <w:szCs w:val="21"/>
                <w:highlight w:val="none"/>
              </w:rPr>
              <w:t xml:space="preserve">  1、投标人所提供的技术文件应为中文，并应使用IEC和GB所规定的标准符号和术语。</w:t>
            </w:r>
          </w:p>
          <w:p>
            <w:pPr>
              <w:spacing w:line="360" w:lineRule="auto"/>
              <w:rPr>
                <w:rFonts w:ascii="宋体"/>
                <w:bCs/>
                <w:color w:val="auto"/>
                <w:szCs w:val="21"/>
                <w:highlight w:val="none"/>
              </w:rPr>
            </w:pPr>
            <w:r>
              <w:rPr>
                <w:rFonts w:hint="eastAsia" w:ascii="宋体"/>
                <w:bCs/>
                <w:color w:val="auto"/>
                <w:szCs w:val="21"/>
                <w:highlight w:val="none"/>
              </w:rPr>
              <w:t xml:space="preserve">  2、投标人至少应提供的技术文件：</w:t>
            </w:r>
          </w:p>
          <w:p>
            <w:pPr>
              <w:spacing w:line="360" w:lineRule="auto"/>
              <w:ind w:firstLine="420"/>
              <w:rPr>
                <w:rFonts w:ascii="宋体"/>
                <w:bCs/>
                <w:color w:val="auto"/>
                <w:szCs w:val="21"/>
                <w:highlight w:val="none"/>
              </w:rPr>
            </w:pPr>
            <w:r>
              <w:rPr>
                <w:rFonts w:hint="eastAsia" w:ascii="宋体"/>
                <w:bCs/>
                <w:color w:val="auto"/>
                <w:szCs w:val="21"/>
                <w:highlight w:val="none"/>
              </w:rPr>
              <w:t>设备的主要特点介绍及相关的电气图纸、型式试验报告；</w:t>
            </w:r>
          </w:p>
          <w:p>
            <w:pPr>
              <w:spacing w:line="360" w:lineRule="auto"/>
              <w:ind w:firstLine="420"/>
              <w:rPr>
                <w:rFonts w:ascii="宋体"/>
                <w:bCs/>
                <w:color w:val="auto"/>
                <w:szCs w:val="21"/>
                <w:highlight w:val="none"/>
              </w:rPr>
            </w:pPr>
            <w:r>
              <w:rPr>
                <w:rFonts w:hint="eastAsia" w:ascii="宋体"/>
                <w:bCs/>
                <w:color w:val="auto"/>
                <w:szCs w:val="21"/>
                <w:highlight w:val="none"/>
              </w:rPr>
              <w:t>产品鉴定书及国家认可的型号证书；</w:t>
            </w:r>
          </w:p>
          <w:p>
            <w:pPr>
              <w:spacing w:line="360" w:lineRule="auto"/>
              <w:ind w:firstLine="420"/>
              <w:rPr>
                <w:rFonts w:ascii="宋体"/>
                <w:bCs/>
                <w:color w:val="auto"/>
                <w:szCs w:val="21"/>
                <w:highlight w:val="none"/>
              </w:rPr>
            </w:pPr>
            <w:r>
              <w:rPr>
                <w:rFonts w:hint="eastAsia" w:ascii="宋体"/>
                <w:bCs/>
                <w:color w:val="auto"/>
                <w:szCs w:val="21"/>
                <w:highlight w:val="none"/>
              </w:rPr>
              <w:t>设备主要材料清单及相关技术资料/介绍</w:t>
            </w:r>
          </w:p>
          <w:p>
            <w:pPr>
              <w:spacing w:line="360" w:lineRule="auto"/>
              <w:ind w:firstLine="420"/>
              <w:rPr>
                <w:rFonts w:ascii="宋体"/>
                <w:bCs/>
                <w:color w:val="auto"/>
                <w:szCs w:val="21"/>
                <w:highlight w:val="none"/>
              </w:rPr>
            </w:pPr>
            <w:r>
              <w:rPr>
                <w:rFonts w:hint="eastAsia" w:ascii="宋体"/>
                <w:bCs/>
                <w:color w:val="auto"/>
                <w:szCs w:val="21"/>
                <w:highlight w:val="none"/>
              </w:rPr>
              <w:t>配套设备的相关技术资料、介绍及制造厂家介绍</w:t>
            </w:r>
          </w:p>
          <w:p>
            <w:pPr>
              <w:spacing w:line="360" w:lineRule="auto"/>
              <w:ind w:firstLine="420"/>
              <w:rPr>
                <w:rFonts w:ascii="宋体"/>
                <w:bCs/>
                <w:color w:val="auto"/>
                <w:szCs w:val="21"/>
                <w:highlight w:val="none"/>
              </w:rPr>
            </w:pPr>
            <w:r>
              <w:rPr>
                <w:rFonts w:hint="eastAsia" w:ascii="宋体"/>
                <w:bCs/>
                <w:color w:val="auto"/>
                <w:szCs w:val="21"/>
                <w:highlight w:val="none"/>
              </w:rPr>
              <w:t>设备的产品介绍及安装、操作指南</w:t>
            </w:r>
          </w:p>
          <w:p>
            <w:pPr>
              <w:spacing w:line="360" w:lineRule="auto"/>
              <w:ind w:firstLine="420"/>
              <w:rPr>
                <w:rFonts w:ascii="宋体"/>
                <w:bCs/>
                <w:color w:val="auto"/>
                <w:szCs w:val="21"/>
                <w:highlight w:val="none"/>
              </w:rPr>
            </w:pPr>
            <w:r>
              <w:rPr>
                <w:rFonts w:hint="eastAsia" w:ascii="宋体"/>
                <w:bCs/>
                <w:color w:val="auto"/>
                <w:szCs w:val="21"/>
                <w:highlight w:val="none"/>
              </w:rPr>
              <w:t>主要元器件、材料的制造厂家/产地及相关技术资料</w:t>
            </w:r>
          </w:p>
          <w:p>
            <w:pPr>
              <w:spacing w:line="360" w:lineRule="auto"/>
              <w:rPr>
                <w:rFonts w:ascii="宋体"/>
                <w:bCs/>
                <w:color w:val="auto"/>
                <w:szCs w:val="21"/>
                <w:highlight w:val="none"/>
              </w:rPr>
            </w:pPr>
            <w:r>
              <w:rPr>
                <w:rFonts w:hint="eastAsia" w:ascii="宋体"/>
                <w:bCs/>
                <w:color w:val="auto"/>
                <w:szCs w:val="21"/>
                <w:highlight w:val="none"/>
              </w:rPr>
              <w:t xml:space="preserve">  3、投标人中标后供货时须提供以下文件：</w:t>
            </w:r>
          </w:p>
          <w:p>
            <w:pPr>
              <w:spacing w:line="360" w:lineRule="auto"/>
              <w:rPr>
                <w:rFonts w:ascii="宋体"/>
                <w:bCs/>
                <w:color w:val="auto"/>
                <w:szCs w:val="21"/>
                <w:highlight w:val="none"/>
              </w:rPr>
            </w:pPr>
            <w:r>
              <w:rPr>
                <w:rFonts w:hint="eastAsia" w:ascii="宋体"/>
                <w:bCs/>
                <w:color w:val="auto"/>
                <w:szCs w:val="21"/>
                <w:highlight w:val="none"/>
              </w:rPr>
              <w:t xml:space="preserve">  （1）、装箱清单</w:t>
            </w:r>
          </w:p>
          <w:p>
            <w:pPr>
              <w:spacing w:line="360" w:lineRule="auto"/>
              <w:rPr>
                <w:rFonts w:ascii="宋体"/>
                <w:bCs/>
                <w:color w:val="auto"/>
                <w:szCs w:val="21"/>
                <w:highlight w:val="none"/>
              </w:rPr>
            </w:pPr>
            <w:r>
              <w:rPr>
                <w:rFonts w:hint="eastAsia" w:ascii="宋体"/>
                <w:bCs/>
                <w:color w:val="auto"/>
                <w:szCs w:val="21"/>
                <w:highlight w:val="none"/>
              </w:rPr>
              <w:t xml:space="preserve">  （2）、设备合格证</w:t>
            </w:r>
          </w:p>
          <w:p>
            <w:pPr>
              <w:spacing w:line="360" w:lineRule="auto"/>
              <w:rPr>
                <w:rFonts w:ascii="宋体"/>
                <w:bCs/>
                <w:color w:val="auto"/>
                <w:szCs w:val="21"/>
                <w:highlight w:val="none"/>
              </w:rPr>
            </w:pPr>
            <w:r>
              <w:rPr>
                <w:rFonts w:hint="eastAsia" w:ascii="宋体"/>
                <w:bCs/>
                <w:color w:val="auto"/>
                <w:szCs w:val="21"/>
                <w:highlight w:val="none"/>
              </w:rPr>
              <w:t xml:space="preserve">  （3）、设备使用说明书</w:t>
            </w:r>
          </w:p>
          <w:p>
            <w:pPr>
              <w:spacing w:line="360" w:lineRule="auto"/>
              <w:rPr>
                <w:rFonts w:ascii="宋体"/>
                <w:bCs/>
                <w:color w:val="auto"/>
                <w:szCs w:val="21"/>
                <w:highlight w:val="none"/>
              </w:rPr>
            </w:pPr>
            <w:r>
              <w:rPr>
                <w:rFonts w:hint="eastAsia" w:ascii="宋体"/>
                <w:bCs/>
                <w:color w:val="auto"/>
                <w:szCs w:val="21"/>
                <w:highlight w:val="none"/>
              </w:rPr>
              <w:t xml:space="preserve">  （4）、出厂试验报告</w:t>
            </w:r>
          </w:p>
          <w:p>
            <w:pPr>
              <w:spacing w:line="360" w:lineRule="auto"/>
              <w:rPr>
                <w:rFonts w:ascii="宋体"/>
                <w:bCs/>
                <w:color w:val="auto"/>
                <w:szCs w:val="21"/>
                <w:highlight w:val="none"/>
              </w:rPr>
            </w:pPr>
            <w:r>
              <w:rPr>
                <w:rFonts w:hint="eastAsia" w:ascii="宋体"/>
                <w:bCs/>
                <w:color w:val="auto"/>
                <w:szCs w:val="21"/>
                <w:highlight w:val="none"/>
              </w:rPr>
              <w:t xml:space="preserve">  （5）、有关电气图纸</w:t>
            </w:r>
          </w:p>
          <w:p>
            <w:pPr>
              <w:spacing w:line="360" w:lineRule="auto"/>
              <w:rPr>
                <w:rFonts w:ascii="宋体"/>
                <w:bCs/>
                <w:color w:val="auto"/>
                <w:szCs w:val="21"/>
                <w:highlight w:val="none"/>
              </w:rPr>
            </w:pPr>
            <w:r>
              <w:rPr>
                <w:rFonts w:hint="eastAsia" w:ascii="宋体"/>
                <w:bCs/>
                <w:color w:val="auto"/>
                <w:szCs w:val="21"/>
                <w:highlight w:val="none"/>
              </w:rPr>
              <w:t xml:space="preserve">  （6）、柜门钥匙、操作手柄</w:t>
            </w:r>
          </w:p>
          <w:p>
            <w:pPr>
              <w:spacing w:after="78" w:line="360" w:lineRule="auto"/>
              <w:ind w:firstLine="210" w:firstLineChars="100"/>
              <w:rPr>
                <w:rFonts w:ascii="宋体" w:hAnsi="宋体"/>
                <w:color w:val="auto"/>
                <w:szCs w:val="21"/>
                <w:highlight w:val="none"/>
              </w:rPr>
            </w:pPr>
            <w:r>
              <w:rPr>
                <w:rFonts w:hint="eastAsia" w:ascii="宋体"/>
                <w:bCs/>
                <w:color w:val="auto"/>
                <w:szCs w:val="21"/>
                <w:highlight w:val="none"/>
              </w:rPr>
              <w:t>（7）、主要元器件的安装使用说明书</w:t>
            </w:r>
          </w:p>
          <w:p>
            <w:pPr>
              <w:spacing w:after="78" w:line="360" w:lineRule="auto"/>
              <w:ind w:firstLine="315" w:firstLineChars="150"/>
              <w:rPr>
                <w:rFonts w:ascii="宋体" w:hAnsi="宋体"/>
                <w:color w:val="auto"/>
                <w:szCs w:val="21"/>
                <w:highlight w:val="none"/>
              </w:rPr>
            </w:pPr>
          </w:p>
        </w:tc>
        <w:tc>
          <w:tcPr>
            <w:tcW w:w="1070" w:type="dxa"/>
            <w:noWrap w:val="0"/>
            <w:vAlign w:val="center"/>
          </w:tcPr>
          <w:p>
            <w:pPr>
              <w:spacing w:line="360" w:lineRule="auto"/>
              <w:jc w:val="center"/>
              <w:rPr>
                <w:rFonts w:ascii="宋体" w:hAnsi="宋体"/>
                <w:b/>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08" w:type="dxa"/>
            <w:noWrap w:val="0"/>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2</w:t>
            </w:r>
          </w:p>
        </w:tc>
        <w:tc>
          <w:tcPr>
            <w:tcW w:w="1134" w:type="dxa"/>
            <w:noWrap w:val="0"/>
            <w:vAlign w:val="center"/>
          </w:tcPr>
          <w:p>
            <w:pPr>
              <w:spacing w:line="360" w:lineRule="auto"/>
              <w:rPr>
                <w:rFonts w:ascii="宋体" w:hAnsi="宋体"/>
                <w:color w:val="auto"/>
                <w:szCs w:val="21"/>
                <w:highlight w:val="none"/>
              </w:rPr>
            </w:pPr>
            <w:r>
              <w:rPr>
                <w:rFonts w:hint="eastAsia" w:ascii="宋体" w:hAnsi="宋体"/>
                <w:color w:val="auto"/>
                <w:szCs w:val="21"/>
                <w:highlight w:val="none"/>
              </w:rPr>
              <w:t>高压</w:t>
            </w:r>
          </w:p>
          <w:p>
            <w:pPr>
              <w:spacing w:line="360" w:lineRule="auto"/>
              <w:rPr>
                <w:rFonts w:ascii="宋体" w:hAnsi="宋体"/>
                <w:color w:val="auto"/>
                <w:szCs w:val="21"/>
                <w:highlight w:val="none"/>
              </w:rPr>
            </w:pPr>
            <w:r>
              <w:rPr>
                <w:rFonts w:hint="eastAsia" w:ascii="宋体" w:hAnsi="宋体"/>
                <w:color w:val="auto"/>
                <w:szCs w:val="21"/>
                <w:highlight w:val="none"/>
              </w:rPr>
              <w:t>环网柜</w:t>
            </w:r>
          </w:p>
        </w:tc>
        <w:tc>
          <w:tcPr>
            <w:tcW w:w="6127" w:type="dxa"/>
            <w:noWrap w:val="0"/>
            <w:vAlign w:val="center"/>
          </w:tcPr>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一、制造商的要求</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1、设备进场前需提供设备制造商针对本项目的供货证明或授权书及保证售后服务、保证产品质量的承诺函。</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投标产品高压柜必须通过国家级高压电器质量监督检验机构的型式试验</w:t>
            </w:r>
            <w:r>
              <w:rPr>
                <w:rFonts w:hint="eastAsia" w:ascii="宋体" w:hAnsi="宋体"/>
                <w:color w:val="auto"/>
                <w:szCs w:val="21"/>
                <w:highlight w:val="none"/>
              </w:rPr>
              <w:t>。</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投标产品</w:t>
            </w:r>
            <w:r>
              <w:rPr>
                <w:rFonts w:hint="eastAsia" w:ascii="宋体" w:hAnsi="宋体"/>
                <w:color w:val="auto"/>
                <w:szCs w:val="21"/>
                <w:highlight w:val="none"/>
              </w:rPr>
              <w:t>柜体、负荷开关、断路器</w:t>
            </w:r>
            <w:r>
              <w:rPr>
                <w:rFonts w:ascii="宋体" w:hAnsi="宋体"/>
                <w:color w:val="auto"/>
                <w:szCs w:val="21"/>
                <w:highlight w:val="none"/>
              </w:rPr>
              <w:t>和</w:t>
            </w:r>
            <w:r>
              <w:rPr>
                <w:rFonts w:hint="eastAsia" w:ascii="宋体" w:hAnsi="宋体"/>
                <w:color w:val="auto"/>
                <w:szCs w:val="21"/>
                <w:highlight w:val="none"/>
              </w:rPr>
              <w:t>综合继电</w:t>
            </w:r>
            <w:r>
              <w:rPr>
                <w:rFonts w:ascii="宋体" w:hAnsi="宋体"/>
                <w:color w:val="auto"/>
                <w:szCs w:val="21"/>
                <w:highlight w:val="none"/>
              </w:rPr>
              <w:t>保护装置必须是同一品牌的产品。</w:t>
            </w:r>
            <w:r>
              <w:rPr>
                <w:rFonts w:hint="eastAsia" w:ascii="宋体" w:hAnsi="宋体"/>
                <w:color w:val="auto"/>
                <w:szCs w:val="21"/>
                <w:highlight w:val="none"/>
              </w:rPr>
              <w:t>订货前提供制造商拟采购品牌、型号的型式检验报告，送检单位需与制造商一致。</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二、依据标准</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1、现行国家标准及深圳供电主管部门地方标准：</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1.1、其他有关的现行国家标准及广东省、深圳供电主管部门的地方标准。</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1.2、电气施工图纸及供电部门的审图意见书。</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投标人可根据图纸设计要求、本技术文件要求，提供技术参数优良、运行业绩良好的产品，设备型号由投标人根据所投产品按本工程设计文件、本技术文件的要求确定，但必须不低于图纸设计中的所有的技术参数且通过国家级权威检验机构的型式试验。</w:t>
            </w:r>
          </w:p>
          <w:p>
            <w:pPr>
              <w:spacing w:line="360" w:lineRule="auto"/>
              <w:rPr>
                <w:rFonts w:ascii="宋体" w:hAnsi="宋体"/>
                <w:color w:val="auto"/>
                <w:szCs w:val="21"/>
                <w:highlight w:val="none"/>
              </w:rPr>
            </w:pP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三、设备运行条件：</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环境温度：-5℃～+40℃</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最大相对湿度：90%（25℃）</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海拔高度：＜1000米</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耐受地震能力：水平加速度0.2；</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垂直加速度0.1；</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本工程气候条件：海洋性气候、盐雾腐蚀</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安装位置：户内</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四、主要技术要求</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1、额定电压: ACl2kV三相三线</w:t>
            </w:r>
          </w:p>
          <w:p>
            <w:pPr>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额定频率: 5OHZ</w:t>
            </w:r>
          </w:p>
          <w:p>
            <w:pPr>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额定电流:详见设计图纸</w:t>
            </w:r>
          </w:p>
          <w:p>
            <w:pPr>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额定电压：12KV</w:t>
            </w:r>
          </w:p>
          <w:p>
            <w:pPr>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雷电冲击耐压（峰值）: ≥75kV(相间、对地)； ≥85kV(断口)；</w:t>
            </w:r>
          </w:p>
          <w:p>
            <w:pPr>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额定绝缘水平: l min工频耐压(有效值): ≥42kV(相间、对地)； ≥48kV(断口)；</w:t>
            </w:r>
          </w:p>
          <w:p>
            <w:pPr>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额定闭环开断电流: 630A</w:t>
            </w:r>
          </w:p>
          <w:p>
            <w:pPr>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2s热稳定电流(有效值): ≥2OKA</w:t>
            </w:r>
          </w:p>
          <w:p>
            <w:pPr>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短时峰值耐受电流: ≥5OKA</w:t>
            </w:r>
          </w:p>
          <w:p>
            <w:pPr>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防护等级：</w:t>
            </w:r>
            <w:r>
              <w:rPr>
                <w:rFonts w:ascii="宋体" w:hAnsi="宋体"/>
                <w:color w:val="auto"/>
                <w:kern w:val="0"/>
                <w:szCs w:val="21"/>
                <w:highlight w:val="none"/>
              </w:rPr>
              <w:t>IP3X及以上；具备全工况绝缘，五防功能</w:t>
            </w:r>
          </w:p>
          <w:p>
            <w:pPr>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2、电源进线柜（线路单元）</w:t>
            </w:r>
          </w:p>
          <w:p>
            <w:pPr>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负荷开关类型：</w:t>
            </w:r>
            <w:r>
              <w:rPr>
                <w:rFonts w:ascii="宋体" w:hAnsi="宋体"/>
                <w:color w:val="auto"/>
                <w:kern w:val="0"/>
                <w:szCs w:val="21"/>
                <w:highlight w:val="none"/>
              </w:rPr>
              <w:t>六氟化硫气体绝缘三工位负荷开关 ,主开关与接地开关为机械互锁</w:t>
            </w:r>
            <w:r>
              <w:rPr>
                <w:rFonts w:hint="eastAsia" w:ascii="宋体" w:hAnsi="宋体"/>
                <w:color w:val="auto"/>
                <w:kern w:val="0"/>
                <w:szCs w:val="21"/>
                <w:highlight w:val="none"/>
              </w:rPr>
              <w:t>。</w:t>
            </w:r>
          </w:p>
          <w:p>
            <w:pPr>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负荷开关容量及特性：</w:t>
            </w:r>
            <w:r>
              <w:rPr>
                <w:rFonts w:ascii="宋体" w:hAnsi="宋体"/>
                <w:color w:val="auto"/>
                <w:kern w:val="0"/>
                <w:szCs w:val="21"/>
                <w:highlight w:val="none"/>
              </w:rPr>
              <w:t>应符合设计图纸要求，并满足深圳供电公司的审图意见及相关标准</w:t>
            </w:r>
          </w:p>
          <w:p>
            <w:pPr>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操作机构：</w:t>
            </w:r>
            <w:r>
              <w:rPr>
                <w:rFonts w:ascii="宋体" w:hAnsi="宋体"/>
                <w:color w:val="auto"/>
                <w:kern w:val="0"/>
                <w:szCs w:val="21"/>
                <w:highlight w:val="none"/>
              </w:rPr>
              <w:t>手动+电动操作机构，具有防误联锁功能（操作电源：直流48V）</w:t>
            </w:r>
          </w:p>
          <w:p>
            <w:pPr>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避雷器：</w:t>
            </w:r>
            <w:r>
              <w:rPr>
                <w:rFonts w:ascii="宋体" w:hAnsi="宋体"/>
                <w:color w:val="auto"/>
                <w:kern w:val="0"/>
                <w:szCs w:val="21"/>
                <w:highlight w:val="none"/>
              </w:rPr>
              <w:t>合成绝缘无间隙氧化锌避雷器</w:t>
            </w:r>
          </w:p>
          <w:p>
            <w:pPr>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电容式带电显示器</w:t>
            </w:r>
          </w:p>
          <w:p>
            <w:pPr>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电缆端头</w:t>
            </w:r>
          </w:p>
          <w:p>
            <w:pPr>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3、</w:t>
            </w:r>
            <w:r>
              <w:rPr>
                <w:rFonts w:ascii="宋体" w:hAnsi="宋体"/>
                <w:color w:val="auto"/>
                <w:kern w:val="0"/>
                <w:szCs w:val="21"/>
                <w:highlight w:val="none"/>
              </w:rPr>
              <w:t>开关出线柜（变压器馈线单元</w:t>
            </w:r>
            <w:r>
              <w:rPr>
                <w:rFonts w:hint="eastAsia" w:ascii="宋体" w:hAnsi="宋体"/>
                <w:color w:val="auto"/>
                <w:kern w:val="0"/>
                <w:szCs w:val="21"/>
                <w:highlight w:val="none"/>
              </w:rPr>
              <w:t>）</w:t>
            </w:r>
          </w:p>
          <w:p>
            <w:pPr>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断路器开关容量及特性：</w:t>
            </w:r>
            <w:r>
              <w:rPr>
                <w:rFonts w:ascii="宋体" w:hAnsi="宋体"/>
                <w:color w:val="auto"/>
                <w:kern w:val="0"/>
                <w:szCs w:val="21"/>
                <w:highlight w:val="none"/>
              </w:rPr>
              <w:t>应符合设计图纸要求，并满足深圳供电公司的审图意见及相关标准</w:t>
            </w:r>
          </w:p>
          <w:p>
            <w:pPr>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操作机构：</w:t>
            </w:r>
            <w:r>
              <w:rPr>
                <w:rFonts w:ascii="宋体" w:hAnsi="宋体"/>
                <w:color w:val="auto"/>
                <w:kern w:val="0"/>
                <w:szCs w:val="21"/>
                <w:highlight w:val="none"/>
              </w:rPr>
              <w:t>手动+电动操作机构，具有防误联锁功能的双储能操作机构，并配备辅助触点</w:t>
            </w:r>
            <w:r>
              <w:rPr>
                <w:rFonts w:hint="eastAsia" w:ascii="宋体" w:hAnsi="宋体"/>
                <w:color w:val="auto"/>
                <w:kern w:val="0"/>
                <w:szCs w:val="21"/>
                <w:highlight w:val="none"/>
              </w:rPr>
              <w:t>。</w:t>
            </w:r>
          </w:p>
          <w:p>
            <w:pPr>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电容式带电显示器</w:t>
            </w:r>
          </w:p>
          <w:p>
            <w:pPr>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电缆端头</w:t>
            </w:r>
          </w:p>
          <w:p>
            <w:pPr>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4、高压母线</w:t>
            </w:r>
          </w:p>
          <w:p>
            <w:pPr>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满足短路容量350MVA</w:t>
            </w:r>
          </w:p>
          <w:p>
            <w:pPr>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5、</w:t>
            </w:r>
            <w:r>
              <w:rPr>
                <w:rFonts w:ascii="宋体" w:hAnsi="宋体"/>
                <w:color w:val="auto"/>
                <w:kern w:val="0"/>
                <w:szCs w:val="21"/>
                <w:highlight w:val="none"/>
              </w:rPr>
              <w:t>其他要求</w:t>
            </w:r>
          </w:p>
          <w:p>
            <w:pPr>
              <w:spacing w:line="360" w:lineRule="auto"/>
              <w:ind w:firstLine="420" w:firstLineChars="200"/>
              <w:rPr>
                <w:rFonts w:ascii="宋体" w:hAnsi="宋体"/>
                <w:color w:val="auto"/>
                <w:kern w:val="0"/>
                <w:szCs w:val="21"/>
                <w:highlight w:val="none"/>
              </w:rPr>
            </w:pPr>
            <w:r>
              <w:rPr>
                <w:rFonts w:ascii="宋体" w:hAnsi="宋体"/>
                <w:color w:val="auto"/>
                <w:kern w:val="0"/>
                <w:szCs w:val="21"/>
                <w:highlight w:val="none"/>
              </w:rPr>
              <w:t>柜内须安装安全的防凝露加热板及配套的空气湿度监控仪表或开关；环网柜带电动远程操作机构</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六、技术文件</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1、投标人所提供的技术文件应为中文，并应使用IEC和GB所规定的标准符号和术语。</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2、投标人至少应提供以下文件：</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设备的主要特点介绍及有关的电气图纸、型式试验报告；</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产品鉴定证书及国家认可的型号证书；</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设备主要材料清单及相关技术资料/介绍；</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配套设备的相关技术资料、介绍及制造厂家介绍；</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设备的产品介绍及安装、操作指南</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主要元器件、材料的制造厂家/产地及相关技术资料</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3、投标人中标后供货时须提供以下文件：</w:t>
            </w:r>
          </w:p>
          <w:p>
            <w:pPr>
              <w:spacing w:line="360" w:lineRule="auto"/>
              <w:ind w:firstLine="315" w:firstLineChars="150"/>
              <w:rPr>
                <w:rFonts w:ascii="宋体" w:hAnsi="宋体"/>
                <w:color w:val="auto"/>
                <w:szCs w:val="21"/>
                <w:highlight w:val="none"/>
              </w:rPr>
            </w:pPr>
            <w:r>
              <w:rPr>
                <w:rFonts w:hint="eastAsia" w:ascii="宋体" w:hAnsi="宋体"/>
                <w:color w:val="auto"/>
                <w:szCs w:val="21"/>
                <w:highlight w:val="none"/>
              </w:rPr>
              <w:t>（1）装箱清单</w:t>
            </w:r>
          </w:p>
          <w:p>
            <w:pPr>
              <w:spacing w:line="360" w:lineRule="auto"/>
              <w:ind w:firstLine="315" w:firstLineChars="150"/>
              <w:rPr>
                <w:rFonts w:ascii="宋体" w:hAnsi="宋体"/>
                <w:color w:val="auto"/>
                <w:szCs w:val="21"/>
                <w:highlight w:val="none"/>
              </w:rPr>
            </w:pPr>
            <w:r>
              <w:rPr>
                <w:rFonts w:hint="eastAsia" w:ascii="宋体" w:hAnsi="宋体"/>
                <w:color w:val="auto"/>
                <w:szCs w:val="21"/>
                <w:highlight w:val="none"/>
              </w:rPr>
              <w:t>（2）设备合格证</w:t>
            </w:r>
          </w:p>
          <w:p>
            <w:pPr>
              <w:spacing w:line="360" w:lineRule="auto"/>
              <w:ind w:firstLine="315" w:firstLineChars="150"/>
              <w:rPr>
                <w:rFonts w:ascii="宋体" w:hAnsi="宋体"/>
                <w:color w:val="auto"/>
                <w:szCs w:val="21"/>
                <w:highlight w:val="none"/>
              </w:rPr>
            </w:pPr>
            <w:r>
              <w:rPr>
                <w:rFonts w:hint="eastAsia" w:ascii="宋体" w:hAnsi="宋体"/>
                <w:color w:val="auto"/>
                <w:szCs w:val="21"/>
                <w:highlight w:val="none"/>
              </w:rPr>
              <w:t>（3）设备使用说明书</w:t>
            </w:r>
          </w:p>
          <w:p>
            <w:pPr>
              <w:spacing w:line="360" w:lineRule="auto"/>
              <w:ind w:firstLine="315" w:firstLineChars="150"/>
              <w:rPr>
                <w:rFonts w:ascii="宋体" w:hAnsi="宋体"/>
                <w:color w:val="auto"/>
                <w:szCs w:val="21"/>
                <w:highlight w:val="none"/>
              </w:rPr>
            </w:pPr>
            <w:r>
              <w:rPr>
                <w:rFonts w:hint="eastAsia" w:ascii="宋体" w:hAnsi="宋体"/>
                <w:color w:val="auto"/>
                <w:szCs w:val="21"/>
                <w:highlight w:val="none"/>
              </w:rPr>
              <w:t>（4）出厂试验报告</w:t>
            </w:r>
          </w:p>
          <w:p>
            <w:pPr>
              <w:spacing w:line="360" w:lineRule="auto"/>
              <w:ind w:firstLine="315" w:firstLineChars="150"/>
              <w:rPr>
                <w:rFonts w:ascii="宋体" w:hAnsi="宋体"/>
                <w:color w:val="auto"/>
                <w:szCs w:val="21"/>
                <w:highlight w:val="none"/>
              </w:rPr>
            </w:pPr>
            <w:r>
              <w:rPr>
                <w:rFonts w:hint="eastAsia" w:ascii="宋体" w:hAnsi="宋体"/>
                <w:color w:val="auto"/>
                <w:szCs w:val="21"/>
                <w:highlight w:val="none"/>
              </w:rPr>
              <w:t>（5）有关电气图纸</w:t>
            </w:r>
          </w:p>
          <w:p>
            <w:pPr>
              <w:spacing w:line="360" w:lineRule="auto"/>
              <w:ind w:firstLine="315" w:firstLineChars="150"/>
              <w:rPr>
                <w:rFonts w:ascii="宋体" w:hAnsi="宋体"/>
                <w:color w:val="auto"/>
                <w:szCs w:val="21"/>
                <w:highlight w:val="none"/>
              </w:rPr>
            </w:pPr>
            <w:r>
              <w:rPr>
                <w:rFonts w:hint="eastAsia" w:ascii="宋体" w:hAnsi="宋体"/>
                <w:color w:val="auto"/>
                <w:szCs w:val="21"/>
                <w:highlight w:val="none"/>
              </w:rPr>
              <w:t>（6）柜门钥匙、操作手柄及合同规定的备品配件</w:t>
            </w:r>
          </w:p>
          <w:p>
            <w:pPr>
              <w:spacing w:line="360" w:lineRule="auto"/>
              <w:ind w:firstLine="315" w:firstLineChars="150"/>
              <w:rPr>
                <w:rFonts w:ascii="宋体" w:hAnsi="宋体"/>
                <w:color w:val="auto"/>
                <w:szCs w:val="21"/>
                <w:highlight w:val="none"/>
              </w:rPr>
            </w:pPr>
            <w:r>
              <w:rPr>
                <w:rFonts w:hint="eastAsia" w:ascii="宋体" w:hAnsi="宋体"/>
                <w:color w:val="auto"/>
                <w:szCs w:val="21"/>
                <w:highlight w:val="none"/>
              </w:rPr>
              <w:t>（7）主要元器件的出厂合格证、检验报告</w:t>
            </w:r>
          </w:p>
          <w:p>
            <w:pPr>
              <w:numPr>
                <w:ilvl w:val="0"/>
                <w:numId w:val="15"/>
              </w:numPr>
              <w:spacing w:line="360" w:lineRule="auto"/>
              <w:rPr>
                <w:rFonts w:ascii="宋体" w:hAnsi="宋体"/>
                <w:color w:val="auto"/>
                <w:szCs w:val="21"/>
                <w:highlight w:val="none"/>
              </w:rPr>
            </w:pPr>
            <w:r>
              <w:rPr>
                <w:rFonts w:hint="eastAsia" w:ascii="宋体" w:hAnsi="宋体"/>
                <w:color w:val="auto"/>
                <w:szCs w:val="21"/>
                <w:highlight w:val="none"/>
              </w:rPr>
              <w:t>主要元器件的安装使用说明书</w:t>
            </w:r>
          </w:p>
        </w:tc>
        <w:tc>
          <w:tcPr>
            <w:tcW w:w="1070" w:type="dxa"/>
            <w:noWrap w:val="0"/>
            <w:vAlign w:val="center"/>
          </w:tcPr>
          <w:p>
            <w:pPr>
              <w:spacing w:line="360" w:lineRule="auto"/>
              <w:jc w:val="center"/>
              <w:rPr>
                <w:rFonts w:ascii="宋体" w:hAnsi="宋体"/>
                <w:b/>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jc w:val="center"/>
        </w:trPr>
        <w:tc>
          <w:tcPr>
            <w:tcW w:w="708" w:type="dxa"/>
            <w:noWrap w:val="0"/>
            <w:vAlign w:val="center"/>
          </w:tcPr>
          <w:p>
            <w:pPr>
              <w:spacing w:line="360" w:lineRule="auto"/>
              <w:ind w:left="132"/>
              <w:rPr>
                <w:rFonts w:ascii="宋体" w:hAnsi="宋体"/>
                <w:color w:val="auto"/>
                <w:szCs w:val="21"/>
                <w:highlight w:val="none"/>
              </w:rPr>
            </w:pPr>
            <w:r>
              <w:rPr>
                <w:rFonts w:ascii="宋体" w:hAnsi="宋体"/>
                <w:color w:val="auto"/>
                <w:szCs w:val="21"/>
                <w:highlight w:val="none"/>
              </w:rPr>
              <w:t>3</w:t>
            </w:r>
          </w:p>
        </w:tc>
        <w:tc>
          <w:tcPr>
            <w:tcW w:w="1134" w:type="dxa"/>
            <w:noWrap w:val="0"/>
            <w:vAlign w:val="center"/>
          </w:tcPr>
          <w:p>
            <w:pPr>
              <w:spacing w:line="360" w:lineRule="auto"/>
              <w:rPr>
                <w:rFonts w:ascii="宋体" w:hAnsi="宋体"/>
                <w:color w:val="auto"/>
                <w:szCs w:val="21"/>
                <w:highlight w:val="none"/>
              </w:rPr>
            </w:pPr>
            <w:r>
              <w:rPr>
                <w:rFonts w:ascii="宋体" w:hAnsi="宋体"/>
                <w:color w:val="auto"/>
                <w:szCs w:val="21"/>
                <w:highlight w:val="none"/>
              </w:rPr>
              <w:t>低压配电柜</w:t>
            </w:r>
          </w:p>
        </w:tc>
        <w:tc>
          <w:tcPr>
            <w:tcW w:w="6127" w:type="dxa"/>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一、生产厂家基本要求：</w:t>
            </w:r>
          </w:p>
          <w:p>
            <w:pPr>
              <w:pStyle w:val="106"/>
              <w:ind w:firstLine="420"/>
              <w:rPr>
                <w:rFonts w:hAnsi="宋体"/>
                <w:color w:val="auto"/>
                <w:sz w:val="21"/>
                <w:szCs w:val="21"/>
                <w:highlight w:val="none"/>
              </w:rPr>
            </w:pPr>
            <w:r>
              <w:rPr>
                <w:rFonts w:hint="eastAsia" w:hAnsi="宋体"/>
                <w:color w:val="auto"/>
                <w:sz w:val="21"/>
                <w:szCs w:val="21"/>
                <w:highlight w:val="none"/>
              </w:rPr>
              <w:t>1、制造商必须提供品牌持有人针对本项目的授权，并通过国家级型式检测及CCC认证，送检单位必须与制造商一致。</w:t>
            </w:r>
          </w:p>
          <w:p>
            <w:pPr>
              <w:pStyle w:val="106"/>
              <w:ind w:firstLine="420"/>
              <w:rPr>
                <w:rFonts w:hAnsi="宋体"/>
                <w:color w:val="auto"/>
                <w:sz w:val="21"/>
                <w:szCs w:val="21"/>
                <w:highlight w:val="none"/>
              </w:rPr>
            </w:pPr>
            <w:r>
              <w:rPr>
                <w:rFonts w:hint="eastAsia" w:hAnsi="宋体"/>
                <w:color w:val="auto"/>
                <w:sz w:val="21"/>
                <w:szCs w:val="21"/>
                <w:highlight w:val="none"/>
              </w:rPr>
              <w:t>2、生产厂家必须通过ISO9000系列质量体系认证。</w:t>
            </w:r>
          </w:p>
          <w:p>
            <w:pPr>
              <w:pStyle w:val="106"/>
              <w:ind w:firstLine="420"/>
              <w:rPr>
                <w:rFonts w:hAnsi="宋体"/>
                <w:color w:val="auto"/>
                <w:sz w:val="21"/>
                <w:szCs w:val="21"/>
                <w:highlight w:val="none"/>
              </w:rPr>
            </w:pPr>
            <w:r>
              <w:rPr>
                <w:rFonts w:hint="eastAsia" w:hAnsi="宋体"/>
                <w:color w:val="auto"/>
                <w:sz w:val="21"/>
                <w:szCs w:val="21"/>
                <w:highlight w:val="none"/>
              </w:rPr>
              <w:t>3、生产厂家有剪切、冲孔、折弯数控设备，并有烤漆或喷塑设备。</w:t>
            </w:r>
          </w:p>
          <w:p>
            <w:pPr>
              <w:pStyle w:val="106"/>
              <w:ind w:firstLine="420"/>
              <w:rPr>
                <w:rFonts w:hAnsi="宋体"/>
                <w:color w:val="auto"/>
                <w:sz w:val="21"/>
                <w:szCs w:val="21"/>
                <w:highlight w:val="none"/>
              </w:rPr>
            </w:pPr>
            <w:r>
              <w:rPr>
                <w:rFonts w:hint="eastAsia" w:hAnsi="宋体"/>
                <w:color w:val="auto"/>
                <w:sz w:val="21"/>
                <w:szCs w:val="21"/>
                <w:highlight w:val="none"/>
              </w:rPr>
              <w:t>二、产品技术要求：</w:t>
            </w:r>
          </w:p>
          <w:p>
            <w:pPr>
              <w:pStyle w:val="106"/>
              <w:ind w:firstLine="420"/>
              <w:rPr>
                <w:rFonts w:hAnsi="宋体"/>
                <w:color w:val="auto"/>
                <w:sz w:val="21"/>
                <w:szCs w:val="21"/>
                <w:highlight w:val="none"/>
              </w:rPr>
            </w:pPr>
            <w:r>
              <w:rPr>
                <w:rFonts w:hint="eastAsia" w:hAnsi="宋体"/>
                <w:color w:val="auto"/>
                <w:sz w:val="21"/>
                <w:szCs w:val="21"/>
                <w:highlight w:val="none"/>
              </w:rPr>
              <w:t>1、招标范围投标设备必须符合本标书的技术、商务要求，满足本工程设计图纸要求，满足深圳市供电部门的有关规定，符合现行国家标准、技术标准和规范</w:t>
            </w:r>
          </w:p>
          <w:p>
            <w:pPr>
              <w:pStyle w:val="106"/>
              <w:ind w:firstLine="420"/>
              <w:rPr>
                <w:rFonts w:hAnsi="宋体"/>
                <w:color w:val="auto"/>
                <w:sz w:val="21"/>
                <w:szCs w:val="21"/>
                <w:highlight w:val="none"/>
              </w:rPr>
            </w:pPr>
            <w:r>
              <w:rPr>
                <w:rFonts w:hint="eastAsia" w:hAnsi="宋体"/>
                <w:color w:val="auto"/>
                <w:sz w:val="21"/>
                <w:szCs w:val="21"/>
                <w:highlight w:val="none"/>
              </w:rPr>
              <w:t>2、设备应符合下列标准规范的要求： GB7251.1~8 低压成套开关设备和控制设备；GB/T 10233-2005 低压成套开关设备和电控设备基本试验方法；GB 4208-2008 外壳防护等级(IP代码)；GB/T 3047.1-1995 高度进制为20mm的面板、架和柜的基本尺寸系列；GB50150-2006 电气装置安装工程电气设备交接试验标准；Q3SG-1.03.01-2001 深圳市中低压配电设备技术规范及选用原则。</w:t>
            </w:r>
          </w:p>
          <w:p>
            <w:pPr>
              <w:pStyle w:val="106"/>
              <w:ind w:firstLine="420"/>
              <w:rPr>
                <w:rFonts w:hAnsi="宋体"/>
                <w:color w:val="auto"/>
                <w:sz w:val="21"/>
                <w:szCs w:val="21"/>
                <w:highlight w:val="none"/>
              </w:rPr>
            </w:pPr>
            <w:r>
              <w:rPr>
                <w:rFonts w:hint="eastAsia" w:hAnsi="宋体"/>
                <w:color w:val="auto"/>
                <w:sz w:val="21"/>
                <w:szCs w:val="21"/>
                <w:highlight w:val="none"/>
              </w:rPr>
              <w:t>3、设备的技术要求：</w:t>
            </w:r>
          </w:p>
          <w:p>
            <w:pPr>
              <w:pStyle w:val="106"/>
              <w:ind w:firstLine="420"/>
              <w:rPr>
                <w:rFonts w:hAnsi="宋体"/>
                <w:color w:val="auto"/>
                <w:sz w:val="21"/>
                <w:szCs w:val="21"/>
                <w:highlight w:val="none"/>
              </w:rPr>
            </w:pPr>
            <w:r>
              <w:rPr>
                <w:rFonts w:hint="eastAsia" w:hAnsi="宋体"/>
                <w:color w:val="auto"/>
                <w:sz w:val="21"/>
                <w:szCs w:val="21"/>
                <w:highlight w:val="none"/>
              </w:rPr>
              <w:t>3.1、低压配电柜应采用最先进的技术，而且结构合理、可靠性高、能耗低、无污染、操作保养和维护简便。</w:t>
            </w:r>
          </w:p>
          <w:p>
            <w:pPr>
              <w:pStyle w:val="106"/>
              <w:ind w:firstLine="420"/>
              <w:rPr>
                <w:rFonts w:hAnsi="宋体"/>
                <w:color w:val="auto"/>
                <w:sz w:val="21"/>
                <w:szCs w:val="21"/>
                <w:highlight w:val="none"/>
              </w:rPr>
            </w:pPr>
            <w:r>
              <w:rPr>
                <w:rFonts w:hint="eastAsia" w:hAnsi="宋体"/>
                <w:color w:val="auto"/>
                <w:sz w:val="21"/>
                <w:szCs w:val="21"/>
                <w:highlight w:val="none"/>
              </w:rPr>
              <w:t>3.2基本要求</w:t>
            </w:r>
          </w:p>
          <w:p>
            <w:pPr>
              <w:pStyle w:val="106"/>
              <w:ind w:firstLine="420"/>
              <w:rPr>
                <w:rFonts w:hAnsi="宋体"/>
                <w:color w:val="auto"/>
                <w:sz w:val="21"/>
                <w:szCs w:val="21"/>
                <w:highlight w:val="none"/>
              </w:rPr>
            </w:pPr>
            <w:r>
              <w:rPr>
                <w:rFonts w:hint="eastAsia" w:hAnsi="宋体"/>
                <w:color w:val="auto"/>
                <w:sz w:val="21"/>
                <w:szCs w:val="21"/>
                <w:highlight w:val="none"/>
              </w:rPr>
              <w:t>3.2.1、进出线方式：满足设计要求。　</w:t>
            </w:r>
          </w:p>
          <w:p>
            <w:pPr>
              <w:pStyle w:val="106"/>
              <w:ind w:firstLine="420"/>
              <w:rPr>
                <w:rFonts w:hAnsi="宋体"/>
                <w:color w:val="auto"/>
                <w:sz w:val="21"/>
                <w:szCs w:val="21"/>
                <w:highlight w:val="none"/>
              </w:rPr>
            </w:pPr>
            <w:r>
              <w:rPr>
                <w:rFonts w:hint="eastAsia" w:hAnsi="宋体"/>
                <w:color w:val="auto"/>
                <w:sz w:val="21"/>
                <w:szCs w:val="21"/>
                <w:highlight w:val="none"/>
              </w:rPr>
              <w:t>3.2.2、柜体防护等级：IP30</w:t>
            </w:r>
          </w:p>
          <w:p>
            <w:pPr>
              <w:pStyle w:val="106"/>
              <w:ind w:firstLine="420"/>
              <w:rPr>
                <w:rFonts w:hAnsi="宋体"/>
                <w:color w:val="auto"/>
                <w:sz w:val="21"/>
                <w:szCs w:val="21"/>
                <w:highlight w:val="none"/>
              </w:rPr>
            </w:pPr>
            <w:r>
              <w:rPr>
                <w:rFonts w:hint="eastAsia" w:hAnsi="宋体"/>
                <w:color w:val="auto"/>
                <w:sz w:val="21"/>
                <w:szCs w:val="21"/>
                <w:highlight w:val="none"/>
              </w:rPr>
              <w:t>3.2.3、维护方式：低压柜能够进行双面维护</w:t>
            </w:r>
          </w:p>
          <w:p>
            <w:pPr>
              <w:pStyle w:val="106"/>
              <w:ind w:firstLine="420"/>
              <w:rPr>
                <w:rFonts w:hAnsi="宋体"/>
                <w:color w:val="auto"/>
                <w:sz w:val="21"/>
                <w:szCs w:val="21"/>
                <w:highlight w:val="none"/>
              </w:rPr>
            </w:pPr>
            <w:r>
              <w:rPr>
                <w:rFonts w:hint="eastAsia" w:hAnsi="宋体"/>
                <w:color w:val="auto"/>
                <w:sz w:val="21"/>
                <w:szCs w:val="21"/>
                <w:highlight w:val="none"/>
              </w:rPr>
              <w:t>3.2.4、气候环境：满足深圳市气候环境要求</w:t>
            </w:r>
          </w:p>
          <w:p>
            <w:pPr>
              <w:pStyle w:val="106"/>
              <w:ind w:firstLine="420"/>
              <w:rPr>
                <w:rFonts w:hAnsi="宋体"/>
                <w:color w:val="auto"/>
                <w:sz w:val="21"/>
                <w:szCs w:val="21"/>
                <w:highlight w:val="none"/>
              </w:rPr>
            </w:pPr>
            <w:r>
              <w:rPr>
                <w:rFonts w:hint="eastAsia" w:hAnsi="宋体"/>
                <w:color w:val="auto"/>
                <w:sz w:val="21"/>
                <w:szCs w:val="21"/>
                <w:highlight w:val="none"/>
              </w:rPr>
              <w:t>3.3、低压配电柜内设置的框架断路器、塑壳断路器需具有国家主管部门颁发的CCC认证证书，并满足相关标准要求。框架断路器、塑壳断路器、接触器应为同一品牌，且为品牌系列中性能最优的产品。</w:t>
            </w:r>
          </w:p>
          <w:p>
            <w:pPr>
              <w:pStyle w:val="106"/>
              <w:ind w:firstLine="420"/>
              <w:rPr>
                <w:rFonts w:hAnsi="宋体"/>
                <w:color w:val="auto"/>
                <w:sz w:val="21"/>
                <w:szCs w:val="21"/>
                <w:highlight w:val="none"/>
              </w:rPr>
            </w:pPr>
            <w:r>
              <w:rPr>
                <w:rFonts w:hint="eastAsia" w:hAnsi="宋体"/>
                <w:color w:val="auto"/>
                <w:sz w:val="21"/>
                <w:szCs w:val="21"/>
                <w:highlight w:val="none"/>
              </w:rPr>
              <w:t>3.4、低压配电柜内二次元器件及导线须采用国产优质名牌，具有国家主管部门颁发的CCC认证证书。</w:t>
            </w:r>
          </w:p>
          <w:p>
            <w:pPr>
              <w:pStyle w:val="106"/>
              <w:ind w:firstLine="420"/>
              <w:rPr>
                <w:rFonts w:hAnsi="宋体"/>
                <w:color w:val="auto"/>
                <w:sz w:val="21"/>
                <w:szCs w:val="21"/>
                <w:highlight w:val="none"/>
              </w:rPr>
            </w:pPr>
            <w:r>
              <w:rPr>
                <w:rFonts w:hint="eastAsia" w:hAnsi="宋体"/>
                <w:color w:val="auto"/>
                <w:sz w:val="21"/>
                <w:szCs w:val="21"/>
                <w:highlight w:val="none"/>
              </w:rPr>
              <w:t>3.5、系统二次线路由供货商根据要求作深化设计，并经设计院审核认可。</w:t>
            </w:r>
          </w:p>
          <w:p>
            <w:pPr>
              <w:pStyle w:val="106"/>
              <w:ind w:firstLine="420"/>
              <w:rPr>
                <w:rFonts w:hAnsi="宋体"/>
                <w:color w:val="auto"/>
                <w:sz w:val="21"/>
                <w:szCs w:val="21"/>
                <w:highlight w:val="none"/>
              </w:rPr>
            </w:pPr>
            <w:r>
              <w:rPr>
                <w:rFonts w:hint="eastAsia" w:hAnsi="宋体"/>
                <w:color w:val="auto"/>
                <w:sz w:val="21"/>
                <w:szCs w:val="21"/>
                <w:highlight w:val="none"/>
              </w:rPr>
              <w:t>4、配电柜的结构要求</w:t>
            </w:r>
          </w:p>
          <w:p>
            <w:pPr>
              <w:pStyle w:val="106"/>
              <w:ind w:firstLine="420"/>
              <w:rPr>
                <w:rFonts w:hAnsi="宋体"/>
                <w:color w:val="auto"/>
                <w:sz w:val="21"/>
                <w:szCs w:val="21"/>
                <w:highlight w:val="none"/>
              </w:rPr>
            </w:pPr>
            <w:r>
              <w:rPr>
                <w:rFonts w:hint="eastAsia" w:hAnsi="宋体"/>
                <w:color w:val="auto"/>
                <w:sz w:val="21"/>
                <w:szCs w:val="21"/>
                <w:highlight w:val="none"/>
              </w:rPr>
              <w:t>4.1、低压配电柜必须是抽出式结构，并配备与其配套的补偿电容柜；采用模数化组合设计，通用性强。具有足够的动热稳定性；电气方案配置灵活。柜体尺寸和数量、排列方式应符合设计图要求，不得作出调整，低压配电柜应为设计紧凑，通用性强，组合装配的抽出式结构。由框架、外壳、柜内功能单元室（含抽出式组件）、母线、保护线和中性线连接排、走线槽、电缆安装支件等组成。柜体采用优质敷铝锌板材，板材厚度不小于2.0毫米，且组装牢固；柜体的上下部应设有充分的通风散热孔装置。</w:t>
            </w:r>
          </w:p>
          <w:p>
            <w:pPr>
              <w:pStyle w:val="106"/>
              <w:ind w:firstLine="420"/>
              <w:rPr>
                <w:rFonts w:hAnsi="宋体"/>
                <w:color w:val="auto"/>
                <w:sz w:val="21"/>
                <w:szCs w:val="21"/>
                <w:highlight w:val="none"/>
              </w:rPr>
            </w:pPr>
            <w:r>
              <w:rPr>
                <w:rFonts w:hint="eastAsia" w:hAnsi="宋体"/>
                <w:color w:val="auto"/>
                <w:sz w:val="21"/>
                <w:szCs w:val="21"/>
                <w:highlight w:val="none"/>
              </w:rPr>
              <w:t>4.2、柜体的前后门及其外表面均应进行环氧粉末喷涂处理，喷涂厚度不小于50微米，涂层应美观、牢固、耐腐蚀、抗冲击、不反光，颜色需经招标人确认。所有柜内的零件、螺钉、电缆攀附的支架等均应镀锌，并达到耐盐雾腐蚀的标准。</w:t>
            </w:r>
          </w:p>
          <w:p>
            <w:pPr>
              <w:pStyle w:val="106"/>
              <w:ind w:firstLine="420"/>
              <w:rPr>
                <w:rFonts w:hAnsi="宋体"/>
                <w:color w:val="auto"/>
                <w:sz w:val="21"/>
                <w:szCs w:val="21"/>
                <w:highlight w:val="none"/>
              </w:rPr>
            </w:pPr>
            <w:r>
              <w:rPr>
                <w:rFonts w:hint="eastAsia" w:hAnsi="宋体"/>
                <w:color w:val="auto"/>
                <w:sz w:val="21"/>
                <w:szCs w:val="21"/>
                <w:highlight w:val="none"/>
              </w:rPr>
              <w:t>4.3、低压配电柜的功能单元采用抽屉式（馈电柜）、抽出式（进线柜）二种。其中框架式空气断路器采用抽出式结构。低压配电柜的结构设计应保证操作、运行、维修和检查时的安全可靠。各电气元件动作时产生的热量、电弧、冲击、震动、磁场或电场，不得影响其它电气元件的正常工作。</w:t>
            </w:r>
          </w:p>
          <w:p>
            <w:pPr>
              <w:pStyle w:val="106"/>
              <w:ind w:firstLine="420"/>
              <w:rPr>
                <w:rFonts w:hAnsi="宋体"/>
                <w:color w:val="auto"/>
                <w:sz w:val="21"/>
                <w:szCs w:val="21"/>
                <w:highlight w:val="none"/>
              </w:rPr>
            </w:pPr>
            <w:r>
              <w:rPr>
                <w:rFonts w:hint="eastAsia" w:hAnsi="宋体"/>
                <w:color w:val="auto"/>
                <w:sz w:val="21"/>
                <w:szCs w:val="21"/>
                <w:highlight w:val="none"/>
              </w:rPr>
              <w:t>4.4、配电柜分为母线隔室、功能单元隔室和电缆隔室。仪表、信号灯、按钮等组成的辅助电路元件均安装于配电柜正面板上；主母线位于柜上方，电缆室位于柜体后部，内部设置有供电缆攀附的支架。</w:t>
            </w:r>
          </w:p>
          <w:p>
            <w:pPr>
              <w:pStyle w:val="106"/>
              <w:ind w:firstLine="420"/>
              <w:rPr>
                <w:rFonts w:hAnsi="宋体"/>
                <w:color w:val="auto"/>
                <w:sz w:val="21"/>
                <w:szCs w:val="21"/>
                <w:highlight w:val="none"/>
              </w:rPr>
            </w:pPr>
            <w:r>
              <w:rPr>
                <w:rFonts w:hint="eastAsia" w:hAnsi="宋体"/>
                <w:color w:val="auto"/>
                <w:sz w:val="21"/>
                <w:szCs w:val="21"/>
                <w:highlight w:val="none"/>
              </w:rPr>
              <w:t>4.5、低压配电柜为TN</w:t>
            </w:r>
            <w:r>
              <w:rPr>
                <w:rFonts w:hAnsi="宋体"/>
                <w:color w:val="auto"/>
                <w:sz w:val="21"/>
                <w:szCs w:val="21"/>
                <w:highlight w:val="none"/>
              </w:rPr>
              <w:t>—</w:t>
            </w:r>
            <w:r>
              <w:rPr>
                <w:rFonts w:hint="eastAsia" w:hAnsi="宋体"/>
                <w:color w:val="auto"/>
                <w:sz w:val="21"/>
                <w:szCs w:val="21"/>
                <w:highlight w:val="none"/>
              </w:rPr>
              <w:t>S系统，各配电柜内均设有接地母线PE与中性母线N，二者贯穿于整个配电柜装置内，安装在柜后底部及柜右侧，各回路接地或接零均可方便地就近连接。柜体框架结构件均有可靠的接地连接。N线PE线之间用绝缘子间隔固定并可分别使用，方便施工时进出线的接线。各母线连接良好，绝缘支撑件及其它附件牢固可靠。</w:t>
            </w:r>
          </w:p>
          <w:p>
            <w:pPr>
              <w:pStyle w:val="106"/>
              <w:ind w:firstLine="420"/>
              <w:rPr>
                <w:rFonts w:hAnsi="宋体"/>
                <w:color w:val="auto"/>
                <w:sz w:val="21"/>
                <w:szCs w:val="21"/>
                <w:highlight w:val="none"/>
              </w:rPr>
            </w:pPr>
            <w:r>
              <w:rPr>
                <w:rFonts w:hint="eastAsia" w:hAnsi="宋体"/>
                <w:color w:val="auto"/>
                <w:sz w:val="21"/>
                <w:szCs w:val="21"/>
                <w:highlight w:val="none"/>
              </w:rPr>
              <w:t>4.6、市电与柴油发电机组的电源切换柜中，两侧电源开关间应有电气联锁及机械联锁，防止发电机组向市电倒送电。主进线、母联开关的联锁要求见图纸说明。</w:t>
            </w:r>
          </w:p>
          <w:p>
            <w:pPr>
              <w:pStyle w:val="106"/>
              <w:ind w:firstLine="420"/>
              <w:rPr>
                <w:rFonts w:hAnsi="宋体"/>
                <w:color w:val="auto"/>
                <w:sz w:val="21"/>
                <w:szCs w:val="21"/>
                <w:highlight w:val="none"/>
              </w:rPr>
            </w:pPr>
            <w:r>
              <w:rPr>
                <w:rFonts w:hint="eastAsia" w:hAnsi="宋体"/>
                <w:color w:val="auto"/>
                <w:sz w:val="21"/>
                <w:szCs w:val="21"/>
                <w:highlight w:val="none"/>
              </w:rPr>
              <w:t>4.7、电柜内各抽屉单元的推进、拉出机构应轻便灵活。相同规格容量的抽屉单元可达到灵活互换。每一个抽屉都有可靠的金属接地。抽屉式或抽出式单元设有：连接位置、试验位置、分离位置三个位置。</w:t>
            </w:r>
          </w:p>
          <w:p>
            <w:pPr>
              <w:pStyle w:val="106"/>
              <w:ind w:firstLine="420"/>
              <w:rPr>
                <w:rFonts w:hAnsi="宋体"/>
                <w:color w:val="auto"/>
                <w:sz w:val="21"/>
                <w:szCs w:val="21"/>
                <w:highlight w:val="none"/>
              </w:rPr>
            </w:pPr>
            <w:r>
              <w:rPr>
                <w:rFonts w:hint="eastAsia" w:hAnsi="宋体"/>
                <w:color w:val="auto"/>
                <w:sz w:val="21"/>
                <w:szCs w:val="21"/>
                <w:highlight w:val="none"/>
              </w:rPr>
              <w:t>4.8、采用悬挂式抽屉导轨、大刀片式推进机构和优质的插接件。使抽屉单元抽插灵活、更换容易、结构简单、加力程度大，保证供电的连续性、可靠性。</w:t>
            </w:r>
          </w:p>
          <w:p>
            <w:pPr>
              <w:pStyle w:val="106"/>
              <w:ind w:firstLine="420"/>
              <w:rPr>
                <w:rFonts w:hAnsi="宋体"/>
                <w:color w:val="auto"/>
                <w:sz w:val="21"/>
                <w:szCs w:val="21"/>
                <w:highlight w:val="none"/>
              </w:rPr>
            </w:pPr>
            <w:r>
              <w:rPr>
                <w:rFonts w:hint="eastAsia" w:hAnsi="宋体"/>
                <w:color w:val="auto"/>
                <w:sz w:val="21"/>
                <w:szCs w:val="21"/>
                <w:highlight w:val="none"/>
              </w:rPr>
              <w:t>4.9、每柜应设有一块阻燃型的高密度聚氨脂塑料功能板安装在主母线室和电器室，防止开关元件因故障引起的飞弧与母线之间短路造成的事故，使操作更安全。配电母线（垂直母线）组装在阻燃型塑料功能板中，防止电弧引起的放电及人体接触，通过特殊联接件与主母线联接。并需考虑运行时的散热，应有充分的散热栅孔。</w:t>
            </w:r>
          </w:p>
          <w:p>
            <w:pPr>
              <w:pStyle w:val="106"/>
              <w:ind w:firstLine="420"/>
              <w:rPr>
                <w:rFonts w:hAnsi="宋体"/>
                <w:color w:val="auto"/>
                <w:sz w:val="21"/>
                <w:szCs w:val="21"/>
                <w:highlight w:val="none"/>
              </w:rPr>
            </w:pPr>
            <w:r>
              <w:rPr>
                <w:rFonts w:hint="eastAsia" w:hAnsi="宋体"/>
                <w:color w:val="auto"/>
                <w:sz w:val="21"/>
                <w:szCs w:val="21"/>
                <w:highlight w:val="none"/>
              </w:rPr>
              <w:t>4.10、在柜体前后均设有带锁柜门，门的开启角度不小于120度。</w:t>
            </w:r>
          </w:p>
          <w:p>
            <w:pPr>
              <w:pStyle w:val="106"/>
              <w:ind w:firstLine="420"/>
              <w:rPr>
                <w:rFonts w:hAnsi="宋体"/>
                <w:color w:val="auto"/>
                <w:sz w:val="21"/>
                <w:szCs w:val="21"/>
                <w:highlight w:val="none"/>
              </w:rPr>
            </w:pPr>
            <w:r>
              <w:rPr>
                <w:rFonts w:hint="eastAsia" w:hAnsi="宋体"/>
                <w:color w:val="auto"/>
                <w:sz w:val="21"/>
                <w:szCs w:val="21"/>
                <w:highlight w:val="none"/>
              </w:rPr>
              <w:t>4.11、开关与功能单元间应设有可靠的机械联锁装置，用以保证当开关合闸后，功能单元不能打开并拉出。抽屉插入时，开关必须在分闸状态下才能将抽屉推进。抽屉与柜体间的接地触头接触紧密，抽屉推入时，抽屉的二次触头和接地触头比主触头先接触，抽屉拉出时二次触头和接地触头比主触头后断开。</w:t>
            </w:r>
          </w:p>
          <w:p>
            <w:pPr>
              <w:pStyle w:val="106"/>
              <w:ind w:firstLine="420"/>
              <w:rPr>
                <w:rFonts w:hAnsi="宋体"/>
                <w:color w:val="auto"/>
                <w:sz w:val="21"/>
                <w:szCs w:val="21"/>
                <w:highlight w:val="none"/>
              </w:rPr>
            </w:pPr>
            <w:r>
              <w:rPr>
                <w:rFonts w:hint="eastAsia" w:hAnsi="宋体"/>
                <w:color w:val="auto"/>
                <w:sz w:val="21"/>
                <w:szCs w:val="21"/>
                <w:highlight w:val="none"/>
              </w:rPr>
              <w:t>4.12、低压配电柜应采用先进的开关和优良配件，以使体积减少，如100A以下的开关功能单元，每个600宽的柜子至少可装设8个动力回路。</w:t>
            </w:r>
          </w:p>
          <w:p>
            <w:pPr>
              <w:pStyle w:val="106"/>
              <w:ind w:firstLine="420"/>
              <w:rPr>
                <w:rFonts w:hAnsi="宋体"/>
                <w:color w:val="auto"/>
                <w:sz w:val="21"/>
                <w:szCs w:val="21"/>
                <w:highlight w:val="none"/>
              </w:rPr>
            </w:pPr>
            <w:r>
              <w:rPr>
                <w:rFonts w:hint="eastAsia" w:hAnsi="宋体"/>
                <w:color w:val="auto"/>
                <w:sz w:val="21"/>
                <w:szCs w:val="21"/>
                <w:highlight w:val="none"/>
              </w:rPr>
              <w:t>4.13、二次回路电线必须穿电脑打印的标识管，白底黑字。控制开关、按钮、指示灯、手柄选用国产优质产品。二次接线端子排接线端有明显的接线标志，外引接线的二次端子排按要求单独配置。熔断器的熔芯选择符合工程设计及规范的要求。仪表的刻度标定，互感器的变比及极性正确无误。每柜内附有详细的二次接线图以备检修之用。</w:t>
            </w:r>
          </w:p>
          <w:p>
            <w:pPr>
              <w:pStyle w:val="106"/>
              <w:ind w:firstLine="420"/>
              <w:rPr>
                <w:rFonts w:hAnsi="宋体"/>
                <w:color w:val="auto"/>
                <w:sz w:val="21"/>
                <w:szCs w:val="21"/>
                <w:highlight w:val="none"/>
              </w:rPr>
            </w:pPr>
            <w:r>
              <w:rPr>
                <w:rFonts w:hint="eastAsia" w:hAnsi="宋体"/>
                <w:color w:val="auto"/>
                <w:sz w:val="21"/>
                <w:szCs w:val="21"/>
                <w:highlight w:val="none"/>
              </w:rPr>
              <w:t>4.14、低压配电柜体结构还应充分考虑到电缆进出的方便。电缆室的宽度不应小于600毫米，且应安装有电缆攀附的支架。</w:t>
            </w:r>
          </w:p>
          <w:p>
            <w:pPr>
              <w:pStyle w:val="106"/>
              <w:ind w:firstLine="420"/>
              <w:rPr>
                <w:rFonts w:hAnsi="宋体"/>
                <w:color w:val="auto"/>
                <w:sz w:val="21"/>
                <w:szCs w:val="21"/>
                <w:highlight w:val="none"/>
              </w:rPr>
            </w:pPr>
            <w:r>
              <w:rPr>
                <w:rFonts w:hint="eastAsia" w:hAnsi="宋体"/>
                <w:color w:val="auto"/>
                <w:sz w:val="21"/>
                <w:szCs w:val="21"/>
                <w:highlight w:val="none"/>
              </w:rPr>
              <w:t>4.15、母线采用TMY型优质电解紫铜排，规格按图纸要求。搭接部位搪锡，非搭接部位套热塑管保护。 母线的固定应采用阻燃的DMC绝缘排夹，具有耐电弧，动热稳定性高，机械强度高、耐高温和防潮的功能　</w:t>
            </w:r>
          </w:p>
          <w:p>
            <w:pPr>
              <w:pStyle w:val="106"/>
              <w:ind w:firstLine="420"/>
              <w:rPr>
                <w:rFonts w:hAnsi="宋体"/>
                <w:color w:val="auto"/>
                <w:sz w:val="21"/>
                <w:szCs w:val="21"/>
                <w:highlight w:val="none"/>
              </w:rPr>
            </w:pPr>
            <w:r>
              <w:rPr>
                <w:rFonts w:hint="eastAsia" w:hAnsi="宋体"/>
                <w:color w:val="auto"/>
                <w:sz w:val="21"/>
                <w:szCs w:val="21"/>
                <w:highlight w:val="none"/>
              </w:rPr>
              <w:t>4.16、按深圳供电部门要求，在连接变压器的低压进线柜中设计量专用间隔，装有1.0 级有功电度表、2.0级无功电度表、带止逆器，0.2级计量专用CT，上述产品应满足深圳供电部门的要求。</w:t>
            </w:r>
          </w:p>
          <w:p>
            <w:pPr>
              <w:pStyle w:val="106"/>
              <w:ind w:firstLine="420"/>
              <w:rPr>
                <w:rFonts w:hAnsi="宋体"/>
                <w:color w:val="auto"/>
                <w:sz w:val="21"/>
                <w:szCs w:val="21"/>
                <w:highlight w:val="none"/>
              </w:rPr>
            </w:pPr>
            <w:r>
              <w:rPr>
                <w:rFonts w:hint="eastAsia" w:hAnsi="宋体"/>
                <w:color w:val="auto"/>
                <w:sz w:val="21"/>
                <w:szCs w:val="21"/>
                <w:highlight w:val="none"/>
              </w:rPr>
              <w:t>4.17、低压配电设备的金属壳体或可能带电的金属件(包括因绝缘损坏可能会带电的金属件)与接地导体间应具有可靠的电气连接。低压配电设备中选用的塑胶材料不含卤素，应具有阻燃和自熄的特性。</w:t>
            </w:r>
          </w:p>
          <w:p>
            <w:pPr>
              <w:pStyle w:val="106"/>
              <w:ind w:firstLine="420"/>
              <w:rPr>
                <w:rFonts w:hAnsi="宋体"/>
                <w:color w:val="auto"/>
                <w:sz w:val="21"/>
                <w:szCs w:val="21"/>
                <w:highlight w:val="none"/>
              </w:rPr>
            </w:pPr>
            <w:r>
              <w:rPr>
                <w:rFonts w:hint="eastAsia" w:hAnsi="宋体"/>
                <w:color w:val="auto"/>
                <w:sz w:val="21"/>
                <w:szCs w:val="21"/>
                <w:highlight w:val="none"/>
              </w:rPr>
              <w:t>4.18、一次插件必须选用国产优质产品；一次插件的配置必需比该回路的断路器的额定电流大一个等级。即160A的断路器配置250A一次插件；250A的断路器配置400A一次插件；400A的断路器配置630A一次插件等。电缆接线柱与电缆头接触的截面尺寸必须匹配。</w:t>
            </w:r>
          </w:p>
          <w:p>
            <w:pPr>
              <w:pStyle w:val="106"/>
              <w:ind w:firstLine="420"/>
              <w:rPr>
                <w:rFonts w:hAnsi="宋体"/>
                <w:color w:val="auto"/>
                <w:sz w:val="21"/>
                <w:szCs w:val="21"/>
                <w:highlight w:val="none"/>
              </w:rPr>
            </w:pPr>
            <w:r>
              <w:rPr>
                <w:rFonts w:hint="eastAsia" w:hAnsi="宋体"/>
                <w:color w:val="auto"/>
                <w:sz w:val="21"/>
                <w:szCs w:val="21"/>
                <w:highlight w:val="none"/>
              </w:rPr>
              <w:t>4.19、绝缘导线选用RV型，其截面规格应能保证在额定电流下导线无明显温升。插入式导线端头选用标准型H系列，不经预压，利用打紧过程中一边打紧一边变形使导线及端头与电器端子之间达到最大的接触面积和压力。保证搭接部位在额定电流下温升最低。</w:t>
            </w:r>
          </w:p>
          <w:p>
            <w:pPr>
              <w:pStyle w:val="106"/>
              <w:ind w:firstLine="420"/>
              <w:rPr>
                <w:rFonts w:hAnsi="宋体"/>
                <w:color w:val="auto"/>
                <w:sz w:val="21"/>
                <w:szCs w:val="21"/>
                <w:highlight w:val="none"/>
              </w:rPr>
            </w:pPr>
            <w:r>
              <w:rPr>
                <w:rFonts w:hint="eastAsia" w:hAnsi="宋体"/>
                <w:color w:val="auto"/>
                <w:sz w:val="21"/>
                <w:szCs w:val="21"/>
                <w:highlight w:val="none"/>
              </w:rPr>
              <w:t>4.20、160A及以下开关与一次插件间回路采用绝缘导线连接；250A及以上开关与一次插件间回路采用铜母线连接。二次插件在满足本次接线的基础上留有一定的余量（不少于20%）。</w:t>
            </w:r>
          </w:p>
          <w:p>
            <w:pPr>
              <w:pStyle w:val="106"/>
              <w:ind w:firstLine="420"/>
              <w:rPr>
                <w:rFonts w:hAnsi="宋体"/>
                <w:color w:val="auto"/>
                <w:sz w:val="21"/>
                <w:szCs w:val="21"/>
                <w:highlight w:val="none"/>
              </w:rPr>
            </w:pPr>
            <w:r>
              <w:rPr>
                <w:rFonts w:hint="eastAsia" w:hAnsi="宋体"/>
                <w:color w:val="auto"/>
                <w:sz w:val="21"/>
                <w:szCs w:val="21"/>
                <w:highlight w:val="none"/>
              </w:rPr>
              <w:t>5、电容补偿柜的技术要求：</w:t>
            </w:r>
          </w:p>
          <w:p>
            <w:pPr>
              <w:pStyle w:val="106"/>
              <w:ind w:firstLine="420"/>
              <w:rPr>
                <w:rFonts w:hAnsi="宋体"/>
                <w:color w:val="auto"/>
                <w:sz w:val="21"/>
                <w:szCs w:val="21"/>
                <w:highlight w:val="none"/>
              </w:rPr>
            </w:pPr>
            <w:r>
              <w:rPr>
                <w:rFonts w:hint="eastAsia" w:hAnsi="宋体"/>
                <w:color w:val="auto"/>
                <w:sz w:val="21"/>
                <w:szCs w:val="21"/>
                <w:highlight w:val="none"/>
              </w:rPr>
              <w:t>5.1 功率因数补偿器、电容器、电抗器及接触器选用优质产品。自动分步循环控制方式，功率因数应补偿到0.9以上。柜体要注意通风散热。</w:t>
            </w:r>
          </w:p>
          <w:p>
            <w:pPr>
              <w:pStyle w:val="106"/>
              <w:ind w:firstLine="420"/>
              <w:rPr>
                <w:rFonts w:hAnsi="宋体"/>
                <w:color w:val="auto"/>
                <w:sz w:val="21"/>
                <w:szCs w:val="21"/>
                <w:highlight w:val="none"/>
              </w:rPr>
            </w:pPr>
            <w:r>
              <w:rPr>
                <w:rFonts w:hint="eastAsia" w:hAnsi="宋体"/>
                <w:color w:val="auto"/>
                <w:sz w:val="21"/>
                <w:szCs w:val="21"/>
                <w:highlight w:val="none"/>
              </w:rPr>
              <w:t>5.2 电容器技术规格：频率：50赫兹；损耗：在400伏下少于0.5瓦／千乏；容量允差：-5%至+10％；测试电压：端子间：2.15Un，1sec；端子与接地间：3千伏，10sec．；过压容限：不大于10％； 过流容限：不大于30％，1h；绝缘介质出现故障时有自复功能，当电容元件寿命结束时可有选择的将其从电路中隔离开来，防护等级IP42。</w:t>
            </w:r>
          </w:p>
          <w:p>
            <w:pPr>
              <w:pStyle w:val="106"/>
              <w:ind w:firstLine="420"/>
              <w:rPr>
                <w:rFonts w:hAnsi="宋体"/>
                <w:color w:val="auto"/>
                <w:sz w:val="21"/>
                <w:szCs w:val="21"/>
                <w:highlight w:val="none"/>
              </w:rPr>
            </w:pPr>
            <w:r>
              <w:rPr>
                <w:rFonts w:hint="eastAsia" w:hAnsi="宋体"/>
                <w:color w:val="auto"/>
                <w:sz w:val="21"/>
                <w:szCs w:val="21"/>
                <w:highlight w:val="none"/>
              </w:rPr>
              <w:t>5.3 电容器柜内元器件配置：a.电容器各分支回路设熔断器作过流和短路保护；b.各相线设小型电抗器以限制冲击电流；c.每柜设630A隔离开关，以保证操作和检修的安全；d.分支线上端设氧化锌避雷器以吸收操作过电压；e.用接触器进行各分支回路接通和断开的操作。</w:t>
            </w:r>
          </w:p>
          <w:p>
            <w:pPr>
              <w:pStyle w:val="106"/>
              <w:ind w:firstLine="420"/>
              <w:rPr>
                <w:rFonts w:hAnsi="宋体"/>
                <w:color w:val="auto"/>
                <w:sz w:val="21"/>
                <w:szCs w:val="21"/>
                <w:highlight w:val="none"/>
              </w:rPr>
            </w:pPr>
            <w:r>
              <w:rPr>
                <w:rFonts w:hint="eastAsia" w:hAnsi="宋体"/>
                <w:color w:val="auto"/>
                <w:sz w:val="21"/>
                <w:szCs w:val="21"/>
                <w:highlight w:val="none"/>
              </w:rPr>
              <w:t>5.4 布线：由于电容器柜运行时的发热严重，必须在布线时尽量扩大无故障区，即从柜顶母线</w:t>
            </w:r>
            <w:r>
              <w:rPr>
                <w:rFonts w:hAnsi="宋体"/>
                <w:color w:val="auto"/>
                <w:sz w:val="21"/>
                <w:szCs w:val="21"/>
                <w:highlight w:val="none"/>
              </w:rPr>
              <w:t>—</w:t>
            </w:r>
            <w:r>
              <w:rPr>
                <w:rFonts w:hint="eastAsia" w:hAnsi="宋体"/>
                <w:color w:val="auto"/>
                <w:sz w:val="21"/>
                <w:szCs w:val="21"/>
                <w:highlight w:val="none"/>
              </w:rPr>
              <w:t>隔离开关</w:t>
            </w:r>
            <w:r>
              <w:rPr>
                <w:rFonts w:hAnsi="宋体"/>
                <w:color w:val="auto"/>
                <w:sz w:val="21"/>
                <w:szCs w:val="21"/>
                <w:highlight w:val="none"/>
              </w:rPr>
              <w:t>—</w:t>
            </w:r>
            <w:r>
              <w:rPr>
                <w:rFonts w:hint="eastAsia" w:hAnsi="宋体"/>
                <w:color w:val="auto"/>
                <w:sz w:val="21"/>
                <w:szCs w:val="21"/>
                <w:highlight w:val="none"/>
              </w:rPr>
              <w:t>保护用熔断器</w:t>
            </w:r>
            <w:r>
              <w:rPr>
                <w:rFonts w:hAnsi="宋体"/>
                <w:color w:val="auto"/>
                <w:sz w:val="21"/>
                <w:szCs w:val="21"/>
                <w:highlight w:val="none"/>
              </w:rPr>
              <w:t>—</w:t>
            </w:r>
            <w:r>
              <w:rPr>
                <w:rFonts w:hint="eastAsia" w:hAnsi="宋体"/>
                <w:color w:val="auto"/>
                <w:sz w:val="21"/>
                <w:szCs w:val="21"/>
                <w:highlight w:val="none"/>
              </w:rPr>
              <w:t>电抗器</w:t>
            </w:r>
            <w:r>
              <w:rPr>
                <w:rFonts w:hAnsi="宋体"/>
                <w:color w:val="auto"/>
                <w:sz w:val="21"/>
                <w:szCs w:val="21"/>
                <w:highlight w:val="none"/>
              </w:rPr>
              <w:t>—</w:t>
            </w:r>
            <w:r>
              <w:rPr>
                <w:rFonts w:hint="eastAsia" w:hAnsi="宋体"/>
                <w:color w:val="auto"/>
                <w:sz w:val="21"/>
                <w:szCs w:val="21"/>
                <w:highlight w:val="none"/>
              </w:rPr>
              <w:t>接触器之间采用硬质铜排接线；仅接触器至电容器用RV绝缘软线布线。</w:t>
            </w:r>
          </w:p>
          <w:p>
            <w:pPr>
              <w:pStyle w:val="106"/>
              <w:ind w:firstLine="420"/>
              <w:rPr>
                <w:rFonts w:hAnsi="宋体"/>
                <w:color w:val="auto"/>
                <w:sz w:val="21"/>
                <w:szCs w:val="21"/>
                <w:highlight w:val="none"/>
              </w:rPr>
            </w:pPr>
            <w:r>
              <w:rPr>
                <w:rFonts w:hint="eastAsia" w:hAnsi="宋体"/>
                <w:color w:val="auto"/>
                <w:sz w:val="21"/>
                <w:szCs w:val="21"/>
                <w:highlight w:val="none"/>
              </w:rPr>
              <w:t>5.5 功率因数控制器：</w:t>
            </w:r>
          </w:p>
          <w:p>
            <w:pPr>
              <w:pStyle w:val="106"/>
              <w:ind w:firstLine="420"/>
              <w:rPr>
                <w:rFonts w:hAnsi="宋体"/>
                <w:color w:val="auto"/>
                <w:sz w:val="21"/>
                <w:szCs w:val="21"/>
                <w:highlight w:val="none"/>
              </w:rPr>
            </w:pPr>
            <w:r>
              <w:rPr>
                <w:rFonts w:hint="eastAsia" w:hAnsi="宋体"/>
                <w:color w:val="auto"/>
                <w:sz w:val="21"/>
                <w:szCs w:val="21"/>
                <w:highlight w:val="none"/>
              </w:rPr>
              <w:t>（1）电压： 380／415伏；</w:t>
            </w:r>
          </w:p>
          <w:p>
            <w:pPr>
              <w:pStyle w:val="106"/>
              <w:ind w:firstLine="420"/>
              <w:rPr>
                <w:rFonts w:hAnsi="宋体"/>
                <w:color w:val="auto"/>
                <w:sz w:val="21"/>
                <w:szCs w:val="21"/>
                <w:highlight w:val="none"/>
              </w:rPr>
            </w:pPr>
            <w:r>
              <w:rPr>
                <w:rFonts w:hint="eastAsia" w:hAnsi="宋体"/>
                <w:color w:val="auto"/>
                <w:sz w:val="21"/>
                <w:szCs w:val="21"/>
                <w:highlight w:val="none"/>
              </w:rPr>
              <w:t>（2）频率范围： 50Hz-5％；</w:t>
            </w:r>
          </w:p>
          <w:p>
            <w:pPr>
              <w:pStyle w:val="106"/>
              <w:ind w:firstLine="420"/>
              <w:rPr>
                <w:rFonts w:hAnsi="宋体"/>
                <w:color w:val="auto"/>
                <w:sz w:val="21"/>
                <w:szCs w:val="21"/>
                <w:highlight w:val="none"/>
              </w:rPr>
            </w:pPr>
            <w:r>
              <w:rPr>
                <w:rFonts w:hint="eastAsia" w:hAnsi="宋体"/>
                <w:color w:val="auto"/>
                <w:sz w:val="21"/>
                <w:szCs w:val="21"/>
                <w:highlight w:val="none"/>
              </w:rPr>
              <w:t>（3）功率因数范围： 0．7感性</w:t>
            </w:r>
            <w:r>
              <w:rPr>
                <w:rFonts w:hAnsi="宋体"/>
                <w:color w:val="auto"/>
                <w:sz w:val="21"/>
                <w:szCs w:val="21"/>
                <w:highlight w:val="none"/>
              </w:rPr>
              <w:t>—</w:t>
            </w:r>
            <w:r>
              <w:rPr>
                <w:rFonts w:hint="eastAsia" w:hAnsi="宋体"/>
                <w:color w:val="auto"/>
                <w:sz w:val="21"/>
                <w:szCs w:val="21"/>
                <w:highlight w:val="none"/>
              </w:rPr>
              <w:t>0．7容性；</w:t>
            </w:r>
          </w:p>
          <w:p>
            <w:pPr>
              <w:pStyle w:val="106"/>
              <w:ind w:firstLine="420"/>
              <w:rPr>
                <w:rFonts w:hAnsi="宋体"/>
                <w:color w:val="auto"/>
                <w:sz w:val="21"/>
                <w:szCs w:val="21"/>
                <w:highlight w:val="none"/>
              </w:rPr>
            </w:pPr>
            <w:r>
              <w:rPr>
                <w:rFonts w:hint="eastAsia" w:hAnsi="宋体"/>
                <w:color w:val="auto"/>
                <w:sz w:val="21"/>
                <w:szCs w:val="21"/>
                <w:highlight w:val="none"/>
              </w:rPr>
              <w:t>（4）电压测量误差： 满量程的1％；</w:t>
            </w:r>
          </w:p>
          <w:p>
            <w:pPr>
              <w:pStyle w:val="106"/>
              <w:ind w:firstLine="420"/>
              <w:rPr>
                <w:rFonts w:hAnsi="宋体"/>
                <w:color w:val="auto"/>
                <w:sz w:val="21"/>
                <w:szCs w:val="21"/>
                <w:highlight w:val="none"/>
              </w:rPr>
            </w:pPr>
            <w:r>
              <w:rPr>
                <w:rFonts w:hint="eastAsia" w:hAnsi="宋体"/>
                <w:color w:val="auto"/>
                <w:sz w:val="21"/>
                <w:szCs w:val="21"/>
                <w:highlight w:val="none"/>
              </w:rPr>
              <w:t>（5）输入电流和阻抗： 5或1安，小于0．1欧；</w:t>
            </w:r>
          </w:p>
          <w:p>
            <w:pPr>
              <w:pStyle w:val="106"/>
              <w:ind w:firstLine="420"/>
              <w:rPr>
                <w:rFonts w:hAnsi="宋体"/>
                <w:color w:val="auto"/>
                <w:sz w:val="21"/>
                <w:szCs w:val="21"/>
                <w:highlight w:val="none"/>
              </w:rPr>
            </w:pPr>
            <w:r>
              <w:rPr>
                <w:rFonts w:hint="eastAsia" w:hAnsi="宋体"/>
                <w:color w:val="auto"/>
                <w:sz w:val="21"/>
                <w:szCs w:val="21"/>
                <w:highlight w:val="none"/>
              </w:rPr>
              <w:t>（6）输出触点容量： AC 415伏/1．5安；</w:t>
            </w:r>
          </w:p>
          <w:p>
            <w:pPr>
              <w:pStyle w:val="106"/>
              <w:ind w:firstLine="420"/>
              <w:rPr>
                <w:rFonts w:hAnsi="宋体"/>
                <w:color w:val="auto"/>
                <w:sz w:val="21"/>
                <w:szCs w:val="21"/>
                <w:highlight w:val="none"/>
              </w:rPr>
            </w:pPr>
            <w:r>
              <w:rPr>
                <w:rFonts w:hint="eastAsia" w:hAnsi="宋体"/>
                <w:color w:val="auto"/>
                <w:sz w:val="21"/>
                <w:szCs w:val="21"/>
                <w:highlight w:val="none"/>
              </w:rPr>
              <w:t>（7）报警触点容量： AC 250伏/1．5安；</w:t>
            </w:r>
          </w:p>
          <w:p>
            <w:pPr>
              <w:pStyle w:val="106"/>
              <w:ind w:firstLine="420"/>
              <w:rPr>
                <w:rFonts w:hAnsi="宋体"/>
                <w:color w:val="auto"/>
                <w:sz w:val="21"/>
                <w:szCs w:val="21"/>
                <w:highlight w:val="none"/>
              </w:rPr>
            </w:pPr>
            <w:r>
              <w:rPr>
                <w:rFonts w:hint="eastAsia" w:hAnsi="宋体"/>
                <w:color w:val="auto"/>
                <w:sz w:val="21"/>
                <w:szCs w:val="21"/>
                <w:highlight w:val="none"/>
              </w:rPr>
              <w:t>（8）步级设置和切换时间： 自动、固定、取消，从1秒到18小时；</w:t>
            </w:r>
          </w:p>
          <w:p>
            <w:pPr>
              <w:pStyle w:val="106"/>
              <w:ind w:firstLine="420"/>
              <w:rPr>
                <w:rFonts w:hAnsi="宋体"/>
                <w:color w:val="auto"/>
                <w:sz w:val="21"/>
                <w:szCs w:val="21"/>
                <w:highlight w:val="none"/>
              </w:rPr>
            </w:pPr>
            <w:r>
              <w:rPr>
                <w:rFonts w:hint="eastAsia" w:hAnsi="宋体"/>
                <w:color w:val="auto"/>
                <w:sz w:val="21"/>
                <w:szCs w:val="21"/>
                <w:highlight w:val="none"/>
              </w:rPr>
              <w:t>（9）图形显示：液晶显示器；</w:t>
            </w:r>
          </w:p>
          <w:p>
            <w:pPr>
              <w:pStyle w:val="106"/>
              <w:ind w:firstLine="420"/>
              <w:rPr>
                <w:rFonts w:hAnsi="宋体"/>
                <w:color w:val="auto"/>
                <w:sz w:val="21"/>
                <w:szCs w:val="21"/>
                <w:highlight w:val="none"/>
              </w:rPr>
            </w:pPr>
            <w:r>
              <w:rPr>
                <w:rFonts w:hint="eastAsia" w:hAnsi="宋体"/>
                <w:color w:val="auto"/>
                <w:sz w:val="21"/>
                <w:szCs w:val="21"/>
                <w:highlight w:val="none"/>
              </w:rPr>
              <w:t>（10）保存功能： 所有编辑好的功能都保存在非易失的记忆体中，可记忆最近发生的5次报警事件。 当断电持续时间超过20毫秒，自动断开所有电容器。具有躲避谐波谐振点投切控制功能；</w:t>
            </w:r>
          </w:p>
          <w:p>
            <w:pPr>
              <w:pStyle w:val="106"/>
              <w:ind w:firstLine="420"/>
              <w:rPr>
                <w:rFonts w:hAnsi="宋体"/>
                <w:color w:val="auto"/>
                <w:sz w:val="21"/>
                <w:szCs w:val="21"/>
                <w:highlight w:val="none"/>
              </w:rPr>
            </w:pPr>
            <w:r>
              <w:rPr>
                <w:rFonts w:hint="eastAsia" w:hAnsi="宋体"/>
                <w:color w:val="auto"/>
                <w:sz w:val="21"/>
                <w:szCs w:val="21"/>
                <w:highlight w:val="none"/>
              </w:rPr>
              <w:t>（11）测量系统： 基于微处理器的三相平衡电网。</w:t>
            </w:r>
          </w:p>
          <w:p>
            <w:pPr>
              <w:pStyle w:val="106"/>
              <w:ind w:firstLine="420"/>
              <w:rPr>
                <w:rFonts w:hAnsi="宋体"/>
                <w:color w:val="auto"/>
                <w:sz w:val="21"/>
                <w:szCs w:val="21"/>
                <w:highlight w:val="none"/>
              </w:rPr>
            </w:pPr>
            <w:r>
              <w:rPr>
                <w:rFonts w:hint="eastAsia" w:hAnsi="宋体"/>
                <w:color w:val="auto"/>
                <w:sz w:val="21"/>
                <w:szCs w:val="21"/>
                <w:highlight w:val="none"/>
              </w:rPr>
              <w:t>5.6电容器、电抗器要求采用进口品牌的合资产品。</w:t>
            </w:r>
          </w:p>
          <w:p>
            <w:pPr>
              <w:pStyle w:val="106"/>
              <w:ind w:firstLine="420"/>
              <w:rPr>
                <w:rFonts w:hAnsi="宋体"/>
                <w:color w:val="auto"/>
                <w:sz w:val="21"/>
                <w:szCs w:val="21"/>
                <w:highlight w:val="none"/>
              </w:rPr>
            </w:pPr>
            <w:r>
              <w:rPr>
                <w:rFonts w:hint="eastAsia" w:hAnsi="宋体"/>
                <w:color w:val="auto"/>
                <w:sz w:val="21"/>
                <w:szCs w:val="21"/>
                <w:highlight w:val="none"/>
              </w:rPr>
              <w:t>6、框架断路器要求：</w:t>
            </w:r>
          </w:p>
          <w:p>
            <w:pPr>
              <w:pStyle w:val="106"/>
              <w:ind w:firstLine="420"/>
              <w:rPr>
                <w:rFonts w:hAnsi="宋体"/>
                <w:color w:val="auto"/>
                <w:sz w:val="21"/>
                <w:szCs w:val="21"/>
                <w:highlight w:val="none"/>
              </w:rPr>
            </w:pPr>
            <w:r>
              <w:rPr>
                <w:rFonts w:hint="eastAsia" w:hAnsi="宋体"/>
                <w:color w:val="auto"/>
                <w:sz w:val="21"/>
                <w:szCs w:val="21"/>
                <w:highlight w:val="none"/>
              </w:rPr>
              <w:t>6.1框架断路器应具有带微处理器的智能型保护装置单元，配失压脱扣、分励脱扣、过电流脱扣；进线开关具备长延时、短延时、瞬时、接地故障保护四段保护功能，其余回路开关具备长延时、短延时、瞬时、三段保护功能，且时间和电流可调，整定值按图纸要求。</w:t>
            </w:r>
          </w:p>
          <w:p>
            <w:pPr>
              <w:pStyle w:val="106"/>
              <w:ind w:firstLine="420"/>
              <w:rPr>
                <w:rFonts w:hAnsi="宋体"/>
                <w:color w:val="auto"/>
                <w:sz w:val="21"/>
                <w:szCs w:val="21"/>
                <w:highlight w:val="none"/>
              </w:rPr>
            </w:pPr>
            <w:r>
              <w:rPr>
                <w:rFonts w:hint="eastAsia" w:hAnsi="宋体"/>
                <w:color w:val="auto"/>
                <w:sz w:val="21"/>
                <w:szCs w:val="21"/>
                <w:highlight w:val="none"/>
              </w:rPr>
              <w:t>6.2框架断路器在摄氏55度温度时开关不降容；若产品有降容，在选型时应考虑降容因素。</w:t>
            </w:r>
          </w:p>
          <w:p>
            <w:pPr>
              <w:pStyle w:val="106"/>
              <w:ind w:firstLine="420"/>
              <w:rPr>
                <w:rFonts w:hAnsi="宋体"/>
                <w:color w:val="auto"/>
                <w:sz w:val="21"/>
                <w:szCs w:val="21"/>
                <w:highlight w:val="none"/>
              </w:rPr>
            </w:pPr>
            <w:r>
              <w:rPr>
                <w:rFonts w:hint="eastAsia" w:hAnsi="宋体"/>
                <w:color w:val="auto"/>
                <w:sz w:val="21"/>
                <w:szCs w:val="21"/>
                <w:highlight w:val="none"/>
              </w:rPr>
              <w:t>6.3框架断路器必须装上机械连锁装置，以完成以下功能：在闭合位置上，不能插入或抽出断路器。除非断路被抽出或处于[隔离]位置，断路器的门或盖将不能移动或打开。断路器只能在完全插入或隔离位置上才能闭合。自动安全保护罩，可在断路器抽出时完全防护固定部分主接触点。框架断路器应能互换，但需具有防误插机构。</w:t>
            </w:r>
          </w:p>
          <w:p>
            <w:pPr>
              <w:pStyle w:val="106"/>
              <w:ind w:firstLine="420"/>
              <w:rPr>
                <w:rFonts w:hAnsi="宋体"/>
                <w:color w:val="auto"/>
                <w:sz w:val="21"/>
                <w:szCs w:val="21"/>
                <w:highlight w:val="none"/>
              </w:rPr>
            </w:pPr>
            <w:r>
              <w:rPr>
                <w:rFonts w:hint="eastAsia" w:hAnsi="宋体"/>
                <w:color w:val="auto"/>
                <w:sz w:val="21"/>
                <w:szCs w:val="21"/>
                <w:highlight w:val="none"/>
              </w:rPr>
              <w:t>6.4三段保护及以上类型用于电机保护时，Tsd=20ms时，要求具备缺相感应。</w:t>
            </w:r>
          </w:p>
          <w:p>
            <w:pPr>
              <w:pStyle w:val="106"/>
              <w:ind w:firstLine="420"/>
              <w:rPr>
                <w:rFonts w:hAnsi="宋体"/>
                <w:color w:val="auto"/>
                <w:sz w:val="21"/>
                <w:szCs w:val="21"/>
                <w:highlight w:val="none"/>
              </w:rPr>
            </w:pPr>
            <w:r>
              <w:rPr>
                <w:rFonts w:hint="eastAsia" w:hAnsi="宋体"/>
                <w:color w:val="auto"/>
                <w:sz w:val="21"/>
                <w:szCs w:val="21"/>
                <w:highlight w:val="none"/>
              </w:rPr>
              <w:t>6.5塑壳开关结构须为模块化设计。塑壳开关400A以上应采用电子脱扣器。必须保证在过载和短路情况下能够快速、准确地跳闸。</w:t>
            </w:r>
          </w:p>
          <w:p>
            <w:pPr>
              <w:pStyle w:val="106"/>
              <w:ind w:firstLine="420"/>
              <w:rPr>
                <w:rFonts w:hAnsi="宋体"/>
                <w:color w:val="auto"/>
                <w:sz w:val="21"/>
                <w:szCs w:val="21"/>
                <w:highlight w:val="none"/>
              </w:rPr>
            </w:pPr>
            <w:r>
              <w:rPr>
                <w:rFonts w:hint="eastAsia" w:hAnsi="宋体"/>
                <w:color w:val="auto"/>
                <w:sz w:val="21"/>
                <w:szCs w:val="21"/>
                <w:highlight w:val="none"/>
              </w:rPr>
              <w:t>7、母线</w:t>
            </w:r>
          </w:p>
          <w:p>
            <w:pPr>
              <w:pStyle w:val="106"/>
              <w:ind w:firstLine="420"/>
              <w:rPr>
                <w:rFonts w:hAnsi="宋体"/>
                <w:color w:val="auto"/>
                <w:sz w:val="21"/>
                <w:szCs w:val="21"/>
                <w:highlight w:val="none"/>
              </w:rPr>
            </w:pPr>
            <w:r>
              <w:rPr>
                <w:rFonts w:hint="eastAsia" w:hAnsi="宋体"/>
                <w:color w:val="auto"/>
                <w:sz w:val="21"/>
                <w:szCs w:val="21"/>
                <w:highlight w:val="none"/>
              </w:rPr>
              <w:t>7.1、1600安培及其以上电路，其额定短时承受电流须为1秒钟80千安，1600安培以下电路为1秒钟50千安。母线与中性母线的截面面积按图纸要求。构成配电屏部分装置的母线，母线连接线和裸导体必须符合图纸所列电流值的要求和在允许温升范围内。铜排采用高纯度产品（铜含量达99.99%）；镀锡厚度及弯曲半径必须达到国标要求。母线需用8.8级螺栓联接。柜内垂直母线须加绝缘防护罩，一次回路出线端须加绝缘防护罩，所有母线非搭接部位需装热塑套管。</w:t>
            </w:r>
          </w:p>
          <w:p>
            <w:pPr>
              <w:pStyle w:val="106"/>
              <w:ind w:firstLine="420"/>
              <w:rPr>
                <w:rFonts w:hAnsi="宋体"/>
                <w:color w:val="auto"/>
                <w:sz w:val="21"/>
                <w:szCs w:val="21"/>
                <w:highlight w:val="none"/>
              </w:rPr>
            </w:pPr>
            <w:r>
              <w:rPr>
                <w:rFonts w:hint="eastAsia" w:hAnsi="宋体"/>
                <w:color w:val="auto"/>
                <w:sz w:val="21"/>
                <w:szCs w:val="21"/>
                <w:highlight w:val="none"/>
              </w:rPr>
              <w:t>7.2、母线温升不超过40摄氏度，支撑牢固。在故障出现下整套装置能承受最高机械应力。</w:t>
            </w:r>
          </w:p>
          <w:p>
            <w:pPr>
              <w:pStyle w:val="106"/>
              <w:ind w:firstLine="420"/>
              <w:rPr>
                <w:rFonts w:hAnsi="宋体"/>
                <w:color w:val="auto"/>
                <w:sz w:val="21"/>
                <w:szCs w:val="21"/>
                <w:highlight w:val="none"/>
              </w:rPr>
            </w:pPr>
            <w:r>
              <w:rPr>
                <w:rFonts w:hint="eastAsia" w:hAnsi="宋体"/>
                <w:color w:val="auto"/>
                <w:sz w:val="21"/>
                <w:szCs w:val="21"/>
                <w:highlight w:val="none"/>
              </w:rPr>
              <w:t>8、与柴油发电机的接口　</w:t>
            </w:r>
          </w:p>
          <w:p>
            <w:pPr>
              <w:pStyle w:val="106"/>
              <w:ind w:firstLine="420"/>
              <w:rPr>
                <w:rFonts w:hAnsi="宋体"/>
                <w:color w:val="auto"/>
                <w:sz w:val="21"/>
                <w:szCs w:val="21"/>
                <w:highlight w:val="none"/>
              </w:rPr>
            </w:pPr>
            <w:r>
              <w:rPr>
                <w:rFonts w:hint="eastAsia" w:hAnsi="宋体"/>
                <w:color w:val="auto"/>
                <w:sz w:val="21"/>
                <w:szCs w:val="21"/>
                <w:highlight w:val="none"/>
              </w:rPr>
              <w:t>柴油发电机与变电所电源之间采用ATS进行自动切换，水平母线高度要相同，具体在设计联络时确定。ATS选用应满足设计要求。ATS要求通过AC-33试验。</w:t>
            </w:r>
          </w:p>
          <w:p>
            <w:pPr>
              <w:pStyle w:val="106"/>
              <w:ind w:firstLine="420"/>
              <w:rPr>
                <w:rFonts w:hAnsi="宋体"/>
                <w:color w:val="auto"/>
                <w:sz w:val="21"/>
                <w:szCs w:val="21"/>
                <w:highlight w:val="none"/>
              </w:rPr>
            </w:pPr>
            <w:r>
              <w:rPr>
                <w:rFonts w:hint="eastAsia" w:hAnsi="宋体"/>
                <w:color w:val="auto"/>
                <w:sz w:val="21"/>
                <w:szCs w:val="21"/>
                <w:highlight w:val="none"/>
              </w:rPr>
              <w:t>9、仪表要求：</w:t>
            </w:r>
            <w:r>
              <w:rPr>
                <w:rFonts w:hint="eastAsia" w:hAnsi="宋体"/>
                <w:color w:val="auto"/>
                <w:sz w:val="21"/>
                <w:szCs w:val="21"/>
                <w:highlight w:val="none"/>
              </w:rPr>
              <w:tab/>
            </w:r>
          </w:p>
          <w:p>
            <w:pPr>
              <w:pStyle w:val="106"/>
              <w:ind w:firstLine="420"/>
              <w:rPr>
                <w:rFonts w:hAnsi="宋体"/>
                <w:color w:val="auto"/>
                <w:sz w:val="21"/>
                <w:szCs w:val="21"/>
                <w:highlight w:val="none"/>
              </w:rPr>
            </w:pPr>
            <w:r>
              <w:rPr>
                <w:rFonts w:hint="eastAsia" w:hAnsi="宋体"/>
                <w:color w:val="auto"/>
                <w:sz w:val="21"/>
                <w:szCs w:val="21"/>
                <w:highlight w:val="none"/>
              </w:rPr>
              <w:t>9.1功能要求：</w:t>
            </w:r>
          </w:p>
          <w:p>
            <w:pPr>
              <w:pStyle w:val="106"/>
              <w:ind w:firstLine="420"/>
              <w:rPr>
                <w:rFonts w:hAnsi="宋体"/>
                <w:color w:val="auto"/>
                <w:sz w:val="21"/>
                <w:szCs w:val="21"/>
                <w:highlight w:val="none"/>
              </w:rPr>
            </w:pPr>
            <w:r>
              <w:rPr>
                <w:rFonts w:hint="eastAsia" w:hAnsi="宋体"/>
                <w:color w:val="auto"/>
                <w:sz w:val="21"/>
                <w:szCs w:val="21"/>
                <w:highlight w:val="none"/>
              </w:rPr>
              <w:t>9.1.1、全电量测量：测量高压各进出线回路及联络开关和低压各进线回路及联络开关的电压、电流、频率、功率因数、有功功率、无功功率、视在功率、有功电度、无功电度、视在电度、频率等多种三相电量；</w:t>
            </w:r>
          </w:p>
          <w:p>
            <w:pPr>
              <w:pStyle w:val="106"/>
              <w:ind w:firstLine="420"/>
              <w:rPr>
                <w:rFonts w:hAnsi="宋体"/>
                <w:color w:val="auto"/>
                <w:sz w:val="21"/>
                <w:szCs w:val="21"/>
                <w:highlight w:val="none"/>
              </w:rPr>
            </w:pPr>
            <w:r>
              <w:rPr>
                <w:rFonts w:hint="eastAsia" w:hAnsi="宋体"/>
                <w:color w:val="auto"/>
                <w:sz w:val="21"/>
                <w:szCs w:val="21"/>
                <w:highlight w:val="none"/>
              </w:rPr>
              <w:t>9.1.2、 非电量测量：变压器温度监测、风冷变压器通风运行情况；显示变压器运行状态，例如正常运行、超温运行、超温报警、超温跳闸等；</w:t>
            </w:r>
          </w:p>
          <w:p>
            <w:pPr>
              <w:pStyle w:val="106"/>
              <w:ind w:firstLine="420"/>
              <w:rPr>
                <w:rFonts w:hAnsi="宋体"/>
                <w:color w:val="auto"/>
                <w:sz w:val="21"/>
                <w:szCs w:val="21"/>
                <w:highlight w:val="none"/>
              </w:rPr>
            </w:pPr>
            <w:r>
              <w:rPr>
                <w:rFonts w:hint="eastAsia" w:hAnsi="宋体"/>
                <w:color w:val="auto"/>
                <w:sz w:val="21"/>
                <w:szCs w:val="21"/>
                <w:highlight w:val="none"/>
              </w:rPr>
              <w:t>9.1.3、遥信遥测：采集高低压配电柜各进出线回路和联络断路器开关状态、故障状态信号以及低压出线回路的电流测量；</w:t>
            </w:r>
          </w:p>
          <w:p>
            <w:pPr>
              <w:pStyle w:val="106"/>
              <w:ind w:firstLine="420"/>
              <w:rPr>
                <w:rFonts w:hAnsi="宋体"/>
                <w:color w:val="auto"/>
                <w:sz w:val="21"/>
                <w:szCs w:val="21"/>
                <w:highlight w:val="none"/>
              </w:rPr>
            </w:pPr>
            <w:r>
              <w:rPr>
                <w:rFonts w:hint="eastAsia" w:hAnsi="宋体"/>
                <w:color w:val="auto"/>
                <w:sz w:val="21"/>
                <w:szCs w:val="21"/>
                <w:highlight w:val="none"/>
              </w:rPr>
              <w:t>9.1.4、测量精度：电压：0.2%；电流：0.2%；频率：0.2%；功率：0.5%；功率因数：0.5%；电度：1%；</w:t>
            </w:r>
          </w:p>
          <w:p>
            <w:pPr>
              <w:pStyle w:val="106"/>
              <w:ind w:firstLine="420"/>
              <w:rPr>
                <w:rFonts w:hAnsi="宋体"/>
                <w:color w:val="auto"/>
                <w:sz w:val="21"/>
                <w:szCs w:val="21"/>
                <w:highlight w:val="none"/>
              </w:rPr>
            </w:pPr>
            <w:r>
              <w:rPr>
                <w:rFonts w:hint="eastAsia" w:hAnsi="宋体"/>
                <w:color w:val="auto"/>
                <w:sz w:val="21"/>
                <w:szCs w:val="21"/>
                <w:highlight w:val="none"/>
              </w:rPr>
              <w:t>9.1.5、2路开关量输入；</w:t>
            </w:r>
          </w:p>
          <w:p>
            <w:pPr>
              <w:pStyle w:val="106"/>
              <w:ind w:firstLine="420"/>
              <w:rPr>
                <w:rFonts w:hAnsi="宋体"/>
                <w:color w:val="auto"/>
                <w:sz w:val="21"/>
                <w:szCs w:val="21"/>
                <w:highlight w:val="none"/>
              </w:rPr>
            </w:pPr>
            <w:r>
              <w:rPr>
                <w:rFonts w:hint="eastAsia" w:hAnsi="宋体"/>
                <w:color w:val="auto"/>
                <w:sz w:val="21"/>
                <w:szCs w:val="21"/>
                <w:highlight w:val="none"/>
              </w:rPr>
              <w:t>9.1.6、可完成1路电度表输入脉冲的电度计量；</w:t>
            </w:r>
          </w:p>
          <w:p>
            <w:pPr>
              <w:pStyle w:val="106"/>
              <w:ind w:firstLine="420"/>
              <w:rPr>
                <w:rFonts w:hAnsi="宋体"/>
                <w:color w:val="auto"/>
                <w:sz w:val="21"/>
                <w:szCs w:val="21"/>
                <w:highlight w:val="none"/>
              </w:rPr>
            </w:pPr>
            <w:r>
              <w:rPr>
                <w:rFonts w:hint="eastAsia" w:hAnsi="宋体"/>
                <w:color w:val="auto"/>
                <w:sz w:val="21"/>
                <w:szCs w:val="21"/>
                <w:highlight w:val="none"/>
              </w:rPr>
              <w:t>9.1.7、2路继电器输出，继电器节点容量：250VAC/10A或380VAC/6A；</w:t>
            </w:r>
          </w:p>
          <w:p>
            <w:pPr>
              <w:pStyle w:val="106"/>
              <w:ind w:firstLine="420"/>
              <w:rPr>
                <w:rFonts w:hAnsi="宋体"/>
                <w:color w:val="auto"/>
                <w:sz w:val="21"/>
                <w:szCs w:val="21"/>
                <w:highlight w:val="none"/>
              </w:rPr>
            </w:pPr>
            <w:r>
              <w:rPr>
                <w:rFonts w:hint="eastAsia" w:hAnsi="宋体"/>
                <w:color w:val="auto"/>
                <w:sz w:val="21"/>
                <w:szCs w:val="21"/>
                <w:highlight w:val="none"/>
              </w:rPr>
              <w:t>9.1.8、支持遥信和遥控功能；</w:t>
            </w:r>
          </w:p>
          <w:p>
            <w:pPr>
              <w:pStyle w:val="106"/>
              <w:ind w:firstLine="420"/>
              <w:rPr>
                <w:rFonts w:hAnsi="宋体"/>
                <w:color w:val="auto"/>
                <w:sz w:val="21"/>
                <w:szCs w:val="21"/>
                <w:highlight w:val="none"/>
              </w:rPr>
            </w:pPr>
            <w:r>
              <w:rPr>
                <w:rFonts w:hint="eastAsia" w:hAnsi="宋体"/>
                <w:color w:val="auto"/>
                <w:sz w:val="21"/>
                <w:szCs w:val="21"/>
                <w:highlight w:val="none"/>
              </w:rPr>
              <w:t>9.1.9、RS485通讯口，支持MODBUS通信协议；</w:t>
            </w:r>
          </w:p>
          <w:p>
            <w:pPr>
              <w:pStyle w:val="106"/>
              <w:ind w:firstLine="420"/>
              <w:rPr>
                <w:rFonts w:hAnsi="宋体"/>
                <w:color w:val="auto"/>
                <w:sz w:val="21"/>
                <w:szCs w:val="21"/>
                <w:highlight w:val="none"/>
              </w:rPr>
            </w:pPr>
            <w:r>
              <w:rPr>
                <w:rFonts w:hint="eastAsia" w:hAnsi="宋体"/>
                <w:color w:val="auto"/>
                <w:sz w:val="21"/>
                <w:szCs w:val="21"/>
                <w:highlight w:val="none"/>
              </w:rPr>
              <w:t>9.1.10、所有关键数据（系统参数等）在失电情况下可保存十年以上；</w:t>
            </w:r>
          </w:p>
          <w:p>
            <w:pPr>
              <w:pStyle w:val="106"/>
              <w:ind w:firstLine="420"/>
              <w:rPr>
                <w:rFonts w:hAnsi="宋体"/>
                <w:color w:val="auto"/>
                <w:sz w:val="21"/>
                <w:szCs w:val="21"/>
                <w:highlight w:val="none"/>
              </w:rPr>
            </w:pPr>
            <w:r>
              <w:rPr>
                <w:rFonts w:hint="eastAsia" w:hAnsi="宋体"/>
                <w:color w:val="auto"/>
                <w:sz w:val="21"/>
                <w:szCs w:val="21"/>
                <w:highlight w:val="none"/>
              </w:rPr>
              <w:t>9.1.11、抗空间电磁干扰；</w:t>
            </w:r>
          </w:p>
          <w:p>
            <w:pPr>
              <w:pStyle w:val="106"/>
              <w:ind w:firstLine="420"/>
              <w:rPr>
                <w:rFonts w:hAnsi="宋体"/>
                <w:color w:val="auto"/>
                <w:sz w:val="21"/>
                <w:szCs w:val="21"/>
                <w:highlight w:val="none"/>
              </w:rPr>
            </w:pPr>
            <w:r>
              <w:rPr>
                <w:rFonts w:hint="eastAsia" w:hAnsi="宋体"/>
                <w:color w:val="auto"/>
                <w:sz w:val="21"/>
                <w:szCs w:val="21"/>
                <w:highlight w:val="none"/>
              </w:rPr>
              <w:t>9.1.12、四排汉字显示窗口，四个按键，就地显示和操作方便；</w:t>
            </w:r>
          </w:p>
          <w:p>
            <w:pPr>
              <w:pStyle w:val="106"/>
              <w:ind w:firstLine="420"/>
              <w:rPr>
                <w:rFonts w:hAnsi="宋体"/>
                <w:color w:val="auto"/>
                <w:sz w:val="21"/>
                <w:szCs w:val="21"/>
                <w:highlight w:val="none"/>
              </w:rPr>
            </w:pPr>
            <w:r>
              <w:rPr>
                <w:rFonts w:hint="eastAsia" w:hAnsi="宋体"/>
                <w:color w:val="auto"/>
                <w:sz w:val="21"/>
                <w:szCs w:val="21"/>
                <w:highlight w:val="none"/>
              </w:rPr>
              <w:t>9.1.13、八个指示灯，可指示装置运行、通讯、开入量、开出量的状态；</w:t>
            </w:r>
          </w:p>
          <w:p>
            <w:pPr>
              <w:pStyle w:val="106"/>
              <w:ind w:firstLine="420"/>
              <w:rPr>
                <w:rFonts w:hAnsi="宋体"/>
                <w:color w:val="auto"/>
                <w:sz w:val="21"/>
                <w:szCs w:val="21"/>
                <w:highlight w:val="none"/>
              </w:rPr>
            </w:pPr>
            <w:r>
              <w:rPr>
                <w:rFonts w:hint="eastAsia" w:hAnsi="宋体"/>
                <w:color w:val="auto"/>
                <w:sz w:val="21"/>
                <w:szCs w:val="21"/>
                <w:highlight w:val="none"/>
              </w:rPr>
              <w:t>9.1.14、具有两级密码管理权限，方便运行管理；</w:t>
            </w:r>
          </w:p>
          <w:p>
            <w:pPr>
              <w:pStyle w:val="106"/>
              <w:ind w:firstLine="420"/>
              <w:rPr>
                <w:rFonts w:hAnsi="宋体"/>
                <w:color w:val="auto"/>
                <w:sz w:val="21"/>
                <w:szCs w:val="21"/>
                <w:highlight w:val="none"/>
              </w:rPr>
            </w:pPr>
            <w:r>
              <w:rPr>
                <w:rFonts w:hint="eastAsia" w:hAnsi="宋体"/>
                <w:color w:val="auto"/>
                <w:sz w:val="21"/>
                <w:szCs w:val="21"/>
                <w:highlight w:val="none"/>
              </w:rPr>
              <w:t>9.2、安装要求：</w:t>
            </w:r>
          </w:p>
          <w:p>
            <w:pPr>
              <w:pStyle w:val="106"/>
              <w:ind w:firstLine="420"/>
              <w:rPr>
                <w:rFonts w:hAnsi="宋体"/>
                <w:color w:val="auto"/>
                <w:sz w:val="21"/>
                <w:szCs w:val="21"/>
                <w:highlight w:val="none"/>
              </w:rPr>
            </w:pPr>
            <w:r>
              <w:rPr>
                <w:rFonts w:hint="eastAsia" w:hAnsi="宋体"/>
                <w:color w:val="auto"/>
                <w:sz w:val="21"/>
                <w:szCs w:val="21"/>
                <w:highlight w:val="none"/>
              </w:rPr>
              <w:t>9.2.1、面板式安装；</w:t>
            </w:r>
          </w:p>
          <w:p>
            <w:pPr>
              <w:pStyle w:val="106"/>
              <w:ind w:firstLine="420"/>
              <w:rPr>
                <w:rFonts w:hAnsi="宋体"/>
                <w:color w:val="auto"/>
                <w:sz w:val="21"/>
                <w:szCs w:val="21"/>
                <w:highlight w:val="none"/>
              </w:rPr>
            </w:pPr>
            <w:r>
              <w:rPr>
                <w:rFonts w:hint="eastAsia" w:hAnsi="宋体"/>
                <w:color w:val="auto"/>
                <w:sz w:val="21"/>
                <w:szCs w:val="21"/>
                <w:highlight w:val="none"/>
              </w:rPr>
              <w:t>9.3、运行环境：</w:t>
            </w:r>
          </w:p>
          <w:p>
            <w:pPr>
              <w:pStyle w:val="106"/>
              <w:ind w:firstLine="420"/>
              <w:rPr>
                <w:rFonts w:hAnsi="宋体"/>
                <w:color w:val="auto"/>
                <w:sz w:val="21"/>
                <w:szCs w:val="21"/>
                <w:highlight w:val="none"/>
              </w:rPr>
            </w:pPr>
            <w:r>
              <w:rPr>
                <w:rFonts w:hint="eastAsia" w:hAnsi="宋体"/>
                <w:color w:val="auto"/>
                <w:sz w:val="21"/>
                <w:szCs w:val="21"/>
                <w:highlight w:val="none"/>
              </w:rPr>
              <w:t>9.3.1、相对湿度：&lt;95%；</w:t>
            </w:r>
          </w:p>
          <w:p>
            <w:pPr>
              <w:pStyle w:val="106"/>
              <w:ind w:firstLine="420"/>
              <w:rPr>
                <w:rFonts w:hAnsi="宋体"/>
                <w:color w:val="auto"/>
                <w:sz w:val="21"/>
                <w:szCs w:val="21"/>
                <w:highlight w:val="none"/>
              </w:rPr>
            </w:pPr>
            <w:r>
              <w:rPr>
                <w:rFonts w:hint="eastAsia" w:hAnsi="宋体"/>
                <w:color w:val="auto"/>
                <w:sz w:val="21"/>
                <w:szCs w:val="21"/>
                <w:highlight w:val="none"/>
              </w:rPr>
              <w:t>9.3.2、工作温度：-25</w:t>
            </w:r>
            <w:r>
              <w:rPr>
                <w:rFonts w:hint="eastAsia" w:hAnsi="宋体" w:cs="宋体"/>
                <w:color w:val="auto"/>
                <w:sz w:val="21"/>
                <w:szCs w:val="21"/>
                <w:highlight w:val="none"/>
              </w:rPr>
              <w:t>℃</w:t>
            </w:r>
            <w:r>
              <w:rPr>
                <w:rFonts w:hint="eastAsia" w:hAnsi="宋体"/>
                <w:color w:val="auto"/>
                <w:sz w:val="21"/>
                <w:szCs w:val="21"/>
                <w:highlight w:val="none"/>
              </w:rPr>
              <w:t>～+55</w:t>
            </w:r>
            <w:r>
              <w:rPr>
                <w:rFonts w:hint="eastAsia" w:hAnsi="宋体" w:cs="宋体"/>
                <w:color w:val="auto"/>
                <w:sz w:val="21"/>
                <w:szCs w:val="21"/>
                <w:highlight w:val="none"/>
              </w:rPr>
              <w:t>℃</w:t>
            </w:r>
            <w:r>
              <w:rPr>
                <w:rFonts w:hint="eastAsia" w:hAnsi="宋体"/>
                <w:color w:val="auto"/>
                <w:sz w:val="21"/>
                <w:szCs w:val="21"/>
                <w:highlight w:val="none"/>
              </w:rPr>
              <w:t>；</w:t>
            </w:r>
          </w:p>
          <w:p>
            <w:pPr>
              <w:pStyle w:val="106"/>
              <w:ind w:firstLine="420"/>
              <w:rPr>
                <w:rFonts w:hAnsi="宋体"/>
                <w:color w:val="auto"/>
                <w:sz w:val="21"/>
                <w:szCs w:val="21"/>
                <w:highlight w:val="none"/>
              </w:rPr>
            </w:pPr>
            <w:r>
              <w:rPr>
                <w:rFonts w:hint="eastAsia" w:hAnsi="宋体"/>
                <w:color w:val="auto"/>
                <w:sz w:val="21"/>
                <w:szCs w:val="21"/>
                <w:highlight w:val="none"/>
              </w:rPr>
              <w:t>9.3.3、电源电压：85～265VAC/DC。</w:t>
            </w:r>
          </w:p>
          <w:p>
            <w:pPr>
              <w:pStyle w:val="106"/>
              <w:ind w:firstLine="420"/>
              <w:rPr>
                <w:rFonts w:hAnsi="宋体"/>
                <w:color w:val="auto"/>
                <w:sz w:val="21"/>
                <w:szCs w:val="21"/>
                <w:highlight w:val="none"/>
              </w:rPr>
            </w:pPr>
          </w:p>
          <w:p>
            <w:pPr>
              <w:pStyle w:val="106"/>
              <w:ind w:firstLine="420"/>
              <w:rPr>
                <w:rFonts w:hAnsi="宋体"/>
                <w:color w:val="auto"/>
                <w:sz w:val="21"/>
                <w:szCs w:val="21"/>
                <w:highlight w:val="none"/>
              </w:rPr>
            </w:pPr>
            <w:r>
              <w:rPr>
                <w:rFonts w:hint="eastAsia" w:hAnsi="宋体"/>
                <w:color w:val="auto"/>
                <w:sz w:val="21"/>
                <w:szCs w:val="21"/>
                <w:highlight w:val="none"/>
              </w:rPr>
              <w:t>10、智能化要求</w:t>
            </w:r>
          </w:p>
          <w:p>
            <w:pPr>
              <w:pStyle w:val="106"/>
              <w:ind w:firstLine="420"/>
              <w:rPr>
                <w:rFonts w:hAnsi="宋体"/>
                <w:color w:val="auto"/>
                <w:sz w:val="21"/>
                <w:szCs w:val="21"/>
                <w:highlight w:val="none"/>
              </w:rPr>
            </w:pPr>
            <w:r>
              <w:rPr>
                <w:rFonts w:hint="eastAsia" w:hAnsi="宋体"/>
                <w:color w:val="auto"/>
                <w:sz w:val="21"/>
                <w:szCs w:val="21"/>
                <w:highlight w:val="none"/>
              </w:rPr>
              <w:t>10.1、低压配电柜箱体预留孔洞，便于智能化单位穿线。</w:t>
            </w:r>
          </w:p>
          <w:p>
            <w:pPr>
              <w:pStyle w:val="106"/>
              <w:ind w:firstLine="420"/>
              <w:rPr>
                <w:rFonts w:hAnsi="宋体"/>
                <w:color w:val="auto"/>
                <w:sz w:val="21"/>
                <w:szCs w:val="21"/>
                <w:highlight w:val="none"/>
              </w:rPr>
            </w:pPr>
            <w:r>
              <w:rPr>
                <w:rFonts w:hint="eastAsia" w:hAnsi="宋体"/>
                <w:color w:val="auto"/>
                <w:sz w:val="21"/>
                <w:szCs w:val="21"/>
                <w:highlight w:val="none"/>
              </w:rPr>
              <w:t>10.2、低压配电柜内需为智能化模块预留一定空间并负责安装。</w:t>
            </w:r>
          </w:p>
          <w:p>
            <w:pPr>
              <w:pStyle w:val="106"/>
              <w:ind w:firstLine="420"/>
              <w:rPr>
                <w:rFonts w:hAnsi="宋体"/>
                <w:color w:val="auto"/>
                <w:sz w:val="21"/>
                <w:szCs w:val="21"/>
                <w:highlight w:val="none"/>
              </w:rPr>
            </w:pPr>
            <w:r>
              <w:rPr>
                <w:rFonts w:hint="eastAsia" w:hAnsi="宋体"/>
                <w:color w:val="auto"/>
                <w:sz w:val="21"/>
                <w:szCs w:val="21"/>
                <w:highlight w:val="none"/>
              </w:rPr>
              <w:t>10.3、无论本次发标所用图纸是否满足智能化需求，但要求承包人必须充分考虑智能化各项要求，如有需要，承包人必须自行填加配置足够的元器件，直至满足要求为止。</w:t>
            </w:r>
          </w:p>
        </w:tc>
        <w:tc>
          <w:tcPr>
            <w:tcW w:w="1070" w:type="dxa"/>
            <w:noWrap w:val="0"/>
            <w:vAlign w:val="center"/>
          </w:tcPr>
          <w:p>
            <w:pPr>
              <w:spacing w:line="360" w:lineRule="auto"/>
              <w:rPr>
                <w:rFonts w:ascii="宋体" w:hAnsi="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jc w:val="center"/>
        </w:trPr>
        <w:tc>
          <w:tcPr>
            <w:tcW w:w="708" w:type="dxa"/>
            <w:noWrap w:val="0"/>
            <w:vAlign w:val="center"/>
          </w:tcPr>
          <w:p>
            <w:pPr>
              <w:spacing w:line="360" w:lineRule="auto"/>
              <w:ind w:left="132"/>
              <w:rPr>
                <w:rFonts w:ascii="宋体" w:hAnsi="宋体"/>
                <w:color w:val="auto"/>
                <w:szCs w:val="21"/>
                <w:highlight w:val="none"/>
              </w:rPr>
            </w:pPr>
            <w:r>
              <w:rPr>
                <w:rFonts w:ascii="宋体" w:hAnsi="宋体"/>
                <w:color w:val="auto"/>
                <w:szCs w:val="21"/>
                <w:highlight w:val="none"/>
              </w:rPr>
              <w:t>4</w:t>
            </w:r>
          </w:p>
        </w:tc>
        <w:tc>
          <w:tcPr>
            <w:tcW w:w="1134" w:type="dxa"/>
            <w:noWrap w:val="0"/>
            <w:vAlign w:val="center"/>
          </w:tcPr>
          <w:p>
            <w:pPr>
              <w:spacing w:line="360" w:lineRule="auto"/>
              <w:rPr>
                <w:rFonts w:ascii="宋体" w:hAnsi="宋体"/>
                <w:color w:val="auto"/>
                <w:szCs w:val="21"/>
                <w:highlight w:val="none"/>
              </w:rPr>
            </w:pPr>
            <w:r>
              <w:rPr>
                <w:rFonts w:hint="eastAsia" w:hAnsi="宋体"/>
                <w:color w:val="auto"/>
                <w:szCs w:val="21"/>
                <w:highlight w:val="none"/>
              </w:rPr>
              <w:t>柴油发电机组及环保工程</w:t>
            </w:r>
          </w:p>
        </w:tc>
        <w:tc>
          <w:tcPr>
            <w:tcW w:w="6127" w:type="dxa"/>
            <w:noWrap w:val="0"/>
            <w:vAlign w:val="center"/>
          </w:tcPr>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一、制造商的基本要求：</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w:t>
            </w:r>
            <w:r>
              <w:rPr>
                <w:rFonts w:ascii="宋体" w:hAnsi="宋体"/>
                <w:bCs/>
                <w:color w:val="auto"/>
                <w:szCs w:val="21"/>
                <w:highlight w:val="none"/>
              </w:rPr>
              <w:t>机房内外温度：0℃～40℃。最大相对湿度：98%。气候：海洋性气候，盐雾腐蚀。高度：海拔1000米以下。</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2、满足施工图纸中相关部分的要求。</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3、柜内元器件均应具有CCC认证。</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4、柴油发电机组验收应满足消防要求。</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 xml:space="preserve">二、工程范围： </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w:t>
            </w:r>
            <w:r>
              <w:rPr>
                <w:rFonts w:ascii="宋体" w:hAnsi="宋体"/>
                <w:bCs/>
                <w:color w:val="auto"/>
                <w:szCs w:val="21"/>
                <w:highlight w:val="none"/>
              </w:rPr>
              <w:t>招标范围</w:t>
            </w:r>
            <w:r>
              <w:rPr>
                <w:rFonts w:hint="eastAsia" w:ascii="宋体" w:hAnsi="宋体"/>
                <w:bCs/>
                <w:color w:val="auto"/>
                <w:szCs w:val="21"/>
                <w:highlight w:val="none"/>
              </w:rPr>
              <w:t>：</w:t>
            </w:r>
            <w:r>
              <w:rPr>
                <w:rFonts w:ascii="宋体" w:hAnsi="宋体"/>
                <w:bCs/>
                <w:color w:val="auto"/>
                <w:szCs w:val="21"/>
                <w:highlight w:val="none"/>
              </w:rPr>
              <w:t>柴油发电机组及其配套的启动系统</w:t>
            </w:r>
            <w:r>
              <w:rPr>
                <w:rFonts w:hint="eastAsia" w:ascii="宋体" w:hAnsi="宋体"/>
                <w:bCs/>
                <w:color w:val="auto"/>
                <w:szCs w:val="21"/>
                <w:highlight w:val="none"/>
              </w:rPr>
              <w:t>，包括室内油箱及基础、油路系统、送排风系统及环保工程等相关设施的供货、安装及调试。</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设备用途说明</w:t>
            </w:r>
            <w:r>
              <w:rPr>
                <w:rFonts w:hint="eastAsia" w:ascii="宋体" w:hAnsi="宋体"/>
                <w:bCs/>
                <w:color w:val="auto"/>
                <w:szCs w:val="21"/>
                <w:highlight w:val="none"/>
              </w:rPr>
              <w:t>：作为</w:t>
            </w:r>
            <w:r>
              <w:rPr>
                <w:rFonts w:ascii="宋体" w:hAnsi="宋体"/>
                <w:bCs/>
                <w:color w:val="auto"/>
                <w:szCs w:val="21"/>
                <w:highlight w:val="none"/>
              </w:rPr>
              <w:t>事故应急备用电源</w:t>
            </w:r>
            <w:r>
              <w:rPr>
                <w:rFonts w:hint="eastAsia" w:ascii="宋体" w:hAnsi="宋体"/>
                <w:bCs/>
                <w:color w:val="auto"/>
                <w:szCs w:val="21"/>
                <w:highlight w:val="none"/>
              </w:rPr>
              <w:t>，</w:t>
            </w:r>
            <w:r>
              <w:rPr>
                <w:rFonts w:ascii="宋体" w:hAnsi="宋体"/>
                <w:bCs/>
                <w:color w:val="auto"/>
                <w:szCs w:val="21"/>
                <w:highlight w:val="none"/>
              </w:rPr>
              <w:t>机组要</w:t>
            </w:r>
            <w:r>
              <w:rPr>
                <w:rFonts w:hint="eastAsia" w:ascii="宋体" w:hAnsi="宋体"/>
                <w:bCs/>
                <w:color w:val="auto"/>
                <w:szCs w:val="21"/>
                <w:highlight w:val="none"/>
              </w:rPr>
              <w:t>求</w:t>
            </w:r>
            <w:r>
              <w:rPr>
                <w:rFonts w:ascii="宋体" w:hAnsi="宋体"/>
                <w:bCs/>
                <w:color w:val="auto"/>
                <w:szCs w:val="21"/>
                <w:highlight w:val="none"/>
              </w:rPr>
              <w:t>在紧急状态下能自动启动，并能在</w:t>
            </w:r>
            <w:r>
              <w:rPr>
                <w:rFonts w:hint="eastAsia" w:ascii="宋体" w:hAnsi="宋体"/>
                <w:bCs/>
                <w:color w:val="auto"/>
                <w:szCs w:val="21"/>
                <w:highlight w:val="none"/>
              </w:rPr>
              <w:t>15</w:t>
            </w:r>
            <w:r>
              <w:rPr>
                <w:rFonts w:ascii="宋体" w:hAnsi="宋体"/>
                <w:bCs/>
                <w:color w:val="auto"/>
                <w:szCs w:val="21"/>
                <w:highlight w:val="none"/>
              </w:rPr>
              <w:t>秒内</w:t>
            </w:r>
            <w:r>
              <w:rPr>
                <w:rFonts w:hint="eastAsia" w:ascii="宋体" w:hAnsi="宋体"/>
                <w:bCs/>
                <w:color w:val="auto"/>
                <w:szCs w:val="21"/>
                <w:highlight w:val="none"/>
              </w:rPr>
              <w:t>满负荷运行</w:t>
            </w:r>
            <w:r>
              <w:rPr>
                <w:rFonts w:ascii="宋体" w:hAnsi="宋体"/>
                <w:bCs/>
                <w:color w:val="auto"/>
                <w:szCs w:val="21"/>
                <w:highlight w:val="none"/>
              </w:rPr>
              <w:t>，当市电恢复或紧急状态消失时，机组应能</w:t>
            </w:r>
            <w:r>
              <w:rPr>
                <w:rFonts w:hint="eastAsia" w:ascii="宋体" w:hAnsi="宋体"/>
                <w:bCs/>
                <w:color w:val="auto"/>
                <w:szCs w:val="21"/>
                <w:highlight w:val="none"/>
              </w:rPr>
              <w:t>手</w:t>
            </w:r>
            <w:r>
              <w:rPr>
                <w:rFonts w:ascii="宋体" w:hAnsi="宋体"/>
                <w:bCs/>
                <w:color w:val="auto"/>
                <w:szCs w:val="21"/>
                <w:highlight w:val="none"/>
              </w:rPr>
              <w:t>动停机，</w:t>
            </w:r>
            <w:r>
              <w:rPr>
                <w:rFonts w:hint="eastAsia" w:ascii="宋体" w:hAnsi="宋体"/>
                <w:bCs/>
                <w:color w:val="auto"/>
                <w:szCs w:val="21"/>
                <w:highlight w:val="none"/>
              </w:rPr>
              <w:t>手</w:t>
            </w:r>
            <w:r>
              <w:rPr>
                <w:rFonts w:ascii="宋体" w:hAnsi="宋体"/>
                <w:bCs/>
                <w:color w:val="auto"/>
                <w:szCs w:val="21"/>
                <w:highlight w:val="none"/>
              </w:rPr>
              <w:t>动恢复市电正常供应。</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三、</w:t>
            </w:r>
            <w:r>
              <w:rPr>
                <w:rFonts w:ascii="宋体" w:hAnsi="宋体"/>
                <w:bCs/>
                <w:color w:val="auto"/>
                <w:szCs w:val="21"/>
                <w:highlight w:val="none"/>
              </w:rPr>
              <w:t>技术规格</w:t>
            </w:r>
            <w:r>
              <w:rPr>
                <w:rFonts w:hint="eastAsia" w:ascii="宋体" w:hAnsi="宋体"/>
                <w:bCs/>
                <w:color w:val="auto"/>
                <w:szCs w:val="21"/>
                <w:highlight w:val="none"/>
              </w:rPr>
              <w:t>：</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w:t>
            </w:r>
            <w:r>
              <w:rPr>
                <w:rFonts w:ascii="宋体" w:hAnsi="宋体"/>
                <w:bCs/>
                <w:color w:val="auto"/>
                <w:szCs w:val="21"/>
                <w:highlight w:val="none"/>
              </w:rPr>
              <w:t>柴油发电机组</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1.1、</w:t>
            </w:r>
            <w:r>
              <w:rPr>
                <w:rFonts w:ascii="宋体" w:hAnsi="宋体"/>
                <w:bCs/>
                <w:color w:val="auto"/>
                <w:szCs w:val="21"/>
                <w:highlight w:val="none"/>
              </w:rPr>
              <w:t>结构形式</w:t>
            </w:r>
            <w:r>
              <w:rPr>
                <w:rFonts w:hint="eastAsia" w:ascii="宋体" w:hAnsi="宋体"/>
                <w:bCs/>
                <w:color w:val="auto"/>
                <w:szCs w:val="21"/>
                <w:highlight w:val="none"/>
              </w:rPr>
              <w:t>：</w:t>
            </w:r>
            <w:r>
              <w:rPr>
                <w:rFonts w:ascii="宋体" w:hAnsi="宋体"/>
                <w:bCs/>
                <w:color w:val="auto"/>
                <w:szCs w:val="21"/>
                <w:highlight w:val="none"/>
              </w:rPr>
              <w:t>高强度钢结构共用底盘。</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1.2、</w:t>
            </w:r>
            <w:r>
              <w:rPr>
                <w:rFonts w:ascii="宋体" w:hAnsi="宋体"/>
                <w:bCs/>
                <w:color w:val="auto"/>
                <w:szCs w:val="21"/>
                <w:highlight w:val="none"/>
              </w:rPr>
              <w:t>连续功率</w:t>
            </w:r>
            <w:r>
              <w:rPr>
                <w:rFonts w:hint="eastAsia" w:ascii="宋体" w:hAnsi="宋体"/>
                <w:bCs/>
                <w:color w:val="auto"/>
                <w:szCs w:val="21"/>
                <w:highlight w:val="none"/>
              </w:rPr>
              <w:t>：见设计图纸。</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1.3、</w:t>
            </w:r>
            <w:r>
              <w:rPr>
                <w:rFonts w:ascii="宋体" w:hAnsi="宋体"/>
                <w:bCs/>
                <w:color w:val="auto"/>
                <w:szCs w:val="21"/>
                <w:highlight w:val="none"/>
              </w:rPr>
              <w:t>额定电压</w:t>
            </w:r>
            <w:r>
              <w:rPr>
                <w:rFonts w:hint="eastAsia" w:ascii="宋体" w:hAnsi="宋体"/>
                <w:bCs/>
                <w:color w:val="auto"/>
                <w:szCs w:val="21"/>
                <w:highlight w:val="none"/>
              </w:rPr>
              <w:t>：</w:t>
            </w:r>
            <w:r>
              <w:rPr>
                <w:rFonts w:ascii="宋体" w:hAnsi="宋体"/>
                <w:bCs/>
                <w:color w:val="auto"/>
                <w:szCs w:val="21"/>
                <w:highlight w:val="none"/>
              </w:rPr>
              <w:t>400/230V　</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1.4、</w:t>
            </w:r>
            <w:r>
              <w:rPr>
                <w:rFonts w:ascii="宋体" w:hAnsi="宋体"/>
                <w:bCs/>
                <w:color w:val="auto"/>
                <w:szCs w:val="21"/>
                <w:highlight w:val="none"/>
              </w:rPr>
              <w:t>额定频率</w:t>
            </w:r>
            <w:r>
              <w:rPr>
                <w:rFonts w:hint="eastAsia" w:ascii="宋体" w:hAnsi="宋体"/>
                <w:bCs/>
                <w:color w:val="auto"/>
                <w:szCs w:val="21"/>
                <w:highlight w:val="none"/>
              </w:rPr>
              <w:t>：</w:t>
            </w:r>
            <w:r>
              <w:rPr>
                <w:rFonts w:ascii="宋体" w:hAnsi="宋体"/>
                <w:bCs/>
                <w:color w:val="auto"/>
                <w:szCs w:val="21"/>
                <w:highlight w:val="none"/>
              </w:rPr>
              <w:t>50Hz　</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1.5、</w:t>
            </w:r>
            <w:r>
              <w:rPr>
                <w:rFonts w:ascii="宋体" w:hAnsi="宋体"/>
                <w:bCs/>
                <w:color w:val="auto"/>
                <w:szCs w:val="21"/>
                <w:highlight w:val="none"/>
              </w:rPr>
              <w:t>功率因数</w:t>
            </w:r>
            <w:r>
              <w:rPr>
                <w:rFonts w:hint="eastAsia" w:ascii="宋体" w:hAnsi="宋体"/>
                <w:bCs/>
                <w:color w:val="auto"/>
                <w:szCs w:val="21"/>
                <w:highlight w:val="none"/>
              </w:rPr>
              <w:t>：</w:t>
            </w:r>
            <w:r>
              <w:rPr>
                <w:rFonts w:ascii="宋体" w:hAnsi="宋体"/>
                <w:bCs/>
                <w:color w:val="auto"/>
                <w:szCs w:val="21"/>
                <w:highlight w:val="none"/>
              </w:rPr>
              <w:t>0.8（滞后）</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1.6、</w:t>
            </w:r>
            <w:r>
              <w:rPr>
                <w:rFonts w:ascii="宋体" w:hAnsi="宋体"/>
                <w:bCs/>
                <w:color w:val="auto"/>
                <w:szCs w:val="21"/>
                <w:highlight w:val="none"/>
              </w:rPr>
              <w:t>供电方式</w:t>
            </w:r>
            <w:r>
              <w:rPr>
                <w:rFonts w:hint="eastAsia" w:ascii="宋体" w:hAnsi="宋体"/>
                <w:bCs/>
                <w:color w:val="auto"/>
                <w:szCs w:val="21"/>
                <w:highlight w:val="none"/>
              </w:rPr>
              <w:t>：</w:t>
            </w:r>
            <w:r>
              <w:rPr>
                <w:rFonts w:ascii="宋体" w:hAnsi="宋体"/>
                <w:bCs/>
                <w:color w:val="auto"/>
                <w:szCs w:val="21"/>
                <w:highlight w:val="none"/>
              </w:rPr>
              <w:t>交流三相四线制</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1.7、</w:t>
            </w:r>
            <w:r>
              <w:rPr>
                <w:rFonts w:ascii="宋体" w:hAnsi="宋体"/>
                <w:bCs/>
                <w:color w:val="auto"/>
                <w:szCs w:val="21"/>
                <w:highlight w:val="none"/>
              </w:rPr>
              <w:t>噪声</w:t>
            </w:r>
            <w:r>
              <w:rPr>
                <w:rFonts w:hint="eastAsia" w:ascii="宋体" w:hAnsi="宋体"/>
                <w:bCs/>
                <w:color w:val="auto"/>
                <w:szCs w:val="21"/>
                <w:highlight w:val="none"/>
              </w:rPr>
              <w:t>：</w:t>
            </w:r>
            <w:r>
              <w:rPr>
                <w:rFonts w:ascii="宋体" w:hAnsi="宋体"/>
                <w:bCs/>
                <w:color w:val="auto"/>
                <w:szCs w:val="21"/>
                <w:highlight w:val="none"/>
              </w:rPr>
              <w:t>满足国家标准要求</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1.8、</w:t>
            </w:r>
            <w:r>
              <w:rPr>
                <w:rFonts w:ascii="宋体" w:hAnsi="宋体"/>
                <w:bCs/>
                <w:color w:val="auto"/>
                <w:szCs w:val="21"/>
                <w:highlight w:val="none"/>
              </w:rPr>
              <w:t>日用油箱有效容量</w:t>
            </w:r>
            <w:r>
              <w:rPr>
                <w:rFonts w:hint="eastAsia" w:ascii="宋体" w:hAnsi="宋体"/>
                <w:bCs/>
                <w:color w:val="auto"/>
                <w:szCs w:val="21"/>
                <w:highlight w:val="none"/>
              </w:rPr>
              <w:t>：</w:t>
            </w:r>
            <w:r>
              <w:rPr>
                <w:rFonts w:ascii="宋体" w:hAnsi="宋体"/>
                <w:bCs/>
                <w:color w:val="auto"/>
                <w:szCs w:val="21"/>
                <w:highlight w:val="none"/>
              </w:rPr>
              <w:t>1m</w:t>
            </w:r>
            <w:r>
              <w:rPr>
                <w:rFonts w:hint="eastAsia" w:ascii="宋体" w:hAnsi="宋体"/>
                <w:bCs/>
                <w:color w:val="auto"/>
                <w:szCs w:val="21"/>
                <w:highlight w:val="none"/>
              </w:rPr>
              <w:t>3室内油箱</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1.9、</w:t>
            </w:r>
            <w:r>
              <w:rPr>
                <w:rFonts w:ascii="宋体" w:hAnsi="宋体"/>
                <w:bCs/>
                <w:color w:val="auto"/>
                <w:szCs w:val="21"/>
                <w:highlight w:val="none"/>
              </w:rPr>
              <w:t>充放电设备</w:t>
            </w:r>
            <w:r>
              <w:rPr>
                <w:rFonts w:hint="eastAsia" w:ascii="宋体" w:hAnsi="宋体"/>
                <w:bCs/>
                <w:color w:val="auto"/>
                <w:szCs w:val="21"/>
                <w:highlight w:val="none"/>
              </w:rPr>
              <w:t>：</w:t>
            </w:r>
            <w:r>
              <w:rPr>
                <w:rFonts w:ascii="宋体" w:hAnsi="宋体"/>
                <w:bCs/>
                <w:color w:val="auto"/>
                <w:szCs w:val="21"/>
                <w:highlight w:val="none"/>
              </w:rPr>
              <w:t>有</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1.10、</w:t>
            </w:r>
            <w:r>
              <w:rPr>
                <w:rFonts w:ascii="宋体" w:hAnsi="宋体"/>
                <w:bCs/>
                <w:color w:val="auto"/>
                <w:szCs w:val="21"/>
                <w:highlight w:val="none"/>
              </w:rPr>
              <w:t>电压调整率</w:t>
            </w:r>
            <w:r>
              <w:rPr>
                <w:rFonts w:hint="eastAsia" w:ascii="宋体" w:hAnsi="宋体"/>
                <w:bCs/>
                <w:color w:val="auto"/>
                <w:szCs w:val="21"/>
                <w:highlight w:val="none"/>
              </w:rPr>
              <w:t>：</w:t>
            </w:r>
            <w:r>
              <w:rPr>
                <w:rFonts w:ascii="宋体" w:hAnsi="宋体"/>
                <w:bCs/>
                <w:color w:val="auto"/>
                <w:szCs w:val="21"/>
                <w:highlight w:val="none"/>
              </w:rPr>
              <w:t>稳态：≤±1%；动态：+20%～-15%</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1.11、</w:t>
            </w:r>
            <w:r>
              <w:rPr>
                <w:rFonts w:ascii="宋体" w:hAnsi="宋体"/>
                <w:bCs/>
                <w:color w:val="auto"/>
                <w:szCs w:val="21"/>
                <w:highlight w:val="none"/>
              </w:rPr>
              <w:t>频率调整率</w:t>
            </w:r>
            <w:r>
              <w:rPr>
                <w:rFonts w:hint="eastAsia" w:ascii="宋体" w:hAnsi="宋体"/>
                <w:bCs/>
                <w:color w:val="auto"/>
                <w:szCs w:val="21"/>
                <w:highlight w:val="none"/>
              </w:rPr>
              <w:t>：</w:t>
            </w:r>
            <w:r>
              <w:rPr>
                <w:rFonts w:ascii="宋体" w:hAnsi="宋体"/>
                <w:bCs/>
                <w:color w:val="auto"/>
                <w:szCs w:val="21"/>
                <w:highlight w:val="none"/>
              </w:rPr>
              <w:t>稳态：≤1%；动态：+10%～-7%</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1.12、</w:t>
            </w:r>
            <w:r>
              <w:rPr>
                <w:rFonts w:ascii="宋体" w:hAnsi="宋体"/>
                <w:bCs/>
                <w:color w:val="auto"/>
                <w:szCs w:val="21"/>
                <w:highlight w:val="none"/>
              </w:rPr>
              <w:t>电压波动率</w:t>
            </w:r>
            <w:r>
              <w:rPr>
                <w:rFonts w:hint="eastAsia" w:ascii="宋体" w:hAnsi="宋体"/>
                <w:bCs/>
                <w:color w:val="auto"/>
                <w:szCs w:val="21"/>
                <w:highlight w:val="none"/>
              </w:rPr>
              <w:t>：</w:t>
            </w:r>
            <w:r>
              <w:rPr>
                <w:rFonts w:ascii="宋体" w:hAnsi="宋体"/>
                <w:bCs/>
                <w:color w:val="auto"/>
                <w:szCs w:val="21"/>
                <w:highlight w:val="none"/>
              </w:rPr>
              <w:t>≤0.5%</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1.13、</w:t>
            </w:r>
            <w:r>
              <w:rPr>
                <w:rFonts w:ascii="宋体" w:hAnsi="宋体"/>
                <w:bCs/>
                <w:color w:val="auto"/>
                <w:szCs w:val="21"/>
                <w:highlight w:val="none"/>
              </w:rPr>
              <w:t>频率波动率</w:t>
            </w:r>
            <w:r>
              <w:rPr>
                <w:rFonts w:hint="eastAsia" w:ascii="宋体" w:hAnsi="宋体"/>
                <w:bCs/>
                <w:color w:val="auto"/>
                <w:szCs w:val="21"/>
                <w:highlight w:val="none"/>
              </w:rPr>
              <w:t>：</w:t>
            </w:r>
            <w:r>
              <w:rPr>
                <w:rFonts w:ascii="宋体" w:hAnsi="宋体"/>
                <w:bCs/>
                <w:color w:val="auto"/>
                <w:szCs w:val="21"/>
                <w:highlight w:val="none"/>
              </w:rPr>
              <w:t>≤0.5%</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1.14、</w:t>
            </w:r>
            <w:r>
              <w:rPr>
                <w:rFonts w:ascii="宋体" w:hAnsi="宋体"/>
                <w:bCs/>
                <w:color w:val="auto"/>
                <w:szCs w:val="21"/>
                <w:highlight w:val="none"/>
              </w:rPr>
              <w:t>负荷突变电压稳定时间</w:t>
            </w:r>
            <w:r>
              <w:rPr>
                <w:rFonts w:hint="eastAsia" w:ascii="宋体" w:hAnsi="宋体"/>
                <w:bCs/>
                <w:color w:val="auto"/>
                <w:szCs w:val="21"/>
                <w:highlight w:val="none"/>
              </w:rPr>
              <w:t>：</w:t>
            </w:r>
            <w:r>
              <w:rPr>
                <w:rFonts w:ascii="宋体" w:hAnsi="宋体"/>
                <w:bCs/>
                <w:color w:val="auto"/>
                <w:szCs w:val="21"/>
                <w:highlight w:val="none"/>
              </w:rPr>
              <w:t>≤1S</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1.15、</w:t>
            </w:r>
            <w:r>
              <w:rPr>
                <w:rFonts w:ascii="宋体" w:hAnsi="宋体"/>
                <w:bCs/>
                <w:color w:val="auto"/>
                <w:szCs w:val="21"/>
                <w:highlight w:val="none"/>
              </w:rPr>
              <w:t>负荷突变频率稳定时间</w:t>
            </w:r>
            <w:r>
              <w:rPr>
                <w:rFonts w:hint="eastAsia" w:ascii="宋体" w:hAnsi="宋体"/>
                <w:bCs/>
                <w:color w:val="auto"/>
                <w:szCs w:val="21"/>
                <w:highlight w:val="none"/>
              </w:rPr>
              <w:t>：</w:t>
            </w:r>
            <w:r>
              <w:rPr>
                <w:rFonts w:ascii="宋体" w:hAnsi="宋体"/>
                <w:bCs/>
                <w:color w:val="auto"/>
                <w:szCs w:val="21"/>
                <w:highlight w:val="none"/>
              </w:rPr>
              <w:t>≤3S</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1.16、</w:t>
            </w:r>
            <w:r>
              <w:rPr>
                <w:rFonts w:ascii="宋体" w:hAnsi="宋体"/>
                <w:bCs/>
                <w:color w:val="auto"/>
                <w:szCs w:val="21"/>
                <w:highlight w:val="none"/>
              </w:rPr>
              <w:t>波形失真率</w:t>
            </w:r>
            <w:r>
              <w:rPr>
                <w:rFonts w:hint="eastAsia" w:ascii="宋体" w:hAnsi="宋体"/>
                <w:bCs/>
                <w:color w:val="auto"/>
                <w:szCs w:val="21"/>
                <w:highlight w:val="none"/>
              </w:rPr>
              <w:t>：</w:t>
            </w:r>
            <w:r>
              <w:rPr>
                <w:rFonts w:ascii="宋体" w:hAnsi="宋体"/>
                <w:bCs/>
                <w:color w:val="auto"/>
                <w:szCs w:val="21"/>
                <w:highlight w:val="none"/>
              </w:rPr>
              <w:t>≤5%</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1.17、</w:t>
            </w:r>
            <w:r>
              <w:rPr>
                <w:rFonts w:ascii="宋体" w:hAnsi="宋体"/>
                <w:bCs/>
                <w:color w:val="auto"/>
                <w:szCs w:val="21"/>
                <w:highlight w:val="none"/>
              </w:rPr>
              <w:t>启动功能</w:t>
            </w:r>
            <w:r>
              <w:rPr>
                <w:rFonts w:hint="eastAsia" w:ascii="宋体" w:hAnsi="宋体"/>
                <w:bCs/>
                <w:color w:val="auto"/>
                <w:szCs w:val="21"/>
                <w:highlight w:val="none"/>
              </w:rPr>
              <w:t>：</w:t>
            </w:r>
            <w:r>
              <w:rPr>
                <w:rFonts w:ascii="宋体" w:hAnsi="宋体"/>
                <w:bCs/>
                <w:color w:val="auto"/>
                <w:szCs w:val="21"/>
                <w:highlight w:val="none"/>
              </w:rPr>
              <w:t>机组具有人工、自动（含失压和远程）两种启动功能</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1.18、</w:t>
            </w:r>
            <w:r>
              <w:rPr>
                <w:rFonts w:ascii="宋体" w:hAnsi="宋体"/>
                <w:bCs/>
                <w:color w:val="auto"/>
                <w:szCs w:val="21"/>
                <w:highlight w:val="none"/>
              </w:rPr>
              <w:t>抑制无线电干扰</w:t>
            </w:r>
            <w:r>
              <w:rPr>
                <w:rFonts w:hint="eastAsia" w:ascii="宋体" w:hAnsi="宋体"/>
                <w:bCs/>
                <w:color w:val="auto"/>
                <w:szCs w:val="21"/>
                <w:highlight w:val="none"/>
              </w:rPr>
              <w:t>：</w:t>
            </w:r>
            <w:r>
              <w:rPr>
                <w:rFonts w:ascii="宋体" w:hAnsi="宋体"/>
                <w:bCs/>
                <w:color w:val="auto"/>
                <w:szCs w:val="21"/>
                <w:highlight w:val="none"/>
              </w:rPr>
              <w:t>符合VDE0875-N级及GB2820的规定。</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1.19、</w:t>
            </w:r>
            <w:r>
              <w:rPr>
                <w:rFonts w:ascii="宋体" w:hAnsi="宋体"/>
                <w:bCs/>
                <w:color w:val="auto"/>
                <w:szCs w:val="21"/>
                <w:highlight w:val="none"/>
              </w:rPr>
              <w:t>其他</w:t>
            </w:r>
            <w:r>
              <w:rPr>
                <w:rFonts w:hint="eastAsia" w:ascii="宋体" w:hAnsi="宋体"/>
                <w:bCs/>
                <w:color w:val="auto"/>
                <w:szCs w:val="21"/>
                <w:highlight w:val="none"/>
              </w:rPr>
              <w:t>：</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1.19.1、</w:t>
            </w:r>
            <w:r>
              <w:rPr>
                <w:rFonts w:ascii="宋体" w:hAnsi="宋体"/>
                <w:bCs/>
                <w:color w:val="auto"/>
                <w:szCs w:val="21"/>
                <w:highlight w:val="none"/>
              </w:rPr>
              <w:t>机组启动成功率应达99%，自启动时能具有一次启动失败再次启动的功能；三次启动未成功时自动告警停止启动功能</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1.19.2、</w:t>
            </w:r>
            <w:r>
              <w:rPr>
                <w:rFonts w:ascii="宋体" w:hAnsi="宋体"/>
                <w:bCs/>
                <w:color w:val="auto"/>
                <w:szCs w:val="21"/>
                <w:highlight w:val="none"/>
              </w:rPr>
              <w:t>机组应具有超速、低速、低水温、高油温、低水位、过电压、低电压、高频率、过电流、过励磁信号感应丢失、低频率、失磁等功能预警、告警、紧急停机系统（包括声光信号）</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柴油发动机</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2.1、</w:t>
            </w:r>
            <w:r>
              <w:rPr>
                <w:rFonts w:ascii="宋体" w:hAnsi="宋体"/>
                <w:bCs/>
                <w:color w:val="auto"/>
                <w:szCs w:val="21"/>
                <w:highlight w:val="none"/>
              </w:rPr>
              <w:t>型式</w:t>
            </w:r>
            <w:r>
              <w:rPr>
                <w:rFonts w:hint="eastAsia" w:ascii="宋体" w:hAnsi="宋体"/>
                <w:bCs/>
                <w:color w:val="auto"/>
                <w:szCs w:val="21"/>
                <w:highlight w:val="none"/>
              </w:rPr>
              <w:t>：</w:t>
            </w:r>
            <w:r>
              <w:rPr>
                <w:rFonts w:ascii="宋体" w:hAnsi="宋体"/>
                <w:bCs/>
                <w:color w:val="auto"/>
                <w:szCs w:val="21"/>
                <w:highlight w:val="none"/>
              </w:rPr>
              <w:t>四冲程、V型、中冷</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2.2、</w:t>
            </w:r>
            <w:r>
              <w:rPr>
                <w:rFonts w:ascii="宋体" w:hAnsi="宋体"/>
                <w:bCs/>
                <w:color w:val="auto"/>
                <w:szCs w:val="21"/>
                <w:highlight w:val="none"/>
              </w:rPr>
              <w:t>额定转速</w:t>
            </w:r>
            <w:r>
              <w:rPr>
                <w:rFonts w:hint="eastAsia" w:ascii="宋体" w:hAnsi="宋体"/>
                <w:bCs/>
                <w:color w:val="auto"/>
                <w:szCs w:val="21"/>
                <w:highlight w:val="none"/>
              </w:rPr>
              <w:t>：</w:t>
            </w:r>
            <w:r>
              <w:rPr>
                <w:rFonts w:ascii="宋体" w:hAnsi="宋体"/>
                <w:bCs/>
                <w:color w:val="auto"/>
                <w:szCs w:val="21"/>
                <w:highlight w:val="none"/>
              </w:rPr>
              <w:t>1500rpm</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2.3、</w:t>
            </w:r>
            <w:r>
              <w:rPr>
                <w:rFonts w:ascii="宋体" w:hAnsi="宋体"/>
                <w:bCs/>
                <w:color w:val="auto"/>
                <w:szCs w:val="21"/>
                <w:highlight w:val="none"/>
              </w:rPr>
              <w:t>调速方式</w:t>
            </w:r>
            <w:r>
              <w:rPr>
                <w:rFonts w:hint="eastAsia" w:ascii="宋体" w:hAnsi="宋体"/>
                <w:bCs/>
                <w:color w:val="auto"/>
                <w:szCs w:val="21"/>
                <w:highlight w:val="none"/>
              </w:rPr>
              <w:t>：</w:t>
            </w:r>
            <w:r>
              <w:rPr>
                <w:rFonts w:ascii="宋体" w:hAnsi="宋体"/>
                <w:bCs/>
                <w:color w:val="auto"/>
                <w:szCs w:val="21"/>
                <w:highlight w:val="none"/>
              </w:rPr>
              <w:t>电子调速r/min</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2.4、</w:t>
            </w:r>
            <w:r>
              <w:rPr>
                <w:rFonts w:ascii="宋体" w:hAnsi="宋体"/>
                <w:bCs/>
                <w:color w:val="auto"/>
                <w:szCs w:val="21"/>
                <w:highlight w:val="none"/>
              </w:rPr>
              <w:t>启动方式</w:t>
            </w:r>
            <w:r>
              <w:rPr>
                <w:rFonts w:hint="eastAsia" w:ascii="宋体" w:hAnsi="宋体"/>
                <w:bCs/>
                <w:color w:val="auto"/>
                <w:szCs w:val="21"/>
                <w:highlight w:val="none"/>
              </w:rPr>
              <w:t>：</w:t>
            </w:r>
            <w:r>
              <w:rPr>
                <w:rFonts w:ascii="宋体" w:hAnsi="宋体"/>
                <w:bCs/>
                <w:color w:val="auto"/>
                <w:szCs w:val="21"/>
                <w:highlight w:val="none"/>
              </w:rPr>
              <w:t>DC24V电动</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发电机</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3.1、</w:t>
            </w:r>
            <w:r>
              <w:rPr>
                <w:rFonts w:ascii="宋体" w:hAnsi="宋体"/>
                <w:bCs/>
                <w:color w:val="auto"/>
                <w:szCs w:val="21"/>
                <w:highlight w:val="none"/>
              </w:rPr>
              <w:t>励磁方式</w:t>
            </w:r>
            <w:r>
              <w:rPr>
                <w:rFonts w:hint="eastAsia" w:ascii="宋体" w:hAnsi="宋体"/>
                <w:bCs/>
                <w:color w:val="auto"/>
                <w:szCs w:val="21"/>
                <w:highlight w:val="none"/>
              </w:rPr>
              <w:t>：</w:t>
            </w:r>
            <w:r>
              <w:rPr>
                <w:rFonts w:ascii="宋体" w:hAnsi="宋体"/>
                <w:bCs/>
                <w:color w:val="auto"/>
                <w:szCs w:val="21"/>
                <w:highlight w:val="none"/>
              </w:rPr>
              <w:t>无刷自励磁或永磁</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3.2、</w:t>
            </w:r>
            <w:r>
              <w:rPr>
                <w:rFonts w:ascii="宋体" w:hAnsi="宋体"/>
                <w:bCs/>
                <w:color w:val="auto"/>
                <w:szCs w:val="21"/>
                <w:highlight w:val="none"/>
              </w:rPr>
              <w:t>绝缘等级</w:t>
            </w:r>
            <w:r>
              <w:rPr>
                <w:rFonts w:hint="eastAsia" w:ascii="宋体" w:hAnsi="宋体"/>
                <w:bCs/>
                <w:color w:val="auto"/>
                <w:szCs w:val="21"/>
                <w:highlight w:val="none"/>
              </w:rPr>
              <w:t>：</w:t>
            </w:r>
            <w:r>
              <w:rPr>
                <w:rFonts w:ascii="宋体" w:hAnsi="宋体"/>
                <w:bCs/>
                <w:color w:val="auto"/>
                <w:szCs w:val="21"/>
                <w:highlight w:val="none"/>
              </w:rPr>
              <w:t>H级</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3.3、</w:t>
            </w:r>
            <w:r>
              <w:rPr>
                <w:rFonts w:ascii="宋体" w:hAnsi="宋体"/>
                <w:bCs/>
                <w:color w:val="auto"/>
                <w:szCs w:val="21"/>
                <w:highlight w:val="none"/>
              </w:rPr>
              <w:t>防护等级</w:t>
            </w:r>
            <w:r>
              <w:rPr>
                <w:rFonts w:hint="eastAsia" w:ascii="宋体" w:hAnsi="宋体"/>
                <w:bCs/>
                <w:color w:val="auto"/>
                <w:szCs w:val="21"/>
                <w:highlight w:val="none"/>
              </w:rPr>
              <w:t>：</w:t>
            </w:r>
            <w:r>
              <w:rPr>
                <w:rFonts w:ascii="宋体" w:hAnsi="宋体"/>
                <w:bCs/>
                <w:color w:val="auto"/>
                <w:szCs w:val="21"/>
                <w:highlight w:val="none"/>
              </w:rPr>
              <w:t>IP22以上</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3.4、</w:t>
            </w:r>
            <w:r>
              <w:rPr>
                <w:rFonts w:ascii="宋体" w:hAnsi="宋体"/>
                <w:bCs/>
                <w:color w:val="auto"/>
                <w:szCs w:val="21"/>
                <w:highlight w:val="none"/>
              </w:rPr>
              <w:t>电压调节方式</w:t>
            </w:r>
            <w:r>
              <w:rPr>
                <w:rFonts w:hint="eastAsia" w:ascii="宋体" w:hAnsi="宋体"/>
                <w:bCs/>
                <w:color w:val="auto"/>
                <w:szCs w:val="21"/>
                <w:highlight w:val="none"/>
              </w:rPr>
              <w:t>：</w:t>
            </w:r>
            <w:r>
              <w:rPr>
                <w:rFonts w:ascii="宋体" w:hAnsi="宋体"/>
                <w:bCs/>
                <w:color w:val="auto"/>
                <w:szCs w:val="21"/>
                <w:highlight w:val="none"/>
              </w:rPr>
              <w:t>DVR数字型电压调节器</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4、</w:t>
            </w:r>
            <w:r>
              <w:rPr>
                <w:rFonts w:ascii="宋体" w:hAnsi="宋体"/>
                <w:bCs/>
                <w:color w:val="auto"/>
                <w:szCs w:val="21"/>
                <w:highlight w:val="none"/>
              </w:rPr>
              <w:t>控制箱</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4.1、</w:t>
            </w:r>
            <w:r>
              <w:rPr>
                <w:rFonts w:ascii="宋体" w:hAnsi="宋体"/>
                <w:bCs/>
                <w:color w:val="auto"/>
                <w:szCs w:val="21"/>
                <w:highlight w:val="none"/>
              </w:rPr>
              <w:t>具有自动启动和停机功能</w:t>
            </w:r>
            <w:r>
              <w:rPr>
                <w:rFonts w:hint="eastAsia" w:ascii="宋体" w:hAnsi="宋体"/>
                <w:bCs/>
                <w:color w:val="auto"/>
                <w:szCs w:val="21"/>
                <w:highlight w:val="none"/>
              </w:rPr>
              <w:t>；</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4.2、</w:t>
            </w:r>
            <w:r>
              <w:rPr>
                <w:rFonts w:ascii="宋体" w:hAnsi="宋体"/>
                <w:bCs/>
                <w:color w:val="auto"/>
                <w:szCs w:val="21"/>
                <w:highlight w:val="none"/>
              </w:rPr>
              <w:t>数字显示器</w:t>
            </w:r>
            <w:r>
              <w:rPr>
                <w:rFonts w:hint="eastAsia" w:ascii="宋体" w:hAnsi="宋体"/>
                <w:bCs/>
                <w:color w:val="auto"/>
                <w:szCs w:val="21"/>
                <w:highlight w:val="none"/>
              </w:rPr>
              <w:t>：</w:t>
            </w:r>
            <w:r>
              <w:rPr>
                <w:rFonts w:ascii="宋体" w:hAnsi="宋体"/>
                <w:bCs/>
                <w:color w:val="auto"/>
                <w:szCs w:val="21"/>
                <w:highlight w:val="none"/>
              </w:rPr>
              <w:t>具有数字显示器，可显示机组运行状态及各种参数</w:t>
            </w:r>
            <w:r>
              <w:rPr>
                <w:rFonts w:hint="eastAsia" w:ascii="宋体" w:hAnsi="宋体"/>
                <w:bCs/>
                <w:color w:val="auto"/>
                <w:szCs w:val="21"/>
                <w:highlight w:val="none"/>
              </w:rPr>
              <w:t>；</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4.3、</w:t>
            </w:r>
            <w:r>
              <w:rPr>
                <w:rFonts w:ascii="宋体" w:hAnsi="宋体"/>
                <w:bCs/>
                <w:color w:val="auto"/>
                <w:szCs w:val="21"/>
                <w:highlight w:val="none"/>
              </w:rPr>
              <w:t>充电器</w:t>
            </w:r>
            <w:r>
              <w:rPr>
                <w:rFonts w:hint="eastAsia" w:ascii="宋体" w:hAnsi="宋体"/>
                <w:bCs/>
                <w:color w:val="auto"/>
                <w:szCs w:val="21"/>
                <w:highlight w:val="none"/>
              </w:rPr>
              <w:t>：</w:t>
            </w:r>
            <w:r>
              <w:rPr>
                <w:rFonts w:ascii="宋体" w:hAnsi="宋体"/>
                <w:bCs/>
                <w:color w:val="auto"/>
                <w:szCs w:val="21"/>
                <w:highlight w:val="none"/>
              </w:rPr>
              <w:t>具有自动市电充电器</w:t>
            </w:r>
            <w:r>
              <w:rPr>
                <w:rFonts w:hint="eastAsia" w:ascii="宋体" w:hAnsi="宋体"/>
                <w:bCs/>
                <w:color w:val="auto"/>
                <w:szCs w:val="21"/>
                <w:highlight w:val="none"/>
              </w:rPr>
              <w:t>；</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4.4、</w:t>
            </w:r>
            <w:r>
              <w:rPr>
                <w:rFonts w:ascii="宋体" w:hAnsi="宋体"/>
                <w:bCs/>
                <w:color w:val="auto"/>
                <w:szCs w:val="21"/>
                <w:highlight w:val="none"/>
              </w:rPr>
              <w:t>控制箱应显示的系统</w:t>
            </w:r>
            <w:r>
              <w:rPr>
                <w:rFonts w:hint="eastAsia" w:ascii="宋体" w:hAnsi="宋体"/>
                <w:bCs/>
                <w:color w:val="auto"/>
                <w:szCs w:val="21"/>
                <w:highlight w:val="none"/>
              </w:rPr>
              <w:t>：</w:t>
            </w:r>
            <w:r>
              <w:rPr>
                <w:rFonts w:ascii="宋体" w:hAnsi="宋体"/>
                <w:bCs/>
                <w:color w:val="auto"/>
                <w:szCs w:val="21"/>
                <w:highlight w:val="none"/>
              </w:rPr>
              <w:t>三相电压、电流、频率、有功功率、无功功率、故障码、机油温度、油压、蓄电池工况等</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4.5、含输出开关（品牌参考低压一次元器件品牌）</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5、</w:t>
            </w:r>
            <w:r>
              <w:rPr>
                <w:rFonts w:ascii="宋体" w:hAnsi="宋体"/>
                <w:bCs/>
                <w:color w:val="auto"/>
                <w:szCs w:val="21"/>
                <w:highlight w:val="none"/>
              </w:rPr>
              <w:t>辅助设备</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5.1、</w:t>
            </w:r>
            <w:r>
              <w:rPr>
                <w:rFonts w:ascii="宋体" w:hAnsi="宋体"/>
                <w:bCs/>
                <w:color w:val="auto"/>
                <w:szCs w:val="21"/>
                <w:highlight w:val="none"/>
              </w:rPr>
              <w:t>①优质免维护铅酸蓄电池，容量满足连续启动6次的要求，电池连接线。②消音器③排气弯管④波纹管⑤减振胶垫⑥</w:t>
            </w:r>
            <w:r>
              <w:rPr>
                <w:rFonts w:hint="eastAsia" w:ascii="宋体" w:hAnsi="宋体"/>
                <w:bCs/>
                <w:color w:val="auto"/>
                <w:szCs w:val="21"/>
                <w:highlight w:val="none"/>
              </w:rPr>
              <w:t>单个</w:t>
            </w:r>
            <w:r>
              <w:rPr>
                <w:rFonts w:ascii="宋体" w:hAnsi="宋体"/>
                <w:bCs/>
                <w:color w:val="auto"/>
                <w:szCs w:val="21"/>
                <w:highlight w:val="none"/>
              </w:rPr>
              <w:t>日用油箱有效容量分别为1 m3⑦油水分离器⑧</w:t>
            </w:r>
            <w:r>
              <w:rPr>
                <w:rFonts w:hint="eastAsia" w:ascii="宋体" w:hAnsi="宋体"/>
                <w:bCs/>
                <w:color w:val="auto"/>
                <w:szCs w:val="21"/>
                <w:highlight w:val="none"/>
              </w:rPr>
              <w:t>足够的</w:t>
            </w:r>
            <w:r>
              <w:rPr>
                <w:rFonts w:ascii="宋体" w:hAnsi="宋体"/>
                <w:bCs/>
                <w:color w:val="auto"/>
                <w:szCs w:val="21"/>
                <w:highlight w:val="none"/>
              </w:rPr>
              <w:t>调试</w:t>
            </w:r>
            <w:r>
              <w:rPr>
                <w:rFonts w:hint="eastAsia" w:ascii="宋体" w:hAnsi="宋体"/>
                <w:bCs/>
                <w:color w:val="auto"/>
                <w:szCs w:val="21"/>
                <w:highlight w:val="none"/>
              </w:rPr>
              <w:t>及消防等相关验收</w:t>
            </w:r>
            <w:r>
              <w:rPr>
                <w:rFonts w:ascii="宋体" w:hAnsi="宋体"/>
                <w:bCs/>
                <w:color w:val="auto"/>
                <w:szCs w:val="21"/>
                <w:highlight w:val="none"/>
              </w:rPr>
              <w:t>用柴油</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5.2、</w:t>
            </w:r>
            <w:r>
              <w:rPr>
                <w:rFonts w:ascii="宋体" w:hAnsi="宋体"/>
                <w:bCs/>
                <w:color w:val="auto"/>
                <w:szCs w:val="21"/>
                <w:highlight w:val="none"/>
              </w:rPr>
              <w:t>发电机至配电柜的连接电缆及启动信号线，线缆规格及长度参照设计图，由投标人自行考虑，现场施工以实际工程量为准，必须满足设计及施工要求，一次性包干</w:t>
            </w:r>
            <w:r>
              <w:rPr>
                <w:rFonts w:hint="eastAsia" w:ascii="宋体" w:hAnsi="宋体"/>
                <w:bCs/>
                <w:color w:val="auto"/>
                <w:szCs w:val="21"/>
                <w:highlight w:val="none"/>
              </w:rPr>
              <w:t>。</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6、</w:t>
            </w:r>
            <w:r>
              <w:rPr>
                <w:rFonts w:ascii="宋体" w:hAnsi="宋体"/>
                <w:bCs/>
                <w:color w:val="auto"/>
                <w:szCs w:val="21"/>
                <w:highlight w:val="none"/>
              </w:rPr>
              <w:t>随机资料</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6.1、</w:t>
            </w:r>
            <w:r>
              <w:rPr>
                <w:rFonts w:ascii="宋体" w:hAnsi="宋体"/>
                <w:bCs/>
                <w:color w:val="auto"/>
                <w:szCs w:val="21"/>
                <w:highlight w:val="none"/>
              </w:rPr>
              <w:t>机组使用说明书　</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6.2、</w:t>
            </w:r>
            <w:r>
              <w:rPr>
                <w:rFonts w:ascii="宋体" w:hAnsi="宋体"/>
                <w:bCs/>
                <w:color w:val="auto"/>
                <w:szCs w:val="21"/>
                <w:highlight w:val="none"/>
              </w:rPr>
              <w:t>发动机使用说明书</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6.3、</w:t>
            </w:r>
            <w:r>
              <w:rPr>
                <w:rFonts w:ascii="宋体" w:hAnsi="宋体"/>
                <w:bCs/>
                <w:color w:val="auto"/>
                <w:szCs w:val="21"/>
                <w:highlight w:val="none"/>
              </w:rPr>
              <w:t>发电机使用说明书</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6.4、</w:t>
            </w:r>
            <w:r>
              <w:rPr>
                <w:rFonts w:ascii="宋体" w:hAnsi="宋体"/>
                <w:bCs/>
                <w:color w:val="auto"/>
                <w:szCs w:val="21"/>
                <w:highlight w:val="none"/>
              </w:rPr>
              <w:t>进口产品原产地证书(进口产品提供)</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6.5、</w:t>
            </w:r>
            <w:r>
              <w:rPr>
                <w:rFonts w:ascii="宋体" w:hAnsi="宋体"/>
                <w:bCs/>
                <w:color w:val="auto"/>
                <w:szCs w:val="21"/>
                <w:highlight w:val="none"/>
              </w:rPr>
              <w:t>产品质量和数量证明书</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6.6、</w:t>
            </w:r>
            <w:r>
              <w:rPr>
                <w:rFonts w:ascii="宋体" w:hAnsi="宋体"/>
                <w:bCs/>
                <w:color w:val="auto"/>
                <w:szCs w:val="21"/>
                <w:highlight w:val="none"/>
              </w:rPr>
              <w:t>进口设备海关报关单(进口产品提供)</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6.7、</w:t>
            </w:r>
            <w:r>
              <w:rPr>
                <w:rFonts w:ascii="宋体" w:hAnsi="宋体"/>
                <w:bCs/>
                <w:color w:val="auto"/>
                <w:szCs w:val="21"/>
                <w:highlight w:val="none"/>
              </w:rPr>
              <w:t>进口设备完税证明(进口产品提供)</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6.8、</w:t>
            </w:r>
            <w:r>
              <w:rPr>
                <w:rFonts w:ascii="宋体" w:hAnsi="宋体"/>
                <w:bCs/>
                <w:color w:val="auto"/>
                <w:szCs w:val="21"/>
                <w:highlight w:val="none"/>
              </w:rPr>
              <w:t>进口设备发票，装箱单(进口产品提供)</w:t>
            </w:r>
            <w:r>
              <w:rPr>
                <w:rFonts w:ascii="宋体" w:hAnsi="宋体"/>
                <w:bCs/>
                <w:color w:val="auto"/>
                <w:szCs w:val="21"/>
                <w:highlight w:val="none"/>
              </w:rPr>
              <w:tab/>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6.9、</w:t>
            </w:r>
            <w:r>
              <w:rPr>
                <w:rFonts w:ascii="宋体" w:hAnsi="宋体"/>
                <w:bCs/>
                <w:color w:val="auto"/>
                <w:szCs w:val="21"/>
                <w:highlight w:val="none"/>
              </w:rPr>
              <w:t>进口设备海运提单或空运单，保险单(进口产品提供)</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四、</w:t>
            </w:r>
            <w:r>
              <w:rPr>
                <w:rFonts w:ascii="宋体" w:hAnsi="宋体"/>
                <w:bCs/>
                <w:color w:val="auto"/>
                <w:szCs w:val="21"/>
                <w:highlight w:val="none"/>
              </w:rPr>
              <w:t>环保工程</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4.1、</w:t>
            </w:r>
            <w:r>
              <w:rPr>
                <w:rFonts w:ascii="宋体" w:hAnsi="宋体"/>
                <w:bCs/>
                <w:color w:val="auto"/>
                <w:szCs w:val="21"/>
                <w:highlight w:val="none"/>
              </w:rPr>
              <w:t>进风系统</w:t>
            </w:r>
          </w:p>
          <w:p>
            <w:pPr>
              <w:spacing w:line="360" w:lineRule="auto"/>
              <w:ind w:firstLine="420" w:firstLineChars="200"/>
              <w:rPr>
                <w:rFonts w:ascii="宋体" w:hAnsi="宋体"/>
                <w:bCs/>
                <w:color w:val="auto"/>
                <w:szCs w:val="21"/>
                <w:highlight w:val="none"/>
              </w:rPr>
            </w:pPr>
            <w:r>
              <w:rPr>
                <w:rFonts w:ascii="宋体" w:hAnsi="宋体"/>
                <w:bCs/>
                <w:color w:val="auto"/>
                <w:szCs w:val="21"/>
                <w:highlight w:val="none"/>
              </w:rPr>
              <w:t>设备由投标单位选择及提供。采用轴流风机强制进风。进风消音系统的制作安装采用全封闭蜂窝状阻性消声器，</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 xml:space="preserve"> 4.2、</w:t>
            </w:r>
            <w:r>
              <w:rPr>
                <w:rFonts w:ascii="宋体" w:hAnsi="宋体"/>
                <w:bCs/>
                <w:color w:val="auto"/>
                <w:szCs w:val="21"/>
                <w:highlight w:val="none"/>
              </w:rPr>
              <w:t>排风系统</w:t>
            </w:r>
          </w:p>
          <w:p>
            <w:pPr>
              <w:spacing w:line="360" w:lineRule="auto"/>
              <w:ind w:firstLine="420" w:firstLineChars="200"/>
              <w:rPr>
                <w:rFonts w:ascii="宋体" w:hAnsi="宋体"/>
                <w:bCs/>
                <w:color w:val="auto"/>
                <w:szCs w:val="21"/>
                <w:highlight w:val="none"/>
              </w:rPr>
            </w:pPr>
            <w:r>
              <w:rPr>
                <w:rFonts w:ascii="宋体" w:hAnsi="宋体"/>
                <w:bCs/>
                <w:color w:val="auto"/>
                <w:szCs w:val="21"/>
                <w:highlight w:val="none"/>
              </w:rPr>
              <w:t>设备由投标单位选择及提供。经发电机组自带风扇强制排风，排风消音系统的制作安装采用全封闭蜂窝状阻性消声器。</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4.3、</w:t>
            </w:r>
            <w:r>
              <w:rPr>
                <w:rFonts w:ascii="宋体" w:hAnsi="宋体"/>
                <w:bCs/>
                <w:color w:val="auto"/>
                <w:szCs w:val="21"/>
                <w:highlight w:val="none"/>
              </w:rPr>
              <w:t>排烟</w:t>
            </w:r>
          </w:p>
          <w:p>
            <w:pPr>
              <w:spacing w:line="360" w:lineRule="auto"/>
              <w:ind w:firstLine="420" w:firstLineChars="200"/>
              <w:rPr>
                <w:rFonts w:ascii="宋体" w:hAnsi="宋体"/>
                <w:bCs/>
                <w:color w:val="auto"/>
                <w:szCs w:val="21"/>
                <w:highlight w:val="none"/>
              </w:rPr>
            </w:pPr>
            <w:r>
              <w:rPr>
                <w:rFonts w:ascii="宋体" w:hAnsi="宋体"/>
                <w:bCs/>
                <w:color w:val="auto"/>
                <w:szCs w:val="21"/>
                <w:highlight w:val="none"/>
              </w:rPr>
              <w:t>排烟管尺寸应符合发电机组排气背压，系统背压</w:t>
            </w:r>
            <w:r>
              <w:rPr>
                <w:rFonts w:hint="eastAsia" w:ascii="宋体" w:hAnsi="宋体"/>
                <w:bCs/>
                <w:color w:val="auto"/>
                <w:szCs w:val="21"/>
                <w:highlight w:val="none"/>
              </w:rPr>
              <w:t>应符合机组及环保要求</w:t>
            </w:r>
            <w:r>
              <w:rPr>
                <w:rFonts w:ascii="宋体" w:hAnsi="宋体"/>
                <w:bCs/>
                <w:color w:val="auto"/>
                <w:szCs w:val="21"/>
                <w:highlight w:val="none"/>
              </w:rPr>
              <w:t>，废气经消音处理后引至储水式烟尘净化箱（δ3mm不锈钢，外包50mm厚超细玻璃棉保温）做黑烟处理后排放，达到欧洲Ⅱ标准。烟气净化箱的设计应</w:t>
            </w:r>
            <w:r>
              <w:rPr>
                <w:rFonts w:hint="eastAsia" w:ascii="宋体" w:hAnsi="宋体"/>
                <w:bCs/>
                <w:color w:val="auto"/>
                <w:szCs w:val="21"/>
                <w:highlight w:val="none"/>
              </w:rPr>
              <w:t>符合环保要求，排烟管按图纸要求敷设至楼顶</w:t>
            </w:r>
            <w:r>
              <w:rPr>
                <w:rFonts w:ascii="宋体" w:hAnsi="宋体"/>
                <w:bCs/>
                <w:color w:val="auto"/>
                <w:szCs w:val="21"/>
                <w:highlight w:val="none"/>
              </w:rPr>
              <w:t>。</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4.4、消音</w:t>
            </w:r>
          </w:p>
          <w:p>
            <w:pPr>
              <w:spacing w:line="360" w:lineRule="auto"/>
              <w:ind w:firstLine="420" w:firstLineChars="200"/>
              <w:rPr>
                <w:rFonts w:ascii="宋体" w:hAnsi="宋体"/>
                <w:bCs/>
                <w:color w:val="auto"/>
                <w:szCs w:val="21"/>
                <w:highlight w:val="none"/>
              </w:rPr>
            </w:pPr>
            <w:r>
              <w:rPr>
                <w:rFonts w:ascii="宋体" w:hAnsi="宋体"/>
                <w:bCs/>
                <w:color w:val="auto"/>
                <w:szCs w:val="21"/>
                <w:highlight w:val="none"/>
              </w:rPr>
              <w:t>机房采用全封闭隔声，机房内采用吸声墙面及吸声吊顶，其吸声材料外层，为600×600厚为不小于</w:t>
            </w:r>
            <w:r>
              <w:rPr>
                <w:rFonts w:hint="eastAsia" w:ascii="宋体" w:hAnsi="宋体"/>
                <w:bCs/>
                <w:color w:val="auto"/>
                <w:szCs w:val="21"/>
                <w:highlight w:val="none"/>
              </w:rPr>
              <w:t>1</w:t>
            </w:r>
            <w:r>
              <w:rPr>
                <w:rFonts w:ascii="宋体" w:hAnsi="宋体"/>
                <w:bCs/>
                <w:color w:val="auto"/>
                <w:szCs w:val="21"/>
                <w:highlight w:val="none"/>
              </w:rPr>
              <w:t>mm的多孔铝合金扣板。机房通道采用隔声门。</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4.5、</w:t>
            </w:r>
            <w:r>
              <w:rPr>
                <w:rFonts w:ascii="宋体" w:hAnsi="宋体"/>
                <w:bCs/>
                <w:color w:val="auto"/>
                <w:szCs w:val="21"/>
                <w:highlight w:val="none"/>
              </w:rPr>
              <w:t>机房环保工程设计和施工由投标人或投标人指定的且经招标人认可的环保施工单位负责完成，环保施工单位必须具有</w:t>
            </w:r>
            <w:r>
              <w:rPr>
                <w:rFonts w:hint="eastAsia" w:ascii="宋体" w:hAnsi="宋体"/>
                <w:bCs/>
                <w:color w:val="auto"/>
                <w:szCs w:val="21"/>
                <w:highlight w:val="none"/>
              </w:rPr>
              <w:t>相应的</w:t>
            </w:r>
            <w:r>
              <w:rPr>
                <w:rFonts w:ascii="宋体" w:hAnsi="宋体"/>
                <w:bCs/>
                <w:color w:val="auto"/>
                <w:szCs w:val="21"/>
                <w:highlight w:val="none"/>
              </w:rPr>
              <w:t>环保工程设计资质及环保工程施工资质，机房环保工程设计方案必须满足招标文件的技术规定并符合国家的有关标准。投标人应根据招标文件及相关图纸在投标文件中提供机房环保工程设计方案及施工方案。</w:t>
            </w:r>
            <w:r>
              <w:rPr>
                <w:rFonts w:hint="eastAsia" w:ascii="宋体" w:hAnsi="宋体"/>
                <w:bCs/>
                <w:color w:val="auto"/>
                <w:szCs w:val="21"/>
                <w:highlight w:val="none"/>
              </w:rPr>
              <w:t>投标人包环保验收，并取得验收合格证。</w:t>
            </w:r>
            <w:r>
              <w:rPr>
                <w:rFonts w:ascii="宋体" w:hAnsi="宋体"/>
                <w:bCs/>
                <w:color w:val="auto"/>
                <w:szCs w:val="21"/>
                <w:highlight w:val="none"/>
              </w:rPr>
              <w:t>环保工程深化设计必须得到设计院、招标人、监理的认可，投标人应充分考虑各种因素，充分理解设计图，投标报价应包括进排风排烟系统、机房动力配电系统、机房环保工程和机房内油、水管路系统的</w:t>
            </w:r>
            <w:r>
              <w:rPr>
                <w:rFonts w:hint="eastAsia" w:ascii="宋体" w:hAnsi="宋体"/>
                <w:bCs/>
                <w:color w:val="auto"/>
                <w:szCs w:val="21"/>
                <w:highlight w:val="none"/>
              </w:rPr>
              <w:t>深化</w:t>
            </w:r>
            <w:r>
              <w:rPr>
                <w:rFonts w:ascii="宋体" w:hAnsi="宋体"/>
                <w:bCs/>
                <w:color w:val="auto"/>
                <w:szCs w:val="21"/>
                <w:highlight w:val="none"/>
              </w:rPr>
              <w:t>设计、设备、材料、施工及验收的全部费用。</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4.6、</w:t>
            </w:r>
            <w:r>
              <w:rPr>
                <w:rFonts w:ascii="宋体" w:hAnsi="宋体"/>
                <w:bCs/>
                <w:color w:val="auto"/>
                <w:szCs w:val="21"/>
                <w:highlight w:val="none"/>
              </w:rPr>
              <w:t>环保验收标准</w:t>
            </w:r>
          </w:p>
          <w:p>
            <w:pPr>
              <w:spacing w:line="360" w:lineRule="auto"/>
              <w:ind w:firstLine="420" w:firstLineChars="200"/>
              <w:rPr>
                <w:rFonts w:ascii="宋体" w:hAnsi="宋体"/>
                <w:bCs/>
                <w:color w:val="auto"/>
                <w:szCs w:val="21"/>
                <w:highlight w:val="none"/>
              </w:rPr>
            </w:pPr>
            <w:r>
              <w:rPr>
                <w:rFonts w:ascii="宋体" w:hAnsi="宋体"/>
                <w:bCs/>
                <w:color w:val="auto"/>
                <w:szCs w:val="21"/>
                <w:highlight w:val="none"/>
              </w:rPr>
              <w:t>应满足深圳市环保局</w:t>
            </w:r>
            <w:r>
              <w:rPr>
                <w:rFonts w:hint="eastAsia" w:ascii="宋体" w:hAnsi="宋体"/>
                <w:bCs/>
                <w:color w:val="auto"/>
                <w:szCs w:val="21"/>
                <w:highlight w:val="none"/>
              </w:rPr>
              <w:t>等相关主管部门</w:t>
            </w:r>
            <w:r>
              <w:rPr>
                <w:rFonts w:ascii="宋体" w:hAnsi="宋体"/>
                <w:bCs/>
                <w:color w:val="auto"/>
                <w:szCs w:val="21"/>
                <w:highlight w:val="none"/>
              </w:rPr>
              <w:t>的验收要求。应达到《城市区域环境噪声标准》GB3096-93Ⅱ类区标准。应达到《大气污染物综合排放标准》GB16297-1996二级排放标准。</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4.7、环保要求</w:t>
            </w:r>
          </w:p>
          <w:p>
            <w:pPr>
              <w:spacing w:line="360" w:lineRule="auto"/>
              <w:ind w:firstLine="420" w:firstLineChars="200"/>
              <w:rPr>
                <w:rFonts w:ascii="宋体" w:hAnsi="宋体"/>
                <w:bCs/>
                <w:color w:val="auto"/>
                <w:szCs w:val="21"/>
                <w:highlight w:val="none"/>
              </w:rPr>
            </w:pPr>
            <w:r>
              <w:rPr>
                <w:rFonts w:ascii="宋体" w:hAnsi="宋体"/>
                <w:bCs/>
                <w:color w:val="auto"/>
                <w:szCs w:val="21"/>
                <w:highlight w:val="none"/>
              </w:rPr>
              <w:t>机房</w:t>
            </w:r>
            <w:r>
              <w:rPr>
                <w:rFonts w:hint="eastAsia" w:ascii="宋体" w:hAnsi="宋体"/>
                <w:bCs/>
                <w:color w:val="auto"/>
                <w:szCs w:val="21"/>
                <w:highlight w:val="none"/>
              </w:rPr>
              <w:t>要求</w:t>
            </w:r>
            <w:r>
              <w:rPr>
                <w:rFonts w:ascii="宋体" w:hAnsi="宋体"/>
                <w:bCs/>
                <w:color w:val="auto"/>
                <w:szCs w:val="21"/>
                <w:highlight w:val="none"/>
              </w:rPr>
              <w:t>全封闭隔声，</w:t>
            </w:r>
            <w:r>
              <w:rPr>
                <w:rFonts w:hint="eastAsia" w:ascii="宋体" w:hAnsi="宋体"/>
                <w:bCs/>
                <w:color w:val="auto"/>
                <w:szCs w:val="21"/>
                <w:highlight w:val="none"/>
              </w:rPr>
              <w:t>安装</w:t>
            </w:r>
            <w:r>
              <w:rPr>
                <w:rFonts w:ascii="宋体" w:hAnsi="宋体"/>
                <w:bCs/>
                <w:color w:val="auto"/>
                <w:szCs w:val="21"/>
                <w:highlight w:val="none"/>
              </w:rPr>
              <w:t>吸声墙面及吸声吊顶</w:t>
            </w:r>
            <w:r>
              <w:rPr>
                <w:rFonts w:hint="eastAsia" w:ascii="宋体" w:hAnsi="宋体"/>
                <w:bCs/>
                <w:color w:val="auto"/>
                <w:szCs w:val="21"/>
                <w:highlight w:val="none"/>
              </w:rPr>
              <w:t>，并且</w:t>
            </w:r>
            <w:r>
              <w:rPr>
                <w:rFonts w:ascii="宋体" w:hAnsi="宋体"/>
                <w:bCs/>
                <w:color w:val="auto"/>
                <w:szCs w:val="21"/>
                <w:highlight w:val="none"/>
              </w:rPr>
              <w:t>机房通道采用隔声门</w:t>
            </w:r>
            <w:r>
              <w:rPr>
                <w:rFonts w:hint="eastAsia" w:ascii="宋体" w:hAnsi="宋体"/>
                <w:bCs/>
                <w:color w:val="auto"/>
                <w:szCs w:val="21"/>
                <w:highlight w:val="none"/>
              </w:rPr>
              <w:t>。墙面和吊顶均采用铝扣板加吸音棉的方式，地板用普通地砖铺贴。要求发电机油箱间内的沙池及池内的沙石均由环保单位完成。环保的材料要求：铝扣板的厚度不得小于1mm；吸音棉的厚度不得小于5cm；吊顶龙骨必须采用螺杆吊装，不得使用铁丝吊挂。</w:t>
            </w:r>
          </w:p>
          <w:p>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五、柴油发电机组需预留RS485通迅接口，提供标准通迅协议。</w:t>
            </w:r>
          </w:p>
          <w:p>
            <w:pPr>
              <w:spacing w:line="360" w:lineRule="auto"/>
              <w:ind w:firstLine="420" w:firstLineChars="200"/>
              <w:rPr>
                <w:rFonts w:ascii="宋体" w:hAnsi="宋体"/>
                <w:color w:val="auto"/>
                <w:szCs w:val="21"/>
                <w:highlight w:val="none"/>
              </w:rPr>
            </w:pPr>
            <w:r>
              <w:rPr>
                <w:rFonts w:hint="eastAsia" w:ascii="宋体" w:hAnsi="宋体"/>
                <w:bCs/>
                <w:color w:val="auto"/>
                <w:szCs w:val="21"/>
                <w:highlight w:val="none"/>
              </w:rPr>
              <w:t>六、提供足够的调试、验收及试运行用柴油，移交时把油箱加满。</w:t>
            </w:r>
          </w:p>
        </w:tc>
        <w:tc>
          <w:tcPr>
            <w:tcW w:w="1070" w:type="dxa"/>
            <w:noWrap w:val="0"/>
            <w:vAlign w:val="center"/>
          </w:tcPr>
          <w:p>
            <w:pPr>
              <w:spacing w:line="360" w:lineRule="auto"/>
              <w:rPr>
                <w:rFonts w:ascii="宋体" w:hAnsi="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jc w:val="center"/>
        </w:trPr>
        <w:tc>
          <w:tcPr>
            <w:tcW w:w="708" w:type="dxa"/>
            <w:noWrap w:val="0"/>
            <w:vAlign w:val="center"/>
          </w:tcPr>
          <w:p>
            <w:pPr>
              <w:spacing w:line="360" w:lineRule="auto"/>
              <w:ind w:firstLine="105" w:firstLineChars="50"/>
              <w:jc w:val="center"/>
              <w:rPr>
                <w:rFonts w:ascii="宋体" w:hAnsi="宋体"/>
                <w:color w:val="auto"/>
                <w:szCs w:val="21"/>
                <w:highlight w:val="none"/>
              </w:rPr>
            </w:pPr>
            <w:r>
              <w:rPr>
                <w:rFonts w:ascii="宋体" w:hAnsi="宋体"/>
                <w:color w:val="auto"/>
                <w:szCs w:val="21"/>
                <w:highlight w:val="none"/>
              </w:rPr>
              <w:t>5</w:t>
            </w:r>
          </w:p>
        </w:tc>
        <w:tc>
          <w:tcPr>
            <w:tcW w:w="1134" w:type="dxa"/>
            <w:noWrap w:val="0"/>
            <w:vAlign w:val="center"/>
          </w:tcPr>
          <w:p>
            <w:pPr>
              <w:spacing w:line="360" w:lineRule="auto"/>
              <w:rPr>
                <w:rFonts w:ascii="宋体" w:hAnsi="宋体"/>
                <w:color w:val="auto"/>
                <w:szCs w:val="21"/>
                <w:highlight w:val="none"/>
              </w:rPr>
            </w:pPr>
            <w:r>
              <w:rPr>
                <w:rFonts w:hint="eastAsia" w:ascii="宋体" w:hAnsi="宋体"/>
                <w:color w:val="auto"/>
                <w:szCs w:val="21"/>
                <w:highlight w:val="none"/>
              </w:rPr>
              <w:t>电缆桥架、梯架、金属线槽（含强弱电工程）</w:t>
            </w:r>
          </w:p>
        </w:tc>
        <w:tc>
          <w:tcPr>
            <w:tcW w:w="6127" w:type="dxa"/>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1、生产厂家注册资金达1000万元；</w:t>
            </w:r>
          </w:p>
          <w:p>
            <w:pPr>
              <w:pStyle w:val="106"/>
              <w:ind w:firstLine="420"/>
              <w:rPr>
                <w:rFonts w:hAnsi="宋体"/>
                <w:color w:val="auto"/>
                <w:sz w:val="21"/>
                <w:szCs w:val="21"/>
                <w:highlight w:val="none"/>
              </w:rPr>
            </w:pPr>
            <w:r>
              <w:rPr>
                <w:rFonts w:hint="eastAsia" w:hAnsi="宋体"/>
                <w:color w:val="auto"/>
                <w:sz w:val="21"/>
                <w:szCs w:val="21"/>
                <w:highlight w:val="none"/>
              </w:rPr>
              <w:t>2、生产厂家有剪切、冲孔、弯折数控设备；</w:t>
            </w:r>
          </w:p>
          <w:p>
            <w:pPr>
              <w:pStyle w:val="106"/>
              <w:ind w:firstLine="420"/>
              <w:rPr>
                <w:rFonts w:hAnsi="宋体"/>
                <w:color w:val="auto"/>
                <w:sz w:val="21"/>
                <w:szCs w:val="21"/>
                <w:highlight w:val="none"/>
              </w:rPr>
            </w:pPr>
            <w:r>
              <w:rPr>
                <w:rFonts w:hint="eastAsia" w:hAnsi="宋体"/>
                <w:color w:val="auto"/>
                <w:sz w:val="21"/>
                <w:szCs w:val="21"/>
                <w:highlight w:val="none"/>
              </w:rPr>
              <w:t>3、电缆桥架含本工程所需的电缆梯架、电缆托盘、金属线槽等电缆承载体。</w:t>
            </w:r>
          </w:p>
          <w:p>
            <w:pPr>
              <w:pStyle w:val="106"/>
              <w:ind w:firstLine="420"/>
              <w:rPr>
                <w:rFonts w:hAnsi="宋体"/>
                <w:color w:val="auto"/>
                <w:sz w:val="21"/>
                <w:szCs w:val="21"/>
                <w:highlight w:val="none"/>
              </w:rPr>
            </w:pPr>
            <w:r>
              <w:rPr>
                <w:rFonts w:hint="eastAsia" w:hAnsi="宋体"/>
                <w:color w:val="auto"/>
                <w:sz w:val="21"/>
                <w:szCs w:val="21"/>
                <w:highlight w:val="none"/>
              </w:rPr>
              <w:t>4、符合JB/T10216、CECS 31等标准要求。</w:t>
            </w:r>
          </w:p>
          <w:p>
            <w:pPr>
              <w:pStyle w:val="106"/>
              <w:ind w:firstLine="420"/>
              <w:rPr>
                <w:rFonts w:hAnsi="宋体"/>
                <w:color w:val="auto"/>
                <w:sz w:val="21"/>
                <w:szCs w:val="21"/>
                <w:highlight w:val="none"/>
              </w:rPr>
            </w:pPr>
            <w:r>
              <w:rPr>
                <w:rFonts w:hint="eastAsia" w:hAnsi="宋体"/>
                <w:color w:val="auto"/>
                <w:sz w:val="21"/>
                <w:szCs w:val="21"/>
                <w:highlight w:val="none"/>
              </w:rPr>
              <w:t>5、电缆桥架应在工厂加工完成后在运抵施工现场，尽可能减少在工地切割桥架，严禁在工地加工、制作水平弯、垂直弯以及分支接头等桥架的连接段。</w:t>
            </w:r>
          </w:p>
          <w:p>
            <w:pPr>
              <w:pStyle w:val="106"/>
              <w:ind w:firstLine="420"/>
              <w:rPr>
                <w:rFonts w:hAnsi="宋体"/>
                <w:color w:val="auto"/>
                <w:sz w:val="21"/>
                <w:szCs w:val="21"/>
                <w:highlight w:val="none"/>
              </w:rPr>
            </w:pPr>
            <w:r>
              <w:rPr>
                <w:rFonts w:hint="eastAsia" w:hAnsi="宋体"/>
                <w:color w:val="auto"/>
                <w:sz w:val="21"/>
                <w:szCs w:val="21"/>
                <w:highlight w:val="none"/>
              </w:rPr>
              <w:t>6、电缆桥架的膨胀节必须使用制造厂生产的标准伸缩接合板。</w:t>
            </w:r>
          </w:p>
          <w:p>
            <w:pPr>
              <w:pStyle w:val="106"/>
              <w:ind w:firstLine="420"/>
              <w:rPr>
                <w:rFonts w:hAnsi="宋体"/>
                <w:color w:val="auto"/>
                <w:sz w:val="21"/>
                <w:szCs w:val="21"/>
                <w:highlight w:val="none"/>
              </w:rPr>
            </w:pPr>
            <w:r>
              <w:rPr>
                <w:rFonts w:hint="eastAsia" w:hAnsi="宋体"/>
                <w:color w:val="auto"/>
                <w:sz w:val="21"/>
                <w:szCs w:val="21"/>
                <w:highlight w:val="none"/>
              </w:rPr>
              <w:t>7、电缆梯架须由热浸镀锌低碳钢制作。电缆梯架的两条边框至少必须为40mm宽的顶缘卷边以增加强度，板材厚度不小于2.5mm。梯级的中心间隔约为300mm，并具一定的宽度以用不同的方法固定电缆，包括尼龙带扣、鞍行夹、冲孔带、电缆夹等。梯架盖板板材厚度不小于1.2mm。</w:t>
            </w:r>
          </w:p>
          <w:p>
            <w:pPr>
              <w:pStyle w:val="106"/>
              <w:ind w:firstLine="420"/>
              <w:rPr>
                <w:rFonts w:hAnsi="宋体"/>
                <w:color w:val="auto"/>
                <w:sz w:val="21"/>
                <w:szCs w:val="21"/>
                <w:highlight w:val="none"/>
              </w:rPr>
            </w:pPr>
            <w:r>
              <w:rPr>
                <w:rFonts w:hint="eastAsia" w:hAnsi="宋体"/>
                <w:color w:val="auto"/>
                <w:sz w:val="21"/>
                <w:szCs w:val="21"/>
                <w:highlight w:val="none"/>
              </w:rPr>
              <w:t>8、电缆桥架表面进行热浸镀锌或喷粉烘烤处理。</w:t>
            </w:r>
          </w:p>
          <w:p>
            <w:pPr>
              <w:pStyle w:val="106"/>
              <w:ind w:firstLine="420"/>
              <w:rPr>
                <w:rFonts w:hAnsi="宋体"/>
                <w:color w:val="auto"/>
                <w:sz w:val="21"/>
                <w:szCs w:val="21"/>
                <w:highlight w:val="none"/>
              </w:rPr>
            </w:pPr>
            <w:r>
              <w:rPr>
                <w:rFonts w:hint="eastAsia" w:hAnsi="宋体"/>
                <w:color w:val="auto"/>
                <w:sz w:val="21"/>
                <w:szCs w:val="21"/>
                <w:highlight w:val="none"/>
              </w:rPr>
              <w:t>9、电缆托盘须由低碳钢制作，电缆托盘尺寸与板材厚度的关系如下：</w:t>
            </w:r>
          </w:p>
          <w:tbl>
            <w:tblPr>
              <w:tblStyle w:val="43"/>
              <w:tblW w:w="55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1870"/>
              <w:gridCol w:w="2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618"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托盘宽度（mm）</w:t>
                  </w:r>
                </w:p>
              </w:tc>
              <w:tc>
                <w:tcPr>
                  <w:tcW w:w="1870"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卷边宽度（mm）</w:t>
                  </w:r>
                </w:p>
              </w:tc>
              <w:tc>
                <w:tcPr>
                  <w:tcW w:w="2062"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板材厚度（mm）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618"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50</w:t>
                  </w:r>
                </w:p>
              </w:tc>
              <w:tc>
                <w:tcPr>
                  <w:tcW w:w="1870"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13</w:t>
                  </w:r>
                </w:p>
              </w:tc>
              <w:tc>
                <w:tcPr>
                  <w:tcW w:w="2062"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618"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100</w:t>
                  </w:r>
                </w:p>
              </w:tc>
              <w:tc>
                <w:tcPr>
                  <w:tcW w:w="1870"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13</w:t>
                  </w:r>
                </w:p>
              </w:tc>
              <w:tc>
                <w:tcPr>
                  <w:tcW w:w="2062"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618"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150</w:t>
                  </w:r>
                </w:p>
              </w:tc>
              <w:tc>
                <w:tcPr>
                  <w:tcW w:w="1870"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13</w:t>
                  </w:r>
                </w:p>
              </w:tc>
              <w:tc>
                <w:tcPr>
                  <w:tcW w:w="2062"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618"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300</w:t>
                  </w:r>
                </w:p>
              </w:tc>
              <w:tc>
                <w:tcPr>
                  <w:tcW w:w="1870"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19</w:t>
                  </w:r>
                </w:p>
              </w:tc>
              <w:tc>
                <w:tcPr>
                  <w:tcW w:w="2062"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618"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450</w:t>
                  </w:r>
                </w:p>
              </w:tc>
              <w:tc>
                <w:tcPr>
                  <w:tcW w:w="1870"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19</w:t>
                  </w:r>
                </w:p>
              </w:tc>
              <w:tc>
                <w:tcPr>
                  <w:tcW w:w="2062"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618"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600</w:t>
                  </w:r>
                </w:p>
              </w:tc>
              <w:tc>
                <w:tcPr>
                  <w:tcW w:w="1870"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19</w:t>
                  </w:r>
                </w:p>
              </w:tc>
              <w:tc>
                <w:tcPr>
                  <w:tcW w:w="2062"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618"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750</w:t>
                  </w:r>
                </w:p>
              </w:tc>
              <w:tc>
                <w:tcPr>
                  <w:tcW w:w="1870"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19</w:t>
                  </w:r>
                </w:p>
              </w:tc>
              <w:tc>
                <w:tcPr>
                  <w:tcW w:w="2062"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618"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900</w:t>
                  </w:r>
                </w:p>
              </w:tc>
              <w:tc>
                <w:tcPr>
                  <w:tcW w:w="1870"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19</w:t>
                  </w:r>
                </w:p>
              </w:tc>
              <w:tc>
                <w:tcPr>
                  <w:tcW w:w="2062"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2.0</w:t>
                  </w:r>
                </w:p>
              </w:tc>
            </w:tr>
          </w:tbl>
          <w:p>
            <w:pPr>
              <w:pStyle w:val="106"/>
              <w:ind w:firstLine="420"/>
              <w:rPr>
                <w:rFonts w:hAnsi="宋体"/>
                <w:color w:val="auto"/>
                <w:sz w:val="21"/>
                <w:szCs w:val="21"/>
                <w:highlight w:val="none"/>
              </w:rPr>
            </w:pPr>
          </w:p>
          <w:p>
            <w:pPr>
              <w:pStyle w:val="106"/>
              <w:ind w:firstLine="420"/>
              <w:rPr>
                <w:rFonts w:hAnsi="宋体"/>
                <w:color w:val="auto"/>
                <w:sz w:val="21"/>
                <w:szCs w:val="21"/>
                <w:highlight w:val="none"/>
              </w:rPr>
            </w:pPr>
            <w:r>
              <w:rPr>
                <w:rFonts w:hint="eastAsia" w:hAnsi="宋体"/>
                <w:color w:val="auto"/>
                <w:sz w:val="21"/>
                <w:szCs w:val="21"/>
                <w:highlight w:val="none"/>
              </w:rPr>
              <w:t>10、金属线槽必须用镀锌钢板制作，其最小长度为2米。金属线槽内外应无毛刺，配件应齐全。金属线槽镀锌钢板的厚度不应小于下列数值：</w:t>
            </w:r>
          </w:p>
          <w:tbl>
            <w:tblPr>
              <w:tblStyle w:val="43"/>
              <w:tblW w:w="4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0"/>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2250"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标称尺寸（mm）</w:t>
                  </w:r>
                </w:p>
              </w:tc>
              <w:tc>
                <w:tcPr>
                  <w:tcW w:w="2250"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最小厚度（mm）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250"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50</w:t>
                  </w:r>
                  <w:r>
                    <w:rPr>
                      <w:rFonts w:hAnsi="宋体"/>
                      <w:color w:val="auto"/>
                      <w:sz w:val="21"/>
                      <w:szCs w:val="21"/>
                      <w:highlight w:val="none"/>
                    </w:rPr>
                    <w:sym w:font="UniversalMath1 BT" w:char="F033"/>
                  </w:r>
                  <w:r>
                    <w:rPr>
                      <w:rFonts w:hint="eastAsia" w:hAnsi="宋体"/>
                      <w:color w:val="auto"/>
                      <w:sz w:val="21"/>
                      <w:szCs w:val="21"/>
                      <w:highlight w:val="none"/>
                    </w:rPr>
                    <w:t>50</w:t>
                  </w:r>
                </w:p>
              </w:tc>
              <w:tc>
                <w:tcPr>
                  <w:tcW w:w="2250"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2250"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75</w:t>
                  </w:r>
                  <w:r>
                    <w:rPr>
                      <w:rFonts w:hAnsi="宋体"/>
                      <w:color w:val="auto"/>
                      <w:sz w:val="21"/>
                      <w:szCs w:val="21"/>
                      <w:highlight w:val="none"/>
                    </w:rPr>
                    <w:sym w:font="UniversalMath1 BT" w:char="F033"/>
                  </w:r>
                  <w:r>
                    <w:rPr>
                      <w:rFonts w:hint="eastAsia" w:hAnsi="宋体"/>
                      <w:color w:val="auto"/>
                      <w:sz w:val="21"/>
                      <w:szCs w:val="21"/>
                      <w:highlight w:val="none"/>
                    </w:rPr>
                    <w:t>50</w:t>
                  </w:r>
                </w:p>
              </w:tc>
              <w:tc>
                <w:tcPr>
                  <w:tcW w:w="2250"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250"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75</w:t>
                  </w:r>
                  <w:r>
                    <w:rPr>
                      <w:rFonts w:hAnsi="宋体"/>
                      <w:color w:val="auto"/>
                      <w:sz w:val="21"/>
                      <w:szCs w:val="21"/>
                      <w:highlight w:val="none"/>
                    </w:rPr>
                    <w:sym w:font="UniversalMath1 BT" w:char="F033"/>
                  </w:r>
                  <w:r>
                    <w:rPr>
                      <w:rFonts w:hint="eastAsia" w:hAnsi="宋体"/>
                      <w:color w:val="auto"/>
                      <w:sz w:val="21"/>
                      <w:szCs w:val="21"/>
                      <w:highlight w:val="none"/>
                    </w:rPr>
                    <w:t>75</w:t>
                  </w:r>
                </w:p>
              </w:tc>
              <w:tc>
                <w:tcPr>
                  <w:tcW w:w="2250"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2250"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100</w:t>
                  </w:r>
                  <w:r>
                    <w:rPr>
                      <w:rFonts w:hAnsi="宋体"/>
                      <w:color w:val="auto"/>
                      <w:sz w:val="21"/>
                      <w:szCs w:val="21"/>
                      <w:highlight w:val="none"/>
                    </w:rPr>
                    <w:sym w:font="UniversalMath1 BT" w:char="F033"/>
                  </w:r>
                  <w:r>
                    <w:rPr>
                      <w:rFonts w:hint="eastAsia" w:hAnsi="宋体"/>
                      <w:color w:val="auto"/>
                      <w:sz w:val="21"/>
                      <w:szCs w:val="21"/>
                      <w:highlight w:val="none"/>
                    </w:rPr>
                    <w:t>75</w:t>
                  </w:r>
                </w:p>
              </w:tc>
              <w:tc>
                <w:tcPr>
                  <w:tcW w:w="2250"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2250"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100</w:t>
                  </w:r>
                  <w:r>
                    <w:rPr>
                      <w:rFonts w:hAnsi="宋体"/>
                      <w:color w:val="auto"/>
                      <w:sz w:val="21"/>
                      <w:szCs w:val="21"/>
                      <w:highlight w:val="none"/>
                    </w:rPr>
                    <w:sym w:font="UniversalMath1 BT" w:char="F033"/>
                  </w:r>
                  <w:r>
                    <w:rPr>
                      <w:rFonts w:hint="eastAsia" w:hAnsi="宋体"/>
                      <w:color w:val="auto"/>
                      <w:sz w:val="21"/>
                      <w:szCs w:val="21"/>
                      <w:highlight w:val="none"/>
                    </w:rPr>
                    <w:t>100</w:t>
                  </w:r>
                </w:p>
              </w:tc>
              <w:tc>
                <w:tcPr>
                  <w:tcW w:w="2250"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2250"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150</w:t>
                  </w:r>
                  <w:r>
                    <w:rPr>
                      <w:rFonts w:hAnsi="宋体"/>
                      <w:color w:val="auto"/>
                      <w:sz w:val="21"/>
                      <w:szCs w:val="21"/>
                      <w:highlight w:val="none"/>
                    </w:rPr>
                    <w:sym w:font="UniversalMath1 BT" w:char="F033"/>
                  </w:r>
                  <w:r>
                    <w:rPr>
                      <w:rFonts w:hint="eastAsia" w:hAnsi="宋体"/>
                      <w:color w:val="auto"/>
                      <w:sz w:val="21"/>
                      <w:szCs w:val="21"/>
                      <w:highlight w:val="none"/>
                    </w:rPr>
                    <w:t>100</w:t>
                  </w:r>
                </w:p>
              </w:tc>
              <w:tc>
                <w:tcPr>
                  <w:tcW w:w="2250" w:type="dxa"/>
                  <w:tcBorders>
                    <w:top w:val="single" w:color="auto" w:sz="4" w:space="0"/>
                    <w:left w:val="single" w:color="auto" w:sz="4" w:space="0"/>
                    <w:bottom w:val="single" w:color="auto" w:sz="4" w:space="0"/>
                    <w:right w:val="single" w:color="auto" w:sz="4" w:space="0"/>
                  </w:tcBorders>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1.4</w:t>
                  </w:r>
                </w:p>
              </w:tc>
            </w:tr>
          </w:tbl>
          <w:p>
            <w:pPr>
              <w:pStyle w:val="106"/>
              <w:ind w:firstLine="420"/>
              <w:rPr>
                <w:rFonts w:hAnsi="宋体"/>
                <w:color w:val="auto"/>
                <w:sz w:val="21"/>
                <w:szCs w:val="21"/>
                <w:highlight w:val="none"/>
              </w:rPr>
            </w:pPr>
          </w:p>
          <w:p>
            <w:pPr>
              <w:pStyle w:val="106"/>
              <w:ind w:firstLine="420"/>
              <w:rPr>
                <w:rFonts w:hAnsi="宋体"/>
                <w:color w:val="auto"/>
                <w:sz w:val="21"/>
                <w:szCs w:val="21"/>
                <w:highlight w:val="none"/>
              </w:rPr>
            </w:pPr>
            <w:r>
              <w:rPr>
                <w:rFonts w:hint="eastAsia" w:hAnsi="宋体"/>
                <w:color w:val="auto"/>
                <w:sz w:val="21"/>
                <w:szCs w:val="21"/>
                <w:highlight w:val="none"/>
              </w:rPr>
              <w:t>11、所有电缆桥架、梯架和金属线槽都必须加装盖板，并配置锁扣。</w:t>
            </w:r>
          </w:p>
          <w:p>
            <w:pPr>
              <w:pStyle w:val="106"/>
              <w:ind w:firstLine="420"/>
              <w:rPr>
                <w:rFonts w:hAnsi="宋体"/>
                <w:color w:val="auto"/>
                <w:sz w:val="21"/>
                <w:szCs w:val="21"/>
                <w:highlight w:val="none"/>
              </w:rPr>
            </w:pPr>
            <w:r>
              <w:rPr>
                <w:rFonts w:hint="eastAsia" w:hAnsi="宋体"/>
                <w:color w:val="auto"/>
                <w:sz w:val="21"/>
                <w:szCs w:val="21"/>
                <w:highlight w:val="none"/>
              </w:rPr>
              <w:t>12、敷设消防电缆的封闭式线槽应外刷防火涂料，要求在线槽生产厂内完成防火涂料喷涂工作，不允许在现场手工涂刷，耐火时间级别应满足设计要求。</w:t>
            </w:r>
          </w:p>
          <w:p>
            <w:pPr>
              <w:pStyle w:val="106"/>
              <w:ind w:firstLine="420"/>
              <w:rPr>
                <w:rFonts w:hAnsi="宋体"/>
                <w:color w:val="auto"/>
                <w:sz w:val="21"/>
                <w:szCs w:val="21"/>
                <w:highlight w:val="none"/>
              </w:rPr>
            </w:pPr>
            <w:r>
              <w:rPr>
                <w:rFonts w:hint="eastAsia" w:hAnsi="宋体"/>
                <w:color w:val="auto"/>
                <w:sz w:val="21"/>
                <w:szCs w:val="21"/>
                <w:highlight w:val="none"/>
              </w:rPr>
              <w:t>13、桥架、梯架和金属线槽在正式施工前要求先做样品段，报设计、监理、发包人审批</w:t>
            </w:r>
            <w:r>
              <w:rPr>
                <w:rFonts w:hint="eastAsia" w:hAnsi="宋体"/>
                <w:color w:val="auto"/>
                <w:sz w:val="21"/>
                <w:szCs w:val="21"/>
                <w:highlight w:val="none"/>
                <w:lang w:eastAsia="zh-CN"/>
              </w:rPr>
              <w:t>书面</w:t>
            </w:r>
            <w:r>
              <w:rPr>
                <w:rFonts w:hint="eastAsia" w:hAnsi="宋体"/>
                <w:color w:val="auto"/>
                <w:sz w:val="21"/>
                <w:szCs w:val="21"/>
                <w:highlight w:val="none"/>
              </w:rPr>
              <w:t>同意后再开始大范围施工。</w:t>
            </w:r>
          </w:p>
          <w:p>
            <w:pPr>
              <w:pStyle w:val="106"/>
              <w:ind w:firstLine="420"/>
              <w:rPr>
                <w:rFonts w:hAnsi="宋体"/>
                <w:color w:val="auto"/>
                <w:sz w:val="21"/>
                <w:szCs w:val="21"/>
                <w:highlight w:val="none"/>
              </w:rPr>
            </w:pPr>
            <w:r>
              <w:rPr>
                <w:rFonts w:hint="eastAsia" w:hAnsi="宋体"/>
                <w:color w:val="auto"/>
                <w:sz w:val="21"/>
                <w:szCs w:val="21"/>
                <w:highlight w:val="none"/>
              </w:rPr>
              <w:t>14、材料定货前要提供样品，报监理、发包人审批后才能定货。</w:t>
            </w:r>
          </w:p>
        </w:tc>
        <w:tc>
          <w:tcPr>
            <w:tcW w:w="1070" w:type="dxa"/>
            <w:noWrap w:val="0"/>
            <w:vAlign w:val="center"/>
          </w:tcPr>
          <w:p>
            <w:pPr>
              <w:spacing w:line="360" w:lineRule="auto"/>
              <w:ind w:firstLine="420"/>
              <w:rPr>
                <w:rFonts w:ascii="宋体" w:hAnsi="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jc w:val="center"/>
        </w:trPr>
        <w:tc>
          <w:tcPr>
            <w:tcW w:w="708" w:type="dxa"/>
            <w:noWrap w:val="0"/>
            <w:vAlign w:val="center"/>
          </w:tcPr>
          <w:p>
            <w:pPr>
              <w:spacing w:line="360" w:lineRule="auto"/>
              <w:jc w:val="center"/>
              <w:rPr>
                <w:rFonts w:ascii="宋体" w:hAnsi="宋体"/>
                <w:color w:val="auto"/>
                <w:szCs w:val="21"/>
                <w:highlight w:val="none"/>
              </w:rPr>
            </w:pPr>
            <w:r>
              <w:rPr>
                <w:rFonts w:ascii="宋体" w:hAnsi="宋体"/>
                <w:color w:val="auto"/>
                <w:szCs w:val="21"/>
                <w:highlight w:val="none"/>
              </w:rPr>
              <w:t>6</w:t>
            </w:r>
          </w:p>
        </w:tc>
        <w:tc>
          <w:tcPr>
            <w:tcW w:w="1134" w:type="dxa"/>
            <w:noWrap w:val="0"/>
            <w:vAlign w:val="center"/>
          </w:tcPr>
          <w:p>
            <w:pPr>
              <w:spacing w:line="360" w:lineRule="auto"/>
              <w:rPr>
                <w:rFonts w:ascii="宋体" w:hAnsi="宋体"/>
                <w:color w:val="auto"/>
                <w:szCs w:val="21"/>
                <w:highlight w:val="none"/>
              </w:rPr>
            </w:pPr>
            <w:r>
              <w:rPr>
                <w:rFonts w:hint="eastAsia" w:ascii="宋体" w:hAnsi="宋体"/>
                <w:color w:val="auto"/>
                <w:szCs w:val="21"/>
                <w:highlight w:val="none"/>
              </w:rPr>
              <w:t>密集型封闭母线</w:t>
            </w:r>
          </w:p>
        </w:tc>
        <w:tc>
          <w:tcPr>
            <w:tcW w:w="6127" w:type="dxa"/>
            <w:noWrap w:val="0"/>
            <w:vAlign w:val="center"/>
          </w:tcPr>
          <w:p>
            <w:pPr>
              <w:spacing w:line="360" w:lineRule="auto"/>
              <w:ind w:firstLine="420"/>
              <w:rPr>
                <w:rFonts w:ascii="宋体" w:hAnsi="宋体"/>
                <w:color w:val="auto"/>
                <w:szCs w:val="21"/>
                <w:highlight w:val="none"/>
              </w:rPr>
            </w:pPr>
            <w:r>
              <w:rPr>
                <w:rFonts w:hint="eastAsia" w:ascii="宋体" w:hAnsi="宋体"/>
                <w:color w:val="auto"/>
                <w:szCs w:val="21"/>
                <w:highlight w:val="none"/>
              </w:rPr>
              <w:t>1、应有国家认可的质量检测机构出具的检验合格报告和“3C”认证。</w:t>
            </w:r>
          </w:p>
          <w:p>
            <w:pPr>
              <w:spacing w:line="360" w:lineRule="auto"/>
              <w:ind w:firstLine="420"/>
              <w:rPr>
                <w:rFonts w:ascii="宋体" w:hAnsi="宋体"/>
                <w:color w:val="auto"/>
                <w:szCs w:val="21"/>
                <w:highlight w:val="none"/>
              </w:rPr>
            </w:pPr>
            <w:r>
              <w:rPr>
                <w:rFonts w:hint="eastAsia" w:ascii="宋体" w:hAnsi="宋体"/>
                <w:color w:val="auto"/>
                <w:szCs w:val="21"/>
                <w:highlight w:val="none"/>
              </w:rPr>
              <w:t>2、防护等级：不低于</w:t>
            </w:r>
            <w:r>
              <w:rPr>
                <w:rFonts w:ascii="宋体" w:hAnsi="宋体"/>
                <w:color w:val="auto"/>
                <w:szCs w:val="21"/>
                <w:highlight w:val="none"/>
              </w:rPr>
              <w:t>IP54</w:t>
            </w:r>
            <w:r>
              <w:rPr>
                <w:rFonts w:hint="eastAsia" w:ascii="宋体" w:hAnsi="宋体"/>
                <w:color w:val="auto"/>
                <w:szCs w:val="21"/>
                <w:highlight w:val="none"/>
              </w:rPr>
              <w:t>并满足设计、规范要求。</w:t>
            </w:r>
          </w:p>
          <w:p>
            <w:pPr>
              <w:spacing w:line="360" w:lineRule="auto"/>
              <w:ind w:firstLine="420"/>
              <w:rPr>
                <w:rFonts w:ascii="宋体" w:hAnsi="宋体"/>
                <w:color w:val="auto"/>
                <w:szCs w:val="21"/>
                <w:highlight w:val="none"/>
              </w:rPr>
            </w:pPr>
            <w:r>
              <w:rPr>
                <w:rFonts w:hint="eastAsia" w:ascii="宋体" w:hAnsi="宋体"/>
                <w:color w:val="auto"/>
                <w:szCs w:val="21"/>
                <w:highlight w:val="none"/>
              </w:rPr>
              <w:t>3、封闭母线应能在1秒钟内承受额定值不低于50kA的持续电流。所有部件如直身、弯头、法兰等至少应通过</w:t>
            </w:r>
            <w:r>
              <w:rPr>
                <w:rFonts w:ascii="宋体" w:hAnsi="宋体"/>
                <w:color w:val="auto"/>
                <w:szCs w:val="21"/>
                <w:highlight w:val="none"/>
              </w:rPr>
              <w:t>7500V</w:t>
            </w:r>
            <w:r>
              <w:rPr>
                <w:rFonts w:hint="eastAsia" w:ascii="宋体" w:hAnsi="宋体"/>
                <w:color w:val="auto"/>
                <w:szCs w:val="21"/>
                <w:highlight w:val="none"/>
              </w:rPr>
              <w:t>直流高压测试。</w:t>
            </w:r>
          </w:p>
          <w:p>
            <w:pPr>
              <w:spacing w:line="360" w:lineRule="auto"/>
              <w:ind w:firstLine="420"/>
              <w:rPr>
                <w:rFonts w:ascii="宋体" w:hAnsi="宋体"/>
                <w:color w:val="auto"/>
                <w:szCs w:val="21"/>
                <w:highlight w:val="none"/>
              </w:rPr>
            </w:pPr>
            <w:r>
              <w:rPr>
                <w:rFonts w:hint="eastAsia" w:ascii="宋体" w:hAnsi="宋体"/>
                <w:color w:val="auto"/>
                <w:szCs w:val="21"/>
                <w:highlight w:val="none"/>
              </w:rPr>
              <w:t>4、外壳采用钢板或铝合金。采用钢板需经防腐蚀处理，环氧树脂喷涂，且应具有低的磁滞涡流损耗特性。</w:t>
            </w:r>
          </w:p>
          <w:p>
            <w:pPr>
              <w:spacing w:line="360" w:lineRule="auto"/>
              <w:ind w:firstLine="420"/>
              <w:rPr>
                <w:rFonts w:ascii="宋体" w:hAnsi="宋体"/>
                <w:color w:val="auto"/>
                <w:szCs w:val="21"/>
                <w:highlight w:val="none"/>
              </w:rPr>
            </w:pPr>
            <w:r>
              <w:rPr>
                <w:rFonts w:hint="eastAsia" w:ascii="宋体" w:hAnsi="宋体"/>
                <w:color w:val="auto"/>
                <w:szCs w:val="21"/>
                <w:highlight w:val="none"/>
              </w:rPr>
              <w:t>5、封闭母线的相线和中性线采用同截面的铜母线，PE线铜母线的截面不应小于相线截面的50%。</w:t>
            </w:r>
          </w:p>
          <w:p>
            <w:pPr>
              <w:spacing w:line="360" w:lineRule="auto"/>
              <w:ind w:firstLine="420"/>
              <w:rPr>
                <w:rFonts w:ascii="宋体" w:hAnsi="宋体"/>
                <w:color w:val="auto"/>
                <w:szCs w:val="21"/>
                <w:highlight w:val="none"/>
              </w:rPr>
            </w:pPr>
            <w:r>
              <w:rPr>
                <w:rFonts w:hint="eastAsia" w:ascii="宋体" w:hAnsi="宋体"/>
                <w:color w:val="auto"/>
                <w:szCs w:val="21"/>
                <w:highlight w:val="none"/>
              </w:rPr>
              <w:t>6、封闭母线应为密闭型，采用优质铜排，含铜量</w:t>
            </w:r>
            <w:r>
              <w:rPr>
                <w:rFonts w:ascii="宋体" w:hAnsi="宋体"/>
                <w:color w:val="auto"/>
                <w:szCs w:val="21"/>
                <w:highlight w:val="none"/>
              </w:rPr>
              <w:t>99.9</w:t>
            </w:r>
            <w:r>
              <w:rPr>
                <w:rFonts w:hint="eastAsia" w:ascii="宋体" w:hAnsi="宋体"/>
                <w:color w:val="auto"/>
                <w:szCs w:val="21"/>
                <w:highlight w:val="none"/>
              </w:rPr>
              <w:t>9</w:t>
            </w:r>
            <w:r>
              <w:rPr>
                <w:rFonts w:ascii="宋体" w:hAnsi="宋体"/>
                <w:color w:val="auto"/>
                <w:szCs w:val="21"/>
                <w:highlight w:val="none"/>
              </w:rPr>
              <w:t>%</w:t>
            </w:r>
            <w:r>
              <w:rPr>
                <w:rFonts w:hint="eastAsia" w:ascii="宋体" w:hAnsi="宋体"/>
                <w:color w:val="auto"/>
                <w:szCs w:val="21"/>
                <w:highlight w:val="none"/>
              </w:rPr>
              <w:t>，表面要求全长镀锡或镀银。</w:t>
            </w:r>
          </w:p>
          <w:p>
            <w:pPr>
              <w:spacing w:line="360" w:lineRule="auto"/>
              <w:ind w:firstLine="420"/>
              <w:rPr>
                <w:rFonts w:ascii="宋体" w:hAnsi="宋体"/>
                <w:color w:val="auto"/>
                <w:szCs w:val="21"/>
                <w:highlight w:val="none"/>
              </w:rPr>
            </w:pPr>
            <w:r>
              <w:rPr>
                <w:rFonts w:hint="eastAsia" w:ascii="宋体" w:hAnsi="宋体"/>
                <w:color w:val="auto"/>
                <w:szCs w:val="21"/>
                <w:highlight w:val="none"/>
              </w:rPr>
              <w:t>7、封闭母线接头应有足够的机械强度和电气连续性。两段封闭母线连接时还应用一片铜母线加以连接，以保证接地线有足够的延续性。母线接头必须为穿过螺栓型，接头螺栓紧固程度检查时可不必将系统停电。接头的机械强度不应小于封闭母线的强度。插接式母线在接口处必需使用便于插接的门结构，不应采用封板。</w:t>
            </w:r>
          </w:p>
          <w:p>
            <w:pPr>
              <w:spacing w:line="360" w:lineRule="auto"/>
              <w:ind w:firstLine="420"/>
              <w:rPr>
                <w:rFonts w:ascii="宋体" w:hAnsi="宋体"/>
                <w:color w:val="auto"/>
                <w:szCs w:val="21"/>
                <w:highlight w:val="none"/>
              </w:rPr>
            </w:pPr>
            <w:r>
              <w:rPr>
                <w:rFonts w:hint="eastAsia" w:ascii="宋体" w:hAnsi="宋体"/>
                <w:color w:val="auto"/>
                <w:szCs w:val="21"/>
                <w:highlight w:val="none"/>
              </w:rPr>
              <w:t>8、弯头、分支接头和交叉接头均须为全封闭型，且专为封闭母线设计和制造。其外壳的金属材料和饰面应与封闭母线一致。接入弯头、分支接头和交叉接头不应使母线的机械强度有所下降和影响电气的连续性。</w:t>
            </w:r>
          </w:p>
          <w:p>
            <w:pPr>
              <w:spacing w:line="360" w:lineRule="auto"/>
              <w:ind w:firstLine="420"/>
              <w:rPr>
                <w:rFonts w:ascii="宋体" w:hAnsi="宋体"/>
                <w:color w:val="auto"/>
                <w:szCs w:val="21"/>
                <w:highlight w:val="none"/>
              </w:rPr>
            </w:pPr>
            <w:r>
              <w:rPr>
                <w:rFonts w:hint="eastAsia" w:ascii="宋体" w:hAnsi="宋体"/>
                <w:color w:val="auto"/>
                <w:szCs w:val="21"/>
                <w:highlight w:val="none"/>
              </w:rPr>
              <w:t>9、</w:t>
            </w:r>
            <w:r>
              <w:rPr>
                <w:rFonts w:ascii="宋体" w:hAnsi="宋体"/>
                <w:color w:val="auto"/>
                <w:szCs w:val="21"/>
                <w:highlight w:val="none"/>
              </w:rPr>
              <w:t>绝缘</w:t>
            </w:r>
            <w:r>
              <w:rPr>
                <w:rFonts w:hint="eastAsia" w:ascii="宋体" w:hAnsi="宋体"/>
                <w:color w:val="auto"/>
                <w:szCs w:val="21"/>
                <w:highlight w:val="none"/>
              </w:rPr>
              <w:t>材料的</w:t>
            </w:r>
            <w:r>
              <w:rPr>
                <w:rFonts w:ascii="宋体" w:hAnsi="宋体"/>
                <w:color w:val="auto"/>
                <w:szCs w:val="21"/>
                <w:highlight w:val="none"/>
              </w:rPr>
              <w:t>参数符合</w:t>
            </w:r>
            <w:r>
              <w:rPr>
                <w:rFonts w:hint="eastAsia" w:ascii="宋体" w:hAnsi="宋体"/>
                <w:color w:val="auto"/>
                <w:szCs w:val="21"/>
                <w:highlight w:val="none"/>
              </w:rPr>
              <w:t>封闭母线</w:t>
            </w:r>
            <w:r>
              <w:rPr>
                <w:rFonts w:ascii="宋体" w:hAnsi="宋体"/>
                <w:color w:val="auto"/>
                <w:szCs w:val="21"/>
                <w:highlight w:val="none"/>
              </w:rPr>
              <w:t>的要求</w:t>
            </w:r>
            <w:r>
              <w:rPr>
                <w:rFonts w:hint="eastAsia" w:ascii="宋体" w:hAnsi="宋体"/>
                <w:color w:val="auto"/>
                <w:szCs w:val="21"/>
                <w:highlight w:val="none"/>
              </w:rPr>
              <w:t>。</w:t>
            </w:r>
          </w:p>
          <w:p>
            <w:pPr>
              <w:spacing w:line="360" w:lineRule="auto"/>
              <w:ind w:firstLine="420"/>
              <w:rPr>
                <w:rFonts w:ascii="宋体" w:hAnsi="宋体"/>
                <w:color w:val="auto"/>
                <w:szCs w:val="21"/>
                <w:highlight w:val="none"/>
              </w:rPr>
            </w:pPr>
            <w:r>
              <w:rPr>
                <w:rFonts w:hint="eastAsia" w:ascii="宋体" w:hAnsi="宋体"/>
                <w:color w:val="auto"/>
                <w:szCs w:val="21"/>
                <w:highlight w:val="none"/>
              </w:rPr>
              <w:t>10、封闭母线插接箱须由封闭母线生产厂生产。插接部件必须与封闭母线机械联锁，以防止当插接箱处于“合”闸位置时进行插接部件的安装和拆除。插接箱内断路器选择参照断路器品牌。</w:t>
            </w:r>
          </w:p>
          <w:p>
            <w:pPr>
              <w:spacing w:line="360" w:lineRule="auto"/>
              <w:ind w:firstLine="420"/>
              <w:rPr>
                <w:rFonts w:ascii="宋体" w:hAnsi="宋体"/>
                <w:color w:val="auto"/>
                <w:szCs w:val="21"/>
                <w:highlight w:val="none"/>
              </w:rPr>
            </w:pPr>
            <w:r>
              <w:rPr>
                <w:rFonts w:hint="eastAsia" w:ascii="宋体" w:hAnsi="宋体"/>
                <w:color w:val="auto"/>
                <w:szCs w:val="21"/>
                <w:highlight w:val="none"/>
              </w:rPr>
              <w:t>11、插接单元</w:t>
            </w:r>
          </w:p>
          <w:p>
            <w:pPr>
              <w:spacing w:line="360" w:lineRule="auto"/>
              <w:ind w:firstLine="420"/>
              <w:rPr>
                <w:rFonts w:ascii="宋体" w:hAnsi="宋体"/>
                <w:color w:val="auto"/>
                <w:szCs w:val="21"/>
                <w:highlight w:val="none"/>
              </w:rPr>
            </w:pPr>
            <w:r>
              <w:rPr>
                <w:rFonts w:hint="eastAsia" w:ascii="宋体" w:hAnsi="宋体"/>
                <w:color w:val="auto"/>
                <w:szCs w:val="21"/>
                <w:highlight w:val="none"/>
              </w:rPr>
              <w:t>A、插接箱活门具有可靠的联锁功能，避免带电打开活门，并可靠接地；</w:t>
            </w:r>
          </w:p>
          <w:p>
            <w:pPr>
              <w:spacing w:line="360" w:lineRule="auto"/>
              <w:ind w:firstLine="420"/>
              <w:rPr>
                <w:rFonts w:ascii="宋体" w:hAnsi="宋体"/>
                <w:color w:val="auto"/>
                <w:szCs w:val="21"/>
                <w:highlight w:val="none"/>
              </w:rPr>
            </w:pPr>
            <w:r>
              <w:rPr>
                <w:rFonts w:hint="eastAsia" w:ascii="宋体" w:hAnsi="宋体"/>
                <w:color w:val="auto"/>
                <w:szCs w:val="21"/>
                <w:highlight w:val="none"/>
              </w:rPr>
              <w:t>B、插接箱与母线之间除要有可靠的连接触头外还应有机械联锁，保证插拔插接单元时不会产生拉弧；</w:t>
            </w:r>
          </w:p>
          <w:p>
            <w:pPr>
              <w:spacing w:line="360" w:lineRule="auto"/>
              <w:ind w:firstLine="420"/>
              <w:rPr>
                <w:rFonts w:ascii="宋体" w:hAnsi="宋体"/>
                <w:color w:val="auto"/>
                <w:szCs w:val="21"/>
                <w:highlight w:val="none"/>
              </w:rPr>
            </w:pPr>
            <w:r>
              <w:rPr>
                <w:rFonts w:hint="eastAsia" w:ascii="宋体" w:hAnsi="宋体"/>
                <w:color w:val="auto"/>
                <w:szCs w:val="21"/>
                <w:highlight w:val="none"/>
              </w:rPr>
              <w:t>C、连接单元：封闭母线的连接应使用单螺栓，其材质应为高强度钢，并应确保整个连接部位的受压面均匀。</w:t>
            </w:r>
          </w:p>
          <w:p>
            <w:pPr>
              <w:spacing w:line="360" w:lineRule="auto"/>
              <w:ind w:firstLine="420"/>
              <w:rPr>
                <w:rFonts w:ascii="宋体" w:hAnsi="宋体"/>
                <w:color w:val="auto"/>
                <w:szCs w:val="21"/>
                <w:highlight w:val="none"/>
              </w:rPr>
            </w:pPr>
            <w:r>
              <w:rPr>
                <w:rFonts w:hint="eastAsia" w:ascii="宋体" w:hAnsi="宋体"/>
                <w:color w:val="auto"/>
                <w:szCs w:val="21"/>
                <w:highlight w:val="none"/>
              </w:rPr>
              <w:t>D、接地性能：应采用整体接地地线，保证封闭母线具有可靠、安全的接地性能、较小的电抗值和较强的抗谐波能力。</w:t>
            </w:r>
          </w:p>
          <w:p>
            <w:pPr>
              <w:spacing w:line="360" w:lineRule="auto"/>
              <w:ind w:firstLine="420"/>
              <w:rPr>
                <w:rFonts w:ascii="宋体" w:hAnsi="宋体"/>
                <w:color w:val="auto"/>
                <w:szCs w:val="21"/>
                <w:highlight w:val="none"/>
              </w:rPr>
            </w:pPr>
            <w:r>
              <w:rPr>
                <w:rFonts w:hint="eastAsia" w:ascii="宋体" w:hAnsi="宋体"/>
                <w:color w:val="auto"/>
                <w:szCs w:val="21"/>
                <w:highlight w:val="none"/>
              </w:rPr>
              <w:t>12、封闭母线箱应为全封闭性，箱体和箱门应用镀锌钢板制成，表面喷粉的颜色满足发包人的要求，箱门上需加锁，并加装防尘垫。整个外壳的防护等级不低于IP54。</w:t>
            </w:r>
          </w:p>
          <w:p>
            <w:pPr>
              <w:spacing w:line="360" w:lineRule="auto"/>
              <w:ind w:firstLine="420"/>
              <w:rPr>
                <w:rFonts w:ascii="宋体" w:hAnsi="宋体"/>
                <w:color w:val="auto"/>
                <w:szCs w:val="21"/>
                <w:highlight w:val="none"/>
              </w:rPr>
            </w:pPr>
            <w:r>
              <w:rPr>
                <w:rFonts w:hint="eastAsia" w:ascii="宋体" w:hAnsi="宋体"/>
                <w:color w:val="auto"/>
                <w:szCs w:val="21"/>
                <w:highlight w:val="none"/>
              </w:rPr>
              <w:t>13、封闭母线在正式施工前要求先做样品段，报发包人审批</w:t>
            </w:r>
            <w:r>
              <w:rPr>
                <w:rFonts w:hint="eastAsia" w:ascii="宋体" w:hAnsi="宋体"/>
                <w:color w:val="auto"/>
                <w:szCs w:val="21"/>
                <w:highlight w:val="none"/>
                <w:lang w:eastAsia="zh-CN"/>
              </w:rPr>
              <w:t>书面</w:t>
            </w:r>
            <w:r>
              <w:rPr>
                <w:rFonts w:hint="eastAsia" w:ascii="宋体" w:hAnsi="宋体"/>
                <w:color w:val="auto"/>
                <w:szCs w:val="21"/>
                <w:highlight w:val="none"/>
              </w:rPr>
              <w:t>同意后再开始大范围施工。</w:t>
            </w:r>
          </w:p>
          <w:p>
            <w:pPr>
              <w:spacing w:line="360" w:lineRule="auto"/>
              <w:ind w:firstLine="420"/>
              <w:rPr>
                <w:rFonts w:ascii="宋体" w:hAnsi="宋体"/>
                <w:color w:val="auto"/>
                <w:szCs w:val="21"/>
                <w:highlight w:val="none"/>
              </w:rPr>
            </w:pPr>
          </w:p>
          <w:p>
            <w:pPr>
              <w:spacing w:line="360" w:lineRule="auto"/>
              <w:ind w:firstLine="420"/>
              <w:rPr>
                <w:rFonts w:ascii="宋体" w:hAnsi="宋体"/>
                <w:color w:val="auto"/>
                <w:szCs w:val="21"/>
                <w:highlight w:val="none"/>
              </w:rPr>
            </w:pPr>
          </w:p>
        </w:tc>
        <w:tc>
          <w:tcPr>
            <w:tcW w:w="1070" w:type="dxa"/>
            <w:noWrap w:val="0"/>
            <w:vAlign w:val="center"/>
          </w:tcPr>
          <w:p>
            <w:pPr>
              <w:spacing w:line="360" w:lineRule="auto"/>
              <w:ind w:firstLine="420"/>
              <w:rPr>
                <w:rFonts w:ascii="宋体" w:hAnsi="宋体"/>
                <w:color w:val="auto"/>
                <w:szCs w:val="21"/>
                <w:highlight w:val="none"/>
              </w:rPr>
            </w:pPr>
          </w:p>
          <w:p>
            <w:pPr>
              <w:spacing w:line="360" w:lineRule="auto"/>
              <w:ind w:firstLine="420"/>
              <w:rPr>
                <w:rFonts w:ascii="宋体" w:hAnsi="宋体"/>
                <w:color w:val="auto"/>
                <w:szCs w:val="21"/>
                <w:highlight w:val="none"/>
              </w:rPr>
            </w:pPr>
          </w:p>
          <w:p>
            <w:pPr>
              <w:spacing w:line="360" w:lineRule="auto"/>
              <w:ind w:firstLine="420"/>
              <w:rPr>
                <w:rFonts w:ascii="宋体" w:hAnsi="宋体"/>
                <w:color w:val="auto"/>
                <w:szCs w:val="21"/>
                <w:highlight w:val="none"/>
              </w:rPr>
            </w:pPr>
          </w:p>
          <w:p>
            <w:pPr>
              <w:spacing w:line="360" w:lineRule="auto"/>
              <w:ind w:firstLine="420"/>
              <w:rPr>
                <w:rFonts w:ascii="宋体" w:hAnsi="宋体"/>
                <w:color w:val="auto"/>
                <w:szCs w:val="21"/>
                <w:highlight w:val="none"/>
              </w:rPr>
            </w:pPr>
          </w:p>
          <w:p>
            <w:pPr>
              <w:spacing w:line="360" w:lineRule="auto"/>
              <w:ind w:firstLine="420"/>
              <w:rPr>
                <w:rFonts w:ascii="宋体" w:hAnsi="宋体"/>
                <w:color w:val="auto"/>
                <w:szCs w:val="21"/>
                <w:highlight w:val="none"/>
              </w:rPr>
            </w:pPr>
          </w:p>
          <w:p>
            <w:pPr>
              <w:spacing w:line="360" w:lineRule="auto"/>
              <w:ind w:firstLine="420"/>
              <w:rPr>
                <w:rFonts w:ascii="宋体" w:hAnsi="宋体"/>
                <w:color w:val="auto"/>
                <w:szCs w:val="21"/>
                <w:highlight w:val="none"/>
              </w:rPr>
            </w:pPr>
          </w:p>
          <w:p>
            <w:pPr>
              <w:spacing w:line="360" w:lineRule="auto"/>
              <w:ind w:firstLine="420"/>
              <w:rPr>
                <w:rFonts w:ascii="宋体" w:hAnsi="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jc w:val="center"/>
        </w:trPr>
        <w:tc>
          <w:tcPr>
            <w:tcW w:w="708" w:type="dxa"/>
            <w:noWrap w:val="0"/>
            <w:vAlign w:val="center"/>
          </w:tcPr>
          <w:p>
            <w:pPr>
              <w:spacing w:line="360" w:lineRule="auto"/>
              <w:jc w:val="center"/>
              <w:rPr>
                <w:rFonts w:ascii="宋体" w:hAnsi="宋体"/>
                <w:color w:val="auto"/>
                <w:szCs w:val="21"/>
                <w:highlight w:val="none"/>
              </w:rPr>
            </w:pPr>
            <w:r>
              <w:rPr>
                <w:rFonts w:ascii="宋体" w:hAnsi="宋体"/>
                <w:color w:val="auto"/>
                <w:szCs w:val="21"/>
                <w:highlight w:val="none"/>
              </w:rPr>
              <w:t>7</w:t>
            </w:r>
          </w:p>
        </w:tc>
        <w:tc>
          <w:tcPr>
            <w:tcW w:w="1134" w:type="dxa"/>
            <w:noWrap w:val="0"/>
            <w:vAlign w:val="center"/>
          </w:tcPr>
          <w:p>
            <w:pPr>
              <w:spacing w:line="360" w:lineRule="auto"/>
              <w:rPr>
                <w:rFonts w:ascii="宋体" w:hAnsi="宋体"/>
                <w:color w:val="auto"/>
                <w:szCs w:val="21"/>
                <w:highlight w:val="none"/>
              </w:rPr>
            </w:pPr>
            <w:r>
              <w:rPr>
                <w:rFonts w:hint="eastAsia" w:ascii="宋体" w:hAnsi="宋体"/>
                <w:color w:val="auto"/>
                <w:szCs w:val="21"/>
                <w:highlight w:val="none"/>
              </w:rPr>
              <w:t>电力监控系统</w:t>
            </w:r>
          </w:p>
        </w:tc>
        <w:tc>
          <w:tcPr>
            <w:tcW w:w="6127" w:type="dxa"/>
            <w:noWrap w:val="0"/>
            <w:vAlign w:val="center"/>
          </w:tcPr>
          <w:p>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生产厂家必须为智能化监控厂家自主研发生产的软、硬件产品，有自主知识产权和软件登记证书。</w:t>
            </w:r>
          </w:p>
          <w:p>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一、总体要求</w:t>
            </w:r>
          </w:p>
          <w:p>
            <w:pPr>
              <w:adjustRightInd w:val="0"/>
              <w:snapToGri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、本工程设有高低压变配电房。其中变压器、发电机组、直流屏由厂家配套提供基于</w:t>
            </w:r>
            <w:r>
              <w:rPr>
                <w:rFonts w:ascii="宋体" w:hAnsi="宋体"/>
                <w:color w:val="auto"/>
                <w:szCs w:val="21"/>
                <w:highlight w:val="none"/>
              </w:rPr>
              <w:t>Modbus RTU</w:t>
            </w:r>
            <w:r>
              <w:rPr>
                <w:rFonts w:hint="eastAsia" w:ascii="宋体" w:hAnsi="宋体"/>
                <w:color w:val="auto"/>
                <w:szCs w:val="21"/>
                <w:highlight w:val="none"/>
              </w:rPr>
              <w:t>协议的</w:t>
            </w:r>
            <w:r>
              <w:rPr>
                <w:rFonts w:ascii="宋体" w:hAnsi="宋体"/>
                <w:color w:val="auto"/>
                <w:szCs w:val="21"/>
                <w:highlight w:val="none"/>
              </w:rPr>
              <w:t>RS485</w:t>
            </w:r>
            <w:r>
              <w:rPr>
                <w:rFonts w:hint="eastAsia" w:ascii="宋体" w:hAnsi="宋体"/>
                <w:color w:val="auto"/>
                <w:szCs w:val="21"/>
                <w:highlight w:val="none"/>
              </w:rPr>
              <w:t>对外通讯接口，变压器、发电机、直流屏通过该接口接入监控系统。</w:t>
            </w:r>
          </w:p>
          <w:p>
            <w:pPr>
              <w:adjustRightInd w:val="0"/>
              <w:snapToGri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、要求电力集中监控系统采用符合电力行业相关要求的监控组态界面显示，并提供基于</w:t>
            </w:r>
            <w:r>
              <w:rPr>
                <w:rFonts w:ascii="宋体" w:hAnsi="宋体"/>
                <w:color w:val="auto"/>
                <w:szCs w:val="21"/>
                <w:highlight w:val="none"/>
              </w:rPr>
              <w:t>TCP/IP</w:t>
            </w:r>
            <w:r>
              <w:rPr>
                <w:rFonts w:hint="eastAsia" w:ascii="宋体" w:hAnsi="宋体"/>
                <w:color w:val="auto"/>
                <w:szCs w:val="21"/>
                <w:highlight w:val="none"/>
              </w:rPr>
              <w:t>协议的</w:t>
            </w:r>
            <w:r>
              <w:rPr>
                <w:rFonts w:ascii="宋体" w:hAnsi="宋体"/>
                <w:color w:val="auto"/>
                <w:szCs w:val="21"/>
                <w:highlight w:val="none"/>
              </w:rPr>
              <w:t>MCU(</w:t>
            </w:r>
            <w:r>
              <w:rPr>
                <w:rFonts w:hint="eastAsia" w:ascii="宋体" w:hAnsi="宋体"/>
                <w:color w:val="auto"/>
                <w:szCs w:val="21"/>
                <w:highlight w:val="none"/>
              </w:rPr>
              <w:t>管理控制单元</w:t>
            </w:r>
            <w:r>
              <w:rPr>
                <w:rFonts w:ascii="宋体" w:hAnsi="宋体"/>
                <w:color w:val="auto"/>
                <w:szCs w:val="21"/>
                <w:highlight w:val="none"/>
              </w:rPr>
              <w:t>)</w:t>
            </w:r>
            <w:r>
              <w:rPr>
                <w:rFonts w:hint="eastAsia" w:ascii="宋体" w:hAnsi="宋体"/>
                <w:color w:val="auto"/>
                <w:szCs w:val="21"/>
                <w:highlight w:val="none"/>
              </w:rPr>
              <w:t>，通过</w:t>
            </w:r>
            <w:r>
              <w:rPr>
                <w:rFonts w:ascii="宋体" w:hAnsi="宋体"/>
                <w:color w:val="auto"/>
                <w:szCs w:val="21"/>
                <w:highlight w:val="none"/>
              </w:rPr>
              <w:t>TCP/IP</w:t>
            </w:r>
            <w:r>
              <w:rPr>
                <w:rFonts w:hint="eastAsia" w:ascii="宋体" w:hAnsi="宋体"/>
                <w:color w:val="auto"/>
                <w:szCs w:val="21"/>
                <w:highlight w:val="none"/>
              </w:rPr>
              <w:t>网络集成于</w:t>
            </w:r>
            <w:r>
              <w:rPr>
                <w:rFonts w:ascii="宋体" w:hAnsi="宋体"/>
                <w:color w:val="auto"/>
                <w:szCs w:val="21"/>
                <w:highlight w:val="none"/>
              </w:rPr>
              <w:t>BA</w:t>
            </w:r>
            <w:r>
              <w:rPr>
                <w:rFonts w:hint="eastAsia" w:ascii="宋体" w:hAnsi="宋体"/>
                <w:color w:val="auto"/>
                <w:szCs w:val="21"/>
                <w:highlight w:val="none"/>
              </w:rPr>
              <w:t>。电力集中监控系统的管理权限可根据维护管理需要，在工作站和</w:t>
            </w:r>
            <w:r>
              <w:rPr>
                <w:rFonts w:ascii="宋体" w:hAnsi="宋体"/>
                <w:color w:val="auto"/>
                <w:szCs w:val="21"/>
                <w:highlight w:val="none"/>
              </w:rPr>
              <w:t>BA</w:t>
            </w:r>
            <w:r>
              <w:rPr>
                <w:rFonts w:hint="eastAsia" w:ascii="宋体" w:hAnsi="宋体"/>
                <w:color w:val="auto"/>
                <w:szCs w:val="21"/>
                <w:highlight w:val="none"/>
              </w:rPr>
              <w:t>监控中心间进行分配。电力监控系统作为一个独立的第三方系统。电力监控系统采用</w:t>
            </w:r>
            <w:r>
              <w:rPr>
                <w:rFonts w:ascii="宋体" w:hAnsi="宋体"/>
                <w:color w:val="auto"/>
                <w:szCs w:val="21"/>
                <w:highlight w:val="none"/>
              </w:rPr>
              <w:t>10M/100M TCP/IP</w:t>
            </w:r>
            <w:r>
              <w:rPr>
                <w:rFonts w:hint="eastAsia" w:ascii="宋体" w:hAnsi="宋体"/>
                <w:color w:val="auto"/>
                <w:szCs w:val="21"/>
                <w:highlight w:val="none"/>
              </w:rPr>
              <w:t>（</w:t>
            </w:r>
            <w:r>
              <w:rPr>
                <w:rFonts w:ascii="宋体" w:hAnsi="宋体"/>
                <w:color w:val="auto"/>
                <w:szCs w:val="21"/>
                <w:highlight w:val="none"/>
              </w:rPr>
              <w:t>BA</w:t>
            </w:r>
            <w:r>
              <w:rPr>
                <w:rFonts w:hint="eastAsia" w:ascii="宋体" w:hAnsi="宋体"/>
                <w:color w:val="auto"/>
                <w:szCs w:val="21"/>
                <w:highlight w:val="none"/>
              </w:rPr>
              <w:t>管理级网络），管理控制单元</w:t>
            </w:r>
            <w:r>
              <w:rPr>
                <w:rFonts w:ascii="宋体" w:hAnsi="宋体"/>
                <w:color w:val="auto"/>
                <w:szCs w:val="21"/>
                <w:highlight w:val="none"/>
              </w:rPr>
              <w:t>MCU</w:t>
            </w:r>
            <w:r>
              <w:rPr>
                <w:rFonts w:hint="eastAsia" w:ascii="宋体" w:hAnsi="宋体"/>
                <w:color w:val="auto"/>
                <w:szCs w:val="21"/>
                <w:highlight w:val="none"/>
              </w:rPr>
              <w:t>具有数据采集，串口扩展和提供</w:t>
            </w:r>
            <w:r>
              <w:rPr>
                <w:rFonts w:ascii="宋体" w:hAnsi="宋体"/>
                <w:color w:val="auto"/>
                <w:szCs w:val="21"/>
                <w:highlight w:val="none"/>
              </w:rPr>
              <w:t>TCP/IP</w:t>
            </w:r>
            <w:r>
              <w:rPr>
                <w:rFonts w:hint="eastAsia" w:ascii="宋体" w:hAnsi="宋体"/>
                <w:color w:val="auto"/>
                <w:szCs w:val="21"/>
                <w:highlight w:val="none"/>
              </w:rPr>
              <w:t>网络对外通信接口功能。</w:t>
            </w:r>
          </w:p>
          <w:p>
            <w:pPr>
              <w:adjustRightInd w:val="0"/>
              <w:snapToGrid w:val="0"/>
              <w:spacing w:line="360" w:lineRule="auto"/>
              <w:rPr>
                <w:rFonts w:ascii="宋体" w:hAnsi="宋体"/>
                <w:color w:val="auto"/>
                <w:szCs w:val="21"/>
                <w:highlight w:val="none"/>
              </w:rPr>
            </w:pPr>
          </w:p>
          <w:p>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二、设备技术要求</w:t>
            </w:r>
          </w:p>
          <w:p>
            <w:pPr>
              <w:adjustRightInd w:val="0"/>
              <w:snapToGri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、高压</w:t>
            </w:r>
            <w:r>
              <w:rPr>
                <w:rFonts w:ascii="宋体" w:hAnsi="宋体"/>
                <w:color w:val="auto"/>
                <w:szCs w:val="21"/>
                <w:highlight w:val="none"/>
              </w:rPr>
              <w:t>10KV</w:t>
            </w:r>
            <w:r>
              <w:rPr>
                <w:rFonts w:hint="eastAsia" w:ascii="宋体" w:hAnsi="宋体"/>
                <w:color w:val="auto"/>
                <w:szCs w:val="21"/>
                <w:highlight w:val="none"/>
              </w:rPr>
              <w:t>进出线回路</w:t>
            </w:r>
          </w:p>
          <w:p>
            <w:pPr>
              <w:adjustRightInd w:val="0"/>
              <w:snapToGrid w:val="0"/>
              <w:spacing w:line="360" w:lineRule="auto"/>
              <w:rPr>
                <w:rFonts w:ascii="宋体" w:hAnsi="宋体"/>
                <w:color w:val="auto"/>
                <w:szCs w:val="21"/>
                <w:highlight w:val="none"/>
              </w:rPr>
            </w:pPr>
            <w:r>
              <w:rPr>
                <w:rFonts w:ascii="宋体" w:hAnsi="宋体"/>
                <w:color w:val="auto"/>
                <w:szCs w:val="21"/>
                <w:highlight w:val="none"/>
              </w:rPr>
              <w:t>1.1</w:t>
            </w:r>
            <w:r>
              <w:rPr>
                <w:rFonts w:hint="eastAsia" w:ascii="宋体" w:hAnsi="宋体"/>
                <w:color w:val="auto"/>
                <w:szCs w:val="21"/>
                <w:highlight w:val="none"/>
              </w:rPr>
              <w:t>、装置选型：选配国内知名品牌的三相智能监控装置，采用分布式</w:t>
            </w:r>
            <w:r>
              <w:rPr>
                <w:rFonts w:ascii="宋体" w:hAnsi="宋体"/>
                <w:color w:val="auto"/>
                <w:szCs w:val="21"/>
                <w:highlight w:val="none"/>
              </w:rPr>
              <w:t>“</w:t>
            </w:r>
            <w:r>
              <w:rPr>
                <w:rFonts w:hint="eastAsia" w:ascii="宋体" w:hAnsi="宋体"/>
                <w:color w:val="auto"/>
                <w:szCs w:val="21"/>
                <w:highlight w:val="none"/>
              </w:rPr>
              <w:t>一对一</w:t>
            </w:r>
            <w:r>
              <w:rPr>
                <w:rFonts w:ascii="宋体" w:hAnsi="宋体"/>
                <w:color w:val="auto"/>
                <w:szCs w:val="21"/>
                <w:highlight w:val="none"/>
              </w:rPr>
              <w:t>”</w:t>
            </w:r>
            <w:r>
              <w:rPr>
                <w:rFonts w:hint="eastAsia" w:ascii="宋体" w:hAnsi="宋体"/>
                <w:color w:val="auto"/>
                <w:szCs w:val="21"/>
                <w:highlight w:val="none"/>
              </w:rPr>
              <w:t>的配置方式。可实现以下功能：测量一回线路或设备的全部三相电量：</w:t>
            </w:r>
            <w:r>
              <w:rPr>
                <w:rFonts w:ascii="宋体" w:hAnsi="宋体"/>
                <w:color w:val="auto"/>
                <w:szCs w:val="21"/>
                <w:highlight w:val="none"/>
              </w:rPr>
              <w:t>U</w:t>
            </w:r>
            <w:r>
              <w:rPr>
                <w:rFonts w:hint="eastAsia" w:ascii="宋体" w:hAnsi="宋体"/>
                <w:color w:val="auto"/>
                <w:szCs w:val="21"/>
                <w:highlight w:val="none"/>
              </w:rPr>
              <w:t>、</w:t>
            </w:r>
            <w:r>
              <w:rPr>
                <w:rFonts w:ascii="宋体" w:hAnsi="宋体"/>
                <w:color w:val="auto"/>
                <w:szCs w:val="21"/>
                <w:highlight w:val="none"/>
              </w:rPr>
              <w:t>I</w:t>
            </w:r>
            <w:r>
              <w:rPr>
                <w:rFonts w:hint="eastAsia" w:ascii="宋体" w:hAnsi="宋体"/>
                <w:color w:val="auto"/>
                <w:szCs w:val="21"/>
                <w:highlight w:val="none"/>
              </w:rPr>
              <w:t>、</w:t>
            </w:r>
            <w:r>
              <w:rPr>
                <w:rFonts w:ascii="宋体" w:hAnsi="宋体"/>
                <w:color w:val="auto"/>
                <w:szCs w:val="21"/>
                <w:highlight w:val="none"/>
              </w:rPr>
              <w:t>P</w:t>
            </w:r>
            <w:r>
              <w:rPr>
                <w:rFonts w:hint="eastAsia" w:ascii="宋体" w:hAnsi="宋体"/>
                <w:color w:val="auto"/>
                <w:szCs w:val="21"/>
                <w:highlight w:val="none"/>
              </w:rPr>
              <w:t>、</w:t>
            </w:r>
            <w:r>
              <w:rPr>
                <w:rFonts w:ascii="宋体" w:hAnsi="宋体"/>
                <w:color w:val="auto"/>
                <w:szCs w:val="21"/>
                <w:highlight w:val="none"/>
              </w:rPr>
              <w:t>Q</w:t>
            </w:r>
            <w:r>
              <w:rPr>
                <w:rFonts w:hint="eastAsia" w:ascii="宋体" w:hAnsi="宋体"/>
                <w:color w:val="auto"/>
                <w:szCs w:val="21"/>
                <w:highlight w:val="none"/>
              </w:rPr>
              <w:t>、</w:t>
            </w:r>
            <w:r>
              <w:rPr>
                <w:rFonts w:ascii="宋体" w:hAnsi="宋体"/>
                <w:color w:val="auto"/>
                <w:szCs w:val="21"/>
                <w:highlight w:val="none"/>
              </w:rPr>
              <w:t>Cosφ</w:t>
            </w:r>
            <w:r>
              <w:rPr>
                <w:rFonts w:hint="eastAsia" w:ascii="宋体" w:hAnsi="宋体"/>
                <w:color w:val="auto"/>
                <w:szCs w:val="21"/>
                <w:highlight w:val="none"/>
              </w:rPr>
              <w:t>、</w:t>
            </w:r>
            <w:r>
              <w:rPr>
                <w:rFonts w:ascii="宋体" w:hAnsi="宋体"/>
                <w:color w:val="auto"/>
                <w:szCs w:val="21"/>
                <w:highlight w:val="none"/>
              </w:rPr>
              <w:t>kWh</w:t>
            </w:r>
            <w:r>
              <w:rPr>
                <w:rFonts w:hint="eastAsia" w:ascii="宋体" w:hAnsi="宋体"/>
                <w:color w:val="auto"/>
                <w:szCs w:val="21"/>
                <w:highlight w:val="none"/>
              </w:rPr>
              <w:t>、</w:t>
            </w:r>
            <w:r>
              <w:rPr>
                <w:rFonts w:ascii="宋体" w:hAnsi="宋体"/>
                <w:color w:val="auto"/>
                <w:szCs w:val="21"/>
                <w:highlight w:val="none"/>
              </w:rPr>
              <w:t>kVarh</w:t>
            </w:r>
            <w:r>
              <w:rPr>
                <w:rFonts w:hint="eastAsia" w:ascii="宋体" w:hAnsi="宋体"/>
                <w:color w:val="auto"/>
                <w:szCs w:val="21"/>
                <w:highlight w:val="none"/>
              </w:rPr>
              <w:t>、</w:t>
            </w:r>
            <w:r>
              <w:rPr>
                <w:rFonts w:ascii="宋体" w:hAnsi="宋体"/>
                <w:color w:val="auto"/>
                <w:szCs w:val="21"/>
                <w:highlight w:val="none"/>
              </w:rPr>
              <w:t>f</w:t>
            </w:r>
            <w:r>
              <w:rPr>
                <w:rFonts w:hint="eastAsia" w:ascii="宋体" w:hAnsi="宋体"/>
                <w:color w:val="auto"/>
                <w:szCs w:val="21"/>
                <w:highlight w:val="none"/>
              </w:rPr>
              <w:t>；</w:t>
            </w:r>
            <w:r>
              <w:rPr>
                <w:rFonts w:ascii="宋体" w:hAnsi="宋体"/>
                <w:color w:val="auto"/>
                <w:szCs w:val="21"/>
                <w:highlight w:val="none"/>
              </w:rPr>
              <w:t>12</w:t>
            </w:r>
            <w:r>
              <w:rPr>
                <w:rFonts w:hint="eastAsia" w:ascii="宋体" w:hAnsi="宋体"/>
                <w:color w:val="auto"/>
                <w:szCs w:val="21"/>
                <w:highlight w:val="none"/>
              </w:rPr>
              <w:t>周波故障录波、波形采样功能在电流、负荷等参数越限时可以启动预警功能，自动记录越限后的波形，记录越限电流、负荷的最大值以及趋势；同时在发生事故跳闸后，智能装置可以记录故障前和故障后的一段波形，帮助运行人员进行事故分析，在最短的时间内找出事故的类型并加以预防；</w:t>
            </w:r>
            <w:r>
              <w:rPr>
                <w:rFonts w:ascii="宋体" w:hAnsi="宋体"/>
                <w:color w:val="auto"/>
                <w:szCs w:val="21"/>
                <w:highlight w:val="none"/>
              </w:rPr>
              <w:t>4</w:t>
            </w:r>
            <w:r>
              <w:rPr>
                <w:rFonts w:hint="eastAsia" w:ascii="宋体" w:hAnsi="宋体"/>
                <w:color w:val="auto"/>
                <w:szCs w:val="21"/>
                <w:highlight w:val="none"/>
              </w:rPr>
              <w:t>个</w:t>
            </w:r>
            <w:r>
              <w:rPr>
                <w:rFonts w:ascii="宋体" w:hAnsi="宋体"/>
                <w:color w:val="auto"/>
                <w:szCs w:val="21"/>
                <w:highlight w:val="none"/>
              </w:rPr>
              <w:t>DI</w:t>
            </w: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个</w:t>
            </w:r>
            <w:r>
              <w:rPr>
                <w:rFonts w:ascii="宋体" w:hAnsi="宋体"/>
                <w:color w:val="auto"/>
                <w:szCs w:val="21"/>
                <w:highlight w:val="none"/>
              </w:rPr>
              <w:t>DO</w:t>
            </w:r>
            <w:r>
              <w:rPr>
                <w:rFonts w:hint="eastAsia" w:ascii="宋体" w:hAnsi="宋体"/>
                <w:color w:val="auto"/>
                <w:szCs w:val="21"/>
                <w:highlight w:val="none"/>
              </w:rPr>
              <w:t>实现状态量采集（开关分合状态、开关故障状态等）和分合闸遥控功能；具有越限控制与报警、</w:t>
            </w:r>
            <w:r>
              <w:rPr>
                <w:rFonts w:ascii="宋体" w:hAnsi="宋体"/>
                <w:color w:val="auto"/>
                <w:szCs w:val="21"/>
                <w:highlight w:val="none"/>
              </w:rPr>
              <w:t>1ms</w:t>
            </w:r>
            <w:r>
              <w:rPr>
                <w:rFonts w:hint="eastAsia" w:ascii="宋体" w:hAnsi="宋体"/>
                <w:color w:val="auto"/>
                <w:szCs w:val="21"/>
                <w:highlight w:val="none"/>
              </w:rPr>
              <w:t>的事件顺序记录，同时具有</w:t>
            </w:r>
            <w:r>
              <w:rPr>
                <w:rFonts w:ascii="宋体" w:hAnsi="宋体"/>
                <w:color w:val="auto"/>
                <w:szCs w:val="21"/>
                <w:highlight w:val="none"/>
              </w:rPr>
              <w:t>2—31</w:t>
            </w:r>
            <w:r>
              <w:rPr>
                <w:rFonts w:hint="eastAsia" w:ascii="宋体" w:hAnsi="宋体"/>
                <w:color w:val="auto"/>
                <w:szCs w:val="21"/>
                <w:highlight w:val="none"/>
              </w:rPr>
              <w:t>次谐波分析。标准的</w:t>
            </w:r>
            <w:r>
              <w:rPr>
                <w:rFonts w:ascii="宋体" w:hAnsi="宋体"/>
                <w:color w:val="auto"/>
                <w:szCs w:val="21"/>
                <w:highlight w:val="none"/>
              </w:rPr>
              <w:t>RS485</w:t>
            </w:r>
            <w:r>
              <w:rPr>
                <w:rFonts w:hint="eastAsia" w:ascii="宋体" w:hAnsi="宋体"/>
                <w:color w:val="auto"/>
                <w:szCs w:val="21"/>
                <w:highlight w:val="none"/>
              </w:rPr>
              <w:t>通讯接口，支持</w:t>
            </w:r>
            <w:r>
              <w:rPr>
                <w:rFonts w:ascii="宋体" w:hAnsi="宋体"/>
                <w:color w:val="auto"/>
                <w:szCs w:val="21"/>
                <w:highlight w:val="none"/>
              </w:rPr>
              <w:t>MODBUS</w:t>
            </w:r>
            <w:r>
              <w:rPr>
                <w:rFonts w:hint="eastAsia" w:ascii="宋体" w:hAnsi="宋体"/>
                <w:color w:val="auto"/>
                <w:szCs w:val="21"/>
                <w:highlight w:val="none"/>
              </w:rPr>
              <w:t>通讯协议。</w:t>
            </w:r>
          </w:p>
          <w:p>
            <w:pPr>
              <w:adjustRightInd w:val="0"/>
              <w:snapToGrid w:val="0"/>
              <w:spacing w:line="360" w:lineRule="auto"/>
              <w:rPr>
                <w:rFonts w:ascii="宋体" w:hAnsi="宋体"/>
                <w:color w:val="auto"/>
                <w:szCs w:val="21"/>
                <w:highlight w:val="none"/>
              </w:rPr>
            </w:pPr>
            <w:r>
              <w:rPr>
                <w:rFonts w:ascii="宋体" w:hAnsi="宋体"/>
                <w:color w:val="auto"/>
                <w:szCs w:val="21"/>
                <w:highlight w:val="none"/>
              </w:rPr>
              <w:t>1.2</w:t>
            </w:r>
            <w:r>
              <w:rPr>
                <w:rFonts w:hint="eastAsia" w:ascii="宋体" w:hAnsi="宋体"/>
                <w:color w:val="auto"/>
                <w:szCs w:val="21"/>
                <w:highlight w:val="none"/>
              </w:rPr>
              <w:t>、监控装置采用大屏幕液晶显示，应能同时显示四组不同的测量值和开关量的状态；液晶显示尺寸应达到</w:t>
            </w:r>
            <w:r>
              <w:rPr>
                <w:rFonts w:ascii="宋体" w:hAnsi="宋体"/>
                <w:color w:val="auto"/>
                <w:szCs w:val="21"/>
                <w:highlight w:val="none"/>
              </w:rPr>
              <w:t>60mm</w:t>
            </w:r>
            <w:r>
              <w:rPr>
                <w:rFonts w:hint="eastAsia" w:ascii="宋体" w:hAnsi="宋体"/>
                <w:color w:val="auto"/>
                <w:szCs w:val="21"/>
                <w:highlight w:val="none"/>
              </w:rPr>
              <w:t>×</w:t>
            </w:r>
            <w:r>
              <w:rPr>
                <w:rFonts w:ascii="宋体" w:hAnsi="宋体"/>
                <w:color w:val="auto"/>
                <w:szCs w:val="21"/>
                <w:highlight w:val="none"/>
              </w:rPr>
              <w:t>60mm</w:t>
            </w:r>
            <w:r>
              <w:rPr>
                <w:rFonts w:hint="eastAsia" w:ascii="宋体" w:hAnsi="宋体"/>
                <w:color w:val="auto"/>
                <w:szCs w:val="21"/>
                <w:highlight w:val="none"/>
              </w:rPr>
              <w:t>及以上。</w:t>
            </w:r>
          </w:p>
          <w:p>
            <w:pPr>
              <w:adjustRightInd w:val="0"/>
              <w:snapToGri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、变压器低压主进线回路</w:t>
            </w:r>
          </w:p>
          <w:p>
            <w:pPr>
              <w:adjustRightInd w:val="0"/>
              <w:snapToGrid w:val="0"/>
              <w:spacing w:line="360" w:lineRule="auto"/>
              <w:rPr>
                <w:rFonts w:ascii="宋体" w:hAnsi="宋体"/>
                <w:color w:val="auto"/>
                <w:szCs w:val="21"/>
                <w:highlight w:val="none"/>
              </w:rPr>
            </w:pPr>
            <w:r>
              <w:rPr>
                <w:rFonts w:ascii="宋体" w:hAnsi="宋体"/>
                <w:color w:val="auto"/>
                <w:szCs w:val="21"/>
                <w:highlight w:val="none"/>
              </w:rPr>
              <w:t>2.1</w:t>
            </w:r>
            <w:r>
              <w:rPr>
                <w:rFonts w:hint="eastAsia" w:ascii="宋体" w:hAnsi="宋体"/>
                <w:color w:val="auto"/>
                <w:szCs w:val="21"/>
                <w:highlight w:val="none"/>
              </w:rPr>
              <w:t>、装置选型：选配国内知名品牌的三相智能监控装置，采用分布式</w:t>
            </w:r>
            <w:r>
              <w:rPr>
                <w:rFonts w:ascii="宋体" w:hAnsi="宋体"/>
                <w:color w:val="auto"/>
                <w:szCs w:val="21"/>
                <w:highlight w:val="none"/>
              </w:rPr>
              <w:t>“</w:t>
            </w:r>
            <w:r>
              <w:rPr>
                <w:rFonts w:hint="eastAsia" w:ascii="宋体" w:hAnsi="宋体"/>
                <w:color w:val="auto"/>
                <w:szCs w:val="21"/>
                <w:highlight w:val="none"/>
              </w:rPr>
              <w:t>一对一</w:t>
            </w:r>
            <w:r>
              <w:rPr>
                <w:rFonts w:ascii="宋体" w:hAnsi="宋体"/>
                <w:color w:val="auto"/>
                <w:szCs w:val="21"/>
                <w:highlight w:val="none"/>
              </w:rPr>
              <w:t>”</w:t>
            </w:r>
            <w:r>
              <w:rPr>
                <w:rFonts w:hint="eastAsia" w:ascii="宋体" w:hAnsi="宋体"/>
                <w:color w:val="auto"/>
                <w:szCs w:val="21"/>
                <w:highlight w:val="none"/>
              </w:rPr>
              <w:t>的配置方式。可实现以下功能：测量一回线路或设备的全部三相电量：</w:t>
            </w:r>
            <w:r>
              <w:rPr>
                <w:rFonts w:ascii="宋体" w:hAnsi="宋体"/>
                <w:color w:val="auto"/>
                <w:szCs w:val="21"/>
                <w:highlight w:val="none"/>
              </w:rPr>
              <w:t>U</w:t>
            </w:r>
            <w:r>
              <w:rPr>
                <w:rFonts w:hint="eastAsia" w:ascii="宋体" w:hAnsi="宋体"/>
                <w:color w:val="auto"/>
                <w:szCs w:val="21"/>
                <w:highlight w:val="none"/>
              </w:rPr>
              <w:t>、</w:t>
            </w:r>
            <w:r>
              <w:rPr>
                <w:rFonts w:ascii="宋体" w:hAnsi="宋体"/>
                <w:color w:val="auto"/>
                <w:szCs w:val="21"/>
                <w:highlight w:val="none"/>
              </w:rPr>
              <w:t>I</w:t>
            </w:r>
            <w:r>
              <w:rPr>
                <w:rFonts w:hint="eastAsia" w:ascii="宋体" w:hAnsi="宋体"/>
                <w:color w:val="auto"/>
                <w:szCs w:val="21"/>
                <w:highlight w:val="none"/>
              </w:rPr>
              <w:t>、</w:t>
            </w:r>
            <w:r>
              <w:rPr>
                <w:rFonts w:ascii="宋体" w:hAnsi="宋体"/>
                <w:color w:val="auto"/>
                <w:szCs w:val="21"/>
                <w:highlight w:val="none"/>
              </w:rPr>
              <w:t>P</w:t>
            </w:r>
            <w:r>
              <w:rPr>
                <w:rFonts w:hint="eastAsia" w:ascii="宋体" w:hAnsi="宋体"/>
                <w:color w:val="auto"/>
                <w:szCs w:val="21"/>
                <w:highlight w:val="none"/>
              </w:rPr>
              <w:t>、</w:t>
            </w:r>
            <w:r>
              <w:rPr>
                <w:rFonts w:ascii="宋体" w:hAnsi="宋体"/>
                <w:color w:val="auto"/>
                <w:szCs w:val="21"/>
                <w:highlight w:val="none"/>
              </w:rPr>
              <w:t>Q</w:t>
            </w:r>
            <w:r>
              <w:rPr>
                <w:rFonts w:hint="eastAsia" w:ascii="宋体" w:hAnsi="宋体"/>
                <w:color w:val="auto"/>
                <w:szCs w:val="21"/>
                <w:highlight w:val="none"/>
              </w:rPr>
              <w:t>、</w:t>
            </w:r>
            <w:r>
              <w:rPr>
                <w:rFonts w:ascii="宋体" w:hAnsi="宋体"/>
                <w:color w:val="auto"/>
                <w:szCs w:val="21"/>
                <w:highlight w:val="none"/>
              </w:rPr>
              <w:t>Cosφ</w:t>
            </w:r>
            <w:r>
              <w:rPr>
                <w:rFonts w:hint="eastAsia" w:ascii="宋体" w:hAnsi="宋体"/>
                <w:color w:val="auto"/>
                <w:szCs w:val="21"/>
                <w:highlight w:val="none"/>
              </w:rPr>
              <w:t>、</w:t>
            </w:r>
            <w:r>
              <w:rPr>
                <w:rFonts w:ascii="宋体" w:hAnsi="宋体"/>
                <w:color w:val="auto"/>
                <w:szCs w:val="21"/>
                <w:highlight w:val="none"/>
              </w:rPr>
              <w:t>kWh</w:t>
            </w:r>
            <w:r>
              <w:rPr>
                <w:rFonts w:hint="eastAsia" w:ascii="宋体" w:hAnsi="宋体"/>
                <w:color w:val="auto"/>
                <w:szCs w:val="21"/>
                <w:highlight w:val="none"/>
              </w:rPr>
              <w:t>、</w:t>
            </w:r>
            <w:r>
              <w:rPr>
                <w:rFonts w:ascii="宋体" w:hAnsi="宋体"/>
                <w:color w:val="auto"/>
                <w:szCs w:val="21"/>
                <w:highlight w:val="none"/>
              </w:rPr>
              <w:t>kVarh</w:t>
            </w:r>
            <w:r>
              <w:rPr>
                <w:rFonts w:hint="eastAsia" w:ascii="宋体" w:hAnsi="宋体"/>
                <w:color w:val="auto"/>
                <w:szCs w:val="21"/>
                <w:highlight w:val="none"/>
              </w:rPr>
              <w:t>、</w:t>
            </w:r>
            <w:r>
              <w:rPr>
                <w:rFonts w:ascii="宋体" w:hAnsi="宋体"/>
                <w:color w:val="auto"/>
                <w:szCs w:val="21"/>
                <w:highlight w:val="none"/>
              </w:rPr>
              <w:t>f</w:t>
            </w:r>
            <w:r>
              <w:rPr>
                <w:rFonts w:hint="eastAsia" w:ascii="宋体" w:hAnsi="宋体"/>
                <w:color w:val="auto"/>
                <w:szCs w:val="21"/>
                <w:highlight w:val="none"/>
              </w:rPr>
              <w:t>；</w:t>
            </w:r>
            <w:r>
              <w:rPr>
                <w:rFonts w:ascii="宋体" w:hAnsi="宋体"/>
                <w:color w:val="auto"/>
                <w:szCs w:val="21"/>
                <w:highlight w:val="none"/>
              </w:rPr>
              <w:t>12</w:t>
            </w:r>
            <w:r>
              <w:rPr>
                <w:rFonts w:hint="eastAsia" w:ascii="宋体" w:hAnsi="宋体"/>
                <w:color w:val="auto"/>
                <w:szCs w:val="21"/>
                <w:highlight w:val="none"/>
              </w:rPr>
              <w:t>周波故障录波、波形采样功能在电流、负荷等参数越限时可以启动预警功能，自动记录越限后的波形，记录越限电流、负荷的最大值以及趋势；同时在发生事故跳闸后，智能装置可以记录故障前和故障后的一段波形，帮助运行人员进行事故分析，在最短的时间内找出事故的类型并加以预防；</w:t>
            </w:r>
            <w:r>
              <w:rPr>
                <w:rFonts w:ascii="宋体" w:hAnsi="宋体"/>
                <w:color w:val="auto"/>
                <w:szCs w:val="21"/>
                <w:highlight w:val="none"/>
              </w:rPr>
              <w:t>4</w:t>
            </w:r>
            <w:r>
              <w:rPr>
                <w:rFonts w:hint="eastAsia" w:ascii="宋体" w:hAnsi="宋体"/>
                <w:color w:val="auto"/>
                <w:szCs w:val="21"/>
                <w:highlight w:val="none"/>
              </w:rPr>
              <w:t>个</w:t>
            </w:r>
            <w:r>
              <w:rPr>
                <w:rFonts w:ascii="宋体" w:hAnsi="宋体"/>
                <w:color w:val="auto"/>
                <w:szCs w:val="21"/>
                <w:highlight w:val="none"/>
              </w:rPr>
              <w:t>DI</w:t>
            </w: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个</w:t>
            </w:r>
            <w:r>
              <w:rPr>
                <w:rFonts w:ascii="宋体" w:hAnsi="宋体"/>
                <w:color w:val="auto"/>
                <w:szCs w:val="21"/>
                <w:highlight w:val="none"/>
              </w:rPr>
              <w:t>DO</w:t>
            </w:r>
            <w:r>
              <w:rPr>
                <w:rFonts w:hint="eastAsia" w:ascii="宋体" w:hAnsi="宋体"/>
                <w:color w:val="auto"/>
                <w:szCs w:val="21"/>
                <w:highlight w:val="none"/>
              </w:rPr>
              <w:t>实现状态量采集（开关分合状态、开关故障状态等）和分合闸遥控功能；具有越限控制与报警、</w:t>
            </w:r>
            <w:r>
              <w:rPr>
                <w:rFonts w:ascii="宋体" w:hAnsi="宋体"/>
                <w:color w:val="auto"/>
                <w:szCs w:val="21"/>
                <w:highlight w:val="none"/>
              </w:rPr>
              <w:t>1ms</w:t>
            </w:r>
            <w:r>
              <w:rPr>
                <w:rFonts w:hint="eastAsia" w:ascii="宋体" w:hAnsi="宋体"/>
                <w:color w:val="auto"/>
                <w:szCs w:val="21"/>
                <w:highlight w:val="none"/>
              </w:rPr>
              <w:t>的事件顺序记录，同时具有</w:t>
            </w:r>
            <w:r>
              <w:rPr>
                <w:rFonts w:ascii="宋体" w:hAnsi="宋体"/>
                <w:color w:val="auto"/>
                <w:szCs w:val="21"/>
                <w:highlight w:val="none"/>
              </w:rPr>
              <w:t>2—31</w:t>
            </w:r>
            <w:r>
              <w:rPr>
                <w:rFonts w:hint="eastAsia" w:ascii="宋体" w:hAnsi="宋体"/>
                <w:color w:val="auto"/>
                <w:szCs w:val="21"/>
                <w:highlight w:val="none"/>
              </w:rPr>
              <w:t>次谐波分析。标准的</w:t>
            </w:r>
            <w:r>
              <w:rPr>
                <w:rFonts w:ascii="宋体" w:hAnsi="宋体"/>
                <w:color w:val="auto"/>
                <w:szCs w:val="21"/>
                <w:highlight w:val="none"/>
              </w:rPr>
              <w:t>RS485</w:t>
            </w:r>
            <w:r>
              <w:rPr>
                <w:rFonts w:hint="eastAsia" w:ascii="宋体" w:hAnsi="宋体"/>
                <w:color w:val="auto"/>
                <w:szCs w:val="21"/>
                <w:highlight w:val="none"/>
              </w:rPr>
              <w:t>通讯接口，支持</w:t>
            </w:r>
            <w:r>
              <w:rPr>
                <w:rFonts w:ascii="宋体" w:hAnsi="宋体"/>
                <w:color w:val="auto"/>
                <w:szCs w:val="21"/>
                <w:highlight w:val="none"/>
              </w:rPr>
              <w:t>MODBUS</w:t>
            </w:r>
            <w:r>
              <w:rPr>
                <w:rFonts w:hint="eastAsia" w:ascii="宋体" w:hAnsi="宋体"/>
                <w:color w:val="auto"/>
                <w:szCs w:val="21"/>
                <w:highlight w:val="none"/>
              </w:rPr>
              <w:t>通讯协议。</w:t>
            </w:r>
          </w:p>
          <w:p>
            <w:pPr>
              <w:adjustRightInd w:val="0"/>
              <w:snapToGrid w:val="0"/>
              <w:spacing w:line="360" w:lineRule="auto"/>
              <w:rPr>
                <w:rFonts w:ascii="宋体" w:hAnsi="宋体"/>
                <w:color w:val="auto"/>
                <w:szCs w:val="21"/>
                <w:highlight w:val="none"/>
              </w:rPr>
            </w:pPr>
            <w:r>
              <w:rPr>
                <w:rFonts w:ascii="宋体" w:hAnsi="宋体"/>
                <w:color w:val="auto"/>
                <w:szCs w:val="21"/>
                <w:highlight w:val="none"/>
              </w:rPr>
              <w:t>2.2</w:t>
            </w:r>
            <w:r>
              <w:rPr>
                <w:rFonts w:hint="eastAsia" w:ascii="宋体" w:hAnsi="宋体"/>
                <w:color w:val="auto"/>
                <w:szCs w:val="21"/>
                <w:highlight w:val="none"/>
              </w:rPr>
              <w:t>、监控装置采用大屏幕液晶显示，应能同时显示四组不同的测量值和开关量的状态；液晶显示尺寸应达到</w:t>
            </w:r>
            <w:r>
              <w:rPr>
                <w:rFonts w:ascii="宋体" w:hAnsi="宋体"/>
                <w:color w:val="auto"/>
                <w:szCs w:val="21"/>
                <w:highlight w:val="none"/>
              </w:rPr>
              <w:t>60mm</w:t>
            </w:r>
            <w:r>
              <w:rPr>
                <w:rFonts w:hint="eastAsia" w:ascii="宋体" w:hAnsi="宋体"/>
                <w:color w:val="auto"/>
                <w:szCs w:val="21"/>
                <w:highlight w:val="none"/>
              </w:rPr>
              <w:t>×</w:t>
            </w:r>
            <w:r>
              <w:rPr>
                <w:rFonts w:ascii="宋体" w:hAnsi="宋体"/>
                <w:color w:val="auto"/>
                <w:szCs w:val="21"/>
                <w:highlight w:val="none"/>
              </w:rPr>
              <w:t>60mm</w:t>
            </w:r>
            <w:r>
              <w:rPr>
                <w:rFonts w:hint="eastAsia" w:ascii="宋体" w:hAnsi="宋体"/>
                <w:color w:val="auto"/>
                <w:szCs w:val="21"/>
                <w:highlight w:val="none"/>
              </w:rPr>
              <w:t>及以上。</w:t>
            </w:r>
          </w:p>
          <w:p>
            <w:pPr>
              <w:adjustRightInd w:val="0"/>
              <w:snapToGri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、母联柜回路、电容柜无功补偿回路</w:t>
            </w:r>
          </w:p>
          <w:p>
            <w:pPr>
              <w:adjustRightInd w:val="0"/>
              <w:snapToGrid w:val="0"/>
              <w:spacing w:line="360" w:lineRule="auto"/>
              <w:rPr>
                <w:rFonts w:ascii="宋体" w:hAnsi="宋体"/>
                <w:color w:val="auto"/>
                <w:szCs w:val="21"/>
                <w:highlight w:val="none"/>
              </w:rPr>
            </w:pPr>
            <w:r>
              <w:rPr>
                <w:rFonts w:ascii="宋体" w:hAnsi="宋体"/>
                <w:color w:val="auto"/>
                <w:szCs w:val="21"/>
                <w:highlight w:val="none"/>
              </w:rPr>
              <w:t>3.1</w:t>
            </w:r>
            <w:r>
              <w:rPr>
                <w:rFonts w:hint="eastAsia" w:ascii="宋体" w:hAnsi="宋体"/>
                <w:color w:val="auto"/>
                <w:szCs w:val="21"/>
                <w:highlight w:val="none"/>
              </w:rPr>
              <w:t>、装置选型：选配国内知名品牌的三相智能监控装置，采用分布式</w:t>
            </w:r>
            <w:r>
              <w:rPr>
                <w:rFonts w:ascii="宋体" w:hAnsi="宋体"/>
                <w:color w:val="auto"/>
                <w:szCs w:val="21"/>
                <w:highlight w:val="none"/>
              </w:rPr>
              <w:t>“</w:t>
            </w:r>
            <w:r>
              <w:rPr>
                <w:rFonts w:hint="eastAsia" w:ascii="宋体" w:hAnsi="宋体"/>
                <w:color w:val="auto"/>
                <w:szCs w:val="21"/>
                <w:highlight w:val="none"/>
              </w:rPr>
              <w:t>一对一</w:t>
            </w:r>
            <w:r>
              <w:rPr>
                <w:rFonts w:ascii="宋体" w:hAnsi="宋体"/>
                <w:color w:val="auto"/>
                <w:szCs w:val="21"/>
                <w:highlight w:val="none"/>
              </w:rPr>
              <w:t>”</w:t>
            </w:r>
            <w:r>
              <w:rPr>
                <w:rFonts w:hint="eastAsia" w:ascii="宋体" w:hAnsi="宋体"/>
                <w:color w:val="auto"/>
                <w:szCs w:val="21"/>
                <w:highlight w:val="none"/>
              </w:rPr>
              <w:t>的配置方式。可实现以下功能：测量一回线路或设备的全部三相电量：</w:t>
            </w:r>
            <w:r>
              <w:rPr>
                <w:rFonts w:ascii="宋体" w:hAnsi="宋体"/>
                <w:color w:val="auto"/>
                <w:szCs w:val="21"/>
                <w:highlight w:val="none"/>
              </w:rPr>
              <w:t>U</w:t>
            </w:r>
            <w:r>
              <w:rPr>
                <w:rFonts w:hint="eastAsia" w:ascii="宋体" w:hAnsi="宋体"/>
                <w:color w:val="auto"/>
                <w:szCs w:val="21"/>
                <w:highlight w:val="none"/>
              </w:rPr>
              <w:t>、</w:t>
            </w:r>
            <w:r>
              <w:rPr>
                <w:rFonts w:ascii="宋体" w:hAnsi="宋体"/>
                <w:color w:val="auto"/>
                <w:szCs w:val="21"/>
                <w:highlight w:val="none"/>
              </w:rPr>
              <w:t>I</w:t>
            </w:r>
            <w:r>
              <w:rPr>
                <w:rFonts w:hint="eastAsia" w:ascii="宋体" w:hAnsi="宋体"/>
                <w:color w:val="auto"/>
                <w:szCs w:val="21"/>
                <w:highlight w:val="none"/>
              </w:rPr>
              <w:t>、</w:t>
            </w:r>
            <w:r>
              <w:rPr>
                <w:rFonts w:ascii="宋体" w:hAnsi="宋体"/>
                <w:color w:val="auto"/>
                <w:szCs w:val="21"/>
                <w:highlight w:val="none"/>
              </w:rPr>
              <w:t>P</w:t>
            </w:r>
            <w:r>
              <w:rPr>
                <w:rFonts w:hint="eastAsia" w:ascii="宋体" w:hAnsi="宋体"/>
                <w:color w:val="auto"/>
                <w:szCs w:val="21"/>
                <w:highlight w:val="none"/>
              </w:rPr>
              <w:t>、</w:t>
            </w:r>
            <w:r>
              <w:rPr>
                <w:rFonts w:ascii="宋体" w:hAnsi="宋体"/>
                <w:color w:val="auto"/>
                <w:szCs w:val="21"/>
                <w:highlight w:val="none"/>
              </w:rPr>
              <w:t>Q</w:t>
            </w:r>
            <w:r>
              <w:rPr>
                <w:rFonts w:hint="eastAsia" w:ascii="宋体" w:hAnsi="宋体"/>
                <w:color w:val="auto"/>
                <w:szCs w:val="21"/>
                <w:highlight w:val="none"/>
              </w:rPr>
              <w:t>、</w:t>
            </w:r>
            <w:r>
              <w:rPr>
                <w:rFonts w:ascii="宋体" w:hAnsi="宋体"/>
                <w:color w:val="auto"/>
                <w:szCs w:val="21"/>
                <w:highlight w:val="none"/>
              </w:rPr>
              <w:t>Cosφ</w:t>
            </w:r>
            <w:r>
              <w:rPr>
                <w:rFonts w:hint="eastAsia" w:ascii="宋体" w:hAnsi="宋体"/>
                <w:color w:val="auto"/>
                <w:szCs w:val="21"/>
                <w:highlight w:val="none"/>
              </w:rPr>
              <w:t>、</w:t>
            </w:r>
            <w:r>
              <w:rPr>
                <w:rFonts w:ascii="宋体" w:hAnsi="宋体"/>
                <w:color w:val="auto"/>
                <w:szCs w:val="21"/>
                <w:highlight w:val="none"/>
              </w:rPr>
              <w:t>kWh</w:t>
            </w:r>
            <w:r>
              <w:rPr>
                <w:rFonts w:hint="eastAsia" w:ascii="宋体" w:hAnsi="宋体"/>
                <w:color w:val="auto"/>
                <w:szCs w:val="21"/>
                <w:highlight w:val="none"/>
              </w:rPr>
              <w:t>、</w:t>
            </w:r>
            <w:r>
              <w:rPr>
                <w:rFonts w:ascii="宋体" w:hAnsi="宋体"/>
                <w:color w:val="auto"/>
                <w:szCs w:val="21"/>
                <w:highlight w:val="none"/>
              </w:rPr>
              <w:t>kVarh</w:t>
            </w:r>
            <w:r>
              <w:rPr>
                <w:rFonts w:hint="eastAsia" w:ascii="宋体" w:hAnsi="宋体"/>
                <w:color w:val="auto"/>
                <w:szCs w:val="21"/>
                <w:highlight w:val="none"/>
              </w:rPr>
              <w:t>、</w:t>
            </w:r>
            <w:r>
              <w:rPr>
                <w:rFonts w:ascii="宋体" w:hAnsi="宋体"/>
                <w:color w:val="auto"/>
                <w:szCs w:val="21"/>
                <w:highlight w:val="none"/>
              </w:rPr>
              <w:t>f</w:t>
            </w:r>
            <w:r>
              <w:rPr>
                <w:rFonts w:hint="eastAsia" w:ascii="宋体" w:hAnsi="宋体"/>
                <w:color w:val="auto"/>
                <w:szCs w:val="21"/>
                <w:highlight w:val="none"/>
              </w:rPr>
              <w:t>；可用于监视断路器、刀闸状态和控制输出继电器；还具有越限控制与报警、事件顺序记录功能；实现</w:t>
            </w:r>
            <w:r>
              <w:rPr>
                <w:rFonts w:ascii="宋体" w:hAnsi="宋体"/>
                <w:color w:val="auto"/>
                <w:szCs w:val="21"/>
                <w:highlight w:val="none"/>
              </w:rPr>
              <w:t>4</w:t>
            </w:r>
            <w:r>
              <w:rPr>
                <w:rFonts w:hint="eastAsia" w:ascii="宋体" w:hAnsi="宋体"/>
                <w:color w:val="auto"/>
                <w:szCs w:val="21"/>
                <w:highlight w:val="none"/>
              </w:rPr>
              <w:t>个开关量监视、</w:t>
            </w:r>
            <w:r>
              <w:rPr>
                <w:rFonts w:ascii="宋体" w:hAnsi="宋体"/>
                <w:color w:val="auto"/>
                <w:szCs w:val="21"/>
                <w:highlight w:val="none"/>
              </w:rPr>
              <w:t>2</w:t>
            </w:r>
            <w:r>
              <w:rPr>
                <w:rFonts w:hint="eastAsia" w:ascii="宋体" w:hAnsi="宋体"/>
                <w:color w:val="auto"/>
                <w:szCs w:val="21"/>
                <w:highlight w:val="none"/>
              </w:rPr>
              <w:t>个开关量输出。同时具有</w:t>
            </w:r>
            <w:r>
              <w:rPr>
                <w:rFonts w:ascii="宋体" w:hAnsi="宋体"/>
                <w:color w:val="auto"/>
                <w:szCs w:val="21"/>
                <w:highlight w:val="none"/>
              </w:rPr>
              <w:t>2—31</w:t>
            </w:r>
            <w:r>
              <w:rPr>
                <w:rFonts w:hint="eastAsia" w:ascii="宋体" w:hAnsi="宋体"/>
                <w:color w:val="auto"/>
                <w:szCs w:val="21"/>
                <w:highlight w:val="none"/>
              </w:rPr>
              <w:t>次谐波分析。标准的</w:t>
            </w:r>
            <w:r>
              <w:rPr>
                <w:rFonts w:ascii="宋体" w:hAnsi="宋体"/>
                <w:color w:val="auto"/>
                <w:szCs w:val="21"/>
                <w:highlight w:val="none"/>
              </w:rPr>
              <w:t>RS485</w:t>
            </w:r>
            <w:r>
              <w:rPr>
                <w:rFonts w:hint="eastAsia" w:ascii="宋体" w:hAnsi="宋体"/>
                <w:color w:val="auto"/>
                <w:szCs w:val="21"/>
                <w:highlight w:val="none"/>
              </w:rPr>
              <w:t>通讯接口，支持</w:t>
            </w:r>
            <w:r>
              <w:rPr>
                <w:rFonts w:ascii="宋体" w:hAnsi="宋体"/>
                <w:color w:val="auto"/>
                <w:szCs w:val="21"/>
                <w:highlight w:val="none"/>
              </w:rPr>
              <w:t>MODBUS</w:t>
            </w:r>
            <w:r>
              <w:rPr>
                <w:rFonts w:hint="eastAsia" w:ascii="宋体" w:hAnsi="宋体"/>
                <w:color w:val="auto"/>
                <w:szCs w:val="21"/>
                <w:highlight w:val="none"/>
              </w:rPr>
              <w:t>通讯协议。</w:t>
            </w:r>
          </w:p>
          <w:p>
            <w:pPr>
              <w:adjustRightInd w:val="0"/>
              <w:snapToGrid w:val="0"/>
              <w:spacing w:line="360" w:lineRule="auto"/>
              <w:rPr>
                <w:rFonts w:ascii="宋体" w:hAnsi="宋体"/>
                <w:color w:val="auto"/>
                <w:szCs w:val="21"/>
                <w:highlight w:val="none"/>
              </w:rPr>
            </w:pPr>
            <w:r>
              <w:rPr>
                <w:rFonts w:ascii="宋体" w:hAnsi="宋体"/>
                <w:color w:val="auto"/>
                <w:szCs w:val="21"/>
                <w:highlight w:val="none"/>
              </w:rPr>
              <w:t>3.2</w:t>
            </w:r>
            <w:r>
              <w:rPr>
                <w:rFonts w:hint="eastAsia" w:ascii="宋体" w:hAnsi="宋体"/>
                <w:color w:val="auto"/>
                <w:szCs w:val="21"/>
                <w:highlight w:val="none"/>
              </w:rPr>
              <w:t>、监控装置采用大屏幕液晶显示，应能同时显示四组不同的测量值和开关量的状态；液晶显示尺寸应达到</w:t>
            </w:r>
            <w:r>
              <w:rPr>
                <w:rFonts w:ascii="宋体" w:hAnsi="宋体"/>
                <w:color w:val="auto"/>
                <w:szCs w:val="21"/>
                <w:highlight w:val="none"/>
              </w:rPr>
              <w:t>60mm</w:t>
            </w:r>
            <w:r>
              <w:rPr>
                <w:rFonts w:hint="eastAsia" w:ascii="宋体" w:hAnsi="宋体"/>
                <w:color w:val="auto"/>
                <w:szCs w:val="21"/>
                <w:highlight w:val="none"/>
              </w:rPr>
              <w:t>×</w:t>
            </w:r>
            <w:r>
              <w:rPr>
                <w:rFonts w:ascii="宋体" w:hAnsi="宋体"/>
                <w:color w:val="auto"/>
                <w:szCs w:val="21"/>
                <w:highlight w:val="none"/>
              </w:rPr>
              <w:t>60mm</w:t>
            </w:r>
            <w:r>
              <w:rPr>
                <w:rFonts w:hint="eastAsia" w:ascii="宋体" w:hAnsi="宋体"/>
                <w:color w:val="auto"/>
                <w:szCs w:val="21"/>
                <w:highlight w:val="none"/>
              </w:rPr>
              <w:t>及以上</w:t>
            </w:r>
          </w:p>
          <w:p>
            <w:pPr>
              <w:adjustRightInd w:val="0"/>
              <w:snapToGri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、低压其他所有馈线开关回路监控装置</w:t>
            </w:r>
          </w:p>
          <w:p>
            <w:pPr>
              <w:adjustRightInd w:val="0"/>
              <w:snapToGrid w:val="0"/>
              <w:spacing w:line="360" w:lineRule="auto"/>
              <w:rPr>
                <w:rFonts w:ascii="宋体" w:hAnsi="宋体"/>
                <w:color w:val="auto"/>
                <w:szCs w:val="21"/>
                <w:highlight w:val="none"/>
              </w:rPr>
            </w:pPr>
            <w:r>
              <w:rPr>
                <w:rFonts w:ascii="宋体" w:hAnsi="宋体"/>
                <w:color w:val="auto"/>
                <w:szCs w:val="21"/>
                <w:highlight w:val="none"/>
              </w:rPr>
              <w:t>4.1</w:t>
            </w:r>
            <w:r>
              <w:rPr>
                <w:rFonts w:hint="eastAsia" w:ascii="宋体" w:hAnsi="宋体"/>
                <w:color w:val="auto"/>
                <w:szCs w:val="21"/>
                <w:highlight w:val="none"/>
              </w:rPr>
              <w:t>、装置选型：配用多回路智能监控仪表。选配国内外知名品牌的多回路监控装置，一个监控装置可实现</w:t>
            </w:r>
            <w:r>
              <w:rPr>
                <w:rFonts w:ascii="宋体" w:hAnsi="宋体"/>
                <w:color w:val="auto"/>
                <w:szCs w:val="21"/>
                <w:highlight w:val="none"/>
              </w:rPr>
              <w:t>9</w:t>
            </w:r>
            <w:r>
              <w:rPr>
                <w:rFonts w:hint="eastAsia" w:ascii="宋体" w:hAnsi="宋体"/>
                <w:color w:val="auto"/>
                <w:szCs w:val="21"/>
                <w:highlight w:val="none"/>
              </w:rPr>
              <w:t>个单相回路或</w:t>
            </w:r>
            <w:r>
              <w:rPr>
                <w:rFonts w:ascii="宋体" w:hAnsi="宋体"/>
                <w:color w:val="auto"/>
                <w:szCs w:val="21"/>
                <w:highlight w:val="none"/>
              </w:rPr>
              <w:t>3</w:t>
            </w:r>
            <w:r>
              <w:rPr>
                <w:rFonts w:hint="eastAsia" w:ascii="宋体" w:hAnsi="宋体"/>
                <w:color w:val="auto"/>
                <w:szCs w:val="21"/>
                <w:highlight w:val="none"/>
              </w:rPr>
              <w:t>个三相回路设备的全部三相电量：</w:t>
            </w:r>
            <w:r>
              <w:rPr>
                <w:rFonts w:ascii="宋体" w:hAnsi="宋体"/>
                <w:color w:val="auto"/>
                <w:szCs w:val="21"/>
                <w:highlight w:val="none"/>
              </w:rPr>
              <w:t>U</w:t>
            </w:r>
            <w:r>
              <w:rPr>
                <w:rFonts w:hint="eastAsia" w:ascii="宋体" w:hAnsi="宋体"/>
                <w:color w:val="auto"/>
                <w:szCs w:val="21"/>
                <w:highlight w:val="none"/>
              </w:rPr>
              <w:t>、</w:t>
            </w:r>
            <w:r>
              <w:rPr>
                <w:rFonts w:ascii="宋体" w:hAnsi="宋体"/>
                <w:color w:val="auto"/>
                <w:szCs w:val="21"/>
                <w:highlight w:val="none"/>
              </w:rPr>
              <w:t>I</w:t>
            </w:r>
            <w:r>
              <w:rPr>
                <w:rFonts w:hint="eastAsia" w:ascii="宋体" w:hAnsi="宋体"/>
                <w:color w:val="auto"/>
                <w:szCs w:val="21"/>
                <w:highlight w:val="none"/>
              </w:rPr>
              <w:t>、</w:t>
            </w:r>
            <w:r>
              <w:rPr>
                <w:rFonts w:ascii="宋体" w:hAnsi="宋体"/>
                <w:color w:val="auto"/>
                <w:szCs w:val="21"/>
                <w:highlight w:val="none"/>
              </w:rPr>
              <w:t>P</w:t>
            </w:r>
            <w:r>
              <w:rPr>
                <w:rFonts w:hint="eastAsia" w:ascii="宋体" w:hAnsi="宋体"/>
                <w:color w:val="auto"/>
                <w:szCs w:val="21"/>
                <w:highlight w:val="none"/>
              </w:rPr>
              <w:t>、</w:t>
            </w:r>
            <w:r>
              <w:rPr>
                <w:rFonts w:ascii="宋体" w:hAnsi="宋体"/>
                <w:color w:val="auto"/>
                <w:szCs w:val="21"/>
                <w:highlight w:val="none"/>
              </w:rPr>
              <w:t>Q</w:t>
            </w:r>
            <w:r>
              <w:rPr>
                <w:rFonts w:hint="eastAsia" w:ascii="宋体" w:hAnsi="宋体"/>
                <w:color w:val="auto"/>
                <w:szCs w:val="21"/>
                <w:highlight w:val="none"/>
              </w:rPr>
              <w:t>、</w:t>
            </w:r>
            <w:r>
              <w:rPr>
                <w:rFonts w:ascii="宋体" w:hAnsi="宋体"/>
                <w:color w:val="auto"/>
                <w:szCs w:val="21"/>
                <w:highlight w:val="none"/>
              </w:rPr>
              <w:t>Cosφ</w:t>
            </w:r>
            <w:r>
              <w:rPr>
                <w:rFonts w:hint="eastAsia" w:ascii="宋体" w:hAnsi="宋体"/>
                <w:color w:val="auto"/>
                <w:szCs w:val="21"/>
                <w:highlight w:val="none"/>
              </w:rPr>
              <w:t>、</w:t>
            </w:r>
            <w:r>
              <w:rPr>
                <w:rFonts w:ascii="宋体" w:hAnsi="宋体"/>
                <w:color w:val="auto"/>
                <w:szCs w:val="21"/>
                <w:highlight w:val="none"/>
              </w:rPr>
              <w:t>kWh</w:t>
            </w:r>
            <w:r>
              <w:rPr>
                <w:rFonts w:hint="eastAsia" w:ascii="宋体" w:hAnsi="宋体"/>
                <w:color w:val="auto"/>
                <w:szCs w:val="21"/>
                <w:highlight w:val="none"/>
              </w:rPr>
              <w:t>、</w:t>
            </w:r>
            <w:r>
              <w:rPr>
                <w:rFonts w:ascii="宋体" w:hAnsi="宋体"/>
                <w:color w:val="auto"/>
                <w:szCs w:val="21"/>
                <w:highlight w:val="none"/>
              </w:rPr>
              <w:t>kVarh</w:t>
            </w:r>
            <w:r>
              <w:rPr>
                <w:rFonts w:hint="eastAsia" w:ascii="宋体" w:hAnsi="宋体"/>
                <w:color w:val="auto"/>
                <w:szCs w:val="21"/>
                <w:highlight w:val="none"/>
              </w:rPr>
              <w:t>、</w:t>
            </w:r>
            <w:r>
              <w:rPr>
                <w:rFonts w:ascii="宋体" w:hAnsi="宋体"/>
                <w:color w:val="auto"/>
                <w:szCs w:val="21"/>
                <w:highlight w:val="none"/>
              </w:rPr>
              <w:t>f</w:t>
            </w: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路电压、</w:t>
            </w:r>
            <w:r>
              <w:rPr>
                <w:rFonts w:ascii="宋体" w:hAnsi="宋体"/>
                <w:color w:val="auto"/>
                <w:szCs w:val="21"/>
                <w:highlight w:val="none"/>
              </w:rPr>
              <w:t>9</w:t>
            </w:r>
            <w:r>
              <w:rPr>
                <w:rFonts w:hint="eastAsia" w:ascii="宋体" w:hAnsi="宋体"/>
                <w:color w:val="auto"/>
                <w:szCs w:val="21"/>
                <w:highlight w:val="none"/>
              </w:rPr>
              <w:t>路电流输入；具有越限控制与报警、事件顺序记录功能；实现</w:t>
            </w:r>
            <w:r>
              <w:rPr>
                <w:rFonts w:ascii="宋体" w:hAnsi="宋体"/>
                <w:color w:val="auto"/>
                <w:szCs w:val="21"/>
                <w:highlight w:val="none"/>
              </w:rPr>
              <w:t>9</w:t>
            </w:r>
            <w:r>
              <w:rPr>
                <w:rFonts w:hint="eastAsia" w:ascii="宋体" w:hAnsi="宋体"/>
                <w:color w:val="auto"/>
                <w:szCs w:val="21"/>
                <w:highlight w:val="none"/>
              </w:rPr>
              <w:t>个开关量监视。标准的</w:t>
            </w:r>
            <w:r>
              <w:rPr>
                <w:rFonts w:ascii="宋体" w:hAnsi="宋体"/>
                <w:color w:val="auto"/>
                <w:szCs w:val="21"/>
                <w:highlight w:val="none"/>
              </w:rPr>
              <w:t>RS485</w:t>
            </w:r>
            <w:r>
              <w:rPr>
                <w:rFonts w:hint="eastAsia" w:ascii="宋体" w:hAnsi="宋体"/>
                <w:color w:val="auto"/>
                <w:szCs w:val="21"/>
                <w:highlight w:val="none"/>
              </w:rPr>
              <w:t>通讯接口，支持</w:t>
            </w:r>
            <w:r>
              <w:rPr>
                <w:rFonts w:ascii="宋体" w:hAnsi="宋体"/>
                <w:color w:val="auto"/>
                <w:szCs w:val="21"/>
                <w:highlight w:val="none"/>
              </w:rPr>
              <w:t>MODBUS</w:t>
            </w:r>
            <w:r>
              <w:rPr>
                <w:rFonts w:hint="eastAsia" w:ascii="宋体" w:hAnsi="宋体"/>
                <w:color w:val="auto"/>
                <w:szCs w:val="21"/>
                <w:highlight w:val="none"/>
              </w:rPr>
              <w:t>通讯协议。</w:t>
            </w:r>
          </w:p>
          <w:p>
            <w:pPr>
              <w:adjustRightInd w:val="0"/>
              <w:snapToGrid w:val="0"/>
              <w:spacing w:line="360" w:lineRule="auto"/>
              <w:rPr>
                <w:rFonts w:ascii="宋体" w:hAnsi="宋体"/>
                <w:color w:val="auto"/>
                <w:szCs w:val="21"/>
                <w:highlight w:val="none"/>
              </w:rPr>
            </w:pPr>
            <w:r>
              <w:rPr>
                <w:rFonts w:ascii="宋体" w:hAnsi="宋体"/>
                <w:color w:val="auto"/>
                <w:szCs w:val="21"/>
                <w:highlight w:val="none"/>
              </w:rPr>
              <w:t>4.2</w:t>
            </w:r>
            <w:r>
              <w:rPr>
                <w:rFonts w:hint="eastAsia" w:ascii="宋体" w:hAnsi="宋体"/>
                <w:color w:val="auto"/>
                <w:szCs w:val="21"/>
                <w:highlight w:val="none"/>
              </w:rPr>
              <w:t>、监控装置采用液晶显示面板，应在装置本体及上位机都能显示不同回路的测量值和开关量的状态。</w:t>
            </w:r>
          </w:p>
          <w:p>
            <w:pPr>
              <w:adjustRightInd w:val="0"/>
              <w:snapToGrid w:val="0"/>
              <w:spacing w:line="360" w:lineRule="auto"/>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、主控层硬件配置</w:t>
            </w:r>
          </w:p>
          <w:p>
            <w:pPr>
              <w:adjustRightInd w:val="0"/>
              <w:snapToGrid w:val="0"/>
              <w:spacing w:line="360" w:lineRule="auto"/>
              <w:rPr>
                <w:rFonts w:ascii="宋体" w:hAnsi="宋体"/>
                <w:color w:val="auto"/>
                <w:szCs w:val="21"/>
                <w:highlight w:val="none"/>
              </w:rPr>
            </w:pPr>
            <w:r>
              <w:rPr>
                <w:rFonts w:ascii="宋体" w:hAnsi="宋体"/>
                <w:color w:val="auto"/>
                <w:szCs w:val="21"/>
                <w:highlight w:val="none"/>
              </w:rPr>
              <w:t>5.1</w:t>
            </w:r>
            <w:r>
              <w:rPr>
                <w:rFonts w:hint="eastAsia" w:ascii="宋体" w:hAnsi="宋体"/>
                <w:color w:val="auto"/>
                <w:szCs w:val="21"/>
                <w:highlight w:val="none"/>
              </w:rPr>
              <w:t>、选配</w:t>
            </w:r>
            <w:r>
              <w:rPr>
                <w:rFonts w:ascii="宋体" w:hAnsi="宋体"/>
                <w:color w:val="auto"/>
                <w:szCs w:val="21"/>
                <w:highlight w:val="none"/>
              </w:rPr>
              <w:t>1</w:t>
            </w:r>
            <w:r>
              <w:rPr>
                <w:rFonts w:hint="eastAsia" w:ascii="宋体" w:hAnsi="宋体"/>
                <w:color w:val="auto"/>
                <w:szCs w:val="21"/>
                <w:highlight w:val="none"/>
              </w:rPr>
              <w:t>台监控主机（</w:t>
            </w:r>
            <w:r>
              <w:rPr>
                <w:rFonts w:ascii="宋体" w:hAnsi="宋体"/>
                <w:color w:val="auto"/>
                <w:szCs w:val="21"/>
                <w:highlight w:val="none"/>
              </w:rPr>
              <w:t>P4 3.0G /1G/80G/19</w:t>
            </w:r>
            <w:r>
              <w:rPr>
                <w:rFonts w:hint="eastAsia" w:ascii="宋体" w:hAnsi="宋体"/>
                <w:color w:val="auto"/>
                <w:szCs w:val="21"/>
                <w:highlight w:val="none"/>
              </w:rPr>
              <w:t>寸液晶）用于现场用电情况的监视和控制。</w:t>
            </w:r>
          </w:p>
          <w:p>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三、电能监控仪表指标要求</w:t>
            </w:r>
          </w:p>
          <w:p>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·测量一回路或多回路的全部三相电量：</w:t>
            </w:r>
            <w:r>
              <w:rPr>
                <w:rFonts w:ascii="宋体" w:hAnsi="宋体"/>
                <w:color w:val="auto"/>
                <w:szCs w:val="21"/>
                <w:highlight w:val="none"/>
              </w:rPr>
              <w:t>V</w:t>
            </w:r>
            <w:r>
              <w:rPr>
                <w:rFonts w:hint="eastAsia" w:ascii="宋体" w:hAnsi="宋体"/>
                <w:color w:val="auto"/>
                <w:szCs w:val="21"/>
                <w:highlight w:val="none"/>
              </w:rPr>
              <w:t>、</w:t>
            </w:r>
            <w:r>
              <w:rPr>
                <w:rFonts w:ascii="宋体" w:hAnsi="宋体"/>
                <w:color w:val="auto"/>
                <w:szCs w:val="21"/>
                <w:highlight w:val="none"/>
              </w:rPr>
              <w:t>I</w:t>
            </w:r>
            <w:r>
              <w:rPr>
                <w:rFonts w:hint="eastAsia" w:ascii="宋体" w:hAnsi="宋体"/>
                <w:color w:val="auto"/>
                <w:szCs w:val="21"/>
                <w:highlight w:val="none"/>
              </w:rPr>
              <w:t>、</w:t>
            </w:r>
            <w:r>
              <w:rPr>
                <w:rFonts w:ascii="宋体" w:hAnsi="宋体"/>
                <w:color w:val="auto"/>
                <w:szCs w:val="21"/>
                <w:highlight w:val="none"/>
              </w:rPr>
              <w:t>P</w:t>
            </w:r>
            <w:r>
              <w:rPr>
                <w:rFonts w:hint="eastAsia" w:ascii="宋体" w:hAnsi="宋体"/>
                <w:color w:val="auto"/>
                <w:szCs w:val="21"/>
                <w:highlight w:val="none"/>
              </w:rPr>
              <w:t>、</w:t>
            </w:r>
            <w:r>
              <w:rPr>
                <w:rFonts w:ascii="宋体" w:hAnsi="宋体"/>
                <w:color w:val="auto"/>
                <w:szCs w:val="21"/>
                <w:highlight w:val="none"/>
              </w:rPr>
              <w:t>Q</w:t>
            </w:r>
            <w:r>
              <w:rPr>
                <w:rFonts w:hint="eastAsia" w:ascii="宋体" w:hAnsi="宋体"/>
                <w:color w:val="auto"/>
                <w:szCs w:val="21"/>
                <w:highlight w:val="none"/>
              </w:rPr>
              <w:t>、</w:t>
            </w:r>
            <w:r>
              <w:rPr>
                <w:rFonts w:ascii="宋体" w:hAnsi="宋体"/>
                <w:color w:val="auto"/>
                <w:szCs w:val="21"/>
                <w:highlight w:val="none"/>
              </w:rPr>
              <w:t>CosΦ</w:t>
            </w:r>
            <w:r>
              <w:rPr>
                <w:rFonts w:hint="eastAsia" w:ascii="宋体" w:hAnsi="宋体"/>
                <w:color w:val="auto"/>
                <w:szCs w:val="21"/>
                <w:highlight w:val="none"/>
              </w:rPr>
              <w:t>、</w:t>
            </w:r>
            <w:r>
              <w:rPr>
                <w:rFonts w:ascii="宋体" w:hAnsi="宋体"/>
                <w:color w:val="auto"/>
                <w:szCs w:val="21"/>
                <w:highlight w:val="none"/>
              </w:rPr>
              <w:t>KWh</w:t>
            </w:r>
            <w:r>
              <w:rPr>
                <w:rFonts w:hint="eastAsia" w:ascii="宋体" w:hAnsi="宋体"/>
                <w:color w:val="auto"/>
                <w:szCs w:val="21"/>
                <w:highlight w:val="none"/>
              </w:rPr>
              <w:t>、</w:t>
            </w:r>
            <w:r>
              <w:rPr>
                <w:rFonts w:ascii="宋体" w:hAnsi="宋体"/>
                <w:color w:val="auto"/>
                <w:szCs w:val="21"/>
                <w:highlight w:val="none"/>
              </w:rPr>
              <w:t>KVARh</w:t>
            </w:r>
            <w:r>
              <w:rPr>
                <w:rFonts w:hint="eastAsia" w:ascii="宋体" w:hAnsi="宋体"/>
                <w:color w:val="auto"/>
                <w:szCs w:val="21"/>
                <w:highlight w:val="none"/>
              </w:rPr>
              <w:t>、</w:t>
            </w:r>
            <w:r>
              <w:rPr>
                <w:rFonts w:ascii="宋体" w:hAnsi="宋体"/>
                <w:color w:val="auto"/>
                <w:szCs w:val="21"/>
                <w:highlight w:val="none"/>
              </w:rPr>
              <w:t>f</w:t>
            </w:r>
          </w:p>
          <w:p>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·精度：</w:t>
            </w:r>
            <w:r>
              <w:rPr>
                <w:rFonts w:ascii="宋体" w:hAnsi="宋体"/>
                <w:color w:val="auto"/>
                <w:szCs w:val="21"/>
                <w:highlight w:val="none"/>
              </w:rPr>
              <w:t>U</w:t>
            </w:r>
            <w:r>
              <w:rPr>
                <w:rFonts w:hint="eastAsia" w:ascii="宋体" w:hAnsi="宋体"/>
                <w:color w:val="auto"/>
                <w:szCs w:val="21"/>
                <w:highlight w:val="none"/>
              </w:rPr>
              <w:t>、</w:t>
            </w:r>
            <w:r>
              <w:rPr>
                <w:rFonts w:ascii="宋体" w:hAnsi="宋体"/>
                <w:color w:val="auto"/>
                <w:szCs w:val="21"/>
                <w:highlight w:val="none"/>
              </w:rPr>
              <w:t>I  0.2</w:t>
            </w:r>
            <w:r>
              <w:rPr>
                <w:rFonts w:hint="eastAsia" w:ascii="宋体" w:hAnsi="宋体"/>
                <w:color w:val="auto"/>
                <w:szCs w:val="21"/>
                <w:highlight w:val="none"/>
              </w:rPr>
              <w:t>％，</w:t>
            </w:r>
            <w:r>
              <w:rPr>
                <w:rFonts w:ascii="宋体" w:hAnsi="宋体"/>
                <w:color w:val="auto"/>
                <w:szCs w:val="21"/>
                <w:highlight w:val="none"/>
              </w:rPr>
              <w:t>P</w:t>
            </w:r>
            <w:r>
              <w:rPr>
                <w:rFonts w:hint="eastAsia" w:ascii="宋体" w:hAnsi="宋体"/>
                <w:color w:val="auto"/>
                <w:szCs w:val="21"/>
                <w:highlight w:val="none"/>
              </w:rPr>
              <w:t>、</w:t>
            </w:r>
            <w:r>
              <w:rPr>
                <w:rFonts w:ascii="宋体" w:hAnsi="宋体"/>
                <w:color w:val="auto"/>
                <w:szCs w:val="21"/>
                <w:highlight w:val="none"/>
              </w:rPr>
              <w:t>Q</w:t>
            </w:r>
            <w:r>
              <w:rPr>
                <w:rFonts w:hint="eastAsia" w:ascii="宋体" w:hAnsi="宋体"/>
                <w:color w:val="auto"/>
                <w:szCs w:val="21"/>
                <w:highlight w:val="none"/>
              </w:rPr>
              <w:t>、</w:t>
            </w:r>
            <w:r>
              <w:rPr>
                <w:rFonts w:ascii="宋体" w:hAnsi="宋体"/>
                <w:color w:val="auto"/>
                <w:szCs w:val="21"/>
                <w:highlight w:val="none"/>
              </w:rPr>
              <w:t>kWh</w:t>
            </w:r>
            <w:r>
              <w:rPr>
                <w:rFonts w:hint="eastAsia" w:ascii="宋体" w:hAnsi="宋体"/>
                <w:color w:val="auto"/>
                <w:szCs w:val="21"/>
                <w:highlight w:val="none"/>
              </w:rPr>
              <w:t>、</w:t>
            </w:r>
            <w:r>
              <w:rPr>
                <w:rFonts w:ascii="宋体" w:hAnsi="宋体"/>
                <w:color w:val="auto"/>
                <w:szCs w:val="21"/>
                <w:highlight w:val="none"/>
              </w:rPr>
              <w:t xml:space="preserve">kVARh </w:t>
            </w:r>
            <w:r>
              <w:rPr>
                <w:rFonts w:hint="eastAsia" w:ascii="宋体" w:hAnsi="宋体"/>
                <w:color w:val="auto"/>
                <w:szCs w:val="21"/>
                <w:highlight w:val="none"/>
              </w:rPr>
              <w:t>、</w:t>
            </w:r>
            <w:r>
              <w:rPr>
                <w:rFonts w:ascii="宋体" w:hAnsi="宋体"/>
                <w:color w:val="auto"/>
                <w:szCs w:val="21"/>
                <w:highlight w:val="none"/>
              </w:rPr>
              <w:t>f 0.5</w:t>
            </w:r>
            <w:r>
              <w:rPr>
                <w:rFonts w:hint="eastAsia" w:ascii="宋体" w:hAnsi="宋体"/>
                <w:color w:val="auto"/>
                <w:szCs w:val="21"/>
                <w:highlight w:val="none"/>
              </w:rPr>
              <w:t>％</w:t>
            </w:r>
          </w:p>
          <w:p>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·定值越限监视。</w:t>
            </w:r>
          </w:p>
          <w:p>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64</w:t>
            </w:r>
            <w:r>
              <w:rPr>
                <w:rFonts w:hint="eastAsia" w:ascii="宋体" w:hAnsi="宋体"/>
                <w:color w:val="auto"/>
                <w:szCs w:val="21"/>
                <w:highlight w:val="none"/>
              </w:rPr>
              <w:t>个事件顺序记录（</w:t>
            </w:r>
            <w:r>
              <w:rPr>
                <w:rFonts w:ascii="宋体" w:hAnsi="宋体"/>
                <w:color w:val="auto"/>
                <w:szCs w:val="21"/>
                <w:highlight w:val="none"/>
              </w:rPr>
              <w:t>SOE</w:t>
            </w:r>
            <w:r>
              <w:rPr>
                <w:rFonts w:hint="eastAsia" w:ascii="宋体" w:hAnsi="宋体"/>
                <w:color w:val="auto"/>
                <w:szCs w:val="21"/>
                <w:highlight w:val="none"/>
              </w:rPr>
              <w:t>），</w:t>
            </w:r>
            <w:r>
              <w:rPr>
                <w:rFonts w:ascii="宋体" w:hAnsi="宋体"/>
                <w:color w:val="auto"/>
                <w:szCs w:val="21"/>
                <w:highlight w:val="none"/>
              </w:rPr>
              <w:t>1ms</w:t>
            </w:r>
            <w:r>
              <w:rPr>
                <w:rFonts w:hint="eastAsia" w:ascii="宋体" w:hAnsi="宋体"/>
                <w:color w:val="auto"/>
                <w:szCs w:val="21"/>
                <w:highlight w:val="none"/>
              </w:rPr>
              <w:t>分辨率。</w:t>
            </w:r>
          </w:p>
          <w:p>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·标准的</w:t>
            </w:r>
            <w:r>
              <w:rPr>
                <w:rFonts w:ascii="宋体" w:hAnsi="宋体"/>
                <w:color w:val="auto"/>
                <w:szCs w:val="21"/>
                <w:highlight w:val="none"/>
              </w:rPr>
              <w:t>RS-485</w:t>
            </w:r>
            <w:r>
              <w:rPr>
                <w:rFonts w:hint="eastAsia" w:ascii="宋体" w:hAnsi="宋体"/>
                <w:color w:val="auto"/>
                <w:szCs w:val="21"/>
                <w:highlight w:val="none"/>
              </w:rPr>
              <w:t>通信接口</w:t>
            </w:r>
            <w:r>
              <w:rPr>
                <w:rFonts w:ascii="宋体" w:hAnsi="宋体"/>
                <w:color w:val="auto"/>
                <w:szCs w:val="21"/>
                <w:highlight w:val="none"/>
              </w:rPr>
              <w:t xml:space="preserve"> </w:t>
            </w:r>
            <w:r>
              <w:rPr>
                <w:rFonts w:hint="eastAsia" w:ascii="宋体" w:hAnsi="宋体"/>
                <w:color w:val="auto"/>
                <w:szCs w:val="21"/>
                <w:highlight w:val="none"/>
              </w:rPr>
              <w:t>。</w:t>
            </w:r>
          </w:p>
          <w:p>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·支持</w:t>
            </w:r>
            <w:r>
              <w:rPr>
                <w:rFonts w:ascii="宋体" w:hAnsi="宋体"/>
                <w:color w:val="auto"/>
                <w:szCs w:val="21"/>
                <w:highlight w:val="none"/>
              </w:rPr>
              <w:t>MODBUS</w:t>
            </w:r>
            <w:r>
              <w:rPr>
                <w:rFonts w:hint="eastAsia" w:ascii="宋体" w:hAnsi="宋体"/>
                <w:color w:val="auto"/>
                <w:szCs w:val="21"/>
                <w:highlight w:val="none"/>
              </w:rPr>
              <w:t>通讯协议。</w:t>
            </w:r>
          </w:p>
          <w:p>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四、系统软件技术要求</w:t>
            </w:r>
            <w:r>
              <w:rPr>
                <w:rFonts w:ascii="宋体" w:hAnsi="宋体"/>
                <w:color w:val="auto"/>
                <w:szCs w:val="21"/>
                <w:highlight w:val="none"/>
              </w:rPr>
              <w:tab/>
            </w:r>
          </w:p>
          <w:p>
            <w:pPr>
              <w:adjustRightInd w:val="0"/>
              <w:snapToGri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、数据采集与处理：实时采集三相电量（</w:t>
            </w:r>
            <w:r>
              <w:rPr>
                <w:rFonts w:ascii="宋体" w:hAnsi="宋体"/>
                <w:color w:val="auto"/>
                <w:szCs w:val="21"/>
                <w:highlight w:val="none"/>
              </w:rPr>
              <w:t>V</w:t>
            </w:r>
            <w:r>
              <w:rPr>
                <w:rFonts w:hint="eastAsia" w:ascii="宋体" w:hAnsi="宋体"/>
                <w:color w:val="auto"/>
                <w:szCs w:val="21"/>
                <w:highlight w:val="none"/>
              </w:rPr>
              <w:t>、</w:t>
            </w:r>
            <w:r>
              <w:rPr>
                <w:rFonts w:ascii="宋体" w:hAnsi="宋体"/>
                <w:color w:val="auto"/>
                <w:szCs w:val="21"/>
                <w:highlight w:val="none"/>
              </w:rPr>
              <w:t>I</w:t>
            </w:r>
            <w:r>
              <w:rPr>
                <w:rFonts w:hint="eastAsia" w:ascii="宋体" w:hAnsi="宋体"/>
                <w:color w:val="auto"/>
                <w:szCs w:val="21"/>
                <w:highlight w:val="none"/>
              </w:rPr>
              <w:t>、</w:t>
            </w:r>
            <w:r>
              <w:rPr>
                <w:rFonts w:ascii="宋体" w:hAnsi="宋体"/>
                <w:color w:val="auto"/>
                <w:szCs w:val="21"/>
                <w:highlight w:val="none"/>
              </w:rPr>
              <w:t>P</w:t>
            </w:r>
            <w:r>
              <w:rPr>
                <w:rFonts w:hint="eastAsia" w:ascii="宋体" w:hAnsi="宋体"/>
                <w:color w:val="auto"/>
                <w:szCs w:val="21"/>
                <w:highlight w:val="none"/>
              </w:rPr>
              <w:t>、</w:t>
            </w:r>
            <w:r>
              <w:rPr>
                <w:rFonts w:ascii="宋体" w:hAnsi="宋体"/>
                <w:color w:val="auto"/>
                <w:szCs w:val="21"/>
                <w:highlight w:val="none"/>
              </w:rPr>
              <w:t>Q</w:t>
            </w:r>
            <w:r>
              <w:rPr>
                <w:rFonts w:hint="eastAsia" w:ascii="宋体" w:hAnsi="宋体"/>
                <w:color w:val="auto"/>
                <w:szCs w:val="21"/>
                <w:highlight w:val="none"/>
              </w:rPr>
              <w:t>、</w:t>
            </w:r>
            <w:r>
              <w:rPr>
                <w:rFonts w:ascii="宋体" w:hAnsi="宋体"/>
                <w:color w:val="auto"/>
                <w:szCs w:val="21"/>
                <w:highlight w:val="none"/>
              </w:rPr>
              <w:t>CosΦ</w:t>
            </w:r>
            <w:r>
              <w:rPr>
                <w:rFonts w:hint="eastAsia" w:ascii="宋体" w:hAnsi="宋体"/>
                <w:color w:val="auto"/>
                <w:szCs w:val="21"/>
                <w:highlight w:val="none"/>
              </w:rPr>
              <w:t>、</w:t>
            </w:r>
            <w:r>
              <w:rPr>
                <w:rFonts w:ascii="宋体" w:hAnsi="宋体"/>
                <w:color w:val="auto"/>
                <w:szCs w:val="21"/>
                <w:highlight w:val="none"/>
              </w:rPr>
              <w:t>KWh</w:t>
            </w:r>
            <w:r>
              <w:rPr>
                <w:rFonts w:hint="eastAsia" w:ascii="宋体" w:hAnsi="宋体"/>
                <w:color w:val="auto"/>
                <w:szCs w:val="21"/>
                <w:highlight w:val="none"/>
              </w:rPr>
              <w:t>、</w:t>
            </w:r>
            <w:r>
              <w:rPr>
                <w:rFonts w:ascii="宋体" w:hAnsi="宋体"/>
                <w:color w:val="auto"/>
                <w:szCs w:val="21"/>
                <w:highlight w:val="none"/>
              </w:rPr>
              <w:t>KVARh</w:t>
            </w:r>
            <w:r>
              <w:rPr>
                <w:rFonts w:hint="eastAsia" w:ascii="宋体" w:hAnsi="宋体"/>
                <w:color w:val="auto"/>
                <w:szCs w:val="21"/>
                <w:highlight w:val="none"/>
              </w:rPr>
              <w:t>、</w:t>
            </w:r>
            <w:r>
              <w:rPr>
                <w:rFonts w:ascii="宋体" w:hAnsi="宋体"/>
                <w:color w:val="auto"/>
                <w:szCs w:val="21"/>
                <w:highlight w:val="none"/>
              </w:rPr>
              <w:t>f</w:t>
            </w:r>
            <w:r>
              <w:rPr>
                <w:rFonts w:hint="eastAsia" w:ascii="宋体" w:hAnsi="宋体"/>
                <w:color w:val="auto"/>
                <w:szCs w:val="21"/>
                <w:highlight w:val="none"/>
              </w:rPr>
              <w:t>）、开关量等，并对实时数据进行统计、分析及计算。</w:t>
            </w:r>
            <w:r>
              <w:rPr>
                <w:rFonts w:ascii="宋体" w:hAnsi="宋体"/>
                <w:color w:val="auto"/>
                <w:szCs w:val="21"/>
                <w:highlight w:val="none"/>
              </w:rPr>
              <w:tab/>
            </w:r>
          </w:p>
          <w:p>
            <w:pPr>
              <w:adjustRightInd w:val="0"/>
              <w:snapToGri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、报警处理</w:t>
            </w:r>
            <w:r>
              <w:rPr>
                <w:rFonts w:ascii="宋体" w:hAnsi="宋体"/>
                <w:color w:val="auto"/>
                <w:szCs w:val="21"/>
                <w:highlight w:val="none"/>
              </w:rPr>
              <w:t>：</w:t>
            </w:r>
            <w:r>
              <w:rPr>
                <w:rFonts w:hint="eastAsia" w:ascii="宋体" w:hAnsi="宋体"/>
                <w:color w:val="auto"/>
                <w:szCs w:val="21"/>
                <w:highlight w:val="none"/>
              </w:rPr>
              <w:t>设置预告信号和事故信号，并产生不同的音响报警及闪光，自动推出相应画面，对应事故、故障设备的图形发生闪动变位，窗口提示事件内容及处理指导。报警信号可在监控主机上人工确认复归。报警同时启动事件打印输出功能。</w:t>
            </w:r>
          </w:p>
          <w:p>
            <w:pPr>
              <w:adjustRightInd w:val="0"/>
              <w:snapToGrid w:val="0"/>
              <w:spacing w:line="360" w:lineRule="auto"/>
              <w:rPr>
                <w:rFonts w:ascii="宋体" w:hAnsi="宋体"/>
                <w:color w:val="auto"/>
                <w:szCs w:val="21"/>
                <w:highlight w:val="none"/>
              </w:rPr>
            </w:pPr>
            <w:r>
              <w:rPr>
                <w:rFonts w:ascii="宋体" w:hAnsi="宋体"/>
                <w:color w:val="auto"/>
                <w:szCs w:val="21"/>
                <w:highlight w:val="none"/>
              </w:rPr>
              <w:t xml:space="preserve">   3</w:t>
            </w:r>
            <w:r>
              <w:rPr>
                <w:rFonts w:hint="eastAsia" w:ascii="宋体" w:hAnsi="宋体"/>
                <w:color w:val="auto"/>
                <w:szCs w:val="21"/>
                <w:highlight w:val="none"/>
              </w:rPr>
              <w:t>、事故追忆及显示画面</w:t>
            </w:r>
            <w:r>
              <w:rPr>
                <w:rFonts w:ascii="宋体" w:hAnsi="宋体"/>
                <w:color w:val="auto"/>
                <w:szCs w:val="21"/>
                <w:highlight w:val="none"/>
              </w:rPr>
              <w:t>：</w:t>
            </w:r>
            <w:r>
              <w:rPr>
                <w:rFonts w:hint="eastAsia" w:ascii="宋体" w:hAnsi="宋体"/>
                <w:color w:val="auto"/>
                <w:szCs w:val="21"/>
                <w:highlight w:val="none"/>
              </w:rPr>
              <w:t>动作发生时，系统自动启动相关的测量数据记录，供系统进行事故追忆。要求系统可追忆事故前后全站各个间隔的测量数据。并提供曲线、表格等形式选择想要查看的事故追忆数据。越限自动跳闸及遥控跳合闸控制</w:t>
            </w:r>
            <w:r>
              <w:rPr>
                <w:rFonts w:ascii="宋体" w:hAnsi="宋体"/>
                <w:color w:val="auto"/>
                <w:szCs w:val="21"/>
                <w:highlight w:val="none"/>
              </w:rPr>
              <w:t>：</w:t>
            </w:r>
            <w:r>
              <w:rPr>
                <w:rFonts w:hint="eastAsia" w:ascii="宋体" w:hAnsi="宋体"/>
                <w:color w:val="auto"/>
                <w:szCs w:val="21"/>
                <w:highlight w:val="none"/>
              </w:rPr>
              <w:t>通过电流、电压、有功等遥测值越限实现自动跳闸，通过监控主机能实现断路器远方跳合闸。</w:t>
            </w:r>
            <w:r>
              <w:rPr>
                <w:rFonts w:ascii="宋体" w:hAnsi="宋体"/>
                <w:color w:val="auto"/>
                <w:szCs w:val="21"/>
                <w:highlight w:val="none"/>
              </w:rPr>
              <w:tab/>
            </w:r>
          </w:p>
          <w:p>
            <w:pPr>
              <w:adjustRightInd w:val="0"/>
              <w:snapToGri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、历史数据存储</w:t>
            </w:r>
            <w:r>
              <w:rPr>
                <w:rFonts w:ascii="宋体" w:hAnsi="宋体"/>
                <w:color w:val="auto"/>
                <w:szCs w:val="21"/>
                <w:highlight w:val="none"/>
              </w:rPr>
              <w:t>：</w:t>
            </w:r>
            <w:r>
              <w:rPr>
                <w:rFonts w:hint="eastAsia" w:ascii="宋体" w:hAnsi="宋体"/>
                <w:color w:val="auto"/>
                <w:szCs w:val="21"/>
                <w:highlight w:val="none"/>
              </w:rPr>
              <w:t>记录周期以</w:t>
            </w:r>
            <w:r>
              <w:rPr>
                <w:rFonts w:ascii="宋体" w:hAnsi="宋体"/>
                <w:color w:val="auto"/>
                <w:szCs w:val="21"/>
                <w:highlight w:val="none"/>
              </w:rPr>
              <w:t>5</w:t>
            </w:r>
            <w:r>
              <w:rPr>
                <w:rFonts w:hint="eastAsia" w:ascii="宋体" w:hAnsi="宋体"/>
                <w:color w:val="auto"/>
                <w:szCs w:val="21"/>
                <w:highlight w:val="none"/>
              </w:rPr>
              <w:t>分钟分间隔，保留全部监测量：一日</w:t>
            </w:r>
            <w:r>
              <w:rPr>
                <w:rFonts w:ascii="宋体" w:hAnsi="宋体"/>
                <w:color w:val="auto"/>
                <w:szCs w:val="21"/>
                <w:highlight w:val="none"/>
              </w:rPr>
              <w:t>24</w:t>
            </w:r>
            <w:r>
              <w:rPr>
                <w:rFonts w:hint="eastAsia" w:ascii="宋体" w:hAnsi="宋体"/>
                <w:color w:val="auto"/>
                <w:szCs w:val="21"/>
                <w:highlight w:val="none"/>
              </w:rPr>
              <w:t>小时、一月内每日和一年内每月的统计数据；</w:t>
            </w:r>
            <w:r>
              <w:rPr>
                <w:rFonts w:ascii="宋体" w:hAnsi="宋体"/>
                <w:color w:val="auto"/>
                <w:szCs w:val="21"/>
                <w:highlight w:val="none"/>
              </w:rPr>
              <w:tab/>
            </w:r>
            <w:r>
              <w:rPr>
                <w:rFonts w:hint="eastAsia" w:ascii="宋体" w:hAnsi="宋体"/>
                <w:color w:val="auto"/>
                <w:szCs w:val="21"/>
                <w:highlight w:val="none"/>
              </w:rPr>
              <w:t>以及重要事故、操作记录保存的时间，各历史数据及在线查询、显示，保存时间可在线修改。全站的数据至少能保存三年。</w:t>
            </w:r>
          </w:p>
          <w:p>
            <w:pPr>
              <w:adjustRightInd w:val="0"/>
              <w:snapToGrid w:val="0"/>
              <w:spacing w:line="360" w:lineRule="auto"/>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、谐波分析功能</w:t>
            </w:r>
            <w:r>
              <w:rPr>
                <w:rFonts w:ascii="宋体" w:hAnsi="宋体"/>
                <w:color w:val="auto"/>
                <w:szCs w:val="21"/>
                <w:highlight w:val="none"/>
              </w:rPr>
              <w:t>：</w:t>
            </w:r>
            <w:r>
              <w:rPr>
                <w:rFonts w:hint="eastAsia" w:ascii="宋体" w:hAnsi="宋体"/>
                <w:color w:val="auto"/>
                <w:szCs w:val="21"/>
                <w:highlight w:val="none"/>
              </w:rPr>
              <w:t>能对</w:t>
            </w: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w:t>
            </w:r>
            <w:r>
              <w:rPr>
                <w:rFonts w:ascii="宋体" w:hAnsi="宋体"/>
                <w:color w:val="auto"/>
                <w:szCs w:val="21"/>
                <w:highlight w:val="none"/>
              </w:rPr>
              <w:t>7</w:t>
            </w:r>
            <w:r>
              <w:rPr>
                <w:rFonts w:hint="eastAsia" w:ascii="宋体" w:hAnsi="宋体"/>
                <w:color w:val="auto"/>
                <w:szCs w:val="21"/>
                <w:highlight w:val="none"/>
              </w:rPr>
              <w:t>、</w:t>
            </w:r>
            <w:r>
              <w:rPr>
                <w:rFonts w:ascii="宋体" w:hAnsi="宋体"/>
                <w:color w:val="auto"/>
                <w:szCs w:val="21"/>
                <w:highlight w:val="none"/>
              </w:rPr>
              <w:t>11</w:t>
            </w:r>
            <w:r>
              <w:rPr>
                <w:rFonts w:hint="eastAsia" w:ascii="宋体" w:hAnsi="宋体"/>
                <w:color w:val="auto"/>
                <w:szCs w:val="21"/>
                <w:highlight w:val="none"/>
              </w:rPr>
              <w:t>次电压、电流谐波分析</w:t>
            </w:r>
            <w:r>
              <w:rPr>
                <w:rFonts w:ascii="宋体" w:hAnsi="宋体"/>
                <w:color w:val="auto"/>
                <w:szCs w:val="21"/>
                <w:highlight w:val="none"/>
              </w:rPr>
              <w:t>,</w:t>
            </w:r>
            <w:r>
              <w:rPr>
                <w:rFonts w:hint="eastAsia" w:ascii="宋体" w:hAnsi="宋体"/>
                <w:color w:val="auto"/>
                <w:szCs w:val="21"/>
                <w:highlight w:val="none"/>
              </w:rPr>
              <w:t>奇次、偶次、总谐波越限等多种启动方式</w:t>
            </w:r>
            <w:r>
              <w:rPr>
                <w:rFonts w:ascii="宋体" w:hAnsi="宋体"/>
                <w:color w:val="auto"/>
                <w:szCs w:val="21"/>
                <w:highlight w:val="none"/>
              </w:rPr>
              <w:t>,</w:t>
            </w:r>
            <w:r>
              <w:rPr>
                <w:rFonts w:hint="eastAsia" w:ascii="宋体" w:hAnsi="宋体"/>
                <w:color w:val="auto"/>
                <w:szCs w:val="21"/>
                <w:highlight w:val="none"/>
              </w:rPr>
              <w:t>显示谐波频谱图以及总谐波畸变率等。</w:t>
            </w:r>
            <w:r>
              <w:rPr>
                <w:rFonts w:ascii="宋体" w:hAnsi="宋体"/>
                <w:color w:val="auto"/>
                <w:szCs w:val="21"/>
                <w:highlight w:val="none"/>
              </w:rPr>
              <w:tab/>
            </w:r>
          </w:p>
          <w:p>
            <w:pPr>
              <w:adjustRightInd w:val="0"/>
              <w:snapToGrid w:val="0"/>
              <w:spacing w:line="360" w:lineRule="auto"/>
              <w:rPr>
                <w:rFonts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、故障录波功能</w:t>
            </w:r>
            <w:r>
              <w:rPr>
                <w:rFonts w:ascii="宋体" w:hAnsi="宋体"/>
                <w:color w:val="auto"/>
                <w:szCs w:val="21"/>
                <w:highlight w:val="none"/>
              </w:rPr>
              <w:t>：</w:t>
            </w:r>
            <w:r>
              <w:rPr>
                <w:rFonts w:hint="eastAsia" w:ascii="宋体" w:hAnsi="宋体"/>
                <w:color w:val="auto"/>
                <w:szCs w:val="21"/>
                <w:highlight w:val="none"/>
              </w:rPr>
              <w:t>能对事故预警、事故发生、事故演变和发展的全部动态过程，以每一周波</w:t>
            </w:r>
            <w:r>
              <w:rPr>
                <w:rFonts w:ascii="宋体" w:hAnsi="宋体"/>
                <w:color w:val="auto"/>
                <w:szCs w:val="21"/>
                <w:highlight w:val="none"/>
              </w:rPr>
              <w:t>128</w:t>
            </w:r>
            <w:r>
              <w:rPr>
                <w:rFonts w:hint="eastAsia" w:ascii="宋体" w:hAnsi="宋体"/>
                <w:color w:val="auto"/>
                <w:szCs w:val="21"/>
                <w:highlight w:val="none"/>
              </w:rPr>
              <w:t>点的速度连续完整地记录下来。</w:t>
            </w:r>
            <w:r>
              <w:rPr>
                <w:rFonts w:ascii="宋体" w:hAnsi="宋体"/>
                <w:color w:val="auto"/>
                <w:szCs w:val="21"/>
                <w:highlight w:val="none"/>
              </w:rPr>
              <w:tab/>
            </w:r>
          </w:p>
          <w:p>
            <w:pPr>
              <w:adjustRightInd w:val="0"/>
              <w:snapToGrid w:val="0"/>
              <w:spacing w:line="360" w:lineRule="auto"/>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、分时计费功能</w:t>
            </w:r>
            <w:r>
              <w:rPr>
                <w:rFonts w:ascii="宋体" w:hAnsi="宋体"/>
                <w:color w:val="auto"/>
                <w:szCs w:val="21"/>
                <w:highlight w:val="none"/>
              </w:rPr>
              <w:t>：</w:t>
            </w:r>
            <w:r>
              <w:rPr>
                <w:rFonts w:hint="eastAsia" w:ascii="宋体" w:hAnsi="宋体"/>
                <w:color w:val="auto"/>
                <w:szCs w:val="21"/>
                <w:highlight w:val="none"/>
              </w:rPr>
              <w:t>实时显示、统计各回路各时段的电度值</w:t>
            </w:r>
            <w:r>
              <w:rPr>
                <w:rFonts w:ascii="宋体" w:hAnsi="宋体"/>
                <w:color w:val="auto"/>
                <w:szCs w:val="21"/>
                <w:highlight w:val="none"/>
              </w:rPr>
              <w:t>,</w:t>
            </w:r>
            <w:r>
              <w:rPr>
                <w:rFonts w:hint="eastAsia" w:ascii="宋体" w:hAnsi="宋体"/>
                <w:color w:val="auto"/>
                <w:szCs w:val="21"/>
                <w:highlight w:val="none"/>
              </w:rPr>
              <w:t>对电能数据进行分时计费统计</w:t>
            </w:r>
            <w:r>
              <w:rPr>
                <w:rFonts w:ascii="宋体" w:hAnsi="宋体"/>
                <w:color w:val="auto"/>
                <w:szCs w:val="21"/>
                <w:highlight w:val="none"/>
              </w:rPr>
              <w:t>,</w:t>
            </w:r>
            <w:r>
              <w:rPr>
                <w:rFonts w:hint="eastAsia" w:ascii="宋体" w:hAnsi="宋体"/>
                <w:color w:val="auto"/>
                <w:szCs w:val="21"/>
                <w:highlight w:val="none"/>
              </w:rPr>
              <w:t>具有多种分时计费</w:t>
            </w:r>
            <w:r>
              <w:rPr>
                <w:rFonts w:ascii="宋体" w:hAnsi="宋体"/>
                <w:color w:val="auto"/>
                <w:szCs w:val="21"/>
                <w:highlight w:val="none"/>
              </w:rPr>
              <w:t>(</w:t>
            </w:r>
            <w:r>
              <w:rPr>
                <w:rFonts w:hint="eastAsia" w:ascii="宋体" w:hAnsi="宋体"/>
                <w:color w:val="auto"/>
                <w:szCs w:val="21"/>
                <w:highlight w:val="none"/>
              </w:rPr>
              <w:t>峰、谷、平值等</w:t>
            </w:r>
            <w:r>
              <w:rPr>
                <w:rFonts w:ascii="宋体" w:hAnsi="宋体"/>
                <w:color w:val="auto"/>
                <w:szCs w:val="21"/>
                <w:highlight w:val="none"/>
              </w:rPr>
              <w:t>)</w:t>
            </w:r>
            <w:r>
              <w:rPr>
                <w:rFonts w:hint="eastAsia" w:ascii="宋体" w:hAnsi="宋体"/>
                <w:color w:val="auto"/>
                <w:szCs w:val="21"/>
                <w:highlight w:val="none"/>
              </w:rPr>
              <w:t>方案和费率的种类。</w:t>
            </w:r>
            <w:r>
              <w:rPr>
                <w:rFonts w:ascii="宋体" w:hAnsi="宋体"/>
                <w:color w:val="auto"/>
                <w:szCs w:val="21"/>
                <w:highlight w:val="none"/>
              </w:rPr>
              <w:tab/>
            </w:r>
          </w:p>
          <w:p>
            <w:pPr>
              <w:adjustRightInd w:val="0"/>
              <w:snapToGrid w:val="0"/>
              <w:spacing w:line="360" w:lineRule="auto"/>
              <w:rPr>
                <w:rFonts w:ascii="宋体" w:hAnsi="宋体"/>
                <w:color w:val="auto"/>
                <w:szCs w:val="21"/>
                <w:highlight w:val="none"/>
              </w:rPr>
            </w:pPr>
            <w:r>
              <w:rPr>
                <w:rFonts w:ascii="宋体" w:hAnsi="宋体"/>
                <w:color w:val="auto"/>
                <w:szCs w:val="21"/>
                <w:highlight w:val="none"/>
              </w:rPr>
              <w:t>8</w:t>
            </w:r>
            <w:r>
              <w:rPr>
                <w:rFonts w:hint="eastAsia" w:ascii="宋体" w:hAnsi="宋体"/>
                <w:color w:val="auto"/>
                <w:szCs w:val="21"/>
                <w:highlight w:val="none"/>
              </w:rPr>
              <w:t>、运行管理功能</w:t>
            </w:r>
            <w:r>
              <w:rPr>
                <w:rFonts w:ascii="宋体" w:hAnsi="宋体"/>
                <w:color w:val="auto"/>
                <w:szCs w:val="21"/>
                <w:highlight w:val="none"/>
              </w:rPr>
              <w:t>：</w:t>
            </w:r>
            <w:r>
              <w:rPr>
                <w:rFonts w:hint="eastAsia" w:ascii="宋体" w:hAnsi="宋体"/>
                <w:color w:val="auto"/>
                <w:szCs w:val="21"/>
                <w:highlight w:val="none"/>
              </w:rPr>
              <w:t>系统应有交接班记录、运行记录、智能操作票管理记录、检修维护记录。</w:t>
            </w:r>
            <w:r>
              <w:rPr>
                <w:rFonts w:ascii="宋体" w:hAnsi="宋体"/>
                <w:color w:val="auto"/>
                <w:szCs w:val="21"/>
                <w:highlight w:val="none"/>
              </w:rPr>
              <w:tab/>
            </w:r>
            <w:r>
              <w:rPr>
                <w:rFonts w:hint="eastAsia" w:ascii="宋体" w:hAnsi="宋体"/>
                <w:color w:val="auto"/>
                <w:szCs w:val="21"/>
                <w:highlight w:val="none"/>
              </w:rPr>
              <w:t>安全性管理</w:t>
            </w:r>
            <w:r>
              <w:rPr>
                <w:rFonts w:ascii="宋体" w:hAnsi="宋体"/>
                <w:color w:val="auto"/>
                <w:szCs w:val="21"/>
                <w:highlight w:val="none"/>
              </w:rPr>
              <w:t>：</w:t>
            </w:r>
            <w:r>
              <w:rPr>
                <w:rFonts w:hint="eastAsia" w:ascii="宋体" w:hAnsi="宋体"/>
                <w:color w:val="auto"/>
                <w:szCs w:val="21"/>
                <w:highlight w:val="none"/>
              </w:rPr>
              <w:t>系统软件设置支持多种权限分区和密级设置，为系统管理员、工程师、一般值班操作人员等提供分级密码，并对所有操作</w:t>
            </w:r>
            <w:r>
              <w:rPr>
                <w:rFonts w:ascii="宋体" w:hAnsi="宋体"/>
                <w:color w:val="auto"/>
                <w:szCs w:val="21"/>
                <w:highlight w:val="none"/>
              </w:rPr>
              <w:tab/>
            </w:r>
          </w:p>
          <w:p>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自动进行带时标事件记录，可建立良好的反事故措施。系统防误操作</w:t>
            </w:r>
            <w:r>
              <w:rPr>
                <w:rFonts w:ascii="宋体" w:hAnsi="宋体"/>
                <w:color w:val="auto"/>
                <w:szCs w:val="21"/>
                <w:highlight w:val="none"/>
              </w:rPr>
              <w:t>：</w:t>
            </w:r>
            <w:r>
              <w:rPr>
                <w:rFonts w:hint="eastAsia" w:ascii="宋体" w:hAnsi="宋体"/>
                <w:color w:val="auto"/>
                <w:szCs w:val="21"/>
                <w:highlight w:val="none"/>
              </w:rPr>
              <w:t>为防止误操作，监控软件具有挂牌、摘牌功能（停电、检修、停运等）。</w:t>
            </w:r>
            <w:r>
              <w:rPr>
                <w:rFonts w:ascii="宋体" w:hAnsi="宋体"/>
                <w:color w:val="auto"/>
                <w:szCs w:val="21"/>
                <w:highlight w:val="none"/>
              </w:rPr>
              <w:tab/>
            </w:r>
          </w:p>
          <w:p>
            <w:pPr>
              <w:adjustRightInd w:val="0"/>
              <w:snapToGrid w:val="0"/>
              <w:spacing w:line="360" w:lineRule="auto"/>
              <w:rPr>
                <w:rFonts w:ascii="宋体" w:hAnsi="宋体"/>
                <w:color w:val="auto"/>
                <w:szCs w:val="21"/>
                <w:highlight w:val="none"/>
              </w:rPr>
            </w:pPr>
            <w:r>
              <w:rPr>
                <w:rFonts w:ascii="宋体" w:hAnsi="宋体"/>
                <w:color w:val="auto"/>
                <w:szCs w:val="21"/>
                <w:highlight w:val="none"/>
              </w:rPr>
              <w:t>9</w:t>
            </w:r>
            <w:r>
              <w:rPr>
                <w:rFonts w:hint="eastAsia" w:ascii="宋体" w:hAnsi="宋体"/>
                <w:color w:val="auto"/>
                <w:szCs w:val="21"/>
                <w:highlight w:val="none"/>
              </w:rPr>
              <w:t>、其它要求：系统应具有与其它第三方设备的接口。</w:t>
            </w:r>
          </w:p>
          <w:p>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五、其它要求：</w:t>
            </w:r>
          </w:p>
          <w:p>
            <w:pPr>
              <w:adjustRightInd w:val="0"/>
              <w:snapToGrid w:val="0"/>
              <w:spacing w:line="360" w:lineRule="auto"/>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、与变压器、直流屏供应商的配合</w:t>
            </w:r>
          </w:p>
          <w:p>
            <w:pPr>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变压器所提供的温控仪、直流屏及发电机控制器必须具有</w:t>
            </w:r>
            <w:r>
              <w:rPr>
                <w:rFonts w:ascii="宋体" w:hAnsi="宋体"/>
                <w:color w:val="auto"/>
                <w:szCs w:val="21"/>
                <w:highlight w:val="none"/>
              </w:rPr>
              <w:t>RS485</w:t>
            </w:r>
            <w:r>
              <w:rPr>
                <w:rFonts w:hint="eastAsia" w:ascii="宋体" w:hAnsi="宋体"/>
                <w:color w:val="auto"/>
                <w:szCs w:val="21"/>
                <w:highlight w:val="none"/>
              </w:rPr>
              <w:t>接口，到现场后需将其通讯协议提供给智能化监控厂家。</w:t>
            </w:r>
          </w:p>
          <w:p>
            <w:pPr>
              <w:adjustRightInd w:val="0"/>
              <w:snapToGrid w:val="0"/>
              <w:spacing w:line="360" w:lineRule="auto"/>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、系统需具有足够的抗电磁干扰能力，符合</w:t>
            </w:r>
            <w:r>
              <w:rPr>
                <w:rFonts w:ascii="宋体" w:hAnsi="宋体"/>
                <w:color w:val="auto"/>
                <w:szCs w:val="21"/>
                <w:highlight w:val="none"/>
              </w:rPr>
              <w:t>IEC</w:t>
            </w:r>
            <w:r>
              <w:rPr>
                <w:rFonts w:hint="eastAsia" w:ascii="宋体" w:hAnsi="宋体"/>
                <w:color w:val="auto"/>
                <w:szCs w:val="21"/>
                <w:highlight w:val="none"/>
              </w:rPr>
              <w:t>标准，确保其系统的稳定运行。</w:t>
            </w:r>
          </w:p>
          <w:p>
            <w:pPr>
              <w:adjustRightInd w:val="0"/>
              <w:snapToGrid w:val="0"/>
              <w:spacing w:line="360" w:lineRule="auto"/>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、系统投运后，厂家在接到用户故障通知时，</w:t>
            </w:r>
            <w:r>
              <w:rPr>
                <w:rFonts w:ascii="宋体" w:hAnsi="宋体"/>
                <w:color w:val="auto"/>
                <w:szCs w:val="21"/>
                <w:highlight w:val="none"/>
              </w:rPr>
              <w:t xml:space="preserve"> 2</w:t>
            </w:r>
            <w:r>
              <w:rPr>
                <w:rFonts w:hint="eastAsia" w:ascii="宋体" w:hAnsi="宋体"/>
                <w:color w:val="auto"/>
                <w:szCs w:val="21"/>
                <w:highlight w:val="none"/>
              </w:rPr>
              <w:t>小时内派人抵达现场分析事故原因并予以修复。</w:t>
            </w:r>
          </w:p>
          <w:p>
            <w:pPr>
              <w:adjustRightInd w:val="0"/>
              <w:snapToGrid w:val="0"/>
              <w:spacing w:line="360" w:lineRule="auto"/>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、厂家免费负责提供全面的技术培训。</w:t>
            </w:r>
          </w:p>
        </w:tc>
        <w:tc>
          <w:tcPr>
            <w:tcW w:w="1070" w:type="dxa"/>
            <w:noWrap w:val="0"/>
            <w:vAlign w:val="center"/>
          </w:tcPr>
          <w:p>
            <w:pPr>
              <w:spacing w:line="360" w:lineRule="auto"/>
              <w:ind w:firstLine="420"/>
              <w:rPr>
                <w:rFonts w:ascii="宋体" w:hAnsi="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jc w:val="center"/>
        </w:trPr>
        <w:tc>
          <w:tcPr>
            <w:tcW w:w="708" w:type="dxa"/>
            <w:noWrap w:val="0"/>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8</w:t>
            </w:r>
          </w:p>
        </w:tc>
        <w:tc>
          <w:tcPr>
            <w:tcW w:w="1134" w:type="dxa"/>
            <w:noWrap w:val="0"/>
            <w:vAlign w:val="center"/>
          </w:tcPr>
          <w:p>
            <w:pPr>
              <w:spacing w:line="360" w:lineRule="auto"/>
              <w:rPr>
                <w:rFonts w:ascii="宋体" w:hAnsi="宋体"/>
                <w:b/>
                <w:color w:val="auto"/>
                <w:szCs w:val="21"/>
                <w:highlight w:val="none"/>
              </w:rPr>
            </w:pPr>
            <w:r>
              <w:rPr>
                <w:rFonts w:hint="eastAsia" w:ascii="宋体" w:hAnsi="宋体"/>
                <w:color w:val="auto"/>
                <w:szCs w:val="21"/>
                <w:highlight w:val="none"/>
              </w:rPr>
              <w:t>照明箱、动力箱、控制箱、双电源切换箱</w:t>
            </w:r>
          </w:p>
        </w:tc>
        <w:tc>
          <w:tcPr>
            <w:tcW w:w="6127" w:type="dxa"/>
            <w:noWrap w:val="0"/>
            <w:vAlign w:val="center"/>
          </w:tcPr>
          <w:p>
            <w:pPr>
              <w:spacing w:line="360" w:lineRule="auto"/>
              <w:ind w:firstLine="432"/>
              <w:rPr>
                <w:rFonts w:ascii="宋体" w:hAnsi="宋体"/>
                <w:color w:val="auto"/>
                <w:szCs w:val="21"/>
                <w:highlight w:val="none"/>
              </w:rPr>
            </w:pPr>
            <w:r>
              <w:rPr>
                <w:rFonts w:hint="eastAsia" w:ascii="宋体" w:hAnsi="宋体"/>
                <w:color w:val="auto"/>
                <w:szCs w:val="21"/>
                <w:highlight w:val="none"/>
              </w:rPr>
              <w:t>（一）产品技术要求</w:t>
            </w:r>
          </w:p>
          <w:p>
            <w:pPr>
              <w:pStyle w:val="20"/>
              <w:snapToGrid w:val="0"/>
              <w:spacing w:line="360" w:lineRule="auto"/>
              <w:ind w:firstLine="400" w:firstLineChars="200"/>
              <w:textAlignment w:val="baseline"/>
              <w:rPr>
                <w:color w:val="auto"/>
                <w:highlight w:val="none"/>
              </w:rPr>
            </w:pPr>
            <w:r>
              <w:rPr>
                <w:rFonts w:hAnsi="宋体"/>
                <w:color w:val="auto"/>
                <w:highlight w:val="none"/>
              </w:rPr>
              <w:t>1</w:t>
            </w:r>
            <w:r>
              <w:rPr>
                <w:rFonts w:hint="eastAsia" w:hAnsi="宋体"/>
                <w:color w:val="auto"/>
                <w:highlight w:val="none"/>
              </w:rPr>
              <w:t>、符合</w:t>
            </w:r>
            <w:r>
              <w:rPr>
                <w:rFonts w:hAnsi="宋体"/>
                <w:color w:val="auto"/>
                <w:highlight w:val="none"/>
              </w:rPr>
              <w:t>BG7521</w:t>
            </w:r>
            <w:r>
              <w:rPr>
                <w:rFonts w:hint="eastAsia" w:hAnsi="宋体"/>
                <w:color w:val="auto"/>
                <w:highlight w:val="none"/>
              </w:rPr>
              <w:t>、</w:t>
            </w:r>
            <w:r>
              <w:rPr>
                <w:rFonts w:hAnsi="宋体"/>
                <w:color w:val="auto"/>
                <w:highlight w:val="none"/>
              </w:rPr>
              <w:t>JB/T9666</w:t>
            </w:r>
            <w:r>
              <w:rPr>
                <w:rFonts w:hint="eastAsia" w:hAnsi="宋体"/>
                <w:color w:val="auto"/>
                <w:highlight w:val="none"/>
              </w:rPr>
              <w:t>等中国国家标准及国际标准；</w:t>
            </w:r>
          </w:p>
          <w:p>
            <w:pPr>
              <w:spacing w:line="360" w:lineRule="auto"/>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、三箱设备内元器件应有“</w:t>
            </w:r>
            <w:r>
              <w:rPr>
                <w:rFonts w:ascii="宋体" w:hAnsi="宋体"/>
                <w:color w:val="auto"/>
                <w:szCs w:val="21"/>
                <w:highlight w:val="none"/>
              </w:rPr>
              <w:t>3C</w:t>
            </w:r>
            <w:r>
              <w:rPr>
                <w:rFonts w:hint="eastAsia" w:ascii="宋体" w:hAnsi="宋体"/>
                <w:color w:val="auto"/>
                <w:szCs w:val="21"/>
                <w:highlight w:val="none"/>
              </w:rPr>
              <w:t>”认证</w:t>
            </w:r>
            <w:r>
              <w:rPr>
                <w:rFonts w:ascii="宋体" w:hAnsi="宋体"/>
                <w:color w:val="auto"/>
                <w:szCs w:val="21"/>
                <w:highlight w:val="none"/>
              </w:rPr>
              <w:t xml:space="preserve">, </w:t>
            </w:r>
            <w:r>
              <w:rPr>
                <w:rFonts w:hint="eastAsia" w:ascii="宋体" w:hAnsi="宋体"/>
                <w:color w:val="auto"/>
                <w:szCs w:val="21"/>
                <w:highlight w:val="none"/>
              </w:rPr>
              <w:t>且消防电箱应有</w:t>
            </w:r>
            <w:r>
              <w:rPr>
                <w:rFonts w:ascii="宋体" w:hAnsi="宋体"/>
                <w:color w:val="auto"/>
                <w:szCs w:val="21"/>
                <w:highlight w:val="none"/>
              </w:rPr>
              <w:t>3CF</w:t>
            </w:r>
            <w:r>
              <w:rPr>
                <w:rFonts w:hint="eastAsia" w:ascii="宋体" w:hAnsi="宋体"/>
                <w:color w:val="auto"/>
                <w:szCs w:val="21"/>
                <w:highlight w:val="none"/>
              </w:rPr>
              <w:t>认证，并满足消防验收的规定；</w:t>
            </w:r>
          </w:p>
          <w:p>
            <w:pPr>
              <w:spacing w:line="360" w:lineRule="auto"/>
              <w:ind w:firstLine="420" w:firstLineChars="200"/>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、三箱内断路器和接触器应采用同一品牌；浪涌保护器需满足防雷验收要求；</w:t>
            </w:r>
          </w:p>
          <w:p>
            <w:pPr>
              <w:spacing w:line="360" w:lineRule="auto"/>
              <w:ind w:firstLine="420" w:firstLineChars="200"/>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、三箱内二次元器件及导线须采用国产优质名牌；</w:t>
            </w:r>
          </w:p>
          <w:p>
            <w:pPr>
              <w:spacing w:line="360" w:lineRule="auto"/>
              <w:ind w:firstLine="420"/>
              <w:rPr>
                <w:rFonts w:ascii="宋体" w:hAnsi="宋体"/>
                <w:color w:val="auto"/>
                <w:szCs w:val="21"/>
                <w:highlight w:val="none"/>
              </w:rPr>
            </w:pPr>
            <w:r>
              <w:rPr>
                <w:rFonts w:hint="eastAsia" w:ascii="宋体" w:hAnsi="宋体"/>
                <w:color w:val="auto"/>
                <w:szCs w:val="21"/>
                <w:highlight w:val="none"/>
              </w:rPr>
              <w:t>5、箱体材料采用国产优质冷轧钢板，箱体板材厚度不小于</w:t>
            </w:r>
            <w:r>
              <w:rPr>
                <w:rFonts w:ascii="宋体" w:hAnsi="宋体"/>
                <w:color w:val="auto"/>
                <w:szCs w:val="21"/>
                <w:highlight w:val="none"/>
              </w:rPr>
              <w:t>1.5mm</w:t>
            </w:r>
            <w:r>
              <w:rPr>
                <w:rFonts w:hint="eastAsia" w:ascii="宋体" w:hAnsi="宋体"/>
                <w:color w:val="auto"/>
                <w:szCs w:val="21"/>
                <w:highlight w:val="none"/>
              </w:rPr>
              <w:t>，落地柜板材厚度不小于2</w:t>
            </w:r>
            <w:r>
              <w:rPr>
                <w:rFonts w:ascii="宋体" w:hAnsi="宋体"/>
                <w:color w:val="auto"/>
                <w:szCs w:val="21"/>
                <w:highlight w:val="none"/>
              </w:rPr>
              <w:t>.0mm</w:t>
            </w:r>
            <w:r>
              <w:rPr>
                <w:rFonts w:hint="eastAsia" w:ascii="宋体" w:hAnsi="宋体"/>
                <w:color w:val="auto"/>
                <w:szCs w:val="21"/>
                <w:highlight w:val="none"/>
              </w:rPr>
              <w:t>，箱体表面经过除油、除锈、磷化处理、喷粉烘烤或喷塑处理。</w:t>
            </w:r>
          </w:p>
          <w:p>
            <w:pPr>
              <w:spacing w:line="360" w:lineRule="auto"/>
              <w:ind w:firstLine="420"/>
              <w:rPr>
                <w:rFonts w:ascii="宋体" w:hAnsi="宋体"/>
                <w:color w:val="auto"/>
                <w:szCs w:val="21"/>
                <w:highlight w:val="none"/>
              </w:rPr>
            </w:pPr>
            <w:r>
              <w:rPr>
                <w:rFonts w:hint="eastAsia" w:ascii="宋体" w:hAnsi="宋体"/>
                <w:color w:val="auto"/>
                <w:szCs w:val="21"/>
                <w:highlight w:val="none"/>
              </w:rPr>
              <w:t>6、箱体必须为全封闭型，箱门上须装防尘垫，装以锁扣或其他相同经批准的锁。整个箱体的防护等级满足图纸及规范要求。</w:t>
            </w:r>
          </w:p>
          <w:p>
            <w:pPr>
              <w:spacing w:line="360" w:lineRule="auto"/>
              <w:ind w:firstLine="420"/>
              <w:rPr>
                <w:rFonts w:ascii="宋体" w:hAnsi="宋体"/>
                <w:color w:val="auto"/>
                <w:szCs w:val="21"/>
                <w:highlight w:val="none"/>
              </w:rPr>
            </w:pPr>
            <w:r>
              <w:rPr>
                <w:rFonts w:hint="eastAsia" w:ascii="宋体" w:hAnsi="宋体"/>
                <w:color w:val="auto"/>
                <w:szCs w:val="21"/>
                <w:highlight w:val="none"/>
              </w:rPr>
              <w:t>7、箱内设备必须包括所规定额定电流的镀锡铜母线，以及足够截面的多接线端子的中性线和地线母线。</w:t>
            </w:r>
          </w:p>
          <w:p>
            <w:pPr>
              <w:spacing w:line="360" w:lineRule="auto"/>
              <w:ind w:firstLine="420"/>
              <w:rPr>
                <w:rFonts w:ascii="宋体" w:hAnsi="宋体"/>
                <w:color w:val="auto"/>
                <w:szCs w:val="21"/>
                <w:highlight w:val="none"/>
              </w:rPr>
            </w:pPr>
            <w:r>
              <w:rPr>
                <w:rFonts w:hint="eastAsia" w:ascii="宋体" w:hAnsi="宋体"/>
                <w:color w:val="auto"/>
                <w:szCs w:val="21"/>
                <w:highlight w:val="none"/>
              </w:rPr>
              <w:t>8、为了使带电部分和电线在打开前门板时能够完全屏蔽，所有在箱内的电线、母线等都应加以遮护，并应提供一块1.5mm厚的阻燃前护板（控制箱可以例外）。只有断路器的操作手把和其周围的绝缘部分可以突出在阻燃前护板上。</w:t>
            </w:r>
          </w:p>
          <w:p>
            <w:pPr>
              <w:spacing w:line="360" w:lineRule="auto"/>
              <w:ind w:firstLine="420"/>
              <w:rPr>
                <w:rFonts w:ascii="宋体" w:hAnsi="宋体"/>
                <w:color w:val="auto"/>
                <w:szCs w:val="21"/>
                <w:highlight w:val="none"/>
              </w:rPr>
            </w:pPr>
            <w:r>
              <w:rPr>
                <w:rFonts w:hint="eastAsia" w:ascii="宋体" w:hAnsi="宋体"/>
                <w:color w:val="auto"/>
                <w:szCs w:val="21"/>
                <w:highlight w:val="none"/>
              </w:rPr>
              <w:t>9、必须配置一个接地端子，使箱体可以接地。装有二次元件的箱门应通过软编制铜带与接地端子相连。</w:t>
            </w:r>
          </w:p>
          <w:p>
            <w:pPr>
              <w:spacing w:line="360" w:lineRule="auto"/>
              <w:ind w:firstLine="420"/>
              <w:rPr>
                <w:rFonts w:ascii="宋体" w:hAnsi="宋体"/>
                <w:color w:val="auto"/>
                <w:szCs w:val="21"/>
                <w:highlight w:val="none"/>
              </w:rPr>
            </w:pPr>
            <w:r>
              <w:rPr>
                <w:rFonts w:hint="eastAsia" w:ascii="宋体" w:hAnsi="宋体"/>
                <w:color w:val="auto"/>
                <w:szCs w:val="21"/>
                <w:highlight w:val="none"/>
              </w:rPr>
              <w:t>10、三箱内主开关的相线和中性母线的额定电流不应小于250A和进线保护装置的电流。母线、母线固定支架和母线接线的布置必须能在1秒钟内承受40kA以上的短路电流的冲击。</w:t>
            </w:r>
          </w:p>
          <w:p>
            <w:pPr>
              <w:spacing w:line="360" w:lineRule="auto"/>
              <w:ind w:firstLine="420"/>
              <w:rPr>
                <w:rFonts w:ascii="宋体" w:hAnsi="宋体"/>
                <w:color w:val="auto"/>
                <w:szCs w:val="21"/>
                <w:highlight w:val="none"/>
              </w:rPr>
            </w:pPr>
            <w:r>
              <w:rPr>
                <w:rFonts w:hint="eastAsia" w:ascii="宋体" w:hAnsi="宋体"/>
                <w:color w:val="auto"/>
                <w:szCs w:val="21"/>
                <w:highlight w:val="none"/>
              </w:rPr>
              <w:t>11、所有三箱必须有清晰的标牌。在每个箱门内必须附有回路记录卡。每个电箱必须给出一次及二次接线图。</w:t>
            </w:r>
          </w:p>
          <w:p>
            <w:pPr>
              <w:spacing w:line="360" w:lineRule="auto"/>
              <w:ind w:firstLine="420"/>
              <w:rPr>
                <w:rFonts w:ascii="宋体" w:hAnsi="宋体"/>
                <w:color w:val="auto"/>
                <w:szCs w:val="21"/>
                <w:highlight w:val="none"/>
              </w:rPr>
            </w:pPr>
            <w:r>
              <w:rPr>
                <w:rFonts w:hint="eastAsia" w:ascii="宋体" w:hAnsi="宋体"/>
                <w:color w:val="auto"/>
                <w:szCs w:val="21"/>
                <w:highlight w:val="none"/>
              </w:rPr>
              <w:t>12、双电源切换开关</w:t>
            </w:r>
            <w:r>
              <w:rPr>
                <w:rFonts w:ascii="宋体" w:hAnsi="宋体"/>
                <w:color w:val="auto"/>
                <w:szCs w:val="21"/>
                <w:highlight w:val="none"/>
              </w:rPr>
              <w:t>设有手动/自动、自投自复/自投不自复。具有过压、欠压、缺相的检测功能。当某路电源出现故障时，电源指示灯显示故障类型。过压、欠压的阈值可通过控制器背面的拨动开关进行设置。</w:t>
            </w:r>
          </w:p>
          <w:p>
            <w:pPr>
              <w:spacing w:line="360" w:lineRule="auto"/>
              <w:ind w:firstLine="420"/>
              <w:rPr>
                <w:rFonts w:ascii="宋体" w:hAnsi="宋体"/>
                <w:color w:val="auto"/>
                <w:szCs w:val="21"/>
                <w:highlight w:val="none"/>
              </w:rPr>
            </w:pPr>
            <w:r>
              <w:rPr>
                <w:rFonts w:hint="eastAsia" w:ascii="宋体" w:hAnsi="宋体"/>
                <w:color w:val="auto"/>
                <w:szCs w:val="21"/>
                <w:highlight w:val="none"/>
              </w:rPr>
              <w:t>13、总包单位采购的设备、自带控制箱（柜）应有消防控制接点、弱电系统集成需要的要检测、通讯接口、控制接口。</w:t>
            </w:r>
          </w:p>
          <w:p>
            <w:pPr>
              <w:spacing w:line="360" w:lineRule="auto"/>
              <w:ind w:firstLine="420"/>
              <w:rPr>
                <w:rFonts w:ascii="宋体" w:hAnsi="宋体"/>
                <w:color w:val="auto"/>
                <w:szCs w:val="21"/>
                <w:highlight w:val="none"/>
              </w:rPr>
            </w:pPr>
            <w:r>
              <w:rPr>
                <w:rFonts w:hint="eastAsia" w:ascii="宋体" w:hAnsi="宋体"/>
                <w:color w:val="auto"/>
                <w:szCs w:val="21"/>
                <w:highlight w:val="none"/>
              </w:rPr>
              <w:t>14、变频器应满足设计要求，同时变频器应带抑制谐波措施。</w:t>
            </w:r>
          </w:p>
          <w:p>
            <w:pPr>
              <w:spacing w:line="360" w:lineRule="auto"/>
              <w:ind w:firstLine="420"/>
              <w:rPr>
                <w:rFonts w:ascii="宋体" w:hAnsi="宋体"/>
                <w:color w:val="auto"/>
                <w:szCs w:val="21"/>
                <w:highlight w:val="none"/>
              </w:rPr>
            </w:pPr>
            <w:r>
              <w:rPr>
                <w:rFonts w:hint="eastAsia" w:ascii="宋体" w:hAnsi="宋体"/>
                <w:color w:val="auto"/>
                <w:szCs w:val="21"/>
                <w:highlight w:val="none"/>
              </w:rPr>
              <w:t>15、双电源切换箱必须通过AC-33实验。</w:t>
            </w:r>
          </w:p>
          <w:p>
            <w:pPr>
              <w:spacing w:line="360" w:lineRule="auto"/>
              <w:ind w:firstLine="420"/>
              <w:rPr>
                <w:rFonts w:ascii="宋体" w:hAnsi="宋体"/>
                <w:color w:val="auto"/>
                <w:szCs w:val="21"/>
                <w:highlight w:val="none"/>
              </w:rPr>
            </w:pPr>
            <w:r>
              <w:rPr>
                <w:rFonts w:hint="eastAsia" w:ascii="宋体" w:hAnsi="宋体"/>
                <w:color w:val="auto"/>
                <w:szCs w:val="21"/>
                <w:highlight w:val="none"/>
              </w:rPr>
              <w:t>16、T接箱</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16.1、符合GB14048、JB/T9659、IEC60947等中国国家标准及国际标准；</w:t>
            </w:r>
          </w:p>
          <w:p>
            <w:pPr>
              <w:spacing w:line="360" w:lineRule="auto"/>
              <w:ind w:firstLine="420"/>
              <w:rPr>
                <w:rFonts w:ascii="宋体" w:hAnsi="宋体"/>
                <w:color w:val="auto"/>
                <w:szCs w:val="21"/>
                <w:highlight w:val="none"/>
              </w:rPr>
            </w:pPr>
            <w:r>
              <w:rPr>
                <w:rFonts w:hint="eastAsia" w:ascii="宋体" w:hAnsi="宋体"/>
                <w:color w:val="auto"/>
                <w:szCs w:val="21"/>
                <w:highlight w:val="none"/>
              </w:rPr>
              <w:t>16.2、要求具有较强耐热性和抗冲击能力，可承受120A/mm</w:t>
            </w:r>
            <w:r>
              <w:rPr>
                <w:rFonts w:hint="eastAsia" w:ascii="宋体" w:hAnsi="宋体"/>
                <w:color w:val="auto"/>
                <w:szCs w:val="21"/>
                <w:highlight w:val="none"/>
                <w:vertAlign w:val="superscript"/>
              </w:rPr>
              <w:t>2</w:t>
            </w:r>
            <w:r>
              <w:rPr>
                <w:rFonts w:hint="eastAsia" w:ascii="宋体" w:hAnsi="宋体"/>
                <w:color w:val="auto"/>
                <w:szCs w:val="21"/>
                <w:highlight w:val="none"/>
              </w:rPr>
              <w:t>的短路冲击电流，绝缘基座采用不燃烧材料制作，耐老化性能优良。</w:t>
            </w:r>
          </w:p>
          <w:p>
            <w:pPr>
              <w:spacing w:line="360" w:lineRule="auto"/>
              <w:ind w:firstLine="420"/>
              <w:rPr>
                <w:rFonts w:ascii="宋体" w:hAnsi="宋体"/>
                <w:color w:val="auto"/>
                <w:szCs w:val="21"/>
                <w:highlight w:val="none"/>
              </w:rPr>
            </w:pPr>
            <w:r>
              <w:rPr>
                <w:rFonts w:hint="eastAsia" w:ascii="宋体" w:hAnsi="宋体"/>
                <w:color w:val="auto"/>
                <w:szCs w:val="21"/>
                <w:highlight w:val="none"/>
              </w:rPr>
              <w:t>（二）智能化要求</w:t>
            </w:r>
          </w:p>
          <w:p>
            <w:pPr>
              <w:spacing w:line="360" w:lineRule="auto"/>
              <w:ind w:firstLine="420"/>
              <w:rPr>
                <w:rFonts w:ascii="宋体" w:hAnsi="宋体"/>
                <w:color w:val="auto"/>
                <w:szCs w:val="21"/>
                <w:highlight w:val="none"/>
              </w:rPr>
            </w:pPr>
            <w:r>
              <w:rPr>
                <w:rFonts w:hint="eastAsia" w:ascii="宋体" w:hAnsi="宋体"/>
                <w:color w:val="auto"/>
                <w:szCs w:val="21"/>
                <w:highlight w:val="none"/>
              </w:rPr>
              <w:t>1、三箱箱体预留孔洞，便于智能化单位穿线。</w:t>
            </w:r>
          </w:p>
          <w:p>
            <w:pPr>
              <w:spacing w:line="360" w:lineRule="auto"/>
              <w:ind w:firstLine="420"/>
              <w:rPr>
                <w:rFonts w:ascii="宋体" w:hAnsi="宋体"/>
                <w:color w:val="auto"/>
                <w:szCs w:val="21"/>
                <w:highlight w:val="none"/>
              </w:rPr>
            </w:pPr>
            <w:r>
              <w:rPr>
                <w:rFonts w:hint="eastAsia" w:ascii="宋体" w:hAnsi="宋体"/>
                <w:color w:val="auto"/>
                <w:szCs w:val="21"/>
                <w:highlight w:val="none"/>
              </w:rPr>
              <w:t>2、三箱内需为电力智能仪表、智能照明、漏电火灾监控、消防电源监控等模块预留一定空间并安装。</w:t>
            </w:r>
          </w:p>
          <w:p>
            <w:pPr>
              <w:spacing w:line="360" w:lineRule="auto"/>
              <w:ind w:firstLine="420"/>
              <w:rPr>
                <w:rFonts w:ascii="宋体" w:hAnsi="宋体"/>
                <w:color w:val="auto"/>
                <w:szCs w:val="21"/>
                <w:highlight w:val="none"/>
              </w:rPr>
            </w:pPr>
            <w:r>
              <w:rPr>
                <w:rFonts w:hint="eastAsia" w:ascii="宋体" w:hAnsi="宋体"/>
                <w:color w:val="auto"/>
                <w:szCs w:val="21"/>
                <w:highlight w:val="none"/>
              </w:rPr>
              <w:t>3、按照智能化设计要求,为智能化系统预留接线端子。</w:t>
            </w:r>
          </w:p>
          <w:p>
            <w:pPr>
              <w:spacing w:line="360" w:lineRule="auto"/>
              <w:ind w:firstLine="420"/>
              <w:rPr>
                <w:rFonts w:ascii="宋体" w:hAnsi="宋体"/>
                <w:color w:val="auto"/>
                <w:szCs w:val="21"/>
                <w:highlight w:val="none"/>
              </w:rPr>
            </w:pPr>
            <w:r>
              <w:rPr>
                <w:rFonts w:hint="eastAsia" w:ascii="宋体" w:hAnsi="宋体"/>
                <w:color w:val="auto"/>
                <w:szCs w:val="21"/>
                <w:highlight w:val="none"/>
              </w:rPr>
              <w:t>要求承包人必须实现下述功能，如有需要，承包人必须自行填加配置足够的元器件，直至满足要求为止（包含但不限于）：</w:t>
            </w:r>
          </w:p>
          <w:p>
            <w:pPr>
              <w:spacing w:line="360" w:lineRule="auto"/>
              <w:ind w:firstLine="420"/>
              <w:rPr>
                <w:rFonts w:ascii="宋体" w:hAnsi="宋体"/>
                <w:color w:val="auto"/>
                <w:szCs w:val="21"/>
                <w:highlight w:val="none"/>
              </w:rPr>
            </w:pPr>
            <w:r>
              <w:rPr>
                <w:rFonts w:hint="eastAsia" w:ascii="宋体" w:hAnsi="宋体"/>
                <w:color w:val="auto"/>
                <w:szCs w:val="21"/>
                <w:highlight w:val="none"/>
              </w:rPr>
              <w:t>（1）空调系统（新风机组、空调机组、风机盘管）</w:t>
            </w:r>
          </w:p>
          <w:p>
            <w:pPr>
              <w:spacing w:line="360" w:lineRule="auto"/>
              <w:ind w:firstLine="420"/>
              <w:rPr>
                <w:rFonts w:ascii="宋体" w:hAnsi="宋体"/>
                <w:color w:val="auto"/>
                <w:szCs w:val="21"/>
                <w:highlight w:val="none"/>
              </w:rPr>
            </w:pPr>
            <w:r>
              <w:rPr>
                <w:rFonts w:hint="eastAsia" w:ascii="宋体" w:hAnsi="宋体"/>
                <w:color w:val="auto"/>
                <w:szCs w:val="21"/>
                <w:highlight w:val="none"/>
              </w:rPr>
              <w:t>新风机组、空调机组控制箱需提供手/自动状态、运行状态、故障状态等干接点，启/停控制的干接点。干接点不应引入高电位，箱内有配线及端子排应与柜内其它线路及端子排分开，单独设置。</w:t>
            </w:r>
          </w:p>
          <w:p>
            <w:pPr>
              <w:spacing w:line="360" w:lineRule="auto"/>
              <w:ind w:firstLine="420"/>
              <w:rPr>
                <w:rFonts w:ascii="宋体" w:hAnsi="宋体"/>
                <w:color w:val="auto"/>
                <w:szCs w:val="21"/>
                <w:highlight w:val="none"/>
              </w:rPr>
            </w:pPr>
            <w:r>
              <w:rPr>
                <w:rFonts w:hint="eastAsia" w:ascii="宋体" w:hAnsi="宋体"/>
                <w:color w:val="auto"/>
                <w:szCs w:val="21"/>
                <w:highlight w:val="none"/>
              </w:rPr>
              <w:t>（2）通风系统</w:t>
            </w:r>
          </w:p>
          <w:p>
            <w:pPr>
              <w:spacing w:line="360" w:lineRule="auto"/>
              <w:ind w:firstLine="420"/>
              <w:rPr>
                <w:rFonts w:ascii="宋体" w:hAnsi="宋体"/>
                <w:color w:val="auto"/>
                <w:szCs w:val="21"/>
                <w:highlight w:val="none"/>
              </w:rPr>
            </w:pPr>
            <w:r>
              <w:rPr>
                <w:rFonts w:hint="eastAsia" w:ascii="宋体" w:hAnsi="宋体"/>
                <w:color w:val="auto"/>
                <w:szCs w:val="21"/>
                <w:highlight w:val="none"/>
              </w:rPr>
              <w:t>送排风机控制箱需提供手/自动状态、运行状态、故障状态等干接点，启/停控制等干接点，消防控制系统应具有最高的优先控制权。接点应避免引入高电位，配线及端子排应与柜内其它线路及端子排分开、单独设置。</w:t>
            </w:r>
          </w:p>
          <w:p>
            <w:pPr>
              <w:spacing w:line="360" w:lineRule="auto"/>
              <w:ind w:firstLine="420"/>
              <w:rPr>
                <w:rFonts w:ascii="宋体" w:hAnsi="宋体"/>
                <w:color w:val="auto"/>
                <w:szCs w:val="21"/>
                <w:highlight w:val="none"/>
              </w:rPr>
            </w:pPr>
            <w:r>
              <w:rPr>
                <w:rFonts w:hint="eastAsia" w:ascii="宋体" w:hAnsi="宋体"/>
                <w:color w:val="auto"/>
                <w:szCs w:val="21"/>
                <w:highlight w:val="none"/>
              </w:rPr>
              <w:t>（3）给排水系统</w:t>
            </w:r>
          </w:p>
          <w:p>
            <w:pPr>
              <w:spacing w:line="360" w:lineRule="auto"/>
              <w:ind w:firstLine="420"/>
              <w:rPr>
                <w:rFonts w:ascii="宋体" w:hAnsi="宋体"/>
                <w:color w:val="auto"/>
                <w:szCs w:val="21"/>
                <w:highlight w:val="none"/>
              </w:rPr>
            </w:pPr>
            <w:r>
              <w:rPr>
                <w:rFonts w:hint="eastAsia" w:ascii="宋体" w:hAnsi="宋体"/>
                <w:color w:val="auto"/>
                <w:szCs w:val="21"/>
                <w:highlight w:val="none"/>
              </w:rPr>
              <w:t>潜污泵、补水泵、生活水泵控制箱需提供手/自动状态、运行状态、故障状态、过载报警等干接点，启/停控制等干接点，配线及端子排应与柜内其它线路及端子排分开、单独设置。</w:t>
            </w:r>
          </w:p>
          <w:p>
            <w:pPr>
              <w:spacing w:line="360" w:lineRule="auto"/>
              <w:ind w:firstLine="420"/>
              <w:rPr>
                <w:rFonts w:ascii="宋体" w:hAnsi="宋体"/>
                <w:color w:val="auto"/>
                <w:szCs w:val="21"/>
                <w:highlight w:val="none"/>
              </w:rPr>
            </w:pPr>
            <w:r>
              <w:rPr>
                <w:rFonts w:hint="eastAsia" w:ascii="宋体" w:hAnsi="宋体"/>
                <w:color w:val="auto"/>
                <w:szCs w:val="21"/>
                <w:highlight w:val="none"/>
              </w:rPr>
              <w:t>（4）消防系统</w:t>
            </w:r>
          </w:p>
          <w:p>
            <w:pPr>
              <w:spacing w:line="360" w:lineRule="auto"/>
              <w:ind w:firstLine="420"/>
              <w:rPr>
                <w:rFonts w:ascii="宋体" w:hAnsi="宋体"/>
                <w:color w:val="auto"/>
                <w:szCs w:val="21"/>
                <w:highlight w:val="none"/>
              </w:rPr>
            </w:pPr>
            <w:r>
              <w:rPr>
                <w:rFonts w:hint="eastAsia" w:ascii="宋体" w:hAnsi="宋体"/>
                <w:color w:val="auto"/>
                <w:szCs w:val="21"/>
                <w:highlight w:val="none"/>
              </w:rPr>
              <w:t>消防水泵和喷洒水泵控制箱需提供手/自动状态、运行状态、过载报警等干接点，消防启/停控制信号接点，配线及端子排应与柜内其它线路及端子排分开、单独设置。</w:t>
            </w:r>
          </w:p>
          <w:p>
            <w:pPr>
              <w:spacing w:line="360" w:lineRule="auto"/>
              <w:ind w:firstLine="420"/>
              <w:rPr>
                <w:rFonts w:ascii="宋体" w:hAnsi="宋体"/>
                <w:color w:val="auto"/>
                <w:szCs w:val="21"/>
                <w:highlight w:val="none"/>
              </w:rPr>
            </w:pPr>
            <w:r>
              <w:rPr>
                <w:rFonts w:hint="eastAsia" w:hAnsi="宋体"/>
                <w:color w:val="auto"/>
                <w:szCs w:val="21"/>
                <w:highlight w:val="none"/>
              </w:rPr>
              <w:t>材料定货前要提供样品，报监理、发包人审批后才能定货。</w:t>
            </w:r>
          </w:p>
        </w:tc>
        <w:tc>
          <w:tcPr>
            <w:tcW w:w="1070" w:type="dxa"/>
            <w:noWrap w:val="0"/>
            <w:vAlign w:val="center"/>
          </w:tcPr>
          <w:p>
            <w:pPr>
              <w:spacing w:line="360" w:lineRule="auto"/>
              <w:ind w:firstLine="420"/>
              <w:rPr>
                <w:rFonts w:ascii="宋体" w:hAnsi="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jc w:val="center"/>
        </w:trPr>
        <w:tc>
          <w:tcPr>
            <w:tcW w:w="708" w:type="dxa"/>
            <w:noWrap w:val="0"/>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9</w:t>
            </w:r>
          </w:p>
        </w:tc>
        <w:tc>
          <w:tcPr>
            <w:tcW w:w="1134" w:type="dxa"/>
            <w:noWrap w:val="0"/>
            <w:vAlign w:val="center"/>
          </w:tcPr>
          <w:p>
            <w:pPr>
              <w:spacing w:line="360" w:lineRule="auto"/>
              <w:rPr>
                <w:rFonts w:ascii="宋体" w:hAnsi="宋体"/>
                <w:color w:val="auto"/>
                <w:szCs w:val="21"/>
                <w:highlight w:val="none"/>
              </w:rPr>
            </w:pPr>
            <w:r>
              <w:rPr>
                <w:rFonts w:hint="eastAsia" w:hAnsi="宋体"/>
                <w:color w:val="auto"/>
                <w:szCs w:val="21"/>
                <w:highlight w:val="none"/>
              </w:rPr>
              <w:t>阻燃型硬质塑料管、PVC管</w:t>
            </w:r>
          </w:p>
        </w:tc>
        <w:tc>
          <w:tcPr>
            <w:tcW w:w="6127" w:type="dxa"/>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1、生产厂家注册资金不少于1000万元。</w:t>
            </w:r>
          </w:p>
          <w:p>
            <w:pPr>
              <w:pStyle w:val="106"/>
              <w:ind w:firstLine="420"/>
              <w:rPr>
                <w:rFonts w:hAnsi="宋体"/>
                <w:color w:val="auto"/>
                <w:sz w:val="21"/>
                <w:szCs w:val="21"/>
                <w:highlight w:val="none"/>
              </w:rPr>
            </w:pPr>
            <w:r>
              <w:rPr>
                <w:rFonts w:hint="eastAsia" w:hAnsi="宋体"/>
                <w:color w:val="auto"/>
                <w:sz w:val="21"/>
                <w:szCs w:val="21"/>
                <w:highlight w:val="none"/>
              </w:rPr>
              <w:t>2、符合JB3050等国家标准。</w:t>
            </w:r>
          </w:p>
          <w:p>
            <w:pPr>
              <w:pStyle w:val="106"/>
              <w:ind w:firstLine="420"/>
              <w:rPr>
                <w:rFonts w:hAnsi="宋体"/>
                <w:color w:val="auto"/>
                <w:sz w:val="21"/>
                <w:szCs w:val="21"/>
                <w:highlight w:val="none"/>
              </w:rPr>
            </w:pPr>
            <w:r>
              <w:rPr>
                <w:rFonts w:hint="eastAsia" w:hAnsi="宋体"/>
                <w:color w:val="auto"/>
                <w:sz w:val="21"/>
                <w:szCs w:val="21"/>
                <w:highlight w:val="none"/>
              </w:rPr>
              <w:t>3、硬质塑料管的材质应具有阻燃、耐热、耐冲击的性能，含氧指数不应低于30%。</w:t>
            </w:r>
          </w:p>
          <w:p>
            <w:pPr>
              <w:pStyle w:val="106"/>
              <w:ind w:firstLine="420"/>
              <w:rPr>
                <w:rFonts w:hAnsi="宋体"/>
                <w:color w:val="auto"/>
                <w:sz w:val="21"/>
                <w:szCs w:val="21"/>
                <w:highlight w:val="none"/>
              </w:rPr>
            </w:pPr>
            <w:r>
              <w:rPr>
                <w:rFonts w:hint="eastAsia" w:hAnsi="宋体"/>
                <w:color w:val="auto"/>
                <w:sz w:val="21"/>
                <w:szCs w:val="21"/>
                <w:highlight w:val="none"/>
              </w:rPr>
              <w:t>4、塑料管应里外光滑，无凹凸、针孔、气泡。</w:t>
            </w:r>
          </w:p>
          <w:p>
            <w:pPr>
              <w:pStyle w:val="106"/>
              <w:ind w:firstLine="420"/>
              <w:rPr>
                <w:rFonts w:hAnsi="宋体"/>
                <w:color w:val="auto"/>
                <w:sz w:val="21"/>
                <w:szCs w:val="21"/>
                <w:highlight w:val="none"/>
              </w:rPr>
            </w:pPr>
            <w:r>
              <w:rPr>
                <w:rFonts w:hint="eastAsia" w:hAnsi="宋体"/>
                <w:color w:val="auto"/>
                <w:sz w:val="21"/>
                <w:szCs w:val="21"/>
                <w:highlight w:val="none"/>
              </w:rPr>
              <w:t>5、管内外径尺寸应符合国家现行技术标准，管壁厚均匀一致。</w:t>
            </w:r>
          </w:p>
          <w:p>
            <w:pPr>
              <w:pStyle w:val="106"/>
              <w:ind w:firstLine="420"/>
              <w:rPr>
                <w:rFonts w:hAnsi="宋体"/>
                <w:color w:val="auto"/>
                <w:sz w:val="21"/>
                <w:szCs w:val="21"/>
                <w:highlight w:val="none"/>
              </w:rPr>
            </w:pPr>
            <w:r>
              <w:rPr>
                <w:rFonts w:hint="eastAsia" w:hAnsi="宋体"/>
                <w:color w:val="auto"/>
                <w:sz w:val="21"/>
                <w:szCs w:val="21"/>
                <w:highlight w:val="none"/>
              </w:rPr>
              <w:t>6、所选用阻燃型塑料管件、配件及暗配塑料型制品，必须使用同一生产厂生产的、配套的阻然性塑料制品（接线盒、插座盒、端结合、开关盒、灯头盒、管箍等）。其所属配件、附件，均应外观整齐、开孔齐全，无劈裂、损坏等现象。</w:t>
            </w:r>
          </w:p>
          <w:p>
            <w:pPr>
              <w:pStyle w:val="106"/>
              <w:ind w:firstLine="420"/>
              <w:rPr>
                <w:rFonts w:hAnsi="宋体"/>
                <w:color w:val="auto"/>
                <w:sz w:val="21"/>
                <w:szCs w:val="21"/>
                <w:highlight w:val="none"/>
              </w:rPr>
            </w:pPr>
            <w:r>
              <w:rPr>
                <w:rFonts w:hint="eastAsia" w:hAnsi="宋体"/>
                <w:color w:val="auto"/>
                <w:sz w:val="21"/>
                <w:szCs w:val="21"/>
                <w:highlight w:val="none"/>
              </w:rPr>
              <w:t>7、胶粘剂须是与阻燃型硬质塑料管匹配的定型产品，胶粘剂必须在使用期限以内。</w:t>
            </w:r>
          </w:p>
          <w:p>
            <w:pPr>
              <w:spacing w:line="360" w:lineRule="auto"/>
              <w:ind w:firstLine="420"/>
              <w:rPr>
                <w:rFonts w:ascii="宋体" w:hAnsi="宋体"/>
                <w:color w:val="auto"/>
                <w:szCs w:val="21"/>
                <w:highlight w:val="none"/>
              </w:rPr>
            </w:pPr>
            <w:r>
              <w:rPr>
                <w:rFonts w:hint="eastAsia" w:ascii="宋体" w:hAnsi="宋体"/>
                <w:color w:val="auto"/>
                <w:szCs w:val="21"/>
                <w:highlight w:val="none"/>
              </w:rPr>
              <w:t>8、</w:t>
            </w:r>
            <w:r>
              <w:rPr>
                <w:rFonts w:hint="eastAsia" w:hAnsi="宋体"/>
                <w:color w:val="auto"/>
                <w:szCs w:val="21"/>
                <w:highlight w:val="none"/>
              </w:rPr>
              <w:t>材料定货前要提供样品，报监理、发包人审批后才能定货。</w:t>
            </w:r>
          </w:p>
        </w:tc>
        <w:tc>
          <w:tcPr>
            <w:tcW w:w="1070" w:type="dxa"/>
            <w:noWrap w:val="0"/>
            <w:vAlign w:val="center"/>
          </w:tcPr>
          <w:p>
            <w:pPr>
              <w:spacing w:line="360" w:lineRule="auto"/>
              <w:ind w:firstLine="420"/>
              <w:rPr>
                <w:rFonts w:ascii="宋体" w:hAnsi="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jc w:val="center"/>
        </w:trPr>
        <w:tc>
          <w:tcPr>
            <w:tcW w:w="708" w:type="dxa"/>
            <w:noWrap w:val="0"/>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0</w:t>
            </w:r>
          </w:p>
        </w:tc>
        <w:tc>
          <w:tcPr>
            <w:tcW w:w="1134" w:type="dxa"/>
            <w:noWrap w:val="0"/>
            <w:vAlign w:val="center"/>
          </w:tcPr>
          <w:p>
            <w:pPr>
              <w:spacing w:line="360" w:lineRule="auto"/>
              <w:rPr>
                <w:rFonts w:hAnsi="宋体"/>
                <w:color w:val="auto"/>
                <w:szCs w:val="21"/>
                <w:highlight w:val="none"/>
              </w:rPr>
            </w:pPr>
            <w:r>
              <w:rPr>
                <w:rFonts w:hint="eastAsia" w:hAnsi="宋体"/>
                <w:color w:val="auto"/>
                <w:szCs w:val="21"/>
                <w:highlight w:val="none"/>
              </w:rPr>
              <w:t>紧定式套接钢管</w:t>
            </w:r>
          </w:p>
        </w:tc>
        <w:tc>
          <w:tcPr>
            <w:tcW w:w="6127" w:type="dxa"/>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1、生产厂家注册资金不少于1000万元。</w:t>
            </w:r>
          </w:p>
          <w:p>
            <w:pPr>
              <w:pStyle w:val="106"/>
              <w:ind w:firstLine="420"/>
              <w:rPr>
                <w:rFonts w:hAnsi="宋体"/>
                <w:color w:val="auto"/>
                <w:sz w:val="21"/>
                <w:szCs w:val="21"/>
                <w:highlight w:val="none"/>
              </w:rPr>
            </w:pPr>
            <w:r>
              <w:rPr>
                <w:rFonts w:hint="eastAsia" w:hAnsi="宋体"/>
                <w:color w:val="auto"/>
                <w:sz w:val="21"/>
                <w:szCs w:val="21"/>
                <w:highlight w:val="none"/>
              </w:rPr>
              <w:t>2、满足《套接紧定式钢导管电线管路施工及验收规程CECS120：2007》。</w:t>
            </w:r>
          </w:p>
          <w:p>
            <w:pPr>
              <w:pStyle w:val="106"/>
              <w:ind w:firstLine="420"/>
              <w:rPr>
                <w:rFonts w:hAnsi="宋体"/>
                <w:color w:val="auto"/>
                <w:sz w:val="21"/>
                <w:szCs w:val="21"/>
                <w:highlight w:val="none"/>
              </w:rPr>
            </w:pPr>
            <w:r>
              <w:rPr>
                <w:rFonts w:hint="eastAsia" w:hAnsi="宋体"/>
                <w:color w:val="auto"/>
                <w:sz w:val="21"/>
                <w:szCs w:val="21"/>
                <w:highlight w:val="none"/>
              </w:rPr>
              <w:t>3、钢管的壁厚应均匀、一致，不应有折扁、裂缝、砂眼、塌陷等现象。</w:t>
            </w:r>
          </w:p>
          <w:p>
            <w:pPr>
              <w:pStyle w:val="106"/>
              <w:ind w:firstLine="420"/>
              <w:rPr>
                <w:rFonts w:hAnsi="宋体"/>
                <w:color w:val="auto"/>
                <w:sz w:val="21"/>
                <w:szCs w:val="21"/>
                <w:highlight w:val="none"/>
              </w:rPr>
            </w:pPr>
            <w:r>
              <w:rPr>
                <w:rFonts w:hint="eastAsia" w:hAnsi="宋体"/>
                <w:color w:val="auto"/>
                <w:sz w:val="21"/>
                <w:szCs w:val="21"/>
                <w:highlight w:val="none"/>
              </w:rPr>
              <w:t>4、内外表面应光滑，不应有折叠、裂缝、搭焊、缺焊、毛刺的现象。</w:t>
            </w:r>
          </w:p>
          <w:p>
            <w:pPr>
              <w:pStyle w:val="106"/>
              <w:ind w:firstLine="420"/>
              <w:rPr>
                <w:rFonts w:hAnsi="宋体"/>
                <w:color w:val="auto"/>
                <w:sz w:val="21"/>
                <w:szCs w:val="21"/>
                <w:highlight w:val="none"/>
              </w:rPr>
            </w:pPr>
            <w:r>
              <w:rPr>
                <w:rFonts w:hint="eastAsia" w:hAnsi="宋体"/>
                <w:color w:val="auto"/>
                <w:sz w:val="21"/>
                <w:szCs w:val="21"/>
                <w:highlight w:val="none"/>
              </w:rPr>
              <w:t>5、采用热浸镀锌，镀锌层应均匀一致、完好无损，不得有剥落、气泡的现象。</w:t>
            </w:r>
          </w:p>
          <w:p>
            <w:pPr>
              <w:pStyle w:val="106"/>
              <w:ind w:firstLine="420"/>
              <w:rPr>
                <w:rFonts w:hAnsi="宋体"/>
                <w:color w:val="auto"/>
                <w:sz w:val="21"/>
                <w:szCs w:val="21"/>
                <w:highlight w:val="none"/>
              </w:rPr>
            </w:pPr>
            <w:r>
              <w:rPr>
                <w:rFonts w:hint="eastAsia" w:hAnsi="宋体"/>
                <w:color w:val="auto"/>
                <w:sz w:val="21"/>
                <w:szCs w:val="21"/>
                <w:highlight w:val="none"/>
              </w:rPr>
              <w:t>6、国内大型钢铁厂产品，在钢管上必须有厂家名称、生产标准等标识。</w:t>
            </w:r>
          </w:p>
          <w:p>
            <w:pPr>
              <w:pStyle w:val="106"/>
              <w:ind w:firstLine="420"/>
              <w:rPr>
                <w:rFonts w:hAnsi="宋体"/>
                <w:color w:val="auto"/>
                <w:sz w:val="21"/>
                <w:szCs w:val="21"/>
                <w:highlight w:val="none"/>
              </w:rPr>
            </w:pPr>
            <w:r>
              <w:rPr>
                <w:rFonts w:hint="eastAsia" w:hAnsi="宋体"/>
                <w:color w:val="auto"/>
                <w:sz w:val="21"/>
                <w:szCs w:val="21"/>
                <w:highlight w:val="none"/>
              </w:rPr>
              <w:t>7、紧顶管（JDG）的壁厚不小于规范要求，不低于1.6mm。</w:t>
            </w:r>
          </w:p>
          <w:p>
            <w:pPr>
              <w:spacing w:line="360" w:lineRule="auto"/>
              <w:ind w:firstLine="420"/>
              <w:rPr>
                <w:rFonts w:hAnsi="宋体"/>
                <w:color w:val="auto"/>
                <w:szCs w:val="21"/>
                <w:highlight w:val="none"/>
              </w:rPr>
            </w:pPr>
            <w:r>
              <w:rPr>
                <w:rFonts w:hint="eastAsia" w:hAnsi="宋体"/>
                <w:color w:val="auto"/>
                <w:szCs w:val="21"/>
                <w:highlight w:val="none"/>
              </w:rPr>
              <w:t>8、盒接、管接、灯头盒、开关盒、接线盒等配件与导管为同一厂家。</w:t>
            </w:r>
          </w:p>
          <w:p>
            <w:pPr>
              <w:spacing w:line="360" w:lineRule="auto"/>
              <w:ind w:firstLine="420"/>
              <w:rPr>
                <w:rFonts w:hAnsi="宋体"/>
                <w:color w:val="auto"/>
                <w:szCs w:val="21"/>
                <w:highlight w:val="none"/>
              </w:rPr>
            </w:pPr>
            <w:r>
              <w:rPr>
                <w:rFonts w:hint="eastAsia" w:hAnsi="宋体"/>
                <w:color w:val="auto"/>
                <w:szCs w:val="21"/>
                <w:highlight w:val="none"/>
              </w:rPr>
              <w:t>9、材料定货前要提供样品，报监理、发包人审批后才能定货。</w:t>
            </w:r>
          </w:p>
        </w:tc>
        <w:tc>
          <w:tcPr>
            <w:tcW w:w="1070" w:type="dxa"/>
            <w:noWrap w:val="0"/>
            <w:vAlign w:val="center"/>
          </w:tcPr>
          <w:p>
            <w:pPr>
              <w:spacing w:line="360" w:lineRule="auto"/>
              <w:ind w:firstLine="420"/>
              <w:rPr>
                <w:rFonts w:ascii="宋体" w:hAnsi="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jc w:val="center"/>
        </w:trPr>
        <w:tc>
          <w:tcPr>
            <w:tcW w:w="708" w:type="dxa"/>
            <w:noWrap w:val="0"/>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1</w:t>
            </w:r>
          </w:p>
        </w:tc>
        <w:tc>
          <w:tcPr>
            <w:tcW w:w="1134" w:type="dxa"/>
            <w:noWrap w:val="0"/>
            <w:vAlign w:val="center"/>
          </w:tcPr>
          <w:p>
            <w:pPr>
              <w:spacing w:line="360" w:lineRule="auto"/>
              <w:rPr>
                <w:rFonts w:hAnsi="宋体"/>
                <w:color w:val="auto"/>
                <w:szCs w:val="21"/>
                <w:highlight w:val="none"/>
              </w:rPr>
            </w:pPr>
            <w:r>
              <w:rPr>
                <w:rFonts w:hint="eastAsia" w:hAnsi="宋体"/>
                <w:color w:val="auto"/>
                <w:szCs w:val="21"/>
                <w:highlight w:val="none"/>
              </w:rPr>
              <w:t>镀锌钢管（含强弱电工程）</w:t>
            </w:r>
          </w:p>
        </w:tc>
        <w:tc>
          <w:tcPr>
            <w:tcW w:w="6127" w:type="dxa"/>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1、生产厂家注册资金不少于1000万元。</w:t>
            </w:r>
          </w:p>
          <w:p>
            <w:pPr>
              <w:pStyle w:val="106"/>
              <w:ind w:firstLine="420"/>
              <w:rPr>
                <w:rFonts w:hAnsi="宋体"/>
                <w:color w:val="auto"/>
                <w:sz w:val="21"/>
                <w:szCs w:val="21"/>
                <w:highlight w:val="none"/>
              </w:rPr>
            </w:pPr>
            <w:r>
              <w:rPr>
                <w:rFonts w:hint="eastAsia" w:hAnsi="宋体"/>
                <w:color w:val="auto"/>
                <w:sz w:val="21"/>
                <w:szCs w:val="21"/>
                <w:highlight w:val="none"/>
              </w:rPr>
              <w:t>2、钢管为热镀锌管壁符合GB3091、GB/T14823.1-1993、GB3640等国家标准。</w:t>
            </w:r>
          </w:p>
          <w:p>
            <w:pPr>
              <w:pStyle w:val="106"/>
              <w:ind w:firstLine="420"/>
              <w:rPr>
                <w:rFonts w:hAnsi="宋体"/>
                <w:color w:val="auto"/>
                <w:sz w:val="21"/>
                <w:szCs w:val="21"/>
                <w:highlight w:val="none"/>
              </w:rPr>
            </w:pPr>
            <w:r>
              <w:rPr>
                <w:rFonts w:hint="eastAsia" w:hAnsi="宋体"/>
                <w:color w:val="auto"/>
                <w:sz w:val="21"/>
                <w:szCs w:val="21"/>
                <w:highlight w:val="none"/>
              </w:rPr>
              <w:t>3、热镀锌管管壁≧2.0㎜，钢管长度的偏差应在允许的范围内，即全长允许偏差在20mm以内。</w:t>
            </w:r>
          </w:p>
          <w:p>
            <w:pPr>
              <w:pStyle w:val="106"/>
              <w:ind w:firstLine="420"/>
              <w:rPr>
                <w:rFonts w:hAnsi="宋体"/>
                <w:color w:val="auto"/>
                <w:sz w:val="21"/>
                <w:szCs w:val="21"/>
                <w:highlight w:val="none"/>
              </w:rPr>
            </w:pPr>
            <w:r>
              <w:rPr>
                <w:rFonts w:hint="eastAsia" w:hAnsi="宋体"/>
                <w:color w:val="auto"/>
                <w:sz w:val="21"/>
                <w:szCs w:val="21"/>
                <w:highlight w:val="none"/>
              </w:rPr>
              <w:t>4、钢管的弯曲度应在允许范围内，即每米不大于3mm。</w:t>
            </w:r>
          </w:p>
          <w:p>
            <w:pPr>
              <w:pStyle w:val="106"/>
              <w:ind w:firstLine="420"/>
              <w:rPr>
                <w:rFonts w:hAnsi="宋体"/>
                <w:color w:val="auto"/>
                <w:sz w:val="21"/>
                <w:szCs w:val="21"/>
                <w:highlight w:val="none"/>
              </w:rPr>
            </w:pPr>
            <w:r>
              <w:rPr>
                <w:rFonts w:hint="eastAsia" w:hAnsi="宋体"/>
                <w:color w:val="auto"/>
                <w:sz w:val="21"/>
                <w:szCs w:val="21"/>
                <w:highlight w:val="none"/>
              </w:rPr>
              <w:t>5、钢管的壁厚应均匀、一致，不应有折扁、裂缝、砂眼、塌陷等现象。</w:t>
            </w:r>
          </w:p>
          <w:p>
            <w:pPr>
              <w:pStyle w:val="106"/>
              <w:ind w:firstLine="420"/>
              <w:rPr>
                <w:rFonts w:hAnsi="宋体"/>
                <w:color w:val="auto"/>
                <w:sz w:val="21"/>
                <w:szCs w:val="21"/>
                <w:highlight w:val="none"/>
              </w:rPr>
            </w:pPr>
            <w:r>
              <w:rPr>
                <w:rFonts w:hint="eastAsia" w:hAnsi="宋体"/>
                <w:color w:val="auto"/>
                <w:sz w:val="21"/>
                <w:szCs w:val="21"/>
                <w:highlight w:val="none"/>
              </w:rPr>
              <w:t>6、内外表面应光滑，不应有折叠、裂缝、搭焊、缺焊、毛刺的现象。</w:t>
            </w:r>
          </w:p>
          <w:p>
            <w:pPr>
              <w:pStyle w:val="106"/>
              <w:ind w:firstLine="420"/>
              <w:rPr>
                <w:rFonts w:hAnsi="宋体"/>
                <w:color w:val="auto"/>
                <w:sz w:val="21"/>
                <w:szCs w:val="21"/>
                <w:highlight w:val="none"/>
              </w:rPr>
            </w:pPr>
            <w:r>
              <w:rPr>
                <w:rFonts w:hint="eastAsia" w:hAnsi="宋体"/>
                <w:color w:val="auto"/>
                <w:sz w:val="21"/>
                <w:szCs w:val="21"/>
                <w:highlight w:val="none"/>
              </w:rPr>
              <w:t>7、镀锌层应均匀一致、完好无损，不得有剥落、气泡的现象。</w:t>
            </w:r>
          </w:p>
          <w:p>
            <w:pPr>
              <w:pStyle w:val="106"/>
              <w:ind w:firstLine="420"/>
              <w:rPr>
                <w:rFonts w:hAnsi="宋体"/>
                <w:color w:val="auto"/>
                <w:sz w:val="21"/>
                <w:szCs w:val="21"/>
                <w:highlight w:val="none"/>
              </w:rPr>
            </w:pPr>
            <w:r>
              <w:rPr>
                <w:rFonts w:hint="eastAsia" w:hAnsi="宋体"/>
                <w:color w:val="auto"/>
                <w:sz w:val="21"/>
                <w:szCs w:val="21"/>
                <w:highlight w:val="none"/>
              </w:rPr>
              <w:t>8、管箍的大小应符合国家规范要求，丝扣清晰、均匀、不乱扣，镀锌层均匀，无剥落、无劈裂，两端光滑无毛刺。</w:t>
            </w:r>
          </w:p>
          <w:p>
            <w:pPr>
              <w:pStyle w:val="106"/>
              <w:ind w:firstLine="420"/>
              <w:rPr>
                <w:rFonts w:hAnsi="宋体"/>
                <w:color w:val="auto"/>
                <w:sz w:val="21"/>
                <w:szCs w:val="21"/>
                <w:highlight w:val="none"/>
              </w:rPr>
            </w:pPr>
            <w:r>
              <w:rPr>
                <w:rFonts w:hint="eastAsia" w:hAnsi="宋体"/>
                <w:color w:val="auto"/>
                <w:sz w:val="21"/>
                <w:szCs w:val="21"/>
                <w:highlight w:val="none"/>
              </w:rPr>
              <w:t>9、紧螺母尺寸符合国家标准要求，外层完好无损，丝扣清晰，镀锌层均匀。</w:t>
            </w:r>
          </w:p>
          <w:p>
            <w:pPr>
              <w:pStyle w:val="106"/>
              <w:ind w:firstLine="420"/>
              <w:rPr>
                <w:rFonts w:hAnsi="宋体"/>
                <w:color w:val="auto"/>
                <w:sz w:val="21"/>
                <w:szCs w:val="21"/>
                <w:highlight w:val="none"/>
              </w:rPr>
            </w:pPr>
            <w:r>
              <w:rPr>
                <w:rFonts w:hint="eastAsia" w:hAnsi="宋体"/>
                <w:color w:val="auto"/>
                <w:sz w:val="21"/>
                <w:szCs w:val="21"/>
                <w:highlight w:val="none"/>
              </w:rPr>
              <w:t>10、铁制盒、箱的大小尺寸以及壁后应符合设计机规范要求，无变形，敲落孔完整无损，面板的安装孔应齐全，丝扣清晰，面板、盖板应与盒、箱配套，外形完整无损且颜色一致。无锈蚀等现象。</w:t>
            </w:r>
          </w:p>
          <w:p>
            <w:pPr>
              <w:pStyle w:val="106"/>
              <w:ind w:firstLine="420"/>
              <w:rPr>
                <w:rFonts w:hAnsi="宋体"/>
                <w:color w:val="auto"/>
                <w:sz w:val="21"/>
                <w:szCs w:val="21"/>
                <w:highlight w:val="none"/>
              </w:rPr>
            </w:pPr>
            <w:r>
              <w:rPr>
                <w:rFonts w:hint="eastAsia" w:hAnsi="宋体"/>
                <w:color w:val="auto"/>
                <w:sz w:val="21"/>
                <w:szCs w:val="21"/>
                <w:highlight w:val="none"/>
              </w:rPr>
              <w:t>11、国内大型钢铁厂产品，在钢管上必须有厂家名称、生产标准等标识。</w:t>
            </w:r>
          </w:p>
          <w:p>
            <w:pPr>
              <w:pStyle w:val="106"/>
              <w:ind w:firstLine="420"/>
              <w:rPr>
                <w:rFonts w:hAnsi="宋体"/>
                <w:color w:val="auto"/>
                <w:sz w:val="21"/>
                <w:szCs w:val="21"/>
                <w:highlight w:val="none"/>
              </w:rPr>
            </w:pPr>
            <w:r>
              <w:rPr>
                <w:rFonts w:hint="eastAsia" w:hAnsi="宋体"/>
                <w:color w:val="auto"/>
                <w:sz w:val="21"/>
                <w:szCs w:val="21"/>
                <w:highlight w:val="none"/>
              </w:rPr>
              <w:t>12、采用丝扣连接。</w:t>
            </w:r>
          </w:p>
          <w:p>
            <w:pPr>
              <w:pStyle w:val="106"/>
              <w:ind w:firstLine="420"/>
              <w:rPr>
                <w:rFonts w:hAnsi="宋体"/>
                <w:color w:val="auto"/>
                <w:sz w:val="21"/>
                <w:szCs w:val="21"/>
                <w:highlight w:val="none"/>
              </w:rPr>
            </w:pPr>
            <w:r>
              <w:rPr>
                <w:rFonts w:hint="eastAsia" w:hAnsi="宋体"/>
                <w:color w:val="auto"/>
                <w:sz w:val="21"/>
                <w:szCs w:val="21"/>
                <w:highlight w:val="none"/>
              </w:rPr>
              <w:t>13、材料定货前要提供样品，报监理、发包人审批后才能定货。</w:t>
            </w:r>
          </w:p>
        </w:tc>
        <w:tc>
          <w:tcPr>
            <w:tcW w:w="1070" w:type="dxa"/>
            <w:noWrap w:val="0"/>
            <w:vAlign w:val="center"/>
          </w:tcPr>
          <w:p>
            <w:pPr>
              <w:spacing w:line="360" w:lineRule="auto"/>
              <w:ind w:firstLine="420"/>
              <w:rPr>
                <w:rFonts w:ascii="宋体" w:hAnsi="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jc w:val="center"/>
        </w:trPr>
        <w:tc>
          <w:tcPr>
            <w:tcW w:w="708" w:type="dxa"/>
            <w:noWrap w:val="0"/>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2</w:t>
            </w:r>
          </w:p>
        </w:tc>
        <w:tc>
          <w:tcPr>
            <w:tcW w:w="1134" w:type="dxa"/>
            <w:noWrap w:val="0"/>
            <w:vAlign w:val="center"/>
          </w:tcPr>
          <w:p>
            <w:pPr>
              <w:spacing w:line="360" w:lineRule="auto"/>
              <w:rPr>
                <w:rFonts w:hAnsi="宋体"/>
                <w:color w:val="auto"/>
                <w:szCs w:val="21"/>
                <w:highlight w:val="none"/>
              </w:rPr>
            </w:pPr>
            <w:r>
              <w:rPr>
                <w:rFonts w:hint="eastAsia"/>
                <w:color w:val="auto"/>
                <w:szCs w:val="21"/>
                <w:highlight w:val="none"/>
              </w:rPr>
              <w:t>可挠性金属电线管</w:t>
            </w:r>
          </w:p>
        </w:tc>
        <w:tc>
          <w:tcPr>
            <w:tcW w:w="6127" w:type="dxa"/>
            <w:noWrap w:val="0"/>
            <w:vAlign w:val="center"/>
          </w:tcPr>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1、生产厂家注册资金不低于1000万元。</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2、可挠性金属电线管必须外包阻燃的PVC护套，并配置各种类型的专用连接头。连接头必须稳固于金属管或设备外壳上，以避免由于接头连接不牢使电线、电缆暴露而受损。</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3、可挠性金属电线管在扭曲时不应脱绞。</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4、金属电线管上必须有厂家名称、生产标准等标识。</w:t>
            </w:r>
          </w:p>
          <w:p>
            <w:pPr>
              <w:spacing w:line="360" w:lineRule="auto"/>
              <w:ind w:firstLine="420" w:firstLineChars="200"/>
              <w:rPr>
                <w:rFonts w:hAnsi="宋体"/>
                <w:color w:val="auto"/>
                <w:szCs w:val="21"/>
                <w:highlight w:val="none"/>
              </w:rPr>
            </w:pPr>
            <w:r>
              <w:rPr>
                <w:rFonts w:hint="eastAsia" w:ascii="宋体" w:hAnsi="宋体"/>
                <w:color w:val="auto"/>
                <w:szCs w:val="21"/>
                <w:highlight w:val="none"/>
              </w:rPr>
              <w:t>5、材料订货前要求提供样品，报招标人、设计、监理确认后方可订货。</w:t>
            </w:r>
          </w:p>
        </w:tc>
        <w:tc>
          <w:tcPr>
            <w:tcW w:w="1070" w:type="dxa"/>
            <w:noWrap w:val="0"/>
            <w:vAlign w:val="center"/>
          </w:tcPr>
          <w:p>
            <w:pPr>
              <w:spacing w:line="360" w:lineRule="auto"/>
              <w:ind w:firstLine="420"/>
              <w:rPr>
                <w:rFonts w:ascii="宋体" w:hAnsi="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jc w:val="center"/>
        </w:trPr>
        <w:tc>
          <w:tcPr>
            <w:tcW w:w="708" w:type="dxa"/>
            <w:noWrap w:val="0"/>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3</w:t>
            </w:r>
          </w:p>
        </w:tc>
        <w:tc>
          <w:tcPr>
            <w:tcW w:w="1134" w:type="dxa"/>
            <w:noWrap w:val="0"/>
            <w:vAlign w:val="center"/>
          </w:tcPr>
          <w:p>
            <w:pPr>
              <w:spacing w:line="360" w:lineRule="auto"/>
              <w:rPr>
                <w:color w:val="auto"/>
                <w:szCs w:val="21"/>
                <w:highlight w:val="none"/>
              </w:rPr>
            </w:pPr>
            <w:r>
              <w:rPr>
                <w:rFonts w:hint="eastAsia" w:hAnsi="宋体"/>
                <w:color w:val="auto"/>
                <w:szCs w:val="21"/>
                <w:highlight w:val="none"/>
              </w:rPr>
              <w:t>电线（含强弱电工程）</w:t>
            </w:r>
          </w:p>
        </w:tc>
        <w:tc>
          <w:tcPr>
            <w:tcW w:w="6127" w:type="dxa"/>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1、通过2000版ISO9000系列质量体系认证。</w:t>
            </w:r>
          </w:p>
          <w:p>
            <w:pPr>
              <w:pStyle w:val="106"/>
              <w:ind w:firstLine="420"/>
              <w:rPr>
                <w:rFonts w:hAnsi="宋体"/>
                <w:color w:val="auto"/>
                <w:sz w:val="21"/>
                <w:szCs w:val="21"/>
                <w:highlight w:val="none"/>
              </w:rPr>
            </w:pPr>
            <w:r>
              <w:rPr>
                <w:rFonts w:hint="eastAsia" w:hAnsi="宋体"/>
                <w:color w:val="auto"/>
                <w:sz w:val="21"/>
                <w:szCs w:val="21"/>
                <w:highlight w:val="none"/>
              </w:rPr>
              <w:t>2、符合GB/T12706、GB 12666等国家标准。</w:t>
            </w:r>
          </w:p>
          <w:p>
            <w:pPr>
              <w:pStyle w:val="106"/>
              <w:ind w:firstLine="420"/>
              <w:rPr>
                <w:rFonts w:hAnsi="宋体"/>
                <w:color w:val="auto"/>
                <w:sz w:val="21"/>
                <w:szCs w:val="21"/>
                <w:highlight w:val="none"/>
              </w:rPr>
            </w:pPr>
            <w:r>
              <w:rPr>
                <w:rFonts w:hint="eastAsia" w:hAnsi="宋体"/>
                <w:color w:val="auto"/>
                <w:sz w:val="21"/>
                <w:szCs w:val="21"/>
                <w:highlight w:val="none"/>
              </w:rPr>
              <w:t>3、电线的生产厂应有主管部门颁发的生产许可证。</w:t>
            </w:r>
          </w:p>
          <w:p>
            <w:pPr>
              <w:pStyle w:val="106"/>
              <w:ind w:firstLine="420"/>
              <w:rPr>
                <w:rFonts w:hAnsi="宋体"/>
                <w:color w:val="auto"/>
                <w:sz w:val="21"/>
                <w:szCs w:val="21"/>
                <w:highlight w:val="none"/>
              </w:rPr>
            </w:pPr>
            <w:r>
              <w:rPr>
                <w:rFonts w:hint="eastAsia" w:hAnsi="宋体"/>
                <w:color w:val="auto"/>
                <w:sz w:val="21"/>
                <w:szCs w:val="21"/>
                <w:highlight w:val="none"/>
              </w:rPr>
              <w:t>4、电线应有国家认可的质量检测机构的检验合格报告和</w:t>
            </w:r>
            <w:r>
              <w:rPr>
                <w:rFonts w:hAnsi="宋体"/>
                <w:color w:val="auto"/>
                <w:sz w:val="21"/>
                <w:szCs w:val="21"/>
                <w:highlight w:val="none"/>
              </w:rPr>
              <w:t>“</w:t>
            </w:r>
            <w:r>
              <w:rPr>
                <w:rFonts w:hint="eastAsia" w:hAnsi="宋体"/>
                <w:color w:val="auto"/>
                <w:sz w:val="21"/>
                <w:szCs w:val="21"/>
                <w:highlight w:val="none"/>
              </w:rPr>
              <w:t>3C”认证。</w:t>
            </w:r>
          </w:p>
          <w:p>
            <w:pPr>
              <w:pStyle w:val="106"/>
              <w:ind w:firstLine="420"/>
              <w:rPr>
                <w:rFonts w:hAnsi="宋体"/>
                <w:color w:val="auto"/>
                <w:sz w:val="21"/>
                <w:szCs w:val="21"/>
                <w:highlight w:val="none"/>
              </w:rPr>
            </w:pPr>
            <w:r>
              <w:rPr>
                <w:rFonts w:hint="eastAsia" w:hAnsi="宋体"/>
                <w:color w:val="auto"/>
                <w:sz w:val="21"/>
                <w:szCs w:val="21"/>
                <w:highlight w:val="none"/>
              </w:rPr>
              <w:t>5、阻燃、耐火电线应通过国家级相关质量监督检验机构的型式认可检验。</w:t>
            </w:r>
          </w:p>
          <w:p>
            <w:pPr>
              <w:pStyle w:val="106"/>
              <w:ind w:firstLine="420"/>
              <w:rPr>
                <w:rFonts w:hAnsi="宋体"/>
                <w:color w:val="auto"/>
                <w:sz w:val="21"/>
                <w:szCs w:val="21"/>
                <w:highlight w:val="none"/>
              </w:rPr>
            </w:pPr>
            <w:r>
              <w:rPr>
                <w:rFonts w:hint="eastAsia" w:hAnsi="宋体"/>
                <w:color w:val="auto"/>
                <w:sz w:val="21"/>
                <w:szCs w:val="21"/>
                <w:highlight w:val="none"/>
              </w:rPr>
              <w:t>6、选用电线型号及制造厂必须在广东省有良好的安装和运行业绩。</w:t>
            </w:r>
          </w:p>
          <w:p>
            <w:pPr>
              <w:pStyle w:val="106"/>
              <w:ind w:firstLine="420"/>
              <w:rPr>
                <w:rFonts w:hAnsi="宋体"/>
                <w:color w:val="auto"/>
                <w:sz w:val="21"/>
                <w:szCs w:val="21"/>
                <w:highlight w:val="none"/>
              </w:rPr>
            </w:pPr>
            <w:r>
              <w:rPr>
                <w:rFonts w:hint="eastAsia" w:hAnsi="宋体"/>
                <w:color w:val="auto"/>
                <w:sz w:val="21"/>
                <w:szCs w:val="21"/>
                <w:highlight w:val="none"/>
              </w:rPr>
              <w:t>7、电线捆上应表明电线型号、规格、电压等级、长度及出厂日期。并与产品合格证相符。</w:t>
            </w:r>
          </w:p>
          <w:p>
            <w:pPr>
              <w:pStyle w:val="106"/>
              <w:ind w:firstLine="420"/>
              <w:rPr>
                <w:rFonts w:hAnsi="宋体"/>
                <w:color w:val="auto"/>
                <w:sz w:val="21"/>
                <w:szCs w:val="21"/>
                <w:highlight w:val="none"/>
              </w:rPr>
            </w:pPr>
            <w:r>
              <w:rPr>
                <w:rFonts w:hint="eastAsia" w:hAnsi="宋体"/>
                <w:color w:val="auto"/>
                <w:sz w:val="21"/>
                <w:szCs w:val="21"/>
                <w:highlight w:val="none"/>
              </w:rPr>
              <w:t>8、用优质铜材，含铜量不低于99.99%。</w:t>
            </w:r>
          </w:p>
          <w:p>
            <w:pPr>
              <w:pStyle w:val="106"/>
              <w:ind w:firstLine="420"/>
              <w:rPr>
                <w:rFonts w:hAnsi="宋体"/>
                <w:color w:val="auto"/>
                <w:sz w:val="21"/>
                <w:szCs w:val="21"/>
                <w:highlight w:val="none"/>
              </w:rPr>
            </w:pPr>
            <w:r>
              <w:rPr>
                <w:rFonts w:hint="eastAsia" w:hAnsi="宋体"/>
                <w:color w:val="auto"/>
                <w:sz w:val="21"/>
                <w:szCs w:val="21"/>
                <w:highlight w:val="none"/>
              </w:rPr>
              <w:t>9、电线的绝缘材料必须符合电压等级和设计要求。</w:t>
            </w:r>
          </w:p>
          <w:p>
            <w:pPr>
              <w:pStyle w:val="106"/>
              <w:ind w:firstLine="420"/>
              <w:rPr>
                <w:rFonts w:hAnsi="宋体"/>
                <w:color w:val="auto"/>
                <w:sz w:val="21"/>
                <w:szCs w:val="21"/>
                <w:highlight w:val="none"/>
              </w:rPr>
            </w:pPr>
            <w:r>
              <w:rPr>
                <w:rFonts w:hint="eastAsia" w:hAnsi="宋体"/>
                <w:color w:val="auto"/>
                <w:sz w:val="21"/>
                <w:szCs w:val="21"/>
                <w:highlight w:val="none"/>
              </w:rPr>
              <w:t>10、塑料电线外皮绝缘层无老化和龟裂现象。</w:t>
            </w:r>
          </w:p>
          <w:p>
            <w:pPr>
              <w:pStyle w:val="106"/>
              <w:ind w:firstLine="420"/>
              <w:rPr>
                <w:rFonts w:hAnsi="宋体"/>
                <w:color w:val="auto"/>
                <w:sz w:val="21"/>
                <w:szCs w:val="21"/>
                <w:highlight w:val="none"/>
              </w:rPr>
            </w:pPr>
            <w:r>
              <w:rPr>
                <w:rFonts w:hint="eastAsia" w:hAnsi="宋体"/>
                <w:color w:val="auto"/>
                <w:sz w:val="21"/>
                <w:szCs w:val="21"/>
                <w:highlight w:val="none"/>
              </w:rPr>
              <w:t>11、电线应是定型产品。并应有合格证和实验数据纪录。</w:t>
            </w:r>
          </w:p>
          <w:p>
            <w:pPr>
              <w:pStyle w:val="106"/>
              <w:ind w:firstLine="420"/>
              <w:rPr>
                <w:rFonts w:hAnsi="宋体"/>
                <w:color w:val="auto"/>
                <w:sz w:val="21"/>
                <w:szCs w:val="21"/>
                <w:highlight w:val="none"/>
              </w:rPr>
            </w:pPr>
            <w:r>
              <w:rPr>
                <w:rFonts w:hint="eastAsia" w:hAnsi="宋体"/>
                <w:color w:val="auto"/>
                <w:sz w:val="21"/>
                <w:szCs w:val="21"/>
                <w:highlight w:val="none"/>
              </w:rPr>
              <w:t>12、电线绝缘层的颜色必须满足以下要求：</w:t>
            </w:r>
          </w:p>
          <w:p>
            <w:pPr>
              <w:pStyle w:val="106"/>
              <w:ind w:firstLine="420"/>
              <w:rPr>
                <w:rFonts w:hAnsi="宋体"/>
                <w:color w:val="auto"/>
                <w:sz w:val="21"/>
                <w:szCs w:val="21"/>
                <w:highlight w:val="none"/>
              </w:rPr>
            </w:pPr>
            <w:r>
              <w:rPr>
                <w:rFonts w:hint="eastAsia" w:hAnsi="宋体"/>
                <w:color w:val="auto"/>
                <w:sz w:val="21"/>
                <w:szCs w:val="21"/>
                <w:highlight w:val="none"/>
              </w:rPr>
              <w:t>相线：黄、绿、红；零线：淡蓝；地线：黄/绿；控制线：白</w:t>
            </w:r>
          </w:p>
          <w:p>
            <w:pPr>
              <w:pStyle w:val="106"/>
              <w:ind w:firstLine="420"/>
              <w:rPr>
                <w:rFonts w:hAnsi="宋体"/>
                <w:color w:val="auto"/>
                <w:sz w:val="21"/>
                <w:szCs w:val="21"/>
                <w:highlight w:val="none"/>
              </w:rPr>
            </w:pPr>
            <w:r>
              <w:rPr>
                <w:rFonts w:hint="eastAsia" w:hAnsi="宋体"/>
                <w:color w:val="auto"/>
                <w:sz w:val="21"/>
                <w:szCs w:val="21"/>
                <w:highlight w:val="none"/>
              </w:rPr>
              <w:t>13、在承包人供货期间或货物安装使用期间，发包人可不定期、不定批次和种类的将承包人供应的货物委托第三方进行检测，除应满足《建筑节能工程施工质量验收规范》GB50411-2007要求外，抽查检测次数按进货批次；检测材料成本、运费及检测费用由承包人承担；抽查检测的时间、电线规格、检测内容及检测机构由发包人确定。</w:t>
            </w:r>
          </w:p>
          <w:p>
            <w:pPr>
              <w:pStyle w:val="106"/>
              <w:ind w:firstLine="420"/>
              <w:rPr>
                <w:rFonts w:hAnsi="宋体"/>
                <w:color w:val="auto"/>
                <w:sz w:val="21"/>
                <w:szCs w:val="21"/>
                <w:highlight w:val="none"/>
              </w:rPr>
            </w:pPr>
            <w:r>
              <w:rPr>
                <w:rFonts w:hint="eastAsia" w:hAnsi="宋体"/>
                <w:color w:val="auto"/>
                <w:sz w:val="21"/>
                <w:szCs w:val="21"/>
                <w:highlight w:val="none"/>
              </w:rPr>
              <w:t>14、材料定货前要提供样品，报监理、发包人审批后才能定货。</w:t>
            </w:r>
          </w:p>
        </w:tc>
        <w:tc>
          <w:tcPr>
            <w:tcW w:w="1070" w:type="dxa"/>
            <w:noWrap w:val="0"/>
            <w:vAlign w:val="center"/>
          </w:tcPr>
          <w:p>
            <w:pPr>
              <w:spacing w:line="360" w:lineRule="auto"/>
              <w:ind w:firstLine="420"/>
              <w:rPr>
                <w:rFonts w:ascii="宋体" w:hAnsi="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jc w:val="center"/>
        </w:trPr>
        <w:tc>
          <w:tcPr>
            <w:tcW w:w="708" w:type="dxa"/>
            <w:noWrap w:val="0"/>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4</w:t>
            </w:r>
          </w:p>
        </w:tc>
        <w:tc>
          <w:tcPr>
            <w:tcW w:w="1134" w:type="dxa"/>
            <w:noWrap w:val="0"/>
            <w:vAlign w:val="center"/>
          </w:tcPr>
          <w:p>
            <w:pPr>
              <w:spacing w:line="360" w:lineRule="auto"/>
              <w:rPr>
                <w:rFonts w:hAnsi="宋体"/>
                <w:color w:val="auto"/>
                <w:szCs w:val="21"/>
                <w:highlight w:val="none"/>
              </w:rPr>
            </w:pPr>
            <w:r>
              <w:rPr>
                <w:rFonts w:hint="eastAsia"/>
                <w:color w:val="auto"/>
                <w:szCs w:val="21"/>
                <w:highlight w:val="none"/>
              </w:rPr>
              <w:t>开关、插座</w:t>
            </w:r>
          </w:p>
        </w:tc>
        <w:tc>
          <w:tcPr>
            <w:tcW w:w="6127" w:type="dxa"/>
            <w:noWrap w:val="0"/>
            <w:vAlign w:val="center"/>
          </w:tcPr>
          <w:p>
            <w:pPr>
              <w:spacing w:line="360" w:lineRule="auto"/>
              <w:rPr>
                <w:color w:val="auto"/>
                <w:szCs w:val="21"/>
                <w:highlight w:val="none"/>
              </w:rPr>
            </w:pPr>
            <w:r>
              <w:rPr>
                <w:color w:val="auto"/>
                <w:szCs w:val="21"/>
                <w:highlight w:val="none"/>
              </w:rPr>
              <w:t>1.</w:t>
            </w:r>
            <w:r>
              <w:rPr>
                <w:rFonts w:hint="eastAsia"/>
                <w:color w:val="auto"/>
                <w:szCs w:val="21"/>
                <w:highlight w:val="none"/>
              </w:rPr>
              <w:t>符合</w:t>
            </w:r>
            <w:r>
              <w:rPr>
                <w:color w:val="auto"/>
                <w:szCs w:val="21"/>
                <w:highlight w:val="none"/>
              </w:rPr>
              <w:t>GB16911</w:t>
            </w:r>
            <w:r>
              <w:rPr>
                <w:rFonts w:hint="eastAsia"/>
                <w:color w:val="auto"/>
                <w:szCs w:val="21"/>
                <w:highlight w:val="none"/>
              </w:rPr>
              <w:t>标准要求。</w:t>
            </w:r>
          </w:p>
          <w:p>
            <w:pPr>
              <w:spacing w:line="360" w:lineRule="auto"/>
              <w:rPr>
                <w:color w:val="auto"/>
                <w:szCs w:val="21"/>
                <w:highlight w:val="none"/>
              </w:rPr>
            </w:pPr>
            <w:r>
              <w:rPr>
                <w:color w:val="auto"/>
                <w:szCs w:val="21"/>
                <w:highlight w:val="none"/>
              </w:rPr>
              <w:t>2.</w:t>
            </w:r>
            <w:r>
              <w:rPr>
                <w:rFonts w:hint="eastAsia"/>
                <w:color w:val="auto"/>
                <w:szCs w:val="21"/>
                <w:highlight w:val="none"/>
              </w:rPr>
              <w:t>应有国家认可的质量检测机构出具的检验合格报告和“</w:t>
            </w:r>
            <w:r>
              <w:rPr>
                <w:color w:val="auto"/>
                <w:szCs w:val="21"/>
                <w:highlight w:val="none"/>
              </w:rPr>
              <w:t>3C</w:t>
            </w:r>
            <w:r>
              <w:rPr>
                <w:rFonts w:hint="eastAsia"/>
                <w:color w:val="auto"/>
                <w:szCs w:val="21"/>
                <w:highlight w:val="none"/>
              </w:rPr>
              <w:t>”认证。</w:t>
            </w:r>
          </w:p>
          <w:p>
            <w:pPr>
              <w:spacing w:line="360" w:lineRule="auto"/>
              <w:rPr>
                <w:color w:val="auto"/>
                <w:szCs w:val="21"/>
                <w:highlight w:val="none"/>
              </w:rPr>
            </w:pPr>
            <w:r>
              <w:rPr>
                <w:color w:val="auto"/>
                <w:szCs w:val="21"/>
                <w:highlight w:val="none"/>
              </w:rPr>
              <w:t>3.</w:t>
            </w:r>
            <w:r>
              <w:rPr>
                <w:rFonts w:hint="eastAsia"/>
                <w:color w:val="auto"/>
                <w:szCs w:val="21"/>
                <w:highlight w:val="none"/>
              </w:rPr>
              <w:t>所有开关、插座必须使用同一品牌同一系列的产品。</w:t>
            </w:r>
          </w:p>
          <w:p>
            <w:pPr>
              <w:spacing w:line="360" w:lineRule="auto"/>
              <w:rPr>
                <w:color w:val="auto"/>
                <w:szCs w:val="21"/>
                <w:highlight w:val="none"/>
              </w:rPr>
            </w:pPr>
            <w:r>
              <w:rPr>
                <w:color w:val="auto"/>
                <w:szCs w:val="21"/>
                <w:highlight w:val="none"/>
              </w:rPr>
              <w:t>4.</w:t>
            </w:r>
            <w:r>
              <w:rPr>
                <w:rFonts w:hint="eastAsia"/>
                <w:color w:val="auto"/>
                <w:szCs w:val="21"/>
                <w:highlight w:val="none"/>
              </w:rPr>
              <w:t>开关、插座的壳体必须采用阻燃塑料制造。</w:t>
            </w:r>
          </w:p>
          <w:p>
            <w:pPr>
              <w:spacing w:line="360" w:lineRule="auto"/>
              <w:rPr>
                <w:color w:val="auto"/>
                <w:szCs w:val="21"/>
                <w:highlight w:val="none"/>
              </w:rPr>
            </w:pPr>
            <w:r>
              <w:rPr>
                <w:color w:val="auto"/>
                <w:szCs w:val="21"/>
                <w:highlight w:val="none"/>
              </w:rPr>
              <w:t>5.</w:t>
            </w:r>
            <w:r>
              <w:rPr>
                <w:rFonts w:hint="eastAsia"/>
                <w:color w:val="auto"/>
                <w:szCs w:val="21"/>
                <w:highlight w:val="none"/>
              </w:rPr>
              <w:t>开关、插座采用磷青铜簧片，银或银合金触点。</w:t>
            </w:r>
          </w:p>
          <w:p>
            <w:pPr>
              <w:spacing w:line="360" w:lineRule="auto"/>
              <w:rPr>
                <w:color w:val="auto"/>
                <w:szCs w:val="21"/>
                <w:highlight w:val="none"/>
              </w:rPr>
            </w:pPr>
            <w:r>
              <w:rPr>
                <w:color w:val="auto"/>
                <w:szCs w:val="21"/>
                <w:highlight w:val="none"/>
              </w:rPr>
              <w:t>6.</w:t>
            </w:r>
            <w:r>
              <w:rPr>
                <w:rFonts w:hint="eastAsia"/>
                <w:color w:val="auto"/>
                <w:szCs w:val="21"/>
                <w:highlight w:val="none"/>
              </w:rPr>
              <w:t>开关面板采用大翘板型。</w:t>
            </w:r>
          </w:p>
          <w:p>
            <w:pPr>
              <w:spacing w:line="360" w:lineRule="auto"/>
              <w:rPr>
                <w:color w:val="auto"/>
                <w:szCs w:val="21"/>
                <w:highlight w:val="none"/>
              </w:rPr>
            </w:pPr>
            <w:r>
              <w:rPr>
                <w:color w:val="auto"/>
                <w:szCs w:val="21"/>
                <w:highlight w:val="none"/>
              </w:rPr>
              <w:t>7.</w:t>
            </w:r>
            <w:r>
              <w:rPr>
                <w:rFonts w:hint="eastAsia"/>
                <w:color w:val="auto"/>
                <w:szCs w:val="21"/>
                <w:highlight w:val="none"/>
              </w:rPr>
              <w:t>插座均带有安全门，安装高度≥</w:t>
            </w:r>
            <w:r>
              <w:rPr>
                <w:color w:val="auto"/>
                <w:szCs w:val="21"/>
                <w:highlight w:val="none"/>
              </w:rPr>
              <w:t>1m(</w:t>
            </w:r>
            <w:r>
              <w:rPr>
                <w:rFonts w:hint="eastAsia"/>
                <w:color w:val="auto"/>
                <w:szCs w:val="21"/>
                <w:highlight w:val="none"/>
              </w:rPr>
              <w:t>相对每层平面</w:t>
            </w:r>
            <w:r>
              <w:rPr>
                <w:color w:val="auto"/>
                <w:szCs w:val="21"/>
                <w:highlight w:val="none"/>
              </w:rPr>
              <w:t>)</w:t>
            </w:r>
            <w:r>
              <w:rPr>
                <w:rFonts w:hint="eastAsia"/>
                <w:color w:val="auto"/>
                <w:szCs w:val="21"/>
                <w:highlight w:val="none"/>
              </w:rPr>
              <w:t>需带有开断功能。</w:t>
            </w:r>
          </w:p>
          <w:p>
            <w:pPr>
              <w:spacing w:line="360" w:lineRule="auto"/>
              <w:rPr>
                <w:rFonts w:hAnsi="宋体"/>
                <w:color w:val="auto"/>
                <w:szCs w:val="21"/>
                <w:highlight w:val="none"/>
              </w:rPr>
            </w:pPr>
            <w:r>
              <w:rPr>
                <w:color w:val="auto"/>
                <w:szCs w:val="21"/>
                <w:highlight w:val="none"/>
              </w:rPr>
              <w:t>8.</w:t>
            </w:r>
            <w:r>
              <w:rPr>
                <w:rFonts w:hint="eastAsia"/>
                <w:color w:val="auto"/>
                <w:szCs w:val="21"/>
                <w:highlight w:val="none"/>
              </w:rPr>
              <w:t>材料定货前要提供样品，报监理、发包人、使用方审批后才能定货。</w:t>
            </w:r>
          </w:p>
        </w:tc>
        <w:tc>
          <w:tcPr>
            <w:tcW w:w="1070" w:type="dxa"/>
            <w:noWrap w:val="0"/>
            <w:vAlign w:val="center"/>
          </w:tcPr>
          <w:p>
            <w:pPr>
              <w:spacing w:line="360" w:lineRule="auto"/>
              <w:ind w:firstLine="420"/>
              <w:rPr>
                <w:rFonts w:ascii="宋体" w:hAnsi="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jc w:val="center"/>
        </w:trPr>
        <w:tc>
          <w:tcPr>
            <w:tcW w:w="708" w:type="dxa"/>
            <w:noWrap w:val="0"/>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5</w:t>
            </w:r>
          </w:p>
        </w:tc>
        <w:tc>
          <w:tcPr>
            <w:tcW w:w="1134" w:type="dxa"/>
            <w:noWrap w:val="0"/>
            <w:vAlign w:val="center"/>
          </w:tcPr>
          <w:p>
            <w:pPr>
              <w:spacing w:line="360" w:lineRule="auto"/>
              <w:rPr>
                <w:color w:val="auto"/>
                <w:szCs w:val="21"/>
                <w:highlight w:val="none"/>
              </w:rPr>
            </w:pPr>
            <w:r>
              <w:rPr>
                <w:rFonts w:hint="eastAsia"/>
                <w:color w:val="auto"/>
                <w:szCs w:val="21"/>
                <w:highlight w:val="none"/>
              </w:rPr>
              <w:t>疏散指示灯</w:t>
            </w:r>
          </w:p>
        </w:tc>
        <w:tc>
          <w:tcPr>
            <w:tcW w:w="6127" w:type="dxa"/>
            <w:noWrap w:val="0"/>
            <w:vAlign w:val="center"/>
          </w:tcPr>
          <w:p>
            <w:pPr>
              <w:spacing w:line="360" w:lineRule="auto"/>
              <w:rPr>
                <w:color w:val="auto"/>
                <w:szCs w:val="21"/>
                <w:highlight w:val="none"/>
              </w:rPr>
            </w:pPr>
            <w:r>
              <w:rPr>
                <w:rFonts w:hint="eastAsia"/>
                <w:color w:val="auto"/>
                <w:szCs w:val="21"/>
                <w:highlight w:val="none"/>
              </w:rPr>
              <w:t>满足消防部门的验收要求。</w:t>
            </w:r>
          </w:p>
          <w:p>
            <w:pPr>
              <w:tabs>
                <w:tab w:val="left" w:pos="312"/>
              </w:tabs>
              <w:spacing w:line="360" w:lineRule="auto"/>
              <w:rPr>
                <w:color w:val="auto"/>
                <w:szCs w:val="21"/>
                <w:highlight w:val="none"/>
              </w:rPr>
            </w:pPr>
            <w:r>
              <w:rPr>
                <w:rFonts w:hint="eastAsia"/>
                <w:color w:val="auto"/>
                <w:szCs w:val="21"/>
                <w:highlight w:val="none"/>
              </w:rPr>
              <w:t>1、符合</w:t>
            </w:r>
            <w:r>
              <w:rPr>
                <w:color w:val="auto"/>
                <w:szCs w:val="21"/>
                <w:highlight w:val="none"/>
              </w:rPr>
              <w:t>GB</w:t>
            </w:r>
            <w:r>
              <w:rPr>
                <w:rFonts w:hint="eastAsia"/>
                <w:color w:val="auto"/>
                <w:szCs w:val="21"/>
                <w:highlight w:val="none"/>
              </w:rPr>
              <w:t>等中国国家标准。</w:t>
            </w:r>
          </w:p>
          <w:p>
            <w:pPr>
              <w:spacing w:line="360" w:lineRule="auto"/>
              <w:rPr>
                <w:color w:val="auto"/>
                <w:szCs w:val="21"/>
                <w:highlight w:val="none"/>
              </w:rPr>
            </w:pPr>
            <w:r>
              <w:rPr>
                <w:rFonts w:hint="eastAsia" w:ascii="宋体" w:hAnsi="宋体"/>
                <w:color w:val="auto"/>
                <w:szCs w:val="21"/>
                <w:highlight w:val="none"/>
              </w:rPr>
              <w:t>2、生产厂家注册资金不少于1000万。</w:t>
            </w:r>
          </w:p>
          <w:p>
            <w:pPr>
              <w:spacing w:line="360" w:lineRule="auto"/>
              <w:rPr>
                <w:color w:val="auto"/>
                <w:szCs w:val="21"/>
                <w:highlight w:val="none"/>
              </w:rPr>
            </w:pPr>
            <w:r>
              <w:rPr>
                <w:rFonts w:hint="eastAsia"/>
                <w:color w:val="auto"/>
                <w:szCs w:val="21"/>
                <w:highlight w:val="none"/>
              </w:rPr>
              <w:t>3、消防标志灯、指示灯取得中国国家消防电子厂品质量监督检验中心的消防产品型式认可证书，并获得“</w:t>
            </w:r>
            <w:r>
              <w:rPr>
                <w:color w:val="auto"/>
                <w:szCs w:val="21"/>
                <w:highlight w:val="none"/>
              </w:rPr>
              <w:t>3C</w:t>
            </w:r>
            <w:r>
              <w:rPr>
                <w:rFonts w:hint="eastAsia"/>
                <w:color w:val="auto"/>
                <w:szCs w:val="21"/>
                <w:highlight w:val="none"/>
              </w:rPr>
              <w:t>”认证，深圳市消防主管部门备案产品。</w:t>
            </w:r>
          </w:p>
          <w:p>
            <w:pPr>
              <w:spacing w:line="360" w:lineRule="auto"/>
              <w:rPr>
                <w:color w:val="auto"/>
                <w:szCs w:val="21"/>
                <w:highlight w:val="none"/>
              </w:rPr>
            </w:pPr>
            <w:r>
              <w:rPr>
                <w:rFonts w:hint="eastAsia"/>
                <w:color w:val="auto"/>
                <w:szCs w:val="21"/>
                <w:highlight w:val="none"/>
              </w:rPr>
              <w:t>4、外观结构必须紧密、牢固；</w:t>
            </w:r>
          </w:p>
          <w:p>
            <w:pPr>
              <w:spacing w:line="360" w:lineRule="auto"/>
              <w:rPr>
                <w:color w:val="auto"/>
                <w:szCs w:val="21"/>
                <w:highlight w:val="none"/>
              </w:rPr>
            </w:pPr>
            <w:r>
              <w:rPr>
                <w:rFonts w:hint="eastAsia"/>
                <w:color w:val="auto"/>
                <w:szCs w:val="21"/>
                <w:highlight w:val="none"/>
              </w:rPr>
              <w:t>5、采用场致发光或</w:t>
            </w:r>
            <w:r>
              <w:rPr>
                <w:color w:val="auto"/>
                <w:szCs w:val="21"/>
                <w:highlight w:val="none"/>
              </w:rPr>
              <w:t>LED</w:t>
            </w:r>
            <w:r>
              <w:rPr>
                <w:rFonts w:hint="eastAsia"/>
                <w:color w:val="auto"/>
                <w:szCs w:val="21"/>
                <w:highlight w:val="none"/>
              </w:rPr>
              <w:t>发光标志屏，发光必须均匀、烟雾穿透能力强、视角大。</w:t>
            </w:r>
          </w:p>
          <w:p>
            <w:pPr>
              <w:spacing w:line="360" w:lineRule="auto"/>
              <w:rPr>
                <w:color w:val="auto"/>
                <w:szCs w:val="21"/>
                <w:highlight w:val="none"/>
              </w:rPr>
            </w:pPr>
            <w:r>
              <w:rPr>
                <w:rFonts w:hint="eastAsia"/>
                <w:color w:val="auto"/>
                <w:szCs w:val="21"/>
                <w:highlight w:val="none"/>
              </w:rPr>
              <w:t>6、应急组件在断电</w:t>
            </w:r>
            <w:r>
              <w:rPr>
                <w:color w:val="auto"/>
                <w:szCs w:val="21"/>
                <w:highlight w:val="none"/>
              </w:rPr>
              <w:t>0.1</w:t>
            </w:r>
            <w:r>
              <w:rPr>
                <w:rFonts w:hint="eastAsia"/>
                <w:color w:val="auto"/>
                <w:szCs w:val="21"/>
                <w:highlight w:val="none"/>
              </w:rPr>
              <w:t>秒内启动应急电源，并维持9</w:t>
            </w:r>
            <w:r>
              <w:rPr>
                <w:color w:val="auto"/>
                <w:szCs w:val="21"/>
                <w:highlight w:val="none"/>
              </w:rPr>
              <w:t>0</w:t>
            </w:r>
            <w:r>
              <w:rPr>
                <w:rFonts w:hint="eastAsia"/>
                <w:color w:val="auto"/>
                <w:szCs w:val="21"/>
                <w:highlight w:val="none"/>
              </w:rPr>
              <w:t>分钟（人防工程</w:t>
            </w:r>
            <w:r>
              <w:rPr>
                <w:color w:val="auto"/>
                <w:szCs w:val="21"/>
                <w:highlight w:val="none"/>
              </w:rPr>
              <w:t>180</w:t>
            </w:r>
            <w:r>
              <w:rPr>
                <w:rFonts w:hint="eastAsia"/>
                <w:color w:val="auto"/>
                <w:szCs w:val="21"/>
                <w:highlight w:val="none"/>
              </w:rPr>
              <w:t>分钟）以上的应急照明时间，应急组件采用进口镉镍电池，全充放电</w:t>
            </w:r>
            <w:r>
              <w:rPr>
                <w:color w:val="auto"/>
                <w:szCs w:val="21"/>
                <w:highlight w:val="none"/>
              </w:rPr>
              <w:t>500</w:t>
            </w:r>
            <w:r>
              <w:rPr>
                <w:rFonts w:hint="eastAsia"/>
                <w:color w:val="auto"/>
                <w:szCs w:val="21"/>
                <w:highlight w:val="none"/>
              </w:rPr>
              <w:t>次以上寿命。</w:t>
            </w:r>
          </w:p>
          <w:p>
            <w:pPr>
              <w:spacing w:line="360" w:lineRule="auto"/>
              <w:rPr>
                <w:rFonts w:ascii="宋体" w:hAnsi="宋体"/>
                <w:color w:val="auto"/>
                <w:szCs w:val="21"/>
                <w:highlight w:val="none"/>
              </w:rPr>
            </w:pPr>
            <w:r>
              <w:rPr>
                <w:rFonts w:hint="eastAsia" w:ascii="宋体" w:hAnsi="宋体"/>
                <w:color w:val="auto"/>
                <w:szCs w:val="21"/>
                <w:highlight w:val="none"/>
              </w:rPr>
              <w:t>7、材料定货前要提供样品，报发包人审批后才能定货。</w:t>
            </w:r>
          </w:p>
          <w:p>
            <w:pPr>
              <w:spacing w:line="360" w:lineRule="auto"/>
              <w:rPr>
                <w:color w:val="auto"/>
                <w:szCs w:val="21"/>
                <w:highlight w:val="none"/>
              </w:rPr>
            </w:pPr>
          </w:p>
        </w:tc>
        <w:tc>
          <w:tcPr>
            <w:tcW w:w="1070" w:type="dxa"/>
            <w:noWrap w:val="0"/>
            <w:vAlign w:val="center"/>
          </w:tcPr>
          <w:p>
            <w:pPr>
              <w:spacing w:line="360" w:lineRule="auto"/>
              <w:ind w:firstLine="420"/>
              <w:rPr>
                <w:rFonts w:ascii="宋体" w:hAnsi="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jc w:val="center"/>
        </w:trPr>
        <w:tc>
          <w:tcPr>
            <w:tcW w:w="708" w:type="dxa"/>
            <w:noWrap w:val="0"/>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6</w:t>
            </w:r>
          </w:p>
        </w:tc>
        <w:tc>
          <w:tcPr>
            <w:tcW w:w="1134" w:type="dxa"/>
            <w:noWrap w:val="0"/>
            <w:vAlign w:val="center"/>
          </w:tcPr>
          <w:p>
            <w:pPr>
              <w:spacing w:line="360" w:lineRule="auto"/>
              <w:rPr>
                <w:color w:val="auto"/>
                <w:szCs w:val="21"/>
                <w:highlight w:val="none"/>
              </w:rPr>
            </w:pPr>
            <w:r>
              <w:rPr>
                <w:rFonts w:hint="eastAsia" w:hAnsi="宋体"/>
                <w:color w:val="auto"/>
                <w:szCs w:val="21"/>
                <w:highlight w:val="none"/>
              </w:rPr>
              <w:t>应急照明灯具</w:t>
            </w:r>
          </w:p>
        </w:tc>
        <w:tc>
          <w:tcPr>
            <w:tcW w:w="6127" w:type="dxa"/>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满足消防部门的验收要求。</w:t>
            </w:r>
          </w:p>
          <w:p>
            <w:pPr>
              <w:pStyle w:val="106"/>
              <w:ind w:firstLine="420"/>
              <w:rPr>
                <w:rFonts w:hAnsi="宋体"/>
                <w:color w:val="auto"/>
                <w:sz w:val="21"/>
                <w:szCs w:val="21"/>
                <w:highlight w:val="none"/>
              </w:rPr>
            </w:pPr>
            <w:r>
              <w:rPr>
                <w:rFonts w:hint="eastAsia" w:hAnsi="宋体"/>
                <w:color w:val="auto"/>
                <w:sz w:val="21"/>
                <w:szCs w:val="21"/>
                <w:highlight w:val="none"/>
              </w:rPr>
              <w:t>1、电子应急组件</w:t>
            </w:r>
          </w:p>
          <w:p>
            <w:pPr>
              <w:pStyle w:val="106"/>
              <w:ind w:firstLine="420"/>
              <w:rPr>
                <w:rFonts w:hAnsi="宋体"/>
                <w:color w:val="auto"/>
                <w:sz w:val="21"/>
                <w:szCs w:val="21"/>
                <w:highlight w:val="none"/>
              </w:rPr>
            </w:pPr>
            <w:r>
              <w:rPr>
                <w:rFonts w:hint="eastAsia" w:hAnsi="宋体"/>
                <w:color w:val="auto"/>
                <w:sz w:val="21"/>
                <w:szCs w:val="21"/>
                <w:highlight w:val="none"/>
              </w:rPr>
              <w:t>1.1加装应急组件后，不应影响照明灯具的性能及正常使用；</w:t>
            </w:r>
          </w:p>
          <w:p>
            <w:pPr>
              <w:pStyle w:val="106"/>
              <w:ind w:firstLine="420"/>
              <w:rPr>
                <w:rFonts w:hAnsi="宋体"/>
                <w:color w:val="auto"/>
                <w:sz w:val="21"/>
                <w:szCs w:val="21"/>
                <w:highlight w:val="none"/>
              </w:rPr>
            </w:pPr>
            <w:r>
              <w:rPr>
                <w:rFonts w:hint="eastAsia" w:hAnsi="宋体"/>
                <w:color w:val="auto"/>
                <w:sz w:val="21"/>
                <w:szCs w:val="21"/>
                <w:highlight w:val="none"/>
              </w:rPr>
              <w:t>1.2当正常供电中断后，加装了应急组件的灯具能在断电后0.1秒内起动应急电源，并维持90分钟以上的应急照明时间。</w:t>
            </w:r>
          </w:p>
          <w:p>
            <w:pPr>
              <w:pStyle w:val="106"/>
              <w:ind w:firstLine="420"/>
              <w:rPr>
                <w:rFonts w:hAnsi="宋体"/>
                <w:color w:val="auto"/>
                <w:sz w:val="21"/>
                <w:szCs w:val="21"/>
                <w:highlight w:val="none"/>
              </w:rPr>
            </w:pPr>
            <w:r>
              <w:rPr>
                <w:rFonts w:hint="eastAsia" w:hAnsi="宋体"/>
                <w:color w:val="auto"/>
                <w:sz w:val="21"/>
                <w:szCs w:val="21"/>
                <w:highlight w:val="none"/>
              </w:rPr>
              <w:t>1.3应急组件采用进口镉镍电池作为灯具内的贮能电池组，寿命可达全充放电循环次数1000次以上。</w:t>
            </w:r>
          </w:p>
          <w:p>
            <w:pPr>
              <w:pStyle w:val="106"/>
              <w:ind w:firstLine="420"/>
              <w:rPr>
                <w:rFonts w:hAnsi="宋体"/>
                <w:color w:val="auto"/>
                <w:sz w:val="21"/>
                <w:szCs w:val="21"/>
                <w:highlight w:val="none"/>
              </w:rPr>
            </w:pPr>
            <w:r>
              <w:rPr>
                <w:rFonts w:hint="eastAsia" w:hAnsi="宋体"/>
                <w:color w:val="auto"/>
                <w:sz w:val="21"/>
                <w:szCs w:val="21"/>
                <w:highlight w:val="none"/>
              </w:rPr>
              <w:t>1.4应急组件应设有自动调压充电、过放电保护和空载保护等保护。</w:t>
            </w:r>
          </w:p>
          <w:p>
            <w:pPr>
              <w:pStyle w:val="106"/>
              <w:ind w:firstLine="420"/>
              <w:rPr>
                <w:rFonts w:hAnsi="宋体"/>
                <w:color w:val="auto"/>
                <w:sz w:val="21"/>
                <w:szCs w:val="21"/>
                <w:highlight w:val="none"/>
              </w:rPr>
            </w:pPr>
            <w:r>
              <w:rPr>
                <w:rFonts w:hint="eastAsia" w:hAnsi="宋体"/>
                <w:color w:val="auto"/>
                <w:sz w:val="21"/>
                <w:szCs w:val="21"/>
                <w:highlight w:val="none"/>
              </w:rPr>
              <w:t>1.5应急组件采用浮充形式，自动恒流充电。</w:t>
            </w:r>
          </w:p>
          <w:p>
            <w:pPr>
              <w:pStyle w:val="106"/>
              <w:ind w:firstLine="420"/>
              <w:rPr>
                <w:rFonts w:hAnsi="宋体"/>
                <w:color w:val="auto"/>
                <w:sz w:val="21"/>
                <w:szCs w:val="21"/>
                <w:highlight w:val="none"/>
              </w:rPr>
            </w:pPr>
            <w:r>
              <w:rPr>
                <w:rFonts w:hint="eastAsia" w:hAnsi="宋体"/>
                <w:color w:val="auto"/>
                <w:sz w:val="21"/>
                <w:szCs w:val="21"/>
                <w:highlight w:val="none"/>
              </w:rPr>
              <w:t>1.6应急组件的输入电流总谐波失真度THD≤28%。</w:t>
            </w:r>
          </w:p>
          <w:p>
            <w:pPr>
              <w:pStyle w:val="106"/>
              <w:ind w:firstLine="420"/>
              <w:rPr>
                <w:rFonts w:hAnsi="宋体"/>
                <w:color w:val="auto"/>
                <w:sz w:val="21"/>
                <w:szCs w:val="21"/>
                <w:highlight w:val="none"/>
              </w:rPr>
            </w:pPr>
            <w:r>
              <w:rPr>
                <w:rFonts w:hint="eastAsia" w:hAnsi="宋体"/>
                <w:color w:val="auto"/>
                <w:sz w:val="21"/>
                <w:szCs w:val="21"/>
                <w:highlight w:val="none"/>
              </w:rPr>
              <w:t>1.7电子应急组件应通过中国国家消防电子厂品质量监督检验中心的型式检测。</w:t>
            </w:r>
          </w:p>
          <w:p>
            <w:pPr>
              <w:pStyle w:val="106"/>
              <w:ind w:firstLine="420"/>
              <w:rPr>
                <w:rFonts w:hAnsi="宋体"/>
                <w:color w:val="auto"/>
                <w:sz w:val="21"/>
                <w:szCs w:val="21"/>
                <w:highlight w:val="none"/>
              </w:rPr>
            </w:pPr>
            <w:r>
              <w:rPr>
                <w:rFonts w:hint="eastAsia" w:hAnsi="宋体"/>
                <w:color w:val="auto"/>
                <w:sz w:val="21"/>
                <w:szCs w:val="21"/>
                <w:highlight w:val="none"/>
              </w:rPr>
              <w:t>1.8应急组件符合GB17945、GB7000等国家标准。</w:t>
            </w:r>
          </w:p>
          <w:p>
            <w:pPr>
              <w:pStyle w:val="106"/>
              <w:ind w:firstLine="420"/>
              <w:rPr>
                <w:rFonts w:hAnsi="宋体"/>
                <w:color w:val="auto"/>
                <w:sz w:val="21"/>
                <w:szCs w:val="21"/>
                <w:highlight w:val="none"/>
              </w:rPr>
            </w:pPr>
            <w:r>
              <w:rPr>
                <w:rFonts w:hint="eastAsia" w:hAnsi="宋体"/>
                <w:color w:val="auto"/>
                <w:sz w:val="21"/>
                <w:szCs w:val="21"/>
                <w:highlight w:val="none"/>
              </w:rPr>
              <w:t>2、消防应急灯具</w:t>
            </w:r>
          </w:p>
          <w:p>
            <w:pPr>
              <w:pStyle w:val="106"/>
              <w:ind w:firstLine="420"/>
              <w:rPr>
                <w:rFonts w:hAnsi="宋体"/>
                <w:color w:val="auto"/>
                <w:sz w:val="21"/>
                <w:szCs w:val="21"/>
                <w:highlight w:val="none"/>
              </w:rPr>
            </w:pPr>
            <w:r>
              <w:rPr>
                <w:rFonts w:hint="eastAsia" w:hAnsi="宋体"/>
                <w:color w:val="auto"/>
                <w:sz w:val="21"/>
                <w:szCs w:val="21"/>
                <w:highlight w:val="none"/>
              </w:rPr>
              <w:t>2.1消防应急灯具应符合GB7000、GB7001、GB9467、GB13495和GB2423等国家标准。</w:t>
            </w:r>
          </w:p>
          <w:p>
            <w:pPr>
              <w:pStyle w:val="106"/>
              <w:ind w:firstLine="420"/>
              <w:rPr>
                <w:rFonts w:hAnsi="宋体"/>
                <w:color w:val="auto"/>
                <w:sz w:val="21"/>
                <w:szCs w:val="21"/>
                <w:highlight w:val="none"/>
              </w:rPr>
            </w:pPr>
            <w:r>
              <w:rPr>
                <w:rFonts w:hint="eastAsia" w:hAnsi="宋体"/>
                <w:color w:val="auto"/>
                <w:sz w:val="21"/>
                <w:szCs w:val="21"/>
                <w:highlight w:val="none"/>
              </w:rPr>
              <w:t>2.2消防应急灯具能在断电后0.1秒内起动应急电源，并维持90分钟以上的应急照明时间。</w:t>
            </w:r>
          </w:p>
          <w:p>
            <w:pPr>
              <w:pStyle w:val="106"/>
              <w:ind w:firstLine="420"/>
              <w:rPr>
                <w:rFonts w:hAnsi="宋体"/>
                <w:color w:val="auto"/>
                <w:sz w:val="21"/>
                <w:szCs w:val="21"/>
                <w:highlight w:val="none"/>
              </w:rPr>
            </w:pPr>
            <w:r>
              <w:rPr>
                <w:rFonts w:hint="eastAsia" w:hAnsi="宋体"/>
                <w:color w:val="auto"/>
                <w:sz w:val="21"/>
                <w:szCs w:val="21"/>
                <w:highlight w:val="none"/>
              </w:rPr>
              <w:t>2.3自带电源型消防应急照明灯具所用的电池必须采用进口镉镍电池作为灯具内的贮能电池组，寿命可达全充放电循环次数1000次以上。全封闭免维护的充电电池，电池的使用寿命不小于4年。</w:t>
            </w:r>
          </w:p>
          <w:p>
            <w:pPr>
              <w:pStyle w:val="106"/>
              <w:ind w:firstLine="420"/>
              <w:rPr>
                <w:rFonts w:hAnsi="宋体"/>
                <w:color w:val="auto"/>
                <w:sz w:val="21"/>
                <w:szCs w:val="21"/>
                <w:highlight w:val="none"/>
              </w:rPr>
            </w:pPr>
            <w:r>
              <w:rPr>
                <w:rFonts w:hint="eastAsia" w:hAnsi="宋体"/>
                <w:color w:val="auto"/>
                <w:sz w:val="21"/>
                <w:szCs w:val="21"/>
                <w:highlight w:val="none"/>
              </w:rPr>
              <w:t>2.4自带电源型消防应急照明灯具应设置等待、充电、故障状态指示灯。等待状态用红色，充电状态用绿色，故障状态用黄色。</w:t>
            </w:r>
          </w:p>
          <w:p>
            <w:pPr>
              <w:pStyle w:val="106"/>
              <w:ind w:firstLine="420"/>
              <w:rPr>
                <w:rFonts w:hAnsi="宋体"/>
                <w:color w:val="auto"/>
                <w:sz w:val="21"/>
                <w:szCs w:val="21"/>
                <w:highlight w:val="none"/>
              </w:rPr>
            </w:pPr>
            <w:r>
              <w:rPr>
                <w:rFonts w:hint="eastAsia" w:hAnsi="宋体"/>
                <w:color w:val="auto"/>
                <w:sz w:val="21"/>
                <w:szCs w:val="21"/>
                <w:highlight w:val="none"/>
              </w:rPr>
              <w:t>2.5标志灯的表面最小亮度不应小于15cd/m2，最大亮度不应大于300cd/m2，且最大亮度与最小亮度比不大于10:1，图形和文字点亮时为透光部（黄绿色），其余全部墨绿色（不透光）。</w:t>
            </w:r>
          </w:p>
          <w:p>
            <w:pPr>
              <w:pStyle w:val="106"/>
              <w:ind w:firstLine="420"/>
              <w:rPr>
                <w:rFonts w:hAnsi="宋体"/>
                <w:color w:val="auto"/>
                <w:sz w:val="21"/>
                <w:szCs w:val="21"/>
                <w:highlight w:val="none"/>
              </w:rPr>
            </w:pPr>
            <w:r>
              <w:rPr>
                <w:rFonts w:hint="eastAsia" w:hAnsi="宋体"/>
                <w:color w:val="auto"/>
                <w:sz w:val="21"/>
                <w:szCs w:val="21"/>
                <w:highlight w:val="none"/>
              </w:rPr>
              <w:t>2.6疏散照明灯从交流电源转到应急电源供电时，其光通量应不低于光源在额定电压时光通量的70%。</w:t>
            </w:r>
          </w:p>
          <w:p>
            <w:pPr>
              <w:pStyle w:val="106"/>
              <w:ind w:firstLine="420"/>
              <w:rPr>
                <w:rFonts w:hAnsi="宋体"/>
                <w:color w:val="auto"/>
                <w:sz w:val="21"/>
                <w:szCs w:val="21"/>
                <w:highlight w:val="none"/>
              </w:rPr>
            </w:pPr>
            <w:r>
              <w:rPr>
                <w:rFonts w:hint="eastAsia" w:hAnsi="宋体"/>
                <w:color w:val="auto"/>
                <w:sz w:val="21"/>
                <w:szCs w:val="21"/>
                <w:highlight w:val="none"/>
              </w:rPr>
              <w:t>2.7消防应急照明灯具应设有短路保护和模拟交流电源供电故障的试验无锁按钮，但不应设其他开关。</w:t>
            </w:r>
          </w:p>
          <w:p>
            <w:pPr>
              <w:pStyle w:val="106"/>
              <w:ind w:firstLine="420"/>
              <w:rPr>
                <w:rFonts w:hAnsi="宋体"/>
                <w:color w:val="auto"/>
                <w:sz w:val="21"/>
                <w:szCs w:val="21"/>
                <w:highlight w:val="none"/>
              </w:rPr>
            </w:pPr>
            <w:r>
              <w:rPr>
                <w:rFonts w:hint="eastAsia" w:hAnsi="宋体"/>
                <w:color w:val="auto"/>
                <w:sz w:val="21"/>
                <w:szCs w:val="21"/>
                <w:highlight w:val="none"/>
              </w:rPr>
              <w:t>2.8电池的再充电时间应不大于24h，应设有自动调压充电、过放电保护和空载保护等保护。</w:t>
            </w:r>
          </w:p>
          <w:p>
            <w:pPr>
              <w:pStyle w:val="106"/>
              <w:ind w:firstLine="420"/>
              <w:rPr>
                <w:rFonts w:hAnsi="宋体"/>
                <w:color w:val="auto"/>
                <w:sz w:val="21"/>
                <w:szCs w:val="21"/>
                <w:highlight w:val="none"/>
              </w:rPr>
            </w:pPr>
            <w:r>
              <w:rPr>
                <w:rFonts w:hint="eastAsia" w:hAnsi="宋体"/>
                <w:color w:val="auto"/>
                <w:sz w:val="21"/>
                <w:szCs w:val="21"/>
                <w:highlight w:val="none"/>
              </w:rPr>
              <w:t>2.9消防应急照明灯具的交流电源输入端与壳体之间的绝缘电阻应不小于500MΩ，有绝缘要求的外部带电端子与壳体之间的绝缘电阻应不小于20 MΩ。</w:t>
            </w:r>
          </w:p>
          <w:p>
            <w:pPr>
              <w:pStyle w:val="106"/>
              <w:ind w:firstLine="420"/>
              <w:rPr>
                <w:rFonts w:hAnsi="宋体"/>
                <w:color w:val="auto"/>
                <w:sz w:val="21"/>
                <w:szCs w:val="21"/>
                <w:highlight w:val="none"/>
              </w:rPr>
            </w:pPr>
            <w:r>
              <w:rPr>
                <w:rFonts w:hint="eastAsia" w:hAnsi="宋体"/>
                <w:color w:val="auto"/>
                <w:sz w:val="21"/>
                <w:szCs w:val="21"/>
                <w:highlight w:val="none"/>
              </w:rPr>
              <w:t>2.10消防应急照明灯具外壳、灯罩应选用非燃烧材料制造。内部连接线宜采用耐温大于105℃的阻燃导线。</w:t>
            </w:r>
          </w:p>
          <w:p>
            <w:pPr>
              <w:pStyle w:val="106"/>
              <w:ind w:firstLine="420"/>
              <w:rPr>
                <w:rFonts w:hAnsi="宋体"/>
                <w:color w:val="auto"/>
                <w:sz w:val="21"/>
                <w:szCs w:val="21"/>
                <w:highlight w:val="none"/>
              </w:rPr>
            </w:pPr>
            <w:r>
              <w:rPr>
                <w:rFonts w:hint="eastAsia" w:hAnsi="宋体"/>
                <w:color w:val="auto"/>
                <w:sz w:val="21"/>
                <w:szCs w:val="21"/>
                <w:highlight w:val="none"/>
              </w:rPr>
              <w:t>2.11消防应急照明灯具应有清晰、耐久的标志，包括产品标志和质量检验标志。</w:t>
            </w:r>
          </w:p>
          <w:p>
            <w:pPr>
              <w:pStyle w:val="106"/>
              <w:ind w:firstLine="420"/>
              <w:rPr>
                <w:rFonts w:hAnsi="宋体"/>
                <w:color w:val="auto"/>
                <w:sz w:val="21"/>
                <w:szCs w:val="21"/>
                <w:highlight w:val="none"/>
              </w:rPr>
            </w:pPr>
            <w:r>
              <w:rPr>
                <w:rFonts w:hint="eastAsia" w:hAnsi="宋体"/>
                <w:color w:val="auto"/>
                <w:sz w:val="21"/>
                <w:szCs w:val="21"/>
                <w:highlight w:val="none"/>
              </w:rPr>
              <w:t>2.12消防应急灯具应通过中国国家消防电子产品质量监督检验中心的型式检测。</w:t>
            </w:r>
          </w:p>
          <w:p>
            <w:pPr>
              <w:pStyle w:val="106"/>
              <w:ind w:firstLine="420"/>
              <w:rPr>
                <w:color w:val="auto"/>
                <w:sz w:val="21"/>
                <w:szCs w:val="21"/>
                <w:highlight w:val="none"/>
              </w:rPr>
            </w:pPr>
            <w:r>
              <w:rPr>
                <w:rFonts w:hint="eastAsia" w:hAnsi="宋体"/>
                <w:color w:val="auto"/>
                <w:sz w:val="21"/>
                <w:szCs w:val="21"/>
                <w:highlight w:val="none"/>
              </w:rPr>
              <w:t>2.13材料订货前要求提供样品，报招标人、设计、监理确认后方可订货。</w:t>
            </w:r>
          </w:p>
        </w:tc>
        <w:tc>
          <w:tcPr>
            <w:tcW w:w="1070" w:type="dxa"/>
            <w:noWrap w:val="0"/>
            <w:vAlign w:val="center"/>
          </w:tcPr>
          <w:p>
            <w:pPr>
              <w:spacing w:line="360" w:lineRule="auto"/>
              <w:ind w:firstLine="420"/>
              <w:rPr>
                <w:rFonts w:ascii="宋体" w:hAnsi="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jc w:val="center"/>
        </w:trPr>
        <w:tc>
          <w:tcPr>
            <w:tcW w:w="708" w:type="dxa"/>
            <w:noWrap w:val="0"/>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7</w:t>
            </w:r>
          </w:p>
        </w:tc>
        <w:tc>
          <w:tcPr>
            <w:tcW w:w="1134" w:type="dxa"/>
            <w:noWrap w:val="0"/>
            <w:vAlign w:val="center"/>
          </w:tcPr>
          <w:p>
            <w:pPr>
              <w:spacing w:line="360" w:lineRule="auto"/>
              <w:rPr>
                <w:color w:val="auto"/>
                <w:szCs w:val="21"/>
                <w:highlight w:val="none"/>
              </w:rPr>
            </w:pPr>
            <w:r>
              <w:rPr>
                <w:rFonts w:hint="eastAsia"/>
                <w:color w:val="auto"/>
                <w:szCs w:val="21"/>
                <w:highlight w:val="none"/>
              </w:rPr>
              <w:t>普通照明灯具</w:t>
            </w:r>
          </w:p>
          <w:p>
            <w:pPr>
              <w:spacing w:line="360" w:lineRule="auto"/>
              <w:rPr>
                <w:rFonts w:hAnsi="宋体"/>
                <w:color w:val="auto"/>
                <w:szCs w:val="21"/>
                <w:highlight w:val="none"/>
              </w:rPr>
            </w:pPr>
          </w:p>
        </w:tc>
        <w:tc>
          <w:tcPr>
            <w:tcW w:w="6127" w:type="dxa"/>
            <w:noWrap w:val="0"/>
            <w:vAlign w:val="center"/>
          </w:tcPr>
          <w:p>
            <w:pPr>
              <w:pStyle w:val="106"/>
              <w:ind w:firstLine="420"/>
              <w:rPr>
                <w:rFonts w:hAnsi="宋体"/>
                <w:color w:val="auto"/>
                <w:sz w:val="21"/>
                <w:szCs w:val="21"/>
                <w:highlight w:val="none"/>
              </w:rPr>
            </w:pPr>
            <w:r>
              <w:rPr>
                <w:rFonts w:hint="eastAsia" w:hAnsi="宋体"/>
                <w:color w:val="auto"/>
                <w:sz w:val="21"/>
                <w:szCs w:val="21"/>
                <w:highlight w:val="none"/>
              </w:rPr>
              <w:t>1、基本要求</w:t>
            </w:r>
          </w:p>
          <w:p>
            <w:pPr>
              <w:pStyle w:val="106"/>
              <w:ind w:firstLine="420"/>
              <w:rPr>
                <w:rFonts w:hAnsi="宋体"/>
                <w:color w:val="auto"/>
                <w:sz w:val="21"/>
                <w:szCs w:val="21"/>
                <w:highlight w:val="none"/>
              </w:rPr>
            </w:pPr>
            <w:r>
              <w:rPr>
                <w:rFonts w:hint="eastAsia" w:hAnsi="宋体"/>
                <w:color w:val="auto"/>
                <w:sz w:val="21"/>
                <w:szCs w:val="21"/>
                <w:highlight w:val="none"/>
              </w:rPr>
              <w:t>1.1、符合GB7000.12、GB13037、GB9472、GB2313、IEC598等中国国家标准及国际标准；</w:t>
            </w:r>
          </w:p>
          <w:p>
            <w:pPr>
              <w:pStyle w:val="106"/>
              <w:ind w:firstLine="420"/>
              <w:rPr>
                <w:rFonts w:hAnsi="宋体"/>
                <w:color w:val="auto"/>
                <w:sz w:val="21"/>
                <w:szCs w:val="21"/>
                <w:highlight w:val="none"/>
              </w:rPr>
            </w:pPr>
            <w:r>
              <w:rPr>
                <w:rFonts w:hint="eastAsia" w:hAnsi="宋体"/>
                <w:color w:val="auto"/>
                <w:sz w:val="21"/>
                <w:szCs w:val="21"/>
                <w:highlight w:val="none"/>
              </w:rPr>
              <w:t>1.2、灯盘、筒灯、电子镇流器等应通过CCC国家强制认证；所有灯具通过EMC电磁抗干扰标准。</w:t>
            </w:r>
          </w:p>
          <w:p>
            <w:pPr>
              <w:pStyle w:val="106"/>
              <w:ind w:firstLine="420"/>
              <w:rPr>
                <w:rFonts w:hAnsi="宋体"/>
                <w:color w:val="auto"/>
                <w:sz w:val="21"/>
                <w:szCs w:val="21"/>
                <w:highlight w:val="none"/>
              </w:rPr>
            </w:pPr>
            <w:r>
              <w:rPr>
                <w:rFonts w:hint="eastAsia" w:hAnsi="宋体"/>
                <w:color w:val="auto"/>
                <w:sz w:val="21"/>
                <w:szCs w:val="21"/>
                <w:highlight w:val="none"/>
              </w:rPr>
              <w:t>1.3、照明灯具的防护等级不低于IP20；</w:t>
            </w:r>
          </w:p>
          <w:p>
            <w:pPr>
              <w:pStyle w:val="106"/>
              <w:ind w:firstLine="420"/>
              <w:rPr>
                <w:rFonts w:hAnsi="宋体"/>
                <w:color w:val="auto"/>
                <w:sz w:val="21"/>
                <w:szCs w:val="21"/>
                <w:highlight w:val="none"/>
              </w:rPr>
            </w:pPr>
            <w:r>
              <w:rPr>
                <w:rFonts w:hint="eastAsia" w:hAnsi="宋体"/>
                <w:color w:val="auto"/>
                <w:sz w:val="21"/>
                <w:szCs w:val="21"/>
                <w:highlight w:val="none"/>
              </w:rPr>
              <w:t>1.4、灯具外壳有单独的接地端子，且接地牢固。</w:t>
            </w:r>
          </w:p>
          <w:p>
            <w:pPr>
              <w:pStyle w:val="106"/>
              <w:ind w:firstLine="420"/>
              <w:rPr>
                <w:rFonts w:hAnsi="宋体"/>
                <w:color w:val="auto"/>
                <w:sz w:val="21"/>
                <w:szCs w:val="21"/>
                <w:highlight w:val="none"/>
              </w:rPr>
            </w:pPr>
            <w:r>
              <w:rPr>
                <w:rFonts w:hint="eastAsia" w:hAnsi="宋体"/>
                <w:color w:val="auto"/>
                <w:sz w:val="21"/>
                <w:szCs w:val="21"/>
                <w:highlight w:val="none"/>
              </w:rPr>
              <w:t>1.5、灯具、镇流器的保用时间应不少于5年，光源的保用时间应不少于8000小时。</w:t>
            </w:r>
          </w:p>
          <w:p>
            <w:pPr>
              <w:pStyle w:val="106"/>
              <w:ind w:firstLine="420"/>
              <w:rPr>
                <w:rFonts w:hAnsi="宋体"/>
                <w:color w:val="auto"/>
                <w:sz w:val="21"/>
                <w:szCs w:val="21"/>
                <w:highlight w:val="none"/>
              </w:rPr>
            </w:pPr>
            <w:r>
              <w:rPr>
                <w:rFonts w:hint="eastAsia" w:hAnsi="宋体"/>
                <w:color w:val="auto"/>
                <w:sz w:val="21"/>
                <w:szCs w:val="21"/>
                <w:highlight w:val="none"/>
              </w:rPr>
              <w:t>1.6、室内灯具制造商有数控设备。</w:t>
            </w:r>
          </w:p>
          <w:p>
            <w:pPr>
              <w:pStyle w:val="106"/>
              <w:ind w:firstLine="420"/>
              <w:rPr>
                <w:rFonts w:hAnsi="宋体"/>
                <w:color w:val="auto"/>
                <w:sz w:val="21"/>
                <w:szCs w:val="21"/>
                <w:highlight w:val="none"/>
              </w:rPr>
            </w:pPr>
            <w:r>
              <w:rPr>
                <w:rFonts w:hint="eastAsia" w:hAnsi="宋体"/>
                <w:color w:val="auto"/>
                <w:sz w:val="21"/>
                <w:szCs w:val="21"/>
                <w:highlight w:val="none"/>
              </w:rPr>
              <w:t>1.7、选用高效节能灯具。</w:t>
            </w:r>
          </w:p>
          <w:p>
            <w:pPr>
              <w:pStyle w:val="106"/>
              <w:ind w:firstLine="420"/>
              <w:rPr>
                <w:rFonts w:hAnsi="宋体"/>
                <w:color w:val="auto"/>
                <w:sz w:val="21"/>
                <w:szCs w:val="21"/>
                <w:highlight w:val="none"/>
              </w:rPr>
            </w:pPr>
            <w:r>
              <w:rPr>
                <w:rFonts w:hint="eastAsia" w:hAnsi="宋体"/>
                <w:color w:val="auto"/>
                <w:sz w:val="21"/>
                <w:szCs w:val="21"/>
                <w:highlight w:val="none"/>
              </w:rPr>
              <w:t>1.8、支架灯、灯盘采用稀土三基色直管荧光灯，选用电子镇流器，电子镇流器要和光源为同一品牌。</w:t>
            </w:r>
          </w:p>
          <w:p>
            <w:pPr>
              <w:pStyle w:val="106"/>
              <w:ind w:firstLine="420"/>
              <w:rPr>
                <w:rFonts w:hAnsi="宋体"/>
                <w:color w:val="auto"/>
                <w:sz w:val="21"/>
                <w:szCs w:val="21"/>
                <w:highlight w:val="none"/>
              </w:rPr>
            </w:pPr>
            <w:r>
              <w:rPr>
                <w:rFonts w:hint="eastAsia" w:hAnsi="宋体"/>
                <w:color w:val="auto"/>
                <w:sz w:val="21"/>
                <w:szCs w:val="21"/>
                <w:highlight w:val="none"/>
              </w:rPr>
              <w:t>1.9、所有库房采用防紫外线灯具。</w:t>
            </w:r>
          </w:p>
          <w:p>
            <w:pPr>
              <w:pStyle w:val="106"/>
              <w:ind w:firstLine="420"/>
              <w:rPr>
                <w:rFonts w:hAnsi="宋体"/>
                <w:color w:val="auto"/>
                <w:sz w:val="21"/>
                <w:szCs w:val="21"/>
                <w:highlight w:val="none"/>
              </w:rPr>
            </w:pPr>
            <w:r>
              <w:rPr>
                <w:rFonts w:hint="eastAsia" w:hAnsi="宋体"/>
                <w:color w:val="auto"/>
                <w:sz w:val="21"/>
                <w:szCs w:val="21"/>
                <w:highlight w:val="none"/>
              </w:rPr>
              <w:t>2、照明灯具的要求</w:t>
            </w:r>
          </w:p>
          <w:p>
            <w:pPr>
              <w:pStyle w:val="106"/>
              <w:ind w:firstLine="420"/>
              <w:rPr>
                <w:rFonts w:hAnsi="宋体"/>
                <w:color w:val="auto"/>
                <w:sz w:val="21"/>
                <w:szCs w:val="21"/>
                <w:highlight w:val="none"/>
              </w:rPr>
            </w:pPr>
            <w:r>
              <w:rPr>
                <w:rFonts w:hint="eastAsia" w:hAnsi="宋体"/>
                <w:color w:val="auto"/>
                <w:sz w:val="21"/>
                <w:szCs w:val="21"/>
                <w:highlight w:val="none"/>
              </w:rPr>
              <w:t>2.1、灯管支架</w:t>
            </w:r>
          </w:p>
          <w:p>
            <w:pPr>
              <w:pStyle w:val="106"/>
              <w:ind w:firstLine="420"/>
              <w:rPr>
                <w:rFonts w:hAnsi="宋体"/>
                <w:color w:val="auto"/>
                <w:sz w:val="21"/>
                <w:szCs w:val="21"/>
                <w:highlight w:val="none"/>
              </w:rPr>
            </w:pPr>
            <w:r>
              <w:rPr>
                <w:rFonts w:hint="eastAsia" w:hAnsi="宋体"/>
                <w:color w:val="auto"/>
                <w:sz w:val="21"/>
                <w:szCs w:val="21"/>
                <w:highlight w:val="none"/>
              </w:rPr>
              <w:t>主体材料：</w:t>
            </w:r>
            <w:r>
              <w:rPr>
                <w:rFonts w:hAnsi="宋体"/>
                <w:color w:val="auto"/>
                <w:sz w:val="21"/>
                <w:szCs w:val="21"/>
                <w:highlight w:val="none"/>
              </w:rPr>
              <w:t>≥</w:t>
            </w:r>
            <w:r>
              <w:rPr>
                <w:rFonts w:hint="eastAsia" w:hAnsi="宋体"/>
                <w:color w:val="auto"/>
                <w:sz w:val="21"/>
                <w:szCs w:val="21"/>
                <w:highlight w:val="none"/>
              </w:rPr>
              <w:t>0.5mm厚优质冷轧钢板；表面处理：除油、除锈、磷化处理、静电喷塑；</w:t>
            </w:r>
          </w:p>
          <w:p>
            <w:pPr>
              <w:pStyle w:val="106"/>
              <w:ind w:firstLine="420"/>
              <w:rPr>
                <w:rFonts w:hAnsi="宋体"/>
                <w:color w:val="auto"/>
                <w:sz w:val="21"/>
                <w:szCs w:val="21"/>
                <w:highlight w:val="none"/>
              </w:rPr>
            </w:pPr>
            <w:r>
              <w:rPr>
                <w:rFonts w:hint="eastAsia" w:hAnsi="宋体"/>
                <w:color w:val="auto"/>
                <w:sz w:val="21"/>
                <w:szCs w:val="21"/>
                <w:highlight w:val="none"/>
              </w:rPr>
              <w:t>支架脚座：高强度阻燃塑料，耐温</w:t>
            </w:r>
            <w:r>
              <w:rPr>
                <w:rFonts w:hAnsi="宋体"/>
                <w:color w:val="auto"/>
                <w:sz w:val="21"/>
                <w:szCs w:val="21"/>
                <w:highlight w:val="none"/>
              </w:rPr>
              <w:t>≥</w:t>
            </w:r>
            <w:r>
              <w:rPr>
                <w:rFonts w:hint="eastAsia" w:hAnsi="宋体"/>
                <w:color w:val="auto"/>
                <w:sz w:val="21"/>
                <w:szCs w:val="21"/>
                <w:highlight w:val="none"/>
              </w:rPr>
              <w:t>120座，灯管采用推进旋转方式安装；</w:t>
            </w:r>
          </w:p>
          <w:p>
            <w:pPr>
              <w:pStyle w:val="106"/>
              <w:ind w:firstLine="420"/>
              <w:rPr>
                <w:rFonts w:hAnsi="宋体"/>
                <w:color w:val="auto"/>
                <w:sz w:val="21"/>
                <w:szCs w:val="21"/>
                <w:highlight w:val="none"/>
              </w:rPr>
            </w:pPr>
            <w:r>
              <w:rPr>
                <w:rFonts w:hint="eastAsia" w:hAnsi="宋体"/>
                <w:color w:val="auto"/>
                <w:sz w:val="21"/>
                <w:szCs w:val="21"/>
                <w:highlight w:val="none"/>
              </w:rPr>
              <w:t>灯内接线：名优阻燃电线；配置电器：电子镇流器。</w:t>
            </w:r>
          </w:p>
          <w:p>
            <w:pPr>
              <w:pStyle w:val="106"/>
              <w:ind w:firstLine="420"/>
              <w:rPr>
                <w:rFonts w:hAnsi="宋体"/>
                <w:color w:val="auto"/>
                <w:sz w:val="21"/>
                <w:szCs w:val="21"/>
                <w:highlight w:val="none"/>
              </w:rPr>
            </w:pPr>
            <w:r>
              <w:rPr>
                <w:rFonts w:hint="eastAsia" w:hAnsi="宋体"/>
                <w:color w:val="auto"/>
                <w:sz w:val="21"/>
                <w:szCs w:val="21"/>
                <w:highlight w:val="none"/>
              </w:rPr>
              <w:t>2.2、格栅灯盘</w:t>
            </w:r>
          </w:p>
          <w:p>
            <w:pPr>
              <w:pStyle w:val="106"/>
              <w:ind w:firstLine="420"/>
              <w:rPr>
                <w:rFonts w:hAnsi="宋体"/>
                <w:color w:val="auto"/>
                <w:sz w:val="21"/>
                <w:szCs w:val="21"/>
                <w:highlight w:val="none"/>
              </w:rPr>
            </w:pPr>
            <w:r>
              <w:rPr>
                <w:rFonts w:hint="eastAsia" w:hAnsi="宋体"/>
                <w:color w:val="auto"/>
                <w:sz w:val="21"/>
                <w:szCs w:val="21"/>
                <w:highlight w:val="none"/>
              </w:rPr>
              <w:t>底盘材料：</w:t>
            </w:r>
            <w:r>
              <w:rPr>
                <w:rFonts w:hAnsi="宋体"/>
                <w:color w:val="auto"/>
                <w:sz w:val="21"/>
                <w:szCs w:val="21"/>
                <w:highlight w:val="none"/>
              </w:rPr>
              <w:t>≥</w:t>
            </w:r>
            <w:r>
              <w:rPr>
                <w:rFonts w:hint="eastAsia" w:hAnsi="宋体"/>
                <w:color w:val="auto"/>
                <w:sz w:val="21"/>
                <w:szCs w:val="21"/>
                <w:highlight w:val="none"/>
              </w:rPr>
              <w:t>0.6mm厚优质冷轧钢板；</w:t>
            </w:r>
          </w:p>
          <w:p>
            <w:pPr>
              <w:pStyle w:val="106"/>
              <w:ind w:firstLine="420"/>
              <w:rPr>
                <w:rFonts w:hAnsi="宋体"/>
                <w:color w:val="auto"/>
                <w:sz w:val="21"/>
                <w:szCs w:val="21"/>
                <w:highlight w:val="none"/>
              </w:rPr>
            </w:pPr>
            <w:r>
              <w:rPr>
                <w:rFonts w:hint="eastAsia" w:hAnsi="宋体"/>
                <w:color w:val="auto"/>
                <w:sz w:val="21"/>
                <w:szCs w:val="21"/>
                <w:highlight w:val="none"/>
              </w:rPr>
              <w:t>反射罩：磨砂电化铝，厚度</w:t>
            </w:r>
            <w:r>
              <w:rPr>
                <w:rFonts w:hAnsi="宋体"/>
                <w:color w:val="auto"/>
                <w:sz w:val="21"/>
                <w:szCs w:val="21"/>
                <w:highlight w:val="none"/>
              </w:rPr>
              <w:t>≥</w:t>
            </w:r>
            <w:r>
              <w:rPr>
                <w:rFonts w:hint="eastAsia" w:hAnsi="宋体"/>
                <w:color w:val="auto"/>
                <w:sz w:val="21"/>
                <w:szCs w:val="21"/>
                <w:highlight w:val="none"/>
              </w:rPr>
              <w:t>0.4mm，双V格栅；</w:t>
            </w:r>
          </w:p>
          <w:p>
            <w:pPr>
              <w:pStyle w:val="106"/>
              <w:ind w:firstLine="420"/>
              <w:rPr>
                <w:rFonts w:hAnsi="宋体"/>
                <w:color w:val="auto"/>
                <w:sz w:val="21"/>
                <w:szCs w:val="21"/>
                <w:highlight w:val="none"/>
              </w:rPr>
            </w:pPr>
            <w:r>
              <w:rPr>
                <w:rFonts w:hint="eastAsia" w:hAnsi="宋体"/>
                <w:color w:val="auto"/>
                <w:sz w:val="21"/>
                <w:szCs w:val="21"/>
                <w:highlight w:val="none"/>
              </w:rPr>
              <w:t>灯盘脚座：高强度阻燃塑料，耐温</w:t>
            </w:r>
            <w:r>
              <w:rPr>
                <w:rFonts w:hAnsi="宋体"/>
                <w:color w:val="auto"/>
                <w:sz w:val="21"/>
                <w:szCs w:val="21"/>
                <w:highlight w:val="none"/>
              </w:rPr>
              <w:t>≥</w:t>
            </w:r>
            <w:r>
              <w:rPr>
                <w:rFonts w:hint="eastAsia" w:hAnsi="宋体"/>
                <w:color w:val="auto"/>
                <w:sz w:val="21"/>
                <w:szCs w:val="21"/>
                <w:highlight w:val="none"/>
              </w:rPr>
              <w:t>120座，灯管采用推进旋转方式安装；</w:t>
            </w:r>
          </w:p>
          <w:p>
            <w:pPr>
              <w:pStyle w:val="106"/>
              <w:ind w:firstLine="420"/>
              <w:rPr>
                <w:rFonts w:hAnsi="宋体"/>
                <w:color w:val="auto"/>
                <w:sz w:val="21"/>
                <w:szCs w:val="21"/>
                <w:highlight w:val="none"/>
              </w:rPr>
            </w:pPr>
            <w:r>
              <w:rPr>
                <w:rFonts w:hint="eastAsia" w:hAnsi="宋体"/>
                <w:color w:val="auto"/>
                <w:sz w:val="21"/>
                <w:szCs w:val="21"/>
                <w:highlight w:val="none"/>
              </w:rPr>
              <w:t>表面处理：除油、除锈、磷化处理、静电喷塑；</w:t>
            </w:r>
          </w:p>
          <w:p>
            <w:pPr>
              <w:pStyle w:val="106"/>
              <w:ind w:firstLine="420"/>
              <w:rPr>
                <w:rFonts w:hAnsi="宋体"/>
                <w:color w:val="auto"/>
                <w:sz w:val="21"/>
                <w:szCs w:val="21"/>
                <w:highlight w:val="none"/>
              </w:rPr>
            </w:pPr>
            <w:r>
              <w:rPr>
                <w:rFonts w:hint="eastAsia" w:hAnsi="宋体"/>
                <w:color w:val="auto"/>
                <w:sz w:val="21"/>
                <w:szCs w:val="21"/>
                <w:highlight w:val="none"/>
              </w:rPr>
              <w:t>灯内接线：名优阻燃电线；配置电器：电子镇流器。</w:t>
            </w:r>
          </w:p>
          <w:p>
            <w:pPr>
              <w:pStyle w:val="106"/>
              <w:ind w:firstLine="420"/>
              <w:rPr>
                <w:rFonts w:hAnsi="宋体"/>
                <w:color w:val="auto"/>
                <w:sz w:val="21"/>
                <w:szCs w:val="21"/>
                <w:highlight w:val="none"/>
              </w:rPr>
            </w:pPr>
            <w:r>
              <w:rPr>
                <w:rFonts w:hint="eastAsia" w:hAnsi="宋体"/>
                <w:color w:val="auto"/>
                <w:sz w:val="21"/>
                <w:szCs w:val="21"/>
                <w:highlight w:val="none"/>
              </w:rPr>
              <w:t>2.3、防水防尘灯：</w:t>
            </w:r>
          </w:p>
          <w:p>
            <w:pPr>
              <w:pStyle w:val="106"/>
              <w:ind w:firstLine="420"/>
              <w:rPr>
                <w:rFonts w:hAnsi="宋体"/>
                <w:color w:val="auto"/>
                <w:sz w:val="21"/>
                <w:szCs w:val="21"/>
                <w:highlight w:val="none"/>
              </w:rPr>
            </w:pPr>
            <w:r>
              <w:rPr>
                <w:rFonts w:hint="eastAsia" w:hAnsi="宋体"/>
                <w:color w:val="auto"/>
                <w:sz w:val="21"/>
                <w:szCs w:val="21"/>
                <w:highlight w:val="none"/>
              </w:rPr>
              <w:t>灯具本体采用乳白聚碳酸酯制成</w:t>
            </w:r>
          </w:p>
          <w:p>
            <w:pPr>
              <w:pStyle w:val="106"/>
              <w:ind w:firstLine="420"/>
              <w:rPr>
                <w:rFonts w:hAnsi="宋体"/>
                <w:color w:val="auto"/>
                <w:sz w:val="21"/>
                <w:szCs w:val="21"/>
                <w:highlight w:val="none"/>
              </w:rPr>
            </w:pPr>
            <w:r>
              <w:rPr>
                <w:rFonts w:hint="eastAsia" w:hAnsi="宋体"/>
                <w:color w:val="auto"/>
                <w:sz w:val="21"/>
                <w:szCs w:val="21"/>
                <w:highlight w:val="none"/>
              </w:rPr>
              <w:t>灯罩采用透明聚碳酸酯制成</w:t>
            </w:r>
          </w:p>
          <w:p>
            <w:pPr>
              <w:pStyle w:val="106"/>
              <w:ind w:firstLine="420"/>
              <w:rPr>
                <w:rFonts w:hAnsi="宋体"/>
                <w:color w:val="auto"/>
                <w:sz w:val="21"/>
                <w:szCs w:val="21"/>
                <w:highlight w:val="none"/>
              </w:rPr>
            </w:pPr>
            <w:r>
              <w:rPr>
                <w:rFonts w:hint="eastAsia" w:hAnsi="宋体"/>
                <w:color w:val="auto"/>
                <w:sz w:val="21"/>
                <w:szCs w:val="21"/>
                <w:highlight w:val="none"/>
              </w:rPr>
              <w:t>不锈钢夹扣和安装托架</w:t>
            </w:r>
          </w:p>
          <w:p>
            <w:pPr>
              <w:pStyle w:val="106"/>
              <w:ind w:firstLine="420"/>
              <w:rPr>
                <w:rFonts w:hAnsi="宋体"/>
                <w:color w:val="auto"/>
                <w:sz w:val="21"/>
                <w:szCs w:val="21"/>
                <w:highlight w:val="none"/>
              </w:rPr>
            </w:pPr>
            <w:r>
              <w:rPr>
                <w:rFonts w:hint="eastAsia" w:hAnsi="宋体"/>
                <w:color w:val="auto"/>
                <w:sz w:val="21"/>
                <w:szCs w:val="21"/>
                <w:highlight w:val="none"/>
              </w:rPr>
              <w:t>抗冲击，耐高温</w:t>
            </w:r>
          </w:p>
          <w:p>
            <w:pPr>
              <w:pStyle w:val="106"/>
              <w:ind w:firstLine="420"/>
              <w:rPr>
                <w:rFonts w:hAnsi="宋体"/>
                <w:color w:val="auto"/>
                <w:sz w:val="21"/>
                <w:szCs w:val="21"/>
                <w:highlight w:val="none"/>
              </w:rPr>
            </w:pPr>
            <w:r>
              <w:rPr>
                <w:rFonts w:hint="eastAsia" w:hAnsi="宋体"/>
                <w:color w:val="auto"/>
                <w:sz w:val="21"/>
                <w:szCs w:val="21"/>
                <w:highlight w:val="none"/>
              </w:rPr>
              <w:t>防护灯级：IP64</w:t>
            </w:r>
          </w:p>
          <w:p>
            <w:pPr>
              <w:pStyle w:val="106"/>
              <w:ind w:firstLine="420"/>
              <w:rPr>
                <w:rFonts w:hAnsi="宋体"/>
                <w:color w:val="auto"/>
                <w:sz w:val="21"/>
                <w:szCs w:val="21"/>
                <w:highlight w:val="none"/>
              </w:rPr>
            </w:pPr>
            <w:r>
              <w:rPr>
                <w:rFonts w:hint="eastAsia" w:hAnsi="宋体"/>
                <w:color w:val="auto"/>
                <w:sz w:val="21"/>
                <w:szCs w:val="21"/>
                <w:highlight w:val="none"/>
              </w:rPr>
              <w:t>2.5 筒灯</w:t>
            </w:r>
          </w:p>
          <w:p>
            <w:pPr>
              <w:pStyle w:val="106"/>
              <w:ind w:firstLine="420"/>
              <w:rPr>
                <w:rFonts w:hAnsi="宋体"/>
                <w:color w:val="auto"/>
                <w:sz w:val="21"/>
                <w:szCs w:val="21"/>
                <w:highlight w:val="none"/>
              </w:rPr>
            </w:pPr>
            <w:r>
              <w:rPr>
                <w:rFonts w:hint="eastAsia" w:hAnsi="宋体"/>
                <w:color w:val="auto"/>
                <w:sz w:val="21"/>
                <w:szCs w:val="21"/>
                <w:highlight w:val="none"/>
              </w:rPr>
              <w:t>灯杯：磨砂电化铝旋压制作，灯杯厚度</w:t>
            </w:r>
            <w:r>
              <w:rPr>
                <w:rFonts w:hAnsi="宋体"/>
                <w:color w:val="auto"/>
                <w:sz w:val="21"/>
                <w:szCs w:val="21"/>
                <w:highlight w:val="none"/>
              </w:rPr>
              <w:t>≥</w:t>
            </w:r>
            <w:r>
              <w:rPr>
                <w:rFonts w:hint="eastAsia" w:hAnsi="宋体"/>
                <w:color w:val="auto"/>
                <w:sz w:val="21"/>
                <w:szCs w:val="21"/>
                <w:highlight w:val="none"/>
              </w:rPr>
              <w:t>1.0mm；面板材料：</w:t>
            </w:r>
            <w:r>
              <w:rPr>
                <w:rFonts w:hAnsi="宋体"/>
                <w:color w:val="auto"/>
                <w:sz w:val="21"/>
                <w:szCs w:val="21"/>
                <w:highlight w:val="none"/>
              </w:rPr>
              <w:t>≥</w:t>
            </w:r>
            <w:r>
              <w:rPr>
                <w:rFonts w:hint="eastAsia" w:hAnsi="宋体"/>
                <w:color w:val="auto"/>
                <w:sz w:val="21"/>
                <w:szCs w:val="21"/>
                <w:highlight w:val="none"/>
              </w:rPr>
              <w:t>0.6mm厚进口优质冷轧钢板；</w:t>
            </w:r>
          </w:p>
          <w:p>
            <w:pPr>
              <w:pStyle w:val="106"/>
              <w:ind w:firstLine="420"/>
              <w:rPr>
                <w:rFonts w:hAnsi="宋体"/>
                <w:color w:val="auto"/>
                <w:sz w:val="21"/>
                <w:szCs w:val="21"/>
                <w:highlight w:val="none"/>
              </w:rPr>
            </w:pPr>
            <w:r>
              <w:rPr>
                <w:rFonts w:hint="eastAsia" w:hAnsi="宋体"/>
                <w:color w:val="auto"/>
                <w:sz w:val="21"/>
                <w:szCs w:val="21"/>
                <w:highlight w:val="none"/>
              </w:rPr>
              <w:t>表面处理：除油、除锈、磷化处理、静电喷塑；灯内接线：名优阻燃电线；</w:t>
            </w:r>
          </w:p>
          <w:p>
            <w:pPr>
              <w:pStyle w:val="106"/>
              <w:ind w:firstLine="420"/>
              <w:rPr>
                <w:rFonts w:hAnsi="宋体"/>
                <w:color w:val="auto"/>
                <w:sz w:val="21"/>
                <w:szCs w:val="21"/>
                <w:highlight w:val="none"/>
              </w:rPr>
            </w:pPr>
            <w:r>
              <w:rPr>
                <w:rFonts w:hint="eastAsia" w:hAnsi="宋体"/>
                <w:color w:val="auto"/>
                <w:sz w:val="21"/>
                <w:szCs w:val="21"/>
                <w:highlight w:val="none"/>
              </w:rPr>
              <w:t>配置电器：电子镇流器；灯管形式：拔插式节能灯管。</w:t>
            </w:r>
          </w:p>
          <w:p>
            <w:pPr>
              <w:pStyle w:val="106"/>
              <w:ind w:firstLine="420"/>
              <w:rPr>
                <w:rFonts w:hAnsi="宋体"/>
                <w:color w:val="auto"/>
                <w:sz w:val="21"/>
                <w:szCs w:val="21"/>
                <w:highlight w:val="none"/>
              </w:rPr>
            </w:pPr>
            <w:r>
              <w:rPr>
                <w:rFonts w:hint="eastAsia" w:hAnsi="宋体"/>
                <w:color w:val="auto"/>
                <w:sz w:val="21"/>
                <w:szCs w:val="21"/>
                <w:highlight w:val="none"/>
              </w:rPr>
              <w:t>2.6吸顶灯</w:t>
            </w:r>
          </w:p>
          <w:p>
            <w:pPr>
              <w:pStyle w:val="106"/>
              <w:ind w:firstLine="420"/>
              <w:rPr>
                <w:rFonts w:hAnsi="宋体"/>
                <w:color w:val="auto"/>
                <w:sz w:val="21"/>
                <w:szCs w:val="21"/>
                <w:highlight w:val="none"/>
              </w:rPr>
            </w:pPr>
            <w:r>
              <w:rPr>
                <w:rFonts w:hint="eastAsia" w:hAnsi="宋体"/>
                <w:color w:val="auto"/>
                <w:sz w:val="21"/>
                <w:szCs w:val="21"/>
                <w:highlight w:val="none"/>
              </w:rPr>
              <w:t>灯罩：采用进口PC或亚克力灯罩，表面经过雾面处理；</w:t>
            </w:r>
          </w:p>
          <w:p>
            <w:pPr>
              <w:pStyle w:val="106"/>
              <w:ind w:firstLine="420"/>
              <w:rPr>
                <w:rFonts w:hAnsi="宋体"/>
                <w:color w:val="auto"/>
                <w:sz w:val="21"/>
                <w:szCs w:val="21"/>
                <w:highlight w:val="none"/>
              </w:rPr>
            </w:pPr>
            <w:r>
              <w:rPr>
                <w:rFonts w:hint="eastAsia" w:hAnsi="宋体"/>
                <w:color w:val="auto"/>
                <w:sz w:val="21"/>
                <w:szCs w:val="21"/>
                <w:highlight w:val="none"/>
              </w:rPr>
              <w:t>底盘：</w:t>
            </w:r>
            <w:r>
              <w:rPr>
                <w:rFonts w:hAnsi="宋体"/>
                <w:color w:val="auto"/>
                <w:sz w:val="21"/>
                <w:szCs w:val="21"/>
                <w:highlight w:val="none"/>
              </w:rPr>
              <w:t>≥</w:t>
            </w:r>
            <w:r>
              <w:rPr>
                <w:rFonts w:hint="eastAsia" w:hAnsi="宋体"/>
                <w:color w:val="auto"/>
                <w:sz w:val="21"/>
                <w:szCs w:val="21"/>
                <w:highlight w:val="none"/>
              </w:rPr>
              <w:t>0.8mm厚喷塑钢板，并配备防尘、防水、防小昆虫的护垫；</w:t>
            </w:r>
          </w:p>
          <w:p>
            <w:pPr>
              <w:pStyle w:val="106"/>
              <w:ind w:firstLine="420"/>
              <w:rPr>
                <w:rFonts w:hAnsi="宋体"/>
                <w:color w:val="auto"/>
                <w:sz w:val="21"/>
                <w:szCs w:val="21"/>
                <w:highlight w:val="none"/>
              </w:rPr>
            </w:pPr>
            <w:r>
              <w:rPr>
                <w:rFonts w:hint="eastAsia" w:hAnsi="宋体"/>
                <w:color w:val="auto"/>
                <w:sz w:val="21"/>
                <w:szCs w:val="21"/>
                <w:highlight w:val="none"/>
              </w:rPr>
              <w:t>灯内接线：名优阻燃电线；配置电器：电子镇流器。</w:t>
            </w:r>
          </w:p>
          <w:p>
            <w:pPr>
              <w:pStyle w:val="106"/>
              <w:ind w:firstLine="420"/>
              <w:rPr>
                <w:rFonts w:hAnsi="宋体"/>
                <w:color w:val="auto"/>
                <w:sz w:val="21"/>
                <w:szCs w:val="21"/>
                <w:highlight w:val="none"/>
              </w:rPr>
            </w:pPr>
            <w:r>
              <w:rPr>
                <w:rFonts w:hint="eastAsia" w:hAnsi="宋体"/>
                <w:color w:val="auto"/>
                <w:sz w:val="21"/>
                <w:szCs w:val="21"/>
                <w:highlight w:val="none"/>
              </w:rPr>
              <w:t>3、电子镇流器</w:t>
            </w:r>
          </w:p>
          <w:p>
            <w:pPr>
              <w:pStyle w:val="106"/>
              <w:ind w:firstLine="420"/>
              <w:rPr>
                <w:rFonts w:hAnsi="宋体"/>
                <w:color w:val="auto"/>
                <w:sz w:val="21"/>
                <w:szCs w:val="21"/>
                <w:highlight w:val="none"/>
              </w:rPr>
            </w:pPr>
            <w:r>
              <w:rPr>
                <w:rFonts w:hint="eastAsia" w:hAnsi="宋体"/>
                <w:color w:val="auto"/>
                <w:sz w:val="21"/>
                <w:szCs w:val="21"/>
                <w:highlight w:val="none"/>
              </w:rPr>
              <w:t>通过EMC电磁抗干扰标准，低谐波奇变对电网无污染；预热起动时间为</w:t>
            </w:r>
            <w:r>
              <w:rPr>
                <w:rFonts w:hAnsi="宋体"/>
                <w:color w:val="auto"/>
                <w:sz w:val="21"/>
                <w:szCs w:val="21"/>
                <w:highlight w:val="none"/>
              </w:rPr>
              <w:t>≤</w:t>
            </w:r>
            <w:r>
              <w:rPr>
                <w:rFonts w:hint="eastAsia" w:hAnsi="宋体"/>
                <w:color w:val="auto"/>
                <w:sz w:val="21"/>
                <w:szCs w:val="21"/>
                <w:highlight w:val="none"/>
              </w:rPr>
              <w:t>3秒；</w:t>
            </w:r>
          </w:p>
          <w:p>
            <w:pPr>
              <w:pStyle w:val="106"/>
              <w:ind w:firstLine="420"/>
              <w:rPr>
                <w:rFonts w:hAnsi="宋体"/>
                <w:color w:val="auto"/>
                <w:sz w:val="21"/>
                <w:szCs w:val="21"/>
                <w:highlight w:val="none"/>
              </w:rPr>
            </w:pPr>
            <w:r>
              <w:rPr>
                <w:rFonts w:hint="eastAsia" w:hAnsi="宋体"/>
                <w:color w:val="auto"/>
                <w:sz w:val="21"/>
                <w:szCs w:val="21"/>
                <w:highlight w:val="none"/>
              </w:rPr>
              <w:t>非预热起动时间</w:t>
            </w:r>
            <w:r>
              <w:rPr>
                <w:rFonts w:hAnsi="宋体"/>
                <w:color w:val="auto"/>
                <w:sz w:val="21"/>
                <w:szCs w:val="21"/>
                <w:highlight w:val="none"/>
              </w:rPr>
              <w:t>≤</w:t>
            </w:r>
            <w:r>
              <w:rPr>
                <w:rFonts w:hint="eastAsia" w:hAnsi="宋体"/>
                <w:color w:val="auto"/>
                <w:sz w:val="21"/>
                <w:szCs w:val="21"/>
                <w:highlight w:val="none"/>
              </w:rPr>
              <w:t>0.1秒；功率因数＞0.95；流明系数＞0.95；使用寿命＞15000小时；</w:t>
            </w:r>
          </w:p>
          <w:p>
            <w:pPr>
              <w:pStyle w:val="106"/>
              <w:ind w:firstLine="420"/>
              <w:rPr>
                <w:rFonts w:hAnsi="宋体"/>
                <w:color w:val="auto"/>
                <w:sz w:val="21"/>
                <w:szCs w:val="21"/>
                <w:highlight w:val="none"/>
              </w:rPr>
            </w:pPr>
            <w:r>
              <w:rPr>
                <w:rFonts w:hint="eastAsia" w:hAnsi="宋体"/>
                <w:color w:val="auto"/>
                <w:sz w:val="21"/>
                <w:szCs w:val="21"/>
                <w:highlight w:val="none"/>
              </w:rPr>
              <w:t>电子镇流器符合GB15143、GB17743、GB/T15144、GB17625.1、 GB17896等国家标准。</w:t>
            </w:r>
          </w:p>
          <w:p>
            <w:pPr>
              <w:pStyle w:val="106"/>
              <w:ind w:firstLine="420"/>
              <w:rPr>
                <w:rFonts w:hAnsi="宋体"/>
                <w:color w:val="auto"/>
                <w:sz w:val="21"/>
                <w:szCs w:val="21"/>
                <w:highlight w:val="none"/>
              </w:rPr>
            </w:pPr>
            <w:r>
              <w:rPr>
                <w:rFonts w:hint="eastAsia" w:hAnsi="宋体"/>
                <w:color w:val="auto"/>
                <w:sz w:val="21"/>
                <w:szCs w:val="21"/>
                <w:highlight w:val="none"/>
              </w:rPr>
              <w:t>4、光源</w:t>
            </w:r>
          </w:p>
          <w:p>
            <w:pPr>
              <w:pStyle w:val="106"/>
              <w:ind w:firstLine="420"/>
              <w:rPr>
                <w:rFonts w:hAnsi="宋体"/>
                <w:color w:val="auto"/>
                <w:sz w:val="21"/>
                <w:szCs w:val="21"/>
                <w:highlight w:val="none"/>
              </w:rPr>
            </w:pPr>
            <w:r>
              <w:rPr>
                <w:rFonts w:hint="eastAsia" w:hAnsi="宋体"/>
                <w:color w:val="auto"/>
                <w:sz w:val="21"/>
                <w:szCs w:val="21"/>
                <w:highlight w:val="none"/>
              </w:rPr>
              <w:t>4.1、符合GB 15039、GB/T 15143、GB/T 15042、GB/T 14094、GB/T 14044、GB/T 15143等中国国家标准及国际标准；</w:t>
            </w:r>
          </w:p>
          <w:p>
            <w:pPr>
              <w:pStyle w:val="106"/>
              <w:ind w:firstLine="420"/>
              <w:rPr>
                <w:rFonts w:hAnsi="宋体"/>
                <w:color w:val="auto"/>
                <w:sz w:val="21"/>
                <w:szCs w:val="21"/>
                <w:highlight w:val="none"/>
              </w:rPr>
            </w:pPr>
            <w:r>
              <w:rPr>
                <w:rFonts w:hint="eastAsia" w:hAnsi="宋体"/>
                <w:color w:val="auto"/>
                <w:sz w:val="21"/>
                <w:szCs w:val="21"/>
                <w:highlight w:val="none"/>
              </w:rPr>
              <w:t>4.2、所有光源必须为同一品牌产品。</w:t>
            </w:r>
          </w:p>
          <w:p>
            <w:pPr>
              <w:pStyle w:val="106"/>
              <w:ind w:firstLine="420"/>
              <w:rPr>
                <w:rFonts w:hAnsi="宋体"/>
                <w:color w:val="auto"/>
                <w:sz w:val="21"/>
                <w:szCs w:val="21"/>
                <w:highlight w:val="none"/>
              </w:rPr>
            </w:pPr>
            <w:r>
              <w:rPr>
                <w:rFonts w:hint="eastAsia" w:hAnsi="宋体"/>
                <w:color w:val="auto"/>
                <w:sz w:val="21"/>
                <w:szCs w:val="21"/>
                <w:highlight w:val="none"/>
              </w:rPr>
              <w:t>6、中标单位在灯具采购订货前必须提供样品供设计、招标人、监理、使用方确认后方可采购。</w:t>
            </w:r>
          </w:p>
        </w:tc>
        <w:tc>
          <w:tcPr>
            <w:tcW w:w="1070" w:type="dxa"/>
            <w:noWrap w:val="0"/>
            <w:vAlign w:val="center"/>
          </w:tcPr>
          <w:p>
            <w:pPr>
              <w:spacing w:line="360" w:lineRule="auto"/>
              <w:ind w:firstLine="420"/>
              <w:rPr>
                <w:rFonts w:ascii="宋体" w:hAnsi="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jc w:val="center"/>
        </w:trPr>
        <w:tc>
          <w:tcPr>
            <w:tcW w:w="708" w:type="dxa"/>
            <w:noWrap w:val="0"/>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8</w:t>
            </w:r>
          </w:p>
        </w:tc>
        <w:tc>
          <w:tcPr>
            <w:tcW w:w="1134" w:type="dxa"/>
            <w:noWrap w:val="0"/>
            <w:vAlign w:val="center"/>
          </w:tcPr>
          <w:p>
            <w:pPr>
              <w:spacing w:line="360" w:lineRule="auto"/>
              <w:rPr>
                <w:rFonts w:hAnsi="宋体"/>
                <w:color w:val="auto"/>
                <w:szCs w:val="21"/>
                <w:highlight w:val="none"/>
              </w:rPr>
            </w:pPr>
            <w:r>
              <w:rPr>
                <w:rFonts w:hint="eastAsia"/>
                <w:color w:val="auto"/>
                <w:szCs w:val="21"/>
                <w:highlight w:val="none"/>
              </w:rPr>
              <w:t>室外景观照明灯（灯具款式参见施工图）</w:t>
            </w:r>
          </w:p>
        </w:tc>
        <w:tc>
          <w:tcPr>
            <w:tcW w:w="6127" w:type="dxa"/>
            <w:noWrap w:val="0"/>
            <w:vAlign w:val="center"/>
          </w:tcPr>
          <w:p>
            <w:pPr>
              <w:spacing w:line="360" w:lineRule="auto"/>
              <w:rPr>
                <w:color w:val="auto"/>
                <w:szCs w:val="21"/>
                <w:highlight w:val="none"/>
              </w:rPr>
            </w:pPr>
            <w:r>
              <w:rPr>
                <w:color w:val="auto"/>
                <w:szCs w:val="21"/>
                <w:highlight w:val="none"/>
              </w:rPr>
              <w:t>1.</w:t>
            </w:r>
            <w:r>
              <w:rPr>
                <w:rFonts w:hint="eastAsia"/>
                <w:color w:val="auto"/>
                <w:szCs w:val="21"/>
                <w:highlight w:val="none"/>
              </w:rPr>
              <w:t>基本要求：</w:t>
            </w:r>
          </w:p>
          <w:p>
            <w:pPr>
              <w:spacing w:line="360" w:lineRule="auto"/>
              <w:rPr>
                <w:color w:val="auto"/>
                <w:szCs w:val="21"/>
                <w:highlight w:val="none"/>
              </w:rPr>
            </w:pPr>
            <w:r>
              <w:rPr>
                <w:rFonts w:hint="eastAsia"/>
                <w:color w:val="auto"/>
                <w:szCs w:val="21"/>
                <w:highlight w:val="none"/>
              </w:rPr>
              <w:t>⑴、每套灯具的导电部分对地绝缘电阻值大于</w:t>
            </w:r>
            <w:r>
              <w:rPr>
                <w:color w:val="auto"/>
                <w:szCs w:val="21"/>
                <w:highlight w:val="none"/>
              </w:rPr>
              <w:t>2M</w:t>
            </w:r>
            <w:r>
              <w:rPr>
                <w:rFonts w:hint="eastAsia"/>
                <w:color w:val="auto"/>
                <w:szCs w:val="21"/>
                <w:highlight w:val="none"/>
              </w:rPr>
              <w:t>Ω；</w:t>
            </w:r>
          </w:p>
          <w:p>
            <w:pPr>
              <w:spacing w:line="360" w:lineRule="auto"/>
              <w:rPr>
                <w:color w:val="auto"/>
                <w:szCs w:val="21"/>
                <w:highlight w:val="none"/>
              </w:rPr>
            </w:pPr>
            <w:r>
              <w:rPr>
                <w:rFonts w:hint="eastAsia"/>
                <w:color w:val="auto"/>
                <w:szCs w:val="21"/>
                <w:highlight w:val="none"/>
              </w:rPr>
              <w:t>⑵、在人行道等人员来往密集场所安装的落地式灯具，无围栏防护，安装高度距地面</w:t>
            </w:r>
            <w:r>
              <w:rPr>
                <w:color w:val="auto"/>
                <w:szCs w:val="21"/>
                <w:highlight w:val="none"/>
              </w:rPr>
              <w:t>2.5m</w:t>
            </w:r>
            <w:r>
              <w:rPr>
                <w:rFonts w:hint="eastAsia"/>
                <w:color w:val="auto"/>
                <w:szCs w:val="21"/>
                <w:highlight w:val="none"/>
              </w:rPr>
              <w:t>以上；</w:t>
            </w:r>
          </w:p>
          <w:p>
            <w:pPr>
              <w:spacing w:line="360" w:lineRule="auto"/>
              <w:rPr>
                <w:color w:val="auto"/>
                <w:szCs w:val="21"/>
                <w:highlight w:val="none"/>
              </w:rPr>
            </w:pPr>
            <w:r>
              <w:rPr>
                <w:rFonts w:hint="eastAsia"/>
                <w:color w:val="auto"/>
                <w:szCs w:val="21"/>
                <w:highlight w:val="none"/>
              </w:rPr>
              <w:t>⑶、金属立柱及灯具的可接近裸露导体及金属软管的接地（</w:t>
            </w:r>
            <w:r>
              <w:rPr>
                <w:color w:val="auto"/>
                <w:szCs w:val="21"/>
                <w:highlight w:val="none"/>
              </w:rPr>
              <w:t>PE</w:t>
            </w:r>
            <w:r>
              <w:rPr>
                <w:rFonts w:hint="eastAsia"/>
                <w:color w:val="auto"/>
                <w:szCs w:val="21"/>
                <w:highlight w:val="none"/>
              </w:rPr>
              <w:t>）或接零（</w:t>
            </w:r>
            <w:r>
              <w:rPr>
                <w:color w:val="auto"/>
                <w:szCs w:val="21"/>
                <w:highlight w:val="none"/>
              </w:rPr>
              <w:t>PEN</w:t>
            </w:r>
            <w:r>
              <w:rPr>
                <w:rFonts w:hint="eastAsia"/>
                <w:color w:val="auto"/>
                <w:szCs w:val="21"/>
                <w:highlight w:val="none"/>
              </w:rPr>
              <w:t>）可靠。接地线单设干线，干线沿灯具布置位置形成环网状，且不小于</w:t>
            </w:r>
            <w:r>
              <w:rPr>
                <w:color w:val="auto"/>
                <w:szCs w:val="21"/>
                <w:highlight w:val="none"/>
              </w:rPr>
              <w:t>2</w:t>
            </w:r>
            <w:r>
              <w:rPr>
                <w:rFonts w:hint="eastAsia"/>
                <w:color w:val="auto"/>
                <w:szCs w:val="21"/>
                <w:highlight w:val="none"/>
              </w:rPr>
              <w:t>处与接地装置引出线连接。由干线引出支线与金属灯柱及灯具的接地端子连接，且有标识；</w:t>
            </w:r>
          </w:p>
          <w:p>
            <w:pPr>
              <w:spacing w:line="360" w:lineRule="auto"/>
              <w:rPr>
                <w:color w:val="auto"/>
                <w:szCs w:val="21"/>
                <w:highlight w:val="none"/>
              </w:rPr>
            </w:pPr>
            <w:r>
              <w:rPr>
                <w:rFonts w:hint="eastAsia"/>
                <w:color w:val="auto"/>
                <w:szCs w:val="21"/>
                <w:highlight w:val="none"/>
              </w:rPr>
              <w:t>⑷、灯具与基础固定可靠，地脚螺栓拧紧，备帽齐全；灯具的螺栓紧固、无遗漏；外露的电线、电缆应有柔性金属导管保护；灯具的接线盒或溶断器盒，盒盖的防水密封垫完整；</w:t>
            </w:r>
          </w:p>
          <w:p>
            <w:pPr>
              <w:spacing w:line="360" w:lineRule="auto"/>
              <w:rPr>
                <w:color w:val="auto"/>
                <w:szCs w:val="21"/>
                <w:highlight w:val="none"/>
              </w:rPr>
            </w:pPr>
            <w:r>
              <w:rPr>
                <w:rFonts w:hint="eastAsia"/>
                <w:color w:val="auto"/>
                <w:szCs w:val="21"/>
                <w:highlight w:val="none"/>
              </w:rPr>
              <w:t>⑸、灯具的自动通、断电源控制装置动作准确，每套灯具熔断器盒内熔丝签全，规格与灯具适配；</w:t>
            </w:r>
          </w:p>
          <w:p>
            <w:pPr>
              <w:spacing w:line="360" w:lineRule="auto"/>
              <w:rPr>
                <w:color w:val="auto"/>
                <w:szCs w:val="21"/>
                <w:highlight w:val="none"/>
              </w:rPr>
            </w:pPr>
            <w:r>
              <w:rPr>
                <w:rFonts w:hint="eastAsia"/>
                <w:color w:val="auto"/>
                <w:szCs w:val="21"/>
                <w:highlight w:val="none"/>
              </w:rPr>
              <w:t>⑹、安装在室外的壁灯应有泄水孔，绝缘台与墙面之间应有防水措施；</w:t>
            </w:r>
          </w:p>
          <w:p>
            <w:pPr>
              <w:spacing w:line="360" w:lineRule="auto"/>
              <w:rPr>
                <w:color w:val="auto"/>
                <w:szCs w:val="21"/>
                <w:highlight w:val="none"/>
              </w:rPr>
            </w:pPr>
            <w:r>
              <w:rPr>
                <w:rFonts w:hint="eastAsia"/>
                <w:color w:val="auto"/>
                <w:szCs w:val="21"/>
                <w:highlight w:val="none"/>
              </w:rPr>
              <w:t>⑺、所有灯具应满足室外全天候防水防尘防风等级要求。</w:t>
            </w:r>
          </w:p>
          <w:p>
            <w:pPr>
              <w:spacing w:line="360" w:lineRule="auto"/>
              <w:rPr>
                <w:color w:val="auto"/>
                <w:szCs w:val="21"/>
                <w:highlight w:val="none"/>
              </w:rPr>
            </w:pPr>
            <w:r>
              <w:rPr>
                <w:color w:val="auto"/>
                <w:szCs w:val="21"/>
                <w:highlight w:val="none"/>
              </w:rPr>
              <w:t>2.</w:t>
            </w:r>
            <w:r>
              <w:rPr>
                <w:rFonts w:hint="eastAsia"/>
                <w:color w:val="auto"/>
                <w:szCs w:val="21"/>
                <w:highlight w:val="none"/>
              </w:rPr>
              <w:t>如没特殊说明，光源、电子镇流器及灯具的技术要求和参考品牌同普通灯具。</w:t>
            </w:r>
          </w:p>
          <w:p>
            <w:pPr>
              <w:spacing w:line="360" w:lineRule="auto"/>
              <w:rPr>
                <w:color w:val="auto"/>
                <w:szCs w:val="21"/>
                <w:highlight w:val="none"/>
              </w:rPr>
            </w:pPr>
            <w:r>
              <w:rPr>
                <w:color w:val="auto"/>
                <w:szCs w:val="21"/>
                <w:highlight w:val="none"/>
              </w:rPr>
              <w:t>3.LED</w:t>
            </w:r>
            <w:r>
              <w:rPr>
                <w:rFonts w:hint="eastAsia"/>
                <w:color w:val="auto"/>
                <w:szCs w:val="21"/>
                <w:highlight w:val="none"/>
              </w:rPr>
              <w:t>灯具生产厂家须有</w:t>
            </w:r>
            <w:r>
              <w:rPr>
                <w:color w:val="auto"/>
                <w:szCs w:val="21"/>
                <w:highlight w:val="none"/>
              </w:rPr>
              <w:t>LED</w:t>
            </w:r>
            <w:r>
              <w:rPr>
                <w:rFonts w:hint="eastAsia"/>
                <w:color w:val="auto"/>
                <w:szCs w:val="21"/>
                <w:highlight w:val="none"/>
              </w:rPr>
              <w:t>照明产品的</w:t>
            </w:r>
            <w:r>
              <w:rPr>
                <w:color w:val="auto"/>
                <w:szCs w:val="21"/>
                <w:highlight w:val="none"/>
              </w:rPr>
              <w:t>3C</w:t>
            </w:r>
            <w:r>
              <w:rPr>
                <w:rFonts w:hint="eastAsia"/>
                <w:color w:val="auto"/>
                <w:szCs w:val="21"/>
                <w:highlight w:val="none"/>
              </w:rPr>
              <w:t>或</w:t>
            </w:r>
            <w:r>
              <w:rPr>
                <w:color w:val="auto"/>
                <w:szCs w:val="21"/>
                <w:highlight w:val="none"/>
              </w:rPr>
              <w:t>CQC</w:t>
            </w:r>
            <w:r>
              <w:rPr>
                <w:rFonts w:hint="eastAsia"/>
                <w:color w:val="auto"/>
                <w:szCs w:val="21"/>
                <w:highlight w:val="none"/>
              </w:rPr>
              <w:t>认证证书。</w:t>
            </w:r>
          </w:p>
          <w:p>
            <w:pPr>
              <w:spacing w:line="360" w:lineRule="auto"/>
              <w:rPr>
                <w:color w:val="auto"/>
                <w:szCs w:val="21"/>
                <w:highlight w:val="none"/>
              </w:rPr>
            </w:pPr>
            <w:r>
              <w:rPr>
                <w:color w:val="auto"/>
                <w:szCs w:val="21"/>
                <w:highlight w:val="none"/>
              </w:rPr>
              <w:t>4.LED</w:t>
            </w:r>
            <w:r>
              <w:rPr>
                <w:rFonts w:hint="eastAsia"/>
                <w:color w:val="auto"/>
                <w:szCs w:val="21"/>
                <w:highlight w:val="none"/>
              </w:rPr>
              <w:t>灯具散热设计必须为结构性散热，不得使用加装散热扇等主动散热方式。</w:t>
            </w:r>
          </w:p>
          <w:p>
            <w:pPr>
              <w:spacing w:line="360" w:lineRule="auto"/>
              <w:rPr>
                <w:color w:val="auto"/>
                <w:szCs w:val="21"/>
                <w:highlight w:val="none"/>
              </w:rPr>
            </w:pPr>
            <w:r>
              <w:rPr>
                <w:color w:val="auto"/>
                <w:szCs w:val="21"/>
                <w:highlight w:val="none"/>
              </w:rPr>
              <w:t>5.LED</w:t>
            </w:r>
            <w:r>
              <w:rPr>
                <w:rFonts w:hint="eastAsia"/>
                <w:color w:val="auto"/>
                <w:szCs w:val="21"/>
                <w:highlight w:val="none"/>
              </w:rPr>
              <w:t>应采用先进封装技术，不得采用直插引脚式封装。封装材料应具有高穿透率、高导热率、耐高温、耐日光辐射和抗潮湿，不得采用环氧树脂作为封装材料或透镜材料。</w:t>
            </w:r>
            <w:r>
              <w:rPr>
                <w:color w:val="auto"/>
                <w:szCs w:val="21"/>
                <w:highlight w:val="none"/>
              </w:rPr>
              <w:t>LED</w:t>
            </w:r>
            <w:r>
              <w:rPr>
                <w:rFonts w:hint="eastAsia"/>
                <w:color w:val="auto"/>
                <w:szCs w:val="21"/>
                <w:highlight w:val="none"/>
              </w:rPr>
              <w:t>应无铅、符合欧盟</w:t>
            </w:r>
            <w:r>
              <w:rPr>
                <w:color w:val="auto"/>
                <w:szCs w:val="21"/>
                <w:highlight w:val="none"/>
              </w:rPr>
              <w:t>Rohs</w:t>
            </w:r>
            <w:r>
              <w:rPr>
                <w:rFonts w:hint="eastAsia"/>
                <w:color w:val="auto"/>
                <w:szCs w:val="21"/>
                <w:highlight w:val="none"/>
              </w:rPr>
              <w:t>标准。</w:t>
            </w:r>
          </w:p>
          <w:p>
            <w:pPr>
              <w:spacing w:line="360" w:lineRule="auto"/>
              <w:rPr>
                <w:color w:val="auto"/>
                <w:szCs w:val="21"/>
                <w:highlight w:val="none"/>
              </w:rPr>
            </w:pPr>
            <w:r>
              <w:rPr>
                <w:color w:val="auto"/>
                <w:szCs w:val="21"/>
                <w:highlight w:val="none"/>
              </w:rPr>
              <w:t>6.LED</w:t>
            </w:r>
            <w:r>
              <w:rPr>
                <w:rFonts w:hint="eastAsia"/>
                <w:color w:val="auto"/>
                <w:szCs w:val="21"/>
                <w:highlight w:val="none"/>
              </w:rPr>
              <w:t>的使用寿命（光通量降至初始的</w:t>
            </w:r>
            <w:r>
              <w:rPr>
                <w:color w:val="auto"/>
                <w:szCs w:val="21"/>
                <w:highlight w:val="none"/>
              </w:rPr>
              <w:t>70%</w:t>
            </w:r>
            <w:r>
              <w:rPr>
                <w:rFonts w:hint="eastAsia"/>
                <w:color w:val="auto"/>
                <w:szCs w:val="21"/>
                <w:highlight w:val="none"/>
              </w:rPr>
              <w:t>的燃点时间）不低于</w:t>
            </w:r>
            <w:r>
              <w:rPr>
                <w:color w:val="auto"/>
                <w:szCs w:val="21"/>
                <w:highlight w:val="none"/>
              </w:rPr>
              <w:t>5</w:t>
            </w:r>
            <w:r>
              <w:rPr>
                <w:rFonts w:hint="eastAsia"/>
                <w:color w:val="auto"/>
                <w:szCs w:val="21"/>
                <w:highlight w:val="none"/>
              </w:rPr>
              <w:t>万小时。点亮</w:t>
            </w:r>
            <w:r>
              <w:rPr>
                <w:color w:val="auto"/>
                <w:szCs w:val="21"/>
                <w:highlight w:val="none"/>
              </w:rPr>
              <w:t>1000</w:t>
            </w:r>
            <w:r>
              <w:rPr>
                <w:rFonts w:hint="eastAsia"/>
                <w:color w:val="auto"/>
                <w:szCs w:val="21"/>
                <w:highlight w:val="none"/>
              </w:rPr>
              <w:t>小时的光衰应不大于</w:t>
            </w:r>
            <w:r>
              <w:rPr>
                <w:color w:val="auto"/>
                <w:szCs w:val="21"/>
                <w:highlight w:val="none"/>
              </w:rPr>
              <w:t>5%</w:t>
            </w:r>
            <w:r>
              <w:rPr>
                <w:rFonts w:hint="eastAsia"/>
                <w:color w:val="auto"/>
                <w:szCs w:val="21"/>
                <w:highlight w:val="none"/>
              </w:rPr>
              <w:t>，点亮</w:t>
            </w:r>
            <w:r>
              <w:rPr>
                <w:color w:val="auto"/>
                <w:szCs w:val="21"/>
                <w:highlight w:val="none"/>
              </w:rPr>
              <w:t>4000</w:t>
            </w:r>
            <w:r>
              <w:rPr>
                <w:rFonts w:hint="eastAsia"/>
                <w:color w:val="auto"/>
                <w:szCs w:val="21"/>
                <w:highlight w:val="none"/>
              </w:rPr>
              <w:t>小时的光衰应不大于</w:t>
            </w:r>
            <w:r>
              <w:rPr>
                <w:color w:val="auto"/>
                <w:szCs w:val="21"/>
                <w:highlight w:val="none"/>
              </w:rPr>
              <w:t>10%</w:t>
            </w:r>
            <w:r>
              <w:rPr>
                <w:rFonts w:hint="eastAsia"/>
                <w:color w:val="auto"/>
                <w:szCs w:val="21"/>
                <w:highlight w:val="none"/>
              </w:rPr>
              <w:t>，点亮</w:t>
            </w:r>
            <w:r>
              <w:rPr>
                <w:color w:val="auto"/>
                <w:szCs w:val="21"/>
                <w:highlight w:val="none"/>
              </w:rPr>
              <w:t>50000</w:t>
            </w:r>
            <w:r>
              <w:rPr>
                <w:rFonts w:hint="eastAsia"/>
                <w:color w:val="auto"/>
                <w:szCs w:val="21"/>
                <w:highlight w:val="none"/>
              </w:rPr>
              <w:t>小时的色温偏移不大于</w:t>
            </w:r>
            <w:r>
              <w:rPr>
                <w:color w:val="auto"/>
                <w:szCs w:val="21"/>
                <w:highlight w:val="none"/>
              </w:rPr>
              <w:t>30%</w:t>
            </w:r>
            <w:r>
              <w:rPr>
                <w:rFonts w:hint="eastAsia"/>
                <w:color w:val="auto"/>
                <w:szCs w:val="21"/>
                <w:highlight w:val="none"/>
              </w:rPr>
              <w:t>。当环境温度为</w:t>
            </w:r>
            <w:r>
              <w:rPr>
                <w:color w:val="auto"/>
                <w:szCs w:val="21"/>
                <w:highlight w:val="none"/>
              </w:rPr>
              <w:t>30</w:t>
            </w:r>
            <w:r>
              <w:rPr>
                <w:rFonts w:hint="eastAsia"/>
                <w:color w:val="auto"/>
                <w:szCs w:val="21"/>
                <w:highlight w:val="none"/>
              </w:rPr>
              <w:t>℃、</w:t>
            </w:r>
            <w:r>
              <w:rPr>
                <w:color w:val="auto"/>
                <w:szCs w:val="21"/>
                <w:highlight w:val="none"/>
              </w:rPr>
              <w:t>LED</w:t>
            </w:r>
            <w:r>
              <w:rPr>
                <w:rFonts w:hint="eastAsia"/>
                <w:color w:val="auto"/>
                <w:szCs w:val="21"/>
                <w:highlight w:val="none"/>
              </w:rPr>
              <w:t>照明装置额定工况下且温升稳定后，</w:t>
            </w:r>
            <w:r>
              <w:rPr>
                <w:color w:val="auto"/>
                <w:szCs w:val="21"/>
                <w:highlight w:val="none"/>
              </w:rPr>
              <w:t>LED</w:t>
            </w:r>
            <w:r>
              <w:rPr>
                <w:rFonts w:hint="eastAsia"/>
                <w:color w:val="auto"/>
                <w:szCs w:val="21"/>
                <w:highlight w:val="none"/>
              </w:rPr>
              <w:t>芯片散热板表面温度不得高于</w:t>
            </w:r>
            <w:r>
              <w:rPr>
                <w:color w:val="auto"/>
                <w:szCs w:val="21"/>
                <w:highlight w:val="none"/>
              </w:rPr>
              <w:t>60</w:t>
            </w:r>
            <w:r>
              <w:rPr>
                <w:rFonts w:hint="eastAsia"/>
                <w:color w:val="auto"/>
                <w:szCs w:val="21"/>
                <w:highlight w:val="none"/>
              </w:rPr>
              <w:t>℃，</w:t>
            </w:r>
            <w:r>
              <w:rPr>
                <w:color w:val="auto"/>
                <w:szCs w:val="21"/>
                <w:highlight w:val="none"/>
              </w:rPr>
              <w:t>LED</w:t>
            </w:r>
            <w:r>
              <w:rPr>
                <w:rFonts w:hint="eastAsia"/>
                <w:color w:val="auto"/>
                <w:szCs w:val="21"/>
                <w:highlight w:val="none"/>
              </w:rPr>
              <w:t>芯片</w:t>
            </w:r>
            <w:r>
              <w:rPr>
                <w:color w:val="auto"/>
                <w:szCs w:val="21"/>
                <w:highlight w:val="none"/>
              </w:rPr>
              <w:t>PN</w:t>
            </w:r>
            <w:r>
              <w:rPr>
                <w:rFonts w:hint="eastAsia"/>
                <w:color w:val="auto"/>
                <w:szCs w:val="21"/>
                <w:highlight w:val="none"/>
              </w:rPr>
              <w:t>结温度不得高于</w:t>
            </w:r>
            <w:r>
              <w:rPr>
                <w:color w:val="auto"/>
                <w:szCs w:val="21"/>
                <w:highlight w:val="none"/>
              </w:rPr>
              <w:t>100</w:t>
            </w:r>
            <w:r>
              <w:rPr>
                <w:rFonts w:hint="eastAsia"/>
                <w:color w:val="auto"/>
                <w:szCs w:val="21"/>
                <w:highlight w:val="none"/>
              </w:rPr>
              <w:t>℃。</w:t>
            </w:r>
          </w:p>
          <w:p>
            <w:pPr>
              <w:spacing w:line="360" w:lineRule="auto"/>
              <w:rPr>
                <w:color w:val="auto"/>
                <w:szCs w:val="21"/>
                <w:highlight w:val="none"/>
              </w:rPr>
            </w:pPr>
            <w:r>
              <w:rPr>
                <w:color w:val="auto"/>
                <w:szCs w:val="21"/>
                <w:highlight w:val="none"/>
              </w:rPr>
              <w:t>7.</w:t>
            </w:r>
            <w:r>
              <w:rPr>
                <w:rFonts w:hint="eastAsia"/>
                <w:color w:val="auto"/>
                <w:szCs w:val="21"/>
                <w:highlight w:val="none"/>
              </w:rPr>
              <w:t>驱动电源：适合</w:t>
            </w:r>
            <w:r>
              <w:rPr>
                <w:color w:val="auto"/>
                <w:szCs w:val="21"/>
                <w:highlight w:val="none"/>
              </w:rPr>
              <w:t>180V</w:t>
            </w:r>
            <w:r>
              <w:rPr>
                <w:rFonts w:hint="eastAsia"/>
                <w:color w:val="auto"/>
                <w:szCs w:val="21"/>
                <w:highlight w:val="none"/>
              </w:rPr>
              <w:t>～</w:t>
            </w:r>
            <w:r>
              <w:rPr>
                <w:color w:val="auto"/>
                <w:szCs w:val="21"/>
                <w:highlight w:val="none"/>
              </w:rPr>
              <w:t>240V</w:t>
            </w:r>
            <w:r>
              <w:rPr>
                <w:rFonts w:hint="eastAsia"/>
                <w:color w:val="auto"/>
                <w:szCs w:val="21"/>
                <w:highlight w:val="none"/>
              </w:rPr>
              <w:t>的交流电源，输出直流电压与</w:t>
            </w:r>
            <w:r>
              <w:rPr>
                <w:color w:val="auto"/>
                <w:szCs w:val="21"/>
                <w:highlight w:val="none"/>
              </w:rPr>
              <w:t>LED</w:t>
            </w:r>
            <w:r>
              <w:rPr>
                <w:rFonts w:hint="eastAsia"/>
                <w:color w:val="auto"/>
                <w:szCs w:val="21"/>
                <w:highlight w:val="none"/>
              </w:rPr>
              <w:t>负载相匹配，并为</w:t>
            </w:r>
            <w:r>
              <w:rPr>
                <w:color w:val="auto"/>
                <w:szCs w:val="21"/>
                <w:highlight w:val="none"/>
              </w:rPr>
              <w:t>LED</w:t>
            </w:r>
            <w:r>
              <w:rPr>
                <w:rFonts w:hint="eastAsia"/>
                <w:color w:val="auto"/>
                <w:szCs w:val="21"/>
                <w:highlight w:val="none"/>
              </w:rPr>
              <w:t>提供恒定直流电流驱动。基本要求如下：能输出恒定电流，使各个</w:t>
            </w:r>
            <w:r>
              <w:rPr>
                <w:color w:val="auto"/>
                <w:szCs w:val="21"/>
                <w:highlight w:val="none"/>
              </w:rPr>
              <w:t>LED</w:t>
            </w:r>
            <w:r>
              <w:rPr>
                <w:rFonts w:hint="eastAsia"/>
                <w:color w:val="auto"/>
                <w:szCs w:val="21"/>
                <w:highlight w:val="none"/>
              </w:rPr>
              <w:t>的电流相匹配，以保持各个</w:t>
            </w:r>
            <w:r>
              <w:rPr>
                <w:color w:val="auto"/>
                <w:szCs w:val="21"/>
                <w:highlight w:val="none"/>
              </w:rPr>
              <w:t>LED</w:t>
            </w:r>
            <w:r>
              <w:rPr>
                <w:rFonts w:hint="eastAsia"/>
                <w:color w:val="auto"/>
                <w:szCs w:val="21"/>
                <w:highlight w:val="none"/>
              </w:rPr>
              <w:t>的亮度均匀一致；功率转换效率达</w:t>
            </w:r>
            <w:r>
              <w:rPr>
                <w:color w:val="auto"/>
                <w:szCs w:val="21"/>
                <w:highlight w:val="none"/>
              </w:rPr>
              <w:t>85%</w:t>
            </w:r>
            <w:r>
              <w:rPr>
                <w:rFonts w:hint="eastAsia"/>
                <w:color w:val="auto"/>
                <w:szCs w:val="21"/>
                <w:highlight w:val="none"/>
              </w:rPr>
              <w:t>以上；</w:t>
            </w:r>
            <w:r>
              <w:rPr>
                <w:color w:val="auto"/>
                <w:szCs w:val="21"/>
                <w:highlight w:val="none"/>
              </w:rPr>
              <w:t>LED</w:t>
            </w:r>
            <w:r>
              <w:rPr>
                <w:rFonts w:hint="eastAsia"/>
                <w:color w:val="auto"/>
                <w:szCs w:val="21"/>
                <w:highlight w:val="none"/>
              </w:rPr>
              <w:t>的最大电流可以设定；具有短路、过负荷、过压、输出开路保护、输入输出隔离、熔丝保护功能；经久耐用，不低于</w:t>
            </w:r>
            <w:r>
              <w:rPr>
                <w:color w:val="auto"/>
                <w:szCs w:val="21"/>
                <w:highlight w:val="none"/>
              </w:rPr>
              <w:t>3</w:t>
            </w:r>
            <w:r>
              <w:rPr>
                <w:rFonts w:hint="eastAsia"/>
                <w:color w:val="auto"/>
                <w:szCs w:val="21"/>
                <w:highlight w:val="none"/>
              </w:rPr>
              <w:t>年的使用寿命，无内置风扇；采用工业等级的高质量元件，电容等元件的使用寿命不低于</w:t>
            </w:r>
            <w:r>
              <w:rPr>
                <w:color w:val="auto"/>
                <w:szCs w:val="21"/>
                <w:highlight w:val="none"/>
              </w:rPr>
              <w:t>5</w:t>
            </w:r>
            <w:r>
              <w:rPr>
                <w:rFonts w:hint="eastAsia"/>
                <w:color w:val="auto"/>
                <w:szCs w:val="21"/>
                <w:highlight w:val="none"/>
              </w:rPr>
              <w:t>年；对其它电路的干扰小；功率因数</w:t>
            </w:r>
            <w:r>
              <w:rPr>
                <w:color w:val="auto"/>
                <w:szCs w:val="21"/>
                <w:highlight w:val="none"/>
              </w:rPr>
              <w:t>&gt;0.9</w:t>
            </w:r>
            <w:r>
              <w:rPr>
                <w:rFonts w:hint="eastAsia"/>
                <w:color w:val="auto"/>
                <w:szCs w:val="21"/>
                <w:highlight w:val="none"/>
              </w:rPr>
              <w:t>，总谐波失真</w:t>
            </w:r>
            <w:r>
              <w:rPr>
                <w:color w:val="auto"/>
                <w:szCs w:val="21"/>
                <w:highlight w:val="none"/>
              </w:rPr>
              <w:t xml:space="preserve">&lt;10% </w:t>
            </w:r>
            <w:r>
              <w:rPr>
                <w:rFonts w:hint="eastAsia"/>
                <w:color w:val="auto"/>
                <w:szCs w:val="21"/>
                <w:highlight w:val="none"/>
              </w:rPr>
              <w:t>；具有如</w:t>
            </w:r>
            <w:r>
              <w:rPr>
                <w:color w:val="auto"/>
                <w:szCs w:val="21"/>
                <w:highlight w:val="none"/>
              </w:rPr>
              <w:t>CE</w:t>
            </w:r>
            <w:r>
              <w:rPr>
                <w:rFonts w:hint="eastAsia"/>
                <w:color w:val="auto"/>
                <w:szCs w:val="21"/>
                <w:highlight w:val="none"/>
              </w:rPr>
              <w:t>、</w:t>
            </w:r>
            <w:r>
              <w:rPr>
                <w:color w:val="auto"/>
                <w:szCs w:val="21"/>
                <w:highlight w:val="none"/>
              </w:rPr>
              <w:t>UL</w:t>
            </w:r>
            <w:r>
              <w:rPr>
                <w:rFonts w:hint="eastAsia"/>
                <w:color w:val="auto"/>
                <w:szCs w:val="21"/>
                <w:highlight w:val="none"/>
              </w:rPr>
              <w:t>、</w:t>
            </w:r>
            <w:r>
              <w:rPr>
                <w:color w:val="auto"/>
                <w:szCs w:val="21"/>
                <w:highlight w:val="none"/>
              </w:rPr>
              <w:t>CQC</w:t>
            </w:r>
            <w:r>
              <w:rPr>
                <w:rFonts w:hint="eastAsia"/>
                <w:color w:val="auto"/>
                <w:szCs w:val="21"/>
                <w:highlight w:val="none"/>
              </w:rPr>
              <w:t>的产品认证；提供驱动电源配置优化方案。</w:t>
            </w:r>
          </w:p>
          <w:p>
            <w:pPr>
              <w:spacing w:line="360" w:lineRule="auto"/>
              <w:rPr>
                <w:color w:val="auto"/>
                <w:szCs w:val="21"/>
                <w:highlight w:val="none"/>
              </w:rPr>
            </w:pPr>
            <w:r>
              <w:rPr>
                <w:color w:val="auto"/>
                <w:szCs w:val="21"/>
                <w:highlight w:val="none"/>
              </w:rPr>
              <w:t>8.</w:t>
            </w:r>
            <w:r>
              <w:rPr>
                <w:rFonts w:hint="eastAsia"/>
                <w:color w:val="auto"/>
                <w:szCs w:val="21"/>
                <w:highlight w:val="none"/>
              </w:rPr>
              <w:t>灯具内导线规格应与负载相匹配并适应短时冲击电流。</w:t>
            </w:r>
          </w:p>
          <w:p>
            <w:pPr>
              <w:spacing w:line="360" w:lineRule="auto"/>
              <w:rPr>
                <w:color w:val="auto"/>
                <w:szCs w:val="21"/>
                <w:highlight w:val="none"/>
              </w:rPr>
            </w:pPr>
            <w:r>
              <w:rPr>
                <w:color w:val="auto"/>
                <w:szCs w:val="21"/>
                <w:highlight w:val="none"/>
              </w:rPr>
              <w:t>9.</w:t>
            </w:r>
            <w:r>
              <w:rPr>
                <w:rFonts w:hint="eastAsia"/>
                <w:color w:val="auto"/>
                <w:szCs w:val="21"/>
                <w:highlight w:val="none"/>
              </w:rPr>
              <w:t>灯具应耐潮、耐腐蚀、防静电吸尘，电子元器件均为工业使用等级类，所有金属构件、配件均按照相关规定进行防锈、防腐蚀、防火处理。</w:t>
            </w:r>
          </w:p>
          <w:p>
            <w:pPr>
              <w:spacing w:line="360" w:lineRule="auto"/>
              <w:rPr>
                <w:color w:val="auto"/>
                <w:szCs w:val="21"/>
                <w:highlight w:val="none"/>
              </w:rPr>
            </w:pPr>
            <w:r>
              <w:rPr>
                <w:color w:val="auto"/>
                <w:szCs w:val="21"/>
                <w:highlight w:val="none"/>
              </w:rPr>
              <w:t>10.</w:t>
            </w:r>
            <w:r>
              <w:rPr>
                <w:rFonts w:hint="eastAsia"/>
                <w:color w:val="auto"/>
                <w:szCs w:val="21"/>
                <w:highlight w:val="none"/>
              </w:rPr>
              <w:t>灯具有国家电光源检测中心（北京或上海）出具的检测报告。</w:t>
            </w:r>
          </w:p>
          <w:p>
            <w:pPr>
              <w:spacing w:line="360" w:lineRule="auto"/>
              <w:rPr>
                <w:color w:val="auto"/>
                <w:szCs w:val="21"/>
                <w:highlight w:val="none"/>
              </w:rPr>
            </w:pPr>
            <w:r>
              <w:rPr>
                <w:color w:val="auto"/>
                <w:szCs w:val="21"/>
                <w:highlight w:val="none"/>
              </w:rPr>
              <w:t>11.</w:t>
            </w:r>
            <w:r>
              <w:rPr>
                <w:rFonts w:hint="eastAsia"/>
                <w:color w:val="auto"/>
                <w:szCs w:val="21"/>
                <w:highlight w:val="none"/>
              </w:rPr>
              <w:t>路灯、矮柱灯、吸柱</w:t>
            </w:r>
            <w:r>
              <w:rPr>
                <w:color w:val="auto"/>
                <w:szCs w:val="21"/>
                <w:highlight w:val="none"/>
              </w:rPr>
              <w:t>/</w:t>
            </w:r>
            <w:r>
              <w:rPr>
                <w:rFonts w:hint="eastAsia"/>
                <w:color w:val="auto"/>
                <w:szCs w:val="21"/>
                <w:highlight w:val="none"/>
              </w:rPr>
              <w:t>吸墙灯、照树灯、</w:t>
            </w:r>
            <w:r>
              <w:rPr>
                <w:color w:val="auto"/>
                <w:szCs w:val="21"/>
                <w:highlight w:val="none"/>
              </w:rPr>
              <w:t>LED</w:t>
            </w:r>
            <w:r>
              <w:rPr>
                <w:rFonts w:hint="eastAsia"/>
                <w:color w:val="auto"/>
                <w:szCs w:val="21"/>
                <w:highlight w:val="none"/>
              </w:rPr>
              <w:t>灯带等具体参数、外形详见图纸。</w:t>
            </w:r>
          </w:p>
          <w:p>
            <w:pPr>
              <w:spacing w:line="360" w:lineRule="auto"/>
              <w:rPr>
                <w:rFonts w:hAnsi="宋体"/>
                <w:color w:val="auto"/>
                <w:szCs w:val="21"/>
                <w:highlight w:val="none"/>
              </w:rPr>
            </w:pPr>
            <w:r>
              <w:rPr>
                <w:rFonts w:hint="eastAsia"/>
                <w:color w:val="auto"/>
                <w:szCs w:val="21"/>
                <w:highlight w:val="none"/>
              </w:rPr>
              <w:t>12、所有灯具订货前必须提供样品供设计、招标人、监理、使用方书面确认后方可采购。</w:t>
            </w:r>
          </w:p>
        </w:tc>
        <w:tc>
          <w:tcPr>
            <w:tcW w:w="1070" w:type="dxa"/>
            <w:noWrap w:val="0"/>
            <w:vAlign w:val="center"/>
          </w:tcPr>
          <w:p>
            <w:pPr>
              <w:spacing w:line="360" w:lineRule="auto"/>
              <w:ind w:firstLine="420"/>
              <w:rPr>
                <w:rFonts w:ascii="宋体" w:hAnsi="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jc w:val="center"/>
        </w:trPr>
        <w:tc>
          <w:tcPr>
            <w:tcW w:w="708" w:type="dxa"/>
            <w:noWrap w:val="0"/>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9</w:t>
            </w:r>
          </w:p>
        </w:tc>
        <w:tc>
          <w:tcPr>
            <w:tcW w:w="1134" w:type="dxa"/>
            <w:noWrap w:val="0"/>
            <w:vAlign w:val="center"/>
          </w:tcPr>
          <w:p>
            <w:pPr>
              <w:spacing w:line="360" w:lineRule="auto"/>
              <w:rPr>
                <w:color w:val="auto"/>
                <w:szCs w:val="21"/>
                <w:highlight w:val="none"/>
              </w:rPr>
            </w:pPr>
            <w:r>
              <w:rPr>
                <w:color w:val="auto"/>
                <w:szCs w:val="21"/>
                <w:highlight w:val="none"/>
              </w:rPr>
              <w:t>EPS</w:t>
            </w:r>
            <w:r>
              <w:rPr>
                <w:rFonts w:hint="eastAsia"/>
                <w:color w:val="auto"/>
                <w:szCs w:val="21"/>
                <w:highlight w:val="none"/>
              </w:rPr>
              <w:t>应急电源</w:t>
            </w:r>
          </w:p>
        </w:tc>
        <w:tc>
          <w:tcPr>
            <w:tcW w:w="6127" w:type="dxa"/>
            <w:noWrap w:val="0"/>
            <w:vAlign w:val="center"/>
          </w:tcPr>
          <w:p>
            <w:pPr>
              <w:pStyle w:val="20"/>
              <w:snapToGrid w:val="0"/>
              <w:spacing w:line="360" w:lineRule="auto"/>
              <w:ind w:firstLine="400" w:firstLineChars="200"/>
              <w:textAlignment w:val="baseline"/>
              <w:rPr>
                <w:rFonts w:hAnsi="宋体"/>
                <w:color w:val="auto"/>
                <w:highlight w:val="none"/>
              </w:rPr>
            </w:pPr>
            <w:r>
              <w:rPr>
                <w:rFonts w:hint="eastAsia" w:hAnsi="宋体"/>
                <w:color w:val="auto"/>
                <w:highlight w:val="none"/>
              </w:rPr>
              <w:t>一、环境条件：</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 xml:space="preserve">1.1 </w:t>
            </w:r>
            <w:r>
              <w:rPr>
                <w:rFonts w:hint="eastAsia" w:hAnsi="宋体"/>
                <w:color w:val="auto"/>
                <w:highlight w:val="none"/>
              </w:rPr>
              <w:t>气候条件：</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1.1.1</w:t>
            </w:r>
            <w:r>
              <w:rPr>
                <w:rFonts w:hint="eastAsia" w:hAnsi="宋体"/>
                <w:color w:val="auto"/>
                <w:highlight w:val="none"/>
              </w:rPr>
              <w:t>环境温度：</w:t>
            </w:r>
            <w:r>
              <w:rPr>
                <w:rFonts w:hAnsi="宋体"/>
                <w:color w:val="auto"/>
                <w:highlight w:val="none"/>
              </w:rPr>
              <w:t>0</w:t>
            </w:r>
            <w:r>
              <w:rPr>
                <w:rFonts w:hint="eastAsia" w:hAnsi="宋体"/>
                <w:color w:val="auto"/>
                <w:highlight w:val="none"/>
              </w:rPr>
              <w:t>℃～</w:t>
            </w:r>
            <w:r>
              <w:rPr>
                <w:rFonts w:hAnsi="宋体"/>
                <w:color w:val="auto"/>
                <w:highlight w:val="none"/>
              </w:rPr>
              <w:t>40</w:t>
            </w:r>
            <w:r>
              <w:rPr>
                <w:rFonts w:hint="eastAsia" w:hAnsi="宋体"/>
                <w:color w:val="auto"/>
                <w:highlight w:val="none"/>
              </w:rPr>
              <w:t>℃</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1.1.2</w:t>
            </w:r>
            <w:r>
              <w:rPr>
                <w:rFonts w:hint="eastAsia" w:hAnsi="宋体"/>
                <w:color w:val="auto"/>
                <w:highlight w:val="none"/>
              </w:rPr>
              <w:t>相对湿度：</w:t>
            </w:r>
            <w:r>
              <w:rPr>
                <w:rFonts w:hAnsi="宋体"/>
                <w:color w:val="auto"/>
                <w:highlight w:val="none"/>
              </w:rPr>
              <w:t>0</w:t>
            </w:r>
            <w:r>
              <w:rPr>
                <w:rFonts w:hint="eastAsia" w:hAnsi="宋体"/>
                <w:color w:val="auto"/>
                <w:highlight w:val="none"/>
              </w:rPr>
              <w:t>～</w:t>
            </w:r>
            <w:r>
              <w:rPr>
                <w:rFonts w:hAnsi="宋体"/>
                <w:color w:val="auto"/>
                <w:highlight w:val="none"/>
              </w:rPr>
              <w:t>95%</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 xml:space="preserve">1.2 </w:t>
            </w:r>
            <w:r>
              <w:rPr>
                <w:rFonts w:hint="eastAsia" w:hAnsi="宋体"/>
                <w:color w:val="auto"/>
                <w:highlight w:val="none"/>
              </w:rPr>
              <w:t>电力供应</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1.2.1</w:t>
            </w:r>
            <w:r>
              <w:rPr>
                <w:rFonts w:hint="eastAsia" w:hAnsi="宋体"/>
                <w:color w:val="auto"/>
                <w:highlight w:val="none"/>
              </w:rPr>
              <w:t>电压：</w:t>
            </w:r>
            <w:r>
              <w:rPr>
                <w:rFonts w:hAnsi="宋体"/>
                <w:color w:val="auto"/>
                <w:highlight w:val="none"/>
              </w:rPr>
              <w:t xml:space="preserve"> AC 380V/220V  </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1.2.2</w:t>
            </w:r>
            <w:r>
              <w:rPr>
                <w:rFonts w:hint="eastAsia" w:hAnsi="宋体"/>
                <w:color w:val="auto"/>
                <w:highlight w:val="none"/>
              </w:rPr>
              <w:t>频率：</w:t>
            </w:r>
            <w:r>
              <w:rPr>
                <w:rFonts w:hAnsi="宋体"/>
                <w:color w:val="auto"/>
                <w:highlight w:val="none"/>
              </w:rPr>
              <w:t xml:space="preserve"> 50HZ </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1.2.3</w:t>
            </w:r>
            <w:r>
              <w:rPr>
                <w:rFonts w:hint="eastAsia" w:hAnsi="宋体"/>
                <w:color w:val="auto"/>
                <w:highlight w:val="none"/>
              </w:rPr>
              <w:t>波形失真：</w:t>
            </w:r>
            <w:r>
              <w:rPr>
                <w:rFonts w:hAnsi="宋体"/>
                <w:color w:val="auto"/>
                <w:highlight w:val="none"/>
              </w:rPr>
              <w:t xml:space="preserve"> 20%</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1.2.4</w:t>
            </w:r>
            <w:r>
              <w:rPr>
                <w:rFonts w:hint="eastAsia" w:hAnsi="宋体"/>
                <w:color w:val="auto"/>
                <w:highlight w:val="none"/>
              </w:rPr>
              <w:t>频率波动：</w:t>
            </w:r>
            <w:r>
              <w:rPr>
                <w:rFonts w:hAnsi="宋体"/>
                <w:color w:val="auto"/>
                <w:highlight w:val="none"/>
              </w:rPr>
              <w:t>±1Hz</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1.2.5</w:t>
            </w:r>
            <w:r>
              <w:rPr>
                <w:rFonts w:hint="eastAsia" w:hAnsi="宋体"/>
                <w:color w:val="auto"/>
                <w:highlight w:val="none"/>
              </w:rPr>
              <w:t>电压波动：</w:t>
            </w:r>
            <w:r>
              <w:rPr>
                <w:rFonts w:hAnsi="宋体"/>
                <w:color w:val="auto"/>
                <w:highlight w:val="none"/>
              </w:rPr>
              <w:t>±10%</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 xml:space="preserve">1.3 </w:t>
            </w:r>
            <w:r>
              <w:rPr>
                <w:rFonts w:hint="eastAsia" w:hAnsi="宋体"/>
                <w:color w:val="auto"/>
                <w:highlight w:val="none"/>
              </w:rPr>
              <w:t>工作时间：</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1.3.1</w:t>
            </w:r>
            <w:r>
              <w:rPr>
                <w:rFonts w:hint="eastAsia" w:hAnsi="宋体"/>
                <w:color w:val="auto"/>
                <w:highlight w:val="none"/>
              </w:rPr>
              <w:t>年工作时间：</w:t>
            </w:r>
            <w:r>
              <w:rPr>
                <w:rFonts w:hAnsi="宋体"/>
                <w:color w:val="auto"/>
                <w:highlight w:val="none"/>
              </w:rPr>
              <w:t>365</w:t>
            </w:r>
            <w:r>
              <w:rPr>
                <w:rFonts w:hint="eastAsia" w:hAnsi="宋体"/>
                <w:color w:val="auto"/>
                <w:highlight w:val="none"/>
              </w:rPr>
              <w:t>天</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1.3.2</w:t>
            </w:r>
            <w:r>
              <w:rPr>
                <w:rFonts w:hint="eastAsia" w:hAnsi="宋体"/>
                <w:color w:val="auto"/>
                <w:highlight w:val="none"/>
              </w:rPr>
              <w:t>日工作时间：</w:t>
            </w:r>
            <w:r>
              <w:rPr>
                <w:rFonts w:hAnsi="宋体"/>
                <w:color w:val="auto"/>
                <w:highlight w:val="none"/>
              </w:rPr>
              <w:t>24</w:t>
            </w:r>
            <w:r>
              <w:rPr>
                <w:rFonts w:hint="eastAsia" w:hAnsi="宋体"/>
                <w:color w:val="auto"/>
                <w:highlight w:val="none"/>
              </w:rPr>
              <w:t>小时</w:t>
            </w:r>
          </w:p>
          <w:p>
            <w:pPr>
              <w:pStyle w:val="20"/>
              <w:snapToGrid w:val="0"/>
              <w:spacing w:line="360" w:lineRule="auto"/>
              <w:ind w:firstLine="400" w:firstLineChars="200"/>
              <w:textAlignment w:val="baseline"/>
              <w:rPr>
                <w:rFonts w:hAnsi="宋体"/>
                <w:color w:val="auto"/>
                <w:highlight w:val="none"/>
              </w:rPr>
            </w:pPr>
            <w:r>
              <w:rPr>
                <w:rFonts w:hint="eastAsia" w:hAnsi="宋体"/>
                <w:color w:val="auto"/>
                <w:highlight w:val="none"/>
              </w:rPr>
              <w:t>二、标准和规范：应急电源装置的制造、试验和验收应符合以下规范、标准及技术条件：</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2.1</w:t>
            </w:r>
            <w:r>
              <w:rPr>
                <w:rFonts w:hint="eastAsia" w:hAnsi="宋体"/>
                <w:color w:val="auto"/>
                <w:highlight w:val="none"/>
              </w:rPr>
              <w:t>《低压电器基本标准》（</w:t>
            </w:r>
            <w:r>
              <w:rPr>
                <w:rFonts w:hAnsi="宋体"/>
                <w:color w:val="auto"/>
                <w:highlight w:val="none"/>
              </w:rPr>
              <w:t>GB1497-1985</w:t>
            </w:r>
            <w:r>
              <w:rPr>
                <w:rFonts w:hint="eastAsia" w:hAnsi="宋体"/>
                <w:color w:val="auto"/>
                <w:highlight w:val="none"/>
              </w:rPr>
              <w:t>）；</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2.2</w:t>
            </w:r>
            <w:r>
              <w:rPr>
                <w:rFonts w:hint="eastAsia" w:hAnsi="宋体"/>
                <w:color w:val="auto"/>
                <w:highlight w:val="none"/>
              </w:rPr>
              <w:t>《消防应急灯具》（</w:t>
            </w:r>
            <w:r>
              <w:rPr>
                <w:rFonts w:hAnsi="宋体"/>
                <w:color w:val="auto"/>
                <w:highlight w:val="none"/>
              </w:rPr>
              <w:t>GB17945-2000</w:t>
            </w:r>
            <w:r>
              <w:rPr>
                <w:rFonts w:hint="eastAsia" w:hAnsi="宋体"/>
                <w:color w:val="auto"/>
                <w:highlight w:val="none"/>
              </w:rPr>
              <w:t>）；</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2.3</w:t>
            </w:r>
            <w:r>
              <w:rPr>
                <w:rFonts w:hint="eastAsia" w:hAnsi="宋体"/>
                <w:color w:val="auto"/>
                <w:highlight w:val="none"/>
              </w:rPr>
              <w:t>《建筑电气工程施工质量验收规范》（</w:t>
            </w:r>
            <w:r>
              <w:rPr>
                <w:rFonts w:hAnsi="宋体"/>
                <w:color w:val="auto"/>
                <w:highlight w:val="none"/>
              </w:rPr>
              <w:t>GB50303-2002</w:t>
            </w:r>
            <w:r>
              <w:rPr>
                <w:rFonts w:hint="eastAsia" w:hAnsi="宋体"/>
                <w:color w:val="auto"/>
                <w:highlight w:val="none"/>
              </w:rPr>
              <w:t>）；</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2.4</w:t>
            </w:r>
            <w:r>
              <w:rPr>
                <w:rFonts w:hint="eastAsia" w:hAnsi="宋体"/>
                <w:color w:val="auto"/>
                <w:highlight w:val="none"/>
              </w:rPr>
              <w:t>《电器装置安装工程蓄电池施工及验收规范》（</w:t>
            </w:r>
            <w:r>
              <w:rPr>
                <w:rFonts w:hAnsi="宋体"/>
                <w:color w:val="auto"/>
                <w:highlight w:val="none"/>
              </w:rPr>
              <w:t>GB50172-1992</w:t>
            </w:r>
            <w:r>
              <w:rPr>
                <w:rFonts w:hint="eastAsia" w:hAnsi="宋体"/>
                <w:color w:val="auto"/>
                <w:highlight w:val="none"/>
              </w:rPr>
              <w:t>）；</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2.5</w:t>
            </w:r>
            <w:r>
              <w:rPr>
                <w:rFonts w:hint="eastAsia" w:hAnsi="宋体"/>
                <w:color w:val="auto"/>
                <w:highlight w:val="none"/>
              </w:rPr>
              <w:t>《阀控式密封铅酸蓄电池订货技术条件》（</w:t>
            </w:r>
            <w:r>
              <w:rPr>
                <w:rFonts w:hAnsi="宋体"/>
                <w:color w:val="auto"/>
                <w:highlight w:val="none"/>
              </w:rPr>
              <w:t>DL/T637-1997</w:t>
            </w:r>
            <w:r>
              <w:rPr>
                <w:rFonts w:hint="eastAsia" w:hAnsi="宋体"/>
                <w:color w:val="auto"/>
                <w:highlight w:val="none"/>
              </w:rPr>
              <w:t>）；</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2.6</w:t>
            </w:r>
            <w:r>
              <w:rPr>
                <w:rFonts w:hint="eastAsia" w:hAnsi="宋体"/>
                <w:color w:val="auto"/>
                <w:highlight w:val="none"/>
              </w:rPr>
              <w:t>《低压电器外壳防护等级》（</w:t>
            </w:r>
            <w:r>
              <w:rPr>
                <w:rFonts w:hAnsi="宋体"/>
                <w:color w:val="auto"/>
                <w:highlight w:val="none"/>
              </w:rPr>
              <w:t>GB4942.4-93</w:t>
            </w:r>
            <w:r>
              <w:rPr>
                <w:rFonts w:hint="eastAsia" w:hAnsi="宋体"/>
                <w:color w:val="auto"/>
                <w:highlight w:val="none"/>
              </w:rPr>
              <w:t>）；</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2.7</w:t>
            </w:r>
            <w:r>
              <w:rPr>
                <w:rFonts w:hint="eastAsia" w:hAnsi="宋体"/>
                <w:color w:val="auto"/>
                <w:highlight w:val="none"/>
              </w:rPr>
              <w:t>《低压成套开关设备》（</w:t>
            </w:r>
            <w:r>
              <w:rPr>
                <w:rFonts w:hAnsi="宋体"/>
                <w:color w:val="auto"/>
                <w:highlight w:val="none"/>
              </w:rPr>
              <w:t>GB7251.1-97</w:t>
            </w:r>
            <w:r>
              <w:rPr>
                <w:rFonts w:hint="eastAsia" w:hAnsi="宋体"/>
                <w:color w:val="auto"/>
                <w:highlight w:val="none"/>
              </w:rPr>
              <w:t>）；</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2.8</w:t>
            </w:r>
            <w:r>
              <w:rPr>
                <w:rFonts w:hint="eastAsia" w:hAnsi="宋体"/>
                <w:color w:val="auto"/>
                <w:highlight w:val="none"/>
              </w:rPr>
              <w:t>《电气安装工程电气设备交接试验标准》（</w:t>
            </w:r>
            <w:r>
              <w:rPr>
                <w:rFonts w:hAnsi="宋体"/>
                <w:color w:val="auto"/>
                <w:highlight w:val="none"/>
              </w:rPr>
              <w:t>SDJ249.4-1988</w:t>
            </w:r>
            <w:r>
              <w:rPr>
                <w:rFonts w:hint="eastAsia" w:hAnsi="宋体"/>
                <w:color w:val="auto"/>
                <w:highlight w:val="none"/>
              </w:rPr>
              <w:t>）。</w:t>
            </w:r>
          </w:p>
          <w:p>
            <w:pPr>
              <w:pStyle w:val="20"/>
              <w:snapToGrid w:val="0"/>
              <w:spacing w:line="360" w:lineRule="auto"/>
              <w:ind w:firstLine="400" w:firstLineChars="200"/>
              <w:textAlignment w:val="baseline"/>
              <w:rPr>
                <w:rFonts w:hAnsi="宋体"/>
                <w:color w:val="auto"/>
                <w:highlight w:val="none"/>
              </w:rPr>
            </w:pPr>
            <w:r>
              <w:rPr>
                <w:rFonts w:hint="eastAsia" w:hAnsi="宋体"/>
                <w:color w:val="auto"/>
                <w:highlight w:val="none"/>
              </w:rPr>
              <w:t>三、基本要求</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 xml:space="preserve">3.1 </w:t>
            </w:r>
            <w:r>
              <w:rPr>
                <w:rFonts w:hint="eastAsia" w:hAnsi="宋体"/>
                <w:color w:val="auto"/>
                <w:highlight w:val="none"/>
              </w:rPr>
              <w:t>应急电源装置（</w:t>
            </w:r>
            <w:r>
              <w:rPr>
                <w:rFonts w:hAnsi="宋体"/>
                <w:color w:val="auto"/>
                <w:highlight w:val="none"/>
              </w:rPr>
              <w:t>EPS</w:t>
            </w:r>
            <w:r>
              <w:rPr>
                <w:rFonts w:hint="eastAsia" w:hAnsi="宋体"/>
                <w:color w:val="auto"/>
                <w:highlight w:val="none"/>
              </w:rPr>
              <w:t>）为户内成套设备。要求投标货物满足环境条件和技术参数及指标、技术先进、生产工艺成熟可靠、结构合理、便于安装和维护，装置内所有元器件和材料应具有阻燃或不燃特性。在结构上充分考虑防尘、防潮要求，具备二次封装措施。</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3.2</w:t>
            </w:r>
            <w:r>
              <w:rPr>
                <w:rFonts w:hint="eastAsia" w:hAnsi="宋体"/>
                <w:color w:val="auto"/>
                <w:highlight w:val="none"/>
              </w:rPr>
              <w:t>装置内主要电气元件</w:t>
            </w:r>
            <w:r>
              <w:rPr>
                <w:rFonts w:hAnsi="宋体"/>
                <w:color w:val="auto"/>
                <w:highlight w:val="none"/>
              </w:rPr>
              <w:t>(</w:t>
            </w:r>
            <w:r>
              <w:rPr>
                <w:rFonts w:hint="eastAsia" w:hAnsi="宋体"/>
                <w:color w:val="auto"/>
                <w:highlight w:val="none"/>
              </w:rPr>
              <w:t>逆变器、断路器等</w:t>
            </w:r>
            <w:r>
              <w:rPr>
                <w:rFonts w:hAnsi="宋体"/>
                <w:color w:val="auto"/>
                <w:highlight w:val="none"/>
              </w:rPr>
              <w:t>)</w:t>
            </w:r>
            <w:r>
              <w:rPr>
                <w:rFonts w:hint="eastAsia" w:hAnsi="宋体"/>
                <w:color w:val="auto"/>
                <w:highlight w:val="none"/>
              </w:rPr>
              <w:t>应采用具有</w:t>
            </w:r>
            <w:r>
              <w:rPr>
                <w:rFonts w:hAnsi="宋体"/>
                <w:color w:val="auto"/>
                <w:highlight w:val="none"/>
              </w:rPr>
              <w:t>3C</w:t>
            </w:r>
            <w:r>
              <w:rPr>
                <w:rFonts w:hint="eastAsia" w:hAnsi="宋体"/>
                <w:color w:val="auto"/>
                <w:highlight w:val="none"/>
              </w:rPr>
              <w:t>认证的</w:t>
            </w:r>
            <w:r>
              <w:rPr>
                <w:rFonts w:hAnsi="宋体"/>
                <w:color w:val="auto"/>
                <w:highlight w:val="none"/>
              </w:rPr>
              <w:t>ABB</w:t>
            </w:r>
            <w:r>
              <w:rPr>
                <w:rFonts w:hint="eastAsia" w:hAnsi="宋体"/>
                <w:color w:val="auto"/>
                <w:highlight w:val="none"/>
              </w:rPr>
              <w:t>、</w:t>
            </w:r>
            <w:r>
              <w:rPr>
                <w:rFonts w:hAnsi="宋体"/>
                <w:color w:val="auto"/>
                <w:highlight w:val="none"/>
              </w:rPr>
              <w:t xml:space="preserve">GE </w:t>
            </w:r>
            <w:r>
              <w:rPr>
                <w:rFonts w:hint="eastAsia" w:hAnsi="宋体"/>
                <w:color w:val="auto"/>
                <w:highlight w:val="none"/>
              </w:rPr>
              <w:t>、施耐德、海格、西门子、</w:t>
            </w:r>
            <w:r>
              <w:rPr>
                <w:rFonts w:hAnsi="宋体"/>
                <w:color w:val="auto"/>
                <w:highlight w:val="none"/>
              </w:rPr>
              <w:t>AEG</w:t>
            </w:r>
            <w:r>
              <w:rPr>
                <w:rFonts w:hint="eastAsia" w:hAnsi="宋体"/>
                <w:color w:val="auto"/>
                <w:highlight w:val="none"/>
              </w:rPr>
              <w:t>之优质系列产品。</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 xml:space="preserve">3.3 </w:t>
            </w:r>
            <w:r>
              <w:rPr>
                <w:rFonts w:hint="eastAsia" w:hAnsi="宋体"/>
                <w:color w:val="auto"/>
                <w:highlight w:val="none"/>
              </w:rPr>
              <w:t>装置构成：主要由交流进线回路、整流</w:t>
            </w:r>
            <w:r>
              <w:rPr>
                <w:rFonts w:hAnsi="宋体"/>
                <w:color w:val="auto"/>
                <w:highlight w:val="none"/>
              </w:rPr>
              <w:t>/</w:t>
            </w:r>
            <w:r>
              <w:rPr>
                <w:rFonts w:hint="eastAsia" w:hAnsi="宋体"/>
                <w:color w:val="auto"/>
                <w:highlight w:val="none"/>
              </w:rPr>
              <w:t>充电装置、蓄电池组、逆变器、自动监控、电池检测等组成。</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 xml:space="preserve">3.4 </w:t>
            </w:r>
            <w:r>
              <w:rPr>
                <w:rFonts w:hint="eastAsia" w:hAnsi="宋体"/>
                <w:color w:val="auto"/>
                <w:highlight w:val="none"/>
              </w:rPr>
              <w:t>采用柜式或壁挂式结构，外壳防护等级须符合</w:t>
            </w:r>
            <w:r>
              <w:rPr>
                <w:rFonts w:hAnsi="宋体"/>
                <w:color w:val="auto"/>
                <w:highlight w:val="none"/>
              </w:rPr>
              <w:t>IEC529</w:t>
            </w:r>
            <w:r>
              <w:rPr>
                <w:rFonts w:hint="eastAsia" w:hAnsi="宋体"/>
                <w:color w:val="auto"/>
                <w:highlight w:val="none"/>
              </w:rPr>
              <w:t>的</w:t>
            </w:r>
            <w:r>
              <w:rPr>
                <w:rFonts w:hAnsi="宋体"/>
                <w:color w:val="auto"/>
                <w:highlight w:val="none"/>
              </w:rPr>
              <w:t>IP41</w:t>
            </w:r>
            <w:r>
              <w:rPr>
                <w:rFonts w:hint="eastAsia" w:hAnsi="宋体"/>
                <w:color w:val="auto"/>
                <w:highlight w:val="none"/>
              </w:rPr>
              <w:t>。</w:t>
            </w:r>
          </w:p>
          <w:p>
            <w:pPr>
              <w:pStyle w:val="20"/>
              <w:snapToGrid w:val="0"/>
              <w:spacing w:line="360" w:lineRule="auto"/>
              <w:ind w:firstLine="400" w:firstLineChars="200"/>
              <w:textAlignment w:val="baseline"/>
              <w:rPr>
                <w:rFonts w:hAnsi="宋体"/>
                <w:color w:val="auto"/>
                <w:highlight w:val="none"/>
              </w:rPr>
            </w:pPr>
            <w:r>
              <w:rPr>
                <w:rFonts w:hint="eastAsia" w:hAnsi="宋体"/>
                <w:color w:val="auto"/>
                <w:highlight w:val="none"/>
              </w:rPr>
              <w:t>四、运行方式：</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 xml:space="preserve">4.1 </w:t>
            </w:r>
            <w:r>
              <w:rPr>
                <w:rFonts w:hint="eastAsia" w:hAnsi="宋体"/>
                <w:color w:val="auto"/>
                <w:highlight w:val="none"/>
              </w:rPr>
              <w:t>交流电源进线按设计配置。</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4.2</w:t>
            </w:r>
            <w:r>
              <w:rPr>
                <w:rFonts w:hint="eastAsia" w:hAnsi="宋体"/>
                <w:color w:val="auto"/>
                <w:highlight w:val="none"/>
              </w:rPr>
              <w:t>正常情况下，由逆变器交流旁路供电给应急照明负荷，同时由整流器供电给蓄电池组作正常的均</w:t>
            </w:r>
            <w:r>
              <w:rPr>
                <w:rFonts w:hAnsi="宋体"/>
                <w:color w:val="auto"/>
                <w:highlight w:val="none"/>
              </w:rPr>
              <w:t>/</w:t>
            </w:r>
            <w:r>
              <w:rPr>
                <w:rFonts w:hint="eastAsia" w:hAnsi="宋体"/>
                <w:color w:val="auto"/>
                <w:highlight w:val="none"/>
              </w:rPr>
              <w:t>浮充电。</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 xml:space="preserve">4.3 </w:t>
            </w:r>
            <w:r>
              <w:rPr>
                <w:rFonts w:hint="eastAsia" w:hAnsi="宋体"/>
                <w:color w:val="auto"/>
                <w:highlight w:val="none"/>
              </w:rPr>
              <w:t>当市电故障时，瞬时（</w:t>
            </w:r>
            <w:r>
              <w:rPr>
                <w:rFonts w:hAnsi="宋体"/>
                <w:color w:val="auto"/>
                <w:highlight w:val="none"/>
              </w:rPr>
              <w:t>≤0.1</w:t>
            </w:r>
            <w:r>
              <w:rPr>
                <w:rFonts w:hint="eastAsia" w:hAnsi="宋体"/>
                <w:color w:val="auto"/>
                <w:highlight w:val="none"/>
              </w:rPr>
              <w:t>秒）自动切换，由蓄电池组经逆变器逆变后供电（正弦波）给应急照明负荷，要求供电时间不少于</w:t>
            </w:r>
            <w:r>
              <w:rPr>
                <w:rFonts w:hAnsi="宋体"/>
                <w:color w:val="auto"/>
                <w:highlight w:val="none"/>
              </w:rPr>
              <w:t>90</w:t>
            </w:r>
            <w:r>
              <w:rPr>
                <w:rFonts w:hint="eastAsia" w:hAnsi="宋体"/>
                <w:color w:val="auto"/>
                <w:highlight w:val="none"/>
              </w:rPr>
              <w:t>分钟。</w:t>
            </w:r>
          </w:p>
          <w:p>
            <w:pPr>
              <w:pStyle w:val="20"/>
              <w:snapToGrid w:val="0"/>
              <w:spacing w:line="360" w:lineRule="auto"/>
              <w:ind w:firstLine="400" w:firstLineChars="200"/>
              <w:textAlignment w:val="baseline"/>
              <w:rPr>
                <w:rFonts w:hAnsi="宋体"/>
                <w:color w:val="auto"/>
                <w:highlight w:val="none"/>
              </w:rPr>
            </w:pPr>
            <w:r>
              <w:rPr>
                <w:rFonts w:hint="eastAsia" w:hAnsi="宋体"/>
                <w:color w:val="auto"/>
                <w:highlight w:val="none"/>
              </w:rPr>
              <w:t>五、整机技术参数要求：</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 xml:space="preserve">5.1  </w:t>
            </w:r>
            <w:r>
              <w:rPr>
                <w:rFonts w:hint="eastAsia" w:hAnsi="宋体"/>
                <w:color w:val="auto"/>
                <w:highlight w:val="none"/>
              </w:rPr>
              <w:t>输入参数</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5.1.1</w:t>
            </w:r>
            <w:r>
              <w:rPr>
                <w:rFonts w:hint="eastAsia" w:hAnsi="宋体"/>
                <w:color w:val="auto"/>
                <w:highlight w:val="none"/>
              </w:rPr>
              <w:t>额定输入电压：</w:t>
            </w:r>
            <w:r>
              <w:rPr>
                <w:rFonts w:hAnsi="宋体"/>
                <w:color w:val="auto"/>
                <w:highlight w:val="none"/>
              </w:rPr>
              <w:t xml:space="preserve"> AC380/220</w:t>
            </w:r>
            <w:r>
              <w:rPr>
                <w:rFonts w:hint="eastAsia" w:hAnsi="宋体"/>
                <w:color w:val="auto"/>
                <w:highlight w:val="none"/>
              </w:rPr>
              <w:t>±</w:t>
            </w:r>
            <w:r>
              <w:rPr>
                <w:rFonts w:hAnsi="宋体"/>
                <w:color w:val="auto"/>
                <w:highlight w:val="none"/>
              </w:rPr>
              <w:t>20</w:t>
            </w:r>
            <w:r>
              <w:rPr>
                <w:rFonts w:hint="eastAsia" w:hAnsi="宋体"/>
                <w:color w:val="auto"/>
                <w:highlight w:val="none"/>
              </w:rPr>
              <w:t>％，独立的</w:t>
            </w:r>
            <w:r>
              <w:rPr>
                <w:rFonts w:hAnsi="宋体"/>
                <w:color w:val="auto"/>
                <w:highlight w:val="none"/>
              </w:rPr>
              <w:t>N</w:t>
            </w:r>
            <w:r>
              <w:rPr>
                <w:rFonts w:hint="eastAsia" w:hAnsi="宋体"/>
                <w:color w:val="auto"/>
                <w:highlight w:val="none"/>
              </w:rPr>
              <w:t>线和</w:t>
            </w:r>
            <w:r>
              <w:rPr>
                <w:rFonts w:hAnsi="宋体"/>
                <w:color w:val="auto"/>
                <w:highlight w:val="none"/>
              </w:rPr>
              <w:t>PE</w:t>
            </w:r>
            <w:r>
              <w:rPr>
                <w:rFonts w:hint="eastAsia" w:hAnsi="宋体"/>
                <w:color w:val="auto"/>
                <w:highlight w:val="none"/>
              </w:rPr>
              <w:t>线；</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5.1.2</w:t>
            </w:r>
            <w:r>
              <w:rPr>
                <w:rFonts w:hint="eastAsia" w:hAnsi="宋体"/>
                <w:color w:val="auto"/>
                <w:highlight w:val="none"/>
              </w:rPr>
              <w:t>额定输入频率：</w:t>
            </w:r>
            <w:r>
              <w:rPr>
                <w:rFonts w:hAnsi="宋体"/>
                <w:color w:val="auto"/>
                <w:highlight w:val="none"/>
              </w:rPr>
              <w:t>50Hz</w:t>
            </w:r>
            <w:r>
              <w:rPr>
                <w:rFonts w:hint="eastAsia" w:hAnsi="宋体"/>
                <w:color w:val="auto"/>
                <w:highlight w:val="none"/>
              </w:rPr>
              <w:t>±</w:t>
            </w:r>
            <w:r>
              <w:rPr>
                <w:rFonts w:hAnsi="宋体"/>
                <w:color w:val="auto"/>
                <w:highlight w:val="none"/>
              </w:rPr>
              <w:t>5</w:t>
            </w:r>
            <w:r>
              <w:rPr>
                <w:rFonts w:hint="eastAsia" w:hAnsi="宋体"/>
                <w:color w:val="auto"/>
                <w:highlight w:val="none"/>
              </w:rPr>
              <w:t>％。</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 xml:space="preserve">5.2  </w:t>
            </w:r>
            <w:r>
              <w:rPr>
                <w:rFonts w:hint="eastAsia" w:hAnsi="宋体"/>
                <w:color w:val="auto"/>
                <w:highlight w:val="none"/>
              </w:rPr>
              <w:t>输出参数</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5.2.1</w:t>
            </w:r>
            <w:r>
              <w:rPr>
                <w:rFonts w:hint="eastAsia" w:hAnsi="宋体"/>
                <w:color w:val="auto"/>
                <w:highlight w:val="none"/>
              </w:rPr>
              <w:t>应急输出电压：三相</w:t>
            </w:r>
            <w:r>
              <w:rPr>
                <w:rFonts w:hAnsi="宋体"/>
                <w:color w:val="auto"/>
                <w:highlight w:val="none"/>
              </w:rPr>
              <w:t>380V/220V</w:t>
            </w:r>
            <w:r>
              <w:rPr>
                <w:rFonts w:hint="eastAsia" w:hAnsi="宋体"/>
                <w:color w:val="auto"/>
                <w:highlight w:val="none"/>
              </w:rPr>
              <w:t>±</w:t>
            </w:r>
            <w:r>
              <w:rPr>
                <w:rFonts w:hAnsi="宋体"/>
                <w:color w:val="auto"/>
                <w:highlight w:val="none"/>
              </w:rPr>
              <w:t>5</w:t>
            </w:r>
            <w:r>
              <w:rPr>
                <w:rFonts w:hint="eastAsia" w:hAnsi="宋体"/>
                <w:color w:val="auto"/>
                <w:highlight w:val="none"/>
              </w:rPr>
              <w:t>％；</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5.2.2</w:t>
            </w:r>
            <w:r>
              <w:rPr>
                <w:rFonts w:hint="eastAsia" w:hAnsi="宋体"/>
                <w:color w:val="auto"/>
                <w:highlight w:val="none"/>
              </w:rPr>
              <w:t>输出频率：正弦波</w:t>
            </w:r>
            <w:r>
              <w:rPr>
                <w:rFonts w:hAnsi="宋体"/>
                <w:color w:val="auto"/>
                <w:highlight w:val="none"/>
              </w:rPr>
              <w:t>50Hz</w:t>
            </w:r>
            <w:r>
              <w:rPr>
                <w:rFonts w:hint="eastAsia" w:hAnsi="宋体"/>
                <w:color w:val="auto"/>
                <w:highlight w:val="none"/>
              </w:rPr>
              <w:t>±</w:t>
            </w:r>
            <w:r>
              <w:rPr>
                <w:rFonts w:hAnsi="宋体"/>
                <w:color w:val="auto"/>
                <w:highlight w:val="none"/>
              </w:rPr>
              <w:t>1</w:t>
            </w:r>
            <w:r>
              <w:rPr>
                <w:rFonts w:hint="eastAsia" w:hAnsi="宋体"/>
                <w:color w:val="auto"/>
                <w:highlight w:val="none"/>
              </w:rPr>
              <w:t>％；</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5.2.3</w:t>
            </w:r>
            <w:r>
              <w:rPr>
                <w:rFonts w:hint="eastAsia" w:hAnsi="宋体"/>
                <w:color w:val="auto"/>
                <w:highlight w:val="none"/>
              </w:rPr>
              <w:t>输出正弦波波形失真度：</w:t>
            </w:r>
            <w:r>
              <w:rPr>
                <w:rFonts w:hAnsi="宋体"/>
                <w:color w:val="auto"/>
                <w:highlight w:val="none"/>
              </w:rPr>
              <w:t>≤ 3</w:t>
            </w:r>
            <w:r>
              <w:rPr>
                <w:rFonts w:hint="eastAsia" w:hAnsi="宋体"/>
                <w:color w:val="auto"/>
                <w:highlight w:val="none"/>
              </w:rPr>
              <w:t>％。</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 xml:space="preserve">5.3  </w:t>
            </w:r>
            <w:r>
              <w:rPr>
                <w:rFonts w:hint="eastAsia" w:hAnsi="宋体"/>
                <w:color w:val="auto"/>
                <w:highlight w:val="none"/>
              </w:rPr>
              <w:t>市电供电－应急供电切换时间：</w:t>
            </w:r>
            <w:r>
              <w:rPr>
                <w:rFonts w:hAnsi="宋体"/>
                <w:color w:val="auto"/>
                <w:highlight w:val="none"/>
              </w:rPr>
              <w:t>≤0.5</w:t>
            </w:r>
            <w:r>
              <w:rPr>
                <w:rFonts w:hint="eastAsia" w:hAnsi="宋体"/>
                <w:color w:val="auto"/>
                <w:highlight w:val="none"/>
              </w:rPr>
              <w:t>秒。</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 xml:space="preserve">5.4  </w:t>
            </w:r>
            <w:r>
              <w:rPr>
                <w:rFonts w:hint="eastAsia" w:hAnsi="宋体"/>
                <w:color w:val="auto"/>
                <w:highlight w:val="none"/>
              </w:rPr>
              <w:t>过载能力：</w:t>
            </w:r>
            <w:r>
              <w:rPr>
                <w:rFonts w:hAnsi="宋体"/>
                <w:color w:val="auto"/>
                <w:highlight w:val="none"/>
              </w:rPr>
              <w:t>120</w:t>
            </w:r>
            <w:r>
              <w:rPr>
                <w:rFonts w:hint="eastAsia" w:hAnsi="宋体"/>
                <w:color w:val="auto"/>
                <w:highlight w:val="none"/>
              </w:rPr>
              <w:t>％，正常运行</w:t>
            </w:r>
            <w:r>
              <w:rPr>
                <w:rFonts w:hAnsi="宋体"/>
                <w:color w:val="auto"/>
                <w:highlight w:val="none"/>
              </w:rPr>
              <w:t>1</w:t>
            </w:r>
            <w:r>
              <w:rPr>
                <w:rFonts w:hint="eastAsia" w:hAnsi="宋体"/>
                <w:color w:val="auto"/>
                <w:highlight w:val="none"/>
              </w:rPr>
              <w:t>小时。</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 xml:space="preserve">5.5  </w:t>
            </w:r>
            <w:r>
              <w:rPr>
                <w:rFonts w:hint="eastAsia" w:hAnsi="宋体"/>
                <w:color w:val="auto"/>
                <w:highlight w:val="none"/>
              </w:rPr>
              <w:t>保护功能：输出过载、短路保护；蓄电池过充、过放保护。</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 xml:space="preserve">5.6  </w:t>
            </w:r>
            <w:r>
              <w:rPr>
                <w:rFonts w:hint="eastAsia" w:hAnsi="宋体"/>
                <w:color w:val="auto"/>
                <w:highlight w:val="none"/>
              </w:rPr>
              <w:t>具有抗阶跃负载能力，采样为电流的变化率，输出电流的矢量变化，而非有效值。</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 xml:space="preserve">5.7  </w:t>
            </w:r>
            <w:r>
              <w:rPr>
                <w:rFonts w:hint="eastAsia" w:hAnsi="宋体"/>
                <w:color w:val="auto"/>
                <w:highlight w:val="none"/>
              </w:rPr>
              <w:t>具有自动线放电功能。</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 xml:space="preserve">5.8 </w:t>
            </w:r>
            <w:r>
              <w:rPr>
                <w:rFonts w:hint="eastAsia" w:hAnsi="宋体"/>
                <w:color w:val="auto"/>
                <w:highlight w:val="none"/>
              </w:rPr>
              <w:t>噪声：</w:t>
            </w:r>
            <w:r>
              <w:rPr>
                <w:rFonts w:hAnsi="宋体"/>
                <w:color w:val="auto"/>
                <w:highlight w:val="none"/>
              </w:rPr>
              <w:t>≤60dB</w:t>
            </w:r>
            <w:r>
              <w:rPr>
                <w:rFonts w:hint="eastAsia" w:hAnsi="宋体"/>
                <w:color w:val="auto"/>
                <w:highlight w:val="none"/>
              </w:rPr>
              <w:t>。</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 xml:space="preserve">5.9 </w:t>
            </w:r>
            <w:r>
              <w:rPr>
                <w:rFonts w:hint="eastAsia" w:hAnsi="宋体"/>
                <w:color w:val="auto"/>
                <w:highlight w:val="none"/>
              </w:rPr>
              <w:t>综合效率：</w:t>
            </w:r>
            <w:r>
              <w:rPr>
                <w:rFonts w:hAnsi="宋体"/>
                <w:color w:val="auto"/>
                <w:highlight w:val="none"/>
              </w:rPr>
              <w:t>≥90</w:t>
            </w:r>
            <w:r>
              <w:rPr>
                <w:rFonts w:hint="eastAsia" w:hAnsi="宋体"/>
                <w:color w:val="auto"/>
                <w:highlight w:val="none"/>
              </w:rPr>
              <w:t>％。</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 xml:space="preserve">5.10 </w:t>
            </w:r>
            <w:r>
              <w:rPr>
                <w:rFonts w:hint="eastAsia" w:hAnsi="宋体"/>
                <w:color w:val="auto"/>
                <w:highlight w:val="none"/>
              </w:rPr>
              <w:t>冷却方式：风冷。</w:t>
            </w:r>
          </w:p>
          <w:p>
            <w:pPr>
              <w:pStyle w:val="20"/>
              <w:snapToGrid w:val="0"/>
              <w:spacing w:line="360" w:lineRule="auto"/>
              <w:ind w:firstLine="400" w:firstLineChars="200"/>
              <w:textAlignment w:val="baseline"/>
              <w:rPr>
                <w:rFonts w:hAnsi="宋体"/>
                <w:color w:val="auto"/>
                <w:highlight w:val="none"/>
              </w:rPr>
            </w:pPr>
            <w:r>
              <w:rPr>
                <w:rFonts w:hint="eastAsia" w:hAnsi="宋体"/>
                <w:color w:val="auto"/>
                <w:highlight w:val="none"/>
              </w:rPr>
              <w:t>六、主要部件及结构技术要求：</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 xml:space="preserve">6.1 </w:t>
            </w:r>
            <w:r>
              <w:rPr>
                <w:rFonts w:hint="eastAsia" w:hAnsi="宋体"/>
                <w:color w:val="auto"/>
                <w:highlight w:val="none"/>
              </w:rPr>
              <w:t>逆变器应满足下列要求：</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6.1.1</w:t>
            </w:r>
            <w:r>
              <w:rPr>
                <w:rFonts w:hint="eastAsia" w:hAnsi="宋体"/>
                <w:color w:val="auto"/>
                <w:highlight w:val="none"/>
              </w:rPr>
              <w:t>逆变器选用大电流开关管（</w:t>
            </w:r>
            <w:r>
              <w:rPr>
                <w:rFonts w:hAnsi="宋体"/>
                <w:color w:val="auto"/>
                <w:highlight w:val="none"/>
              </w:rPr>
              <w:t>IGBT</w:t>
            </w:r>
            <w:r>
              <w:rPr>
                <w:rFonts w:hint="eastAsia" w:hAnsi="宋体"/>
                <w:color w:val="auto"/>
                <w:highlight w:val="none"/>
              </w:rPr>
              <w:t>）和高可靠性的集成电路；</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6.1.2</w:t>
            </w:r>
            <w:r>
              <w:rPr>
                <w:rFonts w:hint="eastAsia" w:hAnsi="宋体"/>
                <w:color w:val="auto"/>
                <w:highlight w:val="none"/>
              </w:rPr>
              <w:t>逆变器应能向任何感性或容性的负荷供电；</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6.1.3</w:t>
            </w:r>
            <w:r>
              <w:rPr>
                <w:rFonts w:hint="eastAsia" w:hAnsi="宋体"/>
                <w:color w:val="auto"/>
                <w:highlight w:val="none"/>
              </w:rPr>
              <w:t>逆变器的输入回路和输出回路设有熔断器或断路器等过流保护装置，并有指示；</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6.1.4</w:t>
            </w:r>
            <w:r>
              <w:rPr>
                <w:rFonts w:hint="eastAsia" w:hAnsi="宋体"/>
                <w:color w:val="auto"/>
                <w:highlight w:val="none"/>
              </w:rPr>
              <w:t>在旁路模式中，应保证提供高可靠性的电力供应，具有持久性、可靠性，能够完全避免危险的运行状态；</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6.1.5</w:t>
            </w:r>
            <w:r>
              <w:rPr>
                <w:rFonts w:hint="eastAsia" w:hAnsi="宋体"/>
                <w:color w:val="auto"/>
                <w:highlight w:val="none"/>
              </w:rPr>
              <w:t>逆变器应设短路保护，并配备隔离变压器。</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 xml:space="preserve">6.2  </w:t>
            </w:r>
            <w:r>
              <w:rPr>
                <w:rFonts w:hint="eastAsia" w:hAnsi="宋体"/>
                <w:color w:val="auto"/>
                <w:highlight w:val="none"/>
              </w:rPr>
              <w:t>整流器</w:t>
            </w:r>
            <w:r>
              <w:rPr>
                <w:rFonts w:hAnsi="宋体"/>
                <w:color w:val="auto"/>
                <w:highlight w:val="none"/>
              </w:rPr>
              <w:t>/</w:t>
            </w:r>
            <w:r>
              <w:rPr>
                <w:rFonts w:hint="eastAsia" w:hAnsi="宋体"/>
                <w:color w:val="auto"/>
                <w:highlight w:val="none"/>
              </w:rPr>
              <w:t>充电装置：</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6.2.1</w:t>
            </w:r>
            <w:r>
              <w:rPr>
                <w:rFonts w:hint="eastAsia" w:hAnsi="宋体"/>
                <w:color w:val="auto"/>
                <w:highlight w:val="none"/>
              </w:rPr>
              <w:t>充电模块采用插拔式，具有良好的互换性；</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6.2.2</w:t>
            </w:r>
            <w:r>
              <w:rPr>
                <w:rFonts w:hint="eastAsia" w:hAnsi="宋体"/>
                <w:color w:val="auto"/>
                <w:highlight w:val="none"/>
              </w:rPr>
              <w:t>充电模块故障不影响其它模块及系统正常工作；</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6.2.3</w:t>
            </w:r>
            <w:r>
              <w:rPr>
                <w:rFonts w:hint="eastAsia" w:hAnsi="宋体"/>
                <w:color w:val="auto"/>
                <w:highlight w:val="none"/>
              </w:rPr>
              <w:t>充电器具有对电池充电全自动管理功能，并防止对蓄电池过充电的功能；</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6.2.4</w:t>
            </w:r>
            <w:r>
              <w:rPr>
                <w:rFonts w:hint="eastAsia" w:hAnsi="宋体"/>
                <w:color w:val="auto"/>
                <w:highlight w:val="none"/>
              </w:rPr>
              <w:t>充电装置应具有短路、过流等保护功能。</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 xml:space="preserve">6.3  </w:t>
            </w:r>
            <w:r>
              <w:rPr>
                <w:rFonts w:hint="eastAsia" w:hAnsi="宋体"/>
                <w:color w:val="auto"/>
                <w:highlight w:val="none"/>
              </w:rPr>
              <w:t>蓄电池：</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6.3.1</w:t>
            </w:r>
            <w:r>
              <w:rPr>
                <w:rFonts w:hint="eastAsia" w:hAnsi="宋体"/>
                <w:color w:val="auto"/>
                <w:highlight w:val="none"/>
              </w:rPr>
              <w:t>蓄电池需采用高品质的、知名进口品牌全密封阀控式免维护铅酸蓄电池，电池寿命不低于国家规范和相关行业标准，核对性充放电次数大于</w:t>
            </w:r>
            <w:r>
              <w:rPr>
                <w:rFonts w:hAnsi="宋体"/>
                <w:color w:val="auto"/>
                <w:highlight w:val="none"/>
              </w:rPr>
              <w:t>500</w:t>
            </w:r>
            <w:r>
              <w:rPr>
                <w:rFonts w:hint="eastAsia" w:hAnsi="宋体"/>
                <w:color w:val="auto"/>
                <w:highlight w:val="none"/>
              </w:rPr>
              <w:t>次。</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6.3.2</w:t>
            </w:r>
            <w:r>
              <w:rPr>
                <w:rFonts w:hint="eastAsia" w:hAnsi="宋体"/>
                <w:color w:val="auto"/>
                <w:highlight w:val="none"/>
              </w:rPr>
              <w:t>蓄电池配置的数量应满足应急供电</w:t>
            </w:r>
            <w:r>
              <w:rPr>
                <w:rFonts w:hAnsi="宋体"/>
                <w:color w:val="auto"/>
                <w:highlight w:val="none"/>
              </w:rPr>
              <w:t>30</w:t>
            </w:r>
            <w:r>
              <w:rPr>
                <w:rFonts w:hint="eastAsia" w:hAnsi="宋体"/>
                <w:color w:val="auto"/>
                <w:highlight w:val="none"/>
              </w:rPr>
              <w:t>分钟的时间要求，并配备电池自动检测系统。</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6.3.3</w:t>
            </w:r>
            <w:r>
              <w:rPr>
                <w:rFonts w:hint="eastAsia" w:hAnsi="宋体"/>
                <w:color w:val="auto"/>
                <w:highlight w:val="none"/>
              </w:rPr>
              <w:t>安全使用温度范围：0℃～45℃</w:t>
            </w:r>
          </w:p>
          <w:p>
            <w:pPr>
              <w:pStyle w:val="20"/>
              <w:snapToGrid w:val="0"/>
              <w:spacing w:line="360" w:lineRule="auto"/>
              <w:ind w:firstLine="400" w:firstLineChars="200"/>
              <w:textAlignment w:val="baseline"/>
              <w:rPr>
                <w:rFonts w:hAnsi="宋体"/>
                <w:color w:val="auto"/>
                <w:highlight w:val="none"/>
              </w:rPr>
            </w:pPr>
            <w:r>
              <w:rPr>
                <w:rFonts w:hAnsi="宋体"/>
                <w:color w:val="auto"/>
                <w:highlight w:val="none"/>
              </w:rPr>
              <w:t xml:space="preserve">6.5  </w:t>
            </w:r>
            <w:r>
              <w:rPr>
                <w:rFonts w:hint="eastAsia" w:hAnsi="宋体"/>
                <w:color w:val="auto"/>
                <w:highlight w:val="none"/>
              </w:rPr>
              <w:t>显示装置</w:t>
            </w:r>
            <w:r>
              <w:rPr>
                <w:rFonts w:hAnsi="宋体"/>
                <w:color w:val="auto"/>
                <w:highlight w:val="none"/>
              </w:rPr>
              <w:t>:</w:t>
            </w:r>
          </w:p>
          <w:p>
            <w:pPr>
              <w:pStyle w:val="20"/>
              <w:snapToGrid w:val="0"/>
              <w:spacing w:line="360" w:lineRule="auto"/>
              <w:ind w:firstLine="400" w:firstLineChars="200"/>
              <w:textAlignment w:val="baseline"/>
              <w:rPr>
                <w:color w:val="auto"/>
                <w:highlight w:val="none"/>
              </w:rPr>
            </w:pPr>
            <w:r>
              <w:rPr>
                <w:rFonts w:hAnsi="宋体"/>
                <w:color w:val="auto"/>
                <w:highlight w:val="none"/>
              </w:rPr>
              <w:t>EPS</w:t>
            </w:r>
            <w:r>
              <w:rPr>
                <w:rFonts w:hint="eastAsia" w:hAnsi="宋体"/>
                <w:color w:val="auto"/>
                <w:highlight w:val="none"/>
              </w:rPr>
              <w:t>机柜上应带有</w:t>
            </w:r>
            <w:r>
              <w:rPr>
                <w:rFonts w:hAnsi="宋体"/>
                <w:color w:val="auto"/>
                <w:highlight w:val="none"/>
              </w:rPr>
              <w:t>LED</w:t>
            </w:r>
            <w:r>
              <w:rPr>
                <w:rFonts w:hint="eastAsia" w:hAnsi="宋体"/>
                <w:color w:val="auto"/>
                <w:highlight w:val="none"/>
              </w:rPr>
              <w:t>或</w:t>
            </w:r>
            <w:r>
              <w:rPr>
                <w:rFonts w:hAnsi="宋体"/>
                <w:color w:val="auto"/>
                <w:highlight w:val="none"/>
              </w:rPr>
              <w:t>LCD</w:t>
            </w:r>
            <w:r>
              <w:rPr>
                <w:rFonts w:hint="eastAsia" w:hAnsi="宋体"/>
                <w:color w:val="auto"/>
                <w:highlight w:val="none"/>
              </w:rPr>
              <w:t>液晶显示屏，可显示以下参数：正常</w:t>
            </w:r>
            <w:r>
              <w:rPr>
                <w:rFonts w:hAnsi="宋体"/>
                <w:color w:val="auto"/>
                <w:highlight w:val="none"/>
              </w:rPr>
              <w:t>/</w:t>
            </w:r>
            <w:r>
              <w:rPr>
                <w:rFonts w:hint="eastAsia" w:hAnsi="宋体"/>
                <w:color w:val="auto"/>
                <w:highlight w:val="none"/>
              </w:rPr>
              <w:t>应急工作状态、进线电源相电压、输出相电压</w:t>
            </w:r>
            <w:r>
              <w:rPr>
                <w:rFonts w:hAnsi="宋体"/>
                <w:color w:val="auto"/>
                <w:highlight w:val="none"/>
              </w:rPr>
              <w:t>/</w:t>
            </w:r>
            <w:r>
              <w:rPr>
                <w:rFonts w:hint="eastAsia" w:hAnsi="宋体"/>
                <w:color w:val="auto"/>
                <w:highlight w:val="none"/>
              </w:rPr>
              <w:t>三相电流、电池组电压等。要求测量精确度不低于</w:t>
            </w:r>
            <w:r>
              <w:rPr>
                <w:rFonts w:hAnsi="宋体"/>
                <w:color w:val="auto"/>
                <w:highlight w:val="none"/>
              </w:rPr>
              <w:t>1.0</w:t>
            </w:r>
            <w:r>
              <w:rPr>
                <w:rFonts w:hint="eastAsia" w:hAnsi="宋体"/>
                <w:color w:val="auto"/>
                <w:highlight w:val="none"/>
              </w:rPr>
              <w:t>级。</w:t>
            </w:r>
          </w:p>
        </w:tc>
        <w:tc>
          <w:tcPr>
            <w:tcW w:w="1070" w:type="dxa"/>
            <w:noWrap w:val="0"/>
            <w:vAlign w:val="center"/>
          </w:tcPr>
          <w:p>
            <w:pPr>
              <w:spacing w:line="360" w:lineRule="auto"/>
              <w:ind w:firstLine="420"/>
              <w:rPr>
                <w:rFonts w:ascii="宋体" w:hAnsi="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jc w:val="center"/>
        </w:trPr>
        <w:tc>
          <w:tcPr>
            <w:tcW w:w="708" w:type="dxa"/>
            <w:noWrap w:val="0"/>
            <w:vAlign w:val="center"/>
          </w:tcPr>
          <w:p>
            <w:pPr>
              <w:spacing w:line="360" w:lineRule="auto"/>
              <w:jc w:val="center"/>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0</w:t>
            </w:r>
          </w:p>
        </w:tc>
        <w:tc>
          <w:tcPr>
            <w:tcW w:w="1134" w:type="dxa"/>
            <w:noWrap w:val="0"/>
            <w:vAlign w:val="center"/>
          </w:tcPr>
          <w:p>
            <w:pPr>
              <w:spacing w:line="360" w:lineRule="auto"/>
              <w:rPr>
                <w:color w:val="auto"/>
                <w:szCs w:val="21"/>
                <w:highlight w:val="none"/>
              </w:rPr>
            </w:pPr>
            <w:r>
              <w:rPr>
                <w:rFonts w:hint="eastAsia"/>
                <w:color w:val="auto"/>
                <w:szCs w:val="21"/>
                <w:highlight w:val="none"/>
              </w:rPr>
              <w:t>有源滤波器</w:t>
            </w:r>
          </w:p>
        </w:tc>
        <w:tc>
          <w:tcPr>
            <w:tcW w:w="6127" w:type="dxa"/>
            <w:noWrap w:val="0"/>
            <w:vAlign w:val="center"/>
          </w:tcPr>
          <w:p>
            <w:pPr>
              <w:spacing w:line="360" w:lineRule="auto"/>
              <w:rPr>
                <w:color w:val="auto"/>
                <w:szCs w:val="21"/>
                <w:highlight w:val="none"/>
              </w:rPr>
            </w:pPr>
            <w:r>
              <w:rPr>
                <w:rFonts w:hint="eastAsia"/>
                <w:color w:val="auto"/>
                <w:szCs w:val="21"/>
                <w:highlight w:val="none"/>
              </w:rPr>
              <w:t>运行环境</w:t>
            </w:r>
          </w:p>
          <w:p>
            <w:pPr>
              <w:spacing w:line="360" w:lineRule="auto"/>
              <w:rPr>
                <w:color w:val="auto"/>
                <w:szCs w:val="21"/>
                <w:highlight w:val="none"/>
              </w:rPr>
            </w:pPr>
            <w:r>
              <w:rPr>
                <w:color w:val="auto"/>
                <w:szCs w:val="21"/>
                <w:highlight w:val="none"/>
              </w:rPr>
              <w:t xml:space="preserve">1.1 </w:t>
            </w:r>
            <w:r>
              <w:rPr>
                <w:rFonts w:hint="eastAsia"/>
                <w:color w:val="auto"/>
                <w:szCs w:val="21"/>
                <w:highlight w:val="none"/>
              </w:rPr>
              <w:t>海拔高度：</w:t>
            </w:r>
            <w:r>
              <w:rPr>
                <w:color w:val="auto"/>
                <w:szCs w:val="21"/>
                <w:highlight w:val="none"/>
              </w:rPr>
              <w:t>1500m</w:t>
            </w:r>
            <w:r>
              <w:rPr>
                <w:rFonts w:hint="eastAsia"/>
                <w:color w:val="auto"/>
                <w:szCs w:val="21"/>
                <w:highlight w:val="none"/>
              </w:rPr>
              <w:t>及以下。</w:t>
            </w:r>
          </w:p>
          <w:p>
            <w:pPr>
              <w:spacing w:line="360" w:lineRule="auto"/>
              <w:rPr>
                <w:color w:val="auto"/>
                <w:szCs w:val="21"/>
                <w:highlight w:val="none"/>
              </w:rPr>
            </w:pPr>
            <w:r>
              <w:rPr>
                <w:color w:val="auto"/>
                <w:szCs w:val="21"/>
                <w:highlight w:val="none"/>
              </w:rPr>
              <w:t xml:space="preserve">1.2 </w:t>
            </w:r>
            <w:r>
              <w:rPr>
                <w:rFonts w:hint="eastAsia"/>
                <w:color w:val="auto"/>
                <w:szCs w:val="21"/>
                <w:highlight w:val="none"/>
              </w:rPr>
              <w:t>地震烈度：≤</w:t>
            </w:r>
            <w:r>
              <w:rPr>
                <w:color w:val="auto"/>
                <w:szCs w:val="21"/>
                <w:highlight w:val="none"/>
              </w:rPr>
              <w:t>8</w:t>
            </w:r>
            <w:r>
              <w:rPr>
                <w:rFonts w:hint="eastAsia"/>
                <w:color w:val="auto"/>
                <w:szCs w:val="21"/>
                <w:highlight w:val="none"/>
              </w:rPr>
              <w:t>度，属于构造较稳定区。</w:t>
            </w:r>
          </w:p>
          <w:p>
            <w:pPr>
              <w:spacing w:line="360" w:lineRule="auto"/>
              <w:rPr>
                <w:color w:val="auto"/>
                <w:szCs w:val="21"/>
                <w:highlight w:val="none"/>
              </w:rPr>
            </w:pPr>
            <w:r>
              <w:rPr>
                <w:color w:val="auto"/>
                <w:szCs w:val="21"/>
                <w:highlight w:val="none"/>
              </w:rPr>
              <w:t>1.3</w:t>
            </w:r>
            <w:r>
              <w:rPr>
                <w:rFonts w:hint="eastAsia"/>
                <w:color w:val="auto"/>
                <w:szCs w:val="21"/>
                <w:highlight w:val="none"/>
              </w:rPr>
              <w:t>环境温度：</w:t>
            </w:r>
            <w:r>
              <w:rPr>
                <w:color w:val="auto"/>
                <w:szCs w:val="21"/>
                <w:highlight w:val="none"/>
              </w:rPr>
              <w:t>-10</w:t>
            </w:r>
            <w:r>
              <w:rPr>
                <w:rFonts w:hint="eastAsia"/>
                <w:color w:val="auto"/>
                <w:szCs w:val="21"/>
                <w:highlight w:val="none"/>
              </w:rPr>
              <w:t>℃～</w:t>
            </w:r>
            <w:r>
              <w:rPr>
                <w:color w:val="auto"/>
                <w:szCs w:val="21"/>
                <w:highlight w:val="none"/>
              </w:rPr>
              <w:t>+40</w:t>
            </w:r>
            <w:r>
              <w:rPr>
                <w:rFonts w:hint="eastAsia"/>
                <w:color w:val="auto"/>
                <w:szCs w:val="21"/>
                <w:highlight w:val="none"/>
              </w:rPr>
              <w:t>℃；储运温度</w:t>
            </w:r>
            <w:r>
              <w:rPr>
                <w:color w:val="auto"/>
                <w:szCs w:val="21"/>
                <w:highlight w:val="none"/>
              </w:rPr>
              <w:t>-40</w:t>
            </w:r>
            <w:r>
              <w:rPr>
                <w:rFonts w:hint="eastAsia"/>
                <w:color w:val="auto"/>
                <w:szCs w:val="21"/>
                <w:highlight w:val="none"/>
              </w:rPr>
              <w:t>℃～</w:t>
            </w:r>
            <w:r>
              <w:rPr>
                <w:color w:val="auto"/>
                <w:szCs w:val="21"/>
                <w:highlight w:val="none"/>
              </w:rPr>
              <w:t>70</w:t>
            </w:r>
            <w:r>
              <w:rPr>
                <w:rFonts w:hint="eastAsia"/>
                <w:color w:val="auto"/>
                <w:szCs w:val="21"/>
                <w:highlight w:val="none"/>
              </w:rPr>
              <w:t>℃。</w:t>
            </w:r>
          </w:p>
          <w:p>
            <w:pPr>
              <w:spacing w:line="360" w:lineRule="auto"/>
              <w:rPr>
                <w:color w:val="auto"/>
                <w:szCs w:val="21"/>
                <w:highlight w:val="none"/>
              </w:rPr>
            </w:pPr>
            <w:r>
              <w:rPr>
                <w:color w:val="auto"/>
                <w:szCs w:val="21"/>
                <w:highlight w:val="none"/>
              </w:rPr>
              <w:t>1.4</w:t>
            </w:r>
            <w:r>
              <w:rPr>
                <w:rFonts w:hint="eastAsia"/>
                <w:color w:val="auto"/>
                <w:szCs w:val="21"/>
                <w:highlight w:val="none"/>
              </w:rPr>
              <w:t>极限最高相对湿度：</w:t>
            </w:r>
            <w:r>
              <w:rPr>
                <w:color w:val="auto"/>
                <w:szCs w:val="21"/>
                <w:highlight w:val="none"/>
              </w:rPr>
              <w:t>95</w:t>
            </w:r>
            <w:r>
              <w:rPr>
                <w:rFonts w:hint="eastAsia"/>
                <w:color w:val="auto"/>
                <w:szCs w:val="21"/>
                <w:highlight w:val="none"/>
              </w:rPr>
              <w:t>％。</w:t>
            </w:r>
          </w:p>
          <w:p>
            <w:pPr>
              <w:spacing w:line="360" w:lineRule="auto"/>
              <w:rPr>
                <w:color w:val="auto"/>
                <w:szCs w:val="21"/>
                <w:highlight w:val="none"/>
              </w:rPr>
            </w:pPr>
            <w:r>
              <w:rPr>
                <w:color w:val="auto"/>
                <w:szCs w:val="21"/>
                <w:highlight w:val="none"/>
              </w:rPr>
              <w:t>1.5</w:t>
            </w:r>
            <w:r>
              <w:rPr>
                <w:rFonts w:hint="eastAsia"/>
                <w:color w:val="auto"/>
                <w:szCs w:val="21"/>
                <w:highlight w:val="none"/>
              </w:rPr>
              <w:t>环境相对湿度：</w:t>
            </w:r>
            <w:r>
              <w:rPr>
                <w:color w:val="auto"/>
                <w:szCs w:val="21"/>
                <w:highlight w:val="none"/>
              </w:rPr>
              <w:t xml:space="preserve"> 5</w:t>
            </w:r>
            <w:r>
              <w:rPr>
                <w:rFonts w:hint="eastAsia"/>
                <w:color w:val="auto"/>
                <w:szCs w:val="21"/>
                <w:highlight w:val="none"/>
              </w:rPr>
              <w:t>％～</w:t>
            </w:r>
            <w:r>
              <w:rPr>
                <w:color w:val="auto"/>
                <w:szCs w:val="21"/>
                <w:highlight w:val="none"/>
              </w:rPr>
              <w:t>95</w:t>
            </w:r>
            <w:r>
              <w:rPr>
                <w:rFonts w:hint="eastAsia"/>
                <w:color w:val="auto"/>
                <w:szCs w:val="21"/>
                <w:highlight w:val="none"/>
              </w:rPr>
              <w:t>％。</w:t>
            </w:r>
          </w:p>
          <w:p>
            <w:pPr>
              <w:spacing w:line="360" w:lineRule="auto"/>
              <w:rPr>
                <w:color w:val="auto"/>
                <w:szCs w:val="21"/>
                <w:highlight w:val="none"/>
              </w:rPr>
            </w:pPr>
            <w:r>
              <w:rPr>
                <w:rFonts w:hint="eastAsia"/>
                <w:color w:val="auto"/>
                <w:szCs w:val="21"/>
                <w:highlight w:val="none"/>
              </w:rPr>
              <w:t>有源滤波器技术参数要求</w:t>
            </w:r>
          </w:p>
          <w:p>
            <w:pPr>
              <w:spacing w:line="360" w:lineRule="auto"/>
              <w:rPr>
                <w:color w:val="auto"/>
                <w:szCs w:val="21"/>
                <w:highlight w:val="none"/>
              </w:rPr>
            </w:pPr>
            <w:r>
              <w:rPr>
                <w:color w:val="auto"/>
                <w:szCs w:val="21"/>
                <w:highlight w:val="none"/>
              </w:rPr>
              <w:t>2.1.</w:t>
            </w:r>
            <w:r>
              <w:rPr>
                <w:rFonts w:hint="eastAsia"/>
                <w:color w:val="auto"/>
                <w:szCs w:val="21"/>
                <w:highlight w:val="none"/>
              </w:rPr>
              <w:t>额定电压：</w:t>
            </w:r>
            <w:r>
              <w:rPr>
                <w:color w:val="auto"/>
                <w:szCs w:val="21"/>
                <w:highlight w:val="none"/>
              </w:rPr>
              <w:t>380V/400V</w:t>
            </w:r>
            <w:r>
              <w:rPr>
                <w:rFonts w:hint="eastAsia"/>
                <w:color w:val="auto"/>
                <w:szCs w:val="21"/>
                <w:highlight w:val="none"/>
              </w:rPr>
              <w:t>，波动范围</w:t>
            </w:r>
            <w:r>
              <w:rPr>
                <w:color w:val="auto"/>
                <w:szCs w:val="21"/>
                <w:highlight w:val="none"/>
              </w:rPr>
              <w:t>-40%~+20%</w:t>
            </w:r>
            <w:r>
              <w:rPr>
                <w:rFonts w:hint="eastAsia"/>
                <w:color w:val="auto"/>
                <w:szCs w:val="21"/>
                <w:highlight w:val="none"/>
              </w:rPr>
              <w:t>。</w:t>
            </w:r>
          </w:p>
          <w:p>
            <w:pPr>
              <w:spacing w:line="360" w:lineRule="auto"/>
              <w:rPr>
                <w:color w:val="auto"/>
                <w:szCs w:val="21"/>
                <w:highlight w:val="none"/>
              </w:rPr>
            </w:pPr>
            <w:r>
              <w:rPr>
                <w:color w:val="auto"/>
                <w:szCs w:val="21"/>
                <w:highlight w:val="none"/>
              </w:rPr>
              <w:t>2.3</w:t>
            </w:r>
            <w:r>
              <w:rPr>
                <w:rFonts w:hint="eastAsia"/>
                <w:color w:val="auto"/>
                <w:szCs w:val="21"/>
                <w:highlight w:val="none"/>
              </w:rPr>
              <w:t>额定频率：</w:t>
            </w:r>
            <w:r>
              <w:rPr>
                <w:color w:val="auto"/>
                <w:szCs w:val="21"/>
                <w:highlight w:val="none"/>
              </w:rPr>
              <w:t>45-62HZ</w:t>
            </w:r>
            <w:r>
              <w:rPr>
                <w:rFonts w:hint="eastAsia"/>
                <w:color w:val="auto"/>
                <w:szCs w:val="21"/>
                <w:highlight w:val="none"/>
              </w:rPr>
              <w:t>。</w:t>
            </w:r>
          </w:p>
          <w:p>
            <w:pPr>
              <w:spacing w:line="360" w:lineRule="auto"/>
              <w:rPr>
                <w:color w:val="auto"/>
                <w:szCs w:val="21"/>
                <w:highlight w:val="none"/>
              </w:rPr>
            </w:pPr>
            <w:r>
              <w:rPr>
                <w:color w:val="auto"/>
                <w:szCs w:val="21"/>
                <w:highlight w:val="none"/>
              </w:rPr>
              <w:t>2.3</w:t>
            </w:r>
            <w:r>
              <w:rPr>
                <w:rFonts w:hint="eastAsia"/>
                <w:color w:val="auto"/>
                <w:szCs w:val="21"/>
                <w:highlight w:val="none"/>
              </w:rPr>
              <w:t>相</w:t>
            </w:r>
            <w:r>
              <w:rPr>
                <w:color w:val="auto"/>
                <w:szCs w:val="21"/>
                <w:highlight w:val="none"/>
              </w:rPr>
              <w:t>/</w:t>
            </w:r>
            <w:r>
              <w:rPr>
                <w:rFonts w:hint="eastAsia"/>
                <w:color w:val="auto"/>
                <w:szCs w:val="21"/>
                <w:highlight w:val="none"/>
              </w:rPr>
              <w:t>线：</w:t>
            </w:r>
            <w:r>
              <w:rPr>
                <w:color w:val="auto"/>
                <w:szCs w:val="21"/>
                <w:highlight w:val="none"/>
              </w:rPr>
              <w:t>3</w:t>
            </w:r>
            <w:r>
              <w:rPr>
                <w:rFonts w:hint="eastAsia"/>
                <w:color w:val="auto"/>
                <w:szCs w:val="21"/>
                <w:highlight w:val="none"/>
              </w:rPr>
              <w:t>相</w:t>
            </w:r>
            <w:r>
              <w:rPr>
                <w:color w:val="auto"/>
                <w:szCs w:val="21"/>
                <w:highlight w:val="none"/>
              </w:rPr>
              <w:t>4</w:t>
            </w:r>
            <w:r>
              <w:rPr>
                <w:rFonts w:hint="eastAsia"/>
                <w:color w:val="auto"/>
                <w:szCs w:val="21"/>
                <w:highlight w:val="none"/>
              </w:rPr>
              <w:t>线或</w:t>
            </w:r>
            <w:r>
              <w:rPr>
                <w:color w:val="auto"/>
                <w:szCs w:val="21"/>
                <w:highlight w:val="none"/>
              </w:rPr>
              <w:t>3</w:t>
            </w:r>
            <w:r>
              <w:rPr>
                <w:rFonts w:hint="eastAsia"/>
                <w:color w:val="auto"/>
                <w:szCs w:val="21"/>
                <w:highlight w:val="none"/>
              </w:rPr>
              <w:t>相</w:t>
            </w:r>
            <w:r>
              <w:rPr>
                <w:color w:val="auto"/>
                <w:szCs w:val="21"/>
                <w:highlight w:val="none"/>
              </w:rPr>
              <w:t>3</w:t>
            </w:r>
            <w:r>
              <w:rPr>
                <w:rFonts w:hint="eastAsia"/>
                <w:color w:val="auto"/>
                <w:szCs w:val="21"/>
                <w:highlight w:val="none"/>
              </w:rPr>
              <w:t>线可通过软件选择，而无需更改硬件配置。</w:t>
            </w:r>
          </w:p>
          <w:p>
            <w:pPr>
              <w:spacing w:line="360" w:lineRule="auto"/>
              <w:rPr>
                <w:color w:val="auto"/>
                <w:szCs w:val="21"/>
                <w:highlight w:val="none"/>
              </w:rPr>
            </w:pPr>
            <w:r>
              <w:rPr>
                <w:color w:val="auto"/>
                <w:szCs w:val="21"/>
                <w:highlight w:val="none"/>
              </w:rPr>
              <w:t>2.4</w:t>
            </w:r>
            <w:r>
              <w:rPr>
                <w:rFonts w:hint="eastAsia"/>
                <w:color w:val="auto"/>
                <w:szCs w:val="21"/>
                <w:highlight w:val="none"/>
              </w:rPr>
              <w:t>扩容方式：模块化设计，支持多机并联扩容，并联容量不受限制。可通过增加机柜所装的模块数量进行扩容。</w:t>
            </w:r>
          </w:p>
          <w:p>
            <w:pPr>
              <w:spacing w:line="360" w:lineRule="auto"/>
              <w:rPr>
                <w:color w:val="auto"/>
                <w:szCs w:val="21"/>
                <w:highlight w:val="none"/>
              </w:rPr>
            </w:pPr>
            <w:r>
              <w:rPr>
                <w:color w:val="auto"/>
                <w:szCs w:val="21"/>
                <w:highlight w:val="none"/>
              </w:rPr>
              <w:t>2.5</w:t>
            </w:r>
            <w:r>
              <w:rPr>
                <w:rFonts w:hint="eastAsia"/>
                <w:color w:val="auto"/>
                <w:szCs w:val="21"/>
                <w:highlight w:val="none"/>
              </w:rPr>
              <w:t>单模块容量含有</w:t>
            </w:r>
            <w:r>
              <w:rPr>
                <w:color w:val="auto"/>
                <w:szCs w:val="21"/>
                <w:highlight w:val="none"/>
              </w:rPr>
              <w:t>50A</w:t>
            </w:r>
            <w:r>
              <w:rPr>
                <w:rFonts w:hint="eastAsia"/>
                <w:color w:val="auto"/>
                <w:szCs w:val="21"/>
                <w:highlight w:val="none"/>
              </w:rPr>
              <w:t>、</w:t>
            </w:r>
            <w:r>
              <w:rPr>
                <w:color w:val="auto"/>
                <w:szCs w:val="21"/>
                <w:highlight w:val="none"/>
              </w:rPr>
              <w:t>100A</w:t>
            </w:r>
            <w:r>
              <w:rPr>
                <w:rFonts w:hint="eastAsia"/>
                <w:color w:val="auto"/>
                <w:szCs w:val="21"/>
                <w:highlight w:val="none"/>
              </w:rPr>
              <w:t>多样化机型，以满足招标方对于不同容量的需求。并且不同容量的模块可以自由并联扩容。</w:t>
            </w:r>
          </w:p>
          <w:p>
            <w:pPr>
              <w:spacing w:line="360" w:lineRule="auto"/>
              <w:rPr>
                <w:color w:val="auto"/>
                <w:szCs w:val="21"/>
                <w:highlight w:val="none"/>
              </w:rPr>
            </w:pPr>
            <w:r>
              <w:rPr>
                <w:color w:val="auto"/>
                <w:szCs w:val="21"/>
                <w:highlight w:val="none"/>
              </w:rPr>
              <w:t>2.6</w:t>
            </w:r>
            <w:r>
              <w:rPr>
                <w:rFonts w:hint="eastAsia"/>
                <w:color w:val="auto"/>
                <w:szCs w:val="21"/>
                <w:highlight w:val="none"/>
              </w:rPr>
              <w:t>安装方式为模块化设计机柜式安装，为了满足大容量的需求，单柜最大补偿容量至少为</w:t>
            </w:r>
            <w:r>
              <w:rPr>
                <w:color w:val="auto"/>
                <w:szCs w:val="21"/>
                <w:highlight w:val="none"/>
              </w:rPr>
              <w:t>500A</w:t>
            </w:r>
            <w:r>
              <w:rPr>
                <w:rFonts w:hint="eastAsia"/>
                <w:color w:val="auto"/>
                <w:szCs w:val="21"/>
                <w:highlight w:val="none"/>
              </w:rPr>
              <w:t>。个别补偿点空间不足时模块亦可满足壁挂式安装。</w:t>
            </w:r>
          </w:p>
          <w:p>
            <w:pPr>
              <w:spacing w:line="360" w:lineRule="auto"/>
              <w:rPr>
                <w:color w:val="auto"/>
                <w:szCs w:val="21"/>
                <w:highlight w:val="none"/>
              </w:rPr>
            </w:pPr>
            <w:r>
              <w:rPr>
                <w:color w:val="auto"/>
                <w:szCs w:val="21"/>
                <w:highlight w:val="none"/>
              </w:rPr>
              <w:t>2.7</w:t>
            </w:r>
            <w:r>
              <w:rPr>
                <w:rFonts w:hint="eastAsia"/>
                <w:color w:val="auto"/>
                <w:szCs w:val="21"/>
                <w:highlight w:val="none"/>
              </w:rPr>
              <w:t>噪音：噪音≤</w:t>
            </w:r>
            <w:r>
              <w:rPr>
                <w:color w:val="auto"/>
                <w:szCs w:val="21"/>
                <w:highlight w:val="none"/>
              </w:rPr>
              <w:t>56dB</w:t>
            </w:r>
            <w:r>
              <w:rPr>
                <w:rFonts w:hint="eastAsia"/>
                <w:color w:val="auto"/>
                <w:szCs w:val="21"/>
                <w:highlight w:val="none"/>
              </w:rPr>
              <w:t>，需提供权威部门型式试验报告。</w:t>
            </w:r>
          </w:p>
          <w:p>
            <w:pPr>
              <w:spacing w:line="360" w:lineRule="auto"/>
              <w:rPr>
                <w:color w:val="auto"/>
                <w:szCs w:val="21"/>
                <w:highlight w:val="none"/>
              </w:rPr>
            </w:pPr>
            <w:r>
              <w:rPr>
                <w:color w:val="auto"/>
                <w:szCs w:val="21"/>
                <w:highlight w:val="none"/>
              </w:rPr>
              <w:t>2.8</w:t>
            </w:r>
            <w:r>
              <w:rPr>
                <w:rFonts w:hint="eastAsia"/>
                <w:color w:val="auto"/>
                <w:szCs w:val="21"/>
                <w:highlight w:val="none"/>
              </w:rPr>
              <w:t>有源滤波器的快速响应时间≤</w:t>
            </w:r>
            <w:r>
              <w:rPr>
                <w:color w:val="auto"/>
                <w:szCs w:val="21"/>
                <w:highlight w:val="none"/>
              </w:rPr>
              <w:t>50µs</w:t>
            </w:r>
            <w:r>
              <w:rPr>
                <w:rFonts w:hint="eastAsia"/>
                <w:color w:val="auto"/>
                <w:szCs w:val="21"/>
                <w:highlight w:val="none"/>
              </w:rPr>
              <w:t>，完全响应时间≤</w:t>
            </w:r>
            <w:r>
              <w:rPr>
                <w:color w:val="auto"/>
                <w:szCs w:val="21"/>
                <w:highlight w:val="none"/>
              </w:rPr>
              <w:t>5ms</w:t>
            </w:r>
            <w:r>
              <w:rPr>
                <w:rFonts w:hint="eastAsia"/>
                <w:color w:val="auto"/>
                <w:szCs w:val="21"/>
                <w:highlight w:val="none"/>
              </w:rPr>
              <w:t>。（需提供权威检验机构型式试验报告）</w:t>
            </w:r>
          </w:p>
          <w:p>
            <w:pPr>
              <w:spacing w:line="360" w:lineRule="auto"/>
              <w:rPr>
                <w:color w:val="auto"/>
                <w:szCs w:val="21"/>
                <w:highlight w:val="none"/>
              </w:rPr>
            </w:pPr>
            <w:r>
              <w:rPr>
                <w:color w:val="auto"/>
                <w:szCs w:val="21"/>
                <w:highlight w:val="none"/>
              </w:rPr>
              <w:t>2.9</w:t>
            </w:r>
            <w:r>
              <w:rPr>
                <w:rFonts w:hint="eastAsia"/>
                <w:color w:val="auto"/>
                <w:szCs w:val="21"/>
                <w:highlight w:val="none"/>
              </w:rPr>
              <w:t>拥有国家认证机构提供的型式试验报告或者国际认证。</w:t>
            </w:r>
          </w:p>
          <w:p>
            <w:pPr>
              <w:spacing w:line="360" w:lineRule="auto"/>
              <w:rPr>
                <w:color w:val="auto"/>
                <w:szCs w:val="21"/>
                <w:highlight w:val="none"/>
              </w:rPr>
            </w:pPr>
            <w:r>
              <w:rPr>
                <w:rFonts w:hint="eastAsia"/>
                <w:color w:val="auto"/>
                <w:szCs w:val="21"/>
                <w:highlight w:val="none"/>
              </w:rPr>
              <w:t>静止无功发生器技术参数要求</w:t>
            </w:r>
          </w:p>
          <w:p>
            <w:pPr>
              <w:spacing w:line="360" w:lineRule="auto"/>
              <w:rPr>
                <w:color w:val="auto"/>
                <w:szCs w:val="21"/>
                <w:highlight w:val="none"/>
              </w:rPr>
            </w:pPr>
            <w:r>
              <w:rPr>
                <w:color w:val="auto"/>
                <w:szCs w:val="21"/>
                <w:highlight w:val="none"/>
              </w:rPr>
              <w:t>3.1.</w:t>
            </w:r>
            <w:r>
              <w:rPr>
                <w:rFonts w:hint="eastAsia"/>
                <w:color w:val="auto"/>
                <w:szCs w:val="21"/>
                <w:highlight w:val="none"/>
              </w:rPr>
              <w:t>额定电压：</w:t>
            </w:r>
            <w:r>
              <w:rPr>
                <w:color w:val="auto"/>
                <w:szCs w:val="21"/>
                <w:highlight w:val="none"/>
              </w:rPr>
              <w:t>380V/400V</w:t>
            </w:r>
            <w:r>
              <w:rPr>
                <w:rFonts w:hint="eastAsia"/>
                <w:color w:val="auto"/>
                <w:szCs w:val="21"/>
                <w:highlight w:val="none"/>
              </w:rPr>
              <w:t>，波动范围</w:t>
            </w:r>
            <w:r>
              <w:rPr>
                <w:color w:val="auto"/>
                <w:szCs w:val="21"/>
                <w:highlight w:val="none"/>
              </w:rPr>
              <w:t>-40%~+20%</w:t>
            </w:r>
            <w:r>
              <w:rPr>
                <w:rFonts w:hint="eastAsia"/>
                <w:color w:val="auto"/>
                <w:szCs w:val="21"/>
                <w:highlight w:val="none"/>
              </w:rPr>
              <w:t>。</w:t>
            </w:r>
          </w:p>
          <w:p>
            <w:pPr>
              <w:spacing w:line="360" w:lineRule="auto"/>
              <w:rPr>
                <w:color w:val="auto"/>
                <w:szCs w:val="21"/>
                <w:highlight w:val="none"/>
              </w:rPr>
            </w:pPr>
            <w:r>
              <w:rPr>
                <w:color w:val="auto"/>
                <w:szCs w:val="21"/>
                <w:highlight w:val="none"/>
              </w:rPr>
              <w:t>3.2</w:t>
            </w:r>
            <w:r>
              <w:rPr>
                <w:rFonts w:hint="eastAsia"/>
                <w:color w:val="auto"/>
                <w:szCs w:val="21"/>
                <w:highlight w:val="none"/>
              </w:rPr>
              <w:t>额定频率：</w:t>
            </w:r>
            <w:r>
              <w:rPr>
                <w:color w:val="auto"/>
                <w:szCs w:val="21"/>
                <w:highlight w:val="none"/>
              </w:rPr>
              <w:t>45-55HZ</w:t>
            </w:r>
            <w:r>
              <w:rPr>
                <w:rFonts w:hint="eastAsia"/>
                <w:color w:val="auto"/>
                <w:szCs w:val="21"/>
                <w:highlight w:val="none"/>
              </w:rPr>
              <w:t>。</w:t>
            </w:r>
          </w:p>
          <w:p>
            <w:pPr>
              <w:spacing w:line="360" w:lineRule="auto"/>
              <w:rPr>
                <w:color w:val="auto"/>
                <w:szCs w:val="21"/>
                <w:highlight w:val="none"/>
              </w:rPr>
            </w:pPr>
            <w:r>
              <w:rPr>
                <w:color w:val="auto"/>
                <w:szCs w:val="21"/>
                <w:highlight w:val="none"/>
              </w:rPr>
              <w:t>3.3</w:t>
            </w:r>
            <w:r>
              <w:rPr>
                <w:rFonts w:hint="eastAsia"/>
                <w:color w:val="auto"/>
                <w:szCs w:val="21"/>
                <w:highlight w:val="none"/>
              </w:rPr>
              <w:t>相</w:t>
            </w:r>
            <w:r>
              <w:rPr>
                <w:color w:val="auto"/>
                <w:szCs w:val="21"/>
                <w:highlight w:val="none"/>
              </w:rPr>
              <w:t>/</w:t>
            </w:r>
            <w:r>
              <w:rPr>
                <w:rFonts w:hint="eastAsia"/>
                <w:color w:val="auto"/>
                <w:szCs w:val="21"/>
                <w:highlight w:val="none"/>
              </w:rPr>
              <w:t>线：可通过软件设置。</w:t>
            </w:r>
          </w:p>
          <w:p>
            <w:pPr>
              <w:spacing w:line="360" w:lineRule="auto"/>
              <w:rPr>
                <w:color w:val="auto"/>
                <w:szCs w:val="21"/>
                <w:highlight w:val="none"/>
              </w:rPr>
            </w:pPr>
            <w:r>
              <w:rPr>
                <w:color w:val="auto"/>
                <w:szCs w:val="21"/>
                <w:highlight w:val="none"/>
              </w:rPr>
              <w:t>3.4</w:t>
            </w:r>
            <w:r>
              <w:rPr>
                <w:rFonts w:hint="eastAsia"/>
                <w:color w:val="auto"/>
                <w:szCs w:val="21"/>
                <w:highlight w:val="none"/>
              </w:rPr>
              <w:t>扩容方式：模块化设计，支持多机并联扩容，并联容量不受限制。可通过增加机柜所装的模块数量进行扩容。</w:t>
            </w:r>
          </w:p>
          <w:p>
            <w:pPr>
              <w:spacing w:line="360" w:lineRule="auto"/>
              <w:rPr>
                <w:color w:val="auto"/>
                <w:szCs w:val="21"/>
                <w:highlight w:val="none"/>
              </w:rPr>
            </w:pPr>
            <w:r>
              <w:rPr>
                <w:color w:val="auto"/>
                <w:szCs w:val="21"/>
                <w:highlight w:val="none"/>
              </w:rPr>
              <w:t>3.5</w:t>
            </w:r>
            <w:r>
              <w:rPr>
                <w:rFonts w:hint="eastAsia"/>
                <w:color w:val="auto"/>
                <w:szCs w:val="21"/>
                <w:highlight w:val="none"/>
              </w:rPr>
              <w:t>单模块容量含有</w:t>
            </w:r>
            <w:r>
              <w:rPr>
                <w:color w:val="auto"/>
                <w:szCs w:val="21"/>
                <w:highlight w:val="none"/>
              </w:rPr>
              <w:t>30kvar</w:t>
            </w:r>
            <w:r>
              <w:rPr>
                <w:rFonts w:hint="eastAsia"/>
                <w:color w:val="auto"/>
                <w:szCs w:val="21"/>
                <w:highlight w:val="none"/>
              </w:rPr>
              <w:t>、</w:t>
            </w:r>
            <w:r>
              <w:rPr>
                <w:color w:val="auto"/>
                <w:szCs w:val="21"/>
                <w:highlight w:val="none"/>
              </w:rPr>
              <w:t>50kvar</w:t>
            </w:r>
            <w:r>
              <w:rPr>
                <w:rFonts w:hint="eastAsia"/>
                <w:color w:val="auto"/>
                <w:szCs w:val="21"/>
                <w:highlight w:val="none"/>
              </w:rPr>
              <w:t>、</w:t>
            </w:r>
            <w:r>
              <w:rPr>
                <w:color w:val="auto"/>
                <w:szCs w:val="21"/>
                <w:highlight w:val="none"/>
              </w:rPr>
              <w:t>100kvar</w:t>
            </w:r>
            <w:r>
              <w:rPr>
                <w:rFonts w:hint="eastAsia"/>
                <w:color w:val="auto"/>
                <w:szCs w:val="21"/>
                <w:highlight w:val="none"/>
              </w:rPr>
              <w:t>多样化机型，以满足招标方对于不同容量的需求。并且不同容量的模块可以自由并联扩容。</w:t>
            </w:r>
          </w:p>
          <w:p>
            <w:pPr>
              <w:spacing w:line="360" w:lineRule="auto"/>
              <w:rPr>
                <w:color w:val="auto"/>
                <w:szCs w:val="21"/>
                <w:highlight w:val="none"/>
              </w:rPr>
            </w:pPr>
            <w:r>
              <w:rPr>
                <w:color w:val="auto"/>
                <w:szCs w:val="21"/>
                <w:highlight w:val="none"/>
              </w:rPr>
              <w:t>3.6</w:t>
            </w:r>
            <w:r>
              <w:rPr>
                <w:rFonts w:hint="eastAsia"/>
                <w:color w:val="auto"/>
                <w:szCs w:val="21"/>
                <w:highlight w:val="none"/>
              </w:rPr>
              <w:t>安装方式为模块化设计机柜式安装，为了满足大容量的需求，并柜安装单柜最大补偿容量至少为</w:t>
            </w:r>
            <w:r>
              <w:rPr>
                <w:color w:val="auto"/>
                <w:szCs w:val="21"/>
                <w:highlight w:val="none"/>
              </w:rPr>
              <w:t>400kvar</w:t>
            </w:r>
            <w:r>
              <w:rPr>
                <w:rFonts w:hint="eastAsia"/>
                <w:color w:val="auto"/>
                <w:szCs w:val="21"/>
                <w:highlight w:val="none"/>
              </w:rPr>
              <w:t>。个别补偿点空间不足时模块亦可满足壁挂式安装。</w:t>
            </w:r>
          </w:p>
          <w:p>
            <w:pPr>
              <w:spacing w:line="360" w:lineRule="auto"/>
              <w:rPr>
                <w:color w:val="auto"/>
                <w:szCs w:val="21"/>
                <w:highlight w:val="none"/>
              </w:rPr>
            </w:pPr>
            <w:r>
              <w:rPr>
                <w:color w:val="auto"/>
                <w:szCs w:val="21"/>
                <w:highlight w:val="none"/>
              </w:rPr>
              <w:t>3.7</w:t>
            </w:r>
            <w:r>
              <w:rPr>
                <w:rFonts w:hint="eastAsia"/>
                <w:color w:val="auto"/>
                <w:szCs w:val="21"/>
                <w:highlight w:val="none"/>
              </w:rPr>
              <w:t>噪音：噪音≤</w:t>
            </w:r>
            <w:r>
              <w:rPr>
                <w:color w:val="auto"/>
                <w:szCs w:val="21"/>
                <w:highlight w:val="none"/>
              </w:rPr>
              <w:t>65dB</w:t>
            </w:r>
            <w:r>
              <w:rPr>
                <w:rFonts w:hint="eastAsia"/>
                <w:color w:val="auto"/>
                <w:szCs w:val="21"/>
                <w:highlight w:val="none"/>
              </w:rPr>
              <w:t>，需提供权威部门型式试验报告。</w:t>
            </w:r>
          </w:p>
          <w:p>
            <w:pPr>
              <w:spacing w:line="360" w:lineRule="auto"/>
              <w:rPr>
                <w:color w:val="auto"/>
                <w:szCs w:val="21"/>
                <w:highlight w:val="none"/>
              </w:rPr>
            </w:pPr>
            <w:r>
              <w:rPr>
                <w:color w:val="auto"/>
                <w:szCs w:val="21"/>
                <w:highlight w:val="none"/>
              </w:rPr>
              <w:t>3.8</w:t>
            </w:r>
            <w:r>
              <w:rPr>
                <w:rFonts w:hint="eastAsia"/>
                <w:color w:val="auto"/>
                <w:szCs w:val="21"/>
                <w:highlight w:val="none"/>
              </w:rPr>
              <w:t>静止无功发生器的快速响应时间≤</w:t>
            </w:r>
            <w:r>
              <w:rPr>
                <w:color w:val="auto"/>
                <w:szCs w:val="21"/>
                <w:highlight w:val="none"/>
              </w:rPr>
              <w:t>50µs</w:t>
            </w:r>
            <w:r>
              <w:rPr>
                <w:rFonts w:hint="eastAsia"/>
                <w:color w:val="auto"/>
                <w:szCs w:val="21"/>
                <w:highlight w:val="none"/>
              </w:rPr>
              <w:t>，完全响应时间≤</w:t>
            </w:r>
            <w:r>
              <w:rPr>
                <w:color w:val="auto"/>
                <w:szCs w:val="21"/>
                <w:highlight w:val="none"/>
              </w:rPr>
              <w:t>15ms</w:t>
            </w:r>
            <w:r>
              <w:rPr>
                <w:rFonts w:hint="eastAsia"/>
                <w:color w:val="auto"/>
                <w:szCs w:val="21"/>
                <w:highlight w:val="none"/>
              </w:rPr>
              <w:t>。（需提供权威检验机构型式试验报告）</w:t>
            </w:r>
          </w:p>
          <w:p>
            <w:pPr>
              <w:spacing w:line="360" w:lineRule="auto"/>
              <w:rPr>
                <w:rFonts w:hAnsi="宋体"/>
                <w:color w:val="auto"/>
                <w:szCs w:val="21"/>
                <w:highlight w:val="none"/>
              </w:rPr>
            </w:pPr>
            <w:r>
              <w:rPr>
                <w:color w:val="auto"/>
                <w:szCs w:val="21"/>
                <w:highlight w:val="none"/>
              </w:rPr>
              <w:t>3.9</w:t>
            </w:r>
            <w:r>
              <w:rPr>
                <w:rFonts w:hint="eastAsia"/>
                <w:color w:val="auto"/>
                <w:szCs w:val="21"/>
                <w:highlight w:val="none"/>
              </w:rPr>
              <w:t>拥有国家认证机构提供的型式试验报告或者国际认证。</w:t>
            </w:r>
          </w:p>
        </w:tc>
        <w:tc>
          <w:tcPr>
            <w:tcW w:w="1070" w:type="dxa"/>
            <w:noWrap w:val="0"/>
            <w:vAlign w:val="center"/>
          </w:tcPr>
          <w:p>
            <w:pPr>
              <w:spacing w:line="360" w:lineRule="auto"/>
              <w:ind w:firstLine="420"/>
              <w:rPr>
                <w:rFonts w:ascii="宋体" w:hAnsi="宋体"/>
                <w:color w:val="auto"/>
                <w:szCs w:val="21"/>
                <w:highlight w:val="none"/>
              </w:rPr>
            </w:pPr>
          </w:p>
        </w:tc>
      </w:tr>
    </w:tbl>
    <w:p>
      <w:pPr>
        <w:rPr>
          <w:color w:val="auto"/>
          <w:highlight w:val="none"/>
        </w:rPr>
      </w:pPr>
      <w:r>
        <w:rPr>
          <w:rFonts w:hint="eastAsia"/>
          <w:color w:val="auto"/>
          <w:highlight w:val="none"/>
        </w:rPr>
        <w:t>注：</w:t>
      </w:r>
      <w:r>
        <w:rPr>
          <w:color w:val="auto"/>
          <w:highlight w:val="none"/>
        </w:rPr>
        <w:t>1</w:t>
      </w:r>
      <w:r>
        <w:rPr>
          <w:rFonts w:hint="eastAsia"/>
          <w:color w:val="auto"/>
          <w:highlight w:val="none"/>
        </w:rPr>
        <w:t>、上表中技术要求中某些产品规格与品牌不符的应以品牌为准。产品的技术要求以设计图纸要求为准。</w:t>
      </w:r>
    </w:p>
    <w:p>
      <w:pPr>
        <w:ind w:firstLine="420" w:firstLineChars="200"/>
        <w:rPr>
          <w:color w:val="auto"/>
          <w:highlight w:val="none"/>
        </w:rPr>
      </w:pPr>
      <w:r>
        <w:rPr>
          <w:color w:val="auto"/>
          <w:highlight w:val="none"/>
        </w:rPr>
        <w:t>2</w:t>
      </w:r>
      <w:r>
        <w:rPr>
          <w:rFonts w:hint="eastAsia"/>
          <w:color w:val="auto"/>
          <w:highlight w:val="none"/>
        </w:rPr>
        <w:t>、上表中材料设备须从现行的发包人材料设备参考品牌库中选择。</w:t>
      </w:r>
    </w:p>
    <w:p>
      <w:pPr>
        <w:widowControl/>
        <w:jc w:val="left"/>
        <w:rPr>
          <w:color w:val="auto"/>
          <w:highlight w:val="none"/>
        </w:rPr>
      </w:pPr>
      <w:r>
        <w:rPr>
          <w:color w:val="auto"/>
          <w:highlight w:val="none"/>
        </w:rPr>
        <w:br w:type="page"/>
      </w:r>
      <w:bookmarkStart w:id="7803" w:name="_Toc505345744"/>
    </w:p>
    <w:p>
      <w:pPr>
        <w:widowControl/>
        <w:jc w:val="left"/>
        <w:rPr>
          <w:color w:val="auto"/>
          <w:highlight w:val="none"/>
        </w:rPr>
      </w:pPr>
    </w:p>
    <w:p>
      <w:pPr>
        <w:widowControl/>
        <w:jc w:val="left"/>
        <w:rPr>
          <w:color w:val="auto"/>
          <w:highlight w:val="none"/>
        </w:rPr>
      </w:pPr>
    </w:p>
    <w:p>
      <w:pPr>
        <w:widowControl/>
        <w:jc w:val="left"/>
        <w:rPr>
          <w:color w:val="auto"/>
          <w:highlight w:val="none"/>
        </w:rPr>
      </w:pPr>
    </w:p>
    <w:p>
      <w:pPr>
        <w:widowControl/>
        <w:jc w:val="left"/>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snapToGrid w:val="0"/>
        <w:spacing w:line="360" w:lineRule="auto"/>
        <w:jc w:val="center"/>
        <w:outlineLvl w:val="0"/>
        <w:rPr>
          <w:color w:val="auto"/>
          <w:sz w:val="44"/>
          <w:szCs w:val="44"/>
          <w:highlight w:val="none"/>
        </w:rPr>
      </w:pPr>
      <w:bookmarkStart w:id="7804" w:name="_Toc66634431"/>
      <w:bookmarkStart w:id="7805" w:name="_Toc69114172"/>
      <w:bookmarkStart w:id="7806" w:name="_Toc66890426"/>
      <w:r>
        <w:rPr>
          <w:rFonts w:hint="eastAsia"/>
          <w:color w:val="auto"/>
          <w:sz w:val="44"/>
          <w:szCs w:val="44"/>
          <w:highlight w:val="none"/>
        </w:rPr>
        <w:t>第四部分</w:t>
      </w:r>
      <w:r>
        <w:rPr>
          <w:color w:val="auto"/>
          <w:sz w:val="44"/>
          <w:szCs w:val="44"/>
          <w:highlight w:val="none"/>
        </w:rPr>
        <w:t xml:space="preserve">  </w:t>
      </w:r>
      <w:r>
        <w:rPr>
          <w:rFonts w:hint="eastAsia"/>
          <w:color w:val="auto"/>
          <w:sz w:val="44"/>
          <w:szCs w:val="44"/>
          <w:highlight w:val="none"/>
        </w:rPr>
        <w:t>给排水专业技术要求</w:t>
      </w:r>
      <w:bookmarkEnd w:id="7803"/>
      <w:bookmarkEnd w:id="7804"/>
      <w:bookmarkEnd w:id="7805"/>
      <w:bookmarkEnd w:id="7806"/>
    </w:p>
    <w:p>
      <w:pPr>
        <w:widowControl/>
        <w:jc w:val="left"/>
        <w:rPr>
          <w:rFonts w:ascii="黑体" w:hAnsi="黑体" w:eastAsia="黑体"/>
          <w:b/>
          <w:color w:val="auto"/>
          <w:sz w:val="32"/>
          <w:szCs w:val="32"/>
          <w:highlight w:val="none"/>
        </w:rPr>
      </w:pPr>
      <w:bookmarkStart w:id="7807" w:name="_Toc505345745"/>
      <w:bookmarkStart w:id="7808" w:name="_Toc380622834"/>
      <w:r>
        <w:rPr>
          <w:color w:val="auto"/>
          <w:highlight w:val="none"/>
        </w:rPr>
        <w:br w:type="page"/>
      </w:r>
    </w:p>
    <w:p>
      <w:pPr>
        <w:pStyle w:val="188"/>
        <w:spacing w:before="120" w:after="120"/>
        <w:outlineLvl w:val="1"/>
        <w:rPr>
          <w:color w:val="auto"/>
          <w:highlight w:val="none"/>
        </w:rPr>
      </w:pPr>
      <w:bookmarkStart w:id="7809" w:name="_Toc66890427"/>
      <w:bookmarkStart w:id="7810" w:name="_Toc66634432"/>
      <w:bookmarkStart w:id="7811" w:name="_Toc69114173"/>
      <w:r>
        <w:rPr>
          <w:rFonts w:hint="eastAsia"/>
          <w:color w:val="auto"/>
          <w:highlight w:val="none"/>
        </w:rPr>
        <w:t>第</w:t>
      </w:r>
      <w:r>
        <w:rPr>
          <w:color w:val="auto"/>
          <w:highlight w:val="none"/>
        </w:rPr>
        <w:t>1</w:t>
      </w:r>
      <w:r>
        <w:rPr>
          <w:rFonts w:hint="eastAsia"/>
          <w:color w:val="auto"/>
          <w:highlight w:val="none"/>
        </w:rPr>
        <w:t>章</w:t>
      </w:r>
      <w:r>
        <w:rPr>
          <w:color w:val="auto"/>
          <w:highlight w:val="none"/>
        </w:rPr>
        <w:t xml:space="preserve">  </w:t>
      </w:r>
      <w:r>
        <w:rPr>
          <w:rFonts w:hint="eastAsia"/>
          <w:color w:val="auto"/>
          <w:highlight w:val="none"/>
        </w:rPr>
        <w:t>工程简介</w:t>
      </w:r>
      <w:bookmarkEnd w:id="7807"/>
      <w:bookmarkEnd w:id="7809"/>
      <w:bookmarkEnd w:id="7810"/>
      <w:bookmarkEnd w:id="7811"/>
    </w:p>
    <w:p>
      <w:pPr>
        <w:pStyle w:val="217"/>
        <w:rPr>
          <w:color w:val="auto"/>
          <w:highlight w:val="none"/>
        </w:rPr>
      </w:pPr>
      <w:r>
        <w:rPr>
          <w:color w:val="auto"/>
          <w:highlight w:val="none"/>
        </w:rPr>
        <w:t>1.</w:t>
      </w:r>
      <w:r>
        <w:rPr>
          <w:rFonts w:hint="eastAsia"/>
          <w:color w:val="auto"/>
          <w:highlight w:val="none"/>
        </w:rPr>
        <w:t>本工程设有生活给水系统、污废水系统、雨水系统、消火栓系统、自动喷水灭火系统、大空间智能型主动喷水灭火系统以及气体自动灭火系统等。</w:t>
      </w:r>
    </w:p>
    <w:p>
      <w:pPr>
        <w:pStyle w:val="217"/>
        <w:rPr>
          <w:color w:val="auto"/>
          <w:highlight w:val="none"/>
        </w:rPr>
      </w:pPr>
      <w:r>
        <w:rPr>
          <w:color w:val="auto"/>
          <w:highlight w:val="none"/>
        </w:rPr>
        <w:t>2.</w:t>
      </w:r>
      <w:r>
        <w:rPr>
          <w:rFonts w:hint="eastAsia"/>
          <w:color w:val="auto"/>
          <w:highlight w:val="none"/>
        </w:rPr>
        <w:t>室外道路给水管线包括常压给水管、加压给水管及加压消防管。由于受道路纵坡影响，设计各类管道之间的间隙控制有限，施工时要严格控制标高，避免发生管道相碰现象。施工前请复核各设计管线处的管线位置及标高，无误后方可施工。管基采用砂垫基础，如遇岩石、硬土层、松软而不稳定的土壤或高度膨胀土壤，可增加砂垫层厚度以达到管底支撑要求。所有管材、附件及其它材料，均应符合设计图纸和现行标准要求，并且有出厂合格证。</w:t>
      </w:r>
    </w:p>
    <w:p>
      <w:pPr>
        <w:rPr>
          <w:color w:val="auto"/>
          <w:highlight w:val="none"/>
        </w:rPr>
      </w:pPr>
    </w:p>
    <w:bookmarkEnd w:id="7808"/>
    <w:p>
      <w:pPr>
        <w:pStyle w:val="188"/>
        <w:spacing w:before="120" w:after="120"/>
        <w:outlineLvl w:val="1"/>
        <w:rPr>
          <w:color w:val="auto"/>
          <w:highlight w:val="none"/>
        </w:rPr>
      </w:pPr>
      <w:bookmarkStart w:id="7812" w:name="_Toc66634433"/>
      <w:bookmarkStart w:id="7813" w:name="_Toc505345746"/>
      <w:bookmarkStart w:id="7814" w:name="_Toc66890428"/>
      <w:bookmarkStart w:id="7815" w:name="_Toc69114174"/>
      <w:r>
        <w:rPr>
          <w:rFonts w:hint="eastAsia"/>
          <w:color w:val="auto"/>
          <w:highlight w:val="none"/>
        </w:rPr>
        <w:t>第</w:t>
      </w:r>
      <w:r>
        <w:rPr>
          <w:color w:val="auto"/>
          <w:highlight w:val="none"/>
        </w:rPr>
        <w:t>2</w:t>
      </w:r>
      <w:r>
        <w:rPr>
          <w:rFonts w:hint="eastAsia"/>
          <w:color w:val="auto"/>
          <w:highlight w:val="none"/>
        </w:rPr>
        <w:t>章</w:t>
      </w:r>
      <w:r>
        <w:rPr>
          <w:color w:val="auto"/>
          <w:highlight w:val="none"/>
        </w:rPr>
        <w:t xml:space="preserve">  </w:t>
      </w:r>
      <w:r>
        <w:rPr>
          <w:rFonts w:hint="eastAsia"/>
          <w:color w:val="auto"/>
          <w:highlight w:val="none"/>
        </w:rPr>
        <w:t>总则</w:t>
      </w:r>
      <w:bookmarkEnd w:id="7812"/>
      <w:bookmarkEnd w:id="7813"/>
      <w:bookmarkEnd w:id="7814"/>
      <w:bookmarkEnd w:id="7815"/>
    </w:p>
    <w:p>
      <w:pPr>
        <w:pStyle w:val="113"/>
        <w:spacing w:before="120" w:after="120"/>
        <w:outlineLvl w:val="2"/>
        <w:rPr>
          <w:color w:val="auto"/>
          <w:highlight w:val="none"/>
        </w:rPr>
      </w:pPr>
      <w:bookmarkStart w:id="7816" w:name="_Toc69114175"/>
      <w:bookmarkStart w:id="7817" w:name="_Toc66634434"/>
      <w:bookmarkStart w:id="7818" w:name="_Toc66890429"/>
      <w:bookmarkStart w:id="7819" w:name="_Toc505345747"/>
      <w:r>
        <w:rPr>
          <w:color w:val="auto"/>
          <w:highlight w:val="none"/>
        </w:rPr>
        <w:t xml:space="preserve">2.1 </w:t>
      </w:r>
      <w:r>
        <w:rPr>
          <w:rFonts w:hint="eastAsia"/>
          <w:color w:val="auto"/>
          <w:highlight w:val="none"/>
        </w:rPr>
        <w:t>承包人须协助发包人与有关政府部门及公用事业机构协调和沟通</w:t>
      </w:r>
      <w:bookmarkEnd w:id="7816"/>
      <w:bookmarkEnd w:id="7817"/>
      <w:bookmarkEnd w:id="7818"/>
      <w:bookmarkEnd w:id="7819"/>
    </w:p>
    <w:p>
      <w:pPr>
        <w:pStyle w:val="217"/>
        <w:rPr>
          <w:color w:val="auto"/>
          <w:highlight w:val="none"/>
        </w:rPr>
      </w:pPr>
      <w:r>
        <w:rPr>
          <w:color w:val="auto"/>
          <w:highlight w:val="none"/>
        </w:rPr>
        <w:t>1.</w:t>
      </w:r>
      <w:r>
        <w:rPr>
          <w:rFonts w:hint="eastAsia"/>
          <w:color w:val="auto"/>
          <w:highlight w:val="none"/>
        </w:rPr>
        <w:t>承包人须提供所需的有关资料，包括图纸、样品、产品说明等向政府部门或公用事业机构申报，若所有须送审的有关资料未能达到有关政府部门的要求而需重新申报的，由此而导致工期延误及所引起的一切费用损失等全部由承包人负责。</w:t>
      </w:r>
    </w:p>
    <w:p>
      <w:pPr>
        <w:pStyle w:val="217"/>
        <w:rPr>
          <w:color w:val="auto"/>
          <w:highlight w:val="none"/>
        </w:rPr>
      </w:pPr>
      <w:r>
        <w:rPr>
          <w:color w:val="auto"/>
          <w:highlight w:val="none"/>
        </w:rPr>
        <w:t>2.</w:t>
      </w:r>
      <w:r>
        <w:rPr>
          <w:rFonts w:hint="eastAsia"/>
          <w:color w:val="auto"/>
          <w:highlight w:val="none"/>
        </w:rPr>
        <w:t>如因与有关政府部门及公用事业机构缺乏协调和沟通而导致已安装的设备或系统需作更改或拆除，承包人除须负起所有有关的费用和因此而导致工期延误的责任外，仍须对发包人作出相应的赔偿。</w:t>
      </w:r>
    </w:p>
    <w:p>
      <w:pPr>
        <w:pStyle w:val="113"/>
        <w:spacing w:before="120" w:after="120"/>
        <w:outlineLvl w:val="2"/>
        <w:rPr>
          <w:color w:val="auto"/>
          <w:highlight w:val="none"/>
        </w:rPr>
      </w:pPr>
      <w:bookmarkStart w:id="7820" w:name="_Toc505345748"/>
      <w:bookmarkStart w:id="7821" w:name="_Toc66634435"/>
      <w:bookmarkStart w:id="7822" w:name="_Toc66890430"/>
      <w:bookmarkStart w:id="7823" w:name="_Toc69114176"/>
      <w:r>
        <w:rPr>
          <w:color w:val="auto"/>
          <w:highlight w:val="none"/>
        </w:rPr>
        <w:t xml:space="preserve">2.2 </w:t>
      </w:r>
      <w:r>
        <w:rPr>
          <w:rFonts w:hint="eastAsia"/>
          <w:color w:val="auto"/>
          <w:highlight w:val="none"/>
        </w:rPr>
        <w:t>与其他承包人的协调及配合</w:t>
      </w:r>
      <w:bookmarkEnd w:id="7820"/>
      <w:bookmarkEnd w:id="7821"/>
      <w:bookmarkEnd w:id="7822"/>
      <w:bookmarkEnd w:id="7823"/>
    </w:p>
    <w:p>
      <w:pPr>
        <w:pStyle w:val="217"/>
        <w:rPr>
          <w:color w:val="auto"/>
          <w:highlight w:val="none"/>
        </w:rPr>
      </w:pPr>
      <w:r>
        <w:rPr>
          <w:color w:val="auto"/>
          <w:highlight w:val="none"/>
        </w:rPr>
        <w:t>1.</w:t>
      </w:r>
      <w:r>
        <w:rPr>
          <w:rFonts w:hint="eastAsia"/>
          <w:color w:val="auto"/>
          <w:highlight w:val="none"/>
        </w:rPr>
        <w:t>承包人须与本项目其他承包人协调与合作，以确保在分工点上能与其他承包人满意地配合，并确保其负责的工作是按照正确的程序和方式进行。</w:t>
      </w:r>
    </w:p>
    <w:p>
      <w:pPr>
        <w:pStyle w:val="217"/>
        <w:rPr>
          <w:color w:val="auto"/>
          <w:highlight w:val="none"/>
        </w:rPr>
      </w:pPr>
      <w:r>
        <w:rPr>
          <w:color w:val="auto"/>
          <w:highlight w:val="none"/>
        </w:rPr>
        <w:t>2.</w:t>
      </w:r>
      <w:r>
        <w:rPr>
          <w:rFonts w:hint="eastAsia"/>
          <w:color w:val="auto"/>
          <w:highlight w:val="none"/>
        </w:rPr>
        <w:t>承包人须负责在有关工序施工前复核由其他承包人为配合本项目所提供的各项设施和配备是否准确及适用。</w:t>
      </w:r>
    </w:p>
    <w:p>
      <w:pPr>
        <w:pStyle w:val="217"/>
        <w:rPr>
          <w:color w:val="auto"/>
          <w:highlight w:val="none"/>
        </w:rPr>
      </w:pPr>
      <w:r>
        <w:rPr>
          <w:color w:val="auto"/>
          <w:highlight w:val="none"/>
        </w:rPr>
        <w:t>3.</w:t>
      </w:r>
      <w:r>
        <w:rPr>
          <w:rFonts w:hint="eastAsia"/>
          <w:color w:val="auto"/>
          <w:highlight w:val="none"/>
        </w:rPr>
        <w:t>承包人须遵从发包人和监理工程师</w:t>
      </w:r>
      <w:r>
        <w:rPr>
          <w:rFonts w:hint="eastAsia"/>
          <w:color w:val="auto"/>
          <w:highlight w:val="none"/>
          <w:lang w:eastAsia="zh-CN"/>
        </w:rPr>
        <w:t>书面</w:t>
      </w:r>
      <w:r>
        <w:rPr>
          <w:rFonts w:hint="eastAsia"/>
          <w:color w:val="auto"/>
          <w:highlight w:val="none"/>
        </w:rPr>
        <w:t>批准的施工图纸及专业之间相配合的施工工序进行安装。否则而引致任何一方或多方承包人需要修改或返工的由承包人须负所有责任。</w:t>
      </w:r>
    </w:p>
    <w:p>
      <w:pPr>
        <w:pStyle w:val="113"/>
        <w:spacing w:before="120" w:after="120"/>
        <w:outlineLvl w:val="2"/>
        <w:rPr>
          <w:color w:val="auto"/>
          <w:highlight w:val="none"/>
        </w:rPr>
      </w:pPr>
      <w:bookmarkStart w:id="7824" w:name="_Toc66634436"/>
      <w:bookmarkStart w:id="7825" w:name="_Toc505345749"/>
      <w:bookmarkStart w:id="7826" w:name="_Toc66890431"/>
      <w:bookmarkStart w:id="7827" w:name="_Toc69114177"/>
      <w:r>
        <w:rPr>
          <w:color w:val="auto"/>
          <w:highlight w:val="none"/>
        </w:rPr>
        <w:t xml:space="preserve">2.3 </w:t>
      </w:r>
      <w:r>
        <w:rPr>
          <w:rFonts w:hint="eastAsia"/>
          <w:color w:val="auto"/>
          <w:highlight w:val="none"/>
        </w:rPr>
        <w:t>质量保证</w:t>
      </w:r>
      <w:bookmarkEnd w:id="7824"/>
      <w:bookmarkEnd w:id="7825"/>
      <w:bookmarkEnd w:id="7826"/>
      <w:bookmarkEnd w:id="7827"/>
    </w:p>
    <w:p>
      <w:pPr>
        <w:pStyle w:val="172"/>
        <w:rPr>
          <w:color w:val="auto"/>
          <w:highlight w:val="none"/>
        </w:rPr>
      </w:pPr>
      <w:r>
        <w:rPr>
          <w:color w:val="auto"/>
          <w:highlight w:val="none"/>
        </w:rPr>
        <w:t xml:space="preserve">2.3.1 </w:t>
      </w:r>
      <w:r>
        <w:rPr>
          <w:rFonts w:hint="eastAsia"/>
          <w:color w:val="auto"/>
          <w:highlight w:val="none"/>
        </w:rPr>
        <w:t>产品质量保证</w:t>
      </w:r>
    </w:p>
    <w:p>
      <w:pPr>
        <w:pStyle w:val="217"/>
        <w:rPr>
          <w:color w:val="auto"/>
          <w:highlight w:val="none"/>
        </w:rPr>
      </w:pPr>
      <w:r>
        <w:rPr>
          <w:color w:val="auto"/>
          <w:highlight w:val="none"/>
        </w:rPr>
        <w:t>1.</w:t>
      </w:r>
      <w:r>
        <w:rPr>
          <w:rFonts w:hint="eastAsia"/>
          <w:color w:val="auto"/>
          <w:highlight w:val="none"/>
        </w:rPr>
        <w:t>生产商的资格证明：</w:t>
      </w:r>
    </w:p>
    <w:p>
      <w:pPr>
        <w:pStyle w:val="217"/>
        <w:rPr>
          <w:color w:val="auto"/>
          <w:highlight w:val="none"/>
        </w:rPr>
      </w:pPr>
      <w:r>
        <w:rPr>
          <w:rFonts w:hint="eastAsia"/>
          <w:color w:val="auto"/>
          <w:highlight w:val="none"/>
        </w:rPr>
        <w:t>承包人提供的所有材料和设备必须是符合国家、地方及行业的规范、标准及规程。其生产厂家须具有</w:t>
      </w:r>
      <w:r>
        <w:rPr>
          <w:color w:val="auto"/>
          <w:highlight w:val="none"/>
        </w:rPr>
        <w:t>5</w:t>
      </w:r>
      <w:r>
        <w:rPr>
          <w:rFonts w:hint="eastAsia"/>
          <w:color w:val="auto"/>
          <w:highlight w:val="none"/>
        </w:rPr>
        <w:t>年或以上生产同类产品的经验和业绩。</w:t>
      </w:r>
    </w:p>
    <w:p>
      <w:pPr>
        <w:pStyle w:val="217"/>
        <w:rPr>
          <w:color w:val="auto"/>
          <w:highlight w:val="none"/>
        </w:rPr>
      </w:pPr>
      <w:r>
        <w:rPr>
          <w:rFonts w:hint="eastAsia"/>
          <w:color w:val="auto"/>
          <w:highlight w:val="none"/>
        </w:rPr>
        <w:t>承包人须提交有关生产厂家的资质证明文件。</w:t>
      </w:r>
    </w:p>
    <w:p>
      <w:pPr>
        <w:pStyle w:val="217"/>
        <w:rPr>
          <w:color w:val="auto"/>
          <w:highlight w:val="none"/>
        </w:rPr>
      </w:pPr>
      <w:r>
        <w:rPr>
          <w:color w:val="auto"/>
          <w:highlight w:val="none"/>
        </w:rPr>
        <w:t>2.</w:t>
      </w:r>
      <w:r>
        <w:rPr>
          <w:rFonts w:hint="eastAsia"/>
          <w:color w:val="auto"/>
          <w:highlight w:val="none"/>
        </w:rPr>
        <w:t>适用的规范、标准和当地条例：</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）本技术要求所列的有关规范、标准是指签定合同时所颁布的最新版本。若对某些要求未有列明，则有关的细节、材料、设备和工艺要求应参照相关的国内或国际标准，取较高者为依据。</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所有给水、排水系统材料、设备装置还应遵照当地的法规或条例。倘若当地法规或条例对系统的设计、材料或设备的选型产生影响时，虽然本技术要求或许没有特别指明，但所提供的系统、材料和设备必须符合有关条例的要求。</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）承包人需负责向当地有关政府部门、机构和管理单位取得有关设备厂、装置所要的批准文件。一切有关费用需包括在标价内。若因有关设备、装置未能获得相应的</w:t>
      </w:r>
      <w:r>
        <w:rPr>
          <w:rFonts w:hint="eastAsia"/>
          <w:color w:val="auto"/>
          <w:highlight w:val="none"/>
          <w:lang w:eastAsia="zh-CN"/>
        </w:rPr>
        <w:t>书面</w:t>
      </w:r>
      <w:r>
        <w:rPr>
          <w:rFonts w:hint="eastAsia"/>
          <w:color w:val="auto"/>
          <w:highlight w:val="none"/>
        </w:rPr>
        <w:t>批准。因此而引致工期延误，一切费用损失均由承包人负责。</w:t>
      </w:r>
    </w:p>
    <w:p>
      <w:pPr>
        <w:pStyle w:val="217"/>
        <w:rPr>
          <w:color w:val="auto"/>
          <w:highlight w:val="none"/>
        </w:rPr>
      </w:pPr>
      <w:r>
        <w:rPr>
          <w:color w:val="auto"/>
          <w:highlight w:val="none"/>
        </w:rPr>
        <w:t>3.</w:t>
      </w:r>
      <w:r>
        <w:rPr>
          <w:rFonts w:hint="eastAsia"/>
          <w:color w:val="auto"/>
          <w:highlight w:val="none"/>
        </w:rPr>
        <w:t>制造商要求：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）营业执照所示营业范围应符合要求。</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）制造商应通过</w:t>
      </w:r>
      <w:r>
        <w:rPr>
          <w:color w:val="auto"/>
          <w:highlight w:val="none"/>
        </w:rPr>
        <w:t>ISO9001</w:t>
      </w:r>
      <w:r>
        <w:rPr>
          <w:rFonts w:hint="eastAsia"/>
          <w:color w:val="auto"/>
          <w:highlight w:val="none"/>
        </w:rPr>
        <w:t>：</w:t>
      </w:r>
      <w:r>
        <w:rPr>
          <w:color w:val="auto"/>
          <w:highlight w:val="none"/>
        </w:rPr>
        <w:t>2000</w:t>
      </w:r>
      <w:r>
        <w:rPr>
          <w:rFonts w:hint="eastAsia"/>
          <w:color w:val="auto"/>
          <w:highlight w:val="none"/>
        </w:rPr>
        <w:t>质量管理体系认证及</w:t>
      </w:r>
      <w:r>
        <w:rPr>
          <w:color w:val="auto"/>
          <w:highlight w:val="none"/>
        </w:rPr>
        <w:t>ISO14001</w:t>
      </w:r>
      <w:r>
        <w:rPr>
          <w:rFonts w:hint="eastAsia"/>
          <w:color w:val="auto"/>
          <w:highlight w:val="none"/>
        </w:rPr>
        <w:t>：</w:t>
      </w:r>
      <w:r>
        <w:rPr>
          <w:color w:val="auto"/>
          <w:highlight w:val="none"/>
        </w:rPr>
        <w:t xml:space="preserve">1996 </w:t>
      </w:r>
      <w:r>
        <w:rPr>
          <w:rFonts w:hint="eastAsia"/>
          <w:color w:val="auto"/>
          <w:highlight w:val="none"/>
        </w:rPr>
        <w:t>环境管理体系认证。</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）制造商在深圳地区设有完善的售后服务机构。</w:t>
      </w:r>
    </w:p>
    <w:p>
      <w:pPr>
        <w:pStyle w:val="172"/>
        <w:rPr>
          <w:color w:val="auto"/>
          <w:highlight w:val="none"/>
        </w:rPr>
      </w:pPr>
      <w:r>
        <w:rPr>
          <w:color w:val="auto"/>
          <w:highlight w:val="none"/>
        </w:rPr>
        <w:t xml:space="preserve">2.3.2 </w:t>
      </w:r>
      <w:r>
        <w:rPr>
          <w:rFonts w:hint="eastAsia"/>
          <w:color w:val="auto"/>
          <w:highlight w:val="none"/>
        </w:rPr>
        <w:t>设备的制造及种类</w:t>
      </w:r>
    </w:p>
    <w:p>
      <w:pPr>
        <w:pStyle w:val="217"/>
        <w:rPr>
          <w:color w:val="auto"/>
          <w:highlight w:val="none"/>
        </w:rPr>
      </w:pPr>
      <w:r>
        <w:rPr>
          <w:color w:val="auto"/>
          <w:highlight w:val="none"/>
        </w:rPr>
        <w:t>1.</w:t>
      </w:r>
      <w:r>
        <w:rPr>
          <w:rFonts w:hint="eastAsia"/>
          <w:color w:val="auto"/>
          <w:highlight w:val="none"/>
        </w:rPr>
        <w:t>本工程招标文件足可以让承包人进行投标以及提供其所建议的设备及安装方法，同时也能保证有关设备能完全符合其技术要求，并能配合建筑结构方面为本系统所作的安排。</w:t>
      </w:r>
    </w:p>
    <w:p>
      <w:pPr>
        <w:pStyle w:val="217"/>
        <w:rPr>
          <w:color w:val="auto"/>
          <w:highlight w:val="none"/>
        </w:rPr>
      </w:pPr>
      <w:r>
        <w:rPr>
          <w:color w:val="auto"/>
          <w:highlight w:val="none"/>
        </w:rPr>
        <w:t>2.</w:t>
      </w:r>
      <w:r>
        <w:rPr>
          <w:rFonts w:hint="eastAsia"/>
          <w:color w:val="auto"/>
          <w:highlight w:val="none"/>
        </w:rPr>
        <w:t>在任何情况下，若发包人认为所呈报的投标文件其内容违反本工程招标文件的要求和精神，又或企图修改其文件的条款、工程范围或其他要求时，发包人保留其拒绝接受该类投标的权利。</w:t>
      </w:r>
    </w:p>
    <w:p>
      <w:pPr>
        <w:pStyle w:val="217"/>
        <w:rPr>
          <w:color w:val="auto"/>
          <w:highlight w:val="none"/>
        </w:rPr>
      </w:pPr>
      <w:r>
        <w:rPr>
          <w:color w:val="auto"/>
          <w:highlight w:val="none"/>
        </w:rPr>
        <w:t>3.</w:t>
      </w:r>
      <w:r>
        <w:rPr>
          <w:rFonts w:hint="eastAsia"/>
          <w:color w:val="auto"/>
          <w:highlight w:val="none"/>
        </w:rPr>
        <w:t>承包人选择设备的制造和种类时，应确保提供适当的保养、维修和更换方面的措施并不会造成延误而导致对发包人的不便或损失。</w:t>
      </w:r>
    </w:p>
    <w:p>
      <w:pPr>
        <w:pStyle w:val="217"/>
        <w:rPr>
          <w:color w:val="auto"/>
          <w:highlight w:val="none"/>
        </w:rPr>
      </w:pPr>
      <w:r>
        <w:rPr>
          <w:color w:val="auto"/>
          <w:highlight w:val="none"/>
        </w:rPr>
        <w:t>4.</w:t>
      </w:r>
      <w:r>
        <w:rPr>
          <w:rFonts w:hint="eastAsia"/>
          <w:color w:val="auto"/>
          <w:highlight w:val="none"/>
        </w:rPr>
        <w:t>所有选用的设备及材料不可含有石棉或石棉产品物质。</w:t>
      </w:r>
    </w:p>
    <w:p>
      <w:pPr>
        <w:pStyle w:val="172"/>
        <w:rPr>
          <w:color w:val="auto"/>
          <w:highlight w:val="none"/>
        </w:rPr>
      </w:pPr>
      <w:r>
        <w:rPr>
          <w:color w:val="auto"/>
          <w:highlight w:val="none"/>
        </w:rPr>
        <w:t xml:space="preserve">2.3.3 </w:t>
      </w:r>
      <w:r>
        <w:rPr>
          <w:rFonts w:hint="eastAsia"/>
          <w:color w:val="auto"/>
          <w:highlight w:val="none"/>
        </w:rPr>
        <w:t>保证</w:t>
      </w:r>
    </w:p>
    <w:p>
      <w:pPr>
        <w:pStyle w:val="217"/>
        <w:rPr>
          <w:color w:val="auto"/>
          <w:highlight w:val="none"/>
        </w:rPr>
      </w:pPr>
      <w:r>
        <w:rPr>
          <w:color w:val="auto"/>
          <w:highlight w:val="none"/>
        </w:rPr>
        <w:t>1.</w:t>
      </w:r>
      <w:r>
        <w:rPr>
          <w:rFonts w:hint="eastAsia"/>
          <w:color w:val="auto"/>
          <w:highlight w:val="none"/>
        </w:rPr>
        <w:t>承包人须保证整个给水、排水系统的安装与运作均达到有关部门的要求。</w:t>
      </w:r>
    </w:p>
    <w:p>
      <w:pPr>
        <w:pStyle w:val="217"/>
        <w:rPr>
          <w:color w:val="auto"/>
          <w:highlight w:val="none"/>
        </w:rPr>
      </w:pPr>
      <w:r>
        <w:rPr>
          <w:color w:val="auto"/>
          <w:highlight w:val="none"/>
        </w:rPr>
        <w:t>2.</w:t>
      </w:r>
      <w:r>
        <w:rPr>
          <w:rFonts w:hint="eastAsia"/>
          <w:color w:val="auto"/>
          <w:highlight w:val="none"/>
        </w:rPr>
        <w:t>承包人须保证其所提供的设备或配件，无论是从本技术要求内拣选或由承包人自行选择者，均能按要求在任何工作环境下正常操作。</w:t>
      </w:r>
    </w:p>
    <w:p>
      <w:pPr>
        <w:pStyle w:val="217"/>
        <w:rPr>
          <w:color w:val="auto"/>
          <w:highlight w:val="none"/>
        </w:rPr>
      </w:pPr>
      <w:r>
        <w:rPr>
          <w:color w:val="auto"/>
          <w:highlight w:val="none"/>
        </w:rPr>
        <w:t>3.</w:t>
      </w:r>
      <w:r>
        <w:rPr>
          <w:rFonts w:hint="eastAsia"/>
          <w:color w:val="auto"/>
          <w:highlight w:val="none"/>
        </w:rPr>
        <w:t>保证期是自获得本合同开始直至竣工证书发出日起计两年为止。</w:t>
      </w:r>
    </w:p>
    <w:p>
      <w:pPr>
        <w:pStyle w:val="217"/>
        <w:rPr>
          <w:color w:val="auto"/>
          <w:highlight w:val="none"/>
        </w:rPr>
      </w:pPr>
      <w:r>
        <w:rPr>
          <w:color w:val="auto"/>
          <w:highlight w:val="none"/>
        </w:rPr>
        <w:t>4.</w:t>
      </w:r>
      <w:r>
        <w:rPr>
          <w:rFonts w:hint="eastAsia"/>
          <w:color w:val="auto"/>
          <w:highlight w:val="none"/>
        </w:rPr>
        <w:t>承包人如认为本技术要求或图纸中的要求及说明，对其所保证或所负的责任并不适用或不一致，必须于投标时提出。</w:t>
      </w:r>
    </w:p>
    <w:p>
      <w:pPr>
        <w:pStyle w:val="217"/>
        <w:rPr>
          <w:color w:val="auto"/>
          <w:highlight w:val="none"/>
        </w:rPr>
      </w:pPr>
      <w:r>
        <w:rPr>
          <w:color w:val="auto"/>
          <w:highlight w:val="none"/>
        </w:rPr>
        <w:t>5.</w:t>
      </w:r>
      <w:r>
        <w:rPr>
          <w:rFonts w:hint="eastAsia"/>
          <w:color w:val="auto"/>
          <w:highlight w:val="none"/>
        </w:rPr>
        <w:t>若在本工程合约保证期满后发现系统上潜在缺陷，而经发包人和监理工程师认为乃由承包人的工料和施工方法不符合要求而引致的，承包人须负全责免费更换或修正，而不能以保证期届满、维修保养证书已签发、发包方已接收、安装、工料或施工方案已获批准等理由借口推诿。</w:t>
      </w:r>
    </w:p>
    <w:p>
      <w:pPr>
        <w:pStyle w:val="172"/>
        <w:rPr>
          <w:color w:val="auto"/>
          <w:highlight w:val="none"/>
        </w:rPr>
      </w:pPr>
      <w:r>
        <w:rPr>
          <w:color w:val="auto"/>
          <w:highlight w:val="none"/>
        </w:rPr>
        <w:t xml:space="preserve">2.3.4 </w:t>
      </w:r>
      <w:r>
        <w:rPr>
          <w:rFonts w:hint="eastAsia"/>
          <w:color w:val="auto"/>
          <w:highlight w:val="none"/>
        </w:rPr>
        <w:t>设备的更改</w:t>
      </w:r>
    </w:p>
    <w:p>
      <w:pPr>
        <w:pStyle w:val="217"/>
        <w:rPr>
          <w:color w:val="auto"/>
          <w:highlight w:val="none"/>
        </w:rPr>
      </w:pPr>
      <w:r>
        <w:rPr>
          <w:color w:val="auto"/>
          <w:highlight w:val="none"/>
        </w:rPr>
        <w:t>1.</w:t>
      </w:r>
      <w:r>
        <w:rPr>
          <w:rFonts w:hint="eastAsia"/>
          <w:color w:val="auto"/>
          <w:highlight w:val="none"/>
        </w:rPr>
        <w:t>在本工程合同签定后，承包人是不允许使用非招标人建议参考品牌范围内的设备或材料。若在特殊情况下，承包人需更改某产品，则须以书面提交合理解释及证明文件。重新建议的设备或材料制，必须在本标书的接受生产商清单内挑选，并同时获得业主的书面批准方可使用，而且该设备和材料也必须达到本合约的技术要求。此外，如有额外费用或合约上的责任应由承包人完全负责。</w:t>
      </w:r>
    </w:p>
    <w:p>
      <w:pPr>
        <w:pStyle w:val="217"/>
        <w:rPr>
          <w:color w:val="auto"/>
          <w:highlight w:val="none"/>
        </w:rPr>
      </w:pPr>
      <w:r>
        <w:rPr>
          <w:color w:val="auto"/>
          <w:highlight w:val="none"/>
        </w:rPr>
        <w:t>2.</w:t>
      </w:r>
      <w:r>
        <w:rPr>
          <w:rFonts w:hint="eastAsia"/>
          <w:color w:val="auto"/>
          <w:highlight w:val="none"/>
        </w:rPr>
        <w:t>承包人须明白任何更改合同上承诺的材料及设备通常会导致审批时间的延迟，承包人需对有关的延误负全部责任。</w:t>
      </w:r>
    </w:p>
    <w:p>
      <w:pPr>
        <w:pStyle w:val="113"/>
        <w:spacing w:before="120" w:after="120"/>
        <w:rPr>
          <w:color w:val="auto"/>
          <w:highlight w:val="none"/>
        </w:rPr>
      </w:pPr>
      <w:r>
        <w:rPr>
          <w:color w:val="auto"/>
          <w:highlight w:val="none"/>
        </w:rPr>
        <w:t xml:space="preserve">2.3.5 </w:t>
      </w:r>
      <w:r>
        <w:rPr>
          <w:rFonts w:hint="eastAsia"/>
          <w:color w:val="auto"/>
          <w:highlight w:val="none"/>
        </w:rPr>
        <w:t>拒绝不适合的材料</w:t>
      </w:r>
    </w:p>
    <w:p>
      <w:pPr>
        <w:pStyle w:val="217"/>
        <w:rPr>
          <w:color w:val="auto"/>
          <w:highlight w:val="none"/>
        </w:rPr>
      </w:pPr>
      <w:r>
        <w:rPr>
          <w:color w:val="auto"/>
          <w:highlight w:val="none"/>
        </w:rPr>
        <w:t>1.</w:t>
      </w:r>
      <w:r>
        <w:rPr>
          <w:rFonts w:hint="eastAsia"/>
          <w:color w:val="auto"/>
          <w:highlight w:val="none"/>
        </w:rPr>
        <w:t>发包人</w:t>
      </w:r>
      <w:r>
        <w:rPr>
          <w:color w:val="auto"/>
          <w:highlight w:val="none"/>
        </w:rPr>
        <w:t>/</w:t>
      </w:r>
      <w:r>
        <w:rPr>
          <w:rFonts w:hint="eastAsia"/>
          <w:color w:val="auto"/>
          <w:highlight w:val="none"/>
        </w:rPr>
        <w:t>监理工程师有权拒绝接受任何不符合本技术要求的设备、材料和工艺，并同时有权命令承包人将不符合要求的设备、材料和安装拆除和更换，因此而导致工期延误及一切有关费用均由承包人负责。</w:t>
      </w:r>
    </w:p>
    <w:p>
      <w:pPr>
        <w:pStyle w:val="217"/>
        <w:rPr>
          <w:color w:val="auto"/>
          <w:highlight w:val="none"/>
        </w:rPr>
      </w:pPr>
      <w:r>
        <w:rPr>
          <w:color w:val="auto"/>
          <w:highlight w:val="none"/>
        </w:rPr>
        <w:t>2.</w:t>
      </w:r>
      <w:r>
        <w:rPr>
          <w:rFonts w:hint="eastAsia"/>
          <w:color w:val="auto"/>
          <w:highlight w:val="none"/>
        </w:rPr>
        <w:t>不合格而被拒绝的材料或安装，不能够成逾期完工的原因或借口。</w:t>
      </w:r>
    </w:p>
    <w:p>
      <w:pPr>
        <w:pStyle w:val="172"/>
        <w:rPr>
          <w:color w:val="auto"/>
          <w:highlight w:val="none"/>
        </w:rPr>
      </w:pPr>
      <w:r>
        <w:rPr>
          <w:color w:val="auto"/>
          <w:highlight w:val="none"/>
        </w:rPr>
        <w:t xml:space="preserve">2.3.6 </w:t>
      </w:r>
      <w:r>
        <w:rPr>
          <w:rFonts w:hint="eastAsia"/>
          <w:color w:val="auto"/>
          <w:highlight w:val="none"/>
        </w:rPr>
        <w:t>包装和保护</w:t>
      </w:r>
    </w:p>
    <w:p>
      <w:pPr>
        <w:pStyle w:val="217"/>
        <w:rPr>
          <w:color w:val="auto"/>
          <w:highlight w:val="none"/>
        </w:rPr>
      </w:pPr>
      <w:r>
        <w:rPr>
          <w:color w:val="auto"/>
          <w:highlight w:val="none"/>
        </w:rPr>
        <w:t>1.</w:t>
      </w:r>
      <w:r>
        <w:rPr>
          <w:rFonts w:hint="eastAsia"/>
          <w:color w:val="auto"/>
          <w:highlight w:val="none"/>
        </w:rPr>
        <w:t>所有运送到工地的设备和材料均应保持全新的状态，并应有适当的包装和保护以避免在运送和储存过程中造成损坏。</w:t>
      </w:r>
    </w:p>
    <w:p>
      <w:pPr>
        <w:pStyle w:val="217"/>
        <w:rPr>
          <w:color w:val="auto"/>
          <w:highlight w:val="none"/>
        </w:rPr>
      </w:pPr>
      <w:r>
        <w:rPr>
          <w:color w:val="auto"/>
          <w:highlight w:val="none"/>
        </w:rPr>
        <w:t>2.</w:t>
      </w:r>
      <w:r>
        <w:rPr>
          <w:rFonts w:hint="eastAsia"/>
          <w:color w:val="auto"/>
          <w:highlight w:val="none"/>
        </w:rPr>
        <w:t>所有运送过程中或于工地上受损毁的设备或材料，将被拒绝接受，承包人必须作无偿更换。因更换设备或材料而要求延长工期将不获接纳。</w:t>
      </w:r>
    </w:p>
    <w:p>
      <w:pPr>
        <w:pStyle w:val="217"/>
        <w:rPr>
          <w:color w:val="auto"/>
          <w:highlight w:val="none"/>
        </w:rPr>
      </w:pPr>
      <w:r>
        <w:rPr>
          <w:color w:val="auto"/>
          <w:highlight w:val="none"/>
        </w:rPr>
        <w:t>3.</w:t>
      </w:r>
      <w:r>
        <w:rPr>
          <w:rFonts w:hint="eastAsia"/>
          <w:color w:val="auto"/>
          <w:highlight w:val="none"/>
        </w:rPr>
        <w:t>承包人应该明白，工地现场可供存放物料的场地极为有限，因此承包人对大型设备的进场必须事先有详细的计划和安排并提出切实可行的运送方案。临时储存地一般是不会提供的。</w:t>
      </w:r>
    </w:p>
    <w:p>
      <w:pPr>
        <w:pStyle w:val="172"/>
        <w:rPr>
          <w:color w:val="auto"/>
          <w:highlight w:val="none"/>
        </w:rPr>
      </w:pPr>
      <w:r>
        <w:rPr>
          <w:color w:val="auto"/>
          <w:highlight w:val="none"/>
        </w:rPr>
        <w:t xml:space="preserve">2.3.7 </w:t>
      </w:r>
      <w:r>
        <w:rPr>
          <w:rFonts w:hint="eastAsia"/>
          <w:color w:val="auto"/>
          <w:highlight w:val="none"/>
        </w:rPr>
        <w:t>对机件及设备的责任拥有权</w:t>
      </w:r>
    </w:p>
    <w:p>
      <w:pPr>
        <w:pStyle w:val="217"/>
        <w:rPr>
          <w:color w:val="auto"/>
          <w:highlight w:val="none"/>
        </w:rPr>
      </w:pPr>
      <w:r>
        <w:rPr>
          <w:color w:val="auto"/>
          <w:highlight w:val="none"/>
        </w:rPr>
        <w:t>1.</w:t>
      </w:r>
      <w:r>
        <w:rPr>
          <w:rFonts w:hint="eastAsia"/>
          <w:color w:val="auto"/>
          <w:highlight w:val="none"/>
        </w:rPr>
        <w:t>在本工程进行期间承包人须对任何材料、机件及设备的破损和遗失等负责。</w:t>
      </w:r>
    </w:p>
    <w:p>
      <w:pPr>
        <w:pStyle w:val="217"/>
        <w:rPr>
          <w:color w:val="auto"/>
          <w:highlight w:val="none"/>
        </w:rPr>
      </w:pPr>
      <w:r>
        <w:rPr>
          <w:color w:val="auto"/>
          <w:highlight w:val="none"/>
        </w:rPr>
        <w:t>2.</w:t>
      </w:r>
      <w:r>
        <w:rPr>
          <w:rFonts w:hint="eastAsia"/>
          <w:color w:val="auto"/>
          <w:highlight w:val="none"/>
        </w:rPr>
        <w:t>在本工程合约范围内所提供的一切材料、机件和设备一经送抵工地后，其拥有权归发包人所有。</w:t>
      </w:r>
    </w:p>
    <w:p>
      <w:pPr>
        <w:pStyle w:val="217"/>
        <w:rPr>
          <w:color w:val="auto"/>
          <w:highlight w:val="none"/>
        </w:rPr>
      </w:pPr>
      <w:r>
        <w:rPr>
          <w:color w:val="auto"/>
          <w:highlight w:val="none"/>
        </w:rPr>
        <w:t>3.</w:t>
      </w:r>
      <w:r>
        <w:rPr>
          <w:rFonts w:hint="eastAsia"/>
          <w:color w:val="auto"/>
          <w:highlight w:val="none"/>
        </w:rPr>
        <w:t>在未得到发包人的书面批准前，任何材料、机件或设备皆不得移离工地。</w:t>
      </w:r>
    </w:p>
    <w:p>
      <w:pPr>
        <w:pStyle w:val="172"/>
        <w:rPr>
          <w:color w:val="auto"/>
          <w:highlight w:val="none"/>
        </w:rPr>
      </w:pPr>
      <w:r>
        <w:rPr>
          <w:color w:val="auto"/>
          <w:highlight w:val="none"/>
        </w:rPr>
        <w:t xml:space="preserve">2.3.8 </w:t>
      </w:r>
      <w:r>
        <w:rPr>
          <w:rFonts w:hint="eastAsia"/>
          <w:color w:val="auto"/>
          <w:highlight w:val="none"/>
        </w:rPr>
        <w:t>装置的大小及运送通道</w:t>
      </w:r>
    </w:p>
    <w:p>
      <w:pPr>
        <w:pStyle w:val="217"/>
        <w:rPr>
          <w:color w:val="auto"/>
          <w:highlight w:val="none"/>
        </w:rPr>
      </w:pPr>
      <w:r>
        <w:rPr>
          <w:color w:val="auto"/>
          <w:highlight w:val="none"/>
        </w:rPr>
        <w:t>1.</w:t>
      </w:r>
      <w:r>
        <w:rPr>
          <w:rFonts w:hint="eastAsia"/>
          <w:color w:val="auto"/>
          <w:highlight w:val="none"/>
        </w:rPr>
        <w:t>所提供的装置和设备的大小尺寸应能适合于所指定的安装空间，并应考虑提供足够的维修及保养所需的通道。承包人应负责与发包人协调所需检修门的位置及要求。</w:t>
      </w:r>
    </w:p>
    <w:p>
      <w:pPr>
        <w:pStyle w:val="217"/>
        <w:rPr>
          <w:color w:val="auto"/>
          <w:highlight w:val="none"/>
        </w:rPr>
      </w:pPr>
      <w:r>
        <w:rPr>
          <w:color w:val="auto"/>
          <w:highlight w:val="none"/>
        </w:rPr>
        <w:t>2.</w:t>
      </w:r>
      <w:r>
        <w:rPr>
          <w:rFonts w:hint="eastAsia"/>
          <w:color w:val="auto"/>
          <w:highlight w:val="none"/>
        </w:rPr>
        <w:t>应根据工程进度要求，负责将材料、设备运输到场，应及时和其他承包人、指定承包人及时进行协调，对其他承包人和指定承包人提供材料、设备运输通道，如因此而引起的一切改动和费用开支，须由承包人负责。对于大型重要设备的运送方案，应以图纸表示，并事先呈交监理工程师审查。若提供承包人设备的尺寸与图纸不符，由此引起的改动和费用开支，须由承包人负责。</w:t>
      </w:r>
    </w:p>
    <w:p>
      <w:pPr>
        <w:pStyle w:val="172"/>
        <w:rPr>
          <w:color w:val="auto"/>
          <w:highlight w:val="none"/>
        </w:rPr>
      </w:pPr>
      <w:r>
        <w:rPr>
          <w:color w:val="auto"/>
          <w:highlight w:val="none"/>
        </w:rPr>
        <w:t xml:space="preserve">2.3.9 </w:t>
      </w:r>
      <w:r>
        <w:rPr>
          <w:rFonts w:hint="eastAsia"/>
          <w:color w:val="auto"/>
          <w:highlight w:val="none"/>
        </w:rPr>
        <w:t>样品审批</w:t>
      </w:r>
    </w:p>
    <w:p>
      <w:pPr>
        <w:pStyle w:val="217"/>
        <w:rPr>
          <w:color w:val="auto"/>
          <w:highlight w:val="none"/>
        </w:rPr>
      </w:pPr>
      <w:r>
        <w:rPr>
          <w:color w:val="auto"/>
          <w:highlight w:val="none"/>
        </w:rPr>
        <w:t>1.</w:t>
      </w:r>
      <w:r>
        <w:rPr>
          <w:rFonts w:hint="eastAsia"/>
          <w:color w:val="auto"/>
          <w:highlight w:val="none"/>
        </w:rPr>
        <w:t>承包人须于获得合约后或收到中标通知书后的两个星期内，提交一份具体与招标文件中相符的样品清单给发包人</w:t>
      </w:r>
      <w:r>
        <w:rPr>
          <w:color w:val="auto"/>
          <w:highlight w:val="none"/>
        </w:rPr>
        <w:t>/</w:t>
      </w:r>
      <w:r>
        <w:rPr>
          <w:rFonts w:hint="eastAsia"/>
          <w:color w:val="auto"/>
          <w:highlight w:val="none"/>
        </w:rPr>
        <w:t>监理工程师审批。清单内应包括设备及材料的名称、制造商名称、产地、型号等。如承包人没有按要求的时间提供，发包人直接从招标文件建议的品牌中选定一种品牌。如承包人不接受，发包人可安排其他承包人代为购买，并按</w:t>
      </w:r>
      <w:r>
        <w:rPr>
          <w:color w:val="auto"/>
          <w:highlight w:val="none"/>
        </w:rPr>
        <w:t>1.2</w:t>
      </w:r>
      <w:r>
        <w:rPr>
          <w:rFonts w:hint="eastAsia"/>
          <w:color w:val="auto"/>
          <w:highlight w:val="none"/>
        </w:rPr>
        <w:t>倍购货款扣除该承包人的工程款。承包人应清楚了解，承包人报送的清单经批准接受后，如发包人</w:t>
      </w:r>
      <w:r>
        <w:rPr>
          <w:color w:val="auto"/>
          <w:highlight w:val="none"/>
        </w:rPr>
        <w:t>/</w:t>
      </w:r>
      <w:r>
        <w:rPr>
          <w:rFonts w:hint="eastAsia"/>
          <w:color w:val="auto"/>
          <w:highlight w:val="none"/>
        </w:rPr>
        <w:t>监理工程师认为有必要时，仍可要求承包人继续补充清单以外的样品。</w:t>
      </w:r>
    </w:p>
    <w:p>
      <w:pPr>
        <w:pStyle w:val="217"/>
        <w:rPr>
          <w:color w:val="auto"/>
          <w:highlight w:val="none"/>
        </w:rPr>
      </w:pPr>
      <w:r>
        <w:rPr>
          <w:color w:val="auto"/>
          <w:highlight w:val="none"/>
        </w:rPr>
        <w:t>2.</w:t>
      </w:r>
      <w:r>
        <w:rPr>
          <w:rFonts w:hint="eastAsia"/>
          <w:color w:val="auto"/>
          <w:highlight w:val="none"/>
        </w:rPr>
        <w:t>送审的样品需用木板挂列提交，获批准后的样品板一式两份运送至工地，一份保留在工地现场的样品板房内，一份保留在发包人办事处，作为日后对所用材料和工艺的核对和验收标准。所有不符合上述样品的材料或工艺要求将被拒绝接受，承包人需将其更换，并且不能因此增加合约价格和作为拖期的理由。</w:t>
      </w:r>
    </w:p>
    <w:p>
      <w:pPr>
        <w:pStyle w:val="217"/>
        <w:rPr>
          <w:color w:val="auto"/>
          <w:highlight w:val="none"/>
        </w:rPr>
      </w:pPr>
      <w:r>
        <w:rPr>
          <w:color w:val="auto"/>
          <w:highlight w:val="none"/>
        </w:rPr>
        <w:t>3.</w:t>
      </w:r>
      <w:r>
        <w:rPr>
          <w:rFonts w:hint="eastAsia"/>
          <w:color w:val="auto"/>
          <w:highlight w:val="none"/>
        </w:rPr>
        <w:t>在每个样品上应有中文说明的标签，清楚标注有关承包人的名称、合约名称、发包人</w:t>
      </w:r>
      <w:r>
        <w:rPr>
          <w:color w:val="auto"/>
          <w:highlight w:val="none"/>
        </w:rPr>
        <w:t xml:space="preserve">/ </w:t>
      </w:r>
      <w:r>
        <w:rPr>
          <w:rFonts w:hint="eastAsia"/>
          <w:color w:val="auto"/>
          <w:highlight w:val="none"/>
        </w:rPr>
        <w:t>监理工程师签字栏、制造商名称及将应用的系统等资料。</w:t>
      </w:r>
    </w:p>
    <w:p>
      <w:pPr>
        <w:pStyle w:val="217"/>
        <w:rPr>
          <w:color w:val="auto"/>
          <w:highlight w:val="none"/>
        </w:rPr>
      </w:pPr>
      <w:r>
        <w:rPr>
          <w:color w:val="auto"/>
          <w:highlight w:val="none"/>
        </w:rPr>
        <w:t>4.</w:t>
      </w:r>
      <w:r>
        <w:rPr>
          <w:rFonts w:hint="eastAsia"/>
          <w:color w:val="auto"/>
          <w:highlight w:val="none"/>
        </w:rPr>
        <w:t>此外，承包人须提供足够的材料样品作试验之用。若有需要时将进行破坏性的试验。而此等样品和试验所需的有关费用应在本合约价格内。</w:t>
      </w:r>
    </w:p>
    <w:p>
      <w:pPr>
        <w:pStyle w:val="172"/>
        <w:rPr>
          <w:color w:val="auto"/>
          <w:highlight w:val="none"/>
        </w:rPr>
      </w:pPr>
      <w:r>
        <w:rPr>
          <w:color w:val="auto"/>
          <w:highlight w:val="none"/>
        </w:rPr>
        <w:t xml:space="preserve">2.3.10 </w:t>
      </w:r>
      <w:r>
        <w:rPr>
          <w:rFonts w:hint="eastAsia"/>
          <w:color w:val="auto"/>
          <w:highlight w:val="none"/>
        </w:rPr>
        <w:t>材料和工艺</w:t>
      </w:r>
    </w:p>
    <w:p>
      <w:pPr>
        <w:pStyle w:val="217"/>
        <w:rPr>
          <w:color w:val="auto"/>
          <w:highlight w:val="none"/>
        </w:rPr>
      </w:pPr>
      <w:r>
        <w:rPr>
          <w:color w:val="auto"/>
          <w:highlight w:val="none"/>
        </w:rPr>
        <w:t>1.</w:t>
      </w:r>
      <w:r>
        <w:rPr>
          <w:rFonts w:hint="eastAsia"/>
          <w:color w:val="auto"/>
          <w:highlight w:val="none"/>
        </w:rPr>
        <w:t>承包人须根据工程进度的安排，按发包人要求于指定位置，先进行样板安装。如样板安装因工艺或任何原因未能获得发包人</w:t>
      </w:r>
      <w:r>
        <w:rPr>
          <w:color w:val="auto"/>
          <w:highlight w:val="none"/>
        </w:rPr>
        <w:t>/</w:t>
      </w:r>
      <w:r>
        <w:rPr>
          <w:rFonts w:hint="eastAsia"/>
          <w:color w:val="auto"/>
          <w:highlight w:val="none"/>
        </w:rPr>
        <w:t>监理工程师接受，承包人须进行拆除、整改、重新安装等工作，直至获得发包人接受，而相关的返工费用应由承包人负责，也不得作为拖期的理由。</w:t>
      </w:r>
    </w:p>
    <w:p>
      <w:pPr>
        <w:pStyle w:val="217"/>
        <w:rPr>
          <w:color w:val="auto"/>
          <w:highlight w:val="none"/>
        </w:rPr>
      </w:pPr>
      <w:r>
        <w:rPr>
          <w:color w:val="auto"/>
          <w:highlight w:val="none"/>
        </w:rPr>
        <w:t>2.</w:t>
      </w:r>
      <w:r>
        <w:rPr>
          <w:rFonts w:hint="eastAsia"/>
          <w:color w:val="auto"/>
          <w:highlight w:val="none"/>
        </w:rPr>
        <w:t>本技术要求所提及的任何设备、材料、制品或专利制品的商品名称、制造商或产品说明，其作用主要是设立质量标准的依据而不应理解为指定采用任何商品或限制商品竞争。</w:t>
      </w:r>
    </w:p>
    <w:p>
      <w:pPr>
        <w:pStyle w:val="217"/>
        <w:rPr>
          <w:color w:val="auto"/>
          <w:highlight w:val="none"/>
        </w:rPr>
      </w:pPr>
      <w:r>
        <w:rPr>
          <w:color w:val="auto"/>
          <w:highlight w:val="none"/>
        </w:rPr>
        <w:t>3.</w:t>
      </w:r>
      <w:r>
        <w:rPr>
          <w:rFonts w:hint="eastAsia"/>
          <w:color w:val="auto"/>
          <w:highlight w:val="none"/>
        </w:rPr>
        <w:t>同一类的设备和材料采用同一制造商的产品。</w:t>
      </w:r>
    </w:p>
    <w:p>
      <w:pPr>
        <w:pStyle w:val="217"/>
        <w:rPr>
          <w:color w:val="auto"/>
          <w:highlight w:val="none"/>
        </w:rPr>
      </w:pPr>
      <w:r>
        <w:rPr>
          <w:color w:val="auto"/>
          <w:highlight w:val="none"/>
        </w:rPr>
        <w:t>4.</w:t>
      </w:r>
      <w:r>
        <w:rPr>
          <w:rFonts w:hint="eastAsia"/>
          <w:color w:val="auto"/>
          <w:highlight w:val="none"/>
        </w:rPr>
        <w:t>除特别说明外，自行生产或本地制造的设备须获得发包人</w:t>
      </w:r>
      <w:r>
        <w:rPr>
          <w:color w:val="auto"/>
          <w:highlight w:val="none"/>
        </w:rPr>
        <w:t>/</w:t>
      </w:r>
      <w:r>
        <w:rPr>
          <w:rFonts w:hint="eastAsia"/>
          <w:color w:val="auto"/>
          <w:highlight w:val="none"/>
        </w:rPr>
        <w:t>监理工程师批准方可采用。</w:t>
      </w:r>
    </w:p>
    <w:p>
      <w:pPr>
        <w:pStyle w:val="217"/>
        <w:rPr>
          <w:color w:val="auto"/>
          <w:highlight w:val="none"/>
        </w:rPr>
      </w:pPr>
      <w:r>
        <w:rPr>
          <w:color w:val="auto"/>
          <w:highlight w:val="none"/>
        </w:rPr>
        <w:t>5.</w:t>
      </w:r>
      <w:r>
        <w:rPr>
          <w:rFonts w:hint="eastAsia"/>
          <w:color w:val="auto"/>
          <w:highlight w:val="none"/>
        </w:rPr>
        <w:t>同类型的设备装置的零部件及其组成零件应能互相调换。备用零件应该使用原机零件同样的材料，并且适配于设备装置的同类部件。</w:t>
      </w:r>
    </w:p>
    <w:p>
      <w:pPr>
        <w:pStyle w:val="217"/>
        <w:rPr>
          <w:color w:val="auto"/>
          <w:highlight w:val="none"/>
        </w:rPr>
      </w:pPr>
      <w:r>
        <w:rPr>
          <w:color w:val="auto"/>
          <w:highlight w:val="none"/>
        </w:rPr>
        <w:t>6.</w:t>
      </w:r>
      <w:r>
        <w:rPr>
          <w:rFonts w:hint="eastAsia"/>
          <w:color w:val="auto"/>
          <w:highlight w:val="none"/>
        </w:rPr>
        <w:t>所有转动的部件须在正常运转速度和最大负载情况下，都能达到静、动力学精确平衡要求，并不应产生显著的震动和声响。若震动和声响超出可接受标准，发包人有权要求承包人更换并提供能够符合要求的产品，或在发包人</w:t>
      </w:r>
      <w:r>
        <w:rPr>
          <w:rFonts w:hint="eastAsia"/>
          <w:color w:val="auto"/>
          <w:highlight w:val="none"/>
          <w:lang w:eastAsia="zh-CN"/>
        </w:rPr>
        <w:t>书面</w:t>
      </w:r>
      <w:r>
        <w:rPr>
          <w:rFonts w:hint="eastAsia"/>
          <w:color w:val="auto"/>
          <w:highlight w:val="none"/>
        </w:rPr>
        <w:t>同意的情况下承包人需提供隔声器和消声器以满足噪声管制要求，有关费用由承包人承担。</w:t>
      </w:r>
    </w:p>
    <w:p>
      <w:pPr>
        <w:pStyle w:val="217"/>
        <w:rPr>
          <w:color w:val="auto"/>
          <w:highlight w:val="none"/>
        </w:rPr>
      </w:pPr>
      <w:r>
        <w:rPr>
          <w:color w:val="auto"/>
          <w:highlight w:val="none"/>
        </w:rPr>
        <w:t>7.</w:t>
      </w:r>
      <w:r>
        <w:rPr>
          <w:rFonts w:hint="eastAsia"/>
          <w:color w:val="auto"/>
          <w:highlight w:val="none"/>
        </w:rPr>
        <w:t>所有受尘埃影响而会出现磨损或损坏的零件，均需完全设于防尘保护罩内。</w:t>
      </w:r>
    </w:p>
    <w:p>
      <w:pPr>
        <w:pStyle w:val="217"/>
        <w:rPr>
          <w:color w:val="auto"/>
          <w:highlight w:val="none"/>
        </w:rPr>
      </w:pPr>
      <w:r>
        <w:rPr>
          <w:color w:val="auto"/>
          <w:highlight w:val="none"/>
        </w:rPr>
        <w:t>8.</w:t>
      </w:r>
      <w:r>
        <w:rPr>
          <w:rFonts w:hint="eastAsia"/>
          <w:color w:val="auto"/>
          <w:highlight w:val="none"/>
        </w:rPr>
        <w:t>本工程合同范围内的全部施工应由熟练的专业技师进行，并应遵照说明书所述的工艺要求施工。发包人</w:t>
      </w:r>
      <w:r>
        <w:rPr>
          <w:color w:val="auto"/>
          <w:highlight w:val="none"/>
        </w:rPr>
        <w:t>/</w:t>
      </w:r>
      <w:r>
        <w:rPr>
          <w:rFonts w:hint="eastAsia"/>
          <w:color w:val="auto"/>
          <w:highlight w:val="none"/>
        </w:rPr>
        <w:t>监理工程师有权要求承包人提交各专业技师的资历证明作审批。</w:t>
      </w:r>
    </w:p>
    <w:p>
      <w:pPr>
        <w:pStyle w:val="217"/>
        <w:rPr>
          <w:color w:val="auto"/>
          <w:highlight w:val="none"/>
        </w:rPr>
      </w:pPr>
      <w:r>
        <w:rPr>
          <w:color w:val="auto"/>
          <w:highlight w:val="none"/>
        </w:rPr>
        <w:t>9.</w:t>
      </w:r>
      <w:r>
        <w:rPr>
          <w:rFonts w:hint="eastAsia"/>
          <w:color w:val="auto"/>
          <w:highlight w:val="none"/>
        </w:rPr>
        <w:t>所有组件的安排均应达到方便维修保养及更换的原则。</w:t>
      </w:r>
    </w:p>
    <w:p>
      <w:pPr>
        <w:pStyle w:val="172"/>
        <w:rPr>
          <w:color w:val="auto"/>
          <w:highlight w:val="none"/>
        </w:rPr>
      </w:pPr>
      <w:r>
        <w:rPr>
          <w:color w:val="auto"/>
          <w:highlight w:val="none"/>
        </w:rPr>
        <w:t xml:space="preserve">2.3.11 </w:t>
      </w:r>
      <w:r>
        <w:rPr>
          <w:rFonts w:hint="eastAsia"/>
          <w:color w:val="auto"/>
          <w:highlight w:val="none"/>
        </w:rPr>
        <w:t>噪音控制保证方案</w:t>
      </w:r>
    </w:p>
    <w:p>
      <w:pPr>
        <w:pStyle w:val="217"/>
        <w:rPr>
          <w:color w:val="auto"/>
          <w:highlight w:val="none"/>
        </w:rPr>
      </w:pPr>
      <w:r>
        <w:rPr>
          <w:color w:val="auto"/>
          <w:highlight w:val="none"/>
        </w:rPr>
        <w:t>1.</w:t>
      </w:r>
      <w:r>
        <w:rPr>
          <w:rFonts w:hint="eastAsia"/>
          <w:color w:val="auto"/>
          <w:highlight w:val="none"/>
        </w:rPr>
        <w:t>承包人须在施工方案中提出详尽噪音控制保证方案以说明如何实施噪音控制以达到有关要求。噪音控制保证方案须包括但不仅限于下列各项：</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）对图纸作出检查以鉴定声源和传送途径，如止回阀、浮球阀、水泵及电动机、管道等。</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）对每一声源及其传送途径作出初步估算，并确定施工图及设备的设计和安排已具备消声和减震措施以达到噪音管制要求。</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）对工地土建施工情况进行检查以决定所采取隔震措施的程度和适当位置。</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对某些施工图上已提供消声及减震措施仍无法达到噪音控制要求的地方，提出设计及解决方法。如建议需对原措施作出改动，需把建议连同设计数据提交审批以证明整个系统能达到噪音控制要求。待建议获批准后，才可进行施工。</w:t>
      </w:r>
    </w:p>
    <w:p>
      <w:pPr>
        <w:pStyle w:val="217"/>
        <w:rPr>
          <w:color w:val="auto"/>
          <w:highlight w:val="none"/>
        </w:rPr>
      </w:pPr>
      <w:r>
        <w:rPr>
          <w:color w:val="auto"/>
          <w:highlight w:val="none"/>
        </w:rPr>
        <w:t>2.</w:t>
      </w:r>
      <w:r>
        <w:rPr>
          <w:rFonts w:hint="eastAsia"/>
          <w:color w:val="auto"/>
          <w:highlight w:val="none"/>
        </w:rPr>
        <w:t>进行系统试运行时，应同时于室内及室外进行声量的量度工作。提交测量报告以证明所采取的消声和减震措施均可接受。报告应包括环保局的批核证明。量度噪音的方法应按有关规定进行。</w:t>
      </w:r>
    </w:p>
    <w:p>
      <w:pPr>
        <w:pStyle w:val="217"/>
        <w:rPr>
          <w:color w:val="auto"/>
          <w:highlight w:val="none"/>
        </w:rPr>
      </w:pPr>
      <w:r>
        <w:rPr>
          <w:color w:val="auto"/>
          <w:highlight w:val="none"/>
        </w:rPr>
        <w:t>3.</w:t>
      </w:r>
      <w:r>
        <w:rPr>
          <w:rFonts w:hint="eastAsia"/>
          <w:color w:val="auto"/>
          <w:highlight w:val="none"/>
        </w:rPr>
        <w:t>若所安装的系统或消声和减震措施未能达到环保部门及本技术要求的规定</w:t>
      </w:r>
      <w:r>
        <w:rPr>
          <w:color w:val="auto"/>
          <w:highlight w:val="none"/>
        </w:rPr>
        <w:t xml:space="preserve">, </w:t>
      </w:r>
      <w:r>
        <w:rPr>
          <w:rFonts w:hint="eastAsia"/>
          <w:color w:val="auto"/>
          <w:highlight w:val="none"/>
        </w:rPr>
        <w:t>承包人需对系统或消声和减震措施进行整改工作以达到符合要求为止，有关费用由承包人负责。</w:t>
      </w:r>
    </w:p>
    <w:p>
      <w:pPr>
        <w:pStyle w:val="172"/>
        <w:rPr>
          <w:color w:val="auto"/>
          <w:highlight w:val="none"/>
        </w:rPr>
      </w:pPr>
      <w:r>
        <w:rPr>
          <w:color w:val="auto"/>
          <w:highlight w:val="none"/>
        </w:rPr>
        <w:t xml:space="preserve">2.3.12 </w:t>
      </w:r>
      <w:r>
        <w:rPr>
          <w:rFonts w:hint="eastAsia"/>
          <w:color w:val="auto"/>
          <w:highlight w:val="none"/>
        </w:rPr>
        <w:t>安全设施和文明施工</w:t>
      </w:r>
    </w:p>
    <w:p>
      <w:pPr>
        <w:pStyle w:val="217"/>
        <w:rPr>
          <w:color w:val="auto"/>
          <w:highlight w:val="none"/>
        </w:rPr>
      </w:pPr>
      <w:r>
        <w:rPr>
          <w:color w:val="auto"/>
          <w:highlight w:val="none"/>
        </w:rPr>
        <w:t>1.</w:t>
      </w:r>
      <w:r>
        <w:rPr>
          <w:rFonts w:hint="eastAsia"/>
          <w:color w:val="auto"/>
          <w:highlight w:val="none"/>
        </w:rPr>
        <w:t>承包人主要负责人依法对本单位的安全生产工作全面负责。施工单位应当建立健全安全生产责任制度和安全生产教育培训制度，制定安全生产规章制度和操作规程，保证本单位安全生产所需资金的投入，对所承担的建设工程进行定期和专项安全检查，并作好安全检查记录。</w:t>
      </w:r>
    </w:p>
    <w:p>
      <w:pPr>
        <w:pStyle w:val="217"/>
        <w:rPr>
          <w:color w:val="auto"/>
          <w:highlight w:val="none"/>
        </w:rPr>
      </w:pPr>
      <w:r>
        <w:rPr>
          <w:color w:val="auto"/>
          <w:highlight w:val="none"/>
        </w:rPr>
        <w:t>2.</w:t>
      </w:r>
      <w:r>
        <w:rPr>
          <w:rFonts w:hint="eastAsia"/>
          <w:color w:val="auto"/>
          <w:highlight w:val="none"/>
        </w:rPr>
        <w:t>承包人应当根据本工程的特点、范围，对施工现场易发生重大事故的部位、环节进行监控，制定施工现场生产安全事故应急救援预案。</w:t>
      </w:r>
    </w:p>
    <w:p>
      <w:pPr>
        <w:pStyle w:val="217"/>
        <w:rPr>
          <w:color w:val="auto"/>
          <w:highlight w:val="none"/>
        </w:rPr>
      </w:pPr>
      <w:r>
        <w:rPr>
          <w:color w:val="auto"/>
          <w:highlight w:val="none"/>
        </w:rPr>
        <w:t>3.</w:t>
      </w:r>
      <w:r>
        <w:rPr>
          <w:rFonts w:hint="eastAsia"/>
          <w:color w:val="auto"/>
          <w:highlight w:val="none"/>
        </w:rPr>
        <w:t>临时安全设施：在施工期间，承包人须对其安装的任何转动机件提供足够的临时安全设施。同时若承包人的工作地方位于承包人所负责的范围外时，所有会对其工作人员及其他行业人员构成危险的地台</w:t>
      </w:r>
      <w:r>
        <w:rPr>
          <w:color w:val="auto"/>
          <w:highlight w:val="none"/>
        </w:rPr>
        <w:t>/</w:t>
      </w:r>
      <w:r>
        <w:rPr>
          <w:rFonts w:hint="eastAsia"/>
          <w:color w:val="auto"/>
          <w:highlight w:val="none"/>
        </w:rPr>
        <w:t>墙壁孔洞等都须提供足够的安全保护措施。</w:t>
      </w:r>
    </w:p>
    <w:p>
      <w:pPr>
        <w:pStyle w:val="217"/>
        <w:rPr>
          <w:color w:val="auto"/>
          <w:highlight w:val="none"/>
        </w:rPr>
      </w:pPr>
      <w:r>
        <w:rPr>
          <w:color w:val="auto"/>
          <w:highlight w:val="none"/>
        </w:rPr>
        <w:t>4.</w:t>
      </w:r>
      <w:r>
        <w:rPr>
          <w:rFonts w:hint="eastAsia"/>
          <w:color w:val="auto"/>
          <w:highlight w:val="none"/>
        </w:rPr>
        <w:t>永久性的安全设施：承包人应对其安装的任何转动或摆动的机件，如电动机驱动轴等，提供防护网或可移动的防护罩。</w:t>
      </w:r>
    </w:p>
    <w:p>
      <w:pPr>
        <w:pStyle w:val="217"/>
        <w:rPr>
          <w:color w:val="auto"/>
          <w:highlight w:val="none"/>
        </w:rPr>
      </w:pPr>
      <w:r>
        <w:rPr>
          <w:color w:val="auto"/>
          <w:highlight w:val="none"/>
        </w:rPr>
        <w:t>5.</w:t>
      </w:r>
      <w:r>
        <w:rPr>
          <w:rFonts w:hint="eastAsia"/>
          <w:color w:val="auto"/>
          <w:highlight w:val="none"/>
        </w:rPr>
        <w:t>施工期间不得将污水直接排入市政雨水系统，保证场地有良好的卫生环境。</w:t>
      </w:r>
    </w:p>
    <w:p>
      <w:pPr>
        <w:pStyle w:val="217"/>
        <w:rPr>
          <w:color w:val="auto"/>
          <w:highlight w:val="none"/>
        </w:rPr>
      </w:pPr>
      <w:r>
        <w:rPr>
          <w:color w:val="auto"/>
          <w:highlight w:val="none"/>
        </w:rPr>
        <w:t>6.</w:t>
      </w:r>
      <w:r>
        <w:rPr>
          <w:rFonts w:hint="eastAsia"/>
          <w:color w:val="auto"/>
          <w:highlight w:val="none"/>
        </w:rPr>
        <w:t>施工期间应按照深圳市有关文明施工的条例对工人进行文明施工教育，确保工地施工文明安全。</w:t>
      </w:r>
    </w:p>
    <w:p>
      <w:pPr>
        <w:pStyle w:val="113"/>
        <w:spacing w:before="120" w:after="120"/>
        <w:outlineLvl w:val="2"/>
        <w:rPr>
          <w:color w:val="auto"/>
          <w:highlight w:val="none"/>
        </w:rPr>
      </w:pPr>
      <w:bookmarkStart w:id="7828" w:name="_Toc69114178"/>
      <w:bookmarkStart w:id="7829" w:name="_Toc66890432"/>
      <w:bookmarkStart w:id="7830" w:name="_Toc505345750"/>
      <w:bookmarkStart w:id="7831" w:name="_Toc66634437"/>
      <w:r>
        <w:rPr>
          <w:color w:val="auto"/>
          <w:highlight w:val="none"/>
        </w:rPr>
        <w:t xml:space="preserve">2.4 </w:t>
      </w:r>
      <w:r>
        <w:rPr>
          <w:rFonts w:hint="eastAsia"/>
          <w:color w:val="auto"/>
          <w:highlight w:val="none"/>
        </w:rPr>
        <w:t>培训</w:t>
      </w:r>
      <w:bookmarkEnd w:id="7828"/>
      <w:bookmarkEnd w:id="7829"/>
      <w:bookmarkEnd w:id="7830"/>
      <w:bookmarkEnd w:id="7831"/>
    </w:p>
    <w:p>
      <w:pPr>
        <w:pStyle w:val="217"/>
        <w:rPr>
          <w:color w:val="auto"/>
          <w:highlight w:val="none"/>
        </w:rPr>
      </w:pPr>
      <w:r>
        <w:rPr>
          <w:color w:val="auto"/>
          <w:highlight w:val="none"/>
        </w:rPr>
        <w:t>1.</w:t>
      </w:r>
      <w:r>
        <w:rPr>
          <w:rFonts w:hint="eastAsia"/>
          <w:color w:val="auto"/>
          <w:highlight w:val="none"/>
        </w:rPr>
        <w:t>承包人须提供所需的培训设施和课程，以确保发包人的工程人员能对承包人所提供的系统、设备和装置的设计、日常的运作、故障和例行维护、事故的处理和解决方面等有全面性的认识和了解。</w:t>
      </w:r>
    </w:p>
    <w:p>
      <w:pPr>
        <w:pStyle w:val="217"/>
        <w:rPr>
          <w:color w:val="auto"/>
          <w:highlight w:val="none"/>
        </w:rPr>
      </w:pPr>
      <w:r>
        <w:rPr>
          <w:color w:val="auto"/>
          <w:highlight w:val="none"/>
        </w:rPr>
        <w:t>2.</w:t>
      </w:r>
      <w:r>
        <w:rPr>
          <w:rFonts w:hint="eastAsia"/>
          <w:color w:val="auto"/>
          <w:highlight w:val="none"/>
        </w:rPr>
        <w:t>承包人须预先编制一套详尽的培训计划，列出每项课程的大纲、培训导师资料及培训所需时间，提交发包人</w:t>
      </w:r>
      <w:r>
        <w:rPr>
          <w:color w:val="auto"/>
          <w:highlight w:val="none"/>
        </w:rPr>
        <w:t>/</w:t>
      </w:r>
      <w:r>
        <w:rPr>
          <w:rFonts w:hint="eastAsia"/>
          <w:color w:val="auto"/>
          <w:highlight w:val="none"/>
        </w:rPr>
        <w:t>监理工程师审核。同时，承包人应按每项课程提出各接受培训的学员应具备的资历要求，使有关的培训能收到预期的效果。</w:t>
      </w:r>
    </w:p>
    <w:p>
      <w:pPr>
        <w:pStyle w:val="217"/>
        <w:rPr>
          <w:color w:val="auto"/>
          <w:highlight w:val="none"/>
        </w:rPr>
      </w:pPr>
      <w:r>
        <w:rPr>
          <w:color w:val="auto"/>
          <w:highlight w:val="none"/>
        </w:rPr>
        <w:t>3.</w:t>
      </w:r>
      <w:r>
        <w:rPr>
          <w:rFonts w:hint="eastAsia"/>
          <w:color w:val="auto"/>
          <w:highlight w:val="none"/>
        </w:rPr>
        <w:t>承包人须委派资深导师进行每项培训工作，培训需以普通话作讲授。所有导师的资历须先提交发包人</w:t>
      </w:r>
      <w:r>
        <w:rPr>
          <w:color w:val="auto"/>
          <w:highlight w:val="none"/>
        </w:rPr>
        <w:t>/</w:t>
      </w:r>
      <w:r>
        <w:rPr>
          <w:rFonts w:hint="eastAsia"/>
          <w:color w:val="auto"/>
          <w:highlight w:val="none"/>
        </w:rPr>
        <w:t>监理工程师审核认可。</w:t>
      </w:r>
    </w:p>
    <w:p>
      <w:pPr>
        <w:pStyle w:val="217"/>
        <w:rPr>
          <w:color w:val="auto"/>
          <w:highlight w:val="none"/>
        </w:rPr>
      </w:pPr>
      <w:r>
        <w:rPr>
          <w:color w:val="auto"/>
          <w:highlight w:val="none"/>
        </w:rPr>
        <w:t>4.</w:t>
      </w:r>
      <w:r>
        <w:rPr>
          <w:rFonts w:hint="eastAsia"/>
          <w:color w:val="auto"/>
          <w:highlight w:val="none"/>
        </w:rPr>
        <w:t>承包人应向受训学员提供并解释有关设计资料、文件、图纸等，以便使学员对整套系统的各个方面都能熟练掌握。</w:t>
      </w:r>
    </w:p>
    <w:p>
      <w:pPr>
        <w:pStyle w:val="217"/>
        <w:rPr>
          <w:color w:val="auto"/>
          <w:highlight w:val="none"/>
        </w:rPr>
      </w:pPr>
      <w:r>
        <w:rPr>
          <w:color w:val="auto"/>
          <w:highlight w:val="none"/>
        </w:rPr>
        <w:t>5.</w:t>
      </w:r>
      <w:r>
        <w:rPr>
          <w:rFonts w:hint="eastAsia"/>
          <w:color w:val="auto"/>
          <w:highlight w:val="none"/>
        </w:rPr>
        <w:t>承包人经得发包人</w:t>
      </w:r>
      <w:r>
        <w:rPr>
          <w:rFonts w:hint="eastAsia"/>
          <w:color w:val="auto"/>
          <w:highlight w:val="none"/>
          <w:lang w:eastAsia="zh-CN"/>
        </w:rPr>
        <w:t>书面</w:t>
      </w:r>
      <w:r>
        <w:rPr>
          <w:rFonts w:hint="eastAsia"/>
          <w:color w:val="auto"/>
          <w:highlight w:val="none"/>
        </w:rPr>
        <w:t>同意可以利用已安装、测试和交工试运转的装置和设备对发包人的工程人员进行培训。然而承包人不得使用本合同内须提供的备用零部件进行培训之用。承包人应提供足够的材料、设备、样本、模型、设备内部透视资料的复印本、幻灯、影片以及其他种种需要的培训教材文件，以便培训工作的进行。培训课程完成后，有关装备和教材将为发包人所有，以便日后发包人直接对其他员工进行辅助性培训之用。所有教材文件须以中文说明。</w:t>
      </w:r>
    </w:p>
    <w:p>
      <w:pPr>
        <w:pStyle w:val="217"/>
        <w:rPr>
          <w:color w:val="auto"/>
          <w:highlight w:val="none"/>
        </w:rPr>
      </w:pPr>
      <w:r>
        <w:rPr>
          <w:color w:val="auto"/>
          <w:highlight w:val="none"/>
        </w:rPr>
        <w:t>6.</w:t>
      </w:r>
      <w:r>
        <w:rPr>
          <w:rFonts w:hint="eastAsia"/>
          <w:color w:val="auto"/>
          <w:highlight w:val="none"/>
        </w:rPr>
        <w:t>上述培训所需的费用应包括在承包人的合同价内。然而培训时产生的额外开支如受训学员的住宿和交通费之类，则不需包括在合同内。</w:t>
      </w:r>
    </w:p>
    <w:p>
      <w:pPr>
        <w:pStyle w:val="113"/>
        <w:spacing w:before="120" w:after="120"/>
        <w:outlineLvl w:val="2"/>
        <w:rPr>
          <w:color w:val="auto"/>
          <w:highlight w:val="none"/>
        </w:rPr>
      </w:pPr>
      <w:bookmarkStart w:id="7832" w:name="_Toc69114179"/>
      <w:bookmarkStart w:id="7833" w:name="_Toc66890433"/>
      <w:bookmarkStart w:id="7834" w:name="_Toc66634438"/>
      <w:bookmarkStart w:id="7835" w:name="_Toc505345751"/>
      <w:r>
        <w:rPr>
          <w:color w:val="auto"/>
          <w:highlight w:val="none"/>
        </w:rPr>
        <w:t xml:space="preserve">2.5 </w:t>
      </w:r>
      <w:r>
        <w:rPr>
          <w:rFonts w:hint="eastAsia"/>
          <w:color w:val="auto"/>
          <w:highlight w:val="none"/>
        </w:rPr>
        <w:t>零备件及工具</w:t>
      </w:r>
      <w:bookmarkEnd w:id="7832"/>
      <w:bookmarkEnd w:id="7833"/>
      <w:bookmarkEnd w:id="7834"/>
      <w:bookmarkEnd w:id="7835"/>
      <w:r>
        <w:rPr>
          <w:color w:val="auto"/>
          <w:highlight w:val="none"/>
        </w:rPr>
        <w:t xml:space="preserve"> </w:t>
      </w:r>
    </w:p>
    <w:p>
      <w:pPr>
        <w:pStyle w:val="217"/>
        <w:rPr>
          <w:color w:val="auto"/>
          <w:highlight w:val="none"/>
        </w:rPr>
      </w:pPr>
      <w:r>
        <w:rPr>
          <w:color w:val="auto"/>
          <w:highlight w:val="none"/>
        </w:rPr>
        <w:t>1.</w:t>
      </w:r>
      <w:r>
        <w:rPr>
          <w:rFonts w:hint="eastAsia"/>
          <w:color w:val="auto"/>
          <w:highlight w:val="none"/>
        </w:rPr>
        <w:t>承包人须安排及准备不少于下列所要求的零备件和替换材料，以便于缺陷保修期开始前立刻交付发包人。以保证设备系统能在不影响性能和稳定性下圆满地连续运转。</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）在系统交收日提供以金属容器存储足够六个月使用的系统润滑油。</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）每种已安装的阀门的密封圈六套。</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）适合使用于水泵、电动机、阀门和其他设备等螺丝的专用板手。</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）水泵的泵轴防漏密封各三套。</w:t>
      </w:r>
    </w:p>
    <w:p>
      <w:pPr>
        <w:pStyle w:val="217"/>
        <w:rPr>
          <w:color w:val="auto"/>
          <w:highlight w:val="none"/>
        </w:rPr>
      </w:pPr>
      <w:r>
        <w:rPr>
          <w:color w:val="auto"/>
          <w:highlight w:val="none"/>
        </w:rPr>
        <w:t>2.</w:t>
      </w:r>
      <w:r>
        <w:rPr>
          <w:rFonts w:hint="eastAsia"/>
          <w:color w:val="auto"/>
          <w:highlight w:val="none"/>
        </w:rPr>
        <w:t>除提供上述要求的零备件外，承包人另须提供一份由承包人建议的零备件及工具表，详细列明其一般的更换率，以供发包人决定是否购买清单内的全部或部分零备件。承包人须预早提交以上的零备件及工具表供发包人</w:t>
      </w:r>
      <w:r>
        <w:rPr>
          <w:color w:val="auto"/>
          <w:highlight w:val="none"/>
        </w:rPr>
        <w:t>/</w:t>
      </w:r>
      <w:r>
        <w:rPr>
          <w:rFonts w:hint="eastAsia"/>
          <w:color w:val="auto"/>
          <w:highlight w:val="none"/>
        </w:rPr>
        <w:t>监理工程师考虑，以便指示承包人安排把有关零备件</w:t>
      </w:r>
      <w:r>
        <w:rPr>
          <w:color w:val="auto"/>
          <w:highlight w:val="none"/>
        </w:rPr>
        <w:t>/</w:t>
      </w:r>
      <w:r>
        <w:rPr>
          <w:rFonts w:hint="eastAsia"/>
          <w:color w:val="auto"/>
          <w:highlight w:val="none"/>
        </w:rPr>
        <w:t>工具于缺陷保修期开始前送抵工地。</w:t>
      </w:r>
    </w:p>
    <w:p>
      <w:pPr>
        <w:pStyle w:val="217"/>
        <w:rPr>
          <w:color w:val="auto"/>
          <w:highlight w:val="none"/>
        </w:rPr>
      </w:pPr>
      <w:r>
        <w:rPr>
          <w:color w:val="auto"/>
          <w:highlight w:val="none"/>
        </w:rPr>
        <w:t>3.</w:t>
      </w:r>
      <w:r>
        <w:rPr>
          <w:rFonts w:hint="eastAsia"/>
          <w:color w:val="auto"/>
          <w:highlight w:val="none"/>
        </w:rPr>
        <w:t>所有零备件及特别工具应与系统设备同期制造，并通过测试、调校、适当地包装和标签，并由承包人负责运送到工地。</w:t>
      </w:r>
    </w:p>
    <w:p>
      <w:pPr>
        <w:pStyle w:val="217"/>
        <w:rPr>
          <w:color w:val="auto"/>
          <w:highlight w:val="none"/>
        </w:rPr>
      </w:pPr>
      <w:r>
        <w:rPr>
          <w:color w:val="auto"/>
          <w:highlight w:val="none"/>
        </w:rPr>
        <w:t>4.</w:t>
      </w:r>
      <w:r>
        <w:rPr>
          <w:rFonts w:hint="eastAsia"/>
          <w:color w:val="auto"/>
          <w:highlight w:val="none"/>
        </w:rPr>
        <w:t>所有用作维修保养所需的特别工具和仪器需由承包人提供，并需安放于一带锁的专用工具箱内。</w:t>
      </w:r>
    </w:p>
    <w:p>
      <w:pPr>
        <w:pStyle w:val="113"/>
        <w:spacing w:before="120" w:after="120"/>
        <w:outlineLvl w:val="2"/>
        <w:rPr>
          <w:color w:val="auto"/>
          <w:highlight w:val="none"/>
        </w:rPr>
      </w:pPr>
      <w:bookmarkStart w:id="7836" w:name="_Toc66634439"/>
      <w:bookmarkStart w:id="7837" w:name="_Toc505345752"/>
      <w:bookmarkStart w:id="7838" w:name="_Toc69114180"/>
      <w:bookmarkStart w:id="7839" w:name="_Toc66890434"/>
      <w:r>
        <w:rPr>
          <w:color w:val="auto"/>
          <w:highlight w:val="none"/>
        </w:rPr>
        <w:t xml:space="preserve">2.6 </w:t>
      </w:r>
      <w:r>
        <w:rPr>
          <w:rFonts w:hint="eastAsia"/>
          <w:color w:val="auto"/>
          <w:highlight w:val="none"/>
        </w:rPr>
        <w:t>维修与保养</w:t>
      </w:r>
      <w:bookmarkEnd w:id="7836"/>
      <w:bookmarkEnd w:id="7837"/>
      <w:bookmarkEnd w:id="7838"/>
      <w:bookmarkEnd w:id="7839"/>
    </w:p>
    <w:p>
      <w:pPr>
        <w:pStyle w:val="217"/>
        <w:rPr>
          <w:color w:val="auto"/>
          <w:highlight w:val="none"/>
        </w:rPr>
      </w:pPr>
      <w:r>
        <w:rPr>
          <w:color w:val="auto"/>
          <w:highlight w:val="none"/>
        </w:rPr>
        <w:t>1.</w:t>
      </w:r>
      <w:r>
        <w:rPr>
          <w:rFonts w:hint="eastAsia"/>
          <w:color w:val="auto"/>
          <w:highlight w:val="none"/>
        </w:rPr>
        <w:t>在缺陷保修期内，承包人须免费提供所需的工作人员和材料，作一般性的定期维修保养，同时提供日夜二十四小时随传随到的紧急维修服务。</w:t>
      </w:r>
    </w:p>
    <w:p>
      <w:pPr>
        <w:pStyle w:val="217"/>
        <w:rPr>
          <w:color w:val="auto"/>
          <w:highlight w:val="none"/>
        </w:rPr>
      </w:pPr>
      <w:r>
        <w:rPr>
          <w:color w:val="auto"/>
          <w:highlight w:val="none"/>
        </w:rPr>
        <w:t>2.</w:t>
      </w:r>
      <w:r>
        <w:rPr>
          <w:rFonts w:hint="eastAsia"/>
          <w:color w:val="auto"/>
          <w:highlight w:val="none"/>
        </w:rPr>
        <w:t>为达到本工程合约的要求，维修保养工作应包括但不限于以下的项目：</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）为保持系统的正常运作，如有需要时须对设备的组件进行维修或更换工作，包括：提供材料、一般性消耗件、润滑油、清洁剂、过滤器及劳务等。</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）提供维修保养记录，并把记录书放置于适当地点，以便发包人工作人员随时查阅有关设备的维修保养、组件更换次数、检查及维修日期等记录。</w:t>
      </w:r>
    </w:p>
    <w:p>
      <w:pPr>
        <w:pStyle w:val="217"/>
        <w:rPr>
          <w:color w:val="auto"/>
          <w:highlight w:val="none"/>
        </w:rPr>
      </w:pPr>
      <w:r>
        <w:rPr>
          <w:color w:val="auto"/>
          <w:highlight w:val="none"/>
        </w:rPr>
        <w:t>3.</w:t>
      </w:r>
      <w:r>
        <w:rPr>
          <w:rFonts w:hint="eastAsia"/>
          <w:color w:val="auto"/>
          <w:highlight w:val="none"/>
        </w:rPr>
        <w:t>按照以下要求安排定期维修及检查：</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）每月的维修检查</w:t>
      </w:r>
    </w:p>
    <w:p>
      <w:pPr>
        <w:pStyle w:val="217"/>
        <w:rPr>
          <w:color w:val="auto"/>
          <w:highlight w:val="none"/>
        </w:rPr>
      </w:pPr>
      <w:r>
        <w:rPr>
          <w:color w:val="auto"/>
          <w:highlight w:val="none"/>
        </w:rPr>
        <w:t>1</w:t>
      </w:r>
      <w:r>
        <w:rPr>
          <w:rFonts w:hint="eastAsia"/>
          <w:color w:val="auto"/>
          <w:highlight w:val="none"/>
        </w:rPr>
        <w:t>）对所有系统设备进行例行检查；</w:t>
      </w:r>
    </w:p>
    <w:p>
      <w:pPr>
        <w:pStyle w:val="217"/>
        <w:rPr>
          <w:color w:val="auto"/>
          <w:highlight w:val="none"/>
        </w:rPr>
      </w:pPr>
      <w:r>
        <w:rPr>
          <w:color w:val="auto"/>
          <w:highlight w:val="none"/>
        </w:rPr>
        <w:t>2</w:t>
      </w:r>
      <w:r>
        <w:rPr>
          <w:rFonts w:hint="eastAsia"/>
          <w:color w:val="auto"/>
          <w:highlight w:val="none"/>
        </w:rPr>
        <w:t>）清理所有格栅</w:t>
      </w:r>
      <w:r>
        <w:rPr>
          <w:color w:val="auto"/>
          <w:highlight w:val="none"/>
        </w:rPr>
        <w:t>/</w:t>
      </w:r>
      <w:r>
        <w:rPr>
          <w:rFonts w:hint="eastAsia"/>
          <w:color w:val="auto"/>
          <w:highlight w:val="none"/>
        </w:rPr>
        <w:t>格网及主要设备；</w:t>
      </w:r>
    </w:p>
    <w:p>
      <w:pPr>
        <w:pStyle w:val="217"/>
        <w:rPr>
          <w:color w:val="auto"/>
          <w:highlight w:val="none"/>
        </w:rPr>
      </w:pPr>
      <w:r>
        <w:rPr>
          <w:color w:val="auto"/>
          <w:highlight w:val="none"/>
        </w:rPr>
        <w:t>3</w:t>
      </w:r>
      <w:r>
        <w:rPr>
          <w:rFonts w:hint="eastAsia"/>
          <w:color w:val="auto"/>
          <w:highlight w:val="none"/>
        </w:rPr>
        <w:t>）调试所有设备。</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）每季的维修检查</w:t>
      </w:r>
      <w:r>
        <w:rPr>
          <w:color w:val="auto"/>
          <w:highlight w:val="none"/>
        </w:rPr>
        <w:t xml:space="preserve">  </w:t>
      </w:r>
      <w:r>
        <w:rPr>
          <w:color w:val="auto"/>
          <w:highlight w:val="none"/>
        </w:rPr>
        <w:tab/>
      </w:r>
    </w:p>
    <w:p>
      <w:pPr>
        <w:pStyle w:val="217"/>
        <w:rPr>
          <w:color w:val="auto"/>
          <w:highlight w:val="none"/>
        </w:rPr>
      </w:pPr>
      <w:r>
        <w:rPr>
          <w:color w:val="auto"/>
          <w:highlight w:val="none"/>
        </w:rPr>
        <w:t>1</w:t>
      </w:r>
      <w:r>
        <w:rPr>
          <w:rFonts w:hint="eastAsia"/>
          <w:color w:val="auto"/>
          <w:highlight w:val="none"/>
        </w:rPr>
        <w:t>）清理及润滑有关的设备配件（如：轴承、驱动轴、螺丝、隔震器、传动装置和所有机械部件）；</w:t>
      </w:r>
    </w:p>
    <w:p>
      <w:pPr>
        <w:pStyle w:val="217"/>
        <w:rPr>
          <w:color w:val="auto"/>
          <w:highlight w:val="none"/>
        </w:rPr>
      </w:pPr>
      <w:r>
        <w:rPr>
          <w:color w:val="auto"/>
          <w:highlight w:val="none"/>
        </w:rPr>
        <w:t>2</w:t>
      </w:r>
      <w:r>
        <w:rPr>
          <w:rFonts w:hint="eastAsia"/>
          <w:color w:val="auto"/>
          <w:highlight w:val="none"/>
        </w:rPr>
        <w:t>）清理所有设备外壳及电动机；</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）半年维修检查</w:t>
      </w:r>
    </w:p>
    <w:p>
      <w:pPr>
        <w:pStyle w:val="217"/>
        <w:rPr>
          <w:color w:val="auto"/>
          <w:highlight w:val="none"/>
        </w:rPr>
      </w:pPr>
      <w:r>
        <w:rPr>
          <w:color w:val="auto"/>
          <w:highlight w:val="none"/>
        </w:rPr>
        <w:t>1</w:t>
      </w:r>
      <w:r>
        <w:rPr>
          <w:rFonts w:hint="eastAsia"/>
          <w:color w:val="auto"/>
          <w:highlight w:val="none"/>
        </w:rPr>
        <w:t>）检查有关设备的联轴器和隔震器；</w:t>
      </w:r>
    </w:p>
    <w:p>
      <w:pPr>
        <w:pStyle w:val="217"/>
        <w:rPr>
          <w:color w:val="auto"/>
          <w:highlight w:val="none"/>
        </w:rPr>
      </w:pPr>
      <w:r>
        <w:rPr>
          <w:color w:val="auto"/>
          <w:highlight w:val="none"/>
        </w:rPr>
        <w:t>2</w:t>
      </w:r>
      <w:r>
        <w:rPr>
          <w:rFonts w:hint="eastAsia"/>
          <w:color w:val="auto"/>
          <w:highlight w:val="none"/>
        </w:rPr>
        <w:t>）</w:t>
      </w:r>
      <w:r>
        <w:rPr>
          <w:color w:val="auto"/>
          <w:highlight w:val="none"/>
        </w:rPr>
        <w:t xml:space="preserve"> </w:t>
      </w:r>
      <w:r>
        <w:rPr>
          <w:rFonts w:hint="eastAsia"/>
          <w:color w:val="auto"/>
          <w:highlight w:val="none"/>
        </w:rPr>
        <w:t>更换润滑油过滤器及润滑油。</w:t>
      </w:r>
    </w:p>
    <w:p>
      <w:pPr>
        <w:pStyle w:val="217"/>
        <w:rPr>
          <w:color w:val="auto"/>
          <w:highlight w:val="none"/>
        </w:rPr>
      </w:pPr>
      <w:r>
        <w:rPr>
          <w:color w:val="auto"/>
          <w:highlight w:val="none"/>
        </w:rPr>
        <w:t>3</w:t>
      </w:r>
      <w:r>
        <w:rPr>
          <w:rFonts w:hint="eastAsia"/>
          <w:color w:val="auto"/>
          <w:highlight w:val="none"/>
        </w:rPr>
        <w:t>）检查水泵轴承调校及叶轮的固定安装和防漏密封件。</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）一年维修检查</w:t>
      </w:r>
    </w:p>
    <w:p>
      <w:pPr>
        <w:pStyle w:val="217"/>
        <w:rPr>
          <w:color w:val="auto"/>
          <w:highlight w:val="none"/>
        </w:rPr>
      </w:pPr>
      <w:r>
        <w:rPr>
          <w:color w:val="auto"/>
          <w:highlight w:val="none"/>
        </w:rPr>
        <w:t>5</w:t>
      </w:r>
      <w:r>
        <w:rPr>
          <w:rFonts w:hint="eastAsia"/>
          <w:color w:val="auto"/>
          <w:highlight w:val="none"/>
        </w:rPr>
        <w:t>）</w:t>
      </w:r>
      <w:r>
        <w:rPr>
          <w:color w:val="auto"/>
          <w:highlight w:val="none"/>
        </w:rPr>
        <w:t xml:space="preserve"> </w:t>
      </w:r>
      <w:r>
        <w:rPr>
          <w:rFonts w:hint="eastAsia"/>
          <w:color w:val="auto"/>
          <w:highlight w:val="none"/>
        </w:rPr>
        <w:t>检查及调校所有系统</w:t>
      </w:r>
      <w:r>
        <w:rPr>
          <w:color w:val="auto"/>
          <w:highlight w:val="none"/>
        </w:rPr>
        <w:t>/</w:t>
      </w:r>
      <w:r>
        <w:rPr>
          <w:rFonts w:hint="eastAsia"/>
          <w:color w:val="auto"/>
          <w:highlight w:val="none"/>
        </w:rPr>
        <w:t>设备以保证系统能按照制造商的标准进行。</w:t>
      </w:r>
    </w:p>
    <w:p>
      <w:pPr>
        <w:pStyle w:val="217"/>
        <w:rPr>
          <w:color w:val="auto"/>
          <w:highlight w:val="none"/>
        </w:rPr>
      </w:pPr>
      <w:r>
        <w:rPr>
          <w:color w:val="auto"/>
          <w:highlight w:val="none"/>
        </w:rPr>
        <w:t>6</w:t>
      </w:r>
      <w:r>
        <w:rPr>
          <w:rFonts w:hint="eastAsia"/>
          <w:color w:val="auto"/>
          <w:highlight w:val="none"/>
        </w:rPr>
        <w:t>）</w:t>
      </w:r>
      <w:r>
        <w:rPr>
          <w:color w:val="auto"/>
          <w:highlight w:val="none"/>
        </w:rPr>
        <w:t xml:space="preserve"> </w:t>
      </w:r>
      <w:r>
        <w:rPr>
          <w:rFonts w:hint="eastAsia"/>
          <w:color w:val="auto"/>
          <w:highlight w:val="none"/>
        </w:rPr>
        <w:t>检查及调校所有用于系统平衡的阀门。</w:t>
      </w:r>
    </w:p>
    <w:p>
      <w:pPr>
        <w:pStyle w:val="217"/>
        <w:rPr>
          <w:color w:val="auto"/>
          <w:highlight w:val="none"/>
        </w:rPr>
      </w:pPr>
      <w:r>
        <w:rPr>
          <w:color w:val="auto"/>
          <w:highlight w:val="none"/>
        </w:rPr>
        <w:t>4.</w:t>
      </w:r>
      <w:r>
        <w:rPr>
          <w:rFonts w:hint="eastAsia"/>
          <w:color w:val="auto"/>
          <w:highlight w:val="none"/>
        </w:rPr>
        <w:t>在收到紧急事故召唤时，承包人须按正常工作时间及非工作时间分别于两小时及六小时之内到场进行抢修工作。</w:t>
      </w:r>
    </w:p>
    <w:p>
      <w:pPr>
        <w:pStyle w:val="217"/>
        <w:rPr>
          <w:color w:val="auto"/>
          <w:highlight w:val="none"/>
        </w:rPr>
      </w:pPr>
      <w:r>
        <w:rPr>
          <w:color w:val="auto"/>
          <w:highlight w:val="none"/>
        </w:rPr>
        <w:t>5.</w:t>
      </w:r>
      <w:r>
        <w:rPr>
          <w:rFonts w:hint="eastAsia"/>
          <w:color w:val="auto"/>
          <w:highlight w:val="none"/>
        </w:rPr>
        <w:t>承包人应于维修保养期间对系统和设备作出适当保护，并在缺陷保修期满前，按需要将有关设备装置翻新上漆，使设备装置看似新装一样才作正式完成本合同责任。</w:t>
      </w:r>
    </w:p>
    <w:p>
      <w:pPr>
        <w:pStyle w:val="217"/>
        <w:rPr>
          <w:color w:val="auto"/>
          <w:highlight w:val="none"/>
        </w:rPr>
      </w:pPr>
      <w:r>
        <w:rPr>
          <w:color w:val="auto"/>
          <w:highlight w:val="none"/>
        </w:rPr>
        <w:t>6.</w:t>
      </w:r>
      <w:r>
        <w:rPr>
          <w:rFonts w:hint="eastAsia"/>
          <w:color w:val="auto"/>
          <w:highlight w:val="none"/>
        </w:rPr>
        <w:t>操作和保养手册</w:t>
      </w:r>
      <w:r>
        <w:rPr>
          <w:color w:val="auto"/>
          <w:highlight w:val="none"/>
        </w:rPr>
        <w:t>.</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承包人须于工地测试和运行进行前一个月，预先草拟一份包含临时图则、电脑软件表和维修保养程序的操作和维修保养手册草稿（后面简称“手册”），以便发包人的工程人员能预先对有关装置有所认识。而有关手册草稿除了一些资料因有关工程尚未完成而需以临时插页暂代外，其格式安排应与日后正式手册的编排相同。</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经批核的正式手册必须于缺陷保修期开始的六个星期内备妥及呈交，呈交数量至少三套。手册内所有资料应以中文编印，每一系统应独立成册，以减少每册的厚度，不同的内容或章节应以塑胶制索引标签分隔并附有清楚的目录指示，以便使用者翻查参考。</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设备的操作控制须采用“控制示意图”以清楚而简单的形式来表示，并以“控制连接图”方式表示装置内部各部件及电线的位置、安排和联接的资料。所有的控制图须包括或另提供详细的图例说明，以识别各部件和接点的位置并标注其特别功能、特征和用途，例如额定电流量、线圈电压、调节定位参数等。</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）手册须同时附有本项目的“竣工图”目录，并按所属系统分别列于有关系统的章节内。如某一图纸同时适用于多个系统时，则需在每个有关系统章节内同时列出。</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）内容：需包括手册的主旨并简要说明手册的内容和章节。</w:t>
      </w:r>
    </w:p>
    <w:p>
      <w:pPr>
        <w:pStyle w:val="217"/>
        <w:rPr>
          <w:color w:val="auto"/>
          <w:highlight w:val="none"/>
        </w:rPr>
      </w:pPr>
      <w:r>
        <w:rPr>
          <w:color w:val="auto"/>
          <w:highlight w:val="none"/>
        </w:rPr>
        <w:t>1</w:t>
      </w:r>
      <w:r>
        <w:rPr>
          <w:rFonts w:hint="eastAsia"/>
          <w:color w:val="auto"/>
          <w:highlight w:val="none"/>
        </w:rPr>
        <w:t>）系统说明</w:t>
      </w:r>
    </w:p>
    <w:p>
      <w:pPr>
        <w:pStyle w:val="217"/>
        <w:rPr>
          <w:color w:val="auto"/>
          <w:highlight w:val="none"/>
        </w:rPr>
      </w:pPr>
      <w:r>
        <w:rPr>
          <w:rFonts w:hint="eastAsia" w:cs="宋体"/>
          <w:color w:val="auto"/>
          <w:highlight w:val="none"/>
        </w:rPr>
        <w:t>①</w:t>
      </w:r>
      <w:r>
        <w:rPr>
          <w:rFonts w:hint="eastAsia"/>
          <w:color w:val="auto"/>
          <w:highlight w:val="none"/>
        </w:rPr>
        <w:t>分别详尽介绍每个独立系统如何调节、控制、监察和调校。</w:t>
      </w:r>
    </w:p>
    <w:p>
      <w:pPr>
        <w:pStyle w:val="217"/>
        <w:rPr>
          <w:color w:val="auto"/>
          <w:highlight w:val="none"/>
        </w:rPr>
      </w:pPr>
      <w:r>
        <w:rPr>
          <w:rFonts w:hint="eastAsia" w:cs="宋体"/>
          <w:color w:val="auto"/>
          <w:highlight w:val="none"/>
        </w:rPr>
        <w:t>②</w:t>
      </w:r>
      <w:r>
        <w:rPr>
          <w:rFonts w:hint="eastAsia"/>
          <w:color w:val="auto"/>
          <w:highlight w:val="none"/>
        </w:rPr>
        <w:t>介绍各系统的主要装置和部件的大小规格和功能。</w:t>
      </w:r>
    </w:p>
    <w:p>
      <w:pPr>
        <w:pStyle w:val="217"/>
        <w:rPr>
          <w:color w:val="auto"/>
          <w:highlight w:val="none"/>
        </w:rPr>
      </w:pPr>
      <w:r>
        <w:rPr>
          <w:rFonts w:hint="eastAsia" w:cs="宋体"/>
          <w:color w:val="auto"/>
          <w:highlight w:val="none"/>
        </w:rPr>
        <w:t>③</w:t>
      </w:r>
      <w:r>
        <w:rPr>
          <w:rFonts w:hint="eastAsia"/>
          <w:color w:val="auto"/>
          <w:highlight w:val="none"/>
        </w:rPr>
        <w:t>供每个系统的可调节部件和保护装置的最初设定参数。</w:t>
      </w:r>
    </w:p>
    <w:p>
      <w:pPr>
        <w:pStyle w:val="217"/>
        <w:rPr>
          <w:color w:val="auto"/>
          <w:highlight w:val="none"/>
        </w:rPr>
      </w:pPr>
      <w:r>
        <w:rPr>
          <w:rFonts w:hint="eastAsia" w:cs="宋体"/>
          <w:color w:val="auto"/>
          <w:highlight w:val="none"/>
        </w:rPr>
        <w:t>④</w:t>
      </w:r>
      <w:r>
        <w:rPr>
          <w:rFonts w:hint="eastAsia"/>
          <w:color w:val="auto"/>
          <w:highlight w:val="none"/>
        </w:rPr>
        <w:t>系统设备的正常运作程序和在不正常情况下维持部分部件运作的应变程序。</w:t>
      </w:r>
    </w:p>
    <w:p>
      <w:pPr>
        <w:pStyle w:val="217"/>
        <w:rPr>
          <w:color w:val="auto"/>
          <w:highlight w:val="none"/>
        </w:rPr>
      </w:pPr>
      <w:r>
        <w:rPr>
          <w:color w:val="auto"/>
          <w:highlight w:val="none"/>
        </w:rPr>
        <w:t>2</w:t>
      </w:r>
      <w:r>
        <w:rPr>
          <w:rFonts w:hint="eastAsia"/>
          <w:color w:val="auto"/>
          <w:highlight w:val="none"/>
        </w:rPr>
        <w:t>）技术说明；</w:t>
      </w:r>
    </w:p>
    <w:p>
      <w:pPr>
        <w:pStyle w:val="217"/>
        <w:rPr>
          <w:color w:val="auto"/>
          <w:highlight w:val="none"/>
        </w:rPr>
      </w:pPr>
      <w:r>
        <w:rPr>
          <w:rFonts w:hint="eastAsia"/>
          <w:color w:val="auto"/>
          <w:highlight w:val="none"/>
        </w:rPr>
        <w:t>①所有系统和设备的技术资料介绍，包括每块电路板的电路图，以及其所有电子元件的布置图；</w:t>
      </w:r>
    </w:p>
    <w:p>
      <w:pPr>
        <w:pStyle w:val="217"/>
        <w:rPr>
          <w:color w:val="auto"/>
          <w:highlight w:val="none"/>
        </w:rPr>
      </w:pPr>
      <w:r>
        <w:rPr>
          <w:rFonts w:hint="eastAsia" w:cs="宋体"/>
          <w:color w:val="auto"/>
          <w:highlight w:val="none"/>
        </w:rPr>
        <w:t>②</w:t>
      </w:r>
      <w:r>
        <w:rPr>
          <w:rFonts w:hint="eastAsia"/>
          <w:color w:val="auto"/>
          <w:highlight w:val="none"/>
        </w:rPr>
        <w:t>管道和接线图；</w:t>
      </w:r>
    </w:p>
    <w:p>
      <w:pPr>
        <w:pStyle w:val="217"/>
        <w:rPr>
          <w:color w:val="auto"/>
          <w:highlight w:val="none"/>
        </w:rPr>
      </w:pPr>
      <w:r>
        <w:rPr>
          <w:rFonts w:hint="eastAsia" w:cs="宋体"/>
          <w:color w:val="auto"/>
          <w:highlight w:val="none"/>
        </w:rPr>
        <w:t>③</w:t>
      </w:r>
      <w:r>
        <w:rPr>
          <w:rFonts w:hint="eastAsia"/>
          <w:color w:val="auto"/>
          <w:highlight w:val="none"/>
        </w:rPr>
        <w:t>所有专利设备需附有原厂所发的制造图纸，如有需要须同时提供部件剖析图以显示各部件的位置；</w:t>
      </w:r>
    </w:p>
    <w:p>
      <w:pPr>
        <w:pStyle w:val="217"/>
        <w:rPr>
          <w:color w:val="auto"/>
          <w:highlight w:val="none"/>
        </w:rPr>
      </w:pPr>
      <w:r>
        <w:rPr>
          <w:rFonts w:hint="eastAsia" w:cs="宋体"/>
          <w:color w:val="auto"/>
          <w:highlight w:val="none"/>
        </w:rPr>
        <w:t>④</w:t>
      </w:r>
      <w:r>
        <w:rPr>
          <w:rFonts w:hint="eastAsia"/>
          <w:color w:val="auto"/>
          <w:highlight w:val="none"/>
        </w:rPr>
        <w:t>设备表：列出生产制造商、型号、系列编号、经调试运行后所核定的设定参数；</w:t>
      </w:r>
    </w:p>
    <w:p>
      <w:pPr>
        <w:pStyle w:val="217"/>
        <w:rPr>
          <w:color w:val="auto"/>
          <w:highlight w:val="none"/>
        </w:rPr>
      </w:pPr>
      <w:r>
        <w:rPr>
          <w:rFonts w:hint="eastAsia"/>
          <w:color w:val="auto"/>
          <w:highlight w:val="none"/>
        </w:rPr>
        <w:t>提供所有设备的产品说明书以及性能指标表等资料。</w:t>
      </w:r>
    </w:p>
    <w:p>
      <w:pPr>
        <w:pStyle w:val="217"/>
        <w:rPr>
          <w:color w:val="auto"/>
          <w:highlight w:val="none"/>
        </w:rPr>
      </w:pPr>
      <w:r>
        <w:rPr>
          <w:color w:val="auto"/>
          <w:highlight w:val="none"/>
        </w:rPr>
        <w:t>3</w:t>
      </w:r>
      <w:r>
        <w:rPr>
          <w:rFonts w:hint="eastAsia"/>
          <w:color w:val="auto"/>
          <w:highlight w:val="none"/>
        </w:rPr>
        <w:t>）维修保养</w:t>
      </w:r>
    </w:p>
    <w:p>
      <w:pPr>
        <w:pStyle w:val="217"/>
        <w:rPr>
          <w:color w:val="auto"/>
          <w:highlight w:val="none"/>
        </w:rPr>
      </w:pPr>
      <w:r>
        <w:rPr>
          <w:rFonts w:hint="eastAsia"/>
          <w:color w:val="auto"/>
          <w:highlight w:val="none"/>
        </w:rPr>
        <w:t>①所有系统的检查手册；</w:t>
      </w:r>
    </w:p>
    <w:p>
      <w:pPr>
        <w:pStyle w:val="217"/>
        <w:rPr>
          <w:color w:val="auto"/>
          <w:highlight w:val="none"/>
        </w:rPr>
      </w:pPr>
      <w:r>
        <w:rPr>
          <w:rFonts w:hint="eastAsia" w:cs="宋体"/>
          <w:color w:val="auto"/>
          <w:highlight w:val="none"/>
        </w:rPr>
        <w:t>②</w:t>
      </w:r>
      <w:r>
        <w:rPr>
          <w:rFonts w:hint="eastAsia"/>
          <w:color w:val="auto"/>
          <w:highlight w:val="none"/>
        </w:rPr>
        <w:t>所有系统的运作手册；</w:t>
      </w:r>
    </w:p>
    <w:p>
      <w:pPr>
        <w:pStyle w:val="217"/>
        <w:rPr>
          <w:color w:val="auto"/>
          <w:highlight w:val="none"/>
        </w:rPr>
      </w:pPr>
      <w:r>
        <w:rPr>
          <w:rFonts w:hint="eastAsia" w:cs="宋体"/>
          <w:color w:val="auto"/>
          <w:highlight w:val="none"/>
        </w:rPr>
        <w:t>③</w:t>
      </w:r>
      <w:r>
        <w:rPr>
          <w:rFonts w:hint="eastAsia"/>
          <w:color w:val="auto"/>
          <w:highlight w:val="none"/>
        </w:rPr>
        <w:t>更换装置部件的程序、要求和更换率；</w:t>
      </w:r>
    </w:p>
    <w:p>
      <w:pPr>
        <w:pStyle w:val="217"/>
        <w:rPr>
          <w:color w:val="auto"/>
          <w:highlight w:val="none"/>
        </w:rPr>
      </w:pPr>
      <w:r>
        <w:rPr>
          <w:rFonts w:hint="eastAsia" w:cs="宋体"/>
          <w:color w:val="auto"/>
          <w:highlight w:val="none"/>
        </w:rPr>
        <w:t>④</w:t>
      </w:r>
      <w:r>
        <w:rPr>
          <w:rFonts w:hint="eastAsia"/>
          <w:color w:val="auto"/>
          <w:highlight w:val="none"/>
        </w:rPr>
        <w:t>整个系统以至电路板的维修保养指示和说明、调校程序和寻找故障的指示及说明；</w:t>
      </w:r>
    </w:p>
    <w:p>
      <w:pPr>
        <w:pStyle w:val="217"/>
        <w:rPr>
          <w:color w:val="auto"/>
          <w:highlight w:val="none"/>
        </w:rPr>
      </w:pPr>
      <w:r>
        <w:rPr>
          <w:rFonts w:hint="eastAsia"/>
          <w:color w:val="auto"/>
          <w:highlight w:val="none"/>
        </w:rPr>
        <w:t>⑤进行系统操作和维修保养的程序和需要特别注意的事项；</w:t>
      </w:r>
    </w:p>
    <w:p>
      <w:pPr>
        <w:pStyle w:val="217"/>
        <w:rPr>
          <w:color w:val="auto"/>
          <w:highlight w:val="none"/>
        </w:rPr>
      </w:pPr>
      <w:r>
        <w:rPr>
          <w:rFonts w:hint="eastAsia"/>
          <w:color w:val="auto"/>
          <w:highlight w:val="none"/>
        </w:rPr>
        <w:t>⑥零备件储存和目录编册。</w:t>
      </w:r>
    </w:p>
    <w:p>
      <w:pPr>
        <w:pStyle w:val="217"/>
        <w:rPr>
          <w:color w:val="auto"/>
          <w:highlight w:val="none"/>
        </w:rPr>
      </w:pPr>
      <w:r>
        <w:rPr>
          <w:color w:val="auto"/>
          <w:highlight w:val="none"/>
        </w:rPr>
        <w:t>4</w:t>
      </w:r>
      <w:r>
        <w:rPr>
          <w:rFonts w:hint="eastAsia"/>
          <w:color w:val="auto"/>
          <w:highlight w:val="none"/>
        </w:rPr>
        <w:t>）安全保险</w:t>
      </w:r>
    </w:p>
    <w:p>
      <w:pPr>
        <w:pStyle w:val="217"/>
        <w:rPr>
          <w:color w:val="auto"/>
          <w:highlight w:val="none"/>
        </w:rPr>
      </w:pPr>
      <w:r>
        <w:rPr>
          <w:rFonts w:hint="eastAsia"/>
          <w:color w:val="auto"/>
          <w:highlight w:val="none"/>
        </w:rPr>
        <w:t>①各类设备的正确操作程序；</w:t>
      </w:r>
    </w:p>
    <w:p>
      <w:pPr>
        <w:pStyle w:val="217"/>
        <w:rPr>
          <w:color w:val="auto"/>
          <w:highlight w:val="none"/>
        </w:rPr>
      </w:pPr>
      <w:r>
        <w:rPr>
          <w:rFonts w:hint="eastAsia"/>
          <w:color w:val="auto"/>
          <w:highlight w:val="none"/>
        </w:rPr>
        <w:t>②对各项系统操作时可能发生的危险事故所应作的预防、应变和保护措施说明。</w:t>
      </w:r>
    </w:p>
    <w:p>
      <w:pPr>
        <w:pStyle w:val="217"/>
        <w:rPr>
          <w:color w:val="auto"/>
          <w:highlight w:val="none"/>
        </w:rPr>
      </w:pPr>
      <w:r>
        <w:rPr>
          <w:rFonts w:hint="eastAsia"/>
          <w:color w:val="auto"/>
          <w:highlight w:val="none"/>
        </w:rPr>
        <w:t>③供应厂商指南</w:t>
      </w:r>
    </w:p>
    <w:p>
      <w:pPr>
        <w:pStyle w:val="217"/>
        <w:rPr>
          <w:color w:val="auto"/>
          <w:highlight w:val="none"/>
        </w:rPr>
      </w:pPr>
      <w:r>
        <w:rPr>
          <w:rFonts w:hint="eastAsia"/>
          <w:color w:val="auto"/>
          <w:highlight w:val="none"/>
        </w:rPr>
        <w:t>应列出每一种设备、材料和附件的供应厂商和代理商的名单、通信地址、联系电话及图文传真号码。</w:t>
      </w:r>
    </w:p>
    <w:p>
      <w:pPr>
        <w:pStyle w:val="217"/>
        <w:rPr>
          <w:color w:val="auto"/>
          <w:highlight w:val="none"/>
        </w:rPr>
      </w:pPr>
      <w:r>
        <w:rPr>
          <w:color w:val="auto"/>
          <w:highlight w:val="none"/>
        </w:rPr>
        <w:t>5</w:t>
      </w:r>
      <w:r>
        <w:rPr>
          <w:rFonts w:hint="eastAsia"/>
          <w:color w:val="auto"/>
          <w:highlight w:val="none"/>
        </w:rPr>
        <w:t>）零备件表</w:t>
      </w:r>
    </w:p>
    <w:p>
      <w:pPr>
        <w:pStyle w:val="217"/>
        <w:rPr>
          <w:color w:val="auto"/>
          <w:highlight w:val="none"/>
        </w:rPr>
      </w:pPr>
      <w:r>
        <w:rPr>
          <w:rFonts w:hint="eastAsia"/>
          <w:color w:val="auto"/>
          <w:highlight w:val="none"/>
        </w:rPr>
        <w:t>应列出提供给发包人的所有零备件和维修保养所用工具的清单</w:t>
      </w:r>
      <w:r>
        <w:rPr>
          <w:color w:val="auto"/>
          <w:highlight w:val="none"/>
        </w:rPr>
        <w:t>,</w:t>
      </w:r>
      <w:r>
        <w:rPr>
          <w:rFonts w:hint="eastAsia"/>
          <w:color w:val="auto"/>
          <w:highlight w:val="none"/>
        </w:rPr>
        <w:t>以及备件是否收费，若收费，应列出价格。</w:t>
      </w:r>
    </w:p>
    <w:p>
      <w:pPr>
        <w:rPr>
          <w:color w:val="auto"/>
          <w:highlight w:val="none"/>
        </w:rPr>
      </w:pPr>
    </w:p>
    <w:p>
      <w:pPr>
        <w:pStyle w:val="188"/>
        <w:spacing w:before="120" w:after="120"/>
        <w:outlineLvl w:val="1"/>
        <w:rPr>
          <w:color w:val="auto"/>
          <w:highlight w:val="none"/>
        </w:rPr>
      </w:pPr>
      <w:bookmarkStart w:id="7840" w:name="_Toc69114181"/>
      <w:bookmarkStart w:id="7841" w:name="_Toc66634440"/>
      <w:bookmarkStart w:id="7842" w:name="_Toc66890435"/>
      <w:bookmarkStart w:id="7843" w:name="_Toc380622835"/>
      <w:bookmarkStart w:id="7844" w:name="_Toc505345753"/>
      <w:r>
        <w:rPr>
          <w:rFonts w:hint="eastAsia"/>
          <w:color w:val="auto"/>
          <w:highlight w:val="none"/>
        </w:rPr>
        <w:t>第</w:t>
      </w:r>
      <w:r>
        <w:rPr>
          <w:color w:val="auto"/>
          <w:highlight w:val="none"/>
        </w:rPr>
        <w:t>3</w:t>
      </w:r>
      <w:r>
        <w:rPr>
          <w:rFonts w:hint="eastAsia"/>
          <w:color w:val="auto"/>
          <w:highlight w:val="none"/>
        </w:rPr>
        <w:t>章</w:t>
      </w:r>
      <w:r>
        <w:rPr>
          <w:color w:val="auto"/>
          <w:highlight w:val="none"/>
        </w:rPr>
        <w:t xml:space="preserve">  </w:t>
      </w:r>
      <w:r>
        <w:rPr>
          <w:rFonts w:hint="eastAsia"/>
          <w:color w:val="auto"/>
          <w:highlight w:val="none"/>
        </w:rPr>
        <w:t>管道</w:t>
      </w:r>
      <w:bookmarkEnd w:id="7840"/>
      <w:bookmarkEnd w:id="7841"/>
      <w:bookmarkEnd w:id="7842"/>
      <w:bookmarkEnd w:id="7843"/>
      <w:bookmarkEnd w:id="7844"/>
    </w:p>
    <w:p>
      <w:pPr>
        <w:pStyle w:val="113"/>
        <w:spacing w:before="120" w:after="120"/>
        <w:outlineLvl w:val="2"/>
        <w:rPr>
          <w:color w:val="auto"/>
          <w:highlight w:val="none"/>
        </w:rPr>
      </w:pPr>
      <w:bookmarkStart w:id="7845" w:name="_Toc66634441"/>
      <w:bookmarkStart w:id="7846" w:name="_Toc69114182"/>
      <w:bookmarkStart w:id="7847" w:name="_Toc505345754"/>
      <w:bookmarkStart w:id="7848" w:name="_Toc66890436"/>
      <w:r>
        <w:rPr>
          <w:color w:val="auto"/>
          <w:highlight w:val="none"/>
        </w:rPr>
        <w:t xml:space="preserve">3.1 </w:t>
      </w:r>
      <w:r>
        <w:rPr>
          <w:rFonts w:hint="eastAsia"/>
          <w:color w:val="auto"/>
          <w:highlight w:val="none"/>
        </w:rPr>
        <w:t>通用要求</w:t>
      </w:r>
      <w:bookmarkEnd w:id="7845"/>
      <w:bookmarkEnd w:id="7846"/>
      <w:bookmarkEnd w:id="7847"/>
      <w:bookmarkEnd w:id="7848"/>
    </w:p>
    <w:p>
      <w:pPr>
        <w:pStyle w:val="217"/>
        <w:rPr>
          <w:color w:val="auto"/>
          <w:highlight w:val="none"/>
        </w:rPr>
      </w:pPr>
      <w:r>
        <w:rPr>
          <w:rFonts w:hint="eastAsia"/>
          <w:color w:val="auto"/>
          <w:highlight w:val="none"/>
        </w:rPr>
        <w:t>本章说明给水（消防、生活饮用水）、雨水及排水系统的管道及其它设备的规格和安装所需的各项技术要求。</w:t>
      </w:r>
    </w:p>
    <w:p>
      <w:pPr>
        <w:pStyle w:val="172"/>
        <w:rPr>
          <w:color w:val="auto"/>
          <w:highlight w:val="none"/>
        </w:rPr>
      </w:pPr>
      <w:r>
        <w:rPr>
          <w:color w:val="auto"/>
          <w:highlight w:val="none"/>
        </w:rPr>
        <w:t xml:space="preserve">3.1.1 </w:t>
      </w:r>
      <w:r>
        <w:rPr>
          <w:rFonts w:hint="eastAsia"/>
          <w:color w:val="auto"/>
          <w:highlight w:val="none"/>
        </w:rPr>
        <w:t>一般要求</w:t>
      </w:r>
    </w:p>
    <w:p>
      <w:pPr>
        <w:pStyle w:val="217"/>
        <w:rPr>
          <w:color w:val="auto"/>
          <w:highlight w:val="none"/>
        </w:rPr>
      </w:pPr>
      <w:r>
        <w:rPr>
          <w:color w:val="auto"/>
          <w:highlight w:val="none"/>
        </w:rPr>
        <w:t>1.</w:t>
      </w:r>
      <w:r>
        <w:rPr>
          <w:rFonts w:hint="eastAsia"/>
          <w:color w:val="auto"/>
          <w:highlight w:val="none"/>
        </w:rPr>
        <w:t>所有送达工地的管道均应为全新的，并着有色带、标示以利辨认不同的等级。</w:t>
      </w:r>
    </w:p>
    <w:p>
      <w:pPr>
        <w:pStyle w:val="217"/>
        <w:rPr>
          <w:color w:val="auto"/>
          <w:highlight w:val="none"/>
        </w:rPr>
      </w:pPr>
      <w:r>
        <w:rPr>
          <w:color w:val="auto"/>
          <w:highlight w:val="none"/>
        </w:rPr>
        <w:t>2.</w:t>
      </w:r>
      <w:r>
        <w:rPr>
          <w:rFonts w:hint="eastAsia"/>
          <w:color w:val="auto"/>
          <w:highlight w:val="none"/>
        </w:rPr>
        <w:t>所有管道应按施工图纸安装。</w:t>
      </w:r>
    </w:p>
    <w:p>
      <w:pPr>
        <w:pStyle w:val="217"/>
        <w:rPr>
          <w:color w:val="auto"/>
          <w:highlight w:val="none"/>
        </w:rPr>
      </w:pPr>
      <w:r>
        <w:rPr>
          <w:color w:val="auto"/>
          <w:highlight w:val="none"/>
        </w:rPr>
        <w:t>3.</w:t>
      </w:r>
      <w:r>
        <w:rPr>
          <w:rFonts w:hint="eastAsia"/>
          <w:color w:val="auto"/>
          <w:highlight w:val="none"/>
        </w:rPr>
        <w:t>给水管道必须采用与管材相适应的管件，生活给水系统所涉及的材料必须达到饮用水卫生标准。同一品种的管材要同一供应商提供。</w:t>
      </w:r>
    </w:p>
    <w:p>
      <w:pPr>
        <w:pStyle w:val="217"/>
        <w:rPr>
          <w:color w:val="auto"/>
          <w:highlight w:val="none"/>
        </w:rPr>
      </w:pPr>
      <w:r>
        <w:rPr>
          <w:color w:val="auto"/>
          <w:highlight w:val="none"/>
        </w:rPr>
        <w:t>4.</w:t>
      </w:r>
      <w:r>
        <w:rPr>
          <w:rFonts w:hint="eastAsia"/>
          <w:color w:val="auto"/>
          <w:highlight w:val="none"/>
        </w:rPr>
        <w:t>管道须通过套管越过墙壁、地台、楼板。若管道所穿越之结构需要防水密封时，须用铸铁防水法兰套管或止水节接驳。</w:t>
      </w:r>
    </w:p>
    <w:p>
      <w:pPr>
        <w:pStyle w:val="217"/>
        <w:rPr>
          <w:color w:val="auto"/>
          <w:highlight w:val="none"/>
        </w:rPr>
      </w:pPr>
      <w:r>
        <w:rPr>
          <w:color w:val="auto"/>
          <w:highlight w:val="none"/>
        </w:rPr>
        <w:t>5.</w:t>
      </w:r>
      <w:r>
        <w:rPr>
          <w:rFonts w:hint="eastAsia"/>
          <w:color w:val="auto"/>
          <w:highlight w:val="none"/>
        </w:rPr>
        <w:t>配合施工进度提交所有有关管道的安装资料。</w:t>
      </w:r>
    </w:p>
    <w:p>
      <w:pPr>
        <w:pStyle w:val="217"/>
        <w:rPr>
          <w:color w:val="auto"/>
          <w:highlight w:val="none"/>
        </w:rPr>
      </w:pPr>
      <w:r>
        <w:rPr>
          <w:color w:val="auto"/>
          <w:highlight w:val="none"/>
        </w:rPr>
        <w:t>6.</w:t>
      </w:r>
      <w:r>
        <w:rPr>
          <w:rFonts w:hint="eastAsia"/>
          <w:color w:val="auto"/>
          <w:highlight w:val="none"/>
        </w:rPr>
        <w:t>所有跨越楼宇伸缩缝的管道必须采用波纹伸缩器连接。</w:t>
      </w:r>
    </w:p>
    <w:p>
      <w:pPr>
        <w:pStyle w:val="217"/>
        <w:rPr>
          <w:color w:val="auto"/>
          <w:highlight w:val="none"/>
        </w:rPr>
      </w:pPr>
      <w:r>
        <w:rPr>
          <w:color w:val="auto"/>
          <w:highlight w:val="none"/>
        </w:rPr>
        <w:t>7.</w:t>
      </w:r>
      <w:r>
        <w:rPr>
          <w:rFonts w:hint="eastAsia"/>
          <w:color w:val="auto"/>
          <w:highlight w:val="none"/>
        </w:rPr>
        <w:t>在安装需配合吊顶时，承包人须负责调整管道的高低使符合吊顶高度，费用由承包人承担。若管道须早于吊顶安装时，承包人应预先获得建筑师</w:t>
      </w:r>
      <w:r>
        <w:rPr>
          <w:color w:val="auto"/>
          <w:highlight w:val="none"/>
        </w:rPr>
        <w:t>/</w:t>
      </w:r>
      <w:r>
        <w:rPr>
          <w:rFonts w:hint="eastAsia"/>
          <w:color w:val="auto"/>
          <w:highlight w:val="none"/>
        </w:rPr>
        <w:t>工程师发出预定高度的指令后方可进行。</w:t>
      </w:r>
    </w:p>
    <w:p>
      <w:pPr>
        <w:pStyle w:val="217"/>
        <w:rPr>
          <w:color w:val="auto"/>
          <w:highlight w:val="none"/>
        </w:rPr>
      </w:pPr>
      <w:r>
        <w:rPr>
          <w:color w:val="auto"/>
          <w:highlight w:val="none"/>
        </w:rPr>
        <w:t>8.</w:t>
      </w:r>
      <w:r>
        <w:rPr>
          <w:rFonts w:hint="eastAsia"/>
          <w:color w:val="auto"/>
          <w:highlight w:val="none"/>
        </w:rPr>
        <w:t>所有管道安装设于室外或其它有可能令系统管道结冰的环境底下，必须提供保温材料及电伴热，以免管道受破坏而影响系统操作。</w:t>
      </w:r>
    </w:p>
    <w:p>
      <w:pPr>
        <w:pStyle w:val="217"/>
        <w:rPr>
          <w:color w:val="auto"/>
          <w:highlight w:val="none"/>
        </w:rPr>
      </w:pPr>
      <w:r>
        <w:rPr>
          <w:color w:val="auto"/>
          <w:highlight w:val="none"/>
        </w:rPr>
        <w:t>9.</w:t>
      </w:r>
      <w:r>
        <w:rPr>
          <w:rFonts w:hint="eastAsia"/>
          <w:color w:val="auto"/>
          <w:highlight w:val="none"/>
        </w:rPr>
        <w:t>任何情况下，镀锌钢管不得采用焊接方法。</w:t>
      </w:r>
    </w:p>
    <w:p>
      <w:pPr>
        <w:pStyle w:val="172"/>
        <w:rPr>
          <w:color w:val="auto"/>
          <w:highlight w:val="none"/>
        </w:rPr>
      </w:pPr>
      <w:r>
        <w:rPr>
          <w:color w:val="auto"/>
          <w:highlight w:val="none"/>
        </w:rPr>
        <w:t xml:space="preserve">3.1.2 </w:t>
      </w:r>
      <w:r>
        <w:rPr>
          <w:rFonts w:hint="eastAsia"/>
          <w:color w:val="auto"/>
          <w:highlight w:val="none"/>
        </w:rPr>
        <w:t>质量保证</w:t>
      </w:r>
    </w:p>
    <w:p>
      <w:pPr>
        <w:pStyle w:val="217"/>
        <w:rPr>
          <w:color w:val="auto"/>
          <w:highlight w:val="none"/>
        </w:rPr>
      </w:pPr>
      <w:r>
        <w:rPr>
          <w:color w:val="auto"/>
          <w:highlight w:val="none"/>
        </w:rPr>
        <w:t>1.</w:t>
      </w:r>
      <w:r>
        <w:rPr>
          <w:rFonts w:hint="eastAsia"/>
          <w:color w:val="auto"/>
          <w:highlight w:val="none"/>
        </w:rPr>
        <w:t>所有管道装配人员和设备安装人员均应具有在本行业中至少三年以上有关的工作经验。</w:t>
      </w:r>
    </w:p>
    <w:p>
      <w:pPr>
        <w:pStyle w:val="217"/>
        <w:rPr>
          <w:color w:val="auto"/>
          <w:highlight w:val="none"/>
        </w:rPr>
      </w:pPr>
      <w:r>
        <w:rPr>
          <w:color w:val="auto"/>
          <w:highlight w:val="none"/>
        </w:rPr>
        <w:t>2.</w:t>
      </w:r>
      <w:r>
        <w:rPr>
          <w:rFonts w:hint="eastAsia"/>
          <w:color w:val="auto"/>
          <w:highlight w:val="none"/>
        </w:rPr>
        <w:t>所有供本工程使用的管道和配件均应符合国标和设计要求。</w:t>
      </w:r>
    </w:p>
    <w:p>
      <w:pPr>
        <w:pStyle w:val="217"/>
        <w:rPr>
          <w:color w:val="auto"/>
          <w:highlight w:val="none"/>
        </w:rPr>
      </w:pPr>
      <w:r>
        <w:rPr>
          <w:color w:val="auto"/>
          <w:highlight w:val="none"/>
        </w:rPr>
        <w:t>3.</w:t>
      </w:r>
      <w:r>
        <w:rPr>
          <w:rFonts w:hint="eastAsia"/>
          <w:color w:val="auto"/>
          <w:highlight w:val="none"/>
        </w:rPr>
        <w:t>所有烧焊技工必须具备由有关政府机关签发的有效上岗证书。</w:t>
      </w:r>
    </w:p>
    <w:p>
      <w:pPr>
        <w:pStyle w:val="172"/>
        <w:rPr>
          <w:color w:val="auto"/>
          <w:highlight w:val="none"/>
        </w:rPr>
      </w:pPr>
      <w:r>
        <w:rPr>
          <w:color w:val="auto"/>
          <w:highlight w:val="none"/>
        </w:rPr>
        <w:t xml:space="preserve">3.1.3 </w:t>
      </w:r>
      <w:r>
        <w:rPr>
          <w:rFonts w:hint="eastAsia"/>
          <w:color w:val="auto"/>
          <w:highlight w:val="none"/>
        </w:rPr>
        <w:t>资料呈审</w:t>
      </w:r>
    </w:p>
    <w:p>
      <w:pPr>
        <w:pStyle w:val="217"/>
        <w:rPr>
          <w:color w:val="auto"/>
          <w:highlight w:val="none"/>
        </w:rPr>
      </w:pPr>
      <w:r>
        <w:rPr>
          <w:color w:val="auto"/>
          <w:highlight w:val="none"/>
        </w:rPr>
        <w:t>1.</w:t>
      </w:r>
      <w:r>
        <w:rPr>
          <w:rFonts w:hint="eastAsia"/>
          <w:color w:val="auto"/>
          <w:highlight w:val="none"/>
        </w:rPr>
        <w:t>提交管道支架和固定支架详图供审批。</w:t>
      </w:r>
    </w:p>
    <w:p>
      <w:pPr>
        <w:pStyle w:val="217"/>
        <w:rPr>
          <w:color w:val="auto"/>
          <w:highlight w:val="none"/>
        </w:rPr>
      </w:pPr>
      <w:r>
        <w:rPr>
          <w:color w:val="auto"/>
          <w:highlight w:val="none"/>
        </w:rPr>
        <w:t>2.</w:t>
      </w:r>
      <w:r>
        <w:rPr>
          <w:rFonts w:hint="eastAsia"/>
          <w:color w:val="auto"/>
          <w:highlight w:val="none"/>
        </w:rPr>
        <w:t>提交管道测试和清洁净化程序供审批。</w:t>
      </w:r>
    </w:p>
    <w:p>
      <w:pPr>
        <w:pStyle w:val="217"/>
        <w:rPr>
          <w:color w:val="auto"/>
          <w:highlight w:val="none"/>
        </w:rPr>
      </w:pPr>
      <w:r>
        <w:rPr>
          <w:color w:val="auto"/>
          <w:highlight w:val="none"/>
        </w:rPr>
        <w:t>3.</w:t>
      </w:r>
      <w:r>
        <w:rPr>
          <w:rFonts w:hint="eastAsia"/>
          <w:color w:val="auto"/>
          <w:highlight w:val="none"/>
        </w:rPr>
        <w:t>在测试和投入运行之后须提交完整的测试报告。</w:t>
      </w:r>
    </w:p>
    <w:p>
      <w:pPr>
        <w:pStyle w:val="113"/>
        <w:spacing w:before="120" w:after="120"/>
        <w:outlineLvl w:val="2"/>
        <w:rPr>
          <w:color w:val="auto"/>
          <w:highlight w:val="none"/>
        </w:rPr>
      </w:pPr>
      <w:bookmarkStart w:id="7849" w:name="_Toc66890437"/>
      <w:bookmarkStart w:id="7850" w:name="_Toc66634442"/>
      <w:bookmarkStart w:id="7851" w:name="_Toc69114183"/>
      <w:bookmarkStart w:id="7852" w:name="_Toc505345755"/>
      <w:r>
        <w:rPr>
          <w:color w:val="auto"/>
          <w:highlight w:val="none"/>
        </w:rPr>
        <w:t xml:space="preserve">3.2 </w:t>
      </w:r>
      <w:r>
        <w:rPr>
          <w:rFonts w:hint="eastAsia"/>
          <w:color w:val="auto"/>
          <w:highlight w:val="none"/>
        </w:rPr>
        <w:t>产品</w:t>
      </w:r>
      <w:bookmarkEnd w:id="7849"/>
      <w:bookmarkEnd w:id="7850"/>
      <w:bookmarkEnd w:id="7851"/>
      <w:bookmarkEnd w:id="7852"/>
    </w:p>
    <w:p>
      <w:pPr>
        <w:pStyle w:val="172"/>
        <w:rPr>
          <w:color w:val="auto"/>
          <w:highlight w:val="none"/>
        </w:rPr>
      </w:pPr>
      <w:r>
        <w:rPr>
          <w:color w:val="auto"/>
          <w:highlight w:val="none"/>
        </w:rPr>
        <w:t xml:space="preserve">3.2.1 </w:t>
      </w:r>
      <w:r>
        <w:rPr>
          <w:rFonts w:hint="eastAsia"/>
          <w:color w:val="auto"/>
          <w:highlight w:val="none"/>
        </w:rPr>
        <w:t>管道工程材料</w:t>
      </w:r>
    </w:p>
    <w:p>
      <w:pPr>
        <w:pStyle w:val="217"/>
        <w:rPr>
          <w:color w:val="auto"/>
          <w:highlight w:val="none"/>
        </w:rPr>
      </w:pPr>
      <w:r>
        <w:rPr>
          <w:rFonts w:hint="eastAsia"/>
          <w:color w:val="auto"/>
          <w:highlight w:val="none"/>
        </w:rPr>
        <w:t>给水（消防、生活饮用水）、排水系统管道的规格应符合设计施工图的要求。</w:t>
      </w:r>
    </w:p>
    <w:p>
      <w:pPr>
        <w:pStyle w:val="172"/>
        <w:rPr>
          <w:color w:val="auto"/>
          <w:highlight w:val="none"/>
        </w:rPr>
      </w:pPr>
      <w:r>
        <w:rPr>
          <w:color w:val="auto"/>
          <w:highlight w:val="none"/>
        </w:rPr>
        <w:t xml:space="preserve">3.2.2 </w:t>
      </w:r>
      <w:r>
        <w:rPr>
          <w:rFonts w:hint="eastAsia"/>
          <w:color w:val="auto"/>
          <w:highlight w:val="none"/>
        </w:rPr>
        <w:t>管道接口</w:t>
      </w:r>
    </w:p>
    <w:p>
      <w:pPr>
        <w:pStyle w:val="217"/>
        <w:rPr>
          <w:color w:val="auto"/>
          <w:highlight w:val="none"/>
        </w:rPr>
      </w:pPr>
      <w:r>
        <w:rPr>
          <w:color w:val="auto"/>
          <w:highlight w:val="none"/>
        </w:rPr>
        <w:t>1.</w:t>
      </w:r>
      <w:r>
        <w:rPr>
          <w:rFonts w:hint="eastAsia"/>
          <w:color w:val="auto"/>
          <w:highlight w:val="none"/>
        </w:rPr>
        <w:t>管道连接方法，应按设计施工图及技术要求进行。除安装必要，接口的间距应不小于</w:t>
      </w:r>
      <w:r>
        <w:rPr>
          <w:color w:val="auto"/>
          <w:highlight w:val="none"/>
        </w:rPr>
        <w:t>3</w:t>
      </w:r>
      <w:r>
        <w:rPr>
          <w:rFonts w:hint="eastAsia"/>
          <w:color w:val="auto"/>
          <w:highlight w:val="none"/>
        </w:rPr>
        <w:t>米。</w:t>
      </w:r>
    </w:p>
    <w:p>
      <w:pPr>
        <w:pStyle w:val="217"/>
        <w:rPr>
          <w:color w:val="auto"/>
          <w:highlight w:val="none"/>
        </w:rPr>
      </w:pPr>
      <w:r>
        <w:rPr>
          <w:color w:val="auto"/>
          <w:highlight w:val="none"/>
        </w:rPr>
        <w:t>2.</w:t>
      </w:r>
      <w:r>
        <w:rPr>
          <w:rFonts w:hint="eastAsia"/>
          <w:color w:val="auto"/>
          <w:highlight w:val="none"/>
        </w:rPr>
        <w:t>泵房和设备房内所有管道和附件须采用法兰接口或卡箍式联接器。</w:t>
      </w:r>
    </w:p>
    <w:p>
      <w:pPr>
        <w:pStyle w:val="217"/>
        <w:rPr>
          <w:color w:val="auto"/>
          <w:highlight w:val="none"/>
        </w:rPr>
      </w:pPr>
      <w:r>
        <w:rPr>
          <w:color w:val="auto"/>
          <w:highlight w:val="none"/>
        </w:rPr>
        <w:t>3.</w:t>
      </w:r>
      <w:r>
        <w:rPr>
          <w:rFonts w:hint="eastAsia"/>
          <w:color w:val="auto"/>
          <w:highlight w:val="none"/>
        </w:rPr>
        <w:t>所有丝扣接口须等同英国标准</w:t>
      </w:r>
      <w:r>
        <w:rPr>
          <w:color w:val="auto"/>
          <w:highlight w:val="none"/>
        </w:rPr>
        <w:t>BS21</w:t>
      </w:r>
      <w:r>
        <w:rPr>
          <w:rFonts w:hint="eastAsia"/>
          <w:color w:val="auto"/>
          <w:highlight w:val="none"/>
        </w:rPr>
        <w:t>的要求，小心选择材料，使其配合设备的类型。</w:t>
      </w:r>
    </w:p>
    <w:p>
      <w:pPr>
        <w:pStyle w:val="172"/>
        <w:rPr>
          <w:color w:val="auto"/>
          <w:highlight w:val="none"/>
        </w:rPr>
      </w:pPr>
      <w:r>
        <w:rPr>
          <w:color w:val="auto"/>
          <w:highlight w:val="none"/>
        </w:rPr>
        <w:t xml:space="preserve">3.2.3 </w:t>
      </w:r>
      <w:r>
        <w:rPr>
          <w:rFonts w:hint="eastAsia"/>
          <w:color w:val="auto"/>
          <w:highlight w:val="none"/>
        </w:rPr>
        <w:t>管道配件</w:t>
      </w:r>
    </w:p>
    <w:p>
      <w:pPr>
        <w:pStyle w:val="217"/>
        <w:rPr>
          <w:color w:val="auto"/>
          <w:highlight w:val="none"/>
        </w:rPr>
      </w:pPr>
      <w:r>
        <w:rPr>
          <w:color w:val="auto"/>
          <w:highlight w:val="none"/>
        </w:rPr>
        <w:t>1.</w:t>
      </w:r>
      <w:r>
        <w:rPr>
          <w:rFonts w:hint="eastAsia"/>
          <w:color w:val="auto"/>
          <w:highlight w:val="none"/>
        </w:rPr>
        <w:t>所提供管道配件应与管材相适应。</w:t>
      </w:r>
    </w:p>
    <w:p>
      <w:pPr>
        <w:pStyle w:val="217"/>
        <w:rPr>
          <w:color w:val="auto"/>
          <w:highlight w:val="none"/>
        </w:rPr>
      </w:pPr>
      <w:r>
        <w:rPr>
          <w:color w:val="auto"/>
          <w:highlight w:val="none"/>
        </w:rPr>
        <w:t>2.</w:t>
      </w:r>
      <w:r>
        <w:rPr>
          <w:rFonts w:hint="eastAsia"/>
          <w:color w:val="auto"/>
          <w:highlight w:val="none"/>
        </w:rPr>
        <w:t>为了保证排水或消除气囊，管径需变小的地方应用缩径接头。不可以套筒代替。</w:t>
      </w:r>
    </w:p>
    <w:p>
      <w:pPr>
        <w:pStyle w:val="217"/>
        <w:rPr>
          <w:color w:val="auto"/>
          <w:highlight w:val="none"/>
        </w:rPr>
      </w:pPr>
      <w:r>
        <w:rPr>
          <w:color w:val="auto"/>
          <w:highlight w:val="none"/>
        </w:rPr>
        <w:t>3.</w:t>
      </w:r>
      <w:r>
        <w:rPr>
          <w:rFonts w:hint="eastAsia"/>
          <w:color w:val="auto"/>
          <w:highlight w:val="none"/>
        </w:rPr>
        <w:t>应优先采用长弯管（头），不得采用直角弯头。</w:t>
      </w:r>
    </w:p>
    <w:p>
      <w:pPr>
        <w:pStyle w:val="172"/>
        <w:rPr>
          <w:color w:val="auto"/>
          <w:highlight w:val="none"/>
        </w:rPr>
      </w:pPr>
      <w:r>
        <w:rPr>
          <w:color w:val="auto"/>
          <w:highlight w:val="none"/>
        </w:rPr>
        <w:t xml:space="preserve">3.2.4 </w:t>
      </w:r>
      <w:r>
        <w:rPr>
          <w:rFonts w:hint="eastAsia"/>
          <w:color w:val="auto"/>
          <w:highlight w:val="none"/>
        </w:rPr>
        <w:t>接管垫圈</w:t>
      </w:r>
    </w:p>
    <w:p>
      <w:pPr>
        <w:pStyle w:val="217"/>
        <w:rPr>
          <w:color w:val="auto"/>
          <w:highlight w:val="none"/>
        </w:rPr>
      </w:pPr>
      <w:r>
        <w:rPr>
          <w:color w:val="auto"/>
          <w:highlight w:val="none"/>
        </w:rPr>
        <w:t>1.</w:t>
      </w:r>
      <w:r>
        <w:rPr>
          <w:rFonts w:hint="eastAsia"/>
          <w:color w:val="auto"/>
          <w:highlight w:val="none"/>
        </w:rPr>
        <w:t>进行法兰连接需采用氯丁合成橡胶制成的</w:t>
      </w:r>
      <w:r>
        <w:rPr>
          <w:color w:val="auto"/>
          <w:highlight w:val="none"/>
        </w:rPr>
        <w:t>3.0</w:t>
      </w:r>
      <w:r>
        <w:rPr>
          <w:rFonts w:hint="eastAsia"/>
          <w:color w:val="auto"/>
          <w:highlight w:val="none"/>
        </w:rPr>
        <w:t>毫米厚的</w:t>
      </w:r>
      <w:r>
        <w:rPr>
          <w:color w:val="auto"/>
          <w:highlight w:val="none"/>
        </w:rPr>
        <w:t xml:space="preserve">0 </w:t>
      </w:r>
      <w:r>
        <w:rPr>
          <w:rFonts w:hint="eastAsia"/>
          <w:color w:val="auto"/>
          <w:highlight w:val="none"/>
        </w:rPr>
        <w:t>型垫圈。不得采用含有石棉的垫圈。</w:t>
      </w:r>
    </w:p>
    <w:p>
      <w:pPr>
        <w:pStyle w:val="217"/>
        <w:rPr>
          <w:color w:val="auto"/>
          <w:highlight w:val="none"/>
        </w:rPr>
      </w:pPr>
      <w:r>
        <w:rPr>
          <w:color w:val="auto"/>
          <w:highlight w:val="none"/>
        </w:rPr>
        <w:t>2.</w:t>
      </w:r>
      <w:r>
        <w:rPr>
          <w:rFonts w:hint="eastAsia"/>
          <w:color w:val="auto"/>
          <w:highlight w:val="none"/>
        </w:rPr>
        <w:t>不同金属管之间的的法兰连接：在法兰、螺栓和螺帽之间分别采用绝缘垫圈、套环和垫片。绝缘物应采用聚四氟乙烯或其它同类型产品。</w:t>
      </w:r>
    </w:p>
    <w:p>
      <w:pPr>
        <w:pStyle w:val="217"/>
        <w:rPr>
          <w:color w:val="auto"/>
          <w:highlight w:val="none"/>
        </w:rPr>
      </w:pPr>
      <w:r>
        <w:rPr>
          <w:color w:val="auto"/>
          <w:highlight w:val="none"/>
        </w:rPr>
        <w:t>3.</w:t>
      </w:r>
      <w:r>
        <w:rPr>
          <w:rFonts w:hint="eastAsia"/>
          <w:color w:val="auto"/>
          <w:highlight w:val="none"/>
        </w:rPr>
        <w:t>垫圈应采用于厂家建议安装的系统的温度、设施和压力。</w:t>
      </w:r>
    </w:p>
    <w:p>
      <w:pPr>
        <w:pStyle w:val="172"/>
        <w:rPr>
          <w:color w:val="auto"/>
          <w:highlight w:val="none"/>
        </w:rPr>
      </w:pPr>
      <w:r>
        <w:rPr>
          <w:color w:val="auto"/>
          <w:highlight w:val="none"/>
        </w:rPr>
        <w:t xml:space="preserve">3.2.5 </w:t>
      </w:r>
      <w:r>
        <w:rPr>
          <w:rFonts w:hint="eastAsia"/>
          <w:color w:val="auto"/>
          <w:highlight w:val="none"/>
        </w:rPr>
        <w:t>管道支架</w:t>
      </w:r>
    </w:p>
    <w:p>
      <w:pPr>
        <w:pStyle w:val="217"/>
        <w:rPr>
          <w:color w:val="auto"/>
          <w:highlight w:val="none"/>
        </w:rPr>
      </w:pPr>
      <w:r>
        <w:rPr>
          <w:color w:val="auto"/>
          <w:highlight w:val="none"/>
        </w:rPr>
        <w:t>1.</w:t>
      </w:r>
      <w:r>
        <w:rPr>
          <w:rFonts w:hint="eastAsia"/>
          <w:color w:val="auto"/>
          <w:highlight w:val="none"/>
        </w:rPr>
        <w:t>提供所有进行系统安装所需的吊架、支架、导向支架和固定支撑等。</w:t>
      </w:r>
    </w:p>
    <w:p>
      <w:pPr>
        <w:pStyle w:val="217"/>
        <w:rPr>
          <w:color w:val="auto"/>
          <w:highlight w:val="none"/>
        </w:rPr>
      </w:pPr>
      <w:r>
        <w:rPr>
          <w:color w:val="auto"/>
          <w:highlight w:val="none"/>
        </w:rPr>
        <w:t>2.</w:t>
      </w:r>
      <w:r>
        <w:rPr>
          <w:rFonts w:hint="eastAsia"/>
          <w:color w:val="auto"/>
          <w:highlight w:val="none"/>
        </w:rPr>
        <w:t>所有管道支架均应为钢制，可调节高度，并且涂上防锈底漆和罩面漆。钢类管件应采用钢类管码；铜类管件及聚氯乙烯类管件应采用钢类管码外，并需于管码外层包上聚氯乙烯垫。装设于塔楼外墙的雨水管应采用不锈钢制管码、螺栓、垫圈及螺帽。阀门附近及其它大管径管道上需支撑的配件均应提供附加支架，以防过度的应力作用于毗连管道上。对水泵类连接等亦应提供附加支架，以防止过度的应力作用于设备上。</w:t>
      </w:r>
    </w:p>
    <w:p>
      <w:pPr>
        <w:pStyle w:val="217"/>
        <w:rPr>
          <w:color w:val="auto"/>
          <w:highlight w:val="none"/>
        </w:rPr>
      </w:pPr>
      <w:r>
        <w:rPr>
          <w:color w:val="auto"/>
          <w:highlight w:val="none"/>
        </w:rPr>
        <w:t>3.</w:t>
      </w:r>
      <w:r>
        <w:rPr>
          <w:rFonts w:hint="eastAsia"/>
          <w:color w:val="auto"/>
          <w:highlight w:val="none"/>
        </w:rPr>
        <w:t>除另有说明外，各支架之间的间距不应超过表</w:t>
      </w:r>
      <w:r>
        <w:rPr>
          <w:color w:val="auto"/>
          <w:highlight w:val="none"/>
        </w:rPr>
        <w:t>1</w:t>
      </w:r>
      <w:r>
        <w:rPr>
          <w:rFonts w:hint="eastAsia"/>
          <w:color w:val="auto"/>
          <w:highlight w:val="none"/>
        </w:rPr>
        <w:t>、表</w:t>
      </w:r>
      <w:r>
        <w:rPr>
          <w:color w:val="auto"/>
          <w:highlight w:val="none"/>
        </w:rPr>
        <w:t>2</w:t>
      </w:r>
      <w:r>
        <w:rPr>
          <w:rFonts w:hint="eastAsia"/>
          <w:color w:val="auto"/>
          <w:highlight w:val="none"/>
        </w:rPr>
        <w:t>、表</w:t>
      </w:r>
      <w:r>
        <w:rPr>
          <w:color w:val="auto"/>
          <w:highlight w:val="none"/>
        </w:rPr>
        <w:t>3</w:t>
      </w:r>
      <w:r>
        <w:rPr>
          <w:rFonts w:hint="eastAsia"/>
          <w:color w:val="auto"/>
          <w:highlight w:val="none"/>
        </w:rPr>
        <w:t>、表</w:t>
      </w:r>
      <w:r>
        <w:rPr>
          <w:color w:val="auto"/>
          <w:highlight w:val="none"/>
        </w:rPr>
        <w:t>4</w:t>
      </w:r>
      <w:r>
        <w:rPr>
          <w:rFonts w:hint="eastAsia"/>
          <w:color w:val="auto"/>
          <w:highlight w:val="none"/>
        </w:rPr>
        <w:t>所规定的中心间距。</w:t>
      </w:r>
    </w:p>
    <w:p>
      <w:pPr>
        <w:pStyle w:val="217"/>
        <w:rPr>
          <w:color w:val="auto"/>
          <w:highlight w:val="none"/>
        </w:rPr>
      </w:pPr>
      <w:r>
        <w:rPr>
          <w:color w:val="auto"/>
          <w:highlight w:val="none"/>
        </w:rPr>
        <w:t>4.</w:t>
      </w:r>
      <w:r>
        <w:rPr>
          <w:rFonts w:hint="eastAsia"/>
          <w:color w:val="auto"/>
          <w:highlight w:val="none"/>
        </w:rPr>
        <w:t>所有固定销件和螺栓必须配有弹簧垫圈和螺帽。</w:t>
      </w:r>
    </w:p>
    <w:p>
      <w:pPr>
        <w:pStyle w:val="217"/>
        <w:rPr>
          <w:color w:val="auto"/>
          <w:highlight w:val="none"/>
        </w:rPr>
      </w:pPr>
      <w:r>
        <w:rPr>
          <w:color w:val="auto"/>
          <w:highlight w:val="none"/>
        </w:rPr>
        <w:t>5.</w:t>
      </w:r>
      <w:r>
        <w:rPr>
          <w:rFonts w:hint="eastAsia"/>
          <w:color w:val="auto"/>
          <w:highlight w:val="none"/>
        </w:rPr>
        <w:t>除另有说明外，室内给水管道与墙面的距离不应超过表</w:t>
      </w:r>
      <w:r>
        <w:rPr>
          <w:color w:val="auto"/>
          <w:highlight w:val="none"/>
        </w:rPr>
        <w:t>5</w:t>
      </w:r>
      <w:r>
        <w:rPr>
          <w:rFonts w:hint="eastAsia"/>
          <w:color w:val="auto"/>
          <w:highlight w:val="none"/>
        </w:rPr>
        <w:t>所规定的距离。</w:t>
      </w:r>
    </w:p>
    <w:p>
      <w:pPr>
        <w:pStyle w:val="217"/>
        <w:rPr>
          <w:color w:val="auto"/>
          <w:highlight w:val="none"/>
        </w:rPr>
      </w:pPr>
      <w:r>
        <w:rPr>
          <w:rFonts w:hint="eastAsia"/>
          <w:color w:val="auto"/>
          <w:highlight w:val="none"/>
        </w:rPr>
        <w:t>表</w:t>
      </w:r>
      <w:r>
        <w:rPr>
          <w:color w:val="auto"/>
          <w:highlight w:val="none"/>
        </w:rPr>
        <w:t xml:space="preserve">1    </w:t>
      </w:r>
      <w:r>
        <w:rPr>
          <w:rFonts w:hint="eastAsia"/>
          <w:color w:val="auto"/>
          <w:highlight w:val="none"/>
        </w:rPr>
        <w:t>钢管管道水平安装支架的最大间距</w:t>
      </w:r>
    </w:p>
    <w:tbl>
      <w:tblPr>
        <w:tblStyle w:val="43"/>
        <w:tblW w:w="9151"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56"/>
        <w:gridCol w:w="494"/>
        <w:gridCol w:w="494"/>
        <w:gridCol w:w="494"/>
        <w:gridCol w:w="494"/>
        <w:gridCol w:w="580"/>
        <w:gridCol w:w="518"/>
        <w:gridCol w:w="491"/>
        <w:gridCol w:w="505"/>
        <w:gridCol w:w="572"/>
        <w:gridCol w:w="546"/>
        <w:gridCol w:w="613"/>
        <w:gridCol w:w="532"/>
        <w:gridCol w:w="532"/>
        <w:gridCol w:w="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604" w:type="dxa"/>
            <w:gridSpan w:val="2"/>
            <w:noWrap w:val="0"/>
            <w:vAlign w:val="center"/>
          </w:tcPr>
          <w:p>
            <w:pPr>
              <w:rPr>
                <w:color w:val="auto"/>
                <w:highlight w:val="none"/>
              </w:rPr>
            </w:pPr>
            <w:r>
              <w:rPr>
                <w:rFonts w:hint="eastAsia"/>
                <w:color w:val="auto"/>
                <w:highlight w:val="none"/>
              </w:rPr>
              <w:t>公称直径（</w:t>
            </w:r>
            <w:r>
              <w:rPr>
                <w:color w:val="auto"/>
                <w:highlight w:val="none"/>
              </w:rPr>
              <w:t>mm</w:t>
            </w:r>
            <w:r>
              <w:rPr>
                <w:rFonts w:hint="eastAsia"/>
                <w:color w:val="auto"/>
                <w:highlight w:val="none"/>
              </w:rPr>
              <w:t>）</w:t>
            </w:r>
          </w:p>
        </w:tc>
        <w:tc>
          <w:tcPr>
            <w:tcW w:w="494" w:type="dxa"/>
            <w:noWrap w:val="0"/>
            <w:vAlign w:val="center"/>
          </w:tcPr>
          <w:p>
            <w:pPr>
              <w:rPr>
                <w:color w:val="auto"/>
                <w:highlight w:val="none"/>
              </w:rPr>
            </w:pPr>
            <w:r>
              <w:rPr>
                <w:color w:val="auto"/>
                <w:highlight w:val="none"/>
              </w:rPr>
              <w:t>15</w:t>
            </w:r>
          </w:p>
        </w:tc>
        <w:tc>
          <w:tcPr>
            <w:tcW w:w="494" w:type="dxa"/>
            <w:noWrap w:val="0"/>
            <w:vAlign w:val="center"/>
          </w:tcPr>
          <w:p>
            <w:pPr>
              <w:rPr>
                <w:color w:val="auto"/>
                <w:highlight w:val="none"/>
              </w:rPr>
            </w:pPr>
            <w:r>
              <w:rPr>
                <w:color w:val="auto"/>
                <w:highlight w:val="none"/>
              </w:rPr>
              <w:t>20</w:t>
            </w:r>
          </w:p>
        </w:tc>
        <w:tc>
          <w:tcPr>
            <w:tcW w:w="494" w:type="dxa"/>
            <w:noWrap w:val="0"/>
            <w:vAlign w:val="center"/>
          </w:tcPr>
          <w:p>
            <w:pPr>
              <w:rPr>
                <w:color w:val="auto"/>
                <w:highlight w:val="none"/>
              </w:rPr>
            </w:pPr>
            <w:r>
              <w:rPr>
                <w:color w:val="auto"/>
                <w:highlight w:val="none"/>
              </w:rPr>
              <w:t>25</w:t>
            </w:r>
          </w:p>
        </w:tc>
        <w:tc>
          <w:tcPr>
            <w:tcW w:w="494" w:type="dxa"/>
            <w:noWrap w:val="0"/>
            <w:vAlign w:val="center"/>
          </w:tcPr>
          <w:p>
            <w:pPr>
              <w:rPr>
                <w:color w:val="auto"/>
                <w:highlight w:val="none"/>
              </w:rPr>
            </w:pPr>
            <w:r>
              <w:rPr>
                <w:color w:val="auto"/>
                <w:highlight w:val="none"/>
              </w:rPr>
              <w:t>32</w:t>
            </w:r>
          </w:p>
        </w:tc>
        <w:tc>
          <w:tcPr>
            <w:tcW w:w="580" w:type="dxa"/>
            <w:noWrap w:val="0"/>
            <w:vAlign w:val="center"/>
          </w:tcPr>
          <w:p>
            <w:pPr>
              <w:rPr>
                <w:color w:val="auto"/>
                <w:highlight w:val="none"/>
              </w:rPr>
            </w:pPr>
            <w:r>
              <w:rPr>
                <w:color w:val="auto"/>
                <w:highlight w:val="none"/>
              </w:rPr>
              <w:t>40</w:t>
            </w:r>
          </w:p>
        </w:tc>
        <w:tc>
          <w:tcPr>
            <w:tcW w:w="518" w:type="dxa"/>
            <w:noWrap w:val="0"/>
            <w:vAlign w:val="center"/>
          </w:tcPr>
          <w:p>
            <w:pPr>
              <w:rPr>
                <w:color w:val="auto"/>
                <w:highlight w:val="none"/>
              </w:rPr>
            </w:pPr>
            <w:r>
              <w:rPr>
                <w:color w:val="auto"/>
                <w:highlight w:val="none"/>
              </w:rPr>
              <w:t>50</w:t>
            </w:r>
          </w:p>
        </w:tc>
        <w:tc>
          <w:tcPr>
            <w:tcW w:w="491" w:type="dxa"/>
            <w:noWrap w:val="0"/>
            <w:vAlign w:val="center"/>
          </w:tcPr>
          <w:p>
            <w:pPr>
              <w:rPr>
                <w:color w:val="auto"/>
                <w:highlight w:val="none"/>
              </w:rPr>
            </w:pPr>
            <w:r>
              <w:rPr>
                <w:color w:val="auto"/>
                <w:highlight w:val="none"/>
              </w:rPr>
              <w:t>70</w:t>
            </w:r>
          </w:p>
        </w:tc>
        <w:tc>
          <w:tcPr>
            <w:tcW w:w="505" w:type="dxa"/>
            <w:noWrap w:val="0"/>
            <w:vAlign w:val="center"/>
          </w:tcPr>
          <w:p>
            <w:pPr>
              <w:rPr>
                <w:color w:val="auto"/>
                <w:highlight w:val="none"/>
              </w:rPr>
            </w:pPr>
            <w:r>
              <w:rPr>
                <w:color w:val="auto"/>
                <w:highlight w:val="none"/>
              </w:rPr>
              <w:t>80</w:t>
            </w:r>
          </w:p>
        </w:tc>
        <w:tc>
          <w:tcPr>
            <w:tcW w:w="572" w:type="dxa"/>
            <w:noWrap w:val="0"/>
            <w:vAlign w:val="center"/>
          </w:tcPr>
          <w:p>
            <w:pPr>
              <w:rPr>
                <w:color w:val="auto"/>
                <w:highlight w:val="none"/>
              </w:rPr>
            </w:pPr>
            <w:r>
              <w:rPr>
                <w:color w:val="auto"/>
                <w:highlight w:val="none"/>
              </w:rPr>
              <w:t>100</w:t>
            </w:r>
          </w:p>
        </w:tc>
        <w:tc>
          <w:tcPr>
            <w:tcW w:w="546" w:type="dxa"/>
            <w:noWrap w:val="0"/>
            <w:vAlign w:val="center"/>
          </w:tcPr>
          <w:p>
            <w:pPr>
              <w:rPr>
                <w:color w:val="auto"/>
                <w:highlight w:val="none"/>
              </w:rPr>
            </w:pPr>
            <w:r>
              <w:rPr>
                <w:color w:val="auto"/>
                <w:highlight w:val="none"/>
              </w:rPr>
              <w:t>125</w:t>
            </w:r>
          </w:p>
        </w:tc>
        <w:tc>
          <w:tcPr>
            <w:tcW w:w="613" w:type="dxa"/>
            <w:noWrap w:val="0"/>
            <w:vAlign w:val="center"/>
          </w:tcPr>
          <w:p>
            <w:pPr>
              <w:rPr>
                <w:color w:val="auto"/>
                <w:highlight w:val="none"/>
              </w:rPr>
            </w:pPr>
            <w:r>
              <w:rPr>
                <w:color w:val="auto"/>
                <w:highlight w:val="none"/>
              </w:rPr>
              <w:t>150</w:t>
            </w:r>
          </w:p>
        </w:tc>
        <w:tc>
          <w:tcPr>
            <w:tcW w:w="532" w:type="dxa"/>
            <w:noWrap w:val="0"/>
            <w:vAlign w:val="center"/>
          </w:tcPr>
          <w:p>
            <w:pPr>
              <w:rPr>
                <w:color w:val="auto"/>
                <w:highlight w:val="none"/>
              </w:rPr>
            </w:pPr>
            <w:r>
              <w:rPr>
                <w:color w:val="auto"/>
                <w:highlight w:val="none"/>
              </w:rPr>
              <w:t>200</w:t>
            </w:r>
          </w:p>
        </w:tc>
        <w:tc>
          <w:tcPr>
            <w:tcW w:w="532" w:type="dxa"/>
            <w:noWrap w:val="0"/>
            <w:vAlign w:val="center"/>
          </w:tcPr>
          <w:p>
            <w:pPr>
              <w:rPr>
                <w:color w:val="auto"/>
                <w:highlight w:val="none"/>
              </w:rPr>
            </w:pPr>
            <w:r>
              <w:rPr>
                <w:color w:val="auto"/>
                <w:highlight w:val="none"/>
              </w:rPr>
              <w:t>250</w:t>
            </w:r>
          </w:p>
        </w:tc>
        <w:tc>
          <w:tcPr>
            <w:tcW w:w="682" w:type="dxa"/>
            <w:noWrap w:val="0"/>
            <w:vAlign w:val="center"/>
          </w:tcPr>
          <w:p>
            <w:pPr>
              <w:rPr>
                <w:color w:val="auto"/>
                <w:highlight w:val="none"/>
              </w:rPr>
            </w:pPr>
            <w:r>
              <w:rPr>
                <w:color w:val="auto"/>
                <w:highlight w:val="none"/>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48" w:type="dxa"/>
            <w:vMerge w:val="restart"/>
            <w:noWrap w:val="0"/>
            <w:vAlign w:val="center"/>
          </w:tcPr>
          <w:p>
            <w:pPr>
              <w:rPr>
                <w:color w:val="auto"/>
                <w:highlight w:val="none"/>
              </w:rPr>
            </w:pPr>
            <w:r>
              <w:rPr>
                <w:rFonts w:hint="eastAsia"/>
                <w:color w:val="auto"/>
                <w:highlight w:val="none"/>
              </w:rPr>
              <w:t>支架的最大间距</w:t>
            </w:r>
            <w:r>
              <w:rPr>
                <w:color w:val="auto"/>
                <w:highlight w:val="none"/>
              </w:rPr>
              <w:t>(m)</w:t>
            </w:r>
          </w:p>
        </w:tc>
        <w:tc>
          <w:tcPr>
            <w:tcW w:w="856" w:type="dxa"/>
            <w:noWrap w:val="0"/>
            <w:vAlign w:val="center"/>
          </w:tcPr>
          <w:p>
            <w:pPr>
              <w:rPr>
                <w:color w:val="auto"/>
                <w:highlight w:val="none"/>
              </w:rPr>
            </w:pPr>
            <w:r>
              <w:rPr>
                <w:rFonts w:hint="eastAsia"/>
                <w:color w:val="auto"/>
                <w:highlight w:val="none"/>
              </w:rPr>
              <w:t>保温管</w:t>
            </w:r>
          </w:p>
        </w:tc>
        <w:tc>
          <w:tcPr>
            <w:tcW w:w="494" w:type="dxa"/>
            <w:noWrap w:val="0"/>
            <w:vAlign w:val="center"/>
          </w:tcPr>
          <w:p>
            <w:pPr>
              <w:rPr>
                <w:color w:val="auto"/>
                <w:highlight w:val="none"/>
              </w:rPr>
            </w:pPr>
            <w:r>
              <w:rPr>
                <w:color w:val="auto"/>
                <w:highlight w:val="none"/>
              </w:rPr>
              <w:t>2</w:t>
            </w:r>
          </w:p>
        </w:tc>
        <w:tc>
          <w:tcPr>
            <w:tcW w:w="494" w:type="dxa"/>
            <w:noWrap w:val="0"/>
            <w:vAlign w:val="center"/>
          </w:tcPr>
          <w:p>
            <w:pPr>
              <w:rPr>
                <w:color w:val="auto"/>
                <w:highlight w:val="none"/>
              </w:rPr>
            </w:pPr>
            <w:r>
              <w:rPr>
                <w:color w:val="auto"/>
                <w:highlight w:val="none"/>
              </w:rPr>
              <w:t>2.5</w:t>
            </w:r>
          </w:p>
        </w:tc>
        <w:tc>
          <w:tcPr>
            <w:tcW w:w="494" w:type="dxa"/>
            <w:noWrap w:val="0"/>
            <w:vAlign w:val="center"/>
          </w:tcPr>
          <w:p>
            <w:pPr>
              <w:rPr>
                <w:color w:val="auto"/>
                <w:highlight w:val="none"/>
              </w:rPr>
            </w:pPr>
            <w:r>
              <w:rPr>
                <w:color w:val="auto"/>
                <w:highlight w:val="none"/>
              </w:rPr>
              <w:t>2.5</w:t>
            </w:r>
          </w:p>
        </w:tc>
        <w:tc>
          <w:tcPr>
            <w:tcW w:w="494" w:type="dxa"/>
            <w:noWrap w:val="0"/>
            <w:vAlign w:val="center"/>
          </w:tcPr>
          <w:p>
            <w:pPr>
              <w:rPr>
                <w:color w:val="auto"/>
                <w:highlight w:val="none"/>
              </w:rPr>
            </w:pPr>
            <w:r>
              <w:rPr>
                <w:color w:val="auto"/>
                <w:highlight w:val="none"/>
              </w:rPr>
              <w:t>2.5</w:t>
            </w:r>
          </w:p>
        </w:tc>
        <w:tc>
          <w:tcPr>
            <w:tcW w:w="580" w:type="dxa"/>
            <w:noWrap w:val="0"/>
            <w:vAlign w:val="center"/>
          </w:tcPr>
          <w:p>
            <w:pPr>
              <w:rPr>
                <w:color w:val="auto"/>
                <w:highlight w:val="none"/>
              </w:rPr>
            </w:pPr>
            <w:r>
              <w:rPr>
                <w:color w:val="auto"/>
                <w:highlight w:val="none"/>
              </w:rPr>
              <w:t>3</w:t>
            </w:r>
          </w:p>
        </w:tc>
        <w:tc>
          <w:tcPr>
            <w:tcW w:w="518" w:type="dxa"/>
            <w:noWrap w:val="0"/>
            <w:vAlign w:val="center"/>
          </w:tcPr>
          <w:p>
            <w:pPr>
              <w:rPr>
                <w:color w:val="auto"/>
                <w:highlight w:val="none"/>
              </w:rPr>
            </w:pPr>
            <w:r>
              <w:rPr>
                <w:color w:val="auto"/>
                <w:highlight w:val="none"/>
              </w:rPr>
              <w:t>3</w:t>
            </w:r>
          </w:p>
        </w:tc>
        <w:tc>
          <w:tcPr>
            <w:tcW w:w="491" w:type="dxa"/>
            <w:noWrap w:val="0"/>
            <w:vAlign w:val="center"/>
          </w:tcPr>
          <w:p>
            <w:pPr>
              <w:rPr>
                <w:color w:val="auto"/>
                <w:highlight w:val="none"/>
              </w:rPr>
            </w:pPr>
            <w:r>
              <w:rPr>
                <w:color w:val="auto"/>
                <w:highlight w:val="none"/>
              </w:rPr>
              <w:t>4</w:t>
            </w:r>
          </w:p>
        </w:tc>
        <w:tc>
          <w:tcPr>
            <w:tcW w:w="505" w:type="dxa"/>
            <w:noWrap w:val="0"/>
            <w:vAlign w:val="center"/>
          </w:tcPr>
          <w:p>
            <w:pPr>
              <w:rPr>
                <w:color w:val="auto"/>
                <w:highlight w:val="none"/>
              </w:rPr>
            </w:pPr>
            <w:r>
              <w:rPr>
                <w:color w:val="auto"/>
                <w:highlight w:val="none"/>
              </w:rPr>
              <w:t>4</w:t>
            </w:r>
          </w:p>
        </w:tc>
        <w:tc>
          <w:tcPr>
            <w:tcW w:w="572" w:type="dxa"/>
            <w:noWrap w:val="0"/>
            <w:vAlign w:val="center"/>
          </w:tcPr>
          <w:p>
            <w:pPr>
              <w:rPr>
                <w:color w:val="auto"/>
                <w:highlight w:val="none"/>
              </w:rPr>
            </w:pPr>
            <w:r>
              <w:rPr>
                <w:color w:val="auto"/>
                <w:highlight w:val="none"/>
              </w:rPr>
              <w:t>4.5</w:t>
            </w:r>
          </w:p>
        </w:tc>
        <w:tc>
          <w:tcPr>
            <w:tcW w:w="546" w:type="dxa"/>
            <w:noWrap w:val="0"/>
            <w:vAlign w:val="center"/>
          </w:tcPr>
          <w:p>
            <w:pPr>
              <w:rPr>
                <w:color w:val="auto"/>
                <w:highlight w:val="none"/>
              </w:rPr>
            </w:pPr>
            <w:r>
              <w:rPr>
                <w:color w:val="auto"/>
                <w:highlight w:val="none"/>
              </w:rPr>
              <w:t>6</w:t>
            </w:r>
          </w:p>
        </w:tc>
        <w:tc>
          <w:tcPr>
            <w:tcW w:w="613" w:type="dxa"/>
            <w:noWrap w:val="0"/>
            <w:vAlign w:val="center"/>
          </w:tcPr>
          <w:p>
            <w:pPr>
              <w:rPr>
                <w:color w:val="auto"/>
                <w:highlight w:val="none"/>
              </w:rPr>
            </w:pPr>
            <w:r>
              <w:rPr>
                <w:color w:val="auto"/>
                <w:highlight w:val="none"/>
              </w:rPr>
              <w:t>7</w:t>
            </w:r>
          </w:p>
        </w:tc>
        <w:tc>
          <w:tcPr>
            <w:tcW w:w="532" w:type="dxa"/>
            <w:noWrap w:val="0"/>
            <w:vAlign w:val="center"/>
          </w:tcPr>
          <w:p>
            <w:pPr>
              <w:rPr>
                <w:color w:val="auto"/>
                <w:highlight w:val="none"/>
              </w:rPr>
            </w:pPr>
            <w:r>
              <w:rPr>
                <w:color w:val="auto"/>
                <w:highlight w:val="none"/>
              </w:rPr>
              <w:t>7</w:t>
            </w:r>
          </w:p>
        </w:tc>
        <w:tc>
          <w:tcPr>
            <w:tcW w:w="532" w:type="dxa"/>
            <w:noWrap w:val="0"/>
            <w:vAlign w:val="center"/>
          </w:tcPr>
          <w:p>
            <w:pPr>
              <w:rPr>
                <w:color w:val="auto"/>
                <w:highlight w:val="none"/>
              </w:rPr>
            </w:pPr>
            <w:r>
              <w:rPr>
                <w:color w:val="auto"/>
                <w:highlight w:val="none"/>
              </w:rPr>
              <w:t>8</w:t>
            </w:r>
          </w:p>
        </w:tc>
        <w:tc>
          <w:tcPr>
            <w:tcW w:w="682" w:type="dxa"/>
            <w:noWrap w:val="0"/>
            <w:vAlign w:val="center"/>
          </w:tcPr>
          <w:p>
            <w:pPr>
              <w:rPr>
                <w:color w:val="auto"/>
                <w:highlight w:val="none"/>
              </w:rPr>
            </w:pPr>
            <w:r>
              <w:rPr>
                <w:color w:val="auto"/>
                <w:highlight w:val="none"/>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48" w:type="dxa"/>
            <w:vMerge w:val="continue"/>
            <w:noWrap w:val="0"/>
            <w:vAlign w:val="center"/>
          </w:tcPr>
          <w:p>
            <w:pPr>
              <w:rPr>
                <w:color w:val="auto"/>
                <w:highlight w:val="none"/>
              </w:rPr>
            </w:pPr>
          </w:p>
        </w:tc>
        <w:tc>
          <w:tcPr>
            <w:tcW w:w="856" w:type="dxa"/>
            <w:noWrap w:val="0"/>
            <w:vAlign w:val="center"/>
          </w:tcPr>
          <w:p>
            <w:pPr>
              <w:rPr>
                <w:color w:val="auto"/>
                <w:highlight w:val="none"/>
              </w:rPr>
            </w:pPr>
            <w:r>
              <w:rPr>
                <w:rFonts w:hint="eastAsia"/>
                <w:color w:val="auto"/>
                <w:highlight w:val="none"/>
              </w:rPr>
              <w:t>不保温管</w:t>
            </w:r>
          </w:p>
        </w:tc>
        <w:tc>
          <w:tcPr>
            <w:tcW w:w="494" w:type="dxa"/>
            <w:noWrap w:val="0"/>
            <w:vAlign w:val="center"/>
          </w:tcPr>
          <w:p>
            <w:pPr>
              <w:rPr>
                <w:color w:val="auto"/>
                <w:highlight w:val="none"/>
              </w:rPr>
            </w:pPr>
            <w:r>
              <w:rPr>
                <w:color w:val="auto"/>
                <w:highlight w:val="none"/>
              </w:rPr>
              <w:t>2.5</w:t>
            </w:r>
          </w:p>
        </w:tc>
        <w:tc>
          <w:tcPr>
            <w:tcW w:w="494" w:type="dxa"/>
            <w:noWrap w:val="0"/>
            <w:vAlign w:val="center"/>
          </w:tcPr>
          <w:p>
            <w:pPr>
              <w:rPr>
                <w:color w:val="auto"/>
                <w:highlight w:val="none"/>
              </w:rPr>
            </w:pPr>
            <w:r>
              <w:rPr>
                <w:color w:val="auto"/>
                <w:highlight w:val="none"/>
              </w:rPr>
              <w:t>3</w:t>
            </w:r>
          </w:p>
        </w:tc>
        <w:tc>
          <w:tcPr>
            <w:tcW w:w="494" w:type="dxa"/>
            <w:noWrap w:val="0"/>
            <w:vAlign w:val="center"/>
          </w:tcPr>
          <w:p>
            <w:pPr>
              <w:rPr>
                <w:color w:val="auto"/>
                <w:highlight w:val="none"/>
              </w:rPr>
            </w:pPr>
            <w:r>
              <w:rPr>
                <w:color w:val="auto"/>
                <w:highlight w:val="none"/>
              </w:rPr>
              <w:t>3.5</w:t>
            </w:r>
          </w:p>
        </w:tc>
        <w:tc>
          <w:tcPr>
            <w:tcW w:w="494" w:type="dxa"/>
            <w:noWrap w:val="0"/>
            <w:vAlign w:val="center"/>
          </w:tcPr>
          <w:p>
            <w:pPr>
              <w:rPr>
                <w:color w:val="auto"/>
                <w:highlight w:val="none"/>
              </w:rPr>
            </w:pPr>
            <w:r>
              <w:rPr>
                <w:color w:val="auto"/>
                <w:highlight w:val="none"/>
              </w:rPr>
              <w:t>4</w:t>
            </w:r>
          </w:p>
        </w:tc>
        <w:tc>
          <w:tcPr>
            <w:tcW w:w="580" w:type="dxa"/>
            <w:noWrap w:val="0"/>
            <w:vAlign w:val="center"/>
          </w:tcPr>
          <w:p>
            <w:pPr>
              <w:rPr>
                <w:color w:val="auto"/>
                <w:highlight w:val="none"/>
              </w:rPr>
            </w:pPr>
            <w:r>
              <w:rPr>
                <w:color w:val="auto"/>
                <w:highlight w:val="none"/>
              </w:rPr>
              <w:t>4.5</w:t>
            </w:r>
          </w:p>
        </w:tc>
        <w:tc>
          <w:tcPr>
            <w:tcW w:w="518" w:type="dxa"/>
            <w:noWrap w:val="0"/>
            <w:vAlign w:val="center"/>
          </w:tcPr>
          <w:p>
            <w:pPr>
              <w:rPr>
                <w:color w:val="auto"/>
                <w:highlight w:val="none"/>
              </w:rPr>
            </w:pPr>
            <w:r>
              <w:rPr>
                <w:color w:val="auto"/>
                <w:highlight w:val="none"/>
              </w:rPr>
              <w:t>5</w:t>
            </w:r>
          </w:p>
        </w:tc>
        <w:tc>
          <w:tcPr>
            <w:tcW w:w="491" w:type="dxa"/>
            <w:noWrap w:val="0"/>
            <w:vAlign w:val="center"/>
          </w:tcPr>
          <w:p>
            <w:pPr>
              <w:rPr>
                <w:color w:val="auto"/>
                <w:highlight w:val="none"/>
              </w:rPr>
            </w:pPr>
            <w:r>
              <w:rPr>
                <w:color w:val="auto"/>
                <w:highlight w:val="none"/>
              </w:rPr>
              <w:t>6</w:t>
            </w:r>
          </w:p>
        </w:tc>
        <w:tc>
          <w:tcPr>
            <w:tcW w:w="505" w:type="dxa"/>
            <w:noWrap w:val="0"/>
            <w:vAlign w:val="center"/>
          </w:tcPr>
          <w:p>
            <w:pPr>
              <w:rPr>
                <w:color w:val="auto"/>
                <w:highlight w:val="none"/>
              </w:rPr>
            </w:pPr>
            <w:r>
              <w:rPr>
                <w:color w:val="auto"/>
                <w:highlight w:val="none"/>
              </w:rPr>
              <w:t>6</w:t>
            </w:r>
          </w:p>
        </w:tc>
        <w:tc>
          <w:tcPr>
            <w:tcW w:w="572" w:type="dxa"/>
            <w:noWrap w:val="0"/>
            <w:vAlign w:val="center"/>
          </w:tcPr>
          <w:p>
            <w:pPr>
              <w:rPr>
                <w:color w:val="auto"/>
                <w:highlight w:val="none"/>
              </w:rPr>
            </w:pPr>
            <w:r>
              <w:rPr>
                <w:color w:val="auto"/>
                <w:highlight w:val="none"/>
              </w:rPr>
              <w:t>6.5</w:t>
            </w:r>
          </w:p>
        </w:tc>
        <w:tc>
          <w:tcPr>
            <w:tcW w:w="546" w:type="dxa"/>
            <w:noWrap w:val="0"/>
            <w:vAlign w:val="center"/>
          </w:tcPr>
          <w:p>
            <w:pPr>
              <w:rPr>
                <w:color w:val="auto"/>
                <w:highlight w:val="none"/>
              </w:rPr>
            </w:pPr>
            <w:r>
              <w:rPr>
                <w:color w:val="auto"/>
                <w:highlight w:val="none"/>
              </w:rPr>
              <w:t>7</w:t>
            </w:r>
          </w:p>
        </w:tc>
        <w:tc>
          <w:tcPr>
            <w:tcW w:w="613" w:type="dxa"/>
            <w:noWrap w:val="0"/>
            <w:vAlign w:val="center"/>
          </w:tcPr>
          <w:p>
            <w:pPr>
              <w:rPr>
                <w:color w:val="auto"/>
                <w:highlight w:val="none"/>
              </w:rPr>
            </w:pPr>
            <w:r>
              <w:rPr>
                <w:color w:val="auto"/>
                <w:highlight w:val="none"/>
              </w:rPr>
              <w:t>8</w:t>
            </w:r>
          </w:p>
        </w:tc>
        <w:tc>
          <w:tcPr>
            <w:tcW w:w="532" w:type="dxa"/>
            <w:noWrap w:val="0"/>
            <w:vAlign w:val="center"/>
          </w:tcPr>
          <w:p>
            <w:pPr>
              <w:rPr>
                <w:color w:val="auto"/>
                <w:highlight w:val="none"/>
              </w:rPr>
            </w:pPr>
            <w:r>
              <w:rPr>
                <w:color w:val="auto"/>
                <w:highlight w:val="none"/>
              </w:rPr>
              <w:t>9.5</w:t>
            </w:r>
          </w:p>
        </w:tc>
        <w:tc>
          <w:tcPr>
            <w:tcW w:w="532" w:type="dxa"/>
            <w:noWrap w:val="0"/>
            <w:vAlign w:val="center"/>
          </w:tcPr>
          <w:p>
            <w:pPr>
              <w:rPr>
                <w:color w:val="auto"/>
                <w:highlight w:val="none"/>
              </w:rPr>
            </w:pPr>
            <w:r>
              <w:rPr>
                <w:color w:val="auto"/>
                <w:highlight w:val="none"/>
              </w:rPr>
              <w:t>11</w:t>
            </w:r>
          </w:p>
        </w:tc>
        <w:tc>
          <w:tcPr>
            <w:tcW w:w="682" w:type="dxa"/>
            <w:noWrap w:val="0"/>
            <w:vAlign w:val="center"/>
          </w:tcPr>
          <w:p>
            <w:pPr>
              <w:rPr>
                <w:color w:val="auto"/>
                <w:highlight w:val="none"/>
              </w:rPr>
            </w:pPr>
            <w:r>
              <w:rPr>
                <w:color w:val="auto"/>
                <w:highlight w:val="none"/>
              </w:rPr>
              <w:t>12</w:t>
            </w:r>
          </w:p>
        </w:tc>
      </w:tr>
    </w:tbl>
    <w:p>
      <w:pPr>
        <w:rPr>
          <w:color w:val="auto"/>
          <w:highlight w:val="none"/>
        </w:rPr>
      </w:pPr>
    </w:p>
    <w:p>
      <w:pPr>
        <w:pStyle w:val="217"/>
        <w:rPr>
          <w:color w:val="auto"/>
          <w:highlight w:val="none"/>
        </w:rPr>
      </w:pPr>
      <w:r>
        <w:rPr>
          <w:rFonts w:hint="eastAsia"/>
          <w:color w:val="auto"/>
          <w:highlight w:val="none"/>
        </w:rPr>
        <w:t>表</w:t>
      </w:r>
      <w:r>
        <w:rPr>
          <w:color w:val="auto"/>
          <w:highlight w:val="none"/>
        </w:rPr>
        <w:t xml:space="preserve">2    </w:t>
      </w:r>
      <w:r>
        <w:rPr>
          <w:rFonts w:hint="eastAsia"/>
          <w:color w:val="auto"/>
          <w:highlight w:val="none"/>
        </w:rPr>
        <w:t>塑料管及复合管管道支架的最大间距</w:t>
      </w:r>
    </w:p>
    <w:tbl>
      <w:tblPr>
        <w:tblStyle w:val="43"/>
        <w:tblW w:w="9151"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7"/>
        <w:gridCol w:w="426"/>
        <w:gridCol w:w="742"/>
        <w:gridCol w:w="572"/>
        <w:gridCol w:w="492"/>
        <w:gridCol w:w="652"/>
        <w:gridCol w:w="572"/>
        <w:gridCol w:w="572"/>
        <w:gridCol w:w="672"/>
        <w:gridCol w:w="587"/>
        <w:gridCol w:w="559"/>
        <w:gridCol w:w="572"/>
        <w:gridCol w:w="532"/>
        <w:gridCol w:w="510"/>
        <w:gridCol w:w="572"/>
        <w:gridCol w:w="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705" w:type="dxa"/>
            <w:gridSpan w:val="3"/>
            <w:noWrap w:val="0"/>
            <w:vAlign w:val="center"/>
          </w:tcPr>
          <w:p>
            <w:pPr>
              <w:rPr>
                <w:color w:val="auto"/>
                <w:highlight w:val="none"/>
              </w:rPr>
            </w:pPr>
            <w:r>
              <w:rPr>
                <w:rFonts w:hint="eastAsia"/>
                <w:color w:val="auto"/>
                <w:highlight w:val="none"/>
              </w:rPr>
              <w:t>管径（</w:t>
            </w:r>
            <w:r>
              <w:rPr>
                <w:color w:val="auto"/>
                <w:highlight w:val="none"/>
              </w:rPr>
              <w:t>mm</w:t>
            </w:r>
            <w:r>
              <w:rPr>
                <w:rFonts w:hint="eastAsia"/>
                <w:color w:val="auto"/>
                <w:highlight w:val="none"/>
              </w:rPr>
              <w:t>）</w:t>
            </w:r>
          </w:p>
        </w:tc>
        <w:tc>
          <w:tcPr>
            <w:tcW w:w="572" w:type="dxa"/>
            <w:noWrap w:val="0"/>
            <w:vAlign w:val="center"/>
          </w:tcPr>
          <w:p>
            <w:pPr>
              <w:rPr>
                <w:color w:val="auto"/>
                <w:highlight w:val="none"/>
              </w:rPr>
            </w:pPr>
            <w:r>
              <w:rPr>
                <w:color w:val="auto"/>
                <w:highlight w:val="none"/>
              </w:rPr>
              <w:t>12</w:t>
            </w:r>
          </w:p>
        </w:tc>
        <w:tc>
          <w:tcPr>
            <w:tcW w:w="492" w:type="dxa"/>
            <w:noWrap w:val="0"/>
            <w:vAlign w:val="center"/>
          </w:tcPr>
          <w:p>
            <w:pPr>
              <w:rPr>
                <w:color w:val="auto"/>
                <w:highlight w:val="none"/>
              </w:rPr>
            </w:pPr>
            <w:r>
              <w:rPr>
                <w:color w:val="auto"/>
                <w:highlight w:val="none"/>
              </w:rPr>
              <w:t>14</w:t>
            </w:r>
          </w:p>
        </w:tc>
        <w:tc>
          <w:tcPr>
            <w:tcW w:w="652" w:type="dxa"/>
            <w:noWrap w:val="0"/>
            <w:vAlign w:val="center"/>
          </w:tcPr>
          <w:p>
            <w:pPr>
              <w:rPr>
                <w:color w:val="auto"/>
                <w:highlight w:val="none"/>
              </w:rPr>
            </w:pPr>
            <w:r>
              <w:rPr>
                <w:color w:val="auto"/>
                <w:highlight w:val="none"/>
              </w:rPr>
              <w:t>16</w:t>
            </w:r>
          </w:p>
        </w:tc>
        <w:tc>
          <w:tcPr>
            <w:tcW w:w="572" w:type="dxa"/>
            <w:noWrap w:val="0"/>
            <w:vAlign w:val="center"/>
          </w:tcPr>
          <w:p>
            <w:pPr>
              <w:rPr>
                <w:color w:val="auto"/>
                <w:highlight w:val="none"/>
              </w:rPr>
            </w:pPr>
            <w:r>
              <w:rPr>
                <w:color w:val="auto"/>
                <w:highlight w:val="none"/>
              </w:rPr>
              <w:t>18</w:t>
            </w:r>
          </w:p>
        </w:tc>
        <w:tc>
          <w:tcPr>
            <w:tcW w:w="572" w:type="dxa"/>
            <w:noWrap w:val="0"/>
            <w:vAlign w:val="center"/>
          </w:tcPr>
          <w:p>
            <w:pPr>
              <w:rPr>
                <w:color w:val="auto"/>
                <w:highlight w:val="none"/>
              </w:rPr>
            </w:pPr>
            <w:r>
              <w:rPr>
                <w:color w:val="auto"/>
                <w:highlight w:val="none"/>
              </w:rPr>
              <w:t>20</w:t>
            </w:r>
          </w:p>
        </w:tc>
        <w:tc>
          <w:tcPr>
            <w:tcW w:w="672" w:type="dxa"/>
            <w:noWrap w:val="0"/>
            <w:vAlign w:val="center"/>
          </w:tcPr>
          <w:p>
            <w:pPr>
              <w:rPr>
                <w:color w:val="auto"/>
                <w:highlight w:val="none"/>
              </w:rPr>
            </w:pPr>
            <w:r>
              <w:rPr>
                <w:color w:val="auto"/>
                <w:highlight w:val="none"/>
              </w:rPr>
              <w:t>25</w:t>
            </w:r>
          </w:p>
        </w:tc>
        <w:tc>
          <w:tcPr>
            <w:tcW w:w="587" w:type="dxa"/>
            <w:noWrap w:val="0"/>
            <w:vAlign w:val="center"/>
          </w:tcPr>
          <w:p>
            <w:pPr>
              <w:rPr>
                <w:color w:val="auto"/>
                <w:highlight w:val="none"/>
              </w:rPr>
            </w:pPr>
            <w:r>
              <w:rPr>
                <w:color w:val="auto"/>
                <w:highlight w:val="none"/>
              </w:rPr>
              <w:t>32</w:t>
            </w:r>
          </w:p>
        </w:tc>
        <w:tc>
          <w:tcPr>
            <w:tcW w:w="559" w:type="dxa"/>
            <w:noWrap w:val="0"/>
            <w:vAlign w:val="center"/>
          </w:tcPr>
          <w:p>
            <w:pPr>
              <w:rPr>
                <w:color w:val="auto"/>
                <w:highlight w:val="none"/>
              </w:rPr>
            </w:pPr>
            <w:r>
              <w:rPr>
                <w:color w:val="auto"/>
                <w:highlight w:val="none"/>
              </w:rPr>
              <w:t>40</w:t>
            </w:r>
          </w:p>
        </w:tc>
        <w:tc>
          <w:tcPr>
            <w:tcW w:w="572" w:type="dxa"/>
            <w:noWrap w:val="0"/>
            <w:vAlign w:val="center"/>
          </w:tcPr>
          <w:p>
            <w:pPr>
              <w:rPr>
                <w:color w:val="auto"/>
                <w:highlight w:val="none"/>
              </w:rPr>
            </w:pPr>
            <w:r>
              <w:rPr>
                <w:color w:val="auto"/>
                <w:highlight w:val="none"/>
              </w:rPr>
              <w:t>50</w:t>
            </w:r>
          </w:p>
        </w:tc>
        <w:tc>
          <w:tcPr>
            <w:tcW w:w="532" w:type="dxa"/>
            <w:noWrap w:val="0"/>
            <w:vAlign w:val="center"/>
          </w:tcPr>
          <w:p>
            <w:pPr>
              <w:rPr>
                <w:color w:val="auto"/>
                <w:highlight w:val="none"/>
              </w:rPr>
            </w:pPr>
            <w:r>
              <w:rPr>
                <w:color w:val="auto"/>
                <w:highlight w:val="none"/>
              </w:rPr>
              <w:t>63</w:t>
            </w:r>
          </w:p>
        </w:tc>
        <w:tc>
          <w:tcPr>
            <w:tcW w:w="510" w:type="dxa"/>
            <w:noWrap w:val="0"/>
            <w:vAlign w:val="center"/>
          </w:tcPr>
          <w:p>
            <w:pPr>
              <w:rPr>
                <w:color w:val="auto"/>
                <w:highlight w:val="none"/>
              </w:rPr>
            </w:pPr>
            <w:r>
              <w:rPr>
                <w:color w:val="auto"/>
                <w:highlight w:val="none"/>
              </w:rPr>
              <w:t>75</w:t>
            </w:r>
          </w:p>
        </w:tc>
        <w:tc>
          <w:tcPr>
            <w:tcW w:w="572" w:type="dxa"/>
            <w:noWrap w:val="0"/>
            <w:vAlign w:val="center"/>
          </w:tcPr>
          <w:p>
            <w:pPr>
              <w:rPr>
                <w:color w:val="auto"/>
                <w:highlight w:val="none"/>
              </w:rPr>
            </w:pPr>
            <w:r>
              <w:rPr>
                <w:color w:val="auto"/>
                <w:highlight w:val="none"/>
              </w:rPr>
              <w:t>90</w:t>
            </w:r>
          </w:p>
        </w:tc>
        <w:tc>
          <w:tcPr>
            <w:tcW w:w="582" w:type="dxa"/>
            <w:noWrap w:val="0"/>
            <w:vAlign w:val="center"/>
          </w:tcPr>
          <w:p>
            <w:pPr>
              <w:rPr>
                <w:color w:val="auto"/>
                <w:highlight w:val="none"/>
              </w:rPr>
            </w:pPr>
            <w:r>
              <w:rPr>
                <w:color w:val="auto"/>
                <w:highlight w:val="none"/>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537" w:type="dxa"/>
            <w:vMerge w:val="restart"/>
            <w:noWrap w:val="0"/>
            <w:vAlign w:val="center"/>
          </w:tcPr>
          <w:p>
            <w:pPr>
              <w:rPr>
                <w:color w:val="auto"/>
                <w:highlight w:val="none"/>
              </w:rPr>
            </w:pPr>
            <w:r>
              <w:rPr>
                <w:rFonts w:hint="eastAsia"/>
                <w:color w:val="auto"/>
                <w:highlight w:val="none"/>
              </w:rPr>
              <w:t>最大间距</w:t>
            </w:r>
            <w:r>
              <w:rPr>
                <w:color w:val="auto"/>
                <w:highlight w:val="none"/>
              </w:rPr>
              <w:t>(m)</w:t>
            </w:r>
          </w:p>
        </w:tc>
        <w:tc>
          <w:tcPr>
            <w:tcW w:w="1168" w:type="dxa"/>
            <w:gridSpan w:val="2"/>
            <w:noWrap w:val="0"/>
            <w:vAlign w:val="center"/>
          </w:tcPr>
          <w:p>
            <w:pPr>
              <w:rPr>
                <w:color w:val="auto"/>
                <w:highlight w:val="none"/>
              </w:rPr>
            </w:pPr>
            <w:r>
              <w:rPr>
                <w:rFonts w:hint="eastAsia"/>
                <w:color w:val="auto"/>
                <w:highlight w:val="none"/>
              </w:rPr>
              <w:t>立</w:t>
            </w:r>
            <w:r>
              <w:rPr>
                <w:color w:val="auto"/>
                <w:highlight w:val="none"/>
              </w:rPr>
              <w:t xml:space="preserve">   </w:t>
            </w:r>
            <w:r>
              <w:rPr>
                <w:rFonts w:hint="eastAsia"/>
                <w:color w:val="auto"/>
                <w:highlight w:val="none"/>
              </w:rPr>
              <w:t>管</w:t>
            </w:r>
          </w:p>
        </w:tc>
        <w:tc>
          <w:tcPr>
            <w:tcW w:w="572" w:type="dxa"/>
            <w:noWrap w:val="0"/>
            <w:vAlign w:val="center"/>
          </w:tcPr>
          <w:p>
            <w:pPr>
              <w:rPr>
                <w:color w:val="auto"/>
                <w:highlight w:val="none"/>
              </w:rPr>
            </w:pPr>
            <w:r>
              <w:rPr>
                <w:color w:val="auto"/>
                <w:highlight w:val="none"/>
              </w:rPr>
              <w:t>0.5</w:t>
            </w:r>
          </w:p>
        </w:tc>
        <w:tc>
          <w:tcPr>
            <w:tcW w:w="492" w:type="dxa"/>
            <w:noWrap w:val="0"/>
            <w:vAlign w:val="center"/>
          </w:tcPr>
          <w:p>
            <w:pPr>
              <w:rPr>
                <w:color w:val="auto"/>
                <w:highlight w:val="none"/>
              </w:rPr>
            </w:pPr>
            <w:r>
              <w:rPr>
                <w:color w:val="auto"/>
                <w:highlight w:val="none"/>
              </w:rPr>
              <w:t>0.6</w:t>
            </w:r>
          </w:p>
        </w:tc>
        <w:tc>
          <w:tcPr>
            <w:tcW w:w="652" w:type="dxa"/>
            <w:noWrap w:val="0"/>
            <w:vAlign w:val="center"/>
          </w:tcPr>
          <w:p>
            <w:pPr>
              <w:rPr>
                <w:color w:val="auto"/>
                <w:highlight w:val="none"/>
              </w:rPr>
            </w:pPr>
            <w:r>
              <w:rPr>
                <w:color w:val="auto"/>
                <w:highlight w:val="none"/>
              </w:rPr>
              <w:t>0.7</w:t>
            </w:r>
          </w:p>
        </w:tc>
        <w:tc>
          <w:tcPr>
            <w:tcW w:w="572" w:type="dxa"/>
            <w:noWrap w:val="0"/>
            <w:vAlign w:val="center"/>
          </w:tcPr>
          <w:p>
            <w:pPr>
              <w:rPr>
                <w:color w:val="auto"/>
                <w:highlight w:val="none"/>
              </w:rPr>
            </w:pPr>
            <w:r>
              <w:rPr>
                <w:color w:val="auto"/>
                <w:highlight w:val="none"/>
              </w:rPr>
              <w:t>0.8</w:t>
            </w:r>
          </w:p>
        </w:tc>
        <w:tc>
          <w:tcPr>
            <w:tcW w:w="572" w:type="dxa"/>
            <w:noWrap w:val="0"/>
            <w:vAlign w:val="center"/>
          </w:tcPr>
          <w:p>
            <w:pPr>
              <w:rPr>
                <w:color w:val="auto"/>
                <w:highlight w:val="none"/>
              </w:rPr>
            </w:pPr>
            <w:r>
              <w:rPr>
                <w:color w:val="auto"/>
                <w:highlight w:val="none"/>
              </w:rPr>
              <w:t>0.9</w:t>
            </w:r>
          </w:p>
        </w:tc>
        <w:tc>
          <w:tcPr>
            <w:tcW w:w="672" w:type="dxa"/>
            <w:noWrap w:val="0"/>
            <w:vAlign w:val="center"/>
          </w:tcPr>
          <w:p>
            <w:pPr>
              <w:rPr>
                <w:color w:val="auto"/>
                <w:highlight w:val="none"/>
              </w:rPr>
            </w:pPr>
            <w:r>
              <w:rPr>
                <w:color w:val="auto"/>
                <w:highlight w:val="none"/>
              </w:rPr>
              <w:t>1.0</w:t>
            </w:r>
          </w:p>
        </w:tc>
        <w:tc>
          <w:tcPr>
            <w:tcW w:w="587" w:type="dxa"/>
            <w:noWrap w:val="0"/>
            <w:vAlign w:val="center"/>
          </w:tcPr>
          <w:p>
            <w:pPr>
              <w:rPr>
                <w:color w:val="auto"/>
                <w:highlight w:val="none"/>
              </w:rPr>
            </w:pPr>
            <w:r>
              <w:rPr>
                <w:color w:val="auto"/>
                <w:highlight w:val="none"/>
              </w:rPr>
              <w:t>1.1</w:t>
            </w:r>
          </w:p>
        </w:tc>
        <w:tc>
          <w:tcPr>
            <w:tcW w:w="559" w:type="dxa"/>
            <w:noWrap w:val="0"/>
            <w:vAlign w:val="center"/>
          </w:tcPr>
          <w:p>
            <w:pPr>
              <w:rPr>
                <w:color w:val="auto"/>
                <w:highlight w:val="none"/>
              </w:rPr>
            </w:pPr>
            <w:r>
              <w:rPr>
                <w:color w:val="auto"/>
                <w:highlight w:val="none"/>
              </w:rPr>
              <w:t>1.3</w:t>
            </w:r>
          </w:p>
        </w:tc>
        <w:tc>
          <w:tcPr>
            <w:tcW w:w="572" w:type="dxa"/>
            <w:noWrap w:val="0"/>
            <w:vAlign w:val="center"/>
          </w:tcPr>
          <w:p>
            <w:pPr>
              <w:rPr>
                <w:color w:val="auto"/>
                <w:highlight w:val="none"/>
              </w:rPr>
            </w:pPr>
            <w:r>
              <w:rPr>
                <w:color w:val="auto"/>
                <w:highlight w:val="none"/>
              </w:rPr>
              <w:t>1.6</w:t>
            </w:r>
          </w:p>
        </w:tc>
        <w:tc>
          <w:tcPr>
            <w:tcW w:w="532" w:type="dxa"/>
            <w:noWrap w:val="0"/>
            <w:vAlign w:val="center"/>
          </w:tcPr>
          <w:p>
            <w:pPr>
              <w:rPr>
                <w:color w:val="auto"/>
                <w:highlight w:val="none"/>
              </w:rPr>
            </w:pPr>
            <w:r>
              <w:rPr>
                <w:color w:val="auto"/>
                <w:highlight w:val="none"/>
              </w:rPr>
              <w:t>1.8</w:t>
            </w:r>
          </w:p>
        </w:tc>
        <w:tc>
          <w:tcPr>
            <w:tcW w:w="510" w:type="dxa"/>
            <w:noWrap w:val="0"/>
            <w:vAlign w:val="center"/>
          </w:tcPr>
          <w:p>
            <w:pPr>
              <w:rPr>
                <w:color w:val="auto"/>
                <w:highlight w:val="none"/>
              </w:rPr>
            </w:pPr>
            <w:r>
              <w:rPr>
                <w:color w:val="auto"/>
                <w:highlight w:val="none"/>
              </w:rPr>
              <w:t>2.0</w:t>
            </w:r>
          </w:p>
        </w:tc>
        <w:tc>
          <w:tcPr>
            <w:tcW w:w="572" w:type="dxa"/>
            <w:noWrap w:val="0"/>
            <w:vAlign w:val="center"/>
          </w:tcPr>
          <w:p>
            <w:pPr>
              <w:rPr>
                <w:color w:val="auto"/>
                <w:highlight w:val="none"/>
              </w:rPr>
            </w:pPr>
            <w:r>
              <w:rPr>
                <w:color w:val="auto"/>
                <w:highlight w:val="none"/>
              </w:rPr>
              <w:t>2.2</w:t>
            </w:r>
          </w:p>
        </w:tc>
        <w:tc>
          <w:tcPr>
            <w:tcW w:w="582" w:type="dxa"/>
            <w:noWrap w:val="0"/>
            <w:vAlign w:val="center"/>
          </w:tcPr>
          <w:p>
            <w:pPr>
              <w:rPr>
                <w:color w:val="auto"/>
                <w:highlight w:val="none"/>
              </w:rPr>
            </w:pPr>
            <w:r>
              <w:rPr>
                <w:color w:val="auto"/>
                <w:highlight w:val="none"/>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537" w:type="dxa"/>
            <w:vMerge w:val="continue"/>
            <w:noWrap w:val="0"/>
            <w:vAlign w:val="center"/>
          </w:tcPr>
          <w:p>
            <w:pPr>
              <w:rPr>
                <w:color w:val="auto"/>
                <w:highlight w:val="none"/>
              </w:rPr>
            </w:pPr>
          </w:p>
        </w:tc>
        <w:tc>
          <w:tcPr>
            <w:tcW w:w="426" w:type="dxa"/>
            <w:vMerge w:val="restart"/>
            <w:noWrap w:val="0"/>
            <w:vAlign w:val="center"/>
          </w:tcPr>
          <w:p>
            <w:pPr>
              <w:rPr>
                <w:color w:val="auto"/>
                <w:highlight w:val="none"/>
              </w:rPr>
            </w:pPr>
            <w:r>
              <w:rPr>
                <w:rFonts w:hint="eastAsia"/>
                <w:color w:val="auto"/>
                <w:highlight w:val="none"/>
              </w:rPr>
              <w:t>水平管</w:t>
            </w:r>
          </w:p>
        </w:tc>
        <w:tc>
          <w:tcPr>
            <w:tcW w:w="742" w:type="dxa"/>
            <w:noWrap w:val="0"/>
            <w:vAlign w:val="center"/>
          </w:tcPr>
          <w:p>
            <w:pPr>
              <w:rPr>
                <w:color w:val="auto"/>
                <w:highlight w:val="none"/>
              </w:rPr>
            </w:pPr>
            <w:r>
              <w:rPr>
                <w:rFonts w:hint="eastAsia"/>
                <w:color w:val="auto"/>
                <w:highlight w:val="none"/>
              </w:rPr>
              <w:t>冷水管</w:t>
            </w:r>
          </w:p>
        </w:tc>
        <w:tc>
          <w:tcPr>
            <w:tcW w:w="572" w:type="dxa"/>
            <w:noWrap w:val="0"/>
            <w:vAlign w:val="center"/>
          </w:tcPr>
          <w:p>
            <w:pPr>
              <w:rPr>
                <w:color w:val="auto"/>
                <w:highlight w:val="none"/>
              </w:rPr>
            </w:pPr>
            <w:r>
              <w:rPr>
                <w:color w:val="auto"/>
                <w:highlight w:val="none"/>
              </w:rPr>
              <w:t>0.4</w:t>
            </w:r>
          </w:p>
        </w:tc>
        <w:tc>
          <w:tcPr>
            <w:tcW w:w="492" w:type="dxa"/>
            <w:noWrap w:val="0"/>
            <w:vAlign w:val="center"/>
          </w:tcPr>
          <w:p>
            <w:pPr>
              <w:rPr>
                <w:color w:val="auto"/>
                <w:highlight w:val="none"/>
              </w:rPr>
            </w:pPr>
            <w:r>
              <w:rPr>
                <w:color w:val="auto"/>
                <w:highlight w:val="none"/>
              </w:rPr>
              <w:t>0.4</w:t>
            </w:r>
          </w:p>
        </w:tc>
        <w:tc>
          <w:tcPr>
            <w:tcW w:w="652" w:type="dxa"/>
            <w:noWrap w:val="0"/>
            <w:vAlign w:val="center"/>
          </w:tcPr>
          <w:p>
            <w:pPr>
              <w:rPr>
                <w:color w:val="auto"/>
                <w:highlight w:val="none"/>
              </w:rPr>
            </w:pPr>
            <w:r>
              <w:rPr>
                <w:color w:val="auto"/>
                <w:highlight w:val="none"/>
              </w:rPr>
              <w:t>0.5</w:t>
            </w:r>
          </w:p>
        </w:tc>
        <w:tc>
          <w:tcPr>
            <w:tcW w:w="572" w:type="dxa"/>
            <w:noWrap w:val="0"/>
            <w:vAlign w:val="center"/>
          </w:tcPr>
          <w:p>
            <w:pPr>
              <w:rPr>
                <w:color w:val="auto"/>
                <w:highlight w:val="none"/>
              </w:rPr>
            </w:pPr>
            <w:r>
              <w:rPr>
                <w:color w:val="auto"/>
                <w:highlight w:val="none"/>
              </w:rPr>
              <w:t>0.5</w:t>
            </w:r>
          </w:p>
        </w:tc>
        <w:tc>
          <w:tcPr>
            <w:tcW w:w="572" w:type="dxa"/>
            <w:noWrap w:val="0"/>
            <w:vAlign w:val="center"/>
          </w:tcPr>
          <w:p>
            <w:pPr>
              <w:rPr>
                <w:color w:val="auto"/>
                <w:highlight w:val="none"/>
              </w:rPr>
            </w:pPr>
            <w:r>
              <w:rPr>
                <w:color w:val="auto"/>
                <w:highlight w:val="none"/>
              </w:rPr>
              <w:t>0.6</w:t>
            </w:r>
          </w:p>
        </w:tc>
        <w:tc>
          <w:tcPr>
            <w:tcW w:w="672" w:type="dxa"/>
            <w:noWrap w:val="0"/>
            <w:vAlign w:val="center"/>
          </w:tcPr>
          <w:p>
            <w:pPr>
              <w:rPr>
                <w:color w:val="auto"/>
                <w:highlight w:val="none"/>
              </w:rPr>
            </w:pPr>
            <w:r>
              <w:rPr>
                <w:color w:val="auto"/>
                <w:highlight w:val="none"/>
              </w:rPr>
              <w:t>0.7</w:t>
            </w:r>
          </w:p>
        </w:tc>
        <w:tc>
          <w:tcPr>
            <w:tcW w:w="587" w:type="dxa"/>
            <w:noWrap w:val="0"/>
            <w:vAlign w:val="center"/>
          </w:tcPr>
          <w:p>
            <w:pPr>
              <w:rPr>
                <w:color w:val="auto"/>
                <w:highlight w:val="none"/>
              </w:rPr>
            </w:pPr>
            <w:r>
              <w:rPr>
                <w:color w:val="auto"/>
                <w:highlight w:val="none"/>
              </w:rPr>
              <w:t>0.8</w:t>
            </w:r>
          </w:p>
        </w:tc>
        <w:tc>
          <w:tcPr>
            <w:tcW w:w="559" w:type="dxa"/>
            <w:noWrap w:val="0"/>
            <w:vAlign w:val="center"/>
          </w:tcPr>
          <w:p>
            <w:pPr>
              <w:rPr>
                <w:color w:val="auto"/>
                <w:highlight w:val="none"/>
              </w:rPr>
            </w:pPr>
            <w:r>
              <w:rPr>
                <w:color w:val="auto"/>
                <w:highlight w:val="none"/>
              </w:rPr>
              <w:t>0.9</w:t>
            </w:r>
          </w:p>
        </w:tc>
        <w:tc>
          <w:tcPr>
            <w:tcW w:w="572" w:type="dxa"/>
            <w:noWrap w:val="0"/>
            <w:vAlign w:val="center"/>
          </w:tcPr>
          <w:p>
            <w:pPr>
              <w:rPr>
                <w:color w:val="auto"/>
                <w:highlight w:val="none"/>
              </w:rPr>
            </w:pPr>
            <w:r>
              <w:rPr>
                <w:color w:val="auto"/>
                <w:highlight w:val="none"/>
              </w:rPr>
              <w:t>1.0</w:t>
            </w:r>
          </w:p>
        </w:tc>
        <w:tc>
          <w:tcPr>
            <w:tcW w:w="532" w:type="dxa"/>
            <w:noWrap w:val="0"/>
            <w:vAlign w:val="center"/>
          </w:tcPr>
          <w:p>
            <w:pPr>
              <w:rPr>
                <w:color w:val="auto"/>
                <w:highlight w:val="none"/>
              </w:rPr>
            </w:pPr>
            <w:r>
              <w:rPr>
                <w:color w:val="auto"/>
                <w:highlight w:val="none"/>
              </w:rPr>
              <w:t>1.1</w:t>
            </w:r>
          </w:p>
        </w:tc>
        <w:tc>
          <w:tcPr>
            <w:tcW w:w="510" w:type="dxa"/>
            <w:noWrap w:val="0"/>
            <w:vAlign w:val="center"/>
          </w:tcPr>
          <w:p>
            <w:pPr>
              <w:rPr>
                <w:color w:val="auto"/>
                <w:highlight w:val="none"/>
              </w:rPr>
            </w:pPr>
            <w:r>
              <w:rPr>
                <w:color w:val="auto"/>
                <w:highlight w:val="none"/>
              </w:rPr>
              <w:t>1.2</w:t>
            </w:r>
          </w:p>
        </w:tc>
        <w:tc>
          <w:tcPr>
            <w:tcW w:w="572" w:type="dxa"/>
            <w:noWrap w:val="0"/>
            <w:vAlign w:val="center"/>
          </w:tcPr>
          <w:p>
            <w:pPr>
              <w:rPr>
                <w:color w:val="auto"/>
                <w:highlight w:val="none"/>
              </w:rPr>
            </w:pPr>
            <w:r>
              <w:rPr>
                <w:color w:val="auto"/>
                <w:highlight w:val="none"/>
              </w:rPr>
              <w:t>1.35</w:t>
            </w:r>
          </w:p>
        </w:tc>
        <w:tc>
          <w:tcPr>
            <w:tcW w:w="582" w:type="dxa"/>
            <w:noWrap w:val="0"/>
            <w:vAlign w:val="center"/>
          </w:tcPr>
          <w:p>
            <w:pPr>
              <w:rPr>
                <w:color w:val="auto"/>
                <w:highlight w:val="none"/>
              </w:rPr>
            </w:pPr>
            <w:r>
              <w:rPr>
                <w:color w:val="auto"/>
                <w:highlight w:val="none"/>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atLeast"/>
        </w:trPr>
        <w:tc>
          <w:tcPr>
            <w:tcW w:w="537" w:type="dxa"/>
            <w:vMerge w:val="continue"/>
            <w:noWrap w:val="0"/>
            <w:vAlign w:val="center"/>
          </w:tcPr>
          <w:p>
            <w:pPr>
              <w:rPr>
                <w:color w:val="auto"/>
                <w:highlight w:val="none"/>
              </w:rPr>
            </w:pPr>
          </w:p>
        </w:tc>
        <w:tc>
          <w:tcPr>
            <w:tcW w:w="426" w:type="dxa"/>
            <w:vMerge w:val="continue"/>
            <w:noWrap w:val="0"/>
            <w:vAlign w:val="center"/>
          </w:tcPr>
          <w:p>
            <w:pPr>
              <w:rPr>
                <w:color w:val="auto"/>
                <w:highlight w:val="none"/>
              </w:rPr>
            </w:pPr>
          </w:p>
        </w:tc>
        <w:tc>
          <w:tcPr>
            <w:tcW w:w="742" w:type="dxa"/>
            <w:noWrap w:val="0"/>
            <w:vAlign w:val="center"/>
          </w:tcPr>
          <w:p>
            <w:pPr>
              <w:rPr>
                <w:color w:val="auto"/>
                <w:highlight w:val="none"/>
              </w:rPr>
            </w:pPr>
            <w:r>
              <w:rPr>
                <w:rFonts w:hint="eastAsia"/>
                <w:color w:val="auto"/>
                <w:highlight w:val="none"/>
              </w:rPr>
              <w:t>热水管</w:t>
            </w:r>
          </w:p>
        </w:tc>
        <w:tc>
          <w:tcPr>
            <w:tcW w:w="572" w:type="dxa"/>
            <w:noWrap w:val="0"/>
            <w:vAlign w:val="center"/>
          </w:tcPr>
          <w:p>
            <w:pPr>
              <w:rPr>
                <w:color w:val="auto"/>
                <w:highlight w:val="none"/>
              </w:rPr>
            </w:pPr>
            <w:r>
              <w:rPr>
                <w:color w:val="auto"/>
                <w:highlight w:val="none"/>
              </w:rPr>
              <w:t>0.2</w:t>
            </w:r>
          </w:p>
        </w:tc>
        <w:tc>
          <w:tcPr>
            <w:tcW w:w="492" w:type="dxa"/>
            <w:noWrap w:val="0"/>
            <w:vAlign w:val="center"/>
          </w:tcPr>
          <w:p>
            <w:pPr>
              <w:rPr>
                <w:color w:val="auto"/>
                <w:highlight w:val="none"/>
              </w:rPr>
            </w:pPr>
            <w:r>
              <w:rPr>
                <w:color w:val="auto"/>
                <w:highlight w:val="none"/>
              </w:rPr>
              <w:t>0.2</w:t>
            </w:r>
          </w:p>
        </w:tc>
        <w:tc>
          <w:tcPr>
            <w:tcW w:w="652" w:type="dxa"/>
            <w:noWrap w:val="0"/>
            <w:vAlign w:val="center"/>
          </w:tcPr>
          <w:p>
            <w:pPr>
              <w:rPr>
                <w:color w:val="auto"/>
                <w:highlight w:val="none"/>
              </w:rPr>
            </w:pPr>
            <w:r>
              <w:rPr>
                <w:color w:val="auto"/>
                <w:highlight w:val="none"/>
              </w:rPr>
              <w:t>0.25</w:t>
            </w:r>
          </w:p>
        </w:tc>
        <w:tc>
          <w:tcPr>
            <w:tcW w:w="572" w:type="dxa"/>
            <w:noWrap w:val="0"/>
            <w:vAlign w:val="center"/>
          </w:tcPr>
          <w:p>
            <w:pPr>
              <w:rPr>
                <w:color w:val="auto"/>
                <w:highlight w:val="none"/>
              </w:rPr>
            </w:pPr>
            <w:r>
              <w:rPr>
                <w:color w:val="auto"/>
                <w:highlight w:val="none"/>
              </w:rPr>
              <w:t>0.3</w:t>
            </w:r>
          </w:p>
        </w:tc>
        <w:tc>
          <w:tcPr>
            <w:tcW w:w="572" w:type="dxa"/>
            <w:noWrap w:val="0"/>
            <w:vAlign w:val="center"/>
          </w:tcPr>
          <w:p>
            <w:pPr>
              <w:rPr>
                <w:color w:val="auto"/>
                <w:highlight w:val="none"/>
              </w:rPr>
            </w:pPr>
            <w:r>
              <w:rPr>
                <w:color w:val="auto"/>
                <w:highlight w:val="none"/>
              </w:rPr>
              <w:t>0.3</w:t>
            </w:r>
          </w:p>
        </w:tc>
        <w:tc>
          <w:tcPr>
            <w:tcW w:w="672" w:type="dxa"/>
            <w:noWrap w:val="0"/>
            <w:vAlign w:val="center"/>
          </w:tcPr>
          <w:p>
            <w:pPr>
              <w:rPr>
                <w:color w:val="auto"/>
                <w:highlight w:val="none"/>
              </w:rPr>
            </w:pPr>
            <w:r>
              <w:rPr>
                <w:color w:val="auto"/>
                <w:highlight w:val="none"/>
              </w:rPr>
              <w:t>0.35</w:t>
            </w:r>
          </w:p>
        </w:tc>
        <w:tc>
          <w:tcPr>
            <w:tcW w:w="587" w:type="dxa"/>
            <w:noWrap w:val="0"/>
            <w:vAlign w:val="center"/>
          </w:tcPr>
          <w:p>
            <w:pPr>
              <w:rPr>
                <w:color w:val="auto"/>
                <w:highlight w:val="none"/>
              </w:rPr>
            </w:pPr>
            <w:r>
              <w:rPr>
                <w:color w:val="auto"/>
                <w:highlight w:val="none"/>
              </w:rPr>
              <w:t>0.4</w:t>
            </w:r>
          </w:p>
        </w:tc>
        <w:tc>
          <w:tcPr>
            <w:tcW w:w="559" w:type="dxa"/>
            <w:noWrap w:val="0"/>
            <w:vAlign w:val="center"/>
          </w:tcPr>
          <w:p>
            <w:pPr>
              <w:rPr>
                <w:color w:val="auto"/>
                <w:highlight w:val="none"/>
              </w:rPr>
            </w:pPr>
            <w:r>
              <w:rPr>
                <w:color w:val="auto"/>
                <w:highlight w:val="none"/>
              </w:rPr>
              <w:t>0.5</w:t>
            </w:r>
          </w:p>
        </w:tc>
        <w:tc>
          <w:tcPr>
            <w:tcW w:w="572" w:type="dxa"/>
            <w:noWrap w:val="0"/>
            <w:vAlign w:val="center"/>
          </w:tcPr>
          <w:p>
            <w:pPr>
              <w:rPr>
                <w:color w:val="auto"/>
                <w:highlight w:val="none"/>
              </w:rPr>
            </w:pPr>
            <w:r>
              <w:rPr>
                <w:color w:val="auto"/>
                <w:highlight w:val="none"/>
              </w:rPr>
              <w:t>0.6</w:t>
            </w:r>
          </w:p>
        </w:tc>
        <w:tc>
          <w:tcPr>
            <w:tcW w:w="532" w:type="dxa"/>
            <w:noWrap w:val="0"/>
            <w:vAlign w:val="center"/>
          </w:tcPr>
          <w:p>
            <w:pPr>
              <w:rPr>
                <w:color w:val="auto"/>
                <w:highlight w:val="none"/>
              </w:rPr>
            </w:pPr>
            <w:r>
              <w:rPr>
                <w:color w:val="auto"/>
                <w:highlight w:val="none"/>
              </w:rPr>
              <w:t>0.7</w:t>
            </w:r>
          </w:p>
        </w:tc>
        <w:tc>
          <w:tcPr>
            <w:tcW w:w="510" w:type="dxa"/>
            <w:noWrap w:val="0"/>
            <w:vAlign w:val="center"/>
          </w:tcPr>
          <w:p>
            <w:pPr>
              <w:rPr>
                <w:color w:val="auto"/>
                <w:highlight w:val="none"/>
              </w:rPr>
            </w:pPr>
            <w:r>
              <w:rPr>
                <w:color w:val="auto"/>
                <w:highlight w:val="none"/>
              </w:rPr>
              <w:t>0.8</w:t>
            </w:r>
          </w:p>
        </w:tc>
        <w:tc>
          <w:tcPr>
            <w:tcW w:w="572" w:type="dxa"/>
            <w:noWrap w:val="0"/>
            <w:vAlign w:val="center"/>
          </w:tcPr>
          <w:p>
            <w:pPr>
              <w:rPr>
                <w:color w:val="auto"/>
                <w:highlight w:val="none"/>
              </w:rPr>
            </w:pPr>
          </w:p>
        </w:tc>
        <w:tc>
          <w:tcPr>
            <w:tcW w:w="582" w:type="dxa"/>
            <w:noWrap w:val="0"/>
            <w:vAlign w:val="center"/>
          </w:tcPr>
          <w:p>
            <w:pPr>
              <w:rPr>
                <w:color w:val="auto"/>
                <w:highlight w:val="none"/>
              </w:rPr>
            </w:pPr>
          </w:p>
        </w:tc>
      </w:tr>
    </w:tbl>
    <w:p>
      <w:pPr>
        <w:rPr>
          <w:color w:val="auto"/>
          <w:highlight w:val="none"/>
        </w:rPr>
      </w:pPr>
    </w:p>
    <w:p>
      <w:pPr>
        <w:pStyle w:val="217"/>
        <w:rPr>
          <w:color w:val="auto"/>
          <w:highlight w:val="none"/>
        </w:rPr>
      </w:pPr>
      <w:r>
        <w:rPr>
          <w:rFonts w:hint="eastAsia"/>
          <w:color w:val="auto"/>
          <w:highlight w:val="none"/>
        </w:rPr>
        <w:t>表</w:t>
      </w:r>
      <w:r>
        <w:rPr>
          <w:color w:val="auto"/>
          <w:highlight w:val="none"/>
        </w:rPr>
        <w:t xml:space="preserve">3    </w:t>
      </w:r>
      <w:r>
        <w:rPr>
          <w:rFonts w:hint="eastAsia"/>
          <w:color w:val="auto"/>
          <w:highlight w:val="none"/>
        </w:rPr>
        <w:t>钢管管道支架的最大间距</w:t>
      </w:r>
    </w:p>
    <w:tbl>
      <w:tblPr>
        <w:tblStyle w:val="43"/>
        <w:tblW w:w="9151"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857"/>
        <w:gridCol w:w="628"/>
        <w:gridCol w:w="628"/>
        <w:gridCol w:w="628"/>
        <w:gridCol w:w="628"/>
        <w:gridCol w:w="628"/>
        <w:gridCol w:w="628"/>
        <w:gridCol w:w="628"/>
        <w:gridCol w:w="628"/>
        <w:gridCol w:w="628"/>
        <w:gridCol w:w="628"/>
        <w:gridCol w:w="628"/>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7" w:hRule="atLeast"/>
        </w:trPr>
        <w:tc>
          <w:tcPr>
            <w:tcW w:w="1607" w:type="dxa"/>
            <w:gridSpan w:val="2"/>
            <w:noWrap w:val="0"/>
            <w:vAlign w:val="center"/>
          </w:tcPr>
          <w:p>
            <w:pPr>
              <w:rPr>
                <w:color w:val="auto"/>
                <w:highlight w:val="none"/>
              </w:rPr>
            </w:pPr>
            <w:r>
              <w:rPr>
                <w:rFonts w:hint="eastAsia"/>
                <w:color w:val="auto"/>
                <w:highlight w:val="none"/>
              </w:rPr>
              <w:t>公称直径（</w:t>
            </w:r>
            <w:r>
              <w:rPr>
                <w:color w:val="auto"/>
                <w:highlight w:val="none"/>
              </w:rPr>
              <w:t>mm</w:t>
            </w:r>
            <w:r>
              <w:rPr>
                <w:rFonts w:hint="eastAsia"/>
                <w:color w:val="auto"/>
                <w:highlight w:val="none"/>
              </w:rPr>
              <w:t>）</w:t>
            </w:r>
          </w:p>
        </w:tc>
        <w:tc>
          <w:tcPr>
            <w:tcW w:w="628" w:type="dxa"/>
            <w:noWrap w:val="0"/>
            <w:vAlign w:val="center"/>
          </w:tcPr>
          <w:p>
            <w:pPr>
              <w:rPr>
                <w:color w:val="auto"/>
                <w:highlight w:val="none"/>
              </w:rPr>
            </w:pPr>
            <w:r>
              <w:rPr>
                <w:color w:val="auto"/>
                <w:highlight w:val="none"/>
              </w:rPr>
              <w:t>15</w:t>
            </w:r>
          </w:p>
        </w:tc>
        <w:tc>
          <w:tcPr>
            <w:tcW w:w="628" w:type="dxa"/>
            <w:noWrap w:val="0"/>
            <w:vAlign w:val="center"/>
          </w:tcPr>
          <w:p>
            <w:pPr>
              <w:rPr>
                <w:color w:val="auto"/>
                <w:highlight w:val="none"/>
              </w:rPr>
            </w:pPr>
            <w:r>
              <w:rPr>
                <w:color w:val="auto"/>
                <w:highlight w:val="none"/>
              </w:rPr>
              <w:t>20</w:t>
            </w:r>
          </w:p>
        </w:tc>
        <w:tc>
          <w:tcPr>
            <w:tcW w:w="628" w:type="dxa"/>
            <w:noWrap w:val="0"/>
            <w:vAlign w:val="center"/>
          </w:tcPr>
          <w:p>
            <w:pPr>
              <w:rPr>
                <w:color w:val="auto"/>
                <w:highlight w:val="none"/>
              </w:rPr>
            </w:pPr>
            <w:r>
              <w:rPr>
                <w:color w:val="auto"/>
                <w:highlight w:val="none"/>
              </w:rPr>
              <w:t>25</w:t>
            </w:r>
          </w:p>
        </w:tc>
        <w:tc>
          <w:tcPr>
            <w:tcW w:w="628" w:type="dxa"/>
            <w:noWrap w:val="0"/>
            <w:vAlign w:val="center"/>
          </w:tcPr>
          <w:p>
            <w:pPr>
              <w:rPr>
                <w:color w:val="auto"/>
                <w:highlight w:val="none"/>
              </w:rPr>
            </w:pPr>
            <w:r>
              <w:rPr>
                <w:color w:val="auto"/>
                <w:highlight w:val="none"/>
              </w:rPr>
              <w:t>32</w:t>
            </w:r>
          </w:p>
        </w:tc>
        <w:tc>
          <w:tcPr>
            <w:tcW w:w="628" w:type="dxa"/>
            <w:noWrap w:val="0"/>
            <w:vAlign w:val="center"/>
          </w:tcPr>
          <w:p>
            <w:pPr>
              <w:rPr>
                <w:color w:val="auto"/>
                <w:highlight w:val="none"/>
              </w:rPr>
            </w:pPr>
            <w:r>
              <w:rPr>
                <w:color w:val="auto"/>
                <w:highlight w:val="none"/>
              </w:rPr>
              <w:t>40</w:t>
            </w:r>
          </w:p>
        </w:tc>
        <w:tc>
          <w:tcPr>
            <w:tcW w:w="628" w:type="dxa"/>
            <w:noWrap w:val="0"/>
            <w:vAlign w:val="center"/>
          </w:tcPr>
          <w:p>
            <w:pPr>
              <w:rPr>
                <w:color w:val="auto"/>
                <w:highlight w:val="none"/>
              </w:rPr>
            </w:pPr>
            <w:r>
              <w:rPr>
                <w:color w:val="auto"/>
                <w:highlight w:val="none"/>
              </w:rPr>
              <w:t>50</w:t>
            </w:r>
          </w:p>
        </w:tc>
        <w:tc>
          <w:tcPr>
            <w:tcW w:w="628" w:type="dxa"/>
            <w:noWrap w:val="0"/>
            <w:vAlign w:val="center"/>
          </w:tcPr>
          <w:p>
            <w:pPr>
              <w:rPr>
                <w:color w:val="auto"/>
                <w:highlight w:val="none"/>
              </w:rPr>
            </w:pPr>
            <w:r>
              <w:rPr>
                <w:color w:val="auto"/>
                <w:highlight w:val="none"/>
              </w:rPr>
              <w:t>65</w:t>
            </w:r>
          </w:p>
        </w:tc>
        <w:tc>
          <w:tcPr>
            <w:tcW w:w="628" w:type="dxa"/>
            <w:noWrap w:val="0"/>
            <w:vAlign w:val="center"/>
          </w:tcPr>
          <w:p>
            <w:pPr>
              <w:rPr>
                <w:color w:val="auto"/>
                <w:highlight w:val="none"/>
              </w:rPr>
            </w:pPr>
            <w:r>
              <w:rPr>
                <w:color w:val="auto"/>
                <w:highlight w:val="none"/>
              </w:rPr>
              <w:t>80</w:t>
            </w:r>
          </w:p>
        </w:tc>
        <w:tc>
          <w:tcPr>
            <w:tcW w:w="628" w:type="dxa"/>
            <w:noWrap w:val="0"/>
            <w:vAlign w:val="center"/>
          </w:tcPr>
          <w:p>
            <w:pPr>
              <w:rPr>
                <w:color w:val="auto"/>
                <w:highlight w:val="none"/>
              </w:rPr>
            </w:pPr>
            <w:r>
              <w:rPr>
                <w:color w:val="auto"/>
                <w:highlight w:val="none"/>
              </w:rPr>
              <w:t>100</w:t>
            </w:r>
          </w:p>
        </w:tc>
        <w:tc>
          <w:tcPr>
            <w:tcW w:w="628" w:type="dxa"/>
            <w:noWrap w:val="0"/>
            <w:vAlign w:val="center"/>
          </w:tcPr>
          <w:p>
            <w:pPr>
              <w:rPr>
                <w:color w:val="auto"/>
                <w:highlight w:val="none"/>
              </w:rPr>
            </w:pPr>
            <w:r>
              <w:rPr>
                <w:color w:val="auto"/>
                <w:highlight w:val="none"/>
              </w:rPr>
              <w:t>125</w:t>
            </w:r>
          </w:p>
        </w:tc>
        <w:tc>
          <w:tcPr>
            <w:tcW w:w="628" w:type="dxa"/>
            <w:noWrap w:val="0"/>
            <w:vAlign w:val="center"/>
          </w:tcPr>
          <w:p>
            <w:pPr>
              <w:rPr>
                <w:color w:val="auto"/>
                <w:highlight w:val="none"/>
              </w:rPr>
            </w:pPr>
            <w:r>
              <w:rPr>
                <w:color w:val="auto"/>
                <w:highlight w:val="none"/>
              </w:rPr>
              <w:t>150</w:t>
            </w:r>
          </w:p>
        </w:tc>
        <w:tc>
          <w:tcPr>
            <w:tcW w:w="636" w:type="dxa"/>
            <w:noWrap w:val="0"/>
            <w:vAlign w:val="center"/>
          </w:tcPr>
          <w:p>
            <w:pPr>
              <w:rPr>
                <w:color w:val="auto"/>
                <w:highlight w:val="none"/>
              </w:rPr>
            </w:pPr>
            <w:r>
              <w:rPr>
                <w:color w:val="auto"/>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50" w:type="dxa"/>
            <w:vMerge w:val="restart"/>
            <w:noWrap w:val="0"/>
            <w:vAlign w:val="center"/>
          </w:tcPr>
          <w:p>
            <w:pPr>
              <w:rPr>
                <w:color w:val="auto"/>
                <w:highlight w:val="none"/>
              </w:rPr>
            </w:pPr>
            <w:r>
              <w:rPr>
                <w:rFonts w:hint="eastAsia"/>
                <w:color w:val="auto"/>
                <w:highlight w:val="none"/>
              </w:rPr>
              <w:t>支架的最大间距（</w:t>
            </w:r>
            <w:r>
              <w:rPr>
                <w:color w:val="auto"/>
                <w:highlight w:val="none"/>
              </w:rPr>
              <w:t>m</w:t>
            </w:r>
            <w:r>
              <w:rPr>
                <w:rFonts w:hint="eastAsia"/>
                <w:color w:val="auto"/>
                <w:highlight w:val="none"/>
              </w:rPr>
              <w:t>）</w:t>
            </w:r>
          </w:p>
        </w:tc>
        <w:tc>
          <w:tcPr>
            <w:tcW w:w="857" w:type="dxa"/>
            <w:noWrap w:val="0"/>
            <w:vAlign w:val="center"/>
          </w:tcPr>
          <w:p>
            <w:pPr>
              <w:rPr>
                <w:color w:val="auto"/>
                <w:highlight w:val="none"/>
              </w:rPr>
            </w:pPr>
            <w:r>
              <w:rPr>
                <w:rFonts w:hint="eastAsia"/>
                <w:color w:val="auto"/>
                <w:highlight w:val="none"/>
              </w:rPr>
              <w:t>垂直管</w:t>
            </w:r>
          </w:p>
        </w:tc>
        <w:tc>
          <w:tcPr>
            <w:tcW w:w="628" w:type="dxa"/>
            <w:noWrap w:val="0"/>
            <w:vAlign w:val="center"/>
          </w:tcPr>
          <w:p>
            <w:pPr>
              <w:rPr>
                <w:color w:val="auto"/>
                <w:highlight w:val="none"/>
              </w:rPr>
            </w:pPr>
            <w:r>
              <w:rPr>
                <w:color w:val="auto"/>
                <w:highlight w:val="none"/>
              </w:rPr>
              <w:t>1.8</w:t>
            </w:r>
          </w:p>
        </w:tc>
        <w:tc>
          <w:tcPr>
            <w:tcW w:w="628" w:type="dxa"/>
            <w:noWrap w:val="0"/>
            <w:vAlign w:val="center"/>
          </w:tcPr>
          <w:p>
            <w:pPr>
              <w:rPr>
                <w:color w:val="auto"/>
                <w:highlight w:val="none"/>
              </w:rPr>
            </w:pPr>
            <w:r>
              <w:rPr>
                <w:color w:val="auto"/>
                <w:highlight w:val="none"/>
              </w:rPr>
              <w:t>2.4</w:t>
            </w:r>
          </w:p>
        </w:tc>
        <w:tc>
          <w:tcPr>
            <w:tcW w:w="628" w:type="dxa"/>
            <w:noWrap w:val="0"/>
            <w:vAlign w:val="center"/>
          </w:tcPr>
          <w:p>
            <w:pPr>
              <w:rPr>
                <w:color w:val="auto"/>
                <w:highlight w:val="none"/>
              </w:rPr>
            </w:pPr>
            <w:r>
              <w:rPr>
                <w:color w:val="auto"/>
                <w:highlight w:val="none"/>
              </w:rPr>
              <w:t>2.4</w:t>
            </w:r>
          </w:p>
        </w:tc>
        <w:tc>
          <w:tcPr>
            <w:tcW w:w="628" w:type="dxa"/>
            <w:noWrap w:val="0"/>
            <w:vAlign w:val="center"/>
          </w:tcPr>
          <w:p>
            <w:pPr>
              <w:rPr>
                <w:color w:val="auto"/>
                <w:highlight w:val="none"/>
              </w:rPr>
            </w:pPr>
            <w:r>
              <w:rPr>
                <w:color w:val="auto"/>
                <w:highlight w:val="none"/>
              </w:rPr>
              <w:t>3.0</w:t>
            </w:r>
          </w:p>
        </w:tc>
        <w:tc>
          <w:tcPr>
            <w:tcW w:w="628" w:type="dxa"/>
            <w:noWrap w:val="0"/>
            <w:vAlign w:val="center"/>
          </w:tcPr>
          <w:p>
            <w:pPr>
              <w:rPr>
                <w:color w:val="auto"/>
                <w:highlight w:val="none"/>
              </w:rPr>
            </w:pPr>
            <w:r>
              <w:rPr>
                <w:color w:val="auto"/>
                <w:highlight w:val="none"/>
              </w:rPr>
              <w:t>3.0</w:t>
            </w:r>
          </w:p>
        </w:tc>
        <w:tc>
          <w:tcPr>
            <w:tcW w:w="628" w:type="dxa"/>
            <w:noWrap w:val="0"/>
            <w:vAlign w:val="center"/>
          </w:tcPr>
          <w:p>
            <w:pPr>
              <w:rPr>
                <w:color w:val="auto"/>
                <w:highlight w:val="none"/>
              </w:rPr>
            </w:pPr>
            <w:r>
              <w:rPr>
                <w:color w:val="auto"/>
                <w:highlight w:val="none"/>
              </w:rPr>
              <w:t>3.0</w:t>
            </w:r>
          </w:p>
        </w:tc>
        <w:tc>
          <w:tcPr>
            <w:tcW w:w="628" w:type="dxa"/>
            <w:noWrap w:val="0"/>
            <w:vAlign w:val="center"/>
          </w:tcPr>
          <w:p>
            <w:pPr>
              <w:rPr>
                <w:color w:val="auto"/>
                <w:highlight w:val="none"/>
              </w:rPr>
            </w:pPr>
            <w:r>
              <w:rPr>
                <w:color w:val="auto"/>
                <w:highlight w:val="none"/>
              </w:rPr>
              <w:t>3.5</w:t>
            </w:r>
          </w:p>
        </w:tc>
        <w:tc>
          <w:tcPr>
            <w:tcW w:w="628" w:type="dxa"/>
            <w:noWrap w:val="0"/>
            <w:vAlign w:val="center"/>
          </w:tcPr>
          <w:p>
            <w:pPr>
              <w:rPr>
                <w:color w:val="auto"/>
                <w:highlight w:val="none"/>
              </w:rPr>
            </w:pPr>
            <w:r>
              <w:rPr>
                <w:color w:val="auto"/>
                <w:highlight w:val="none"/>
              </w:rPr>
              <w:t>3.5</w:t>
            </w:r>
          </w:p>
        </w:tc>
        <w:tc>
          <w:tcPr>
            <w:tcW w:w="628" w:type="dxa"/>
            <w:noWrap w:val="0"/>
            <w:vAlign w:val="center"/>
          </w:tcPr>
          <w:p>
            <w:pPr>
              <w:rPr>
                <w:color w:val="auto"/>
                <w:highlight w:val="none"/>
              </w:rPr>
            </w:pPr>
            <w:r>
              <w:rPr>
                <w:color w:val="auto"/>
                <w:highlight w:val="none"/>
              </w:rPr>
              <w:t>3.5</w:t>
            </w:r>
          </w:p>
        </w:tc>
        <w:tc>
          <w:tcPr>
            <w:tcW w:w="628" w:type="dxa"/>
            <w:noWrap w:val="0"/>
            <w:vAlign w:val="center"/>
          </w:tcPr>
          <w:p>
            <w:pPr>
              <w:rPr>
                <w:color w:val="auto"/>
                <w:highlight w:val="none"/>
              </w:rPr>
            </w:pPr>
            <w:r>
              <w:rPr>
                <w:color w:val="auto"/>
                <w:highlight w:val="none"/>
              </w:rPr>
              <w:t>3.5</w:t>
            </w:r>
          </w:p>
        </w:tc>
        <w:tc>
          <w:tcPr>
            <w:tcW w:w="628" w:type="dxa"/>
            <w:noWrap w:val="0"/>
            <w:vAlign w:val="center"/>
          </w:tcPr>
          <w:p>
            <w:pPr>
              <w:rPr>
                <w:color w:val="auto"/>
                <w:highlight w:val="none"/>
              </w:rPr>
            </w:pPr>
            <w:r>
              <w:rPr>
                <w:color w:val="auto"/>
                <w:highlight w:val="none"/>
              </w:rPr>
              <w:t>4.0</w:t>
            </w:r>
          </w:p>
        </w:tc>
        <w:tc>
          <w:tcPr>
            <w:tcW w:w="636" w:type="dxa"/>
            <w:noWrap w:val="0"/>
            <w:vAlign w:val="center"/>
          </w:tcPr>
          <w:p>
            <w:pPr>
              <w:rPr>
                <w:color w:val="auto"/>
                <w:highlight w:val="none"/>
              </w:rPr>
            </w:pPr>
            <w:r>
              <w:rPr>
                <w:color w:val="auto"/>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50" w:type="dxa"/>
            <w:vMerge w:val="continue"/>
            <w:noWrap w:val="0"/>
            <w:vAlign w:val="center"/>
          </w:tcPr>
          <w:p>
            <w:pPr>
              <w:rPr>
                <w:color w:val="auto"/>
                <w:highlight w:val="none"/>
              </w:rPr>
            </w:pPr>
          </w:p>
        </w:tc>
        <w:tc>
          <w:tcPr>
            <w:tcW w:w="857" w:type="dxa"/>
            <w:noWrap w:val="0"/>
            <w:vAlign w:val="center"/>
          </w:tcPr>
          <w:p>
            <w:pPr>
              <w:rPr>
                <w:color w:val="auto"/>
                <w:highlight w:val="none"/>
              </w:rPr>
            </w:pPr>
            <w:r>
              <w:rPr>
                <w:rFonts w:hint="eastAsia"/>
                <w:color w:val="auto"/>
                <w:highlight w:val="none"/>
              </w:rPr>
              <w:t>水平管</w:t>
            </w:r>
          </w:p>
        </w:tc>
        <w:tc>
          <w:tcPr>
            <w:tcW w:w="628" w:type="dxa"/>
            <w:noWrap w:val="0"/>
            <w:vAlign w:val="center"/>
          </w:tcPr>
          <w:p>
            <w:pPr>
              <w:rPr>
                <w:color w:val="auto"/>
                <w:highlight w:val="none"/>
              </w:rPr>
            </w:pPr>
            <w:r>
              <w:rPr>
                <w:color w:val="auto"/>
                <w:highlight w:val="none"/>
              </w:rPr>
              <w:t>1.2</w:t>
            </w:r>
          </w:p>
        </w:tc>
        <w:tc>
          <w:tcPr>
            <w:tcW w:w="628" w:type="dxa"/>
            <w:noWrap w:val="0"/>
            <w:vAlign w:val="center"/>
          </w:tcPr>
          <w:p>
            <w:pPr>
              <w:rPr>
                <w:color w:val="auto"/>
                <w:highlight w:val="none"/>
              </w:rPr>
            </w:pPr>
            <w:r>
              <w:rPr>
                <w:color w:val="auto"/>
                <w:highlight w:val="none"/>
              </w:rPr>
              <w:t>1.8</w:t>
            </w:r>
          </w:p>
        </w:tc>
        <w:tc>
          <w:tcPr>
            <w:tcW w:w="628" w:type="dxa"/>
            <w:noWrap w:val="0"/>
            <w:vAlign w:val="center"/>
          </w:tcPr>
          <w:p>
            <w:pPr>
              <w:rPr>
                <w:color w:val="auto"/>
                <w:highlight w:val="none"/>
              </w:rPr>
            </w:pPr>
            <w:r>
              <w:rPr>
                <w:color w:val="auto"/>
                <w:highlight w:val="none"/>
              </w:rPr>
              <w:t>1.8</w:t>
            </w:r>
          </w:p>
        </w:tc>
        <w:tc>
          <w:tcPr>
            <w:tcW w:w="628" w:type="dxa"/>
            <w:noWrap w:val="0"/>
            <w:vAlign w:val="center"/>
          </w:tcPr>
          <w:p>
            <w:pPr>
              <w:rPr>
                <w:color w:val="auto"/>
                <w:highlight w:val="none"/>
              </w:rPr>
            </w:pPr>
            <w:r>
              <w:rPr>
                <w:color w:val="auto"/>
                <w:highlight w:val="none"/>
              </w:rPr>
              <w:t>2.4</w:t>
            </w:r>
          </w:p>
        </w:tc>
        <w:tc>
          <w:tcPr>
            <w:tcW w:w="628" w:type="dxa"/>
            <w:noWrap w:val="0"/>
            <w:vAlign w:val="center"/>
          </w:tcPr>
          <w:p>
            <w:pPr>
              <w:rPr>
                <w:color w:val="auto"/>
                <w:highlight w:val="none"/>
              </w:rPr>
            </w:pPr>
            <w:r>
              <w:rPr>
                <w:color w:val="auto"/>
                <w:highlight w:val="none"/>
              </w:rPr>
              <w:t>2.4</w:t>
            </w:r>
          </w:p>
        </w:tc>
        <w:tc>
          <w:tcPr>
            <w:tcW w:w="628" w:type="dxa"/>
            <w:noWrap w:val="0"/>
            <w:vAlign w:val="center"/>
          </w:tcPr>
          <w:p>
            <w:pPr>
              <w:rPr>
                <w:color w:val="auto"/>
                <w:highlight w:val="none"/>
              </w:rPr>
            </w:pPr>
            <w:r>
              <w:rPr>
                <w:color w:val="auto"/>
                <w:highlight w:val="none"/>
              </w:rPr>
              <w:t>2.4</w:t>
            </w:r>
          </w:p>
        </w:tc>
        <w:tc>
          <w:tcPr>
            <w:tcW w:w="628" w:type="dxa"/>
            <w:noWrap w:val="0"/>
            <w:vAlign w:val="center"/>
          </w:tcPr>
          <w:p>
            <w:pPr>
              <w:rPr>
                <w:color w:val="auto"/>
                <w:highlight w:val="none"/>
              </w:rPr>
            </w:pPr>
            <w:r>
              <w:rPr>
                <w:color w:val="auto"/>
                <w:highlight w:val="none"/>
              </w:rPr>
              <w:t>3.0</w:t>
            </w:r>
          </w:p>
        </w:tc>
        <w:tc>
          <w:tcPr>
            <w:tcW w:w="628" w:type="dxa"/>
            <w:noWrap w:val="0"/>
            <w:vAlign w:val="center"/>
          </w:tcPr>
          <w:p>
            <w:pPr>
              <w:rPr>
                <w:color w:val="auto"/>
                <w:highlight w:val="none"/>
              </w:rPr>
            </w:pPr>
            <w:r>
              <w:rPr>
                <w:color w:val="auto"/>
                <w:highlight w:val="none"/>
              </w:rPr>
              <w:t>3.0</w:t>
            </w:r>
          </w:p>
        </w:tc>
        <w:tc>
          <w:tcPr>
            <w:tcW w:w="628" w:type="dxa"/>
            <w:noWrap w:val="0"/>
            <w:vAlign w:val="center"/>
          </w:tcPr>
          <w:p>
            <w:pPr>
              <w:rPr>
                <w:color w:val="auto"/>
                <w:highlight w:val="none"/>
              </w:rPr>
            </w:pPr>
            <w:r>
              <w:rPr>
                <w:color w:val="auto"/>
                <w:highlight w:val="none"/>
              </w:rPr>
              <w:t>3.0</w:t>
            </w:r>
          </w:p>
        </w:tc>
        <w:tc>
          <w:tcPr>
            <w:tcW w:w="628" w:type="dxa"/>
            <w:noWrap w:val="0"/>
            <w:vAlign w:val="center"/>
          </w:tcPr>
          <w:p>
            <w:pPr>
              <w:rPr>
                <w:color w:val="auto"/>
                <w:highlight w:val="none"/>
              </w:rPr>
            </w:pPr>
            <w:r>
              <w:rPr>
                <w:color w:val="auto"/>
                <w:highlight w:val="none"/>
              </w:rPr>
              <w:t>3.0</w:t>
            </w:r>
          </w:p>
        </w:tc>
        <w:tc>
          <w:tcPr>
            <w:tcW w:w="628" w:type="dxa"/>
            <w:noWrap w:val="0"/>
            <w:vAlign w:val="center"/>
          </w:tcPr>
          <w:p>
            <w:pPr>
              <w:rPr>
                <w:color w:val="auto"/>
                <w:highlight w:val="none"/>
              </w:rPr>
            </w:pPr>
            <w:r>
              <w:rPr>
                <w:color w:val="auto"/>
                <w:highlight w:val="none"/>
              </w:rPr>
              <w:t>3.5</w:t>
            </w:r>
          </w:p>
        </w:tc>
        <w:tc>
          <w:tcPr>
            <w:tcW w:w="636" w:type="dxa"/>
            <w:noWrap w:val="0"/>
            <w:vAlign w:val="center"/>
          </w:tcPr>
          <w:p>
            <w:pPr>
              <w:rPr>
                <w:color w:val="auto"/>
                <w:highlight w:val="none"/>
              </w:rPr>
            </w:pPr>
            <w:r>
              <w:rPr>
                <w:color w:val="auto"/>
                <w:highlight w:val="none"/>
              </w:rPr>
              <w:t>3.5</w:t>
            </w:r>
          </w:p>
        </w:tc>
      </w:tr>
    </w:tbl>
    <w:p>
      <w:pPr>
        <w:rPr>
          <w:color w:val="auto"/>
          <w:highlight w:val="none"/>
        </w:rPr>
      </w:pPr>
    </w:p>
    <w:p>
      <w:pPr>
        <w:pStyle w:val="217"/>
        <w:rPr>
          <w:color w:val="auto"/>
          <w:highlight w:val="none"/>
        </w:rPr>
      </w:pPr>
      <w:r>
        <w:rPr>
          <w:rFonts w:hint="eastAsia"/>
          <w:color w:val="auto"/>
          <w:highlight w:val="none"/>
        </w:rPr>
        <w:t>表</w:t>
      </w:r>
      <w:r>
        <w:rPr>
          <w:color w:val="auto"/>
          <w:highlight w:val="none"/>
        </w:rPr>
        <w:t xml:space="preserve">4    </w:t>
      </w:r>
      <w:r>
        <w:rPr>
          <w:rFonts w:hint="eastAsia"/>
          <w:color w:val="auto"/>
          <w:highlight w:val="none"/>
        </w:rPr>
        <w:t>排水塑料管道支吊架最大间距（单位：</w:t>
      </w:r>
      <w:r>
        <w:rPr>
          <w:color w:val="auto"/>
          <w:highlight w:val="none"/>
        </w:rPr>
        <w:t>m</w:t>
      </w:r>
      <w:r>
        <w:rPr>
          <w:rFonts w:hint="eastAsia"/>
          <w:color w:val="auto"/>
          <w:highlight w:val="none"/>
        </w:rPr>
        <w:t>）</w:t>
      </w:r>
    </w:p>
    <w:tbl>
      <w:tblPr>
        <w:tblStyle w:val="43"/>
        <w:tblW w:w="9164"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1184"/>
        <w:gridCol w:w="1500"/>
        <w:gridCol w:w="1500"/>
        <w:gridCol w:w="1500"/>
        <w:gridCol w:w="2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265" w:type="dxa"/>
            <w:noWrap w:val="0"/>
            <w:vAlign w:val="center"/>
          </w:tcPr>
          <w:p>
            <w:pPr>
              <w:rPr>
                <w:color w:val="auto"/>
                <w:highlight w:val="none"/>
              </w:rPr>
            </w:pPr>
            <w:r>
              <w:rPr>
                <w:rFonts w:hint="eastAsia"/>
                <w:color w:val="auto"/>
                <w:highlight w:val="none"/>
              </w:rPr>
              <w:t>管径（</w:t>
            </w:r>
            <w:r>
              <w:rPr>
                <w:color w:val="auto"/>
                <w:highlight w:val="none"/>
              </w:rPr>
              <w:t>mm</w:t>
            </w:r>
            <w:r>
              <w:rPr>
                <w:rFonts w:hint="eastAsia"/>
                <w:color w:val="auto"/>
                <w:highlight w:val="none"/>
              </w:rPr>
              <w:t>）</w:t>
            </w:r>
          </w:p>
        </w:tc>
        <w:tc>
          <w:tcPr>
            <w:tcW w:w="1184" w:type="dxa"/>
            <w:noWrap w:val="0"/>
            <w:vAlign w:val="center"/>
          </w:tcPr>
          <w:p>
            <w:pPr>
              <w:rPr>
                <w:color w:val="auto"/>
                <w:highlight w:val="none"/>
              </w:rPr>
            </w:pPr>
            <w:r>
              <w:rPr>
                <w:color w:val="auto"/>
                <w:highlight w:val="none"/>
              </w:rPr>
              <w:t>50</w:t>
            </w:r>
          </w:p>
        </w:tc>
        <w:tc>
          <w:tcPr>
            <w:tcW w:w="1500" w:type="dxa"/>
            <w:noWrap w:val="0"/>
            <w:vAlign w:val="center"/>
          </w:tcPr>
          <w:p>
            <w:pPr>
              <w:rPr>
                <w:color w:val="auto"/>
                <w:highlight w:val="none"/>
              </w:rPr>
            </w:pPr>
            <w:r>
              <w:rPr>
                <w:color w:val="auto"/>
                <w:highlight w:val="none"/>
              </w:rPr>
              <w:t>75</w:t>
            </w:r>
          </w:p>
        </w:tc>
        <w:tc>
          <w:tcPr>
            <w:tcW w:w="1500" w:type="dxa"/>
            <w:noWrap w:val="0"/>
            <w:vAlign w:val="center"/>
          </w:tcPr>
          <w:p>
            <w:pPr>
              <w:rPr>
                <w:color w:val="auto"/>
                <w:highlight w:val="none"/>
              </w:rPr>
            </w:pPr>
            <w:r>
              <w:rPr>
                <w:color w:val="auto"/>
                <w:highlight w:val="none"/>
              </w:rPr>
              <w:t>110</w:t>
            </w:r>
          </w:p>
        </w:tc>
        <w:tc>
          <w:tcPr>
            <w:tcW w:w="1500" w:type="dxa"/>
            <w:noWrap w:val="0"/>
            <w:vAlign w:val="center"/>
          </w:tcPr>
          <w:p>
            <w:pPr>
              <w:rPr>
                <w:color w:val="auto"/>
                <w:highlight w:val="none"/>
              </w:rPr>
            </w:pPr>
            <w:r>
              <w:rPr>
                <w:color w:val="auto"/>
                <w:highlight w:val="none"/>
              </w:rPr>
              <w:t>125</w:t>
            </w:r>
          </w:p>
        </w:tc>
        <w:tc>
          <w:tcPr>
            <w:tcW w:w="2215" w:type="dxa"/>
            <w:noWrap w:val="0"/>
            <w:vAlign w:val="center"/>
          </w:tcPr>
          <w:p>
            <w:pPr>
              <w:rPr>
                <w:color w:val="auto"/>
                <w:highlight w:val="none"/>
              </w:rPr>
            </w:pPr>
            <w:r>
              <w:rPr>
                <w:color w:val="auto"/>
                <w:highlight w:val="none"/>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265" w:type="dxa"/>
            <w:noWrap w:val="0"/>
            <w:vAlign w:val="center"/>
          </w:tcPr>
          <w:p>
            <w:pPr>
              <w:rPr>
                <w:color w:val="auto"/>
                <w:highlight w:val="none"/>
              </w:rPr>
            </w:pPr>
            <w:r>
              <w:rPr>
                <w:rFonts w:hint="eastAsia"/>
                <w:color w:val="auto"/>
                <w:highlight w:val="none"/>
              </w:rPr>
              <w:t>立管</w:t>
            </w:r>
          </w:p>
        </w:tc>
        <w:tc>
          <w:tcPr>
            <w:tcW w:w="1184" w:type="dxa"/>
            <w:noWrap w:val="0"/>
            <w:vAlign w:val="center"/>
          </w:tcPr>
          <w:p>
            <w:pPr>
              <w:rPr>
                <w:color w:val="auto"/>
                <w:highlight w:val="none"/>
              </w:rPr>
            </w:pPr>
            <w:r>
              <w:rPr>
                <w:color w:val="auto"/>
                <w:highlight w:val="none"/>
              </w:rPr>
              <w:t>1.2</w:t>
            </w:r>
          </w:p>
        </w:tc>
        <w:tc>
          <w:tcPr>
            <w:tcW w:w="1500" w:type="dxa"/>
            <w:noWrap w:val="0"/>
            <w:vAlign w:val="center"/>
          </w:tcPr>
          <w:p>
            <w:pPr>
              <w:rPr>
                <w:color w:val="auto"/>
                <w:highlight w:val="none"/>
              </w:rPr>
            </w:pPr>
            <w:r>
              <w:rPr>
                <w:color w:val="auto"/>
                <w:highlight w:val="none"/>
              </w:rPr>
              <w:t>1.5</w:t>
            </w:r>
          </w:p>
        </w:tc>
        <w:tc>
          <w:tcPr>
            <w:tcW w:w="1500" w:type="dxa"/>
            <w:noWrap w:val="0"/>
            <w:vAlign w:val="center"/>
          </w:tcPr>
          <w:p>
            <w:pPr>
              <w:rPr>
                <w:color w:val="auto"/>
                <w:highlight w:val="none"/>
              </w:rPr>
            </w:pPr>
            <w:r>
              <w:rPr>
                <w:color w:val="auto"/>
                <w:highlight w:val="none"/>
              </w:rPr>
              <w:t>2.0</w:t>
            </w:r>
          </w:p>
        </w:tc>
        <w:tc>
          <w:tcPr>
            <w:tcW w:w="1500" w:type="dxa"/>
            <w:noWrap w:val="0"/>
            <w:vAlign w:val="center"/>
          </w:tcPr>
          <w:p>
            <w:pPr>
              <w:rPr>
                <w:color w:val="auto"/>
                <w:highlight w:val="none"/>
              </w:rPr>
            </w:pPr>
            <w:r>
              <w:rPr>
                <w:color w:val="auto"/>
                <w:highlight w:val="none"/>
              </w:rPr>
              <w:t>2.0</w:t>
            </w:r>
          </w:p>
        </w:tc>
        <w:tc>
          <w:tcPr>
            <w:tcW w:w="2215" w:type="dxa"/>
            <w:noWrap w:val="0"/>
            <w:vAlign w:val="center"/>
          </w:tcPr>
          <w:p>
            <w:pPr>
              <w:rPr>
                <w:color w:val="auto"/>
                <w:highlight w:val="none"/>
              </w:rPr>
            </w:pPr>
            <w:r>
              <w:rPr>
                <w:color w:val="auto"/>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265" w:type="dxa"/>
            <w:noWrap w:val="0"/>
            <w:vAlign w:val="center"/>
          </w:tcPr>
          <w:p>
            <w:pPr>
              <w:rPr>
                <w:color w:val="auto"/>
                <w:highlight w:val="none"/>
              </w:rPr>
            </w:pPr>
            <w:r>
              <w:rPr>
                <w:rFonts w:hint="eastAsia"/>
                <w:color w:val="auto"/>
                <w:highlight w:val="none"/>
              </w:rPr>
              <w:t>横管</w:t>
            </w:r>
          </w:p>
        </w:tc>
        <w:tc>
          <w:tcPr>
            <w:tcW w:w="1184" w:type="dxa"/>
            <w:noWrap w:val="0"/>
            <w:vAlign w:val="center"/>
          </w:tcPr>
          <w:p>
            <w:pPr>
              <w:rPr>
                <w:color w:val="auto"/>
                <w:highlight w:val="none"/>
              </w:rPr>
            </w:pPr>
            <w:r>
              <w:rPr>
                <w:color w:val="auto"/>
                <w:highlight w:val="none"/>
              </w:rPr>
              <w:t>0.5</w:t>
            </w:r>
          </w:p>
        </w:tc>
        <w:tc>
          <w:tcPr>
            <w:tcW w:w="1500" w:type="dxa"/>
            <w:noWrap w:val="0"/>
            <w:vAlign w:val="center"/>
          </w:tcPr>
          <w:p>
            <w:pPr>
              <w:rPr>
                <w:color w:val="auto"/>
                <w:highlight w:val="none"/>
              </w:rPr>
            </w:pPr>
            <w:r>
              <w:rPr>
                <w:color w:val="auto"/>
                <w:highlight w:val="none"/>
              </w:rPr>
              <w:t>0.75</w:t>
            </w:r>
          </w:p>
        </w:tc>
        <w:tc>
          <w:tcPr>
            <w:tcW w:w="1500" w:type="dxa"/>
            <w:noWrap w:val="0"/>
            <w:vAlign w:val="center"/>
          </w:tcPr>
          <w:p>
            <w:pPr>
              <w:rPr>
                <w:color w:val="auto"/>
                <w:highlight w:val="none"/>
              </w:rPr>
            </w:pPr>
            <w:r>
              <w:rPr>
                <w:color w:val="auto"/>
                <w:highlight w:val="none"/>
              </w:rPr>
              <w:t>1.10</w:t>
            </w:r>
          </w:p>
        </w:tc>
        <w:tc>
          <w:tcPr>
            <w:tcW w:w="1500" w:type="dxa"/>
            <w:noWrap w:val="0"/>
            <w:vAlign w:val="center"/>
          </w:tcPr>
          <w:p>
            <w:pPr>
              <w:rPr>
                <w:color w:val="auto"/>
                <w:highlight w:val="none"/>
              </w:rPr>
            </w:pPr>
            <w:r>
              <w:rPr>
                <w:color w:val="auto"/>
                <w:highlight w:val="none"/>
              </w:rPr>
              <w:t>1.30</w:t>
            </w:r>
          </w:p>
        </w:tc>
        <w:tc>
          <w:tcPr>
            <w:tcW w:w="2215" w:type="dxa"/>
            <w:noWrap w:val="0"/>
            <w:vAlign w:val="center"/>
          </w:tcPr>
          <w:p>
            <w:pPr>
              <w:rPr>
                <w:color w:val="auto"/>
                <w:highlight w:val="none"/>
              </w:rPr>
            </w:pPr>
            <w:r>
              <w:rPr>
                <w:color w:val="auto"/>
                <w:highlight w:val="none"/>
              </w:rPr>
              <w:t>1.6</w:t>
            </w:r>
          </w:p>
        </w:tc>
      </w:tr>
    </w:tbl>
    <w:p>
      <w:pPr>
        <w:rPr>
          <w:color w:val="auto"/>
          <w:highlight w:val="none"/>
        </w:rPr>
      </w:pPr>
    </w:p>
    <w:p>
      <w:pPr>
        <w:pStyle w:val="217"/>
        <w:rPr>
          <w:color w:val="auto"/>
          <w:highlight w:val="none"/>
        </w:rPr>
      </w:pPr>
      <w:r>
        <w:rPr>
          <w:rFonts w:hint="eastAsia"/>
          <w:color w:val="auto"/>
          <w:highlight w:val="none"/>
        </w:rPr>
        <w:t>表</w:t>
      </w:r>
      <w:r>
        <w:rPr>
          <w:color w:val="auto"/>
          <w:highlight w:val="none"/>
        </w:rPr>
        <w:t xml:space="preserve">5    </w:t>
      </w:r>
      <w:r>
        <w:rPr>
          <w:rFonts w:hint="eastAsia"/>
          <w:color w:val="auto"/>
          <w:highlight w:val="none"/>
        </w:rPr>
        <w:t>室内给水管道中心至墙面距离</w:t>
      </w:r>
    </w:p>
    <w:tbl>
      <w:tblPr>
        <w:tblStyle w:val="43"/>
        <w:tblW w:w="9150" w:type="dxa"/>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636"/>
        <w:gridCol w:w="636"/>
        <w:gridCol w:w="636"/>
        <w:gridCol w:w="636"/>
        <w:gridCol w:w="636"/>
        <w:gridCol w:w="636"/>
        <w:gridCol w:w="636"/>
        <w:gridCol w:w="636"/>
        <w:gridCol w:w="636"/>
        <w:gridCol w:w="636"/>
        <w:gridCol w:w="636"/>
        <w:gridCol w:w="636"/>
        <w:gridCol w:w="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1" w:type="dxa"/>
            <w:noWrap w:val="0"/>
            <w:vAlign w:val="center"/>
          </w:tcPr>
          <w:p>
            <w:pPr>
              <w:rPr>
                <w:color w:val="auto"/>
                <w:highlight w:val="none"/>
              </w:rPr>
            </w:pPr>
            <w:r>
              <w:rPr>
                <w:rFonts w:hint="eastAsia"/>
                <w:color w:val="auto"/>
                <w:highlight w:val="none"/>
              </w:rPr>
              <w:t>管径</w:t>
            </w:r>
            <w:r>
              <w:rPr>
                <w:color w:val="auto"/>
                <w:highlight w:val="none"/>
              </w:rPr>
              <w:t>(mm)</w:t>
            </w:r>
          </w:p>
        </w:tc>
        <w:tc>
          <w:tcPr>
            <w:tcW w:w="636" w:type="dxa"/>
            <w:noWrap w:val="0"/>
            <w:vAlign w:val="center"/>
          </w:tcPr>
          <w:p>
            <w:pPr>
              <w:rPr>
                <w:color w:val="auto"/>
                <w:highlight w:val="none"/>
              </w:rPr>
            </w:pPr>
            <w:r>
              <w:rPr>
                <w:color w:val="auto"/>
                <w:highlight w:val="none"/>
              </w:rPr>
              <w:t>15</w:t>
            </w:r>
          </w:p>
        </w:tc>
        <w:tc>
          <w:tcPr>
            <w:tcW w:w="636" w:type="dxa"/>
            <w:noWrap w:val="0"/>
            <w:vAlign w:val="center"/>
          </w:tcPr>
          <w:p>
            <w:pPr>
              <w:rPr>
                <w:color w:val="auto"/>
                <w:highlight w:val="none"/>
              </w:rPr>
            </w:pPr>
            <w:r>
              <w:rPr>
                <w:color w:val="auto"/>
                <w:highlight w:val="none"/>
              </w:rPr>
              <w:t>20</w:t>
            </w:r>
          </w:p>
        </w:tc>
        <w:tc>
          <w:tcPr>
            <w:tcW w:w="636" w:type="dxa"/>
            <w:noWrap w:val="0"/>
            <w:vAlign w:val="center"/>
          </w:tcPr>
          <w:p>
            <w:pPr>
              <w:rPr>
                <w:color w:val="auto"/>
                <w:highlight w:val="none"/>
              </w:rPr>
            </w:pPr>
            <w:r>
              <w:rPr>
                <w:color w:val="auto"/>
                <w:highlight w:val="none"/>
              </w:rPr>
              <w:t>25</w:t>
            </w:r>
          </w:p>
        </w:tc>
        <w:tc>
          <w:tcPr>
            <w:tcW w:w="636" w:type="dxa"/>
            <w:noWrap w:val="0"/>
            <w:vAlign w:val="center"/>
          </w:tcPr>
          <w:p>
            <w:pPr>
              <w:rPr>
                <w:color w:val="auto"/>
                <w:highlight w:val="none"/>
              </w:rPr>
            </w:pPr>
            <w:r>
              <w:rPr>
                <w:color w:val="auto"/>
                <w:highlight w:val="none"/>
              </w:rPr>
              <w:t>32</w:t>
            </w:r>
          </w:p>
        </w:tc>
        <w:tc>
          <w:tcPr>
            <w:tcW w:w="636" w:type="dxa"/>
            <w:noWrap w:val="0"/>
            <w:vAlign w:val="center"/>
          </w:tcPr>
          <w:p>
            <w:pPr>
              <w:rPr>
                <w:color w:val="auto"/>
                <w:highlight w:val="none"/>
              </w:rPr>
            </w:pPr>
            <w:r>
              <w:rPr>
                <w:color w:val="auto"/>
                <w:highlight w:val="none"/>
              </w:rPr>
              <w:t>40</w:t>
            </w:r>
          </w:p>
        </w:tc>
        <w:tc>
          <w:tcPr>
            <w:tcW w:w="636" w:type="dxa"/>
            <w:noWrap w:val="0"/>
            <w:vAlign w:val="center"/>
          </w:tcPr>
          <w:p>
            <w:pPr>
              <w:rPr>
                <w:color w:val="auto"/>
                <w:highlight w:val="none"/>
              </w:rPr>
            </w:pPr>
            <w:r>
              <w:rPr>
                <w:color w:val="auto"/>
                <w:highlight w:val="none"/>
              </w:rPr>
              <w:t>50</w:t>
            </w:r>
          </w:p>
        </w:tc>
        <w:tc>
          <w:tcPr>
            <w:tcW w:w="636" w:type="dxa"/>
            <w:noWrap w:val="0"/>
            <w:vAlign w:val="center"/>
          </w:tcPr>
          <w:p>
            <w:pPr>
              <w:rPr>
                <w:color w:val="auto"/>
                <w:highlight w:val="none"/>
              </w:rPr>
            </w:pPr>
            <w:r>
              <w:rPr>
                <w:color w:val="auto"/>
                <w:highlight w:val="none"/>
              </w:rPr>
              <w:t>70</w:t>
            </w:r>
          </w:p>
        </w:tc>
        <w:tc>
          <w:tcPr>
            <w:tcW w:w="636" w:type="dxa"/>
            <w:noWrap w:val="0"/>
            <w:vAlign w:val="center"/>
          </w:tcPr>
          <w:p>
            <w:pPr>
              <w:rPr>
                <w:color w:val="auto"/>
                <w:highlight w:val="none"/>
              </w:rPr>
            </w:pPr>
            <w:r>
              <w:rPr>
                <w:color w:val="auto"/>
                <w:highlight w:val="none"/>
              </w:rPr>
              <w:t>80</w:t>
            </w:r>
          </w:p>
        </w:tc>
        <w:tc>
          <w:tcPr>
            <w:tcW w:w="636" w:type="dxa"/>
            <w:noWrap w:val="0"/>
            <w:vAlign w:val="center"/>
          </w:tcPr>
          <w:p>
            <w:pPr>
              <w:rPr>
                <w:color w:val="auto"/>
                <w:highlight w:val="none"/>
              </w:rPr>
            </w:pPr>
            <w:r>
              <w:rPr>
                <w:color w:val="auto"/>
                <w:highlight w:val="none"/>
              </w:rPr>
              <w:t>100</w:t>
            </w:r>
          </w:p>
        </w:tc>
        <w:tc>
          <w:tcPr>
            <w:tcW w:w="636" w:type="dxa"/>
            <w:noWrap w:val="0"/>
            <w:vAlign w:val="center"/>
          </w:tcPr>
          <w:p>
            <w:pPr>
              <w:rPr>
                <w:color w:val="auto"/>
                <w:highlight w:val="none"/>
              </w:rPr>
            </w:pPr>
            <w:r>
              <w:rPr>
                <w:color w:val="auto"/>
                <w:highlight w:val="none"/>
              </w:rPr>
              <w:t>125</w:t>
            </w:r>
          </w:p>
        </w:tc>
        <w:tc>
          <w:tcPr>
            <w:tcW w:w="636" w:type="dxa"/>
            <w:noWrap w:val="0"/>
            <w:vAlign w:val="center"/>
          </w:tcPr>
          <w:p>
            <w:pPr>
              <w:rPr>
                <w:color w:val="auto"/>
                <w:highlight w:val="none"/>
              </w:rPr>
            </w:pPr>
            <w:r>
              <w:rPr>
                <w:color w:val="auto"/>
                <w:highlight w:val="none"/>
              </w:rPr>
              <w:t>150</w:t>
            </w:r>
          </w:p>
        </w:tc>
        <w:tc>
          <w:tcPr>
            <w:tcW w:w="636" w:type="dxa"/>
            <w:noWrap w:val="0"/>
            <w:vAlign w:val="center"/>
          </w:tcPr>
          <w:p>
            <w:pPr>
              <w:rPr>
                <w:color w:val="auto"/>
                <w:highlight w:val="none"/>
              </w:rPr>
            </w:pPr>
            <w:r>
              <w:rPr>
                <w:color w:val="auto"/>
                <w:highlight w:val="none"/>
              </w:rPr>
              <w:t>200</w:t>
            </w:r>
          </w:p>
        </w:tc>
        <w:tc>
          <w:tcPr>
            <w:tcW w:w="647" w:type="dxa"/>
            <w:noWrap w:val="0"/>
            <w:vAlign w:val="center"/>
          </w:tcPr>
          <w:p>
            <w:pPr>
              <w:rPr>
                <w:color w:val="auto"/>
                <w:highlight w:val="none"/>
              </w:rPr>
            </w:pPr>
            <w:r>
              <w:rPr>
                <w:color w:val="auto"/>
                <w:highlight w:val="none"/>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1" w:type="dxa"/>
            <w:noWrap w:val="0"/>
            <w:vAlign w:val="center"/>
          </w:tcPr>
          <w:p>
            <w:pPr>
              <w:rPr>
                <w:color w:val="auto"/>
                <w:highlight w:val="none"/>
              </w:rPr>
            </w:pPr>
            <w:r>
              <w:rPr>
                <w:rFonts w:hint="eastAsia"/>
                <w:color w:val="auto"/>
                <w:highlight w:val="none"/>
              </w:rPr>
              <w:t>距离</w:t>
            </w:r>
            <w:r>
              <w:rPr>
                <w:color w:val="auto"/>
                <w:highlight w:val="none"/>
              </w:rPr>
              <w:t>(mm)</w:t>
            </w:r>
          </w:p>
        </w:tc>
        <w:tc>
          <w:tcPr>
            <w:tcW w:w="636" w:type="dxa"/>
            <w:noWrap w:val="0"/>
            <w:vAlign w:val="center"/>
          </w:tcPr>
          <w:p>
            <w:pPr>
              <w:rPr>
                <w:color w:val="auto"/>
                <w:highlight w:val="none"/>
              </w:rPr>
            </w:pPr>
            <w:r>
              <w:rPr>
                <w:color w:val="auto"/>
                <w:highlight w:val="none"/>
              </w:rPr>
              <w:t>90</w:t>
            </w:r>
          </w:p>
        </w:tc>
        <w:tc>
          <w:tcPr>
            <w:tcW w:w="636" w:type="dxa"/>
            <w:noWrap w:val="0"/>
            <w:vAlign w:val="center"/>
          </w:tcPr>
          <w:p>
            <w:pPr>
              <w:rPr>
                <w:color w:val="auto"/>
                <w:highlight w:val="none"/>
              </w:rPr>
            </w:pPr>
            <w:r>
              <w:rPr>
                <w:color w:val="auto"/>
                <w:highlight w:val="none"/>
              </w:rPr>
              <w:t>100</w:t>
            </w:r>
          </w:p>
        </w:tc>
        <w:tc>
          <w:tcPr>
            <w:tcW w:w="636" w:type="dxa"/>
            <w:noWrap w:val="0"/>
            <w:vAlign w:val="center"/>
          </w:tcPr>
          <w:p>
            <w:pPr>
              <w:rPr>
                <w:color w:val="auto"/>
                <w:highlight w:val="none"/>
              </w:rPr>
            </w:pPr>
            <w:r>
              <w:rPr>
                <w:color w:val="auto"/>
                <w:highlight w:val="none"/>
              </w:rPr>
              <w:t>110</w:t>
            </w:r>
          </w:p>
        </w:tc>
        <w:tc>
          <w:tcPr>
            <w:tcW w:w="636" w:type="dxa"/>
            <w:noWrap w:val="0"/>
            <w:vAlign w:val="center"/>
          </w:tcPr>
          <w:p>
            <w:pPr>
              <w:rPr>
                <w:color w:val="auto"/>
                <w:highlight w:val="none"/>
              </w:rPr>
            </w:pPr>
            <w:r>
              <w:rPr>
                <w:color w:val="auto"/>
                <w:highlight w:val="none"/>
              </w:rPr>
              <w:t>110</w:t>
            </w:r>
          </w:p>
        </w:tc>
        <w:tc>
          <w:tcPr>
            <w:tcW w:w="636" w:type="dxa"/>
            <w:noWrap w:val="0"/>
            <w:vAlign w:val="center"/>
          </w:tcPr>
          <w:p>
            <w:pPr>
              <w:rPr>
                <w:color w:val="auto"/>
                <w:highlight w:val="none"/>
              </w:rPr>
            </w:pPr>
            <w:r>
              <w:rPr>
                <w:color w:val="auto"/>
                <w:highlight w:val="none"/>
              </w:rPr>
              <w:t>120</w:t>
            </w:r>
          </w:p>
        </w:tc>
        <w:tc>
          <w:tcPr>
            <w:tcW w:w="636" w:type="dxa"/>
            <w:noWrap w:val="0"/>
            <w:vAlign w:val="center"/>
          </w:tcPr>
          <w:p>
            <w:pPr>
              <w:rPr>
                <w:color w:val="auto"/>
                <w:highlight w:val="none"/>
              </w:rPr>
            </w:pPr>
            <w:r>
              <w:rPr>
                <w:color w:val="auto"/>
                <w:highlight w:val="none"/>
              </w:rPr>
              <w:t>120</w:t>
            </w:r>
          </w:p>
        </w:tc>
        <w:tc>
          <w:tcPr>
            <w:tcW w:w="636" w:type="dxa"/>
            <w:noWrap w:val="0"/>
            <w:vAlign w:val="center"/>
          </w:tcPr>
          <w:p>
            <w:pPr>
              <w:rPr>
                <w:color w:val="auto"/>
                <w:highlight w:val="none"/>
              </w:rPr>
            </w:pPr>
            <w:r>
              <w:rPr>
                <w:color w:val="auto"/>
                <w:highlight w:val="none"/>
              </w:rPr>
              <w:t>130</w:t>
            </w:r>
          </w:p>
        </w:tc>
        <w:tc>
          <w:tcPr>
            <w:tcW w:w="636" w:type="dxa"/>
            <w:noWrap w:val="0"/>
            <w:vAlign w:val="center"/>
          </w:tcPr>
          <w:p>
            <w:pPr>
              <w:rPr>
                <w:color w:val="auto"/>
                <w:highlight w:val="none"/>
              </w:rPr>
            </w:pPr>
            <w:r>
              <w:rPr>
                <w:color w:val="auto"/>
                <w:highlight w:val="none"/>
              </w:rPr>
              <w:t>140</w:t>
            </w:r>
          </w:p>
        </w:tc>
        <w:tc>
          <w:tcPr>
            <w:tcW w:w="636" w:type="dxa"/>
            <w:noWrap w:val="0"/>
            <w:vAlign w:val="center"/>
          </w:tcPr>
          <w:p>
            <w:pPr>
              <w:rPr>
                <w:color w:val="auto"/>
                <w:highlight w:val="none"/>
              </w:rPr>
            </w:pPr>
            <w:r>
              <w:rPr>
                <w:color w:val="auto"/>
                <w:highlight w:val="none"/>
              </w:rPr>
              <w:t>160</w:t>
            </w:r>
          </w:p>
        </w:tc>
        <w:tc>
          <w:tcPr>
            <w:tcW w:w="636" w:type="dxa"/>
            <w:noWrap w:val="0"/>
            <w:vAlign w:val="center"/>
          </w:tcPr>
          <w:p>
            <w:pPr>
              <w:rPr>
                <w:color w:val="auto"/>
                <w:highlight w:val="none"/>
              </w:rPr>
            </w:pPr>
            <w:r>
              <w:rPr>
                <w:color w:val="auto"/>
                <w:highlight w:val="none"/>
              </w:rPr>
              <w:t>170</w:t>
            </w:r>
          </w:p>
        </w:tc>
        <w:tc>
          <w:tcPr>
            <w:tcW w:w="636" w:type="dxa"/>
            <w:noWrap w:val="0"/>
            <w:vAlign w:val="center"/>
          </w:tcPr>
          <w:p>
            <w:pPr>
              <w:rPr>
                <w:color w:val="auto"/>
                <w:highlight w:val="none"/>
              </w:rPr>
            </w:pPr>
            <w:r>
              <w:rPr>
                <w:color w:val="auto"/>
                <w:highlight w:val="none"/>
              </w:rPr>
              <w:t>180</w:t>
            </w:r>
          </w:p>
        </w:tc>
        <w:tc>
          <w:tcPr>
            <w:tcW w:w="636" w:type="dxa"/>
            <w:noWrap w:val="0"/>
            <w:vAlign w:val="center"/>
          </w:tcPr>
          <w:p>
            <w:pPr>
              <w:rPr>
                <w:color w:val="auto"/>
                <w:highlight w:val="none"/>
              </w:rPr>
            </w:pPr>
            <w:r>
              <w:rPr>
                <w:color w:val="auto"/>
                <w:highlight w:val="none"/>
              </w:rPr>
              <w:t>210</w:t>
            </w:r>
          </w:p>
        </w:tc>
        <w:tc>
          <w:tcPr>
            <w:tcW w:w="647" w:type="dxa"/>
            <w:noWrap w:val="0"/>
            <w:vAlign w:val="center"/>
          </w:tcPr>
          <w:p>
            <w:pPr>
              <w:rPr>
                <w:color w:val="auto"/>
                <w:highlight w:val="none"/>
              </w:rPr>
            </w:pPr>
            <w:r>
              <w:rPr>
                <w:color w:val="auto"/>
                <w:highlight w:val="none"/>
              </w:rPr>
              <w:t>240</w:t>
            </w:r>
          </w:p>
        </w:tc>
      </w:tr>
    </w:tbl>
    <w:p>
      <w:pPr>
        <w:rPr>
          <w:color w:val="auto"/>
          <w:highlight w:val="none"/>
        </w:rPr>
      </w:pPr>
    </w:p>
    <w:p>
      <w:pPr>
        <w:pStyle w:val="172"/>
        <w:rPr>
          <w:color w:val="auto"/>
          <w:highlight w:val="none"/>
        </w:rPr>
      </w:pPr>
      <w:r>
        <w:rPr>
          <w:color w:val="auto"/>
          <w:highlight w:val="none"/>
        </w:rPr>
        <w:t xml:space="preserve">3.2.6 </w:t>
      </w:r>
      <w:r>
        <w:rPr>
          <w:rFonts w:hint="eastAsia"/>
          <w:color w:val="auto"/>
          <w:highlight w:val="none"/>
        </w:rPr>
        <w:t>管道套管</w:t>
      </w:r>
    </w:p>
    <w:p>
      <w:pPr>
        <w:pStyle w:val="217"/>
        <w:rPr>
          <w:color w:val="auto"/>
          <w:highlight w:val="none"/>
        </w:rPr>
      </w:pPr>
      <w:r>
        <w:rPr>
          <w:color w:val="auto"/>
          <w:highlight w:val="none"/>
        </w:rPr>
        <w:t>1.</w:t>
      </w:r>
      <w:r>
        <w:rPr>
          <w:rFonts w:hint="eastAsia"/>
          <w:color w:val="auto"/>
          <w:highlight w:val="none"/>
        </w:rPr>
        <w:t>在管道穿越墙壁和楼板处须设置镀锌钢制套管。套管的尺寸应使管道能在套管中自由移动外，还须足够供填塞防火材料，而套管应高出楼板完成面最少</w:t>
      </w:r>
      <w:r>
        <w:rPr>
          <w:color w:val="auto"/>
          <w:highlight w:val="none"/>
        </w:rPr>
        <w:t>6</w:t>
      </w:r>
      <w:r>
        <w:rPr>
          <w:rFonts w:hint="eastAsia"/>
          <w:color w:val="auto"/>
          <w:highlight w:val="none"/>
        </w:rPr>
        <w:t>毫米。管道套管不应当作为支架使用。</w:t>
      </w:r>
    </w:p>
    <w:p>
      <w:pPr>
        <w:pStyle w:val="217"/>
        <w:rPr>
          <w:color w:val="auto"/>
          <w:highlight w:val="none"/>
        </w:rPr>
      </w:pPr>
      <w:r>
        <w:rPr>
          <w:color w:val="auto"/>
          <w:highlight w:val="none"/>
        </w:rPr>
        <w:t>2.</w:t>
      </w:r>
      <w:r>
        <w:rPr>
          <w:rFonts w:hint="eastAsia"/>
          <w:color w:val="auto"/>
          <w:highlight w:val="none"/>
        </w:rPr>
        <w:t>在管道与套管空隙之间应采用玻璃纤维类防火物料完全填塞。管道套管和管道保温之间的空隙必须用不硬化的软防水树胶复合物完全填塞，以保证气密。假若管道及套管穿过防火墙或楼板时，空隙必须采用与防火墙或楼板相同耐火极限的柔软填料完全填塞，在套管两端则用非硬性胶粘剂填塞。</w:t>
      </w:r>
    </w:p>
    <w:p>
      <w:pPr>
        <w:pStyle w:val="217"/>
        <w:rPr>
          <w:color w:val="auto"/>
          <w:highlight w:val="none"/>
        </w:rPr>
      </w:pPr>
      <w:r>
        <w:rPr>
          <w:color w:val="auto"/>
          <w:highlight w:val="none"/>
        </w:rPr>
        <w:t>3.</w:t>
      </w:r>
      <w:r>
        <w:rPr>
          <w:rFonts w:hint="eastAsia"/>
          <w:color w:val="auto"/>
          <w:highlight w:val="none"/>
        </w:rPr>
        <w:t>注意在每个楼层的垂直管槽井内如需设楼板，管道穿越管槽井楼板处亦需设置套管。</w:t>
      </w:r>
    </w:p>
    <w:p>
      <w:pPr>
        <w:pStyle w:val="172"/>
        <w:rPr>
          <w:color w:val="auto"/>
          <w:highlight w:val="none"/>
        </w:rPr>
      </w:pPr>
      <w:r>
        <w:rPr>
          <w:color w:val="auto"/>
          <w:highlight w:val="none"/>
        </w:rPr>
        <w:t xml:space="preserve">3.2.7 </w:t>
      </w:r>
      <w:r>
        <w:rPr>
          <w:rFonts w:hint="eastAsia"/>
          <w:color w:val="auto"/>
          <w:highlight w:val="none"/>
        </w:rPr>
        <w:t>管道导向支架</w:t>
      </w:r>
    </w:p>
    <w:p>
      <w:pPr>
        <w:pStyle w:val="217"/>
        <w:rPr>
          <w:color w:val="auto"/>
          <w:highlight w:val="none"/>
        </w:rPr>
      </w:pPr>
      <w:r>
        <w:rPr>
          <w:rFonts w:hint="eastAsia"/>
          <w:color w:val="auto"/>
          <w:highlight w:val="none"/>
        </w:rPr>
        <w:t>所有水平和垂直的管道必须在适当位置提供管道导向支架，使能有效地控制因热胀冷缩缩产生的移动和使膨胀管环及伸缩器适当地操作。管道导向支架的布置和间距必须根据伸缩器制造商的建议设置</w:t>
      </w:r>
    </w:p>
    <w:p>
      <w:pPr>
        <w:pStyle w:val="172"/>
        <w:rPr>
          <w:color w:val="auto"/>
          <w:highlight w:val="none"/>
        </w:rPr>
      </w:pPr>
      <w:r>
        <w:rPr>
          <w:color w:val="auto"/>
          <w:highlight w:val="none"/>
        </w:rPr>
        <w:t xml:space="preserve">3.2.8 </w:t>
      </w:r>
      <w:r>
        <w:rPr>
          <w:rFonts w:hint="eastAsia"/>
          <w:color w:val="auto"/>
          <w:highlight w:val="none"/>
        </w:rPr>
        <w:t>管道固定支撑</w:t>
      </w:r>
    </w:p>
    <w:p>
      <w:pPr>
        <w:pStyle w:val="217"/>
        <w:rPr>
          <w:color w:val="auto"/>
          <w:highlight w:val="none"/>
        </w:rPr>
      </w:pPr>
      <w:r>
        <w:rPr>
          <w:color w:val="auto"/>
          <w:highlight w:val="none"/>
        </w:rPr>
        <w:t>1.</w:t>
      </w:r>
      <w:r>
        <w:rPr>
          <w:rFonts w:hint="eastAsia"/>
          <w:color w:val="auto"/>
          <w:highlight w:val="none"/>
        </w:rPr>
        <w:t>管道固定支撑应设于管道系统改变方向处、伸缩器以及膨胀管环处，以便吸收因管道膨胀或收缩和内部压力所引至的应力，并把这些应力传递到结构上。</w:t>
      </w:r>
    </w:p>
    <w:p>
      <w:pPr>
        <w:pStyle w:val="217"/>
        <w:rPr>
          <w:color w:val="auto"/>
          <w:highlight w:val="none"/>
        </w:rPr>
      </w:pPr>
      <w:r>
        <w:rPr>
          <w:color w:val="auto"/>
          <w:highlight w:val="none"/>
        </w:rPr>
        <w:t>2.</w:t>
      </w:r>
      <w:r>
        <w:rPr>
          <w:rFonts w:hint="eastAsia"/>
          <w:color w:val="auto"/>
          <w:highlight w:val="none"/>
        </w:rPr>
        <w:t>管道固定支撑均应能承受进行水压测试所产生的较高推力，</w:t>
      </w:r>
    </w:p>
    <w:p>
      <w:pPr>
        <w:pStyle w:val="217"/>
        <w:rPr>
          <w:color w:val="auto"/>
          <w:highlight w:val="none"/>
        </w:rPr>
      </w:pPr>
      <w:r>
        <w:rPr>
          <w:color w:val="auto"/>
          <w:highlight w:val="none"/>
        </w:rPr>
        <w:t>3.</w:t>
      </w:r>
      <w:r>
        <w:rPr>
          <w:rFonts w:hint="eastAsia"/>
          <w:color w:val="auto"/>
          <w:highlight w:val="none"/>
        </w:rPr>
        <w:t>固定支撑的构造细节和尺寸须提供审批。</w:t>
      </w:r>
    </w:p>
    <w:p>
      <w:pPr>
        <w:pStyle w:val="172"/>
        <w:rPr>
          <w:color w:val="auto"/>
          <w:highlight w:val="none"/>
        </w:rPr>
      </w:pPr>
      <w:r>
        <w:rPr>
          <w:color w:val="auto"/>
          <w:highlight w:val="none"/>
        </w:rPr>
        <w:t xml:space="preserve">3.2.9 </w:t>
      </w:r>
      <w:r>
        <w:rPr>
          <w:rFonts w:hint="eastAsia"/>
          <w:color w:val="auto"/>
          <w:highlight w:val="none"/>
        </w:rPr>
        <w:t>清扫口</w:t>
      </w:r>
    </w:p>
    <w:p>
      <w:pPr>
        <w:pStyle w:val="217"/>
        <w:rPr>
          <w:color w:val="auto"/>
          <w:highlight w:val="none"/>
        </w:rPr>
      </w:pPr>
      <w:r>
        <w:rPr>
          <w:color w:val="auto"/>
          <w:highlight w:val="none"/>
        </w:rPr>
        <w:t>1.</w:t>
      </w:r>
      <w:r>
        <w:rPr>
          <w:rFonts w:hint="eastAsia"/>
          <w:color w:val="auto"/>
          <w:highlight w:val="none"/>
        </w:rPr>
        <w:t>在雨水管、污废水管的最低位置和每个接合处和管道转弯位置等应设清扫口。</w:t>
      </w:r>
    </w:p>
    <w:p>
      <w:pPr>
        <w:pStyle w:val="217"/>
        <w:rPr>
          <w:color w:val="auto"/>
          <w:highlight w:val="none"/>
        </w:rPr>
      </w:pPr>
      <w:r>
        <w:rPr>
          <w:color w:val="auto"/>
          <w:highlight w:val="none"/>
        </w:rPr>
        <w:t>2.</w:t>
      </w:r>
      <w:r>
        <w:rPr>
          <w:rFonts w:hint="eastAsia"/>
          <w:color w:val="auto"/>
          <w:highlight w:val="none"/>
        </w:rPr>
        <w:t>铸铁管的清扫口应符合国标或等同英国的标准的椭型清扫盖掩设计。清扫盖掩应用橡胶垫圈密封，同时并用最少两口青铜螺栓牢固地销紧。</w:t>
      </w:r>
    </w:p>
    <w:p>
      <w:pPr>
        <w:pStyle w:val="217"/>
        <w:rPr>
          <w:color w:val="auto"/>
          <w:highlight w:val="none"/>
        </w:rPr>
      </w:pPr>
      <w:r>
        <w:rPr>
          <w:color w:val="auto"/>
          <w:highlight w:val="none"/>
        </w:rPr>
        <w:t>3.</w:t>
      </w:r>
      <w:r>
        <w:rPr>
          <w:rFonts w:hint="eastAsia"/>
          <w:color w:val="auto"/>
          <w:highlight w:val="none"/>
        </w:rPr>
        <w:t>其它管道的清扫按原厂配件配置。无原厂配件的清扫口，应用三通代替。</w:t>
      </w:r>
    </w:p>
    <w:p>
      <w:pPr>
        <w:pStyle w:val="113"/>
        <w:spacing w:before="120" w:after="120"/>
        <w:outlineLvl w:val="2"/>
        <w:rPr>
          <w:color w:val="auto"/>
          <w:highlight w:val="none"/>
        </w:rPr>
      </w:pPr>
      <w:bookmarkStart w:id="7853" w:name="_Toc66634443"/>
      <w:bookmarkStart w:id="7854" w:name="_Toc69114184"/>
      <w:bookmarkStart w:id="7855" w:name="_Toc66890438"/>
      <w:bookmarkStart w:id="7856" w:name="_Toc505345756"/>
      <w:r>
        <w:rPr>
          <w:color w:val="auto"/>
          <w:highlight w:val="none"/>
        </w:rPr>
        <w:t xml:space="preserve">3.3 </w:t>
      </w:r>
      <w:r>
        <w:rPr>
          <w:rFonts w:hint="eastAsia"/>
          <w:color w:val="auto"/>
          <w:highlight w:val="none"/>
        </w:rPr>
        <w:t>实施</w:t>
      </w:r>
      <w:bookmarkEnd w:id="7853"/>
      <w:bookmarkEnd w:id="7854"/>
      <w:bookmarkEnd w:id="7855"/>
      <w:bookmarkEnd w:id="7856"/>
    </w:p>
    <w:p>
      <w:pPr>
        <w:pStyle w:val="172"/>
        <w:rPr>
          <w:color w:val="auto"/>
          <w:highlight w:val="none"/>
        </w:rPr>
      </w:pPr>
      <w:r>
        <w:rPr>
          <w:color w:val="auto"/>
          <w:highlight w:val="none"/>
        </w:rPr>
        <w:t xml:space="preserve">3.3.1 </w:t>
      </w:r>
      <w:r>
        <w:rPr>
          <w:rFonts w:hint="eastAsia"/>
          <w:color w:val="auto"/>
          <w:highlight w:val="none"/>
        </w:rPr>
        <w:t>管道安装</w:t>
      </w:r>
    </w:p>
    <w:p>
      <w:pPr>
        <w:pStyle w:val="217"/>
        <w:rPr>
          <w:color w:val="auto"/>
          <w:highlight w:val="none"/>
        </w:rPr>
      </w:pPr>
      <w:r>
        <w:rPr>
          <w:color w:val="auto"/>
          <w:highlight w:val="none"/>
        </w:rPr>
        <w:t>1.</w:t>
      </w:r>
      <w:r>
        <w:rPr>
          <w:rFonts w:hint="eastAsia"/>
          <w:color w:val="auto"/>
          <w:highlight w:val="none"/>
        </w:rPr>
        <w:t>于每天施工和施工后应对管道提供适当的保护以防湿气或其它杂物污染整个系统或堵塞管道。</w:t>
      </w:r>
    </w:p>
    <w:p>
      <w:pPr>
        <w:pStyle w:val="217"/>
        <w:rPr>
          <w:color w:val="auto"/>
          <w:highlight w:val="none"/>
        </w:rPr>
      </w:pPr>
      <w:r>
        <w:rPr>
          <w:color w:val="auto"/>
          <w:highlight w:val="none"/>
        </w:rPr>
        <w:t>2.</w:t>
      </w:r>
      <w:r>
        <w:rPr>
          <w:rFonts w:hint="eastAsia"/>
          <w:color w:val="auto"/>
          <w:highlight w:val="none"/>
        </w:rPr>
        <w:t>管道安装应与墙壁平行，并保持室内净空要求和保持人行通道畅通。</w:t>
      </w:r>
    </w:p>
    <w:p>
      <w:pPr>
        <w:pStyle w:val="217"/>
        <w:rPr>
          <w:color w:val="auto"/>
          <w:highlight w:val="none"/>
        </w:rPr>
      </w:pPr>
      <w:r>
        <w:rPr>
          <w:color w:val="auto"/>
          <w:highlight w:val="none"/>
        </w:rPr>
        <w:t>3.</w:t>
      </w:r>
      <w:r>
        <w:rPr>
          <w:rFonts w:hint="eastAsia"/>
          <w:color w:val="auto"/>
          <w:highlight w:val="none"/>
        </w:rPr>
        <w:t>管件的切割应平滑和精巧且不损坏管件，切割管道应采用割管器，管子端部应铰口以去除毛口。</w:t>
      </w:r>
    </w:p>
    <w:p>
      <w:pPr>
        <w:pStyle w:val="217"/>
        <w:rPr>
          <w:color w:val="auto"/>
          <w:highlight w:val="none"/>
        </w:rPr>
      </w:pPr>
      <w:r>
        <w:rPr>
          <w:color w:val="auto"/>
          <w:highlight w:val="none"/>
        </w:rPr>
        <w:t>4.</w:t>
      </w:r>
      <w:r>
        <w:rPr>
          <w:rFonts w:hint="eastAsia"/>
          <w:color w:val="auto"/>
          <w:highlight w:val="none"/>
        </w:rPr>
        <w:t>管道支架应设于建筑结构上，在结构构架之间如需要安装支架，则须提供适当的金属构架。</w:t>
      </w:r>
    </w:p>
    <w:p>
      <w:pPr>
        <w:pStyle w:val="217"/>
        <w:rPr>
          <w:color w:val="auto"/>
          <w:highlight w:val="none"/>
        </w:rPr>
      </w:pPr>
      <w:r>
        <w:rPr>
          <w:color w:val="auto"/>
          <w:highlight w:val="none"/>
        </w:rPr>
        <w:t>5.</w:t>
      </w:r>
      <w:r>
        <w:rPr>
          <w:rFonts w:hint="eastAsia"/>
          <w:color w:val="auto"/>
          <w:highlight w:val="none"/>
        </w:rPr>
        <w:t>提供足够的坡度以保证系统能适当地排水和排气，在预留管道清扫口时须保证清扫口前方无障碍。</w:t>
      </w:r>
    </w:p>
    <w:p>
      <w:pPr>
        <w:pStyle w:val="217"/>
        <w:rPr>
          <w:color w:val="auto"/>
          <w:highlight w:val="none"/>
        </w:rPr>
      </w:pPr>
      <w:r>
        <w:rPr>
          <w:color w:val="auto"/>
          <w:highlight w:val="none"/>
        </w:rPr>
        <w:t>6.</w:t>
      </w:r>
      <w:r>
        <w:rPr>
          <w:rFonts w:hint="eastAsia"/>
          <w:color w:val="auto"/>
          <w:highlight w:val="none"/>
        </w:rPr>
        <w:t>丝扣接口的管道应采用适当的楔削螺纹绞合切割方法，接口必须用氧化铅与甘油的粘稠混合物或用聚四氟乙烯带，或其它有效的丝扣接口复合物加在阳螺纹上以进行接合。</w:t>
      </w:r>
    </w:p>
    <w:p>
      <w:pPr>
        <w:pStyle w:val="217"/>
        <w:rPr>
          <w:color w:val="auto"/>
          <w:highlight w:val="none"/>
        </w:rPr>
      </w:pPr>
      <w:r>
        <w:rPr>
          <w:color w:val="auto"/>
          <w:highlight w:val="none"/>
        </w:rPr>
        <w:t>7.</w:t>
      </w:r>
      <w:r>
        <w:rPr>
          <w:rFonts w:hint="eastAsia"/>
          <w:color w:val="auto"/>
          <w:highlight w:val="none"/>
        </w:rPr>
        <w:t>管道接头应按制造厂的建议安装。</w:t>
      </w:r>
    </w:p>
    <w:p>
      <w:pPr>
        <w:pStyle w:val="217"/>
        <w:rPr>
          <w:color w:val="auto"/>
          <w:highlight w:val="none"/>
        </w:rPr>
      </w:pPr>
      <w:r>
        <w:rPr>
          <w:color w:val="auto"/>
          <w:highlight w:val="none"/>
        </w:rPr>
        <w:t>8.</w:t>
      </w:r>
      <w:r>
        <w:rPr>
          <w:rFonts w:hint="eastAsia"/>
          <w:color w:val="auto"/>
          <w:highlight w:val="none"/>
        </w:rPr>
        <w:t>于系统每一管段的低位及适当位置端应设置排水阀。</w:t>
      </w:r>
    </w:p>
    <w:p>
      <w:pPr>
        <w:pStyle w:val="217"/>
        <w:rPr>
          <w:color w:val="auto"/>
          <w:highlight w:val="none"/>
        </w:rPr>
      </w:pPr>
      <w:r>
        <w:rPr>
          <w:color w:val="auto"/>
          <w:highlight w:val="none"/>
        </w:rPr>
        <w:t>9.</w:t>
      </w:r>
      <w:r>
        <w:rPr>
          <w:rFonts w:hint="eastAsia"/>
          <w:color w:val="auto"/>
          <w:highlight w:val="none"/>
        </w:rPr>
        <w:t>于系统的高位及适当位置设置自动排气阀，终端泄放管应位于地台完成面之上</w:t>
      </w:r>
      <w:r>
        <w:rPr>
          <w:color w:val="auto"/>
          <w:highlight w:val="none"/>
        </w:rPr>
        <w:t>150</w:t>
      </w:r>
      <w:r>
        <w:rPr>
          <w:rFonts w:hint="eastAsia"/>
          <w:color w:val="auto"/>
          <w:highlight w:val="none"/>
        </w:rPr>
        <w:t>毫米。</w:t>
      </w:r>
    </w:p>
    <w:p>
      <w:pPr>
        <w:pStyle w:val="217"/>
        <w:rPr>
          <w:color w:val="auto"/>
          <w:highlight w:val="none"/>
        </w:rPr>
      </w:pPr>
      <w:r>
        <w:rPr>
          <w:color w:val="auto"/>
          <w:highlight w:val="none"/>
        </w:rPr>
        <w:t>10.</w:t>
      </w:r>
      <w:r>
        <w:rPr>
          <w:rFonts w:hint="eastAsia"/>
          <w:color w:val="auto"/>
          <w:highlight w:val="none"/>
        </w:rPr>
        <w:t>法兰和接合管应对准端面。法兰接口之间须设置认可使用的垫片，安装应平整和密气。</w:t>
      </w:r>
    </w:p>
    <w:p>
      <w:pPr>
        <w:pStyle w:val="217"/>
        <w:rPr>
          <w:color w:val="auto"/>
          <w:highlight w:val="none"/>
        </w:rPr>
      </w:pPr>
      <w:r>
        <w:rPr>
          <w:color w:val="auto"/>
          <w:highlight w:val="none"/>
        </w:rPr>
        <w:t>11.</w:t>
      </w:r>
      <w:r>
        <w:rPr>
          <w:rFonts w:hint="eastAsia"/>
          <w:color w:val="auto"/>
          <w:highlight w:val="none"/>
        </w:rPr>
        <w:t>水平安装的管道上的阀门，其阀杆应装成水平或垂直向上。</w:t>
      </w:r>
    </w:p>
    <w:p>
      <w:pPr>
        <w:pStyle w:val="217"/>
        <w:rPr>
          <w:color w:val="auto"/>
          <w:highlight w:val="none"/>
        </w:rPr>
      </w:pPr>
      <w:r>
        <w:rPr>
          <w:color w:val="auto"/>
          <w:highlight w:val="none"/>
        </w:rPr>
        <w:t>12.</w:t>
      </w:r>
      <w:r>
        <w:rPr>
          <w:rFonts w:hint="eastAsia"/>
          <w:color w:val="auto"/>
          <w:highlight w:val="none"/>
        </w:rPr>
        <w:t>不论有否指明，需要进行排水、隔离或分段的位置必须设置闸阀或蝶阀。每个阀门须加上标签以便识别。</w:t>
      </w:r>
    </w:p>
    <w:p>
      <w:pPr>
        <w:pStyle w:val="217"/>
        <w:rPr>
          <w:color w:val="auto"/>
          <w:highlight w:val="none"/>
        </w:rPr>
      </w:pPr>
      <w:r>
        <w:rPr>
          <w:color w:val="auto"/>
          <w:highlight w:val="none"/>
        </w:rPr>
        <w:t>13.</w:t>
      </w:r>
      <w:r>
        <w:rPr>
          <w:rFonts w:hint="eastAsia"/>
          <w:color w:val="auto"/>
          <w:highlight w:val="none"/>
        </w:rPr>
        <w:t>与设备连接的管道应独立地支承，使设备不致因管道重量或膨胀而承受应力。</w:t>
      </w:r>
    </w:p>
    <w:p>
      <w:pPr>
        <w:pStyle w:val="217"/>
        <w:rPr>
          <w:color w:val="auto"/>
          <w:highlight w:val="none"/>
        </w:rPr>
      </w:pPr>
      <w:r>
        <w:rPr>
          <w:color w:val="auto"/>
          <w:highlight w:val="none"/>
        </w:rPr>
        <w:t>14.</w:t>
      </w:r>
      <w:r>
        <w:rPr>
          <w:rFonts w:hint="eastAsia"/>
          <w:color w:val="auto"/>
          <w:highlight w:val="none"/>
        </w:rPr>
        <w:t>按便于维护、修理和更换的要求，提供丝扣或法兰的连接管。</w:t>
      </w:r>
    </w:p>
    <w:p>
      <w:pPr>
        <w:pStyle w:val="217"/>
        <w:rPr>
          <w:color w:val="auto"/>
          <w:highlight w:val="none"/>
        </w:rPr>
      </w:pPr>
      <w:r>
        <w:rPr>
          <w:color w:val="auto"/>
          <w:highlight w:val="none"/>
        </w:rPr>
        <w:t>15.</w:t>
      </w:r>
      <w:r>
        <w:rPr>
          <w:rFonts w:hint="eastAsia"/>
          <w:color w:val="auto"/>
          <w:highlight w:val="none"/>
        </w:rPr>
        <w:t>在整个装配系统的前后及过程中，采取一切措施，以防止管道受污染或堵塞。</w:t>
      </w:r>
    </w:p>
    <w:p>
      <w:pPr>
        <w:pStyle w:val="217"/>
        <w:rPr>
          <w:color w:val="auto"/>
          <w:highlight w:val="none"/>
        </w:rPr>
      </w:pPr>
      <w:r>
        <w:rPr>
          <w:color w:val="auto"/>
          <w:highlight w:val="none"/>
        </w:rPr>
        <w:t>16.</w:t>
      </w:r>
      <w:r>
        <w:rPr>
          <w:rFonts w:hint="eastAsia"/>
          <w:color w:val="auto"/>
          <w:highlight w:val="none"/>
        </w:rPr>
        <w:t>除得到建筑师批准外，不可采用直角弯头。</w:t>
      </w:r>
    </w:p>
    <w:p>
      <w:pPr>
        <w:pStyle w:val="217"/>
        <w:rPr>
          <w:color w:val="auto"/>
          <w:highlight w:val="none"/>
        </w:rPr>
      </w:pPr>
      <w:r>
        <w:rPr>
          <w:color w:val="auto"/>
          <w:highlight w:val="none"/>
        </w:rPr>
        <w:t>17.</w:t>
      </w:r>
      <w:r>
        <w:rPr>
          <w:rFonts w:hint="eastAsia"/>
          <w:color w:val="auto"/>
          <w:highlight w:val="none"/>
        </w:rPr>
        <w:t>当管道跨越建筑物的伸缩缝和</w:t>
      </w:r>
      <w:r>
        <w:rPr>
          <w:color w:val="auto"/>
          <w:highlight w:val="none"/>
        </w:rPr>
        <w:t>/</w:t>
      </w:r>
      <w:r>
        <w:rPr>
          <w:rFonts w:hint="eastAsia"/>
          <w:color w:val="auto"/>
          <w:highlight w:val="none"/>
        </w:rPr>
        <w:t>或有可能移动的地方时，应提供伸缩器，以抵消任何造成此移动之应力。</w:t>
      </w:r>
    </w:p>
    <w:p>
      <w:pPr>
        <w:pStyle w:val="217"/>
        <w:rPr>
          <w:color w:val="auto"/>
          <w:highlight w:val="none"/>
        </w:rPr>
      </w:pPr>
      <w:r>
        <w:rPr>
          <w:color w:val="auto"/>
          <w:highlight w:val="none"/>
        </w:rPr>
        <w:t>18.</w:t>
      </w:r>
      <w:r>
        <w:rPr>
          <w:rFonts w:hint="eastAsia"/>
          <w:color w:val="auto"/>
          <w:highlight w:val="none"/>
        </w:rPr>
        <w:t>所有排水管道必须按垂线安装，或根据规格或图纸上所列的坡度施工，且必须整齐排列，交加处减至最少，并给以足够的空间供排气、扩张、收缩和移动。管道不可安装离楼板完成面</w:t>
      </w:r>
      <w:r>
        <w:rPr>
          <w:color w:val="auto"/>
          <w:highlight w:val="none"/>
        </w:rPr>
        <w:t>100</w:t>
      </w:r>
      <w:r>
        <w:rPr>
          <w:rFonts w:hint="eastAsia"/>
          <w:color w:val="auto"/>
          <w:highlight w:val="none"/>
        </w:rPr>
        <w:t>毫米或以下，并须和其它设施和建筑结构维持有足够的间隙。</w:t>
      </w:r>
    </w:p>
    <w:p>
      <w:pPr>
        <w:pStyle w:val="217"/>
        <w:rPr>
          <w:color w:val="auto"/>
          <w:highlight w:val="none"/>
        </w:rPr>
      </w:pPr>
      <w:r>
        <w:rPr>
          <w:color w:val="auto"/>
          <w:highlight w:val="none"/>
        </w:rPr>
        <w:t>19.</w:t>
      </w:r>
      <w:r>
        <w:rPr>
          <w:rFonts w:hint="eastAsia"/>
          <w:color w:val="auto"/>
          <w:highlight w:val="none"/>
        </w:rPr>
        <w:t>在铺设地下排水管道之前应检查所有行水标高，当发现有差异时应立即通知建筑师。</w:t>
      </w:r>
    </w:p>
    <w:p>
      <w:pPr>
        <w:pStyle w:val="217"/>
        <w:rPr>
          <w:color w:val="auto"/>
          <w:highlight w:val="none"/>
        </w:rPr>
      </w:pPr>
      <w:r>
        <w:rPr>
          <w:color w:val="auto"/>
          <w:highlight w:val="none"/>
        </w:rPr>
        <w:t>20.</w:t>
      </w:r>
      <w:r>
        <w:rPr>
          <w:rFonts w:hint="eastAsia"/>
          <w:color w:val="auto"/>
          <w:highlight w:val="none"/>
        </w:rPr>
        <w:t>所有铺设在地下或埋藏于混凝土</w:t>
      </w:r>
      <w:r>
        <w:rPr>
          <w:color w:val="auto"/>
          <w:highlight w:val="none"/>
        </w:rPr>
        <w:t>/</w:t>
      </w:r>
      <w:r>
        <w:rPr>
          <w:rFonts w:hint="eastAsia"/>
          <w:color w:val="auto"/>
          <w:highlight w:val="none"/>
        </w:rPr>
        <w:t>砖墙的镀锌钢管，应用麻布或其它认可的物料包扎和涂上沥青以作保护。</w:t>
      </w:r>
    </w:p>
    <w:p>
      <w:pPr>
        <w:pStyle w:val="217"/>
        <w:rPr>
          <w:color w:val="auto"/>
          <w:highlight w:val="none"/>
        </w:rPr>
      </w:pPr>
      <w:r>
        <w:rPr>
          <w:color w:val="auto"/>
          <w:highlight w:val="none"/>
        </w:rPr>
        <w:t>21.</w:t>
      </w:r>
      <w:r>
        <w:rPr>
          <w:rFonts w:hint="eastAsia"/>
          <w:color w:val="auto"/>
          <w:highlight w:val="none"/>
        </w:rPr>
        <w:t>所有暗藏或埋藏在墙壁内或地台内的管道，不论其长度多少，都必须在安装妥当后立即进行</w:t>
      </w:r>
    </w:p>
    <w:p>
      <w:pPr>
        <w:pStyle w:val="217"/>
        <w:rPr>
          <w:color w:val="auto"/>
          <w:highlight w:val="none"/>
        </w:rPr>
      </w:pPr>
      <w:r>
        <w:rPr>
          <w:color w:val="auto"/>
          <w:highlight w:val="none"/>
        </w:rPr>
        <w:t>22.</w:t>
      </w:r>
      <w:r>
        <w:rPr>
          <w:rFonts w:hint="eastAsia"/>
          <w:color w:val="auto"/>
          <w:highlight w:val="none"/>
        </w:rPr>
        <w:t>所有混凝土结构水箱或水池皆由建筑承包人负责建造。但所有预埋于结构内的管道、防水套管等均由承包人提供，且必须进行水压试验达到建筑师</w:t>
      </w:r>
      <w:r>
        <w:rPr>
          <w:color w:val="auto"/>
          <w:highlight w:val="none"/>
        </w:rPr>
        <w:t>/</w:t>
      </w:r>
      <w:r>
        <w:rPr>
          <w:rFonts w:hint="eastAsia"/>
          <w:color w:val="auto"/>
          <w:highlight w:val="none"/>
        </w:rPr>
        <w:t>工程师要求后才可交予建筑承包人进行预埋。承包人须与建筑承包人协调和合作，以确保所有上述的管道、防水套管等皆正确就位，以供日后接驳有关系统。如混凝土结构水箱或水池于投标时已完成，承包人需于投标期间到现场实地检查所预埋的防水套管、管道是否符合日后安装要求。本承包人承担一切整改所需的费用。</w:t>
      </w:r>
    </w:p>
    <w:p>
      <w:pPr>
        <w:pStyle w:val="172"/>
        <w:rPr>
          <w:color w:val="auto"/>
          <w:highlight w:val="none"/>
        </w:rPr>
      </w:pPr>
      <w:r>
        <w:rPr>
          <w:color w:val="auto"/>
          <w:highlight w:val="none"/>
        </w:rPr>
        <w:t xml:space="preserve">3.2.2 </w:t>
      </w:r>
      <w:r>
        <w:rPr>
          <w:rFonts w:hint="eastAsia"/>
          <w:color w:val="auto"/>
          <w:highlight w:val="none"/>
        </w:rPr>
        <w:t>硬聚氯乙烯管道系统之粘接。</w:t>
      </w:r>
    </w:p>
    <w:p>
      <w:pPr>
        <w:pStyle w:val="217"/>
        <w:rPr>
          <w:color w:val="auto"/>
          <w:highlight w:val="none"/>
        </w:rPr>
      </w:pPr>
      <w:r>
        <w:rPr>
          <w:color w:val="auto"/>
          <w:highlight w:val="none"/>
        </w:rPr>
        <w:t>1.</w:t>
      </w:r>
      <w:r>
        <w:rPr>
          <w:rFonts w:hint="eastAsia"/>
          <w:color w:val="auto"/>
          <w:highlight w:val="none"/>
        </w:rPr>
        <w:t>按照制造厂所推荐方法及说明书中其它详细要求用熔剂粘接接硬聚氯乙烯管道系统。</w:t>
      </w:r>
    </w:p>
    <w:p>
      <w:pPr>
        <w:pStyle w:val="217"/>
        <w:rPr>
          <w:color w:val="auto"/>
          <w:highlight w:val="none"/>
        </w:rPr>
      </w:pPr>
      <w:r>
        <w:rPr>
          <w:color w:val="auto"/>
          <w:highlight w:val="none"/>
        </w:rPr>
        <w:t>2.</w:t>
      </w:r>
      <w:r>
        <w:rPr>
          <w:rFonts w:hint="eastAsia"/>
          <w:color w:val="auto"/>
          <w:highlight w:val="none"/>
        </w:rPr>
        <w:t>用溶剂粘接前，必须用砂纸和具挥发性的清洗剂清洁接口处。施用溶剂时，应避免受热，以防在两个表面完全接合前交接剂固化。旋转两个拼合表面以使溶剂均匀涂布，并迅速抹去多余的胶合剂。</w:t>
      </w:r>
    </w:p>
    <w:p>
      <w:pPr>
        <w:pStyle w:val="172"/>
        <w:rPr>
          <w:color w:val="auto"/>
          <w:highlight w:val="none"/>
        </w:rPr>
      </w:pPr>
      <w:r>
        <w:rPr>
          <w:color w:val="auto"/>
          <w:highlight w:val="none"/>
        </w:rPr>
        <w:t xml:space="preserve">3.2.3 </w:t>
      </w:r>
      <w:r>
        <w:rPr>
          <w:rFonts w:hint="eastAsia"/>
          <w:color w:val="auto"/>
          <w:highlight w:val="none"/>
        </w:rPr>
        <w:t>管道吊架和支架的安装</w:t>
      </w:r>
    </w:p>
    <w:p>
      <w:pPr>
        <w:pStyle w:val="217"/>
        <w:rPr>
          <w:color w:val="auto"/>
          <w:highlight w:val="none"/>
        </w:rPr>
      </w:pPr>
      <w:r>
        <w:rPr>
          <w:color w:val="auto"/>
          <w:highlight w:val="none"/>
        </w:rPr>
        <w:t>1.</w:t>
      </w:r>
      <w:r>
        <w:rPr>
          <w:rFonts w:hint="eastAsia"/>
          <w:color w:val="auto"/>
          <w:highlight w:val="none"/>
        </w:rPr>
        <w:t>所有吊架和支架包括吊杆、角铁、槽钢和铁板以及任何与设计要求有异的变更，均须事先获得建筑师</w:t>
      </w:r>
      <w:r>
        <w:rPr>
          <w:color w:val="auto"/>
          <w:highlight w:val="none"/>
        </w:rPr>
        <w:t>/</w:t>
      </w:r>
      <w:r>
        <w:rPr>
          <w:rFonts w:hint="eastAsia"/>
          <w:color w:val="auto"/>
          <w:highlight w:val="none"/>
        </w:rPr>
        <w:t>工程师的批准后才可进行加工制造。</w:t>
      </w:r>
    </w:p>
    <w:p>
      <w:pPr>
        <w:pStyle w:val="217"/>
        <w:rPr>
          <w:color w:val="auto"/>
          <w:highlight w:val="none"/>
        </w:rPr>
      </w:pPr>
      <w:r>
        <w:rPr>
          <w:color w:val="auto"/>
          <w:highlight w:val="none"/>
        </w:rPr>
        <w:t>2.</w:t>
      </w:r>
      <w:r>
        <w:rPr>
          <w:rFonts w:hint="eastAsia"/>
          <w:color w:val="auto"/>
          <w:highlight w:val="none"/>
        </w:rPr>
        <w:t>垂直管道应在每根立管的中部用通过认可的钢制管码支撑，以防摇晃、下垂、震动和共震。避免支架或固定支架之间的曳拉或扭弯而使管道承受压力。</w:t>
      </w:r>
    </w:p>
    <w:p>
      <w:pPr>
        <w:pStyle w:val="217"/>
        <w:rPr>
          <w:color w:val="auto"/>
          <w:highlight w:val="none"/>
        </w:rPr>
      </w:pPr>
      <w:r>
        <w:rPr>
          <w:color w:val="auto"/>
          <w:highlight w:val="none"/>
        </w:rPr>
        <w:t>3.</w:t>
      </w:r>
      <w:r>
        <w:rPr>
          <w:rFonts w:hint="eastAsia"/>
          <w:color w:val="auto"/>
          <w:highlight w:val="none"/>
        </w:rPr>
        <w:t>如管卡与管道为不同材料，管卡与管道之间应提供橡胶垫片。</w:t>
      </w:r>
    </w:p>
    <w:p>
      <w:pPr>
        <w:pStyle w:val="217"/>
        <w:rPr>
          <w:color w:val="auto"/>
          <w:highlight w:val="none"/>
        </w:rPr>
      </w:pPr>
      <w:r>
        <w:rPr>
          <w:color w:val="auto"/>
          <w:highlight w:val="none"/>
        </w:rPr>
        <w:t>4.</w:t>
      </w:r>
      <w:r>
        <w:rPr>
          <w:rFonts w:hint="eastAsia"/>
          <w:color w:val="auto"/>
          <w:highlight w:val="none"/>
        </w:rPr>
        <w:t>所有支架、固定支撑、托架、吊架等均应采用有足够强度的膨胀螺栓固定。</w:t>
      </w:r>
    </w:p>
    <w:p>
      <w:pPr>
        <w:pStyle w:val="172"/>
        <w:rPr>
          <w:color w:val="auto"/>
          <w:highlight w:val="none"/>
        </w:rPr>
      </w:pPr>
      <w:r>
        <w:rPr>
          <w:color w:val="auto"/>
          <w:highlight w:val="none"/>
        </w:rPr>
        <w:t xml:space="preserve">3.2.4 </w:t>
      </w:r>
      <w:r>
        <w:rPr>
          <w:rFonts w:hint="eastAsia"/>
          <w:color w:val="auto"/>
          <w:highlight w:val="none"/>
        </w:rPr>
        <w:t>清洁步骤</w:t>
      </w:r>
    </w:p>
    <w:p>
      <w:pPr>
        <w:pStyle w:val="217"/>
        <w:rPr>
          <w:color w:val="auto"/>
          <w:highlight w:val="none"/>
        </w:rPr>
      </w:pPr>
      <w:r>
        <w:rPr>
          <w:color w:val="auto"/>
          <w:highlight w:val="none"/>
        </w:rPr>
        <w:t>1.</w:t>
      </w:r>
      <w:r>
        <w:rPr>
          <w:rFonts w:hint="eastAsia"/>
          <w:color w:val="auto"/>
          <w:highlight w:val="none"/>
        </w:rPr>
        <w:t>采取一切预防措施，以避免外界物体，诸如焊珠和焊渣或污物进入管道系统中。敲打已完成的焊缝以使碎屑松脱。所有管道、阀门和配件在装配成系统之前，均应用金属刷和擦扫清除管内的油污、油脂或污物。</w:t>
      </w:r>
    </w:p>
    <w:p>
      <w:pPr>
        <w:pStyle w:val="217"/>
        <w:rPr>
          <w:color w:val="auto"/>
          <w:highlight w:val="none"/>
        </w:rPr>
      </w:pPr>
      <w:r>
        <w:rPr>
          <w:color w:val="auto"/>
          <w:highlight w:val="none"/>
        </w:rPr>
        <w:t>2.</w:t>
      </w:r>
      <w:r>
        <w:rPr>
          <w:rFonts w:hint="eastAsia"/>
          <w:color w:val="auto"/>
          <w:highlight w:val="none"/>
        </w:rPr>
        <w:t>随着管道竖立接驳完毕，所有管径</w:t>
      </w:r>
      <w:r>
        <w:rPr>
          <w:color w:val="auto"/>
          <w:highlight w:val="none"/>
        </w:rPr>
        <w:t>150</w:t>
      </w:r>
      <w:r>
        <w:rPr>
          <w:rFonts w:hint="eastAsia"/>
          <w:color w:val="auto"/>
          <w:highlight w:val="none"/>
        </w:rPr>
        <w:t>毫米及以下的管道应随即用清水冲洗直到彻底清除污物、油污和金属屑等为止。在一般情况下，每种尺寸的管子在与更大尺寸的管子连接在一起之前均应分别冲洗。</w:t>
      </w:r>
    </w:p>
    <w:p>
      <w:pPr>
        <w:pStyle w:val="217"/>
        <w:rPr>
          <w:color w:val="auto"/>
          <w:highlight w:val="none"/>
        </w:rPr>
      </w:pPr>
      <w:r>
        <w:rPr>
          <w:color w:val="auto"/>
          <w:highlight w:val="none"/>
        </w:rPr>
        <w:t>3.200</w:t>
      </w:r>
      <w:r>
        <w:rPr>
          <w:rFonts w:hint="eastAsia"/>
          <w:color w:val="auto"/>
          <w:highlight w:val="none"/>
        </w:rPr>
        <w:t>毫米及以上管道的清洗处理应采用钢刷子，签拉洗刷过的每根管子的整个长度，随后用比管子内径稍大的纤维刷子或抹布抹刷。</w:t>
      </w:r>
    </w:p>
    <w:p>
      <w:pPr>
        <w:pStyle w:val="217"/>
        <w:rPr>
          <w:color w:val="auto"/>
          <w:highlight w:val="none"/>
        </w:rPr>
      </w:pPr>
      <w:r>
        <w:rPr>
          <w:color w:val="auto"/>
          <w:highlight w:val="none"/>
        </w:rPr>
        <w:t>4.</w:t>
      </w:r>
      <w:r>
        <w:rPr>
          <w:rFonts w:hint="eastAsia"/>
          <w:color w:val="auto"/>
          <w:highlight w:val="none"/>
        </w:rPr>
        <w:t>所有清洗处理均应贯通整个管道系统。清洗处理和最后接口完成之后，各管道节段的末端均须紧紧密封，以防任何污物、水或其它外界物质进入管道。</w:t>
      </w:r>
    </w:p>
    <w:p>
      <w:pPr>
        <w:rPr>
          <w:color w:val="auto"/>
          <w:highlight w:val="none"/>
        </w:rPr>
      </w:pPr>
    </w:p>
    <w:p>
      <w:pPr>
        <w:pStyle w:val="188"/>
        <w:spacing w:before="120" w:after="120"/>
        <w:outlineLvl w:val="1"/>
        <w:rPr>
          <w:color w:val="auto"/>
          <w:highlight w:val="none"/>
        </w:rPr>
      </w:pPr>
      <w:bookmarkStart w:id="7857" w:name="_Toc380622836"/>
      <w:bookmarkStart w:id="7858" w:name="_Toc66890439"/>
      <w:bookmarkStart w:id="7859" w:name="_Toc69114185"/>
      <w:bookmarkStart w:id="7860" w:name="_Toc66634444"/>
      <w:bookmarkStart w:id="7861" w:name="_Toc505345757"/>
      <w:r>
        <w:rPr>
          <w:rFonts w:hint="eastAsia"/>
          <w:color w:val="auto"/>
          <w:highlight w:val="none"/>
        </w:rPr>
        <w:t>第</w:t>
      </w:r>
      <w:r>
        <w:rPr>
          <w:color w:val="auto"/>
          <w:highlight w:val="none"/>
        </w:rPr>
        <w:t>4</w:t>
      </w:r>
      <w:r>
        <w:rPr>
          <w:rFonts w:hint="eastAsia"/>
          <w:color w:val="auto"/>
          <w:highlight w:val="none"/>
        </w:rPr>
        <w:t>章</w:t>
      </w:r>
      <w:r>
        <w:rPr>
          <w:color w:val="auto"/>
          <w:highlight w:val="none"/>
        </w:rPr>
        <w:t xml:space="preserve">  </w:t>
      </w:r>
      <w:r>
        <w:rPr>
          <w:rFonts w:hint="eastAsia"/>
          <w:color w:val="auto"/>
          <w:highlight w:val="none"/>
        </w:rPr>
        <w:t>阀门与配件</w:t>
      </w:r>
      <w:bookmarkEnd w:id="7857"/>
      <w:bookmarkEnd w:id="7858"/>
      <w:bookmarkEnd w:id="7859"/>
      <w:bookmarkEnd w:id="7860"/>
      <w:bookmarkEnd w:id="7861"/>
    </w:p>
    <w:p>
      <w:pPr>
        <w:pStyle w:val="113"/>
        <w:spacing w:before="120" w:after="120"/>
        <w:outlineLvl w:val="2"/>
        <w:rPr>
          <w:color w:val="auto"/>
          <w:highlight w:val="none"/>
        </w:rPr>
      </w:pPr>
      <w:bookmarkStart w:id="7862" w:name="_Toc66890440"/>
      <w:bookmarkStart w:id="7863" w:name="_Toc66634445"/>
      <w:bookmarkStart w:id="7864" w:name="_Toc505345758"/>
      <w:bookmarkStart w:id="7865" w:name="_Toc69114186"/>
      <w:r>
        <w:rPr>
          <w:color w:val="auto"/>
          <w:highlight w:val="none"/>
        </w:rPr>
        <w:t xml:space="preserve">4.1 </w:t>
      </w:r>
      <w:r>
        <w:rPr>
          <w:rFonts w:hint="eastAsia"/>
          <w:color w:val="auto"/>
          <w:highlight w:val="none"/>
        </w:rPr>
        <w:t>通用要求</w:t>
      </w:r>
      <w:bookmarkEnd w:id="7862"/>
      <w:bookmarkEnd w:id="7863"/>
      <w:bookmarkEnd w:id="7864"/>
      <w:bookmarkEnd w:id="7865"/>
    </w:p>
    <w:p>
      <w:pPr>
        <w:pStyle w:val="217"/>
        <w:rPr>
          <w:color w:val="auto"/>
          <w:highlight w:val="none"/>
        </w:rPr>
      </w:pPr>
      <w:r>
        <w:rPr>
          <w:rFonts w:hint="eastAsia"/>
          <w:color w:val="auto"/>
          <w:highlight w:val="none"/>
        </w:rPr>
        <w:t>本章说明阀门与配件在管道系统上的规格、安装及调试所需的各项技术要求。</w:t>
      </w:r>
    </w:p>
    <w:p>
      <w:pPr>
        <w:pStyle w:val="172"/>
        <w:rPr>
          <w:color w:val="auto"/>
          <w:highlight w:val="none"/>
        </w:rPr>
      </w:pPr>
      <w:r>
        <w:rPr>
          <w:color w:val="auto"/>
          <w:highlight w:val="none"/>
        </w:rPr>
        <w:t xml:space="preserve">4.1.1 </w:t>
      </w:r>
      <w:r>
        <w:rPr>
          <w:rFonts w:hint="eastAsia"/>
          <w:color w:val="auto"/>
          <w:highlight w:val="none"/>
        </w:rPr>
        <w:t>一般要求</w:t>
      </w:r>
    </w:p>
    <w:p>
      <w:pPr>
        <w:pStyle w:val="217"/>
        <w:rPr>
          <w:color w:val="auto"/>
          <w:highlight w:val="none"/>
        </w:rPr>
      </w:pPr>
      <w:r>
        <w:rPr>
          <w:color w:val="auto"/>
          <w:highlight w:val="none"/>
        </w:rPr>
        <w:t>1.</w:t>
      </w:r>
      <w:r>
        <w:rPr>
          <w:rFonts w:hint="eastAsia"/>
          <w:color w:val="auto"/>
          <w:highlight w:val="none"/>
        </w:rPr>
        <w:t>所有送达工地的阀门及配件均应为全新的，并着有色带、标识以利辨认不同的等级。</w:t>
      </w:r>
    </w:p>
    <w:p>
      <w:pPr>
        <w:pStyle w:val="217"/>
        <w:rPr>
          <w:color w:val="auto"/>
          <w:highlight w:val="none"/>
        </w:rPr>
      </w:pPr>
      <w:r>
        <w:rPr>
          <w:color w:val="auto"/>
          <w:highlight w:val="none"/>
        </w:rPr>
        <w:t>2.</w:t>
      </w:r>
      <w:r>
        <w:rPr>
          <w:rFonts w:hint="eastAsia"/>
          <w:color w:val="auto"/>
          <w:highlight w:val="none"/>
        </w:rPr>
        <w:t>在运送、储存及安装阀门与配件的过程中须给予适当的保护，以防外物进入系统内。</w:t>
      </w:r>
    </w:p>
    <w:p>
      <w:pPr>
        <w:pStyle w:val="217"/>
        <w:rPr>
          <w:color w:val="auto"/>
          <w:highlight w:val="none"/>
        </w:rPr>
      </w:pPr>
      <w:r>
        <w:rPr>
          <w:color w:val="auto"/>
          <w:highlight w:val="none"/>
        </w:rPr>
        <w:t>3.</w:t>
      </w:r>
      <w:r>
        <w:rPr>
          <w:rFonts w:hint="eastAsia"/>
          <w:color w:val="auto"/>
          <w:highlight w:val="none"/>
        </w:rPr>
        <w:t>为所有设备提供压力表、排气阀、排水阀及试验阀门。</w:t>
      </w:r>
    </w:p>
    <w:p>
      <w:pPr>
        <w:pStyle w:val="217"/>
        <w:rPr>
          <w:color w:val="auto"/>
          <w:highlight w:val="none"/>
        </w:rPr>
      </w:pPr>
      <w:r>
        <w:rPr>
          <w:color w:val="auto"/>
          <w:highlight w:val="none"/>
        </w:rPr>
        <w:t>4.</w:t>
      </w:r>
      <w:r>
        <w:rPr>
          <w:rFonts w:hint="eastAsia"/>
          <w:color w:val="auto"/>
          <w:highlight w:val="none"/>
        </w:rPr>
        <w:t>为所有设备提供隔离阀门。</w:t>
      </w:r>
    </w:p>
    <w:p>
      <w:pPr>
        <w:pStyle w:val="217"/>
        <w:rPr>
          <w:color w:val="auto"/>
          <w:highlight w:val="none"/>
        </w:rPr>
      </w:pPr>
      <w:r>
        <w:rPr>
          <w:color w:val="auto"/>
          <w:highlight w:val="none"/>
        </w:rPr>
        <w:t>5.</w:t>
      </w:r>
      <w:r>
        <w:rPr>
          <w:rFonts w:hint="eastAsia"/>
          <w:color w:val="auto"/>
          <w:highlight w:val="none"/>
        </w:rPr>
        <w:t>在需要进行系统平衡处如分支管道、旁通管道等处安装球型调节阀。</w:t>
      </w:r>
    </w:p>
    <w:p>
      <w:pPr>
        <w:pStyle w:val="217"/>
        <w:rPr>
          <w:color w:val="auto"/>
          <w:highlight w:val="none"/>
        </w:rPr>
      </w:pPr>
      <w:r>
        <w:rPr>
          <w:color w:val="auto"/>
          <w:highlight w:val="none"/>
        </w:rPr>
        <w:t>6.</w:t>
      </w:r>
      <w:r>
        <w:rPr>
          <w:rFonts w:hint="eastAsia"/>
          <w:color w:val="auto"/>
          <w:highlight w:val="none"/>
        </w:rPr>
        <w:t>阀门的设置要提供足够的维修间距，于进行测试压力情况下无渗漏现象。制造厂名或牌子、图号或编号及保证能达到工作压力等，须铸于阀体或阀盖上。除特别用途外，同一品种阀门应由同一供应商提供。</w:t>
      </w:r>
    </w:p>
    <w:p>
      <w:pPr>
        <w:pStyle w:val="217"/>
        <w:rPr>
          <w:color w:val="auto"/>
          <w:highlight w:val="none"/>
        </w:rPr>
      </w:pPr>
      <w:r>
        <w:rPr>
          <w:color w:val="auto"/>
          <w:highlight w:val="none"/>
        </w:rPr>
        <w:t>7.</w:t>
      </w:r>
      <w:r>
        <w:rPr>
          <w:rFonts w:hint="eastAsia"/>
          <w:color w:val="auto"/>
          <w:highlight w:val="none"/>
        </w:rPr>
        <w:t>阀门应配合各系统的工作压力，闸阀、蝶阀及球阀应适合于受压情况下进行维修。不论安装于任何系统，阀门之额定工作压力不得小于</w:t>
      </w:r>
      <w:r>
        <w:rPr>
          <w:color w:val="auto"/>
          <w:highlight w:val="none"/>
        </w:rPr>
        <w:t>1Mpa</w:t>
      </w:r>
      <w:r>
        <w:rPr>
          <w:rFonts w:hint="eastAsia"/>
          <w:color w:val="auto"/>
          <w:highlight w:val="none"/>
        </w:rPr>
        <w:t>。其它更高要求按系统需要而定。当系统工作压力大于</w:t>
      </w:r>
      <w:r>
        <w:rPr>
          <w:color w:val="auto"/>
          <w:highlight w:val="none"/>
        </w:rPr>
        <w:t>1.4Mpa</w:t>
      </w:r>
      <w:r>
        <w:rPr>
          <w:rFonts w:hint="eastAsia"/>
          <w:color w:val="auto"/>
          <w:highlight w:val="none"/>
        </w:rPr>
        <w:t>时，所提供的阀门其额定工作压力必须大于系统工作压力最小</w:t>
      </w:r>
      <w:r>
        <w:rPr>
          <w:color w:val="auto"/>
          <w:highlight w:val="none"/>
        </w:rPr>
        <w:t>0.2Mpa</w:t>
      </w:r>
      <w:r>
        <w:rPr>
          <w:rFonts w:hint="eastAsia"/>
          <w:color w:val="auto"/>
          <w:highlight w:val="none"/>
        </w:rPr>
        <w:t>。</w:t>
      </w:r>
    </w:p>
    <w:p>
      <w:pPr>
        <w:pStyle w:val="217"/>
        <w:rPr>
          <w:color w:val="auto"/>
          <w:highlight w:val="none"/>
        </w:rPr>
      </w:pPr>
      <w:r>
        <w:rPr>
          <w:color w:val="auto"/>
          <w:highlight w:val="none"/>
        </w:rPr>
        <w:t>8.</w:t>
      </w:r>
      <w:r>
        <w:rPr>
          <w:rFonts w:hint="eastAsia"/>
          <w:color w:val="auto"/>
          <w:highlight w:val="none"/>
        </w:rPr>
        <w:t>阀门接驳</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）按管道接口的要求提供阀门，直径须与管径相同。</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）管径</w:t>
      </w:r>
      <w:r>
        <w:rPr>
          <w:color w:val="auto"/>
          <w:highlight w:val="none"/>
        </w:rPr>
        <w:t>50</w:t>
      </w:r>
      <w:r>
        <w:rPr>
          <w:rFonts w:hint="eastAsia"/>
          <w:color w:val="auto"/>
          <w:highlight w:val="none"/>
        </w:rPr>
        <w:t>毫米及以下为丝扣接口或焊锡接口。</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w:t>
      </w:r>
      <w:r>
        <w:rPr>
          <w:color w:val="auto"/>
          <w:highlight w:val="none"/>
        </w:rPr>
        <w:t xml:space="preserve"> </w:t>
      </w:r>
      <w:r>
        <w:rPr>
          <w:rFonts w:hint="eastAsia"/>
          <w:color w:val="auto"/>
          <w:highlight w:val="none"/>
        </w:rPr>
        <w:t>管径</w:t>
      </w:r>
      <w:r>
        <w:rPr>
          <w:color w:val="auto"/>
          <w:highlight w:val="none"/>
        </w:rPr>
        <w:t>60</w:t>
      </w:r>
      <w:r>
        <w:rPr>
          <w:rFonts w:hint="eastAsia"/>
          <w:color w:val="auto"/>
          <w:highlight w:val="none"/>
        </w:rPr>
        <w:t>毫米及以上为符合</w:t>
      </w:r>
      <w:r>
        <w:rPr>
          <w:color w:val="auto"/>
          <w:highlight w:val="none"/>
        </w:rPr>
        <w:t>BS4504</w:t>
      </w:r>
      <w:r>
        <w:rPr>
          <w:rFonts w:hint="eastAsia"/>
          <w:color w:val="auto"/>
          <w:highlight w:val="none"/>
        </w:rPr>
        <w:t>的法兰接口。</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）除另有规定，所有阀门须与所装接管道的管径相同。</w:t>
      </w:r>
    </w:p>
    <w:p>
      <w:pPr>
        <w:pStyle w:val="217"/>
        <w:rPr>
          <w:color w:val="auto"/>
          <w:highlight w:val="none"/>
        </w:rPr>
      </w:pPr>
      <w:r>
        <w:rPr>
          <w:color w:val="auto"/>
          <w:highlight w:val="none"/>
        </w:rPr>
        <w:t>9.</w:t>
      </w:r>
      <w:r>
        <w:rPr>
          <w:rFonts w:hint="eastAsia"/>
          <w:color w:val="auto"/>
          <w:highlight w:val="none"/>
        </w:rPr>
        <w:t>每个压力表前须安装排气阀门。</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）质量保证</w:t>
      </w:r>
    </w:p>
    <w:p>
      <w:pPr>
        <w:pStyle w:val="217"/>
        <w:rPr>
          <w:color w:val="auto"/>
          <w:highlight w:val="none"/>
        </w:rPr>
      </w:pPr>
      <w:r>
        <w:rPr>
          <w:color w:val="auto"/>
          <w:highlight w:val="none"/>
        </w:rPr>
        <w:t>1</w:t>
      </w:r>
      <w:r>
        <w:rPr>
          <w:rFonts w:hint="eastAsia"/>
          <w:color w:val="auto"/>
          <w:highlight w:val="none"/>
        </w:rPr>
        <w:t>）以下之规例、条例、标准及规范使用于本章所述的工程：</w:t>
      </w:r>
    </w:p>
    <w:p>
      <w:pPr>
        <w:pStyle w:val="217"/>
        <w:rPr>
          <w:color w:val="auto"/>
          <w:highlight w:val="none"/>
        </w:rPr>
      </w:pPr>
      <w:r>
        <w:rPr>
          <w:color w:val="auto"/>
          <w:highlight w:val="none"/>
        </w:rPr>
        <w:t>2</w:t>
      </w:r>
      <w:r>
        <w:rPr>
          <w:rFonts w:hint="eastAsia"/>
          <w:color w:val="auto"/>
          <w:highlight w:val="none"/>
        </w:rPr>
        <w:t>）当地之条例及规范至少为中外合资产品。</w:t>
      </w:r>
    </w:p>
    <w:p>
      <w:pPr>
        <w:pStyle w:val="217"/>
        <w:rPr>
          <w:color w:val="auto"/>
          <w:highlight w:val="none"/>
        </w:rPr>
      </w:pPr>
      <w:r>
        <w:rPr>
          <w:color w:val="auto"/>
          <w:highlight w:val="none"/>
        </w:rPr>
        <w:t>3</w:t>
      </w:r>
      <w:r>
        <w:rPr>
          <w:rFonts w:hint="eastAsia"/>
          <w:color w:val="auto"/>
          <w:highlight w:val="none"/>
        </w:rPr>
        <w:t>）其它条例及标准</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）资料呈审</w:t>
      </w:r>
    </w:p>
    <w:p>
      <w:pPr>
        <w:pStyle w:val="217"/>
        <w:rPr>
          <w:color w:val="auto"/>
          <w:highlight w:val="none"/>
        </w:rPr>
      </w:pPr>
      <w:r>
        <w:rPr>
          <w:color w:val="auto"/>
          <w:highlight w:val="none"/>
        </w:rPr>
        <w:t>1</w:t>
      </w:r>
      <w:r>
        <w:rPr>
          <w:rFonts w:hint="eastAsia"/>
          <w:color w:val="auto"/>
          <w:highlight w:val="none"/>
        </w:rPr>
        <w:t>）提交下列连同个别附加要求规格：</w:t>
      </w:r>
    </w:p>
    <w:p>
      <w:pPr>
        <w:pStyle w:val="217"/>
        <w:rPr>
          <w:color w:val="auto"/>
          <w:highlight w:val="none"/>
        </w:rPr>
      </w:pPr>
      <w:r>
        <w:rPr>
          <w:color w:val="auto"/>
          <w:highlight w:val="none"/>
        </w:rPr>
        <w:t>2</w:t>
      </w:r>
      <w:r>
        <w:rPr>
          <w:rFonts w:hint="eastAsia"/>
          <w:color w:val="auto"/>
          <w:highlight w:val="none"/>
        </w:rPr>
        <w:t>）制造厂提供的产品资料包括数据及物料详图等。</w:t>
      </w:r>
    </w:p>
    <w:p>
      <w:pPr>
        <w:pStyle w:val="217"/>
        <w:rPr>
          <w:color w:val="auto"/>
          <w:highlight w:val="none"/>
        </w:rPr>
      </w:pPr>
      <w:r>
        <w:rPr>
          <w:color w:val="auto"/>
          <w:highlight w:val="none"/>
        </w:rPr>
        <w:t>3</w:t>
      </w:r>
      <w:r>
        <w:rPr>
          <w:rFonts w:hint="eastAsia"/>
          <w:color w:val="auto"/>
          <w:highlight w:val="none"/>
        </w:rPr>
        <w:t>）符合规格要求的证书。</w:t>
      </w:r>
    </w:p>
    <w:p>
      <w:pPr>
        <w:pStyle w:val="217"/>
        <w:rPr>
          <w:color w:val="auto"/>
          <w:highlight w:val="none"/>
        </w:rPr>
      </w:pPr>
      <w:r>
        <w:rPr>
          <w:color w:val="auto"/>
          <w:highlight w:val="none"/>
        </w:rPr>
        <w:t>4</w:t>
      </w:r>
      <w:r>
        <w:rPr>
          <w:rFonts w:hint="eastAsia"/>
          <w:color w:val="auto"/>
          <w:highlight w:val="none"/>
        </w:rPr>
        <w:t>）阀门支撑详图。</w:t>
      </w:r>
    </w:p>
    <w:p>
      <w:pPr>
        <w:pStyle w:val="217"/>
        <w:rPr>
          <w:color w:val="auto"/>
          <w:highlight w:val="none"/>
        </w:rPr>
      </w:pPr>
      <w:r>
        <w:rPr>
          <w:color w:val="auto"/>
          <w:highlight w:val="none"/>
        </w:rPr>
        <w:t>5</w:t>
      </w:r>
      <w:r>
        <w:rPr>
          <w:rFonts w:hint="eastAsia"/>
          <w:color w:val="auto"/>
          <w:highlight w:val="none"/>
        </w:rPr>
        <w:t>）操作及维修手册。</w:t>
      </w:r>
    </w:p>
    <w:p>
      <w:pPr>
        <w:pStyle w:val="113"/>
        <w:spacing w:before="120" w:after="120"/>
        <w:outlineLvl w:val="2"/>
        <w:rPr>
          <w:color w:val="auto"/>
          <w:highlight w:val="none"/>
        </w:rPr>
      </w:pPr>
      <w:bookmarkStart w:id="7866" w:name="_Toc505345759"/>
      <w:bookmarkStart w:id="7867" w:name="_Toc66890441"/>
      <w:bookmarkStart w:id="7868" w:name="_Toc69114187"/>
      <w:bookmarkStart w:id="7869" w:name="_Toc66634446"/>
      <w:r>
        <w:rPr>
          <w:color w:val="auto"/>
          <w:highlight w:val="none"/>
        </w:rPr>
        <w:t xml:space="preserve">4.2 </w:t>
      </w:r>
      <w:r>
        <w:rPr>
          <w:rFonts w:hint="eastAsia"/>
          <w:color w:val="auto"/>
          <w:highlight w:val="none"/>
        </w:rPr>
        <w:t>产品</w:t>
      </w:r>
      <w:bookmarkEnd w:id="7866"/>
      <w:bookmarkEnd w:id="7867"/>
      <w:bookmarkEnd w:id="7868"/>
      <w:bookmarkEnd w:id="7869"/>
    </w:p>
    <w:p>
      <w:pPr>
        <w:pStyle w:val="217"/>
        <w:rPr>
          <w:color w:val="auto"/>
          <w:highlight w:val="none"/>
        </w:rPr>
      </w:pPr>
      <w:r>
        <w:rPr>
          <w:rFonts w:hint="eastAsia"/>
          <w:color w:val="auto"/>
          <w:highlight w:val="none"/>
        </w:rPr>
        <w:t>各系统的阀门规格须按照设计施工图纸所指定的要求。</w:t>
      </w:r>
    </w:p>
    <w:p>
      <w:pPr>
        <w:pStyle w:val="113"/>
        <w:spacing w:before="120" w:after="120"/>
        <w:outlineLvl w:val="2"/>
        <w:rPr>
          <w:color w:val="auto"/>
          <w:highlight w:val="none"/>
        </w:rPr>
      </w:pPr>
      <w:bookmarkStart w:id="7870" w:name="_Toc69114188"/>
      <w:bookmarkStart w:id="7871" w:name="_Toc66890442"/>
      <w:bookmarkStart w:id="7872" w:name="_Toc66634447"/>
      <w:bookmarkStart w:id="7873" w:name="_Toc505345760"/>
      <w:r>
        <w:rPr>
          <w:color w:val="auto"/>
          <w:highlight w:val="none"/>
        </w:rPr>
        <w:t xml:space="preserve">4.3 </w:t>
      </w:r>
      <w:r>
        <w:rPr>
          <w:rFonts w:hint="eastAsia"/>
          <w:color w:val="auto"/>
          <w:highlight w:val="none"/>
        </w:rPr>
        <w:t>实施</w:t>
      </w:r>
      <w:bookmarkEnd w:id="7870"/>
      <w:bookmarkEnd w:id="7871"/>
      <w:bookmarkEnd w:id="7872"/>
      <w:bookmarkEnd w:id="7873"/>
    </w:p>
    <w:p>
      <w:pPr>
        <w:pStyle w:val="217"/>
        <w:rPr>
          <w:color w:val="auto"/>
          <w:highlight w:val="none"/>
        </w:rPr>
      </w:pPr>
      <w:r>
        <w:rPr>
          <w:color w:val="auto"/>
          <w:highlight w:val="none"/>
        </w:rPr>
        <w:t>1.</w:t>
      </w:r>
      <w:r>
        <w:rPr>
          <w:rFonts w:hint="eastAsia"/>
          <w:color w:val="auto"/>
          <w:highlight w:val="none"/>
        </w:rPr>
        <w:t>说明</w:t>
      </w:r>
    </w:p>
    <w:p>
      <w:pPr>
        <w:pStyle w:val="217"/>
        <w:rPr>
          <w:color w:val="auto"/>
          <w:highlight w:val="none"/>
        </w:rPr>
      </w:pPr>
      <w:r>
        <w:rPr>
          <w:rFonts w:hint="eastAsia"/>
          <w:color w:val="auto"/>
          <w:highlight w:val="none"/>
        </w:rPr>
        <w:t>按图纸所示或规格说明书要求，提供适当阀门以便可完全调节和控制整个系统。安装位置须方便操作及易于维修。</w:t>
      </w:r>
    </w:p>
    <w:p>
      <w:pPr>
        <w:pStyle w:val="217"/>
        <w:rPr>
          <w:color w:val="auto"/>
          <w:highlight w:val="none"/>
        </w:rPr>
      </w:pPr>
      <w:r>
        <w:rPr>
          <w:color w:val="auto"/>
          <w:highlight w:val="none"/>
        </w:rPr>
        <w:t>2.</w:t>
      </w:r>
      <w:r>
        <w:rPr>
          <w:rFonts w:hint="eastAsia"/>
          <w:color w:val="auto"/>
          <w:highlight w:val="none"/>
        </w:rPr>
        <w:t>安装</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）安装阀门须使阀杆向上或水平，不可向下。</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）安装闸阀或蝶阀用以关闭和隔离系统，能使隔离设备、系统一部分或垂直立管等。</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）安装球阀或控制阀作为节流或调控之用或作为水表旁通等。</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）安装排放阀于主要阀门及设备和管道等的低位。</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）排放阀须配备丝扣接口及接驳软管接口。</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）装配自动排气阀于各系统的高位及需要排气的位置，足使排除管道系统内的气体。于高位接驳</w:t>
      </w:r>
      <w:r>
        <w:rPr>
          <w:color w:val="auto"/>
          <w:highlight w:val="none"/>
        </w:rPr>
        <w:t>6</w:t>
      </w:r>
      <w:r>
        <w:rPr>
          <w:rFonts w:hint="eastAsia"/>
          <w:color w:val="auto"/>
          <w:highlight w:val="none"/>
        </w:rPr>
        <w:t>毫米铜管并延伸到可触位置（约高于地板</w:t>
      </w:r>
      <w:r>
        <w:rPr>
          <w:color w:val="auto"/>
          <w:highlight w:val="none"/>
        </w:rPr>
        <w:t>1500</w:t>
      </w:r>
      <w:r>
        <w:rPr>
          <w:rFonts w:hint="eastAsia"/>
          <w:color w:val="auto"/>
          <w:highlight w:val="none"/>
        </w:rPr>
        <w:t>毫米处）装配球阀，再用</w:t>
      </w:r>
      <w:r>
        <w:rPr>
          <w:color w:val="auto"/>
          <w:highlight w:val="none"/>
        </w:rPr>
        <w:t>6</w:t>
      </w:r>
      <w:r>
        <w:rPr>
          <w:rFonts w:hint="eastAsia"/>
          <w:color w:val="auto"/>
          <w:highlight w:val="none"/>
        </w:rPr>
        <w:t>毫米铜管排放至就近的排水系统。</w:t>
      </w:r>
    </w:p>
    <w:p>
      <w:pPr>
        <w:pStyle w:val="217"/>
        <w:rPr>
          <w:color w:val="auto"/>
          <w:highlight w:val="none"/>
        </w:rPr>
      </w:pPr>
      <w:r>
        <w:rPr>
          <w:rFonts w:hint="eastAsia"/>
          <w:color w:val="auto"/>
          <w:highlight w:val="none"/>
        </w:rPr>
        <w:t>（</w:t>
      </w:r>
      <w:r>
        <w:rPr>
          <w:color w:val="auto"/>
          <w:highlight w:val="none"/>
        </w:rPr>
        <w:t>7</w:t>
      </w:r>
      <w:r>
        <w:rPr>
          <w:rFonts w:hint="eastAsia"/>
          <w:color w:val="auto"/>
          <w:highlight w:val="none"/>
        </w:rPr>
        <w:t>）于供水系统上按图纸所示或厂商建议之位置，提供适当大小之水锤消除器。</w:t>
      </w:r>
    </w:p>
    <w:p>
      <w:pPr>
        <w:rPr>
          <w:color w:val="auto"/>
          <w:highlight w:val="none"/>
        </w:rPr>
      </w:pPr>
    </w:p>
    <w:p>
      <w:pPr>
        <w:pStyle w:val="188"/>
        <w:spacing w:before="120" w:after="120"/>
        <w:outlineLvl w:val="1"/>
        <w:rPr>
          <w:color w:val="auto"/>
          <w:highlight w:val="none"/>
        </w:rPr>
      </w:pPr>
      <w:bookmarkStart w:id="7874" w:name="_Toc69114189"/>
      <w:bookmarkStart w:id="7875" w:name="_Toc66634448"/>
      <w:bookmarkStart w:id="7876" w:name="_Toc505345761"/>
      <w:bookmarkStart w:id="7877" w:name="_Toc66890443"/>
      <w:r>
        <w:rPr>
          <w:rFonts w:hint="eastAsia"/>
          <w:color w:val="auto"/>
          <w:highlight w:val="none"/>
        </w:rPr>
        <w:t>第</w:t>
      </w:r>
      <w:r>
        <w:rPr>
          <w:color w:val="auto"/>
          <w:highlight w:val="none"/>
        </w:rPr>
        <w:t>5</w:t>
      </w:r>
      <w:r>
        <w:rPr>
          <w:rFonts w:hint="eastAsia"/>
          <w:color w:val="auto"/>
          <w:highlight w:val="none"/>
        </w:rPr>
        <w:t>章</w:t>
      </w:r>
      <w:r>
        <w:rPr>
          <w:color w:val="auto"/>
          <w:highlight w:val="none"/>
        </w:rPr>
        <w:t xml:space="preserve">  </w:t>
      </w:r>
      <w:r>
        <w:rPr>
          <w:rFonts w:hint="eastAsia"/>
          <w:color w:val="auto"/>
          <w:highlight w:val="none"/>
        </w:rPr>
        <w:t>给排水工程主要材料、设备技术要求</w:t>
      </w:r>
      <w:bookmarkEnd w:id="7874"/>
      <w:bookmarkEnd w:id="7875"/>
      <w:bookmarkEnd w:id="7876"/>
      <w:bookmarkEnd w:id="7877"/>
    </w:p>
    <w:p>
      <w:pPr>
        <w:pStyle w:val="217"/>
        <w:rPr>
          <w:color w:val="auto"/>
          <w:highlight w:val="none"/>
        </w:rPr>
      </w:pPr>
      <w:r>
        <w:rPr>
          <w:rFonts w:hint="eastAsia"/>
          <w:color w:val="auto"/>
          <w:highlight w:val="none"/>
        </w:rPr>
        <w:t>给排水工程所采用的材料、设备除满足设计要求外，还需满足以下技术要求。</w:t>
      </w:r>
      <w:bookmarkStart w:id="7878" w:name="_Toc192873410"/>
    </w:p>
    <w:p>
      <w:pPr>
        <w:pStyle w:val="113"/>
        <w:spacing w:before="120" w:after="120"/>
        <w:outlineLvl w:val="2"/>
        <w:rPr>
          <w:color w:val="auto"/>
          <w:highlight w:val="none"/>
        </w:rPr>
      </w:pPr>
      <w:bookmarkStart w:id="7879" w:name="_Toc69114190"/>
      <w:bookmarkStart w:id="7880" w:name="_Toc66634449"/>
      <w:bookmarkStart w:id="7881" w:name="_Toc66890444"/>
      <w:bookmarkStart w:id="7882" w:name="_Toc505345762"/>
      <w:r>
        <w:rPr>
          <w:color w:val="auto"/>
          <w:highlight w:val="none"/>
        </w:rPr>
        <w:t xml:space="preserve">5.1 </w:t>
      </w:r>
      <w:r>
        <w:rPr>
          <w:rFonts w:hint="eastAsia"/>
          <w:color w:val="auto"/>
          <w:highlight w:val="none"/>
        </w:rPr>
        <w:t>给排水系统材料、设备技术要求表</w:t>
      </w:r>
      <w:bookmarkEnd w:id="7878"/>
      <w:bookmarkEnd w:id="7879"/>
      <w:bookmarkEnd w:id="7880"/>
      <w:bookmarkEnd w:id="7881"/>
      <w:bookmarkEnd w:id="7882"/>
    </w:p>
    <w:tbl>
      <w:tblPr>
        <w:tblStyle w:val="43"/>
        <w:tblW w:w="875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966"/>
        <w:gridCol w:w="6589"/>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633" w:type="dxa"/>
            <w:noWrap w:val="0"/>
            <w:vAlign w:val="center"/>
          </w:tcPr>
          <w:p>
            <w:pPr>
              <w:rPr>
                <w:color w:val="auto"/>
                <w:highlight w:val="none"/>
              </w:rPr>
            </w:pPr>
            <w:r>
              <w:rPr>
                <w:rFonts w:hint="eastAsia"/>
                <w:color w:val="auto"/>
                <w:highlight w:val="none"/>
              </w:rPr>
              <w:t>序号</w:t>
            </w:r>
          </w:p>
        </w:tc>
        <w:tc>
          <w:tcPr>
            <w:tcW w:w="966" w:type="dxa"/>
            <w:noWrap w:val="0"/>
            <w:vAlign w:val="center"/>
          </w:tcPr>
          <w:p>
            <w:pPr>
              <w:rPr>
                <w:color w:val="auto"/>
                <w:highlight w:val="none"/>
              </w:rPr>
            </w:pPr>
            <w:r>
              <w:rPr>
                <w:rFonts w:hint="eastAsia"/>
                <w:color w:val="auto"/>
                <w:highlight w:val="none"/>
              </w:rPr>
              <w:t>产品</w:t>
            </w:r>
          </w:p>
          <w:p>
            <w:pPr>
              <w:rPr>
                <w:color w:val="auto"/>
                <w:highlight w:val="none"/>
              </w:rPr>
            </w:pPr>
            <w:r>
              <w:rPr>
                <w:rFonts w:hint="eastAsia"/>
                <w:color w:val="auto"/>
                <w:highlight w:val="none"/>
              </w:rPr>
              <w:t>名称</w:t>
            </w:r>
          </w:p>
        </w:tc>
        <w:tc>
          <w:tcPr>
            <w:tcW w:w="6589" w:type="dxa"/>
            <w:noWrap w:val="0"/>
            <w:vAlign w:val="center"/>
          </w:tcPr>
          <w:p>
            <w:pPr>
              <w:rPr>
                <w:color w:val="auto"/>
                <w:highlight w:val="none"/>
              </w:rPr>
            </w:pPr>
            <w:r>
              <w:rPr>
                <w:rFonts w:hint="eastAsia"/>
                <w:color w:val="auto"/>
                <w:highlight w:val="none"/>
              </w:rPr>
              <w:t>产品技术要求</w:t>
            </w:r>
          </w:p>
        </w:tc>
        <w:tc>
          <w:tcPr>
            <w:tcW w:w="567" w:type="dxa"/>
            <w:noWrap w:val="0"/>
            <w:vAlign w:val="center"/>
          </w:tcPr>
          <w:p>
            <w:pPr>
              <w:rPr>
                <w:color w:val="auto"/>
                <w:highlight w:val="none"/>
              </w:rPr>
            </w:pPr>
            <w:r>
              <w:rPr>
                <w:rFonts w:hint="eastAsia"/>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3" w:type="dxa"/>
            <w:noWrap w:val="0"/>
            <w:vAlign w:val="center"/>
          </w:tcPr>
          <w:p>
            <w:pPr>
              <w:rPr>
                <w:color w:val="auto"/>
                <w:highlight w:val="none"/>
              </w:rPr>
            </w:pPr>
            <w:r>
              <w:rPr>
                <w:color w:val="auto"/>
                <w:highlight w:val="none"/>
              </w:rPr>
              <w:t>1.</w:t>
            </w:r>
          </w:p>
        </w:tc>
        <w:tc>
          <w:tcPr>
            <w:tcW w:w="966" w:type="dxa"/>
            <w:noWrap w:val="0"/>
            <w:vAlign w:val="center"/>
          </w:tcPr>
          <w:p>
            <w:pPr>
              <w:rPr>
                <w:color w:val="auto"/>
                <w:highlight w:val="none"/>
              </w:rPr>
            </w:pPr>
            <w:r>
              <w:rPr>
                <w:rFonts w:hint="eastAsia"/>
                <w:color w:val="auto"/>
                <w:highlight w:val="none"/>
              </w:rPr>
              <w:t>钢塑复合管</w:t>
            </w:r>
          </w:p>
        </w:tc>
        <w:tc>
          <w:tcPr>
            <w:tcW w:w="6589" w:type="dxa"/>
            <w:noWrap w:val="0"/>
            <w:vAlign w:val="center"/>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）制造商注册资本：不少于</w:t>
            </w:r>
            <w:r>
              <w:rPr>
                <w:color w:val="auto"/>
                <w:highlight w:val="none"/>
              </w:rPr>
              <w:t>2000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2</w:t>
            </w:r>
            <w:r>
              <w:rPr>
                <w:rFonts w:hint="eastAsia"/>
                <w:color w:val="auto"/>
                <w:highlight w:val="none"/>
              </w:rPr>
              <w:t>）制造商应通过</w:t>
            </w:r>
            <w:r>
              <w:rPr>
                <w:color w:val="auto"/>
                <w:highlight w:val="none"/>
              </w:rPr>
              <w:t>ISO9001</w:t>
            </w:r>
            <w:r>
              <w:rPr>
                <w:rFonts w:hint="eastAsia"/>
                <w:color w:val="auto"/>
                <w:highlight w:val="none"/>
              </w:rPr>
              <w:t>：</w:t>
            </w:r>
            <w:r>
              <w:rPr>
                <w:color w:val="auto"/>
                <w:highlight w:val="none"/>
              </w:rPr>
              <w:t>2000</w:t>
            </w:r>
            <w:r>
              <w:rPr>
                <w:rFonts w:hint="eastAsia"/>
                <w:color w:val="auto"/>
                <w:highlight w:val="none"/>
              </w:rPr>
              <w:t>质量管理体系认证。</w:t>
            </w:r>
          </w:p>
          <w:p>
            <w:pPr>
              <w:rPr>
                <w:color w:val="auto"/>
                <w:highlight w:val="none"/>
              </w:rPr>
            </w:pPr>
            <w:r>
              <w:rPr>
                <w:rFonts w:hint="eastAsia"/>
                <w:color w:val="auto"/>
                <w:highlight w:val="none"/>
              </w:rPr>
              <w:t>（</w:t>
            </w:r>
            <w:r>
              <w:rPr>
                <w:color w:val="auto"/>
                <w:highlight w:val="none"/>
              </w:rPr>
              <w:t>3</w:t>
            </w:r>
            <w:r>
              <w:rPr>
                <w:rFonts w:hint="eastAsia"/>
                <w:color w:val="auto"/>
                <w:highlight w:val="none"/>
              </w:rPr>
              <w:t>）产品应为省级以上名牌产品，或省级以上著名商标，或国家免检产品。</w:t>
            </w:r>
          </w:p>
          <w:p>
            <w:pPr>
              <w:rPr>
                <w:color w:val="auto"/>
                <w:highlight w:val="none"/>
              </w:rPr>
            </w:pPr>
            <w:r>
              <w:rPr>
                <w:rFonts w:hint="eastAsia"/>
                <w:color w:val="auto"/>
                <w:highlight w:val="none"/>
              </w:rPr>
              <w:t>（</w:t>
            </w:r>
            <w:r>
              <w:rPr>
                <w:color w:val="auto"/>
                <w:highlight w:val="none"/>
              </w:rPr>
              <w:t>4</w:t>
            </w:r>
            <w:r>
              <w:rPr>
                <w:rFonts w:hint="eastAsia"/>
                <w:color w:val="auto"/>
                <w:highlight w:val="none"/>
              </w:rPr>
              <w:t>）制造商在深圳地区设有完善的售后服务机构。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）管材应符合</w:t>
            </w:r>
            <w:r>
              <w:rPr>
                <w:color w:val="auto"/>
                <w:highlight w:val="none"/>
              </w:rPr>
              <w:t>CJ/T136-2007</w:t>
            </w:r>
            <w:r>
              <w:rPr>
                <w:rFonts w:hint="eastAsia"/>
                <w:color w:val="auto"/>
                <w:highlight w:val="none"/>
              </w:rPr>
              <w:t>《给水衬塑复合钢管》的要求。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）管材的压力等级应符合设计要求。</w:t>
            </w:r>
          </w:p>
          <w:p>
            <w:pPr>
              <w:rPr>
                <w:color w:val="auto"/>
                <w:highlight w:val="none"/>
              </w:rPr>
            </w:pPr>
            <w:r>
              <w:rPr>
                <w:rFonts w:hint="eastAsia"/>
                <w:color w:val="auto"/>
                <w:highlight w:val="none"/>
              </w:rPr>
              <w:t>（</w:t>
            </w:r>
            <w:r>
              <w:rPr>
                <w:color w:val="auto"/>
                <w:highlight w:val="none"/>
              </w:rPr>
              <w:t>3</w:t>
            </w:r>
            <w:r>
              <w:rPr>
                <w:rFonts w:hint="eastAsia"/>
                <w:color w:val="auto"/>
                <w:highlight w:val="none"/>
              </w:rPr>
              <w:t>）产品应具有省级以上卫生防疫部门颁发的“卫生许可证”。</w:t>
            </w:r>
          </w:p>
          <w:p>
            <w:pPr>
              <w:rPr>
                <w:color w:val="auto"/>
                <w:highlight w:val="none"/>
              </w:rPr>
            </w:pPr>
            <w:r>
              <w:rPr>
                <w:rFonts w:hint="eastAsia"/>
                <w:color w:val="auto"/>
                <w:highlight w:val="none"/>
              </w:rPr>
              <w:t>（</w:t>
            </w:r>
            <w:r>
              <w:rPr>
                <w:color w:val="auto"/>
                <w:highlight w:val="none"/>
              </w:rPr>
              <w:t>4</w:t>
            </w:r>
            <w:r>
              <w:rPr>
                <w:rFonts w:hint="eastAsia"/>
                <w:color w:val="auto"/>
                <w:highlight w:val="none"/>
              </w:rPr>
              <w:t>）被衬塑的钢管应符合</w:t>
            </w:r>
            <w:r>
              <w:rPr>
                <w:color w:val="auto"/>
                <w:highlight w:val="none"/>
              </w:rPr>
              <w:t>GB/T3091—2008</w:t>
            </w:r>
            <w:r>
              <w:rPr>
                <w:rFonts w:hint="eastAsia"/>
                <w:color w:val="auto"/>
                <w:highlight w:val="none"/>
              </w:rPr>
              <w:t>《低压流体输送用镀锌焊接钢管》的要求，并应符合其对镀锌层的要求。</w:t>
            </w:r>
          </w:p>
          <w:p>
            <w:pPr>
              <w:rPr>
                <w:color w:val="auto"/>
                <w:highlight w:val="none"/>
              </w:rPr>
            </w:pPr>
            <w:r>
              <w:rPr>
                <w:rFonts w:hint="eastAsia"/>
                <w:color w:val="auto"/>
                <w:highlight w:val="none"/>
              </w:rPr>
              <w:t>（</w:t>
            </w:r>
            <w:r>
              <w:rPr>
                <w:color w:val="auto"/>
                <w:highlight w:val="none"/>
              </w:rPr>
              <w:t>5</w:t>
            </w:r>
            <w:r>
              <w:rPr>
                <w:rFonts w:hint="eastAsia"/>
                <w:color w:val="auto"/>
                <w:highlight w:val="none"/>
              </w:rPr>
              <w:t>）冷水用衬塑钢管的内衬塑材料可选用</w:t>
            </w:r>
            <w:r>
              <w:rPr>
                <w:color w:val="auto"/>
                <w:highlight w:val="none"/>
              </w:rPr>
              <w:t>PE</w:t>
            </w:r>
            <w:r>
              <w:rPr>
                <w:rFonts w:hint="eastAsia"/>
                <w:color w:val="auto"/>
                <w:highlight w:val="none"/>
              </w:rPr>
              <w:t>、</w:t>
            </w:r>
            <w:r>
              <w:rPr>
                <w:color w:val="auto"/>
                <w:highlight w:val="none"/>
              </w:rPr>
              <w:t>PPR</w:t>
            </w:r>
            <w:r>
              <w:rPr>
                <w:rFonts w:hint="eastAsia"/>
                <w:color w:val="auto"/>
                <w:highlight w:val="none"/>
              </w:rPr>
              <w:t>等，并应符合相关国家或行业标准对塑料的要求。</w:t>
            </w:r>
          </w:p>
          <w:p>
            <w:pPr>
              <w:rPr>
                <w:color w:val="auto"/>
                <w:highlight w:val="none"/>
              </w:rPr>
            </w:pPr>
            <w:r>
              <w:rPr>
                <w:rFonts w:hint="eastAsia"/>
                <w:color w:val="auto"/>
                <w:highlight w:val="none"/>
              </w:rPr>
              <w:t>（</w:t>
            </w:r>
            <w:r>
              <w:rPr>
                <w:color w:val="auto"/>
                <w:highlight w:val="none"/>
              </w:rPr>
              <w:t>6</w:t>
            </w:r>
            <w:r>
              <w:rPr>
                <w:rFonts w:hint="eastAsia"/>
                <w:color w:val="auto"/>
                <w:highlight w:val="none"/>
              </w:rPr>
              <w:t>）热水用衬塑钢管的内衬塑材料可选用</w:t>
            </w:r>
            <w:r>
              <w:rPr>
                <w:color w:val="auto"/>
                <w:highlight w:val="none"/>
              </w:rPr>
              <w:t>PPR</w:t>
            </w:r>
            <w:r>
              <w:rPr>
                <w:rFonts w:hint="eastAsia"/>
                <w:color w:val="auto"/>
                <w:highlight w:val="none"/>
              </w:rPr>
              <w:t>、</w:t>
            </w:r>
            <w:r>
              <w:rPr>
                <w:color w:val="auto"/>
                <w:highlight w:val="none"/>
              </w:rPr>
              <w:t>PE-X</w:t>
            </w:r>
            <w:r>
              <w:rPr>
                <w:rFonts w:hint="eastAsia"/>
                <w:color w:val="auto"/>
                <w:highlight w:val="none"/>
              </w:rPr>
              <w:t>等，并应符合相关国家或行业标准对塑料的要求。</w:t>
            </w:r>
          </w:p>
          <w:p>
            <w:pPr>
              <w:rPr>
                <w:color w:val="auto"/>
                <w:highlight w:val="none"/>
              </w:rPr>
            </w:pPr>
            <w:r>
              <w:rPr>
                <w:rFonts w:hint="eastAsia"/>
                <w:color w:val="auto"/>
                <w:highlight w:val="none"/>
              </w:rPr>
              <w:t>（</w:t>
            </w:r>
            <w:r>
              <w:rPr>
                <w:color w:val="auto"/>
                <w:highlight w:val="none"/>
              </w:rPr>
              <w:t>7</w:t>
            </w:r>
            <w:r>
              <w:rPr>
                <w:rFonts w:hint="eastAsia"/>
                <w:color w:val="auto"/>
                <w:highlight w:val="none"/>
              </w:rPr>
              <w:t>）用于输送热水的衬塑钢管应进行耐冷热循环性能检测，并应符合相关标准要求。</w:t>
            </w:r>
          </w:p>
          <w:p>
            <w:pPr>
              <w:rPr>
                <w:color w:val="auto"/>
                <w:highlight w:val="none"/>
              </w:rPr>
            </w:pPr>
            <w:r>
              <w:rPr>
                <w:rFonts w:hint="eastAsia"/>
                <w:color w:val="auto"/>
                <w:highlight w:val="none"/>
              </w:rPr>
              <w:t>（</w:t>
            </w:r>
            <w:r>
              <w:rPr>
                <w:color w:val="auto"/>
                <w:highlight w:val="none"/>
              </w:rPr>
              <w:t>8</w:t>
            </w:r>
            <w:r>
              <w:rPr>
                <w:rFonts w:hint="eastAsia"/>
                <w:color w:val="auto"/>
                <w:highlight w:val="none"/>
              </w:rPr>
              <w:t>）连接方式：</w:t>
            </w:r>
          </w:p>
          <w:p>
            <w:pPr>
              <w:rPr>
                <w:color w:val="auto"/>
                <w:highlight w:val="none"/>
              </w:rPr>
            </w:pPr>
            <w:r>
              <w:rPr>
                <w:color w:val="auto"/>
                <w:highlight w:val="none"/>
              </w:rPr>
              <w:t>1</w:t>
            </w:r>
            <w:r>
              <w:rPr>
                <w:rFonts w:hint="eastAsia"/>
                <w:color w:val="auto"/>
                <w:highlight w:val="none"/>
              </w:rPr>
              <w:t>）管径</w:t>
            </w:r>
            <w:r>
              <w:rPr>
                <w:color w:val="auto"/>
                <w:highlight w:val="none"/>
              </w:rPr>
              <w:t>&lt;DN100</w:t>
            </w:r>
            <w:r>
              <w:rPr>
                <w:rFonts w:hint="eastAsia"/>
                <w:color w:val="auto"/>
                <w:highlight w:val="none"/>
              </w:rPr>
              <w:t>采用螺纹连接，</w:t>
            </w:r>
          </w:p>
          <w:p>
            <w:pPr>
              <w:rPr>
                <w:color w:val="auto"/>
                <w:highlight w:val="none"/>
              </w:rPr>
            </w:pPr>
            <w:r>
              <w:rPr>
                <w:color w:val="auto"/>
                <w:highlight w:val="none"/>
              </w:rPr>
              <w:t>2</w:t>
            </w:r>
            <w:r>
              <w:rPr>
                <w:rFonts w:hint="eastAsia"/>
                <w:color w:val="auto"/>
                <w:highlight w:val="none"/>
              </w:rPr>
              <w:t>）管径≥</w:t>
            </w:r>
            <w:r>
              <w:rPr>
                <w:color w:val="auto"/>
                <w:highlight w:val="none"/>
              </w:rPr>
              <w:t>DN100</w:t>
            </w:r>
            <w:r>
              <w:rPr>
                <w:rFonts w:hint="eastAsia"/>
                <w:color w:val="auto"/>
                <w:highlight w:val="none"/>
              </w:rPr>
              <w:t>采用卡箍连接。</w:t>
            </w:r>
          </w:p>
          <w:p>
            <w:pPr>
              <w:rPr>
                <w:color w:val="auto"/>
                <w:highlight w:val="none"/>
              </w:rPr>
            </w:pPr>
            <w:r>
              <w:rPr>
                <w:rFonts w:hint="eastAsia"/>
                <w:color w:val="auto"/>
                <w:highlight w:val="none"/>
              </w:rPr>
              <w:t>（</w:t>
            </w:r>
            <w:r>
              <w:rPr>
                <w:color w:val="auto"/>
                <w:highlight w:val="none"/>
              </w:rPr>
              <w:t>9</w:t>
            </w:r>
            <w:r>
              <w:rPr>
                <w:rFonts w:hint="eastAsia"/>
                <w:color w:val="auto"/>
                <w:highlight w:val="none"/>
              </w:rPr>
              <w:t>）应由管材供应商配套提供管材、管件，专用机具和辅料，并遵照有关标准进行施工连接。</w:t>
            </w:r>
          </w:p>
          <w:p>
            <w:pPr>
              <w:rPr>
                <w:color w:val="auto"/>
                <w:highlight w:val="none"/>
              </w:rPr>
            </w:pPr>
          </w:p>
        </w:tc>
        <w:tc>
          <w:tcPr>
            <w:tcW w:w="567"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3" w:type="dxa"/>
            <w:noWrap w:val="0"/>
            <w:vAlign w:val="center"/>
          </w:tcPr>
          <w:p>
            <w:pPr>
              <w:rPr>
                <w:color w:val="auto"/>
                <w:highlight w:val="none"/>
              </w:rPr>
            </w:pPr>
            <w:r>
              <w:rPr>
                <w:color w:val="auto"/>
                <w:highlight w:val="none"/>
              </w:rPr>
              <w:t>2.</w:t>
            </w:r>
          </w:p>
        </w:tc>
        <w:tc>
          <w:tcPr>
            <w:tcW w:w="966" w:type="dxa"/>
            <w:noWrap w:val="0"/>
            <w:vAlign w:val="center"/>
          </w:tcPr>
          <w:p>
            <w:pPr>
              <w:rPr>
                <w:color w:val="auto"/>
                <w:highlight w:val="none"/>
              </w:rPr>
            </w:pPr>
            <w:r>
              <w:rPr>
                <w:rFonts w:hint="eastAsia"/>
                <w:color w:val="auto"/>
                <w:highlight w:val="none"/>
              </w:rPr>
              <w:t>薄壁不锈钢管及管件</w:t>
            </w:r>
          </w:p>
        </w:tc>
        <w:tc>
          <w:tcPr>
            <w:tcW w:w="6589" w:type="dxa"/>
            <w:noWrap w:val="0"/>
            <w:vAlign w:val="center"/>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）营业执照所示营业范围应符合要求。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）制造商应通过</w:t>
            </w:r>
            <w:r>
              <w:rPr>
                <w:color w:val="auto"/>
                <w:highlight w:val="none"/>
              </w:rPr>
              <w:t>ISO9001</w:t>
            </w:r>
            <w:r>
              <w:rPr>
                <w:rFonts w:hint="eastAsia"/>
                <w:color w:val="auto"/>
                <w:highlight w:val="none"/>
              </w:rPr>
              <w:t>：</w:t>
            </w:r>
            <w:r>
              <w:rPr>
                <w:color w:val="auto"/>
                <w:highlight w:val="none"/>
              </w:rPr>
              <w:t>2000</w:t>
            </w:r>
            <w:r>
              <w:rPr>
                <w:rFonts w:hint="eastAsia"/>
                <w:color w:val="auto"/>
                <w:highlight w:val="none"/>
              </w:rPr>
              <w:t>质量管理体系认证。</w:t>
            </w:r>
          </w:p>
          <w:p>
            <w:pPr>
              <w:rPr>
                <w:color w:val="auto"/>
                <w:highlight w:val="none"/>
              </w:rPr>
            </w:pPr>
            <w:r>
              <w:rPr>
                <w:rFonts w:hint="eastAsia"/>
                <w:color w:val="auto"/>
                <w:highlight w:val="none"/>
              </w:rPr>
              <w:t>（</w:t>
            </w:r>
            <w:r>
              <w:rPr>
                <w:color w:val="auto"/>
                <w:highlight w:val="none"/>
              </w:rPr>
              <w:t>3</w:t>
            </w:r>
            <w:r>
              <w:rPr>
                <w:rFonts w:hint="eastAsia"/>
                <w:color w:val="auto"/>
                <w:highlight w:val="none"/>
              </w:rPr>
              <w:t>）制造商注册资本：不少于</w:t>
            </w:r>
            <w:r>
              <w:rPr>
                <w:color w:val="auto"/>
                <w:highlight w:val="none"/>
              </w:rPr>
              <w:t>1000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4</w:t>
            </w:r>
            <w:r>
              <w:rPr>
                <w:rFonts w:hint="eastAsia"/>
                <w:color w:val="auto"/>
                <w:highlight w:val="none"/>
              </w:rPr>
              <w:t>）制造商在深圳地区设有完善的售后服务机构。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）管材规格、压力等级、加工质量等，应符合</w:t>
            </w:r>
            <w:r>
              <w:rPr>
                <w:color w:val="auto"/>
                <w:highlight w:val="none"/>
              </w:rPr>
              <w:t>GB/T19228-2011</w:t>
            </w:r>
            <w:r>
              <w:rPr>
                <w:rFonts w:hint="eastAsia"/>
                <w:color w:val="auto"/>
                <w:highlight w:val="none"/>
              </w:rPr>
              <w:t>国家标准，并应符合设计要求。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）管材及管件材质最低要求为</w:t>
            </w:r>
            <w:r>
              <w:rPr>
                <w:color w:val="auto"/>
                <w:highlight w:val="none"/>
              </w:rPr>
              <w:t>SUS304</w:t>
            </w:r>
            <w:r>
              <w:rPr>
                <w:rFonts w:hint="eastAsia"/>
                <w:color w:val="auto"/>
                <w:highlight w:val="none"/>
              </w:rPr>
              <w:t>。</w:t>
            </w:r>
          </w:p>
          <w:p>
            <w:pPr>
              <w:rPr>
                <w:color w:val="auto"/>
                <w:highlight w:val="none"/>
              </w:rPr>
            </w:pPr>
            <w:r>
              <w:rPr>
                <w:rFonts w:hint="eastAsia"/>
                <w:color w:val="auto"/>
                <w:highlight w:val="none"/>
              </w:rPr>
              <w:t>（</w:t>
            </w:r>
            <w:r>
              <w:rPr>
                <w:color w:val="auto"/>
                <w:highlight w:val="none"/>
              </w:rPr>
              <w:t>3</w:t>
            </w:r>
            <w:r>
              <w:rPr>
                <w:rFonts w:hint="eastAsia"/>
                <w:color w:val="auto"/>
                <w:highlight w:val="none"/>
              </w:rPr>
              <w:t>）产品应具有省级以上卫生防疫部门颁发的“卫生许可证”。</w:t>
            </w:r>
          </w:p>
          <w:p>
            <w:pPr>
              <w:rPr>
                <w:color w:val="auto"/>
                <w:highlight w:val="none"/>
              </w:rPr>
            </w:pPr>
            <w:r>
              <w:rPr>
                <w:rFonts w:hint="eastAsia"/>
                <w:color w:val="auto"/>
                <w:highlight w:val="none"/>
              </w:rPr>
              <w:t>（</w:t>
            </w:r>
            <w:r>
              <w:rPr>
                <w:color w:val="auto"/>
                <w:highlight w:val="none"/>
              </w:rPr>
              <w:t>4</w:t>
            </w:r>
            <w:r>
              <w:rPr>
                <w:rFonts w:hint="eastAsia"/>
                <w:color w:val="auto"/>
                <w:highlight w:val="none"/>
              </w:rPr>
              <w:t>）管道壁厚应符合国家标准要求。</w:t>
            </w:r>
          </w:p>
          <w:p>
            <w:pPr>
              <w:rPr>
                <w:color w:val="auto"/>
                <w:highlight w:val="none"/>
              </w:rPr>
            </w:pPr>
            <w:r>
              <w:rPr>
                <w:rFonts w:hint="eastAsia"/>
                <w:color w:val="auto"/>
                <w:highlight w:val="none"/>
              </w:rPr>
              <w:t>（</w:t>
            </w:r>
            <w:r>
              <w:rPr>
                <w:color w:val="auto"/>
                <w:highlight w:val="none"/>
              </w:rPr>
              <w:t>5</w:t>
            </w:r>
            <w:r>
              <w:rPr>
                <w:rFonts w:hint="eastAsia"/>
                <w:color w:val="auto"/>
                <w:highlight w:val="none"/>
              </w:rPr>
              <w:t>）采用双卡压连接。暗装管道采用外覆塑薄壁不锈钢管，埋地管须按设计要求采取防腐措施。</w:t>
            </w:r>
          </w:p>
          <w:p>
            <w:pPr>
              <w:rPr>
                <w:color w:val="auto"/>
                <w:highlight w:val="none"/>
              </w:rPr>
            </w:pPr>
            <w:r>
              <w:rPr>
                <w:rFonts w:hint="eastAsia"/>
                <w:color w:val="auto"/>
                <w:highlight w:val="none"/>
              </w:rPr>
              <w:t>管材、管件应为同一品牌产品。</w:t>
            </w:r>
          </w:p>
          <w:p>
            <w:pPr>
              <w:rPr>
                <w:color w:val="auto"/>
                <w:highlight w:val="none"/>
              </w:rPr>
            </w:pPr>
            <w:r>
              <w:rPr>
                <w:rFonts w:hint="eastAsia"/>
                <w:color w:val="auto"/>
                <w:highlight w:val="none"/>
              </w:rPr>
              <w:t>（</w:t>
            </w:r>
            <w:r>
              <w:rPr>
                <w:color w:val="auto"/>
                <w:highlight w:val="none"/>
              </w:rPr>
              <w:t>6</w:t>
            </w:r>
            <w:r>
              <w:rPr>
                <w:rFonts w:hint="eastAsia"/>
                <w:color w:val="auto"/>
                <w:highlight w:val="none"/>
              </w:rPr>
              <w:t>）管卡为原厂配套不锈钢管卡或包胶管卡。</w:t>
            </w:r>
          </w:p>
          <w:p>
            <w:pPr>
              <w:rPr>
                <w:color w:val="auto"/>
                <w:highlight w:val="none"/>
              </w:rPr>
            </w:pPr>
          </w:p>
        </w:tc>
        <w:tc>
          <w:tcPr>
            <w:tcW w:w="567"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3" w:type="dxa"/>
            <w:noWrap w:val="0"/>
            <w:vAlign w:val="center"/>
          </w:tcPr>
          <w:p>
            <w:pPr>
              <w:rPr>
                <w:color w:val="auto"/>
                <w:highlight w:val="none"/>
              </w:rPr>
            </w:pPr>
            <w:r>
              <w:rPr>
                <w:color w:val="auto"/>
                <w:highlight w:val="none"/>
              </w:rPr>
              <w:t>3.</w:t>
            </w:r>
          </w:p>
        </w:tc>
        <w:tc>
          <w:tcPr>
            <w:tcW w:w="966" w:type="dxa"/>
            <w:noWrap w:val="0"/>
            <w:vAlign w:val="center"/>
          </w:tcPr>
          <w:p>
            <w:pPr>
              <w:rPr>
                <w:color w:val="auto"/>
                <w:highlight w:val="none"/>
              </w:rPr>
            </w:pPr>
            <w:r>
              <w:rPr>
                <w:color w:val="auto"/>
                <w:highlight w:val="none"/>
              </w:rPr>
              <w:t>PPR</w:t>
            </w:r>
            <w:r>
              <w:rPr>
                <w:rFonts w:hint="eastAsia"/>
                <w:color w:val="auto"/>
                <w:highlight w:val="none"/>
              </w:rPr>
              <w:t>塑料管</w:t>
            </w:r>
          </w:p>
        </w:tc>
        <w:tc>
          <w:tcPr>
            <w:tcW w:w="6589" w:type="dxa"/>
            <w:noWrap w:val="0"/>
            <w:vAlign w:val="center"/>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）营业执照所示营业范围应符合要求。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）制造商应通过</w:t>
            </w:r>
            <w:r>
              <w:rPr>
                <w:color w:val="auto"/>
                <w:highlight w:val="none"/>
              </w:rPr>
              <w:t>ISO9001</w:t>
            </w:r>
            <w:r>
              <w:rPr>
                <w:rFonts w:hint="eastAsia"/>
                <w:color w:val="auto"/>
                <w:highlight w:val="none"/>
              </w:rPr>
              <w:t>：</w:t>
            </w:r>
            <w:r>
              <w:rPr>
                <w:color w:val="auto"/>
                <w:highlight w:val="none"/>
              </w:rPr>
              <w:t>2000</w:t>
            </w:r>
            <w:r>
              <w:rPr>
                <w:rFonts w:hint="eastAsia"/>
                <w:color w:val="auto"/>
                <w:highlight w:val="none"/>
              </w:rPr>
              <w:t>质量管理体系认证及</w:t>
            </w:r>
            <w:r>
              <w:rPr>
                <w:color w:val="auto"/>
                <w:highlight w:val="none"/>
              </w:rPr>
              <w:t>ISO14001</w:t>
            </w:r>
            <w:r>
              <w:rPr>
                <w:rFonts w:hint="eastAsia"/>
                <w:color w:val="auto"/>
                <w:highlight w:val="none"/>
              </w:rPr>
              <w:t>：</w:t>
            </w:r>
            <w:r>
              <w:rPr>
                <w:color w:val="auto"/>
                <w:highlight w:val="none"/>
              </w:rPr>
              <w:t xml:space="preserve">1996 </w:t>
            </w:r>
            <w:r>
              <w:rPr>
                <w:rFonts w:hint="eastAsia"/>
                <w:color w:val="auto"/>
                <w:highlight w:val="none"/>
              </w:rPr>
              <w:t>环境管理体系认证。并须提供国家化学建筑材料测试中心出具的检测报告证明。</w:t>
            </w:r>
          </w:p>
          <w:p>
            <w:pPr>
              <w:rPr>
                <w:color w:val="auto"/>
                <w:highlight w:val="none"/>
              </w:rPr>
            </w:pPr>
            <w:r>
              <w:rPr>
                <w:rFonts w:hint="eastAsia"/>
                <w:color w:val="auto"/>
                <w:highlight w:val="none"/>
              </w:rPr>
              <w:t>（</w:t>
            </w:r>
            <w:r>
              <w:rPr>
                <w:color w:val="auto"/>
                <w:highlight w:val="none"/>
              </w:rPr>
              <w:t>3</w:t>
            </w:r>
            <w:r>
              <w:rPr>
                <w:rFonts w:hint="eastAsia"/>
                <w:color w:val="auto"/>
                <w:highlight w:val="none"/>
              </w:rPr>
              <w:t>）制造商注册资本：不少于</w:t>
            </w:r>
            <w:r>
              <w:rPr>
                <w:color w:val="auto"/>
                <w:highlight w:val="none"/>
              </w:rPr>
              <w:t>2000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4</w:t>
            </w:r>
            <w:r>
              <w:rPr>
                <w:rFonts w:hint="eastAsia"/>
                <w:color w:val="auto"/>
                <w:highlight w:val="none"/>
              </w:rPr>
              <w:t>）制造商在深圳地区设有完善的售后服务机构。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）冷热水管材管件的规格、压力等级、加工质量等，应符合现行的国家或行业生产技术标准，同时满足饮用水管</w:t>
            </w:r>
            <w:r>
              <w:rPr>
                <w:color w:val="auto"/>
                <w:highlight w:val="none"/>
              </w:rPr>
              <w:t>GB/T 17219</w:t>
            </w:r>
            <w:r>
              <w:rPr>
                <w:rFonts w:hint="eastAsia"/>
                <w:color w:val="auto"/>
                <w:highlight w:val="none"/>
              </w:rPr>
              <w:t>标准要求，并应符合设计要求。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）须是绿色环保产品，卫生、无毒，产品应具有省级以上卫生防疫部门颁发的“卫生许可证”。</w:t>
            </w:r>
          </w:p>
          <w:p>
            <w:pPr>
              <w:rPr>
                <w:color w:val="auto"/>
                <w:highlight w:val="none"/>
              </w:rPr>
            </w:pPr>
            <w:r>
              <w:rPr>
                <w:rFonts w:hint="eastAsia"/>
                <w:color w:val="auto"/>
                <w:highlight w:val="none"/>
              </w:rPr>
              <w:t>（</w:t>
            </w:r>
            <w:r>
              <w:rPr>
                <w:color w:val="auto"/>
                <w:highlight w:val="none"/>
              </w:rPr>
              <w:t>3</w:t>
            </w:r>
            <w:r>
              <w:rPr>
                <w:rFonts w:hint="eastAsia"/>
                <w:color w:val="auto"/>
                <w:highlight w:val="none"/>
              </w:rPr>
              <w:t>）应符合</w:t>
            </w:r>
            <w:r>
              <w:rPr>
                <w:color w:val="auto"/>
                <w:highlight w:val="none"/>
              </w:rPr>
              <w:t>GB/T18742-1</w:t>
            </w:r>
            <w:r>
              <w:rPr>
                <w:rFonts w:hint="eastAsia"/>
                <w:color w:val="auto"/>
                <w:highlight w:val="none"/>
              </w:rPr>
              <w:t>～</w:t>
            </w:r>
            <w:r>
              <w:rPr>
                <w:color w:val="auto"/>
                <w:highlight w:val="none"/>
              </w:rPr>
              <w:t>3-2002</w:t>
            </w:r>
            <w:r>
              <w:rPr>
                <w:rFonts w:hint="eastAsia"/>
                <w:color w:val="auto"/>
                <w:highlight w:val="none"/>
              </w:rPr>
              <w:t>《冷热水用聚丙烯管道系统》标准。</w:t>
            </w:r>
          </w:p>
          <w:p>
            <w:pPr>
              <w:rPr>
                <w:color w:val="auto"/>
                <w:highlight w:val="none"/>
              </w:rPr>
            </w:pPr>
            <w:r>
              <w:rPr>
                <w:rFonts w:hint="eastAsia"/>
                <w:color w:val="auto"/>
                <w:highlight w:val="none"/>
              </w:rPr>
              <w:t>（</w:t>
            </w:r>
            <w:r>
              <w:rPr>
                <w:color w:val="auto"/>
                <w:highlight w:val="none"/>
              </w:rPr>
              <w:t>4</w:t>
            </w:r>
            <w:r>
              <w:rPr>
                <w:rFonts w:hint="eastAsia"/>
                <w:color w:val="auto"/>
                <w:highlight w:val="none"/>
              </w:rPr>
              <w:t>）管材和管件的内外表面应光滑平整，壁厚均匀，无划痕，外壁颜色均匀，管材外壁应标注供应厂名称，产品型号，尺寸，生产日期，原材料型号，产品标准等。管材端口整齐，且端面应垂直于管材的轴线。</w:t>
            </w:r>
          </w:p>
          <w:p>
            <w:pPr>
              <w:rPr>
                <w:color w:val="auto"/>
                <w:highlight w:val="none"/>
              </w:rPr>
            </w:pPr>
            <w:r>
              <w:rPr>
                <w:rFonts w:hint="eastAsia"/>
                <w:color w:val="auto"/>
                <w:highlight w:val="none"/>
              </w:rPr>
              <w:t>（</w:t>
            </w:r>
            <w:r>
              <w:rPr>
                <w:color w:val="auto"/>
                <w:highlight w:val="none"/>
              </w:rPr>
              <w:t>5</w:t>
            </w:r>
            <w:r>
              <w:rPr>
                <w:rFonts w:hint="eastAsia"/>
                <w:color w:val="auto"/>
                <w:highlight w:val="none"/>
              </w:rPr>
              <w:t>）不允许使用再生料。</w:t>
            </w:r>
          </w:p>
          <w:p>
            <w:pPr>
              <w:rPr>
                <w:color w:val="auto"/>
                <w:highlight w:val="none"/>
              </w:rPr>
            </w:pPr>
            <w:r>
              <w:rPr>
                <w:rFonts w:hint="eastAsia"/>
                <w:color w:val="auto"/>
                <w:highlight w:val="none"/>
              </w:rPr>
              <w:t>（</w:t>
            </w:r>
            <w:r>
              <w:rPr>
                <w:color w:val="auto"/>
                <w:highlight w:val="none"/>
              </w:rPr>
              <w:t>6</w:t>
            </w:r>
            <w:r>
              <w:rPr>
                <w:rFonts w:hint="eastAsia"/>
                <w:color w:val="auto"/>
                <w:highlight w:val="none"/>
              </w:rPr>
              <w:t>）连接方式为热熔连接。</w:t>
            </w:r>
          </w:p>
          <w:p>
            <w:pPr>
              <w:rPr>
                <w:color w:val="auto"/>
                <w:highlight w:val="none"/>
              </w:rPr>
            </w:pPr>
            <w:r>
              <w:rPr>
                <w:rFonts w:hint="eastAsia"/>
                <w:color w:val="auto"/>
                <w:highlight w:val="none"/>
              </w:rPr>
              <w:t>（</w:t>
            </w:r>
            <w:r>
              <w:rPr>
                <w:color w:val="auto"/>
                <w:highlight w:val="none"/>
              </w:rPr>
              <w:t>7</w:t>
            </w:r>
            <w:r>
              <w:rPr>
                <w:rFonts w:hint="eastAsia"/>
                <w:color w:val="auto"/>
                <w:highlight w:val="none"/>
              </w:rPr>
              <w:t>）应由管材供应商配套提供管材、管件，专用机具和辅料。</w:t>
            </w:r>
          </w:p>
          <w:p>
            <w:pPr>
              <w:rPr>
                <w:color w:val="auto"/>
                <w:highlight w:val="none"/>
              </w:rPr>
            </w:pPr>
          </w:p>
        </w:tc>
        <w:tc>
          <w:tcPr>
            <w:tcW w:w="567"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3" w:type="dxa"/>
            <w:noWrap w:val="0"/>
            <w:vAlign w:val="center"/>
          </w:tcPr>
          <w:p>
            <w:pPr>
              <w:rPr>
                <w:color w:val="auto"/>
                <w:highlight w:val="none"/>
              </w:rPr>
            </w:pPr>
            <w:r>
              <w:rPr>
                <w:color w:val="auto"/>
                <w:highlight w:val="none"/>
              </w:rPr>
              <w:t>4.</w:t>
            </w:r>
          </w:p>
        </w:tc>
        <w:tc>
          <w:tcPr>
            <w:tcW w:w="966" w:type="dxa"/>
            <w:noWrap w:val="0"/>
            <w:vAlign w:val="center"/>
          </w:tcPr>
          <w:p>
            <w:pPr>
              <w:rPr>
                <w:color w:val="auto"/>
                <w:highlight w:val="none"/>
              </w:rPr>
            </w:pPr>
            <w:r>
              <w:rPr>
                <w:color w:val="auto"/>
                <w:highlight w:val="none"/>
              </w:rPr>
              <w:t>PE</w:t>
            </w:r>
            <w:r>
              <w:rPr>
                <w:rFonts w:hint="eastAsia"/>
                <w:color w:val="auto"/>
                <w:highlight w:val="none"/>
              </w:rPr>
              <w:t>给水管</w:t>
            </w:r>
          </w:p>
        </w:tc>
        <w:tc>
          <w:tcPr>
            <w:tcW w:w="6589" w:type="dxa"/>
            <w:noWrap w:val="0"/>
            <w:vAlign w:val="center"/>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）营业执照所示营业范围应符合要求。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）制造商要求通过</w:t>
            </w:r>
            <w:r>
              <w:rPr>
                <w:color w:val="auto"/>
                <w:highlight w:val="none"/>
              </w:rPr>
              <w:t>ISO9001</w:t>
            </w:r>
            <w:r>
              <w:rPr>
                <w:rFonts w:hint="eastAsia"/>
                <w:color w:val="auto"/>
                <w:highlight w:val="none"/>
              </w:rPr>
              <w:t>：</w:t>
            </w:r>
            <w:r>
              <w:rPr>
                <w:color w:val="auto"/>
                <w:highlight w:val="none"/>
              </w:rPr>
              <w:t>2000</w:t>
            </w:r>
            <w:r>
              <w:rPr>
                <w:rFonts w:hint="eastAsia"/>
                <w:color w:val="auto"/>
                <w:highlight w:val="none"/>
              </w:rPr>
              <w:t>质量体系认证。并须提供国家化学建筑材料测试中心出具的检测报告证明。</w:t>
            </w:r>
          </w:p>
          <w:p>
            <w:pPr>
              <w:rPr>
                <w:color w:val="auto"/>
                <w:highlight w:val="none"/>
              </w:rPr>
            </w:pPr>
            <w:r>
              <w:rPr>
                <w:rFonts w:hint="eastAsia"/>
                <w:color w:val="auto"/>
                <w:highlight w:val="none"/>
              </w:rPr>
              <w:t>（</w:t>
            </w:r>
            <w:r>
              <w:rPr>
                <w:color w:val="auto"/>
                <w:highlight w:val="none"/>
              </w:rPr>
              <w:t>3</w:t>
            </w:r>
            <w:r>
              <w:rPr>
                <w:rFonts w:hint="eastAsia"/>
                <w:color w:val="auto"/>
                <w:highlight w:val="none"/>
              </w:rPr>
              <w:t>）制造商注册资本不少于</w:t>
            </w:r>
            <w:r>
              <w:rPr>
                <w:color w:val="auto"/>
                <w:highlight w:val="none"/>
              </w:rPr>
              <w:t>2000</w:t>
            </w:r>
            <w:r>
              <w:rPr>
                <w:rFonts w:hint="eastAsia"/>
                <w:color w:val="auto"/>
                <w:highlight w:val="none"/>
              </w:rPr>
              <w:t>万元人民币。</w:t>
            </w:r>
          </w:p>
          <w:p>
            <w:pPr>
              <w:rPr>
                <w:color w:val="auto"/>
                <w:highlight w:val="none"/>
              </w:rPr>
            </w:pPr>
            <w:r>
              <w:rPr>
                <w:rFonts w:hint="eastAsia"/>
                <w:color w:val="auto"/>
                <w:highlight w:val="none"/>
              </w:rPr>
              <w:t>（</w:t>
            </w:r>
            <w:r>
              <w:rPr>
                <w:color w:val="auto"/>
                <w:highlight w:val="none"/>
              </w:rPr>
              <w:t>4</w:t>
            </w:r>
            <w:r>
              <w:rPr>
                <w:rFonts w:hint="eastAsia"/>
                <w:color w:val="auto"/>
                <w:highlight w:val="none"/>
              </w:rPr>
              <w:t>）制造商在深圳地区设有完善的售后服务机构。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）管材和管件规格、压力等级、加工质量等，应符合现行的国家或行业生产技术标准，并应符合设计要求。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）产品应具有省级以上卫生防疫部门颁发的“卫生许可证”。（</w:t>
            </w:r>
            <w:r>
              <w:rPr>
                <w:color w:val="auto"/>
                <w:highlight w:val="none"/>
              </w:rPr>
              <w:t>3</w:t>
            </w:r>
            <w:r>
              <w:rPr>
                <w:rFonts w:hint="eastAsia"/>
                <w:color w:val="auto"/>
                <w:highlight w:val="none"/>
              </w:rPr>
              <w:t>）管材满足饮用水管</w:t>
            </w:r>
            <w:r>
              <w:rPr>
                <w:color w:val="auto"/>
                <w:highlight w:val="none"/>
              </w:rPr>
              <w:t>GB/T 17219</w:t>
            </w:r>
            <w:r>
              <w:rPr>
                <w:rFonts w:hint="eastAsia"/>
                <w:color w:val="auto"/>
                <w:highlight w:val="none"/>
              </w:rPr>
              <w:t>标准要求。</w:t>
            </w:r>
          </w:p>
          <w:p>
            <w:pPr>
              <w:rPr>
                <w:color w:val="auto"/>
                <w:highlight w:val="none"/>
              </w:rPr>
            </w:pPr>
            <w:r>
              <w:rPr>
                <w:rFonts w:hint="eastAsia"/>
                <w:color w:val="auto"/>
                <w:highlight w:val="none"/>
              </w:rPr>
              <w:t>（</w:t>
            </w:r>
            <w:r>
              <w:rPr>
                <w:color w:val="auto"/>
                <w:highlight w:val="none"/>
              </w:rPr>
              <w:t>4</w:t>
            </w:r>
            <w:r>
              <w:rPr>
                <w:rFonts w:hint="eastAsia"/>
                <w:color w:val="auto"/>
                <w:highlight w:val="none"/>
              </w:rPr>
              <w:t>）管道应符合给水用聚乙烯</w:t>
            </w:r>
            <w:r>
              <w:rPr>
                <w:color w:val="auto"/>
                <w:highlight w:val="none"/>
              </w:rPr>
              <w:t>(PE)</w:t>
            </w:r>
            <w:r>
              <w:rPr>
                <w:rFonts w:hint="eastAsia"/>
                <w:color w:val="auto"/>
                <w:highlight w:val="none"/>
              </w:rPr>
              <w:t>管材</w:t>
            </w:r>
            <w:r>
              <w:rPr>
                <w:color w:val="auto"/>
                <w:highlight w:val="none"/>
              </w:rPr>
              <w:t>GB/T13663-2000</w:t>
            </w:r>
            <w:r>
              <w:rPr>
                <w:rFonts w:hint="eastAsia"/>
                <w:color w:val="auto"/>
                <w:highlight w:val="none"/>
              </w:rPr>
              <w:t>的规定；管件应符合</w:t>
            </w:r>
            <w:r>
              <w:rPr>
                <w:color w:val="auto"/>
                <w:highlight w:val="none"/>
              </w:rPr>
              <w:t>GB/T 13663.2-2005</w:t>
            </w:r>
            <w:r>
              <w:rPr>
                <w:rFonts w:hint="eastAsia"/>
                <w:color w:val="auto"/>
                <w:highlight w:val="none"/>
              </w:rPr>
              <w:t>《给水用聚乙烯（</w:t>
            </w:r>
            <w:r>
              <w:rPr>
                <w:color w:val="auto"/>
                <w:highlight w:val="none"/>
              </w:rPr>
              <w:t>PE</w:t>
            </w:r>
            <w:r>
              <w:rPr>
                <w:rFonts w:hint="eastAsia"/>
                <w:color w:val="auto"/>
                <w:highlight w:val="none"/>
              </w:rPr>
              <w:t>）管道系统第二部分：管件》的规定。</w:t>
            </w:r>
          </w:p>
          <w:p>
            <w:pPr>
              <w:rPr>
                <w:color w:val="auto"/>
                <w:highlight w:val="none"/>
              </w:rPr>
            </w:pPr>
            <w:r>
              <w:rPr>
                <w:rFonts w:hint="eastAsia"/>
                <w:color w:val="auto"/>
                <w:highlight w:val="none"/>
              </w:rPr>
              <w:t>（</w:t>
            </w:r>
            <w:r>
              <w:rPr>
                <w:color w:val="auto"/>
                <w:highlight w:val="none"/>
              </w:rPr>
              <w:t>5</w:t>
            </w:r>
            <w:r>
              <w:rPr>
                <w:rFonts w:hint="eastAsia"/>
                <w:color w:val="auto"/>
                <w:highlight w:val="none"/>
              </w:rPr>
              <w:t>）管材和管件应采用不低于</w:t>
            </w:r>
            <w:r>
              <w:rPr>
                <w:color w:val="auto"/>
                <w:highlight w:val="none"/>
              </w:rPr>
              <w:t>PE100</w:t>
            </w:r>
            <w:r>
              <w:rPr>
                <w:rFonts w:hint="eastAsia"/>
                <w:color w:val="auto"/>
                <w:highlight w:val="none"/>
              </w:rPr>
              <w:t>等级的材料制造。</w:t>
            </w:r>
          </w:p>
          <w:p>
            <w:pPr>
              <w:rPr>
                <w:color w:val="auto"/>
                <w:highlight w:val="none"/>
              </w:rPr>
            </w:pPr>
            <w:r>
              <w:rPr>
                <w:rFonts w:hint="eastAsia"/>
                <w:color w:val="auto"/>
                <w:highlight w:val="none"/>
              </w:rPr>
              <w:t>（</w:t>
            </w:r>
            <w:r>
              <w:rPr>
                <w:color w:val="auto"/>
                <w:highlight w:val="none"/>
              </w:rPr>
              <w:t>6</w:t>
            </w:r>
            <w:r>
              <w:rPr>
                <w:rFonts w:hint="eastAsia"/>
                <w:color w:val="auto"/>
                <w:highlight w:val="none"/>
              </w:rPr>
              <w:t>）管材和管件的内外表面应光滑平整，壁厚均匀，无划痕。管材外表应标注供应厂名称，产品型号，生产日期，产品标准等。管道连接方式采用热熔或电熔连接。</w:t>
            </w:r>
          </w:p>
          <w:p>
            <w:pPr>
              <w:rPr>
                <w:color w:val="auto"/>
                <w:highlight w:val="none"/>
              </w:rPr>
            </w:pPr>
            <w:r>
              <w:rPr>
                <w:rFonts w:hint="eastAsia"/>
                <w:color w:val="auto"/>
                <w:highlight w:val="none"/>
              </w:rPr>
              <w:t>（</w:t>
            </w:r>
            <w:r>
              <w:rPr>
                <w:color w:val="auto"/>
                <w:highlight w:val="none"/>
              </w:rPr>
              <w:t>7</w:t>
            </w:r>
            <w:r>
              <w:rPr>
                <w:rFonts w:hint="eastAsia"/>
                <w:color w:val="auto"/>
                <w:highlight w:val="none"/>
              </w:rPr>
              <w:t>）管材不允许使用再生料。</w:t>
            </w:r>
          </w:p>
          <w:p>
            <w:pPr>
              <w:rPr>
                <w:color w:val="auto"/>
                <w:highlight w:val="none"/>
              </w:rPr>
            </w:pPr>
            <w:r>
              <w:rPr>
                <w:rFonts w:hint="eastAsia"/>
                <w:color w:val="auto"/>
                <w:highlight w:val="none"/>
              </w:rPr>
              <w:t>（</w:t>
            </w:r>
            <w:r>
              <w:rPr>
                <w:color w:val="auto"/>
                <w:highlight w:val="none"/>
              </w:rPr>
              <w:t>8</w:t>
            </w:r>
            <w:r>
              <w:rPr>
                <w:rFonts w:hint="eastAsia"/>
                <w:color w:val="auto"/>
                <w:highlight w:val="none"/>
              </w:rPr>
              <w:t>）连接方式采用热熔或电熔连接，与设备连接采用法兰连接。</w:t>
            </w:r>
          </w:p>
          <w:p>
            <w:pPr>
              <w:rPr>
                <w:color w:val="auto"/>
                <w:highlight w:val="none"/>
              </w:rPr>
            </w:pPr>
            <w:r>
              <w:rPr>
                <w:rFonts w:hint="eastAsia"/>
                <w:color w:val="auto"/>
                <w:highlight w:val="none"/>
              </w:rPr>
              <w:t>（</w:t>
            </w:r>
            <w:r>
              <w:rPr>
                <w:color w:val="auto"/>
                <w:highlight w:val="none"/>
              </w:rPr>
              <w:t>9</w:t>
            </w:r>
            <w:r>
              <w:rPr>
                <w:rFonts w:hint="eastAsia"/>
                <w:color w:val="auto"/>
                <w:highlight w:val="none"/>
              </w:rPr>
              <w:t>）应由管材供应商配套提供管材、管件，专用机具和辅料。</w:t>
            </w:r>
          </w:p>
          <w:p>
            <w:pPr>
              <w:rPr>
                <w:color w:val="auto"/>
                <w:highlight w:val="none"/>
              </w:rPr>
            </w:pPr>
            <w:r>
              <w:rPr>
                <w:rFonts w:hint="eastAsia"/>
                <w:color w:val="auto"/>
                <w:highlight w:val="none"/>
              </w:rPr>
              <w:t>（</w:t>
            </w:r>
            <w:r>
              <w:rPr>
                <w:color w:val="auto"/>
                <w:highlight w:val="none"/>
              </w:rPr>
              <w:t>10</w:t>
            </w:r>
            <w:r>
              <w:rPr>
                <w:rFonts w:hint="eastAsia"/>
                <w:color w:val="auto"/>
                <w:highlight w:val="none"/>
              </w:rPr>
              <w:t>）用于室外埋地生活给水管道。</w:t>
            </w:r>
          </w:p>
          <w:p>
            <w:pPr>
              <w:rPr>
                <w:color w:val="auto"/>
                <w:highlight w:val="none"/>
              </w:rPr>
            </w:pPr>
          </w:p>
        </w:tc>
        <w:tc>
          <w:tcPr>
            <w:tcW w:w="567"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3" w:type="dxa"/>
            <w:noWrap w:val="0"/>
            <w:vAlign w:val="center"/>
          </w:tcPr>
          <w:p>
            <w:pPr>
              <w:rPr>
                <w:color w:val="auto"/>
                <w:highlight w:val="none"/>
              </w:rPr>
            </w:pPr>
            <w:r>
              <w:rPr>
                <w:color w:val="auto"/>
                <w:highlight w:val="none"/>
              </w:rPr>
              <w:t>5.</w:t>
            </w:r>
          </w:p>
        </w:tc>
        <w:tc>
          <w:tcPr>
            <w:tcW w:w="966" w:type="dxa"/>
            <w:noWrap w:val="0"/>
            <w:vAlign w:val="center"/>
          </w:tcPr>
          <w:p>
            <w:pPr>
              <w:rPr>
                <w:color w:val="auto"/>
                <w:highlight w:val="none"/>
              </w:rPr>
            </w:pPr>
            <w:r>
              <w:rPr>
                <w:color w:val="auto"/>
                <w:highlight w:val="none"/>
              </w:rPr>
              <w:t>PVC-U</w:t>
            </w:r>
            <w:r>
              <w:rPr>
                <w:rFonts w:hint="eastAsia"/>
                <w:color w:val="auto"/>
                <w:highlight w:val="none"/>
              </w:rPr>
              <w:t>给水管</w:t>
            </w:r>
          </w:p>
        </w:tc>
        <w:tc>
          <w:tcPr>
            <w:tcW w:w="658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）营业执照所示营业范围应符合要求。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）制造商应通过</w:t>
            </w:r>
            <w:r>
              <w:rPr>
                <w:color w:val="auto"/>
                <w:highlight w:val="none"/>
              </w:rPr>
              <w:t>ISO9001</w:t>
            </w:r>
            <w:r>
              <w:rPr>
                <w:rFonts w:hint="eastAsia"/>
                <w:color w:val="auto"/>
                <w:highlight w:val="none"/>
              </w:rPr>
              <w:t>：</w:t>
            </w:r>
            <w:r>
              <w:rPr>
                <w:color w:val="auto"/>
                <w:highlight w:val="none"/>
              </w:rPr>
              <w:t>2000</w:t>
            </w:r>
            <w:r>
              <w:rPr>
                <w:rFonts w:hint="eastAsia"/>
                <w:color w:val="auto"/>
                <w:highlight w:val="none"/>
              </w:rPr>
              <w:t>质量管理体系认证及</w:t>
            </w:r>
            <w:r>
              <w:rPr>
                <w:color w:val="auto"/>
                <w:highlight w:val="none"/>
              </w:rPr>
              <w:t>ISO14001</w:t>
            </w:r>
            <w:r>
              <w:rPr>
                <w:rFonts w:hint="eastAsia"/>
                <w:color w:val="auto"/>
                <w:highlight w:val="none"/>
              </w:rPr>
              <w:t>：</w:t>
            </w:r>
            <w:r>
              <w:rPr>
                <w:color w:val="auto"/>
                <w:highlight w:val="none"/>
              </w:rPr>
              <w:t xml:space="preserve">1996 </w:t>
            </w:r>
            <w:r>
              <w:rPr>
                <w:rFonts w:hint="eastAsia"/>
                <w:color w:val="auto"/>
                <w:highlight w:val="none"/>
              </w:rPr>
              <w:t>环境管理体系认证。</w:t>
            </w:r>
          </w:p>
          <w:p>
            <w:pPr>
              <w:rPr>
                <w:color w:val="auto"/>
                <w:highlight w:val="none"/>
              </w:rPr>
            </w:pPr>
            <w:r>
              <w:rPr>
                <w:rFonts w:hint="eastAsia"/>
                <w:color w:val="auto"/>
                <w:highlight w:val="none"/>
              </w:rPr>
              <w:t>（</w:t>
            </w:r>
            <w:r>
              <w:rPr>
                <w:color w:val="auto"/>
                <w:highlight w:val="none"/>
              </w:rPr>
              <w:t>3</w:t>
            </w:r>
            <w:r>
              <w:rPr>
                <w:rFonts w:hint="eastAsia"/>
                <w:color w:val="auto"/>
                <w:highlight w:val="none"/>
              </w:rPr>
              <w:t>）制造商注册资本：不少于</w:t>
            </w:r>
            <w:r>
              <w:rPr>
                <w:color w:val="auto"/>
                <w:highlight w:val="none"/>
              </w:rPr>
              <w:t>2000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4</w:t>
            </w:r>
            <w:r>
              <w:rPr>
                <w:rFonts w:hint="eastAsia"/>
                <w:color w:val="auto"/>
                <w:highlight w:val="none"/>
              </w:rPr>
              <w:t>）须提供国家化学建筑材料测试中心出具的检测报告证明。</w:t>
            </w:r>
          </w:p>
          <w:p>
            <w:pPr>
              <w:rPr>
                <w:color w:val="auto"/>
                <w:highlight w:val="none"/>
              </w:rPr>
            </w:pPr>
            <w:r>
              <w:rPr>
                <w:rFonts w:hint="eastAsia"/>
                <w:color w:val="auto"/>
                <w:highlight w:val="none"/>
              </w:rPr>
              <w:t>（</w:t>
            </w:r>
            <w:r>
              <w:rPr>
                <w:color w:val="auto"/>
                <w:highlight w:val="none"/>
              </w:rPr>
              <w:t>5</w:t>
            </w:r>
            <w:r>
              <w:rPr>
                <w:rFonts w:hint="eastAsia"/>
                <w:color w:val="auto"/>
                <w:highlight w:val="none"/>
              </w:rPr>
              <w:t>）制造商在深圳地区设有完善的售后服务机构。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）管材和管件规格、压力等级、加工质量等，应符合现行的国家或行业生产技术标准和设计要求。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）符合</w:t>
            </w:r>
            <w:r>
              <w:rPr>
                <w:color w:val="auto"/>
                <w:highlight w:val="none"/>
              </w:rPr>
              <w:t>CECS41</w:t>
            </w:r>
            <w:r>
              <w:rPr>
                <w:rFonts w:hint="eastAsia"/>
                <w:color w:val="auto"/>
                <w:highlight w:val="none"/>
              </w:rPr>
              <w:t>：</w:t>
            </w:r>
            <w:r>
              <w:rPr>
                <w:color w:val="auto"/>
                <w:highlight w:val="none"/>
              </w:rPr>
              <w:t>2004</w:t>
            </w:r>
            <w:r>
              <w:rPr>
                <w:rFonts w:hint="eastAsia"/>
                <w:color w:val="auto"/>
                <w:highlight w:val="none"/>
              </w:rPr>
              <w:t>《建筑给水硬聚氯乙烯管管道工程技术规程》要求。</w:t>
            </w:r>
          </w:p>
          <w:p>
            <w:pPr>
              <w:rPr>
                <w:color w:val="auto"/>
                <w:highlight w:val="none"/>
              </w:rPr>
            </w:pPr>
            <w:r>
              <w:rPr>
                <w:rFonts w:hint="eastAsia"/>
                <w:color w:val="auto"/>
                <w:highlight w:val="none"/>
              </w:rPr>
              <w:t>（</w:t>
            </w:r>
            <w:r>
              <w:rPr>
                <w:color w:val="auto"/>
                <w:highlight w:val="none"/>
              </w:rPr>
              <w:t>3</w:t>
            </w:r>
            <w:r>
              <w:rPr>
                <w:rFonts w:hint="eastAsia"/>
                <w:color w:val="auto"/>
                <w:highlight w:val="none"/>
              </w:rPr>
              <w:t>）管材和管件的内外表面应光滑平整，壁厚均匀，无划痕，外壁颜色均匀，管材外壁应标注供应厂名称，产品型号，尺寸，生产日期，原材料型号，产品标准等。管材端口整齐，且端面应垂直于管材的轴线。</w:t>
            </w:r>
          </w:p>
          <w:p>
            <w:pPr>
              <w:rPr>
                <w:color w:val="auto"/>
                <w:highlight w:val="none"/>
              </w:rPr>
            </w:pPr>
            <w:r>
              <w:rPr>
                <w:rFonts w:hint="eastAsia"/>
                <w:color w:val="auto"/>
                <w:highlight w:val="none"/>
              </w:rPr>
              <w:t>（</w:t>
            </w:r>
            <w:r>
              <w:rPr>
                <w:color w:val="auto"/>
                <w:highlight w:val="none"/>
              </w:rPr>
              <w:t>4</w:t>
            </w:r>
            <w:r>
              <w:rPr>
                <w:rFonts w:hint="eastAsia"/>
                <w:color w:val="auto"/>
                <w:highlight w:val="none"/>
              </w:rPr>
              <w:t>）不允许使用再生料。</w:t>
            </w:r>
          </w:p>
          <w:p>
            <w:pPr>
              <w:rPr>
                <w:color w:val="auto"/>
                <w:highlight w:val="none"/>
              </w:rPr>
            </w:pPr>
            <w:r>
              <w:rPr>
                <w:rFonts w:hint="eastAsia"/>
                <w:color w:val="auto"/>
                <w:highlight w:val="none"/>
              </w:rPr>
              <w:t>（</w:t>
            </w:r>
            <w:r>
              <w:rPr>
                <w:color w:val="auto"/>
                <w:highlight w:val="none"/>
              </w:rPr>
              <w:t>5</w:t>
            </w:r>
            <w:r>
              <w:rPr>
                <w:rFonts w:hint="eastAsia"/>
                <w:color w:val="auto"/>
                <w:highlight w:val="none"/>
              </w:rPr>
              <w:t>）应由管材供应商配套提供管材、管件，专用机具和辅料。</w:t>
            </w:r>
          </w:p>
          <w:p>
            <w:pPr>
              <w:rPr>
                <w:color w:val="auto"/>
                <w:highlight w:val="none"/>
              </w:rPr>
            </w:pPr>
            <w:r>
              <w:rPr>
                <w:rFonts w:hint="eastAsia"/>
                <w:color w:val="auto"/>
                <w:highlight w:val="none"/>
              </w:rPr>
              <w:t>（</w:t>
            </w:r>
            <w:r>
              <w:rPr>
                <w:color w:val="auto"/>
                <w:highlight w:val="none"/>
              </w:rPr>
              <w:t>6</w:t>
            </w:r>
            <w:r>
              <w:rPr>
                <w:rFonts w:hint="eastAsia"/>
                <w:color w:val="auto"/>
                <w:highlight w:val="none"/>
              </w:rPr>
              <w:t>）伸缩节、阻火圈、止水环、检查口等应按规范设置。</w:t>
            </w:r>
          </w:p>
          <w:p>
            <w:pPr>
              <w:rPr>
                <w:color w:val="auto"/>
                <w:highlight w:val="none"/>
              </w:rPr>
            </w:pPr>
            <w:r>
              <w:rPr>
                <w:rFonts w:hint="eastAsia"/>
                <w:color w:val="auto"/>
                <w:highlight w:val="none"/>
              </w:rPr>
              <w:t>（</w:t>
            </w:r>
            <w:r>
              <w:rPr>
                <w:color w:val="auto"/>
                <w:highlight w:val="none"/>
              </w:rPr>
              <w:t>7</w:t>
            </w:r>
            <w:r>
              <w:rPr>
                <w:rFonts w:hint="eastAsia"/>
                <w:color w:val="auto"/>
                <w:highlight w:val="none"/>
              </w:rPr>
              <w:t>）连接方式符合设计要求。</w:t>
            </w:r>
          </w:p>
          <w:p>
            <w:pPr>
              <w:rPr>
                <w:color w:val="auto"/>
                <w:highlight w:val="none"/>
              </w:rPr>
            </w:pPr>
          </w:p>
        </w:tc>
        <w:tc>
          <w:tcPr>
            <w:tcW w:w="567"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3" w:type="dxa"/>
            <w:noWrap w:val="0"/>
            <w:vAlign w:val="center"/>
          </w:tcPr>
          <w:p>
            <w:pPr>
              <w:rPr>
                <w:color w:val="auto"/>
                <w:highlight w:val="none"/>
              </w:rPr>
            </w:pPr>
            <w:r>
              <w:rPr>
                <w:color w:val="auto"/>
                <w:highlight w:val="none"/>
              </w:rPr>
              <w:t>6.</w:t>
            </w:r>
          </w:p>
        </w:tc>
        <w:tc>
          <w:tcPr>
            <w:tcW w:w="966" w:type="dxa"/>
            <w:noWrap w:val="0"/>
            <w:vAlign w:val="center"/>
          </w:tcPr>
          <w:p>
            <w:pPr>
              <w:rPr>
                <w:color w:val="auto"/>
                <w:highlight w:val="none"/>
              </w:rPr>
            </w:pPr>
            <w:r>
              <w:rPr>
                <w:color w:val="auto"/>
                <w:highlight w:val="none"/>
              </w:rPr>
              <w:t>PVC-U</w:t>
            </w:r>
            <w:r>
              <w:rPr>
                <w:rFonts w:hint="eastAsia"/>
                <w:color w:val="auto"/>
                <w:highlight w:val="none"/>
              </w:rPr>
              <w:t>排水管</w:t>
            </w:r>
          </w:p>
        </w:tc>
        <w:tc>
          <w:tcPr>
            <w:tcW w:w="658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）营业执照所示营业范围应符合要求。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）制造商应通过</w:t>
            </w:r>
            <w:r>
              <w:rPr>
                <w:color w:val="auto"/>
                <w:highlight w:val="none"/>
              </w:rPr>
              <w:t>ISO9001</w:t>
            </w:r>
            <w:r>
              <w:rPr>
                <w:rFonts w:hint="eastAsia"/>
                <w:color w:val="auto"/>
                <w:highlight w:val="none"/>
              </w:rPr>
              <w:t>：</w:t>
            </w:r>
            <w:r>
              <w:rPr>
                <w:color w:val="auto"/>
                <w:highlight w:val="none"/>
              </w:rPr>
              <w:t>2000</w:t>
            </w:r>
            <w:r>
              <w:rPr>
                <w:rFonts w:hint="eastAsia"/>
                <w:color w:val="auto"/>
                <w:highlight w:val="none"/>
              </w:rPr>
              <w:t>质量管理体系认证及</w:t>
            </w:r>
            <w:r>
              <w:rPr>
                <w:color w:val="auto"/>
                <w:highlight w:val="none"/>
              </w:rPr>
              <w:t>ISO14001</w:t>
            </w:r>
            <w:r>
              <w:rPr>
                <w:rFonts w:hint="eastAsia"/>
                <w:color w:val="auto"/>
                <w:highlight w:val="none"/>
              </w:rPr>
              <w:t>：</w:t>
            </w:r>
            <w:r>
              <w:rPr>
                <w:color w:val="auto"/>
                <w:highlight w:val="none"/>
              </w:rPr>
              <w:t xml:space="preserve">1996 </w:t>
            </w:r>
            <w:r>
              <w:rPr>
                <w:rFonts w:hint="eastAsia"/>
                <w:color w:val="auto"/>
                <w:highlight w:val="none"/>
              </w:rPr>
              <w:t>环境管理体系认证。</w:t>
            </w:r>
          </w:p>
          <w:p>
            <w:pPr>
              <w:rPr>
                <w:color w:val="auto"/>
                <w:highlight w:val="none"/>
              </w:rPr>
            </w:pPr>
            <w:r>
              <w:rPr>
                <w:rFonts w:hint="eastAsia"/>
                <w:color w:val="auto"/>
                <w:highlight w:val="none"/>
              </w:rPr>
              <w:t>（</w:t>
            </w:r>
            <w:r>
              <w:rPr>
                <w:color w:val="auto"/>
                <w:highlight w:val="none"/>
              </w:rPr>
              <w:t>3</w:t>
            </w:r>
            <w:r>
              <w:rPr>
                <w:rFonts w:hint="eastAsia"/>
                <w:color w:val="auto"/>
                <w:highlight w:val="none"/>
              </w:rPr>
              <w:t>）制造商注册资本：不少于</w:t>
            </w:r>
            <w:r>
              <w:rPr>
                <w:color w:val="auto"/>
                <w:highlight w:val="none"/>
              </w:rPr>
              <w:t>2000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4</w:t>
            </w:r>
            <w:r>
              <w:rPr>
                <w:rFonts w:hint="eastAsia"/>
                <w:color w:val="auto"/>
                <w:highlight w:val="none"/>
              </w:rPr>
              <w:t>）须提供国家化学建筑材料测试中心出具的检测报告证明。</w:t>
            </w:r>
          </w:p>
          <w:p>
            <w:pPr>
              <w:rPr>
                <w:color w:val="auto"/>
                <w:highlight w:val="none"/>
              </w:rPr>
            </w:pPr>
            <w:r>
              <w:rPr>
                <w:rFonts w:hint="eastAsia"/>
                <w:color w:val="auto"/>
                <w:highlight w:val="none"/>
              </w:rPr>
              <w:t>（</w:t>
            </w:r>
            <w:r>
              <w:rPr>
                <w:color w:val="auto"/>
                <w:highlight w:val="none"/>
              </w:rPr>
              <w:t>5</w:t>
            </w:r>
            <w:r>
              <w:rPr>
                <w:rFonts w:hint="eastAsia"/>
                <w:color w:val="auto"/>
                <w:highlight w:val="none"/>
              </w:rPr>
              <w:t>）制造商在深圳地区设有完善的售后服务机构。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）管材和管件规格、压力等级、加工质量等，应符合现行的国家或行业生产技术标准和设计要求。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）符合</w:t>
            </w:r>
            <w:r>
              <w:rPr>
                <w:color w:val="auto"/>
                <w:highlight w:val="none"/>
              </w:rPr>
              <w:t>CJJ/T29-2010</w:t>
            </w:r>
            <w:r>
              <w:rPr>
                <w:rFonts w:hint="eastAsia"/>
                <w:color w:val="auto"/>
                <w:highlight w:val="none"/>
              </w:rPr>
              <w:t>《建筑排水硬聚氯乙烯管道工程技术规程》要求。</w:t>
            </w:r>
          </w:p>
          <w:p>
            <w:pPr>
              <w:rPr>
                <w:color w:val="auto"/>
                <w:highlight w:val="none"/>
              </w:rPr>
            </w:pPr>
            <w:r>
              <w:rPr>
                <w:rFonts w:hint="eastAsia"/>
                <w:color w:val="auto"/>
                <w:highlight w:val="none"/>
              </w:rPr>
              <w:t>（</w:t>
            </w:r>
            <w:r>
              <w:rPr>
                <w:color w:val="auto"/>
                <w:highlight w:val="none"/>
              </w:rPr>
              <w:t>3</w:t>
            </w:r>
            <w:r>
              <w:rPr>
                <w:rFonts w:hint="eastAsia"/>
                <w:color w:val="auto"/>
                <w:highlight w:val="none"/>
              </w:rPr>
              <w:t>）管材和管件的内外表面应光滑平整，壁厚均匀，无划痕，外壁颜色均匀，管材外壁应标注供应厂名称，产品型号，尺寸，生产日期，原材料型号，产品标准等。管材端口整齐，且端面应垂直于管材的轴线。</w:t>
            </w:r>
          </w:p>
          <w:p>
            <w:pPr>
              <w:rPr>
                <w:color w:val="auto"/>
                <w:highlight w:val="none"/>
              </w:rPr>
            </w:pPr>
            <w:r>
              <w:rPr>
                <w:rFonts w:hint="eastAsia"/>
                <w:color w:val="auto"/>
                <w:highlight w:val="none"/>
              </w:rPr>
              <w:t>（</w:t>
            </w:r>
            <w:r>
              <w:rPr>
                <w:color w:val="auto"/>
                <w:highlight w:val="none"/>
              </w:rPr>
              <w:t>4</w:t>
            </w:r>
            <w:r>
              <w:rPr>
                <w:rFonts w:hint="eastAsia"/>
                <w:color w:val="auto"/>
                <w:highlight w:val="none"/>
              </w:rPr>
              <w:t>）不允许使用再生料。</w:t>
            </w:r>
          </w:p>
          <w:p>
            <w:pPr>
              <w:rPr>
                <w:color w:val="auto"/>
                <w:highlight w:val="none"/>
              </w:rPr>
            </w:pPr>
            <w:r>
              <w:rPr>
                <w:rFonts w:hint="eastAsia"/>
                <w:color w:val="auto"/>
                <w:highlight w:val="none"/>
              </w:rPr>
              <w:t>（</w:t>
            </w:r>
            <w:r>
              <w:rPr>
                <w:color w:val="auto"/>
                <w:highlight w:val="none"/>
              </w:rPr>
              <w:t>5</w:t>
            </w:r>
            <w:r>
              <w:rPr>
                <w:rFonts w:hint="eastAsia"/>
                <w:color w:val="auto"/>
                <w:highlight w:val="none"/>
              </w:rPr>
              <w:t>）应由管材供应商配套提供管材、管件，专用机具和辅料。</w:t>
            </w:r>
          </w:p>
          <w:p>
            <w:pPr>
              <w:rPr>
                <w:color w:val="auto"/>
                <w:highlight w:val="none"/>
              </w:rPr>
            </w:pPr>
            <w:r>
              <w:rPr>
                <w:rFonts w:hint="eastAsia"/>
                <w:color w:val="auto"/>
                <w:highlight w:val="none"/>
              </w:rPr>
              <w:t>（</w:t>
            </w:r>
            <w:r>
              <w:rPr>
                <w:color w:val="auto"/>
                <w:highlight w:val="none"/>
              </w:rPr>
              <w:t>6</w:t>
            </w:r>
            <w:r>
              <w:rPr>
                <w:rFonts w:hint="eastAsia"/>
                <w:color w:val="auto"/>
                <w:highlight w:val="none"/>
              </w:rPr>
              <w:t>）伸缩节、阻火圈、止水环、检查口等应按规范设置。</w:t>
            </w:r>
          </w:p>
          <w:p>
            <w:pPr>
              <w:rPr>
                <w:color w:val="auto"/>
                <w:highlight w:val="none"/>
              </w:rPr>
            </w:pPr>
            <w:r>
              <w:rPr>
                <w:rFonts w:hint="eastAsia"/>
                <w:color w:val="auto"/>
                <w:highlight w:val="none"/>
              </w:rPr>
              <w:t>（</w:t>
            </w:r>
            <w:r>
              <w:rPr>
                <w:color w:val="auto"/>
                <w:highlight w:val="none"/>
              </w:rPr>
              <w:t>7</w:t>
            </w:r>
            <w:r>
              <w:rPr>
                <w:rFonts w:hint="eastAsia"/>
                <w:color w:val="auto"/>
                <w:highlight w:val="none"/>
              </w:rPr>
              <w:t>）地漏水封深度不得小于</w:t>
            </w:r>
            <w:r>
              <w:rPr>
                <w:color w:val="auto"/>
                <w:highlight w:val="none"/>
              </w:rPr>
              <w:t>50</w:t>
            </w:r>
            <w:r>
              <w:rPr>
                <w:rFonts w:hint="eastAsia"/>
                <w:color w:val="auto"/>
                <w:highlight w:val="none"/>
              </w:rPr>
              <w:t>毫米。茶水间内地漏采用带网筐式塑料地漏。</w:t>
            </w:r>
          </w:p>
          <w:p>
            <w:pPr>
              <w:rPr>
                <w:color w:val="auto"/>
                <w:highlight w:val="none"/>
              </w:rPr>
            </w:pPr>
            <w:r>
              <w:rPr>
                <w:rFonts w:hint="eastAsia"/>
                <w:color w:val="auto"/>
                <w:highlight w:val="none"/>
              </w:rPr>
              <w:t>（</w:t>
            </w:r>
            <w:r>
              <w:rPr>
                <w:color w:val="auto"/>
                <w:highlight w:val="none"/>
              </w:rPr>
              <w:t>8</w:t>
            </w:r>
            <w:r>
              <w:rPr>
                <w:rFonts w:hint="eastAsia"/>
                <w:color w:val="auto"/>
                <w:highlight w:val="none"/>
              </w:rPr>
              <w:t>）连接方式采用承插粘接。</w:t>
            </w:r>
          </w:p>
          <w:p>
            <w:pPr>
              <w:rPr>
                <w:color w:val="auto"/>
                <w:highlight w:val="none"/>
              </w:rPr>
            </w:pPr>
          </w:p>
        </w:tc>
        <w:tc>
          <w:tcPr>
            <w:tcW w:w="567"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3" w:type="dxa"/>
            <w:noWrap w:val="0"/>
            <w:vAlign w:val="center"/>
          </w:tcPr>
          <w:p>
            <w:pPr>
              <w:rPr>
                <w:color w:val="auto"/>
                <w:highlight w:val="none"/>
              </w:rPr>
            </w:pPr>
            <w:r>
              <w:rPr>
                <w:color w:val="auto"/>
                <w:highlight w:val="none"/>
              </w:rPr>
              <w:t>7.</w:t>
            </w:r>
          </w:p>
        </w:tc>
        <w:tc>
          <w:tcPr>
            <w:tcW w:w="966" w:type="dxa"/>
            <w:noWrap w:val="0"/>
            <w:vAlign w:val="center"/>
          </w:tcPr>
          <w:p>
            <w:pPr>
              <w:rPr>
                <w:color w:val="auto"/>
                <w:highlight w:val="none"/>
              </w:rPr>
            </w:pPr>
            <w:r>
              <w:rPr>
                <w:color w:val="auto"/>
                <w:highlight w:val="none"/>
              </w:rPr>
              <w:t>HDPE</w:t>
            </w:r>
            <w:r>
              <w:rPr>
                <w:rFonts w:hint="eastAsia"/>
                <w:color w:val="auto"/>
                <w:highlight w:val="none"/>
              </w:rPr>
              <w:t>双壁波纹管</w:t>
            </w:r>
          </w:p>
        </w:tc>
        <w:tc>
          <w:tcPr>
            <w:tcW w:w="6589" w:type="dxa"/>
            <w:noWrap w:val="0"/>
            <w:vAlign w:val="center"/>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）制造商必须通过</w:t>
            </w:r>
            <w:r>
              <w:rPr>
                <w:color w:val="auto"/>
                <w:highlight w:val="none"/>
              </w:rPr>
              <w:t>ISO9001</w:t>
            </w:r>
            <w:r>
              <w:rPr>
                <w:rFonts w:hint="eastAsia"/>
                <w:color w:val="auto"/>
                <w:highlight w:val="none"/>
              </w:rPr>
              <w:t>：</w:t>
            </w:r>
            <w:r>
              <w:rPr>
                <w:color w:val="auto"/>
                <w:highlight w:val="none"/>
              </w:rPr>
              <w:t>2000</w:t>
            </w:r>
            <w:r>
              <w:rPr>
                <w:rFonts w:hint="eastAsia"/>
                <w:color w:val="auto"/>
                <w:highlight w:val="none"/>
              </w:rPr>
              <w:t>系列质量体系认证，并能提供相关产品的国家权威机构检验报告。</w:t>
            </w:r>
          </w:p>
          <w:p>
            <w:pPr>
              <w:rPr>
                <w:color w:val="auto"/>
                <w:highlight w:val="none"/>
              </w:rPr>
            </w:pPr>
            <w:r>
              <w:rPr>
                <w:rFonts w:hint="eastAsia"/>
                <w:color w:val="auto"/>
                <w:highlight w:val="none"/>
              </w:rPr>
              <w:t>（</w:t>
            </w:r>
            <w:r>
              <w:rPr>
                <w:color w:val="auto"/>
                <w:highlight w:val="none"/>
              </w:rPr>
              <w:t>2</w:t>
            </w:r>
            <w:r>
              <w:rPr>
                <w:rFonts w:hint="eastAsia"/>
                <w:color w:val="auto"/>
                <w:highlight w:val="none"/>
              </w:rPr>
              <w:t>）制造商注册资本：不少于</w:t>
            </w:r>
            <w:r>
              <w:rPr>
                <w:color w:val="auto"/>
                <w:highlight w:val="none"/>
              </w:rPr>
              <w:t>2000</w:t>
            </w:r>
            <w:r>
              <w:rPr>
                <w:rFonts w:hint="eastAsia"/>
                <w:color w:val="auto"/>
                <w:highlight w:val="none"/>
              </w:rPr>
              <w:t>万元人民币。</w:t>
            </w:r>
          </w:p>
          <w:p>
            <w:pPr>
              <w:rPr>
                <w:color w:val="auto"/>
                <w:highlight w:val="none"/>
              </w:rPr>
            </w:pPr>
            <w:r>
              <w:rPr>
                <w:rFonts w:hint="eastAsia"/>
                <w:color w:val="auto"/>
                <w:highlight w:val="none"/>
              </w:rPr>
              <w:t>（</w:t>
            </w:r>
            <w:r>
              <w:rPr>
                <w:color w:val="auto"/>
                <w:highlight w:val="none"/>
              </w:rPr>
              <w:t>3</w:t>
            </w:r>
            <w:r>
              <w:rPr>
                <w:rFonts w:hint="eastAsia"/>
                <w:color w:val="auto"/>
                <w:highlight w:val="none"/>
              </w:rPr>
              <w:t>）应为省级以上名牌产品，或省级以上著名商标，或国家免检产品。</w:t>
            </w:r>
          </w:p>
          <w:p>
            <w:pPr>
              <w:rPr>
                <w:color w:val="auto"/>
                <w:highlight w:val="none"/>
              </w:rPr>
            </w:pPr>
            <w:r>
              <w:rPr>
                <w:rFonts w:hint="eastAsia"/>
                <w:color w:val="auto"/>
                <w:highlight w:val="none"/>
              </w:rPr>
              <w:t>（</w:t>
            </w:r>
            <w:r>
              <w:rPr>
                <w:color w:val="auto"/>
                <w:highlight w:val="none"/>
              </w:rPr>
              <w:t>4</w:t>
            </w:r>
            <w:r>
              <w:rPr>
                <w:rFonts w:hint="eastAsia"/>
                <w:color w:val="auto"/>
                <w:highlight w:val="none"/>
              </w:rPr>
              <w:t>）制造商在深圳地区设有完善的售后服务机构。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w:t>
            </w:r>
            <w:r>
              <w:rPr>
                <w:color w:val="auto"/>
                <w:highlight w:val="none"/>
              </w:rPr>
              <w:t>HDPE</w:t>
            </w:r>
            <w:r>
              <w:rPr>
                <w:rFonts w:hint="eastAsia"/>
                <w:color w:val="auto"/>
                <w:highlight w:val="none"/>
              </w:rPr>
              <w:t>双壁波纹管应满足《埋地用聚乙烯</w:t>
            </w:r>
            <w:r>
              <w:rPr>
                <w:color w:val="auto"/>
                <w:highlight w:val="none"/>
              </w:rPr>
              <w:t>(PE)</w:t>
            </w:r>
            <w:r>
              <w:rPr>
                <w:rFonts w:hint="eastAsia"/>
                <w:color w:val="auto"/>
                <w:highlight w:val="none"/>
              </w:rPr>
              <w:t>结构壁管道系统第</w:t>
            </w:r>
            <w:r>
              <w:rPr>
                <w:color w:val="auto"/>
                <w:highlight w:val="none"/>
              </w:rPr>
              <w:t>1</w:t>
            </w:r>
            <w:r>
              <w:rPr>
                <w:rFonts w:hint="eastAsia"/>
                <w:color w:val="auto"/>
                <w:highlight w:val="none"/>
              </w:rPr>
              <w:t>部分</w:t>
            </w:r>
            <w:r>
              <w:rPr>
                <w:color w:val="auto"/>
                <w:highlight w:val="none"/>
              </w:rPr>
              <w:t>:</w:t>
            </w:r>
            <w:r>
              <w:rPr>
                <w:rFonts w:hint="eastAsia"/>
                <w:color w:val="auto"/>
                <w:highlight w:val="none"/>
              </w:rPr>
              <w:t>聚乙烯双壁波纹管材》（</w:t>
            </w:r>
            <w:r>
              <w:rPr>
                <w:color w:val="auto"/>
                <w:highlight w:val="none"/>
              </w:rPr>
              <w:t>GB/T19472.1</w:t>
            </w:r>
            <w:r>
              <w:rPr>
                <w:rFonts w:hint="eastAsia"/>
                <w:color w:val="auto"/>
                <w:highlight w:val="none"/>
              </w:rPr>
              <w:t>－</w:t>
            </w:r>
            <w:r>
              <w:rPr>
                <w:color w:val="auto"/>
                <w:highlight w:val="none"/>
              </w:rPr>
              <w:t>2004</w:t>
            </w:r>
            <w:r>
              <w:rPr>
                <w:rFonts w:hint="eastAsia"/>
                <w:color w:val="auto"/>
                <w:highlight w:val="none"/>
              </w:rPr>
              <w:t>）的要求。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）管材和管件规格、环刚度，应符合设计及有关标准规范的要求。</w:t>
            </w:r>
          </w:p>
          <w:p>
            <w:pPr>
              <w:rPr>
                <w:color w:val="auto"/>
                <w:highlight w:val="none"/>
              </w:rPr>
            </w:pPr>
            <w:r>
              <w:rPr>
                <w:rFonts w:hint="eastAsia"/>
                <w:color w:val="auto"/>
                <w:highlight w:val="none"/>
              </w:rPr>
              <w:t>（</w:t>
            </w:r>
            <w:r>
              <w:rPr>
                <w:color w:val="auto"/>
                <w:highlight w:val="none"/>
              </w:rPr>
              <w:t>3</w:t>
            </w:r>
            <w:r>
              <w:rPr>
                <w:rFonts w:hint="eastAsia"/>
                <w:color w:val="auto"/>
                <w:highlight w:val="none"/>
              </w:rPr>
              <w:t>）管材和管件的内外表面应光滑，壁厚均匀，无划痕。管材外表应标注供应厂名称，产品型号，生产日期，产品标准等。采用天然橡胶密封圈柔性接口。</w:t>
            </w:r>
          </w:p>
          <w:p>
            <w:pPr>
              <w:rPr>
                <w:color w:val="auto"/>
                <w:highlight w:val="none"/>
              </w:rPr>
            </w:pPr>
            <w:r>
              <w:rPr>
                <w:rFonts w:hint="eastAsia"/>
                <w:color w:val="auto"/>
                <w:highlight w:val="none"/>
              </w:rPr>
              <w:t>（</w:t>
            </w:r>
            <w:r>
              <w:rPr>
                <w:color w:val="auto"/>
                <w:highlight w:val="none"/>
              </w:rPr>
              <w:t>4</w:t>
            </w:r>
            <w:r>
              <w:rPr>
                <w:rFonts w:hint="eastAsia"/>
                <w:color w:val="auto"/>
                <w:highlight w:val="none"/>
              </w:rPr>
              <w:t>）应由管材供应商配套提供管材、管件，专用机具和辅料。</w:t>
            </w:r>
          </w:p>
          <w:p>
            <w:pPr>
              <w:rPr>
                <w:color w:val="auto"/>
                <w:highlight w:val="none"/>
              </w:rPr>
            </w:pPr>
            <w:r>
              <w:rPr>
                <w:rFonts w:hint="eastAsia"/>
                <w:color w:val="auto"/>
                <w:highlight w:val="none"/>
              </w:rPr>
              <w:t>（</w:t>
            </w:r>
            <w:r>
              <w:rPr>
                <w:color w:val="auto"/>
                <w:highlight w:val="none"/>
              </w:rPr>
              <w:t>5</w:t>
            </w:r>
            <w:r>
              <w:rPr>
                <w:rFonts w:hint="eastAsia"/>
                <w:color w:val="auto"/>
                <w:highlight w:val="none"/>
              </w:rPr>
              <w:t>）用于室外雨污排水系统。</w:t>
            </w:r>
          </w:p>
          <w:p>
            <w:pPr>
              <w:rPr>
                <w:color w:val="auto"/>
                <w:highlight w:val="none"/>
              </w:rPr>
            </w:pPr>
          </w:p>
        </w:tc>
        <w:tc>
          <w:tcPr>
            <w:tcW w:w="567"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3" w:type="dxa"/>
            <w:noWrap w:val="0"/>
            <w:vAlign w:val="center"/>
          </w:tcPr>
          <w:p>
            <w:pPr>
              <w:rPr>
                <w:color w:val="auto"/>
                <w:highlight w:val="none"/>
              </w:rPr>
            </w:pPr>
            <w:r>
              <w:rPr>
                <w:color w:val="auto"/>
                <w:highlight w:val="none"/>
              </w:rPr>
              <w:t>8.</w:t>
            </w:r>
          </w:p>
        </w:tc>
        <w:tc>
          <w:tcPr>
            <w:tcW w:w="966" w:type="dxa"/>
            <w:noWrap w:val="0"/>
            <w:vAlign w:val="center"/>
          </w:tcPr>
          <w:p>
            <w:pPr>
              <w:rPr>
                <w:color w:val="auto"/>
                <w:highlight w:val="none"/>
              </w:rPr>
            </w:pPr>
            <w:r>
              <w:rPr>
                <w:rFonts w:hint="eastAsia"/>
                <w:color w:val="auto"/>
                <w:highlight w:val="none"/>
              </w:rPr>
              <w:t>缠绕波纹管</w:t>
            </w:r>
          </w:p>
        </w:tc>
        <w:tc>
          <w:tcPr>
            <w:tcW w:w="6589" w:type="dxa"/>
            <w:noWrap w:val="0"/>
            <w:vAlign w:val="center"/>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）制造商必须通过</w:t>
            </w:r>
            <w:r>
              <w:rPr>
                <w:color w:val="auto"/>
                <w:highlight w:val="none"/>
              </w:rPr>
              <w:t>ISO9001</w:t>
            </w:r>
            <w:r>
              <w:rPr>
                <w:rFonts w:hint="eastAsia"/>
                <w:color w:val="auto"/>
                <w:highlight w:val="none"/>
              </w:rPr>
              <w:t>：</w:t>
            </w:r>
            <w:r>
              <w:rPr>
                <w:color w:val="auto"/>
                <w:highlight w:val="none"/>
              </w:rPr>
              <w:t>2000</w:t>
            </w:r>
            <w:r>
              <w:rPr>
                <w:rFonts w:hint="eastAsia"/>
                <w:color w:val="auto"/>
                <w:highlight w:val="none"/>
              </w:rPr>
              <w:t>系列质量体系认证，并能提供相关产品的国家权威机构检验报告。</w:t>
            </w:r>
          </w:p>
          <w:p>
            <w:pPr>
              <w:rPr>
                <w:color w:val="auto"/>
                <w:highlight w:val="none"/>
              </w:rPr>
            </w:pPr>
            <w:r>
              <w:rPr>
                <w:rFonts w:hint="eastAsia"/>
                <w:color w:val="auto"/>
                <w:highlight w:val="none"/>
              </w:rPr>
              <w:t>（</w:t>
            </w:r>
            <w:r>
              <w:rPr>
                <w:color w:val="auto"/>
                <w:highlight w:val="none"/>
              </w:rPr>
              <w:t>2</w:t>
            </w:r>
            <w:r>
              <w:rPr>
                <w:rFonts w:hint="eastAsia"/>
                <w:color w:val="auto"/>
                <w:highlight w:val="none"/>
              </w:rPr>
              <w:t>）制造商注册资本：不少于</w:t>
            </w:r>
            <w:r>
              <w:rPr>
                <w:color w:val="auto"/>
                <w:highlight w:val="none"/>
              </w:rPr>
              <w:t>2000</w:t>
            </w:r>
            <w:r>
              <w:rPr>
                <w:rFonts w:hint="eastAsia"/>
                <w:color w:val="auto"/>
                <w:highlight w:val="none"/>
              </w:rPr>
              <w:t>万元人民币。</w:t>
            </w:r>
          </w:p>
          <w:p>
            <w:pPr>
              <w:rPr>
                <w:color w:val="auto"/>
                <w:highlight w:val="none"/>
              </w:rPr>
            </w:pPr>
            <w:r>
              <w:rPr>
                <w:rFonts w:hint="eastAsia"/>
                <w:color w:val="auto"/>
                <w:highlight w:val="none"/>
              </w:rPr>
              <w:t>（</w:t>
            </w:r>
            <w:r>
              <w:rPr>
                <w:color w:val="auto"/>
                <w:highlight w:val="none"/>
              </w:rPr>
              <w:t>3</w:t>
            </w:r>
            <w:r>
              <w:rPr>
                <w:rFonts w:hint="eastAsia"/>
                <w:color w:val="auto"/>
                <w:highlight w:val="none"/>
              </w:rPr>
              <w:t>）应为省级以上名牌产品，或省级以上著名商标，或国家免检产品。</w:t>
            </w:r>
          </w:p>
          <w:p>
            <w:pPr>
              <w:rPr>
                <w:color w:val="auto"/>
                <w:highlight w:val="none"/>
              </w:rPr>
            </w:pPr>
            <w:r>
              <w:rPr>
                <w:rFonts w:hint="eastAsia"/>
                <w:color w:val="auto"/>
                <w:highlight w:val="none"/>
              </w:rPr>
              <w:t>（</w:t>
            </w:r>
            <w:r>
              <w:rPr>
                <w:color w:val="auto"/>
                <w:highlight w:val="none"/>
              </w:rPr>
              <w:t>4</w:t>
            </w:r>
            <w:r>
              <w:rPr>
                <w:rFonts w:hint="eastAsia"/>
                <w:color w:val="auto"/>
                <w:highlight w:val="none"/>
              </w:rPr>
              <w:t>）制造商在深圳地区设有完善的售后服务机构。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w:t>
            </w:r>
            <w:r>
              <w:rPr>
                <w:color w:val="auto"/>
                <w:highlight w:val="none"/>
              </w:rPr>
              <w:t>HDPE</w:t>
            </w:r>
            <w:r>
              <w:rPr>
                <w:rFonts w:hint="eastAsia"/>
                <w:color w:val="auto"/>
                <w:highlight w:val="none"/>
              </w:rPr>
              <w:t>双壁波纹管应满足《埋地用聚乙烯</w:t>
            </w:r>
            <w:r>
              <w:rPr>
                <w:color w:val="auto"/>
                <w:highlight w:val="none"/>
              </w:rPr>
              <w:t>(PE)</w:t>
            </w:r>
            <w:r>
              <w:rPr>
                <w:rFonts w:hint="eastAsia"/>
                <w:color w:val="auto"/>
                <w:highlight w:val="none"/>
              </w:rPr>
              <w:t>结构壁管道系统第</w:t>
            </w:r>
            <w:r>
              <w:rPr>
                <w:color w:val="auto"/>
                <w:highlight w:val="none"/>
              </w:rPr>
              <w:t>1</w:t>
            </w:r>
            <w:r>
              <w:rPr>
                <w:rFonts w:hint="eastAsia"/>
                <w:color w:val="auto"/>
                <w:highlight w:val="none"/>
              </w:rPr>
              <w:t>部分</w:t>
            </w:r>
            <w:r>
              <w:rPr>
                <w:color w:val="auto"/>
                <w:highlight w:val="none"/>
              </w:rPr>
              <w:t>:</w:t>
            </w:r>
            <w:r>
              <w:rPr>
                <w:rFonts w:hint="eastAsia"/>
                <w:color w:val="auto"/>
                <w:highlight w:val="none"/>
              </w:rPr>
              <w:t>聚乙烯双壁波纹管材》（</w:t>
            </w:r>
            <w:r>
              <w:rPr>
                <w:color w:val="auto"/>
                <w:highlight w:val="none"/>
              </w:rPr>
              <w:t>GB/T19472.1</w:t>
            </w:r>
            <w:r>
              <w:rPr>
                <w:rFonts w:hint="eastAsia"/>
                <w:color w:val="auto"/>
                <w:highlight w:val="none"/>
              </w:rPr>
              <w:t>－</w:t>
            </w:r>
            <w:r>
              <w:rPr>
                <w:color w:val="auto"/>
                <w:highlight w:val="none"/>
              </w:rPr>
              <w:t>2004</w:t>
            </w:r>
            <w:r>
              <w:rPr>
                <w:rFonts w:hint="eastAsia"/>
                <w:color w:val="auto"/>
                <w:highlight w:val="none"/>
              </w:rPr>
              <w:t>）的要求。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）管材和管件规格、环刚度，应符合设计及有关标准规范的要求。</w:t>
            </w:r>
          </w:p>
          <w:p>
            <w:pPr>
              <w:rPr>
                <w:color w:val="auto"/>
                <w:highlight w:val="none"/>
              </w:rPr>
            </w:pPr>
            <w:r>
              <w:rPr>
                <w:rFonts w:hint="eastAsia"/>
                <w:color w:val="auto"/>
                <w:highlight w:val="none"/>
              </w:rPr>
              <w:t>（</w:t>
            </w:r>
            <w:r>
              <w:rPr>
                <w:color w:val="auto"/>
                <w:highlight w:val="none"/>
              </w:rPr>
              <w:t>3</w:t>
            </w:r>
            <w:r>
              <w:rPr>
                <w:rFonts w:hint="eastAsia"/>
                <w:color w:val="auto"/>
                <w:highlight w:val="none"/>
              </w:rPr>
              <w:t>）管材和管件的内外表面应光滑，壁厚均匀，无划痕。管材外表应标注供应厂名称，产品型号，生产日期，产品标准等。采用天然橡胶密封圈柔性接口。</w:t>
            </w:r>
          </w:p>
          <w:p>
            <w:pPr>
              <w:rPr>
                <w:color w:val="auto"/>
                <w:highlight w:val="none"/>
              </w:rPr>
            </w:pPr>
            <w:r>
              <w:rPr>
                <w:rFonts w:hint="eastAsia"/>
                <w:color w:val="auto"/>
                <w:highlight w:val="none"/>
              </w:rPr>
              <w:t>（</w:t>
            </w:r>
            <w:r>
              <w:rPr>
                <w:color w:val="auto"/>
                <w:highlight w:val="none"/>
              </w:rPr>
              <w:t>4</w:t>
            </w:r>
            <w:r>
              <w:rPr>
                <w:rFonts w:hint="eastAsia"/>
                <w:color w:val="auto"/>
                <w:highlight w:val="none"/>
              </w:rPr>
              <w:t>）应由管材供应商配套提供管材、管件，专用机具和辅料。</w:t>
            </w:r>
          </w:p>
          <w:p>
            <w:pPr>
              <w:rPr>
                <w:color w:val="auto"/>
                <w:highlight w:val="none"/>
              </w:rPr>
            </w:pPr>
            <w:r>
              <w:rPr>
                <w:rFonts w:hint="eastAsia"/>
                <w:color w:val="auto"/>
                <w:highlight w:val="none"/>
              </w:rPr>
              <w:t>（</w:t>
            </w:r>
            <w:r>
              <w:rPr>
                <w:color w:val="auto"/>
                <w:highlight w:val="none"/>
              </w:rPr>
              <w:t>5</w:t>
            </w:r>
            <w:r>
              <w:rPr>
                <w:rFonts w:hint="eastAsia"/>
                <w:color w:val="auto"/>
                <w:highlight w:val="none"/>
              </w:rPr>
              <w:t>）用于室外雨污排水系统。</w:t>
            </w:r>
          </w:p>
          <w:p>
            <w:pPr>
              <w:rPr>
                <w:color w:val="auto"/>
                <w:highlight w:val="none"/>
              </w:rPr>
            </w:pPr>
          </w:p>
        </w:tc>
        <w:tc>
          <w:tcPr>
            <w:tcW w:w="567"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3" w:type="dxa"/>
            <w:noWrap w:val="0"/>
            <w:vAlign w:val="center"/>
          </w:tcPr>
          <w:p>
            <w:pPr>
              <w:rPr>
                <w:color w:val="auto"/>
                <w:highlight w:val="none"/>
              </w:rPr>
            </w:pPr>
            <w:r>
              <w:rPr>
                <w:color w:val="auto"/>
                <w:highlight w:val="none"/>
              </w:rPr>
              <w:t>9.</w:t>
            </w:r>
          </w:p>
        </w:tc>
        <w:tc>
          <w:tcPr>
            <w:tcW w:w="966" w:type="dxa"/>
            <w:noWrap w:val="0"/>
            <w:vAlign w:val="center"/>
          </w:tcPr>
          <w:p>
            <w:pPr>
              <w:rPr>
                <w:color w:val="auto"/>
                <w:highlight w:val="none"/>
              </w:rPr>
            </w:pPr>
            <w:r>
              <w:rPr>
                <w:rFonts w:hint="eastAsia"/>
                <w:color w:val="auto"/>
                <w:highlight w:val="none"/>
              </w:rPr>
              <w:t>热镀锌</w:t>
            </w:r>
          </w:p>
          <w:p>
            <w:pPr>
              <w:rPr>
                <w:color w:val="auto"/>
                <w:highlight w:val="none"/>
              </w:rPr>
            </w:pPr>
            <w:r>
              <w:rPr>
                <w:rFonts w:hint="eastAsia"/>
                <w:color w:val="auto"/>
                <w:highlight w:val="none"/>
              </w:rPr>
              <w:t>钢管</w:t>
            </w:r>
          </w:p>
        </w:tc>
        <w:tc>
          <w:tcPr>
            <w:tcW w:w="658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）制造商注册资本：不少于</w:t>
            </w:r>
            <w:r>
              <w:rPr>
                <w:color w:val="auto"/>
                <w:highlight w:val="none"/>
              </w:rPr>
              <w:t>2000</w:t>
            </w:r>
            <w:r>
              <w:rPr>
                <w:rFonts w:hint="eastAsia"/>
                <w:color w:val="auto"/>
                <w:highlight w:val="none"/>
              </w:rPr>
              <w:t>万元人民币。</w:t>
            </w:r>
          </w:p>
          <w:p>
            <w:pPr>
              <w:rPr>
                <w:color w:val="auto"/>
                <w:highlight w:val="none"/>
              </w:rPr>
            </w:pPr>
            <w:r>
              <w:rPr>
                <w:rFonts w:hint="eastAsia"/>
                <w:color w:val="auto"/>
                <w:highlight w:val="none"/>
              </w:rPr>
              <w:t>（</w:t>
            </w:r>
            <w:r>
              <w:rPr>
                <w:color w:val="auto"/>
                <w:highlight w:val="none"/>
              </w:rPr>
              <w:t>2</w:t>
            </w:r>
            <w:r>
              <w:rPr>
                <w:rFonts w:hint="eastAsia"/>
                <w:color w:val="auto"/>
                <w:highlight w:val="none"/>
              </w:rPr>
              <w:t>）制造商应通过</w:t>
            </w:r>
            <w:r>
              <w:rPr>
                <w:color w:val="auto"/>
                <w:highlight w:val="none"/>
              </w:rPr>
              <w:t>ISO9001</w:t>
            </w:r>
            <w:r>
              <w:rPr>
                <w:rFonts w:hint="eastAsia"/>
                <w:color w:val="auto"/>
                <w:highlight w:val="none"/>
              </w:rPr>
              <w:t>：</w:t>
            </w:r>
            <w:r>
              <w:rPr>
                <w:color w:val="auto"/>
                <w:highlight w:val="none"/>
              </w:rPr>
              <w:t>2000</w:t>
            </w:r>
            <w:r>
              <w:rPr>
                <w:rFonts w:hint="eastAsia"/>
                <w:color w:val="auto"/>
                <w:highlight w:val="none"/>
              </w:rPr>
              <w:t>质量管理体系认证。</w:t>
            </w:r>
          </w:p>
          <w:p>
            <w:pPr>
              <w:rPr>
                <w:color w:val="auto"/>
                <w:highlight w:val="none"/>
              </w:rPr>
            </w:pPr>
            <w:r>
              <w:rPr>
                <w:rFonts w:hint="eastAsia"/>
                <w:color w:val="auto"/>
                <w:highlight w:val="none"/>
              </w:rPr>
              <w:t>（</w:t>
            </w:r>
            <w:r>
              <w:rPr>
                <w:color w:val="auto"/>
                <w:highlight w:val="none"/>
              </w:rPr>
              <w:t>3</w:t>
            </w:r>
            <w:r>
              <w:rPr>
                <w:rFonts w:hint="eastAsia"/>
                <w:color w:val="auto"/>
                <w:highlight w:val="none"/>
              </w:rPr>
              <w:t>）产品应为省级以上名牌产品，或省级以上著名商标，或国家免检产品。</w:t>
            </w:r>
          </w:p>
          <w:p>
            <w:pPr>
              <w:rPr>
                <w:color w:val="auto"/>
                <w:highlight w:val="none"/>
              </w:rPr>
            </w:pPr>
            <w:r>
              <w:rPr>
                <w:rFonts w:hint="eastAsia"/>
                <w:color w:val="auto"/>
                <w:highlight w:val="none"/>
              </w:rPr>
              <w:t>（</w:t>
            </w:r>
            <w:r>
              <w:rPr>
                <w:color w:val="auto"/>
                <w:highlight w:val="none"/>
              </w:rPr>
              <w:t>4</w:t>
            </w:r>
            <w:r>
              <w:rPr>
                <w:rFonts w:hint="eastAsia"/>
                <w:color w:val="auto"/>
                <w:highlight w:val="none"/>
              </w:rPr>
              <w:t>）制造商在深圳地区设有完善的售后服务机构。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）管材应符合</w:t>
            </w:r>
            <w:r>
              <w:rPr>
                <w:color w:val="auto"/>
                <w:highlight w:val="none"/>
              </w:rPr>
              <w:t>GB/T3091—2008</w:t>
            </w:r>
            <w:r>
              <w:rPr>
                <w:rFonts w:hint="eastAsia"/>
                <w:color w:val="auto"/>
                <w:highlight w:val="none"/>
              </w:rPr>
              <w:t>《低压流体输送用镀锌焊接钢管》的要求。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）管材的压力等级应符合设计要求。</w:t>
            </w:r>
          </w:p>
          <w:p>
            <w:pPr>
              <w:rPr>
                <w:color w:val="auto"/>
                <w:highlight w:val="none"/>
              </w:rPr>
            </w:pPr>
            <w:r>
              <w:rPr>
                <w:rFonts w:hint="eastAsia"/>
                <w:color w:val="auto"/>
                <w:highlight w:val="none"/>
              </w:rPr>
              <w:t>（</w:t>
            </w:r>
            <w:r>
              <w:rPr>
                <w:color w:val="auto"/>
                <w:highlight w:val="none"/>
              </w:rPr>
              <w:t>3</w:t>
            </w:r>
            <w:r>
              <w:rPr>
                <w:rFonts w:hint="eastAsia"/>
                <w:color w:val="auto"/>
                <w:highlight w:val="none"/>
              </w:rPr>
              <w:t>）管材经热浸镀锌方式在钢管内外表面镀上完整的镀锌层。</w:t>
            </w:r>
          </w:p>
          <w:p>
            <w:pPr>
              <w:rPr>
                <w:color w:val="auto"/>
                <w:highlight w:val="none"/>
              </w:rPr>
            </w:pPr>
            <w:r>
              <w:rPr>
                <w:rFonts w:hint="eastAsia"/>
                <w:color w:val="auto"/>
                <w:highlight w:val="none"/>
              </w:rPr>
              <w:t>（</w:t>
            </w:r>
            <w:r>
              <w:rPr>
                <w:color w:val="auto"/>
                <w:highlight w:val="none"/>
              </w:rPr>
              <w:t>4</w:t>
            </w:r>
            <w:r>
              <w:rPr>
                <w:rFonts w:hint="eastAsia"/>
                <w:color w:val="auto"/>
                <w:highlight w:val="none"/>
              </w:rPr>
              <w:t>）连接方式：</w:t>
            </w:r>
          </w:p>
          <w:p>
            <w:pPr>
              <w:rPr>
                <w:color w:val="auto"/>
                <w:highlight w:val="none"/>
              </w:rPr>
            </w:pPr>
            <w:r>
              <w:rPr>
                <w:color w:val="auto"/>
                <w:highlight w:val="none"/>
              </w:rPr>
              <w:t>1</w:t>
            </w:r>
            <w:r>
              <w:rPr>
                <w:rFonts w:hint="eastAsia"/>
                <w:color w:val="auto"/>
                <w:highlight w:val="none"/>
              </w:rPr>
              <w:t>）管径</w:t>
            </w:r>
            <w:r>
              <w:rPr>
                <w:color w:val="auto"/>
                <w:highlight w:val="none"/>
              </w:rPr>
              <w:t>&lt;DN100</w:t>
            </w:r>
            <w:r>
              <w:rPr>
                <w:rFonts w:hint="eastAsia"/>
                <w:color w:val="auto"/>
                <w:highlight w:val="none"/>
              </w:rPr>
              <w:t>采用螺纹连接，</w:t>
            </w:r>
          </w:p>
          <w:p>
            <w:pPr>
              <w:rPr>
                <w:color w:val="auto"/>
                <w:highlight w:val="none"/>
              </w:rPr>
            </w:pPr>
            <w:r>
              <w:rPr>
                <w:color w:val="auto"/>
                <w:highlight w:val="none"/>
              </w:rPr>
              <w:t>2</w:t>
            </w:r>
            <w:r>
              <w:rPr>
                <w:rFonts w:hint="eastAsia"/>
                <w:color w:val="auto"/>
                <w:highlight w:val="none"/>
              </w:rPr>
              <w:t>）管径≥</w:t>
            </w:r>
            <w:r>
              <w:rPr>
                <w:color w:val="auto"/>
                <w:highlight w:val="none"/>
              </w:rPr>
              <w:t>DN100</w:t>
            </w:r>
            <w:r>
              <w:rPr>
                <w:rFonts w:hint="eastAsia"/>
                <w:color w:val="auto"/>
                <w:highlight w:val="none"/>
              </w:rPr>
              <w:t>采用卡箍连接。</w:t>
            </w:r>
          </w:p>
          <w:p>
            <w:pPr>
              <w:rPr>
                <w:color w:val="auto"/>
                <w:highlight w:val="none"/>
              </w:rPr>
            </w:pPr>
            <w:r>
              <w:rPr>
                <w:rFonts w:hint="eastAsia"/>
                <w:color w:val="auto"/>
                <w:highlight w:val="none"/>
              </w:rPr>
              <w:t>（</w:t>
            </w:r>
            <w:r>
              <w:rPr>
                <w:color w:val="auto"/>
                <w:highlight w:val="none"/>
              </w:rPr>
              <w:t>5</w:t>
            </w:r>
            <w:r>
              <w:rPr>
                <w:rFonts w:hint="eastAsia"/>
                <w:color w:val="auto"/>
                <w:highlight w:val="none"/>
              </w:rPr>
              <w:t>）管件根据设计压力要求选用热镀锌的可锻铸铁、球墨铸铁或无缝钢管件。</w:t>
            </w:r>
          </w:p>
          <w:p>
            <w:pPr>
              <w:rPr>
                <w:color w:val="auto"/>
                <w:highlight w:val="none"/>
              </w:rPr>
            </w:pPr>
            <w:r>
              <w:rPr>
                <w:rFonts w:hint="eastAsia"/>
                <w:color w:val="auto"/>
                <w:highlight w:val="none"/>
              </w:rPr>
              <w:t>（</w:t>
            </w:r>
            <w:r>
              <w:rPr>
                <w:color w:val="auto"/>
                <w:highlight w:val="none"/>
              </w:rPr>
              <w:t>6</w:t>
            </w:r>
            <w:r>
              <w:rPr>
                <w:rFonts w:hint="eastAsia"/>
                <w:color w:val="auto"/>
                <w:highlight w:val="none"/>
              </w:rPr>
              <w:t>）镀锌层重量应达到国标（</w:t>
            </w:r>
            <w:r>
              <w:rPr>
                <w:color w:val="auto"/>
                <w:highlight w:val="none"/>
              </w:rPr>
              <w:t>500g / m2</w:t>
            </w:r>
            <w:r>
              <w:rPr>
                <w:rFonts w:hint="eastAsia"/>
                <w:color w:val="auto"/>
                <w:highlight w:val="none"/>
              </w:rPr>
              <w:t>）的要求，并要求送检时进行检测。</w:t>
            </w:r>
          </w:p>
          <w:p>
            <w:pPr>
              <w:rPr>
                <w:color w:val="auto"/>
                <w:highlight w:val="none"/>
              </w:rPr>
            </w:pPr>
          </w:p>
        </w:tc>
        <w:tc>
          <w:tcPr>
            <w:tcW w:w="567" w:type="dxa"/>
            <w:noWrap w:val="0"/>
            <w:vAlign w:val="center"/>
          </w:tcPr>
          <w:p>
            <w:pPr>
              <w:rPr>
                <w:color w:val="auto"/>
                <w:highlight w:val="none"/>
              </w:rPr>
            </w:pPr>
          </w:p>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3" w:type="dxa"/>
            <w:noWrap w:val="0"/>
            <w:vAlign w:val="center"/>
          </w:tcPr>
          <w:p>
            <w:pPr>
              <w:rPr>
                <w:color w:val="auto"/>
                <w:highlight w:val="none"/>
              </w:rPr>
            </w:pPr>
            <w:r>
              <w:rPr>
                <w:color w:val="auto"/>
                <w:highlight w:val="none"/>
              </w:rPr>
              <w:t>10.</w:t>
            </w:r>
          </w:p>
        </w:tc>
        <w:tc>
          <w:tcPr>
            <w:tcW w:w="966" w:type="dxa"/>
            <w:noWrap w:val="0"/>
            <w:vAlign w:val="center"/>
          </w:tcPr>
          <w:p>
            <w:pPr>
              <w:rPr>
                <w:color w:val="auto"/>
                <w:highlight w:val="none"/>
              </w:rPr>
            </w:pPr>
            <w:r>
              <w:rPr>
                <w:rFonts w:hint="eastAsia"/>
                <w:color w:val="auto"/>
                <w:highlight w:val="none"/>
              </w:rPr>
              <w:t>卡箍式排水铸铁管</w:t>
            </w:r>
          </w:p>
        </w:tc>
        <w:tc>
          <w:tcPr>
            <w:tcW w:w="6589" w:type="dxa"/>
            <w:noWrap w:val="0"/>
            <w:vAlign w:val="center"/>
          </w:tcPr>
          <w:p>
            <w:pPr>
              <w:rPr>
                <w:color w:val="auto"/>
                <w:highlight w:val="none"/>
              </w:rPr>
            </w:pPr>
            <w:r>
              <w:rPr>
                <w:color w:val="auto"/>
                <w:highlight w:val="none"/>
              </w:rPr>
              <w:t>1.</w:t>
            </w:r>
            <w:r>
              <w:rPr>
                <w:rFonts w:hint="eastAsia"/>
                <w:color w:val="auto"/>
                <w:highlight w:val="none"/>
              </w:rPr>
              <w:t>一般要求：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）制造商应通过</w:t>
            </w:r>
            <w:r>
              <w:rPr>
                <w:color w:val="auto"/>
                <w:highlight w:val="none"/>
              </w:rPr>
              <w:t>ISO9001</w:t>
            </w:r>
            <w:r>
              <w:rPr>
                <w:rFonts w:hint="eastAsia"/>
                <w:color w:val="auto"/>
                <w:highlight w:val="none"/>
              </w:rPr>
              <w:t>：</w:t>
            </w:r>
            <w:r>
              <w:rPr>
                <w:color w:val="auto"/>
                <w:highlight w:val="none"/>
              </w:rPr>
              <w:t>2000</w:t>
            </w:r>
            <w:r>
              <w:rPr>
                <w:rFonts w:hint="eastAsia"/>
                <w:color w:val="auto"/>
                <w:highlight w:val="none"/>
              </w:rPr>
              <w:t>质量管理体系认证。</w:t>
            </w:r>
          </w:p>
          <w:p>
            <w:pPr>
              <w:rPr>
                <w:color w:val="auto"/>
                <w:highlight w:val="none"/>
              </w:rPr>
            </w:pPr>
            <w:r>
              <w:rPr>
                <w:rFonts w:hint="eastAsia"/>
                <w:color w:val="auto"/>
                <w:highlight w:val="none"/>
              </w:rPr>
              <w:t>（</w:t>
            </w:r>
            <w:r>
              <w:rPr>
                <w:color w:val="auto"/>
                <w:highlight w:val="none"/>
              </w:rPr>
              <w:t>2</w:t>
            </w:r>
            <w:r>
              <w:rPr>
                <w:rFonts w:hint="eastAsia"/>
                <w:color w:val="auto"/>
                <w:highlight w:val="none"/>
              </w:rPr>
              <w:t>）制造商注册资本：不少于</w:t>
            </w:r>
            <w:r>
              <w:rPr>
                <w:color w:val="auto"/>
                <w:highlight w:val="none"/>
              </w:rPr>
              <w:t>2000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3</w:t>
            </w:r>
            <w:r>
              <w:rPr>
                <w:rFonts w:hint="eastAsia"/>
                <w:color w:val="auto"/>
                <w:highlight w:val="none"/>
              </w:rPr>
              <w:t>）制造商在深圳地区设有完善的售后服务机构。</w:t>
            </w:r>
          </w:p>
          <w:p>
            <w:pPr>
              <w:rPr>
                <w:color w:val="auto"/>
                <w:highlight w:val="none"/>
              </w:rPr>
            </w:pPr>
            <w:r>
              <w:rPr>
                <w:rFonts w:hint="eastAsia"/>
                <w:color w:val="auto"/>
                <w:highlight w:val="none"/>
              </w:rPr>
              <w:t>（</w:t>
            </w:r>
            <w:r>
              <w:rPr>
                <w:color w:val="auto"/>
                <w:highlight w:val="none"/>
              </w:rPr>
              <w:t>4</w:t>
            </w:r>
            <w:r>
              <w:rPr>
                <w:rFonts w:hint="eastAsia"/>
                <w:color w:val="auto"/>
                <w:highlight w:val="none"/>
              </w:rPr>
              <w:t>）产品应为国内知名品牌。</w:t>
            </w:r>
          </w:p>
          <w:p>
            <w:pPr>
              <w:rPr>
                <w:color w:val="auto"/>
                <w:highlight w:val="none"/>
              </w:rPr>
            </w:pPr>
          </w:p>
          <w:p>
            <w:pPr>
              <w:rPr>
                <w:color w:val="auto"/>
                <w:highlight w:val="none"/>
              </w:rPr>
            </w:pPr>
            <w:r>
              <w:rPr>
                <w:color w:val="auto"/>
                <w:highlight w:val="none"/>
              </w:rPr>
              <w:t>2.</w:t>
            </w:r>
            <w:r>
              <w:rPr>
                <w:rFonts w:hint="eastAsia"/>
                <w:color w:val="auto"/>
                <w:highlight w:val="none"/>
              </w:rPr>
              <w:t>产品技术要求：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）管材和管件规格、加工质量等，应符合现行的国家或行业生产技术标准。</w:t>
            </w:r>
          </w:p>
          <w:p>
            <w:pPr>
              <w:rPr>
                <w:color w:val="auto"/>
                <w:highlight w:val="none"/>
              </w:rPr>
            </w:pPr>
            <w:r>
              <w:rPr>
                <w:rFonts w:hint="eastAsia"/>
                <w:color w:val="auto"/>
                <w:highlight w:val="none"/>
              </w:rPr>
              <w:t>（</w:t>
            </w:r>
            <w:r>
              <w:rPr>
                <w:color w:val="auto"/>
                <w:highlight w:val="none"/>
              </w:rPr>
              <w:t>2</w:t>
            </w:r>
            <w:r>
              <w:rPr>
                <w:rFonts w:hint="eastAsia"/>
                <w:color w:val="auto"/>
                <w:highlight w:val="none"/>
              </w:rPr>
              <w:t>）采用不锈钢管卡箍连接方式。</w:t>
            </w:r>
          </w:p>
          <w:p>
            <w:pPr>
              <w:rPr>
                <w:color w:val="auto"/>
                <w:highlight w:val="none"/>
              </w:rPr>
            </w:pPr>
            <w:r>
              <w:rPr>
                <w:rFonts w:hint="eastAsia"/>
                <w:color w:val="auto"/>
                <w:highlight w:val="none"/>
              </w:rPr>
              <w:t>（</w:t>
            </w:r>
            <w:r>
              <w:rPr>
                <w:color w:val="auto"/>
                <w:highlight w:val="none"/>
              </w:rPr>
              <w:t>3</w:t>
            </w:r>
            <w:r>
              <w:rPr>
                <w:rFonts w:hint="eastAsia"/>
                <w:color w:val="auto"/>
                <w:highlight w:val="none"/>
              </w:rPr>
              <w:t>）耐磨性好；内外壁光滑；有较好的抗冲击性。</w:t>
            </w:r>
          </w:p>
          <w:p>
            <w:pPr>
              <w:rPr>
                <w:color w:val="auto"/>
                <w:highlight w:val="none"/>
              </w:rPr>
            </w:pPr>
            <w:r>
              <w:rPr>
                <w:rFonts w:hint="eastAsia"/>
                <w:color w:val="auto"/>
                <w:highlight w:val="none"/>
              </w:rPr>
              <w:t>（</w:t>
            </w:r>
            <w:r>
              <w:rPr>
                <w:color w:val="auto"/>
                <w:highlight w:val="none"/>
              </w:rPr>
              <w:t>4</w:t>
            </w:r>
            <w:r>
              <w:rPr>
                <w:rFonts w:hint="eastAsia"/>
                <w:color w:val="auto"/>
                <w:highlight w:val="none"/>
              </w:rPr>
              <w:t>）应由管材供应商配套提供管材、管件，专用机具和辅料。</w:t>
            </w:r>
          </w:p>
          <w:p>
            <w:pPr>
              <w:rPr>
                <w:color w:val="auto"/>
                <w:highlight w:val="none"/>
              </w:rPr>
            </w:pPr>
            <w:r>
              <w:rPr>
                <w:rFonts w:hint="eastAsia"/>
                <w:color w:val="auto"/>
                <w:highlight w:val="none"/>
              </w:rPr>
              <w:t>（</w:t>
            </w:r>
            <w:r>
              <w:rPr>
                <w:color w:val="auto"/>
                <w:highlight w:val="none"/>
              </w:rPr>
              <w:t>5</w:t>
            </w:r>
            <w:r>
              <w:rPr>
                <w:rFonts w:hint="eastAsia"/>
                <w:color w:val="auto"/>
                <w:highlight w:val="none"/>
              </w:rPr>
              <w:t>）管材端口整齐，且端面应垂直于管材的轴线。</w:t>
            </w:r>
          </w:p>
          <w:p>
            <w:pPr>
              <w:rPr>
                <w:color w:val="auto"/>
                <w:highlight w:val="none"/>
              </w:rPr>
            </w:pPr>
            <w:r>
              <w:rPr>
                <w:rFonts w:hint="eastAsia"/>
                <w:color w:val="auto"/>
                <w:highlight w:val="none"/>
              </w:rPr>
              <w:t>（</w:t>
            </w:r>
            <w:r>
              <w:rPr>
                <w:color w:val="auto"/>
                <w:highlight w:val="none"/>
              </w:rPr>
              <w:t>6</w:t>
            </w:r>
            <w:r>
              <w:rPr>
                <w:rFonts w:hint="eastAsia"/>
                <w:color w:val="auto"/>
                <w:highlight w:val="none"/>
              </w:rPr>
              <w:t>）管材外壁应标注品牌名称。</w:t>
            </w:r>
          </w:p>
          <w:p>
            <w:pPr>
              <w:rPr>
                <w:color w:val="auto"/>
                <w:highlight w:val="none"/>
              </w:rPr>
            </w:pPr>
          </w:p>
        </w:tc>
        <w:tc>
          <w:tcPr>
            <w:tcW w:w="567"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3" w:type="dxa"/>
            <w:noWrap w:val="0"/>
            <w:vAlign w:val="center"/>
          </w:tcPr>
          <w:p>
            <w:pPr>
              <w:rPr>
                <w:color w:val="auto"/>
                <w:highlight w:val="none"/>
              </w:rPr>
            </w:pPr>
            <w:r>
              <w:rPr>
                <w:color w:val="auto"/>
                <w:highlight w:val="none"/>
              </w:rPr>
              <w:t>11.</w:t>
            </w:r>
          </w:p>
        </w:tc>
        <w:tc>
          <w:tcPr>
            <w:tcW w:w="966" w:type="dxa"/>
            <w:noWrap w:val="0"/>
            <w:vAlign w:val="center"/>
          </w:tcPr>
          <w:p>
            <w:pPr>
              <w:rPr>
                <w:color w:val="auto"/>
                <w:highlight w:val="none"/>
              </w:rPr>
            </w:pPr>
            <w:r>
              <w:rPr>
                <w:rFonts w:hint="eastAsia"/>
                <w:color w:val="auto"/>
                <w:highlight w:val="none"/>
              </w:rPr>
              <w:t>沟槽式连接件</w:t>
            </w:r>
          </w:p>
          <w:p>
            <w:pPr>
              <w:rPr>
                <w:color w:val="auto"/>
                <w:highlight w:val="none"/>
              </w:rPr>
            </w:pPr>
            <w:r>
              <w:rPr>
                <w:rFonts w:hint="eastAsia"/>
                <w:color w:val="auto"/>
                <w:highlight w:val="none"/>
              </w:rPr>
              <w:t>（卡箍）</w:t>
            </w:r>
          </w:p>
        </w:tc>
        <w:tc>
          <w:tcPr>
            <w:tcW w:w="6589" w:type="dxa"/>
            <w:noWrap w:val="0"/>
            <w:vAlign w:val="center"/>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）制造商应通过</w:t>
            </w:r>
            <w:r>
              <w:rPr>
                <w:color w:val="auto"/>
                <w:highlight w:val="none"/>
              </w:rPr>
              <w:t>ISO9001</w:t>
            </w:r>
            <w:r>
              <w:rPr>
                <w:rFonts w:hint="eastAsia"/>
                <w:color w:val="auto"/>
                <w:highlight w:val="none"/>
              </w:rPr>
              <w:t>：</w:t>
            </w:r>
            <w:r>
              <w:rPr>
                <w:color w:val="auto"/>
                <w:highlight w:val="none"/>
              </w:rPr>
              <w:t>2000</w:t>
            </w:r>
            <w:r>
              <w:rPr>
                <w:rFonts w:hint="eastAsia"/>
                <w:color w:val="auto"/>
                <w:highlight w:val="none"/>
              </w:rPr>
              <w:t>质量管理体系认证。</w:t>
            </w:r>
          </w:p>
          <w:p>
            <w:pPr>
              <w:rPr>
                <w:color w:val="auto"/>
                <w:highlight w:val="none"/>
              </w:rPr>
            </w:pPr>
            <w:r>
              <w:rPr>
                <w:rFonts w:hint="eastAsia"/>
                <w:color w:val="auto"/>
                <w:highlight w:val="none"/>
              </w:rPr>
              <w:t>（</w:t>
            </w:r>
            <w:r>
              <w:rPr>
                <w:color w:val="auto"/>
                <w:highlight w:val="none"/>
              </w:rPr>
              <w:t>2</w:t>
            </w:r>
            <w:r>
              <w:rPr>
                <w:rFonts w:hint="eastAsia"/>
                <w:color w:val="auto"/>
                <w:highlight w:val="none"/>
              </w:rPr>
              <w:t>）制造商注册资本：不少于</w:t>
            </w:r>
            <w:r>
              <w:rPr>
                <w:color w:val="auto"/>
                <w:highlight w:val="none"/>
              </w:rPr>
              <w:t>1000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3</w:t>
            </w:r>
            <w:r>
              <w:rPr>
                <w:rFonts w:hint="eastAsia"/>
                <w:color w:val="auto"/>
                <w:highlight w:val="none"/>
              </w:rPr>
              <w:t>）制造商在深圳地区设有完善的售后服务机构。</w:t>
            </w:r>
          </w:p>
          <w:p>
            <w:pPr>
              <w:rPr>
                <w:color w:val="auto"/>
                <w:highlight w:val="none"/>
              </w:rPr>
            </w:pPr>
            <w:r>
              <w:rPr>
                <w:rFonts w:hint="eastAsia"/>
                <w:color w:val="auto"/>
                <w:highlight w:val="none"/>
              </w:rPr>
              <w:t>（</w:t>
            </w:r>
            <w:r>
              <w:rPr>
                <w:color w:val="auto"/>
                <w:highlight w:val="none"/>
              </w:rPr>
              <w:t>4</w:t>
            </w:r>
            <w:r>
              <w:rPr>
                <w:rFonts w:hint="eastAsia"/>
                <w:color w:val="auto"/>
                <w:highlight w:val="none"/>
              </w:rPr>
              <w:t>）产品必须经过</w:t>
            </w:r>
            <w:r>
              <w:rPr>
                <w:color w:val="auto"/>
                <w:highlight w:val="none"/>
              </w:rPr>
              <w:t>FM</w:t>
            </w:r>
            <w:r>
              <w:rPr>
                <w:rFonts w:hint="eastAsia"/>
                <w:color w:val="auto"/>
                <w:highlight w:val="none"/>
              </w:rPr>
              <w:t>或</w:t>
            </w:r>
            <w:r>
              <w:rPr>
                <w:color w:val="auto"/>
                <w:highlight w:val="none"/>
              </w:rPr>
              <w:t>UL</w:t>
            </w:r>
            <w:r>
              <w:rPr>
                <w:rFonts w:hint="eastAsia"/>
                <w:color w:val="auto"/>
                <w:highlight w:val="none"/>
              </w:rPr>
              <w:t>认证。</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）沟槽式接头质量应符合</w:t>
            </w:r>
            <w:r>
              <w:rPr>
                <w:color w:val="auto"/>
                <w:highlight w:val="none"/>
              </w:rPr>
              <w:t>CJ/156-2001</w:t>
            </w:r>
            <w:r>
              <w:rPr>
                <w:rFonts w:hint="eastAsia"/>
                <w:color w:val="auto"/>
                <w:highlight w:val="none"/>
              </w:rPr>
              <w:t>《沟槽式管接头》要求。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）采用优质球墨铸铁材料，应具有不易生锈，强度高，韧性好，延伸性好，还具有较强的防震吸震性能。</w:t>
            </w:r>
          </w:p>
          <w:p>
            <w:pPr>
              <w:rPr>
                <w:color w:val="auto"/>
                <w:highlight w:val="none"/>
              </w:rPr>
            </w:pPr>
            <w:r>
              <w:rPr>
                <w:rFonts w:hint="eastAsia"/>
                <w:color w:val="auto"/>
                <w:highlight w:val="none"/>
              </w:rPr>
              <w:t>（</w:t>
            </w:r>
            <w:r>
              <w:rPr>
                <w:color w:val="auto"/>
                <w:highlight w:val="none"/>
              </w:rPr>
              <w:t>3</w:t>
            </w:r>
            <w:r>
              <w:rPr>
                <w:rFonts w:hint="eastAsia"/>
                <w:color w:val="auto"/>
                <w:highlight w:val="none"/>
              </w:rPr>
              <w:t>）密封材料采用优质橡胶材料，严禁使用再生橡胶。具有较好的抗老化和耐磨性。</w:t>
            </w:r>
          </w:p>
          <w:p>
            <w:pPr>
              <w:rPr>
                <w:color w:val="auto"/>
                <w:highlight w:val="none"/>
              </w:rPr>
            </w:pPr>
            <w:r>
              <w:rPr>
                <w:rFonts w:hint="eastAsia"/>
                <w:color w:val="auto"/>
                <w:highlight w:val="none"/>
              </w:rPr>
              <w:t>（</w:t>
            </w:r>
            <w:r>
              <w:rPr>
                <w:color w:val="auto"/>
                <w:highlight w:val="none"/>
              </w:rPr>
              <w:t>4</w:t>
            </w:r>
            <w:r>
              <w:rPr>
                <w:rFonts w:hint="eastAsia"/>
                <w:color w:val="auto"/>
                <w:highlight w:val="none"/>
              </w:rPr>
              <w:t>）符合设计及有关规范要求。</w:t>
            </w:r>
          </w:p>
          <w:p>
            <w:pPr>
              <w:rPr>
                <w:color w:val="auto"/>
                <w:highlight w:val="none"/>
              </w:rPr>
            </w:pPr>
          </w:p>
        </w:tc>
        <w:tc>
          <w:tcPr>
            <w:tcW w:w="567"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3" w:type="dxa"/>
            <w:noWrap w:val="0"/>
            <w:vAlign w:val="center"/>
          </w:tcPr>
          <w:p>
            <w:pPr>
              <w:rPr>
                <w:color w:val="auto"/>
                <w:highlight w:val="none"/>
              </w:rPr>
            </w:pPr>
            <w:r>
              <w:rPr>
                <w:color w:val="auto"/>
                <w:highlight w:val="none"/>
              </w:rPr>
              <w:t>12.</w:t>
            </w:r>
          </w:p>
        </w:tc>
        <w:tc>
          <w:tcPr>
            <w:tcW w:w="966" w:type="dxa"/>
            <w:noWrap w:val="0"/>
            <w:vAlign w:val="center"/>
          </w:tcPr>
          <w:p>
            <w:pPr>
              <w:rPr>
                <w:color w:val="auto"/>
                <w:highlight w:val="none"/>
              </w:rPr>
            </w:pPr>
            <w:r>
              <w:rPr>
                <w:rFonts w:hint="eastAsia"/>
                <w:color w:val="auto"/>
                <w:highlight w:val="none"/>
              </w:rPr>
              <w:t>检查井井盖及井座</w:t>
            </w:r>
          </w:p>
        </w:tc>
        <w:tc>
          <w:tcPr>
            <w:tcW w:w="658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）制造商应通过</w:t>
            </w:r>
            <w:r>
              <w:rPr>
                <w:color w:val="auto"/>
                <w:highlight w:val="none"/>
              </w:rPr>
              <w:t>ISO9001</w:t>
            </w:r>
            <w:r>
              <w:rPr>
                <w:rFonts w:hint="eastAsia"/>
                <w:color w:val="auto"/>
                <w:highlight w:val="none"/>
              </w:rPr>
              <w:t>：</w:t>
            </w:r>
            <w:r>
              <w:rPr>
                <w:color w:val="auto"/>
                <w:highlight w:val="none"/>
              </w:rPr>
              <w:t>2000</w:t>
            </w:r>
            <w:r>
              <w:rPr>
                <w:rFonts w:hint="eastAsia"/>
                <w:color w:val="auto"/>
                <w:highlight w:val="none"/>
              </w:rPr>
              <w:t>质量管理体系认证。</w:t>
            </w:r>
          </w:p>
          <w:p>
            <w:pPr>
              <w:rPr>
                <w:color w:val="auto"/>
                <w:highlight w:val="none"/>
              </w:rPr>
            </w:pPr>
            <w:r>
              <w:rPr>
                <w:rFonts w:hint="eastAsia"/>
                <w:color w:val="auto"/>
                <w:highlight w:val="none"/>
              </w:rPr>
              <w:t>（</w:t>
            </w:r>
            <w:r>
              <w:rPr>
                <w:color w:val="auto"/>
                <w:highlight w:val="none"/>
              </w:rPr>
              <w:t>2</w:t>
            </w:r>
            <w:r>
              <w:rPr>
                <w:rFonts w:hint="eastAsia"/>
                <w:color w:val="auto"/>
                <w:highlight w:val="none"/>
              </w:rPr>
              <w:t>）制造商注册资本：不少于</w:t>
            </w:r>
            <w:r>
              <w:rPr>
                <w:color w:val="auto"/>
                <w:highlight w:val="none"/>
              </w:rPr>
              <w:t>500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3</w:t>
            </w:r>
            <w:r>
              <w:rPr>
                <w:rFonts w:hint="eastAsia"/>
                <w:color w:val="auto"/>
                <w:highlight w:val="none"/>
              </w:rPr>
              <w:t>）制造商在深圳地区设有完善的售后服务机构。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）符合</w:t>
            </w:r>
            <w:r>
              <w:rPr>
                <w:color w:val="auto"/>
                <w:highlight w:val="none"/>
              </w:rPr>
              <w:t>CJ/T 3012-93</w:t>
            </w:r>
            <w:r>
              <w:rPr>
                <w:rFonts w:hint="eastAsia"/>
                <w:color w:val="auto"/>
                <w:highlight w:val="none"/>
              </w:rPr>
              <w:t>《铸铁检查井盖》的要求。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）在机动车道路范围内的给水阀门井及排水检查井采用重型球墨铸铁井盖；在人行道或绿化带范围内的给水阀门井及排水检查井均采用轻型球墨铸铁井盖。</w:t>
            </w:r>
          </w:p>
          <w:p>
            <w:pPr>
              <w:rPr>
                <w:color w:val="auto"/>
                <w:highlight w:val="none"/>
              </w:rPr>
            </w:pPr>
          </w:p>
        </w:tc>
        <w:tc>
          <w:tcPr>
            <w:tcW w:w="567"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3" w:type="dxa"/>
            <w:noWrap w:val="0"/>
            <w:vAlign w:val="center"/>
          </w:tcPr>
          <w:p>
            <w:pPr>
              <w:rPr>
                <w:color w:val="auto"/>
                <w:highlight w:val="none"/>
              </w:rPr>
            </w:pPr>
            <w:r>
              <w:rPr>
                <w:color w:val="auto"/>
                <w:highlight w:val="none"/>
              </w:rPr>
              <w:t>13.</w:t>
            </w:r>
          </w:p>
        </w:tc>
        <w:tc>
          <w:tcPr>
            <w:tcW w:w="966" w:type="dxa"/>
            <w:noWrap w:val="0"/>
            <w:vAlign w:val="center"/>
          </w:tcPr>
          <w:p>
            <w:pPr>
              <w:rPr>
                <w:color w:val="auto"/>
                <w:highlight w:val="none"/>
              </w:rPr>
            </w:pPr>
            <w:r>
              <w:rPr>
                <w:rFonts w:hint="eastAsia"/>
                <w:color w:val="auto"/>
                <w:highlight w:val="none"/>
              </w:rPr>
              <w:t>阀门</w:t>
            </w:r>
          </w:p>
          <w:p>
            <w:pPr>
              <w:rPr>
                <w:color w:val="auto"/>
                <w:highlight w:val="none"/>
              </w:rPr>
            </w:pPr>
            <w:r>
              <w:rPr>
                <w:rFonts w:hint="eastAsia"/>
                <w:color w:val="auto"/>
                <w:highlight w:val="none"/>
              </w:rPr>
              <w:t>（闸阀、蝶阀、截止阀、（消声）止回阀、减压阀、自动排气阀、多动能水力控制阀、</w:t>
            </w:r>
            <w:r>
              <w:rPr>
                <w:color w:val="auto"/>
                <w:highlight w:val="none"/>
              </w:rPr>
              <w:t>Y</w:t>
            </w:r>
            <w:r>
              <w:rPr>
                <w:rFonts w:hint="eastAsia"/>
                <w:color w:val="auto"/>
                <w:highlight w:val="none"/>
              </w:rPr>
              <w:t>型管道过滤器、倒流防止器等）</w:t>
            </w:r>
          </w:p>
        </w:tc>
        <w:tc>
          <w:tcPr>
            <w:tcW w:w="658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）制造商注册资本：不少于</w:t>
            </w:r>
            <w:r>
              <w:rPr>
                <w:color w:val="auto"/>
                <w:highlight w:val="none"/>
              </w:rPr>
              <w:t>3000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2</w:t>
            </w:r>
            <w:r>
              <w:rPr>
                <w:rFonts w:hint="eastAsia"/>
                <w:color w:val="auto"/>
                <w:highlight w:val="none"/>
              </w:rPr>
              <w:t>）制造商应通过</w:t>
            </w:r>
            <w:r>
              <w:rPr>
                <w:color w:val="auto"/>
                <w:highlight w:val="none"/>
              </w:rPr>
              <w:t>ISO9001</w:t>
            </w:r>
            <w:r>
              <w:rPr>
                <w:rFonts w:hint="eastAsia"/>
                <w:color w:val="auto"/>
                <w:highlight w:val="none"/>
              </w:rPr>
              <w:t>：</w:t>
            </w:r>
            <w:r>
              <w:rPr>
                <w:color w:val="auto"/>
                <w:highlight w:val="none"/>
              </w:rPr>
              <w:t>2000</w:t>
            </w:r>
            <w:r>
              <w:rPr>
                <w:rFonts w:hint="eastAsia"/>
                <w:color w:val="auto"/>
                <w:highlight w:val="none"/>
              </w:rPr>
              <w:t>质量管理体系认证及</w:t>
            </w:r>
            <w:r>
              <w:rPr>
                <w:color w:val="auto"/>
                <w:highlight w:val="none"/>
              </w:rPr>
              <w:t>ISO14001</w:t>
            </w:r>
            <w:r>
              <w:rPr>
                <w:rFonts w:hint="eastAsia"/>
                <w:color w:val="auto"/>
                <w:highlight w:val="none"/>
              </w:rPr>
              <w:t>环境管理体系认证。</w:t>
            </w:r>
          </w:p>
          <w:p>
            <w:pPr>
              <w:rPr>
                <w:color w:val="auto"/>
                <w:highlight w:val="none"/>
              </w:rPr>
            </w:pPr>
            <w:r>
              <w:rPr>
                <w:rFonts w:hint="eastAsia"/>
                <w:color w:val="auto"/>
                <w:highlight w:val="none"/>
              </w:rPr>
              <w:t>（</w:t>
            </w:r>
            <w:r>
              <w:rPr>
                <w:color w:val="auto"/>
                <w:highlight w:val="none"/>
              </w:rPr>
              <w:t>3</w:t>
            </w:r>
            <w:r>
              <w:rPr>
                <w:rFonts w:hint="eastAsia"/>
                <w:color w:val="auto"/>
                <w:highlight w:val="none"/>
              </w:rPr>
              <w:t>）制造商在深圳地区设有完善的售后服务机构。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）用于生活给水、热水管路上，阀门选型、压力等级应符合国家有关规范及设计要求。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）符合现行的国家或行业的生产技术标准。</w:t>
            </w:r>
          </w:p>
          <w:p>
            <w:pPr>
              <w:rPr>
                <w:color w:val="auto"/>
                <w:highlight w:val="none"/>
              </w:rPr>
            </w:pPr>
            <w:r>
              <w:rPr>
                <w:rFonts w:hint="eastAsia"/>
                <w:color w:val="auto"/>
                <w:highlight w:val="none"/>
              </w:rPr>
              <w:t>（</w:t>
            </w:r>
            <w:r>
              <w:rPr>
                <w:color w:val="auto"/>
                <w:highlight w:val="none"/>
              </w:rPr>
              <w:t>3</w:t>
            </w:r>
            <w:r>
              <w:rPr>
                <w:rFonts w:hint="eastAsia"/>
                <w:color w:val="auto"/>
                <w:highlight w:val="none"/>
              </w:rPr>
              <w:t>）一般情况下，口径≤</w:t>
            </w:r>
            <w:r>
              <w:rPr>
                <w:color w:val="auto"/>
                <w:highlight w:val="none"/>
              </w:rPr>
              <w:t>50</w:t>
            </w:r>
            <w:r>
              <w:rPr>
                <w:rFonts w:hint="eastAsia"/>
                <w:color w:val="auto"/>
                <w:highlight w:val="none"/>
              </w:rPr>
              <w:t>毫米的阀门采用铜阀；口径</w:t>
            </w:r>
            <w:r>
              <w:rPr>
                <w:color w:val="auto"/>
                <w:highlight w:val="none"/>
              </w:rPr>
              <w:t>&gt;50</w:t>
            </w:r>
            <w:r>
              <w:rPr>
                <w:rFonts w:hint="eastAsia"/>
                <w:color w:val="auto"/>
                <w:highlight w:val="none"/>
              </w:rPr>
              <w:t>毫米的阀门采用球墨铸铁阀。</w:t>
            </w:r>
          </w:p>
          <w:p>
            <w:pPr>
              <w:rPr>
                <w:color w:val="auto"/>
                <w:highlight w:val="none"/>
              </w:rPr>
            </w:pPr>
            <w:r>
              <w:rPr>
                <w:rFonts w:hint="eastAsia"/>
                <w:color w:val="auto"/>
                <w:highlight w:val="none"/>
              </w:rPr>
              <w:t>（</w:t>
            </w:r>
            <w:r>
              <w:rPr>
                <w:color w:val="auto"/>
                <w:highlight w:val="none"/>
              </w:rPr>
              <w:t>4</w:t>
            </w:r>
            <w:r>
              <w:rPr>
                <w:rFonts w:hint="eastAsia"/>
                <w:color w:val="auto"/>
                <w:highlight w:val="none"/>
              </w:rPr>
              <w:t>）弹性座封闸阀材质要求：</w:t>
            </w:r>
          </w:p>
          <w:p>
            <w:pPr>
              <w:rPr>
                <w:color w:val="auto"/>
                <w:highlight w:val="none"/>
              </w:rPr>
            </w:pPr>
            <w:r>
              <w:rPr>
                <w:color w:val="auto"/>
                <w:highlight w:val="none"/>
              </w:rPr>
              <w:t>1</w:t>
            </w:r>
            <w:r>
              <w:rPr>
                <w:rFonts w:hint="eastAsia"/>
                <w:color w:val="auto"/>
                <w:highlight w:val="none"/>
              </w:rPr>
              <w:t>）阀体、阀盖采用球墨铸铁，表面采用无毒环保的食品级环氧树脂喷涂。</w:t>
            </w:r>
          </w:p>
          <w:p>
            <w:pPr>
              <w:rPr>
                <w:color w:val="auto"/>
                <w:highlight w:val="none"/>
              </w:rPr>
            </w:pPr>
            <w:r>
              <w:rPr>
                <w:color w:val="auto"/>
                <w:highlight w:val="none"/>
              </w:rPr>
              <w:t>2</w:t>
            </w:r>
            <w:r>
              <w:rPr>
                <w:rFonts w:hint="eastAsia"/>
                <w:color w:val="auto"/>
                <w:highlight w:val="none"/>
              </w:rPr>
              <w:t>）闸板骨架为球墨铸铁整体铸造，骨架内外表面整体包胶，包胶材质应为无毒环保的食品级橡胶，用于热水系统的阀门包胶材质采用三元乙丙橡胶。</w:t>
            </w:r>
          </w:p>
          <w:p>
            <w:pPr>
              <w:rPr>
                <w:color w:val="auto"/>
                <w:highlight w:val="none"/>
              </w:rPr>
            </w:pPr>
            <w:r>
              <w:rPr>
                <w:color w:val="auto"/>
                <w:highlight w:val="none"/>
              </w:rPr>
              <w:t>3</w:t>
            </w:r>
            <w:r>
              <w:rPr>
                <w:rFonts w:hint="eastAsia"/>
                <w:color w:val="auto"/>
                <w:highlight w:val="none"/>
              </w:rPr>
              <w:t>）阀杆采用不锈钢材料。阀杆螺母采用铜合金，其硬度和强度均大于阀杆。</w:t>
            </w:r>
          </w:p>
          <w:p>
            <w:pPr>
              <w:rPr>
                <w:color w:val="auto"/>
                <w:highlight w:val="none"/>
              </w:rPr>
            </w:pPr>
            <w:r>
              <w:rPr>
                <w:color w:val="auto"/>
                <w:highlight w:val="none"/>
              </w:rPr>
              <w:t>4</w:t>
            </w:r>
            <w:r>
              <w:rPr>
                <w:rFonts w:hint="eastAsia"/>
                <w:color w:val="auto"/>
                <w:highlight w:val="none"/>
              </w:rPr>
              <w:t>）密封材料采用无毒环保的食品级橡胶，热水系统阀门密封采用三元乙丙橡胶。</w:t>
            </w:r>
          </w:p>
          <w:p>
            <w:pPr>
              <w:rPr>
                <w:color w:val="auto"/>
                <w:highlight w:val="none"/>
              </w:rPr>
            </w:pPr>
            <w:r>
              <w:rPr>
                <w:rFonts w:hint="eastAsia"/>
                <w:color w:val="auto"/>
                <w:highlight w:val="none"/>
              </w:rPr>
              <w:t>（</w:t>
            </w:r>
            <w:r>
              <w:rPr>
                <w:color w:val="auto"/>
                <w:highlight w:val="none"/>
              </w:rPr>
              <w:t>5</w:t>
            </w:r>
            <w:r>
              <w:rPr>
                <w:rFonts w:hint="eastAsia"/>
                <w:color w:val="auto"/>
                <w:highlight w:val="none"/>
              </w:rPr>
              <w:t>）蝶阀材质及型式要求：</w:t>
            </w:r>
          </w:p>
          <w:p>
            <w:pPr>
              <w:rPr>
                <w:color w:val="auto"/>
                <w:highlight w:val="none"/>
              </w:rPr>
            </w:pPr>
            <w:r>
              <w:rPr>
                <w:color w:val="auto"/>
                <w:highlight w:val="none"/>
              </w:rPr>
              <w:t>1</w:t>
            </w:r>
            <w:r>
              <w:rPr>
                <w:rFonts w:hint="eastAsia"/>
                <w:color w:val="auto"/>
                <w:highlight w:val="none"/>
              </w:rPr>
              <w:t>）阀体采用球墨铸铁，表面采用无毒环保的食品级环氧树脂喷涂。</w:t>
            </w:r>
          </w:p>
          <w:p>
            <w:pPr>
              <w:rPr>
                <w:color w:val="auto"/>
                <w:highlight w:val="none"/>
              </w:rPr>
            </w:pPr>
            <w:r>
              <w:rPr>
                <w:color w:val="auto"/>
                <w:highlight w:val="none"/>
              </w:rPr>
              <w:t>2</w:t>
            </w:r>
            <w:r>
              <w:rPr>
                <w:rFonts w:hint="eastAsia"/>
                <w:color w:val="auto"/>
                <w:highlight w:val="none"/>
              </w:rPr>
              <w:t>）蝶板采用不锈钢材料或球墨铸铁整体包胶。</w:t>
            </w:r>
          </w:p>
          <w:p>
            <w:pPr>
              <w:rPr>
                <w:color w:val="auto"/>
                <w:highlight w:val="none"/>
              </w:rPr>
            </w:pPr>
            <w:r>
              <w:rPr>
                <w:color w:val="auto"/>
                <w:highlight w:val="none"/>
              </w:rPr>
              <w:t>3</w:t>
            </w:r>
            <w:r>
              <w:rPr>
                <w:rFonts w:hint="eastAsia"/>
                <w:color w:val="auto"/>
                <w:highlight w:val="none"/>
              </w:rPr>
              <w:t>）阀轴采用不锈钢材料。</w:t>
            </w:r>
          </w:p>
          <w:p>
            <w:pPr>
              <w:rPr>
                <w:color w:val="auto"/>
                <w:highlight w:val="none"/>
              </w:rPr>
            </w:pPr>
            <w:r>
              <w:rPr>
                <w:color w:val="auto"/>
                <w:highlight w:val="none"/>
              </w:rPr>
              <w:t>4</w:t>
            </w:r>
            <w:r>
              <w:rPr>
                <w:rFonts w:hint="eastAsia"/>
                <w:color w:val="auto"/>
                <w:highlight w:val="none"/>
              </w:rPr>
              <w:t>）密封材料采用丁晴橡胶或三元乙丙橡胶。</w:t>
            </w:r>
          </w:p>
          <w:p>
            <w:pPr>
              <w:rPr>
                <w:color w:val="auto"/>
                <w:highlight w:val="none"/>
              </w:rPr>
            </w:pPr>
            <w:r>
              <w:rPr>
                <w:color w:val="auto"/>
                <w:highlight w:val="none"/>
              </w:rPr>
              <w:t>5</w:t>
            </w:r>
            <w:r>
              <w:rPr>
                <w:rFonts w:hint="eastAsia"/>
                <w:color w:val="auto"/>
                <w:highlight w:val="none"/>
              </w:rPr>
              <w:t>）</w:t>
            </w:r>
            <w:r>
              <w:rPr>
                <w:color w:val="auto"/>
                <w:highlight w:val="none"/>
              </w:rPr>
              <w:t>DNl00</w:t>
            </w:r>
            <w:r>
              <w:rPr>
                <w:rFonts w:hint="eastAsia"/>
                <w:color w:val="auto"/>
                <w:highlight w:val="none"/>
              </w:rPr>
              <w:t>以下采用手柄式，≥</w:t>
            </w:r>
            <w:r>
              <w:rPr>
                <w:color w:val="auto"/>
                <w:highlight w:val="none"/>
              </w:rPr>
              <w:t>DNl00</w:t>
            </w:r>
            <w:r>
              <w:rPr>
                <w:rFonts w:hint="eastAsia"/>
                <w:color w:val="auto"/>
                <w:highlight w:val="none"/>
              </w:rPr>
              <w:t>采用涡轮式。</w:t>
            </w:r>
          </w:p>
          <w:p>
            <w:pPr>
              <w:rPr>
                <w:color w:val="auto"/>
                <w:highlight w:val="none"/>
              </w:rPr>
            </w:pPr>
            <w:r>
              <w:rPr>
                <w:rFonts w:hint="eastAsia"/>
                <w:color w:val="auto"/>
                <w:highlight w:val="none"/>
              </w:rPr>
              <w:t>（</w:t>
            </w:r>
            <w:r>
              <w:rPr>
                <w:color w:val="auto"/>
                <w:highlight w:val="none"/>
              </w:rPr>
              <w:t>6</w:t>
            </w:r>
            <w:r>
              <w:rPr>
                <w:rFonts w:hint="eastAsia"/>
                <w:color w:val="auto"/>
                <w:highlight w:val="none"/>
              </w:rPr>
              <w:t>）橡胶板止回阀材质要求：</w:t>
            </w:r>
          </w:p>
          <w:p>
            <w:pPr>
              <w:rPr>
                <w:color w:val="auto"/>
                <w:highlight w:val="none"/>
              </w:rPr>
            </w:pPr>
            <w:r>
              <w:rPr>
                <w:color w:val="auto"/>
                <w:highlight w:val="none"/>
              </w:rPr>
              <w:t>1</w:t>
            </w:r>
            <w:r>
              <w:rPr>
                <w:rFonts w:hint="eastAsia"/>
                <w:color w:val="auto"/>
                <w:highlight w:val="none"/>
              </w:rPr>
              <w:t>）阀体、阀盖采用球墨铸铁，表面采用无毒环保的食品级环氧树脂喷涂。</w:t>
            </w:r>
          </w:p>
          <w:p>
            <w:pPr>
              <w:rPr>
                <w:color w:val="auto"/>
                <w:highlight w:val="none"/>
              </w:rPr>
            </w:pPr>
            <w:r>
              <w:rPr>
                <w:color w:val="auto"/>
                <w:highlight w:val="none"/>
              </w:rPr>
              <w:t>2</w:t>
            </w:r>
            <w:r>
              <w:rPr>
                <w:rFonts w:hint="eastAsia"/>
                <w:color w:val="auto"/>
                <w:highlight w:val="none"/>
              </w:rPr>
              <w:t>）阀瓣采用碳钢</w:t>
            </w:r>
            <w:r>
              <w:rPr>
                <w:color w:val="auto"/>
                <w:highlight w:val="none"/>
              </w:rPr>
              <w:t>+</w:t>
            </w:r>
            <w:r>
              <w:rPr>
                <w:rFonts w:hint="eastAsia"/>
                <w:color w:val="auto"/>
                <w:highlight w:val="none"/>
              </w:rPr>
              <w:t>强化尼龙纤维</w:t>
            </w:r>
            <w:r>
              <w:rPr>
                <w:color w:val="auto"/>
                <w:highlight w:val="none"/>
              </w:rPr>
              <w:t>+</w:t>
            </w:r>
            <w:r>
              <w:rPr>
                <w:rFonts w:hint="eastAsia"/>
                <w:color w:val="auto"/>
                <w:highlight w:val="none"/>
              </w:rPr>
              <w:t>丁晴橡胶一体成型，全被覆式包胶。</w:t>
            </w:r>
          </w:p>
          <w:p>
            <w:pPr>
              <w:rPr>
                <w:color w:val="auto"/>
                <w:highlight w:val="none"/>
              </w:rPr>
            </w:pPr>
            <w:r>
              <w:rPr>
                <w:rFonts w:hint="eastAsia"/>
                <w:color w:val="auto"/>
                <w:highlight w:val="none"/>
              </w:rPr>
              <w:t>（</w:t>
            </w:r>
            <w:r>
              <w:rPr>
                <w:color w:val="auto"/>
                <w:highlight w:val="none"/>
              </w:rPr>
              <w:t>7</w:t>
            </w:r>
            <w:r>
              <w:rPr>
                <w:rFonts w:hint="eastAsia"/>
                <w:color w:val="auto"/>
                <w:highlight w:val="none"/>
              </w:rPr>
              <w:t>）水力控制阀材质要求：</w:t>
            </w:r>
          </w:p>
          <w:p>
            <w:pPr>
              <w:rPr>
                <w:color w:val="auto"/>
                <w:highlight w:val="none"/>
              </w:rPr>
            </w:pPr>
            <w:r>
              <w:rPr>
                <w:color w:val="auto"/>
                <w:highlight w:val="none"/>
              </w:rPr>
              <w:t>1</w:t>
            </w:r>
            <w:r>
              <w:rPr>
                <w:rFonts w:hint="eastAsia"/>
                <w:color w:val="auto"/>
                <w:highlight w:val="none"/>
              </w:rPr>
              <w:t>）阀体、阀盖采用球墨铸铁，表面采用无毒环保的食品级环氧树脂喷涂。</w:t>
            </w:r>
          </w:p>
          <w:p>
            <w:pPr>
              <w:rPr>
                <w:color w:val="auto"/>
                <w:highlight w:val="none"/>
              </w:rPr>
            </w:pPr>
            <w:r>
              <w:rPr>
                <w:color w:val="auto"/>
                <w:highlight w:val="none"/>
              </w:rPr>
              <w:t>2</w:t>
            </w:r>
            <w:r>
              <w:rPr>
                <w:rFonts w:hint="eastAsia"/>
                <w:color w:val="auto"/>
                <w:highlight w:val="none"/>
              </w:rPr>
              <w:t>）阀杆采用不锈钢材料。</w:t>
            </w:r>
          </w:p>
          <w:p>
            <w:pPr>
              <w:rPr>
                <w:color w:val="auto"/>
                <w:highlight w:val="none"/>
              </w:rPr>
            </w:pPr>
            <w:r>
              <w:rPr>
                <w:color w:val="auto"/>
                <w:highlight w:val="none"/>
              </w:rPr>
              <w:t>3</w:t>
            </w:r>
            <w:r>
              <w:rPr>
                <w:rFonts w:hint="eastAsia"/>
                <w:color w:val="auto"/>
                <w:highlight w:val="none"/>
              </w:rPr>
              <w:t>）膜片采用丁晴尼龙强化橡胶或三元乙丙尼龙强化橡胶。</w:t>
            </w:r>
          </w:p>
          <w:p>
            <w:pPr>
              <w:rPr>
                <w:color w:val="auto"/>
                <w:highlight w:val="none"/>
              </w:rPr>
            </w:pPr>
            <w:r>
              <w:rPr>
                <w:color w:val="auto"/>
                <w:highlight w:val="none"/>
              </w:rPr>
              <w:t>4</w:t>
            </w:r>
            <w:r>
              <w:rPr>
                <w:rFonts w:hint="eastAsia"/>
                <w:color w:val="auto"/>
                <w:highlight w:val="none"/>
              </w:rPr>
              <w:t>）密封材料采用无毒环保的食品级橡胶，用于热水系统采用三元乙丙。</w:t>
            </w:r>
          </w:p>
          <w:p>
            <w:pPr>
              <w:rPr>
                <w:color w:val="auto"/>
                <w:highlight w:val="none"/>
              </w:rPr>
            </w:pPr>
            <w:r>
              <w:rPr>
                <w:color w:val="auto"/>
                <w:highlight w:val="none"/>
              </w:rPr>
              <w:t>5</w:t>
            </w:r>
            <w:r>
              <w:rPr>
                <w:rFonts w:hint="eastAsia"/>
                <w:color w:val="auto"/>
                <w:highlight w:val="none"/>
              </w:rPr>
              <w:t>）弹簧、阀座、压板、阀盘采用铜合金或不锈钢。</w:t>
            </w:r>
          </w:p>
          <w:p>
            <w:pPr>
              <w:rPr>
                <w:color w:val="auto"/>
                <w:highlight w:val="none"/>
              </w:rPr>
            </w:pPr>
            <w:r>
              <w:rPr>
                <w:rFonts w:hint="eastAsia"/>
                <w:color w:val="auto"/>
                <w:highlight w:val="none"/>
              </w:rPr>
              <w:t>（</w:t>
            </w:r>
            <w:r>
              <w:rPr>
                <w:color w:val="auto"/>
                <w:highlight w:val="none"/>
              </w:rPr>
              <w:t>8</w:t>
            </w:r>
            <w:r>
              <w:rPr>
                <w:rFonts w:hint="eastAsia"/>
                <w:color w:val="auto"/>
                <w:highlight w:val="none"/>
              </w:rPr>
              <w:t>）倒流防止器材质及型式要求：</w:t>
            </w:r>
          </w:p>
          <w:p>
            <w:pPr>
              <w:rPr>
                <w:color w:val="auto"/>
                <w:highlight w:val="none"/>
              </w:rPr>
            </w:pPr>
            <w:r>
              <w:rPr>
                <w:color w:val="auto"/>
                <w:highlight w:val="none"/>
              </w:rPr>
              <w:t>1</w:t>
            </w:r>
            <w:r>
              <w:rPr>
                <w:rFonts w:hint="eastAsia"/>
                <w:color w:val="auto"/>
                <w:highlight w:val="none"/>
              </w:rPr>
              <w:t>）由双止回阀加泄水阀组成，彻底防止任何工况下的倒流污染。</w:t>
            </w:r>
          </w:p>
          <w:p>
            <w:pPr>
              <w:rPr>
                <w:color w:val="auto"/>
                <w:highlight w:val="none"/>
              </w:rPr>
            </w:pPr>
            <w:r>
              <w:rPr>
                <w:color w:val="auto"/>
                <w:highlight w:val="none"/>
              </w:rPr>
              <w:t>2</w:t>
            </w:r>
            <w:r>
              <w:rPr>
                <w:rFonts w:hint="eastAsia"/>
                <w:color w:val="auto"/>
                <w:highlight w:val="none"/>
              </w:rPr>
              <w:t>）阀体、阀盖采用球墨铸铁，表面采用无毒环保的食品级环氧树脂喷涂。阀杆采用不锈钢材料。</w:t>
            </w:r>
          </w:p>
          <w:p>
            <w:pPr>
              <w:rPr>
                <w:color w:val="auto"/>
                <w:highlight w:val="none"/>
              </w:rPr>
            </w:pPr>
            <w:r>
              <w:rPr>
                <w:color w:val="auto"/>
                <w:highlight w:val="none"/>
              </w:rPr>
              <w:t>3</w:t>
            </w:r>
            <w:r>
              <w:rPr>
                <w:rFonts w:hint="eastAsia"/>
                <w:color w:val="auto"/>
                <w:highlight w:val="none"/>
              </w:rPr>
              <w:t>）膜片采用丁晴尼龙强化橡胶或三元乙丙尼龙强化橡胶。</w:t>
            </w:r>
          </w:p>
          <w:p>
            <w:pPr>
              <w:rPr>
                <w:color w:val="auto"/>
                <w:highlight w:val="none"/>
              </w:rPr>
            </w:pPr>
            <w:r>
              <w:rPr>
                <w:color w:val="auto"/>
                <w:highlight w:val="none"/>
              </w:rPr>
              <w:t>4</w:t>
            </w:r>
            <w:r>
              <w:rPr>
                <w:rFonts w:hint="eastAsia"/>
                <w:color w:val="auto"/>
                <w:highlight w:val="none"/>
              </w:rPr>
              <w:t>）密封材料采用无毒环保的食品级橡胶，用于热水系统采用三元乙丙。</w:t>
            </w:r>
          </w:p>
          <w:p>
            <w:pPr>
              <w:rPr>
                <w:color w:val="auto"/>
                <w:highlight w:val="none"/>
              </w:rPr>
            </w:pPr>
            <w:r>
              <w:rPr>
                <w:rFonts w:hint="eastAsia"/>
                <w:color w:val="auto"/>
                <w:highlight w:val="none"/>
              </w:rPr>
              <w:t>（</w:t>
            </w:r>
            <w:r>
              <w:rPr>
                <w:color w:val="auto"/>
                <w:highlight w:val="none"/>
              </w:rPr>
              <w:t>9</w:t>
            </w:r>
            <w:r>
              <w:rPr>
                <w:rFonts w:hint="eastAsia"/>
                <w:color w:val="auto"/>
                <w:highlight w:val="none"/>
              </w:rPr>
              <w:t>）铜阀材质要求：</w:t>
            </w:r>
          </w:p>
          <w:p>
            <w:pPr>
              <w:rPr>
                <w:color w:val="auto"/>
                <w:highlight w:val="none"/>
              </w:rPr>
            </w:pPr>
            <w:r>
              <w:rPr>
                <w:color w:val="auto"/>
                <w:highlight w:val="none"/>
              </w:rPr>
              <w:t>1</w:t>
            </w:r>
            <w:r>
              <w:rPr>
                <w:rFonts w:hint="eastAsia"/>
                <w:color w:val="auto"/>
                <w:highlight w:val="none"/>
              </w:rPr>
              <w:t>）阀体、阀盖、阀杆、阀瓣全部采用黄铜材质。</w:t>
            </w:r>
          </w:p>
          <w:p>
            <w:pPr>
              <w:rPr>
                <w:color w:val="auto"/>
                <w:highlight w:val="none"/>
              </w:rPr>
            </w:pPr>
            <w:r>
              <w:rPr>
                <w:color w:val="auto"/>
                <w:highlight w:val="none"/>
              </w:rPr>
              <w:t>2</w:t>
            </w:r>
            <w:r>
              <w:rPr>
                <w:rFonts w:hint="eastAsia"/>
                <w:color w:val="auto"/>
                <w:highlight w:val="none"/>
              </w:rPr>
              <w:t>）填料采用聚四氟乙烯。</w:t>
            </w:r>
          </w:p>
          <w:p>
            <w:pPr>
              <w:rPr>
                <w:color w:val="auto"/>
                <w:highlight w:val="none"/>
              </w:rPr>
            </w:pPr>
            <w:r>
              <w:rPr>
                <w:rFonts w:hint="eastAsia"/>
                <w:color w:val="auto"/>
                <w:highlight w:val="none"/>
              </w:rPr>
              <w:t>（</w:t>
            </w:r>
            <w:r>
              <w:rPr>
                <w:color w:val="auto"/>
                <w:highlight w:val="none"/>
              </w:rPr>
              <w:t>10</w:t>
            </w:r>
            <w:r>
              <w:rPr>
                <w:rFonts w:hint="eastAsia"/>
                <w:color w:val="auto"/>
                <w:highlight w:val="none"/>
              </w:rPr>
              <w:t>）对阀门标牌的要求：</w:t>
            </w:r>
          </w:p>
          <w:p>
            <w:pPr>
              <w:rPr>
                <w:color w:val="auto"/>
                <w:highlight w:val="none"/>
              </w:rPr>
            </w:pPr>
            <w:r>
              <w:rPr>
                <w:color w:val="auto"/>
                <w:highlight w:val="none"/>
              </w:rPr>
              <w:t>1</w:t>
            </w:r>
            <w:r>
              <w:rPr>
                <w:rFonts w:hint="eastAsia"/>
                <w:color w:val="auto"/>
                <w:highlight w:val="none"/>
              </w:rPr>
              <w:t>）阀门厂应给每个阀门一个固定的编号，其编号和阀门型号、口径、公称压力、厂名、生产日期等阀门标牌内容一起固定在阀体上。</w:t>
            </w:r>
          </w:p>
          <w:p>
            <w:pPr>
              <w:rPr>
                <w:color w:val="auto"/>
                <w:highlight w:val="none"/>
              </w:rPr>
            </w:pPr>
          </w:p>
        </w:tc>
        <w:tc>
          <w:tcPr>
            <w:tcW w:w="567"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3" w:type="dxa"/>
            <w:noWrap w:val="0"/>
            <w:vAlign w:val="center"/>
          </w:tcPr>
          <w:p>
            <w:pPr>
              <w:rPr>
                <w:color w:val="auto"/>
                <w:highlight w:val="none"/>
              </w:rPr>
            </w:pPr>
            <w:r>
              <w:rPr>
                <w:color w:val="auto"/>
                <w:highlight w:val="none"/>
              </w:rPr>
              <w:t>14.</w:t>
            </w:r>
          </w:p>
        </w:tc>
        <w:tc>
          <w:tcPr>
            <w:tcW w:w="966" w:type="dxa"/>
            <w:noWrap w:val="0"/>
            <w:vAlign w:val="center"/>
          </w:tcPr>
          <w:p>
            <w:pPr>
              <w:rPr>
                <w:color w:val="auto"/>
                <w:highlight w:val="none"/>
              </w:rPr>
            </w:pPr>
            <w:r>
              <w:rPr>
                <w:rFonts w:hint="eastAsia"/>
                <w:color w:val="auto"/>
                <w:highlight w:val="none"/>
              </w:rPr>
              <w:t>水表</w:t>
            </w:r>
          </w:p>
        </w:tc>
        <w:tc>
          <w:tcPr>
            <w:tcW w:w="658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）制造商应通过</w:t>
            </w:r>
            <w:r>
              <w:rPr>
                <w:color w:val="auto"/>
                <w:highlight w:val="none"/>
              </w:rPr>
              <w:t>ISO9001</w:t>
            </w:r>
            <w:r>
              <w:rPr>
                <w:rFonts w:hint="eastAsia"/>
                <w:color w:val="auto"/>
                <w:highlight w:val="none"/>
              </w:rPr>
              <w:t>：</w:t>
            </w:r>
            <w:r>
              <w:rPr>
                <w:color w:val="auto"/>
                <w:highlight w:val="none"/>
              </w:rPr>
              <w:t>2000</w:t>
            </w:r>
            <w:r>
              <w:rPr>
                <w:rFonts w:hint="eastAsia"/>
                <w:color w:val="auto"/>
                <w:highlight w:val="none"/>
              </w:rPr>
              <w:t>质量管理体系认证。</w:t>
            </w:r>
          </w:p>
          <w:p>
            <w:pPr>
              <w:rPr>
                <w:color w:val="auto"/>
                <w:highlight w:val="none"/>
              </w:rPr>
            </w:pPr>
            <w:r>
              <w:rPr>
                <w:rFonts w:hint="eastAsia"/>
                <w:color w:val="auto"/>
                <w:highlight w:val="none"/>
              </w:rPr>
              <w:t>（</w:t>
            </w:r>
            <w:r>
              <w:rPr>
                <w:color w:val="auto"/>
                <w:highlight w:val="none"/>
              </w:rPr>
              <w:t>2</w:t>
            </w:r>
            <w:r>
              <w:rPr>
                <w:rFonts w:hint="eastAsia"/>
                <w:color w:val="auto"/>
                <w:highlight w:val="none"/>
              </w:rPr>
              <w:t>）制造商注册资本：不少于</w:t>
            </w:r>
            <w:r>
              <w:rPr>
                <w:color w:val="auto"/>
                <w:highlight w:val="none"/>
              </w:rPr>
              <w:t>1000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3</w:t>
            </w:r>
            <w:r>
              <w:rPr>
                <w:rFonts w:hint="eastAsia"/>
                <w:color w:val="auto"/>
                <w:highlight w:val="none"/>
              </w:rPr>
              <w:t>）产品为国内知名品牌。并须通过主管部门的计量合格认证。</w:t>
            </w:r>
          </w:p>
          <w:p>
            <w:pPr>
              <w:rPr>
                <w:color w:val="auto"/>
                <w:highlight w:val="none"/>
              </w:rPr>
            </w:pPr>
            <w:r>
              <w:rPr>
                <w:rFonts w:hint="eastAsia"/>
                <w:color w:val="auto"/>
                <w:highlight w:val="none"/>
              </w:rPr>
              <w:t>（</w:t>
            </w:r>
            <w:r>
              <w:rPr>
                <w:color w:val="auto"/>
                <w:highlight w:val="none"/>
              </w:rPr>
              <w:t>4</w:t>
            </w:r>
            <w:r>
              <w:rPr>
                <w:rFonts w:hint="eastAsia"/>
                <w:color w:val="auto"/>
                <w:highlight w:val="none"/>
              </w:rPr>
              <w:t>）制造商在深圳地区设有完善的售后服务机构。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）用于给水管路上，水表选型、压力等级应符合国家有关规范及设计要求。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）符合现行的国家或行业的生产技术标准。</w:t>
            </w:r>
          </w:p>
          <w:p>
            <w:pPr>
              <w:rPr>
                <w:color w:val="auto"/>
                <w:highlight w:val="none"/>
              </w:rPr>
            </w:pPr>
            <w:r>
              <w:rPr>
                <w:rFonts w:hint="eastAsia"/>
                <w:color w:val="auto"/>
                <w:highlight w:val="none"/>
              </w:rPr>
              <w:t>（</w:t>
            </w:r>
            <w:r>
              <w:rPr>
                <w:color w:val="auto"/>
                <w:highlight w:val="none"/>
              </w:rPr>
              <w:t>3</w:t>
            </w:r>
            <w:r>
              <w:rPr>
                <w:rFonts w:hint="eastAsia"/>
                <w:color w:val="auto"/>
                <w:highlight w:val="none"/>
              </w:rPr>
              <w:t>）水表外壳采用球墨铸铁，上盖采用青铜镶嵌玻璃；水表口径、水流方向应固定在阀体上。</w:t>
            </w:r>
          </w:p>
          <w:p>
            <w:pPr>
              <w:rPr>
                <w:color w:val="auto"/>
                <w:highlight w:val="none"/>
              </w:rPr>
            </w:pPr>
            <w:r>
              <w:rPr>
                <w:rFonts w:hint="eastAsia"/>
                <w:color w:val="auto"/>
                <w:highlight w:val="none"/>
              </w:rPr>
              <w:t>（</w:t>
            </w:r>
            <w:r>
              <w:rPr>
                <w:color w:val="auto"/>
                <w:highlight w:val="none"/>
              </w:rPr>
              <w:t>4</w:t>
            </w:r>
            <w:r>
              <w:rPr>
                <w:rFonts w:hint="eastAsia"/>
                <w:color w:val="auto"/>
                <w:highlight w:val="none"/>
              </w:rPr>
              <w:t>）应有水表的型号、公称压力、厂名、生产日期等标牌内容。</w:t>
            </w:r>
          </w:p>
          <w:p>
            <w:pPr>
              <w:rPr>
                <w:color w:val="auto"/>
                <w:highlight w:val="none"/>
              </w:rPr>
            </w:pPr>
            <w:r>
              <w:rPr>
                <w:rFonts w:hint="eastAsia"/>
                <w:color w:val="auto"/>
                <w:highlight w:val="none"/>
              </w:rPr>
              <w:t>（</w:t>
            </w:r>
            <w:r>
              <w:rPr>
                <w:color w:val="auto"/>
                <w:highlight w:val="none"/>
              </w:rPr>
              <w:t>5</w:t>
            </w:r>
            <w:r>
              <w:rPr>
                <w:rFonts w:hint="eastAsia"/>
                <w:color w:val="auto"/>
                <w:highlight w:val="none"/>
              </w:rPr>
              <w:t>）应符合深圳市水务部门的相关要求。</w:t>
            </w:r>
          </w:p>
          <w:p>
            <w:pPr>
              <w:rPr>
                <w:color w:val="auto"/>
                <w:highlight w:val="none"/>
              </w:rPr>
            </w:pPr>
            <w:r>
              <w:rPr>
                <w:rFonts w:hint="eastAsia"/>
                <w:color w:val="auto"/>
                <w:highlight w:val="none"/>
              </w:rPr>
              <w:t>（</w:t>
            </w:r>
            <w:r>
              <w:rPr>
                <w:color w:val="auto"/>
                <w:highlight w:val="none"/>
              </w:rPr>
              <w:t>6</w:t>
            </w:r>
            <w:r>
              <w:rPr>
                <w:rFonts w:hint="eastAsia"/>
                <w:color w:val="auto"/>
                <w:highlight w:val="none"/>
              </w:rPr>
              <w:t>）具有计量检测中心的合格检测报告。</w:t>
            </w:r>
          </w:p>
          <w:p>
            <w:pPr>
              <w:rPr>
                <w:color w:val="auto"/>
                <w:highlight w:val="none"/>
              </w:rPr>
            </w:pPr>
          </w:p>
        </w:tc>
        <w:tc>
          <w:tcPr>
            <w:tcW w:w="567"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3" w:type="dxa"/>
            <w:noWrap w:val="0"/>
            <w:vAlign w:val="center"/>
          </w:tcPr>
          <w:p>
            <w:pPr>
              <w:rPr>
                <w:color w:val="auto"/>
                <w:highlight w:val="none"/>
              </w:rPr>
            </w:pPr>
            <w:r>
              <w:rPr>
                <w:color w:val="auto"/>
                <w:highlight w:val="none"/>
              </w:rPr>
              <w:t>15.</w:t>
            </w:r>
          </w:p>
        </w:tc>
        <w:tc>
          <w:tcPr>
            <w:tcW w:w="966" w:type="dxa"/>
            <w:noWrap w:val="0"/>
            <w:vAlign w:val="center"/>
          </w:tcPr>
          <w:p>
            <w:pPr>
              <w:rPr>
                <w:color w:val="auto"/>
                <w:highlight w:val="none"/>
              </w:rPr>
            </w:pPr>
            <w:r>
              <w:rPr>
                <w:rFonts w:hint="eastAsia"/>
                <w:color w:val="auto"/>
                <w:highlight w:val="none"/>
              </w:rPr>
              <w:t>可曲挠橡胶接头、不锈钢软接头、不锈钢波纹补偿器、柔性防水套管、减震器</w:t>
            </w:r>
          </w:p>
        </w:tc>
        <w:tc>
          <w:tcPr>
            <w:tcW w:w="6589" w:type="dxa"/>
            <w:noWrap w:val="0"/>
            <w:vAlign w:val="center"/>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）制造商应通过</w:t>
            </w:r>
            <w:r>
              <w:rPr>
                <w:color w:val="auto"/>
                <w:highlight w:val="none"/>
              </w:rPr>
              <w:t>ISO9001</w:t>
            </w:r>
            <w:r>
              <w:rPr>
                <w:rFonts w:hint="eastAsia"/>
                <w:color w:val="auto"/>
                <w:highlight w:val="none"/>
              </w:rPr>
              <w:t>：</w:t>
            </w:r>
            <w:r>
              <w:rPr>
                <w:color w:val="auto"/>
                <w:highlight w:val="none"/>
              </w:rPr>
              <w:t>2000</w:t>
            </w:r>
            <w:r>
              <w:rPr>
                <w:rFonts w:hint="eastAsia"/>
                <w:color w:val="auto"/>
                <w:highlight w:val="none"/>
              </w:rPr>
              <w:t>质量管理体系认证。</w:t>
            </w:r>
          </w:p>
          <w:p>
            <w:pPr>
              <w:rPr>
                <w:color w:val="auto"/>
                <w:highlight w:val="none"/>
              </w:rPr>
            </w:pPr>
            <w:r>
              <w:rPr>
                <w:rFonts w:hint="eastAsia"/>
                <w:color w:val="auto"/>
                <w:highlight w:val="none"/>
              </w:rPr>
              <w:t>（</w:t>
            </w:r>
            <w:r>
              <w:rPr>
                <w:color w:val="auto"/>
                <w:highlight w:val="none"/>
              </w:rPr>
              <w:t>2</w:t>
            </w:r>
            <w:r>
              <w:rPr>
                <w:rFonts w:hint="eastAsia"/>
                <w:color w:val="auto"/>
                <w:highlight w:val="none"/>
              </w:rPr>
              <w:t>）制造商在深圳地区设有完善的售后服务机构。</w:t>
            </w:r>
          </w:p>
          <w:p>
            <w:pPr>
              <w:rPr>
                <w:color w:val="auto"/>
                <w:highlight w:val="none"/>
              </w:rPr>
            </w:pPr>
            <w:r>
              <w:rPr>
                <w:rFonts w:hint="eastAsia"/>
                <w:color w:val="auto"/>
                <w:highlight w:val="none"/>
              </w:rPr>
              <w:t>（</w:t>
            </w:r>
            <w:r>
              <w:rPr>
                <w:color w:val="auto"/>
                <w:highlight w:val="none"/>
              </w:rPr>
              <w:t>3</w:t>
            </w:r>
            <w:r>
              <w:rPr>
                <w:rFonts w:hint="eastAsia"/>
                <w:color w:val="auto"/>
                <w:highlight w:val="none"/>
              </w:rPr>
              <w:t>）产品应为国内知名品牌。</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）符合设计及有关规范要求。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）公称压力大于各系统设计要求的试验压力。</w:t>
            </w:r>
          </w:p>
          <w:p>
            <w:pPr>
              <w:rPr>
                <w:color w:val="auto"/>
                <w:highlight w:val="none"/>
              </w:rPr>
            </w:pPr>
            <w:r>
              <w:rPr>
                <w:rFonts w:hint="eastAsia"/>
                <w:color w:val="auto"/>
                <w:highlight w:val="none"/>
              </w:rPr>
              <w:t>（</w:t>
            </w:r>
            <w:r>
              <w:rPr>
                <w:color w:val="auto"/>
                <w:highlight w:val="none"/>
              </w:rPr>
              <w:t>3</w:t>
            </w:r>
            <w:r>
              <w:rPr>
                <w:rFonts w:hint="eastAsia"/>
                <w:color w:val="auto"/>
                <w:highlight w:val="none"/>
              </w:rPr>
              <w:t>）不锈钢软接应符合</w:t>
            </w:r>
            <w:r>
              <w:rPr>
                <w:color w:val="auto"/>
                <w:highlight w:val="none"/>
              </w:rPr>
              <w:t>GB/T12777</w:t>
            </w:r>
            <w:r>
              <w:rPr>
                <w:rFonts w:hint="eastAsia"/>
                <w:color w:val="auto"/>
                <w:highlight w:val="none"/>
              </w:rPr>
              <w:t>－</w:t>
            </w:r>
            <w:r>
              <w:rPr>
                <w:color w:val="auto"/>
                <w:highlight w:val="none"/>
              </w:rPr>
              <w:t>2008</w:t>
            </w:r>
            <w:r>
              <w:rPr>
                <w:rFonts w:hint="eastAsia"/>
                <w:color w:val="auto"/>
                <w:highlight w:val="none"/>
              </w:rPr>
              <w:t>的规定</w:t>
            </w:r>
            <w:r>
              <w:rPr>
                <w:color w:val="auto"/>
                <w:highlight w:val="none"/>
              </w:rPr>
              <w:t>,</w:t>
            </w:r>
            <w:r>
              <w:rPr>
                <w:rFonts w:hint="eastAsia"/>
                <w:color w:val="auto"/>
                <w:highlight w:val="none"/>
              </w:rPr>
              <w:t>金属软管应符合</w:t>
            </w:r>
            <w:r>
              <w:rPr>
                <w:color w:val="auto"/>
                <w:highlight w:val="none"/>
              </w:rPr>
              <w:t>GB/T14525</w:t>
            </w:r>
            <w:r>
              <w:rPr>
                <w:rFonts w:hint="eastAsia"/>
                <w:color w:val="auto"/>
                <w:highlight w:val="none"/>
              </w:rPr>
              <w:t>－</w:t>
            </w:r>
            <w:r>
              <w:rPr>
                <w:color w:val="auto"/>
                <w:highlight w:val="none"/>
              </w:rPr>
              <w:t>2010</w:t>
            </w:r>
            <w:r>
              <w:rPr>
                <w:rFonts w:hint="eastAsia"/>
                <w:color w:val="auto"/>
                <w:highlight w:val="none"/>
              </w:rPr>
              <w:t>的规定。不锈钢软接的材料采用</w:t>
            </w:r>
            <w:r>
              <w:rPr>
                <w:color w:val="auto"/>
                <w:highlight w:val="none"/>
              </w:rPr>
              <w:t>304</w:t>
            </w:r>
            <w:r>
              <w:rPr>
                <w:rFonts w:hint="eastAsia"/>
                <w:color w:val="auto"/>
                <w:highlight w:val="none"/>
              </w:rPr>
              <w:t>不锈钢，两端接管或法兰采用低碳钢或不锈钢。</w:t>
            </w:r>
          </w:p>
          <w:p>
            <w:pPr>
              <w:rPr>
                <w:color w:val="auto"/>
                <w:highlight w:val="none"/>
              </w:rPr>
            </w:pPr>
            <w:r>
              <w:rPr>
                <w:rFonts w:hint="eastAsia"/>
                <w:color w:val="auto"/>
                <w:highlight w:val="none"/>
              </w:rPr>
              <w:t>（</w:t>
            </w:r>
            <w:r>
              <w:rPr>
                <w:color w:val="auto"/>
                <w:highlight w:val="none"/>
              </w:rPr>
              <w:t>4</w:t>
            </w:r>
            <w:r>
              <w:rPr>
                <w:rFonts w:hint="eastAsia"/>
                <w:color w:val="auto"/>
                <w:highlight w:val="none"/>
              </w:rPr>
              <w:t>）不锈钢柔性接头使用温度－</w:t>
            </w:r>
            <w:r>
              <w:rPr>
                <w:color w:val="auto"/>
                <w:highlight w:val="none"/>
              </w:rPr>
              <w:t>20</w:t>
            </w:r>
            <w:r>
              <w:rPr>
                <w:rFonts w:hint="eastAsia"/>
                <w:color w:val="auto"/>
                <w:highlight w:val="none"/>
              </w:rPr>
              <w:t>℃～</w:t>
            </w:r>
            <w:r>
              <w:rPr>
                <w:color w:val="auto"/>
                <w:highlight w:val="none"/>
              </w:rPr>
              <w:t>250</w:t>
            </w:r>
            <w:r>
              <w:rPr>
                <w:rFonts w:hint="eastAsia"/>
                <w:color w:val="auto"/>
                <w:highlight w:val="none"/>
              </w:rPr>
              <w:t>℃。</w:t>
            </w:r>
          </w:p>
          <w:p>
            <w:pPr>
              <w:rPr>
                <w:color w:val="auto"/>
                <w:highlight w:val="none"/>
              </w:rPr>
            </w:pPr>
            <w:r>
              <w:rPr>
                <w:rFonts w:hint="eastAsia"/>
                <w:color w:val="auto"/>
                <w:highlight w:val="none"/>
              </w:rPr>
              <w:t>（</w:t>
            </w:r>
            <w:r>
              <w:rPr>
                <w:color w:val="auto"/>
                <w:highlight w:val="none"/>
              </w:rPr>
              <w:t>5</w:t>
            </w:r>
            <w:r>
              <w:rPr>
                <w:rFonts w:hint="eastAsia"/>
                <w:color w:val="auto"/>
                <w:highlight w:val="none"/>
              </w:rPr>
              <w:t>）橡胶接头应符合</w:t>
            </w:r>
            <w:r>
              <w:rPr>
                <w:color w:val="auto"/>
                <w:highlight w:val="none"/>
              </w:rPr>
              <w:t>HG/T2289</w:t>
            </w:r>
            <w:r>
              <w:rPr>
                <w:rFonts w:hint="eastAsia"/>
                <w:color w:val="auto"/>
                <w:highlight w:val="none"/>
              </w:rPr>
              <w:t>－</w:t>
            </w:r>
            <w:r>
              <w:rPr>
                <w:color w:val="auto"/>
                <w:highlight w:val="none"/>
              </w:rPr>
              <w:t>2001</w:t>
            </w:r>
            <w:r>
              <w:rPr>
                <w:rFonts w:hint="eastAsia"/>
                <w:color w:val="auto"/>
                <w:highlight w:val="none"/>
              </w:rPr>
              <w:t>的规定，材料须为多层尼龙线质织物与纯天然橡胶混合经压铸定型而成。</w:t>
            </w:r>
          </w:p>
          <w:p>
            <w:pPr>
              <w:rPr>
                <w:color w:val="auto"/>
                <w:highlight w:val="none"/>
              </w:rPr>
            </w:pPr>
            <w:r>
              <w:rPr>
                <w:rFonts w:hint="eastAsia"/>
                <w:color w:val="auto"/>
                <w:highlight w:val="none"/>
              </w:rPr>
              <w:t>（</w:t>
            </w:r>
            <w:r>
              <w:rPr>
                <w:color w:val="auto"/>
                <w:highlight w:val="none"/>
              </w:rPr>
              <w:t>6</w:t>
            </w:r>
            <w:r>
              <w:rPr>
                <w:rFonts w:hint="eastAsia"/>
                <w:color w:val="auto"/>
                <w:highlight w:val="none"/>
              </w:rPr>
              <w:t>）橡胶接头连接用的法兰需为锻造法兰并经过双层烤漆防腐处理。</w:t>
            </w:r>
          </w:p>
          <w:p>
            <w:pPr>
              <w:rPr>
                <w:color w:val="auto"/>
                <w:highlight w:val="none"/>
              </w:rPr>
            </w:pPr>
          </w:p>
        </w:tc>
        <w:tc>
          <w:tcPr>
            <w:tcW w:w="567"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3" w:type="dxa"/>
            <w:noWrap w:val="0"/>
            <w:vAlign w:val="center"/>
          </w:tcPr>
          <w:p>
            <w:pPr>
              <w:rPr>
                <w:color w:val="auto"/>
                <w:highlight w:val="none"/>
              </w:rPr>
            </w:pPr>
            <w:r>
              <w:rPr>
                <w:color w:val="auto"/>
                <w:highlight w:val="none"/>
              </w:rPr>
              <w:t>16.</w:t>
            </w:r>
          </w:p>
        </w:tc>
        <w:tc>
          <w:tcPr>
            <w:tcW w:w="966" w:type="dxa"/>
            <w:noWrap w:val="0"/>
            <w:vAlign w:val="center"/>
          </w:tcPr>
          <w:p>
            <w:pPr>
              <w:rPr>
                <w:color w:val="auto"/>
                <w:highlight w:val="none"/>
              </w:rPr>
            </w:pPr>
            <w:r>
              <w:rPr>
                <w:rFonts w:hint="eastAsia"/>
                <w:color w:val="auto"/>
                <w:highlight w:val="none"/>
              </w:rPr>
              <w:t>橡塑保温材料</w:t>
            </w:r>
          </w:p>
        </w:tc>
        <w:tc>
          <w:tcPr>
            <w:tcW w:w="658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）应为知名品牌，注册资本不少于</w:t>
            </w:r>
            <w:r>
              <w:rPr>
                <w:color w:val="auto"/>
                <w:highlight w:val="none"/>
              </w:rPr>
              <w:t>500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2</w:t>
            </w:r>
            <w:r>
              <w:rPr>
                <w:rFonts w:hint="eastAsia"/>
                <w:color w:val="auto"/>
                <w:highlight w:val="none"/>
              </w:rPr>
              <w:t>）设备商必须通过</w:t>
            </w:r>
            <w:r>
              <w:rPr>
                <w:color w:val="auto"/>
                <w:highlight w:val="none"/>
              </w:rPr>
              <w:t>ISO9001:2000</w:t>
            </w:r>
            <w:r>
              <w:rPr>
                <w:rFonts w:hint="eastAsia"/>
                <w:color w:val="auto"/>
                <w:highlight w:val="none"/>
              </w:rPr>
              <w:t>系列质量体系认证。</w:t>
            </w:r>
          </w:p>
          <w:p>
            <w:pPr>
              <w:rPr>
                <w:color w:val="auto"/>
                <w:highlight w:val="none"/>
              </w:rPr>
            </w:pPr>
            <w:r>
              <w:rPr>
                <w:rFonts w:hint="eastAsia"/>
                <w:color w:val="auto"/>
                <w:highlight w:val="none"/>
              </w:rPr>
              <w:t>（</w:t>
            </w:r>
            <w:r>
              <w:rPr>
                <w:color w:val="auto"/>
                <w:highlight w:val="none"/>
              </w:rPr>
              <w:t>3</w:t>
            </w:r>
            <w:r>
              <w:rPr>
                <w:rFonts w:hint="eastAsia"/>
                <w:color w:val="auto"/>
                <w:highlight w:val="none"/>
              </w:rPr>
              <w:t>）设备商必须在深圳地区设有长期固定的售后服务机构。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）应提供所供产品的国家防火建筑材料质量监督检测中心的型式检验合格报告。</w:t>
            </w:r>
          </w:p>
          <w:p>
            <w:pPr>
              <w:rPr>
                <w:color w:val="auto"/>
                <w:highlight w:val="none"/>
              </w:rPr>
            </w:pPr>
            <w:r>
              <w:rPr>
                <w:rFonts w:hint="eastAsia"/>
                <w:color w:val="auto"/>
                <w:highlight w:val="none"/>
              </w:rPr>
              <w:t>（</w:t>
            </w:r>
            <w:r>
              <w:rPr>
                <w:color w:val="auto"/>
                <w:highlight w:val="none"/>
              </w:rPr>
              <w:t>2</w:t>
            </w:r>
            <w:r>
              <w:rPr>
                <w:rFonts w:hint="eastAsia"/>
                <w:color w:val="auto"/>
                <w:highlight w:val="none"/>
              </w:rPr>
              <w:t>）橡塑表面自带铝箔，发泡材料必须不含石棉物质，为非燃材料；应具有高倍率、闭孔型独立微气泡结构；柔性好、不吸水、高弹性、耐老化、耐高温、防水，化学性能稳定，粘接、热合、分切等加工性能优良，并应符合</w:t>
            </w:r>
            <w:r>
              <w:rPr>
                <w:color w:val="auto"/>
                <w:highlight w:val="none"/>
              </w:rPr>
              <w:t>GB/T 17794-2008</w:t>
            </w:r>
            <w:r>
              <w:rPr>
                <w:rFonts w:hint="eastAsia"/>
                <w:color w:val="auto"/>
                <w:highlight w:val="none"/>
              </w:rPr>
              <w:t>《柔性泡沫橡塑绝热制品》的相关规定。</w:t>
            </w:r>
          </w:p>
          <w:p>
            <w:pPr>
              <w:rPr>
                <w:color w:val="auto"/>
                <w:highlight w:val="none"/>
              </w:rPr>
            </w:pPr>
            <w:r>
              <w:rPr>
                <w:rFonts w:hint="eastAsia"/>
                <w:color w:val="auto"/>
                <w:highlight w:val="none"/>
              </w:rPr>
              <w:t>（</w:t>
            </w:r>
            <w:r>
              <w:rPr>
                <w:color w:val="auto"/>
                <w:highlight w:val="none"/>
              </w:rPr>
              <w:t>3</w:t>
            </w:r>
            <w:r>
              <w:rPr>
                <w:rFonts w:hint="eastAsia"/>
                <w:color w:val="auto"/>
                <w:highlight w:val="none"/>
              </w:rPr>
              <w:t>）燃烧性能达到</w:t>
            </w:r>
            <w:r>
              <w:rPr>
                <w:color w:val="auto"/>
                <w:highlight w:val="none"/>
              </w:rPr>
              <w:t>GB8624-2006</w:t>
            </w:r>
            <w:r>
              <w:rPr>
                <w:rFonts w:hint="eastAsia"/>
                <w:color w:val="auto"/>
                <w:highlight w:val="none"/>
              </w:rPr>
              <w:t>规定的</w:t>
            </w:r>
            <w:r>
              <w:rPr>
                <w:color w:val="auto"/>
                <w:highlight w:val="none"/>
              </w:rPr>
              <w:t>B</w:t>
            </w:r>
            <w:r>
              <w:rPr>
                <w:rFonts w:hint="eastAsia"/>
                <w:color w:val="auto"/>
                <w:highlight w:val="none"/>
              </w:rPr>
              <w:t>级防火标准，具有国家防火中心的</w:t>
            </w:r>
            <w:r>
              <w:rPr>
                <w:color w:val="auto"/>
                <w:highlight w:val="none"/>
              </w:rPr>
              <w:t>NFTC</w:t>
            </w:r>
            <w:r>
              <w:rPr>
                <w:rFonts w:hint="eastAsia"/>
                <w:color w:val="auto"/>
                <w:highlight w:val="none"/>
              </w:rPr>
              <w:t>认证，并且应符合建筑设计防火规范</w:t>
            </w:r>
            <w:r>
              <w:rPr>
                <w:color w:val="auto"/>
                <w:highlight w:val="none"/>
              </w:rPr>
              <w:t>GB50016—2006</w:t>
            </w:r>
            <w:r>
              <w:rPr>
                <w:rFonts w:hint="eastAsia"/>
                <w:color w:val="auto"/>
                <w:highlight w:val="none"/>
              </w:rPr>
              <w:t>相关条文的要求。</w:t>
            </w:r>
          </w:p>
          <w:p>
            <w:pPr>
              <w:rPr>
                <w:color w:val="auto"/>
                <w:highlight w:val="none"/>
              </w:rPr>
            </w:pPr>
            <w:r>
              <w:rPr>
                <w:rFonts w:hint="eastAsia"/>
                <w:color w:val="auto"/>
                <w:highlight w:val="none"/>
              </w:rPr>
              <w:t>（</w:t>
            </w:r>
            <w:r>
              <w:rPr>
                <w:color w:val="auto"/>
                <w:highlight w:val="none"/>
              </w:rPr>
              <w:t>4</w:t>
            </w:r>
            <w:r>
              <w:rPr>
                <w:rFonts w:hint="eastAsia"/>
                <w:color w:val="auto"/>
                <w:highlight w:val="none"/>
              </w:rPr>
              <w:t>）所用胶水、胶带为原厂配置的不燃性环保胶水、胶带。</w:t>
            </w:r>
          </w:p>
          <w:p>
            <w:pPr>
              <w:rPr>
                <w:color w:val="auto"/>
                <w:highlight w:val="none"/>
              </w:rPr>
            </w:pPr>
            <w:r>
              <w:rPr>
                <w:rFonts w:hint="eastAsia"/>
                <w:color w:val="auto"/>
                <w:highlight w:val="none"/>
              </w:rPr>
              <w:t>（</w:t>
            </w:r>
            <w:r>
              <w:rPr>
                <w:color w:val="auto"/>
                <w:highlight w:val="none"/>
              </w:rPr>
              <w:t>5</w:t>
            </w:r>
            <w:r>
              <w:rPr>
                <w:rFonts w:hint="eastAsia"/>
                <w:color w:val="auto"/>
                <w:highlight w:val="none"/>
              </w:rPr>
              <w:t>）不生霉、对管道无腐蚀性。</w:t>
            </w:r>
          </w:p>
          <w:p>
            <w:pPr>
              <w:rPr>
                <w:color w:val="auto"/>
                <w:highlight w:val="none"/>
              </w:rPr>
            </w:pPr>
            <w:r>
              <w:rPr>
                <w:rFonts w:hint="eastAsia"/>
                <w:color w:val="auto"/>
                <w:highlight w:val="none"/>
              </w:rPr>
              <w:t>（</w:t>
            </w:r>
            <w:r>
              <w:rPr>
                <w:color w:val="auto"/>
                <w:highlight w:val="none"/>
              </w:rPr>
              <w:t>6</w:t>
            </w:r>
            <w:r>
              <w:rPr>
                <w:rFonts w:hint="eastAsia"/>
                <w:color w:val="auto"/>
                <w:highlight w:val="none"/>
              </w:rPr>
              <w:t>）保温厚度符合</w:t>
            </w:r>
            <w:r>
              <w:rPr>
                <w:color w:val="auto"/>
                <w:highlight w:val="none"/>
              </w:rPr>
              <w:t>GB50243-2002</w:t>
            </w:r>
            <w:r>
              <w:rPr>
                <w:rFonts w:hint="eastAsia"/>
                <w:color w:val="auto"/>
                <w:highlight w:val="none"/>
              </w:rPr>
              <w:t>规范和设计文件要求。</w:t>
            </w:r>
          </w:p>
          <w:p>
            <w:pPr>
              <w:rPr>
                <w:color w:val="auto"/>
                <w:highlight w:val="none"/>
              </w:rPr>
            </w:pPr>
          </w:p>
        </w:tc>
        <w:tc>
          <w:tcPr>
            <w:tcW w:w="567"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3" w:type="dxa"/>
            <w:noWrap w:val="0"/>
            <w:vAlign w:val="center"/>
          </w:tcPr>
          <w:p>
            <w:pPr>
              <w:rPr>
                <w:color w:val="auto"/>
                <w:highlight w:val="none"/>
              </w:rPr>
            </w:pPr>
            <w:r>
              <w:rPr>
                <w:color w:val="auto"/>
                <w:highlight w:val="none"/>
              </w:rPr>
              <w:t>17.</w:t>
            </w:r>
          </w:p>
        </w:tc>
        <w:tc>
          <w:tcPr>
            <w:tcW w:w="966" w:type="dxa"/>
            <w:noWrap w:val="0"/>
            <w:vAlign w:val="center"/>
          </w:tcPr>
          <w:p>
            <w:pPr>
              <w:rPr>
                <w:color w:val="auto"/>
                <w:highlight w:val="none"/>
              </w:rPr>
            </w:pPr>
            <w:r>
              <w:rPr>
                <w:rFonts w:hint="eastAsia"/>
                <w:color w:val="auto"/>
                <w:highlight w:val="none"/>
              </w:rPr>
              <w:t>生活供水泵</w:t>
            </w:r>
          </w:p>
        </w:tc>
        <w:tc>
          <w:tcPr>
            <w:tcW w:w="6589" w:type="dxa"/>
            <w:noWrap w:val="0"/>
            <w:vAlign w:val="top"/>
          </w:tcPr>
          <w:p>
            <w:pPr>
              <w:rPr>
                <w:color w:val="auto"/>
                <w:highlight w:val="none"/>
              </w:rPr>
            </w:pPr>
            <w:bookmarkStart w:id="7883" w:name="_Toc192871181"/>
            <w:bookmarkStart w:id="7884" w:name="_Toc192873411"/>
            <w:r>
              <w:rPr>
                <w:color w:val="auto"/>
                <w:highlight w:val="none"/>
              </w:rPr>
              <w:t>1.</w:t>
            </w:r>
            <w:r>
              <w:rPr>
                <w:rFonts w:hint="eastAsia"/>
                <w:color w:val="auto"/>
                <w:highlight w:val="none"/>
              </w:rPr>
              <w:t>商务要求：</w:t>
            </w:r>
            <w:bookmarkEnd w:id="7883"/>
            <w:bookmarkEnd w:id="7884"/>
          </w:p>
          <w:p>
            <w:pPr>
              <w:rPr>
                <w:color w:val="auto"/>
                <w:highlight w:val="none"/>
              </w:rPr>
            </w:pPr>
            <w:r>
              <w:rPr>
                <w:rFonts w:hint="eastAsia"/>
                <w:color w:val="auto"/>
                <w:highlight w:val="none"/>
              </w:rPr>
              <w:t>（</w:t>
            </w:r>
            <w:r>
              <w:rPr>
                <w:color w:val="auto"/>
                <w:highlight w:val="none"/>
              </w:rPr>
              <w:t>1</w:t>
            </w:r>
            <w:r>
              <w:rPr>
                <w:rFonts w:hint="eastAsia"/>
                <w:color w:val="auto"/>
                <w:highlight w:val="none"/>
              </w:rPr>
              <w:t>）生产商注册资本不少于</w:t>
            </w:r>
            <w:r>
              <w:rPr>
                <w:color w:val="auto"/>
                <w:highlight w:val="none"/>
              </w:rPr>
              <w:t>5000</w:t>
            </w:r>
            <w:r>
              <w:rPr>
                <w:rFonts w:hint="eastAsia"/>
                <w:color w:val="auto"/>
                <w:highlight w:val="none"/>
              </w:rPr>
              <w:t>万元人民币。</w:t>
            </w:r>
          </w:p>
          <w:p>
            <w:pPr>
              <w:rPr>
                <w:color w:val="auto"/>
                <w:highlight w:val="none"/>
              </w:rPr>
            </w:pPr>
            <w:r>
              <w:rPr>
                <w:rFonts w:hint="eastAsia"/>
                <w:color w:val="auto"/>
                <w:highlight w:val="none"/>
              </w:rPr>
              <w:t>（</w:t>
            </w:r>
            <w:r>
              <w:rPr>
                <w:color w:val="auto"/>
                <w:highlight w:val="none"/>
              </w:rPr>
              <w:t>2</w:t>
            </w:r>
            <w:r>
              <w:rPr>
                <w:rFonts w:hint="eastAsia"/>
                <w:color w:val="auto"/>
                <w:highlight w:val="none"/>
              </w:rPr>
              <w:t>）成套供水机组采用知名品牌产品，产品应符合国家标准和有关规定。</w:t>
            </w:r>
          </w:p>
          <w:p>
            <w:pPr>
              <w:rPr>
                <w:color w:val="auto"/>
                <w:highlight w:val="none"/>
              </w:rPr>
            </w:pPr>
            <w:r>
              <w:rPr>
                <w:rFonts w:hint="eastAsia"/>
                <w:color w:val="auto"/>
                <w:highlight w:val="none"/>
              </w:rPr>
              <w:t>（</w:t>
            </w:r>
            <w:r>
              <w:rPr>
                <w:color w:val="auto"/>
                <w:highlight w:val="none"/>
              </w:rPr>
              <w:t>3</w:t>
            </w:r>
            <w:r>
              <w:rPr>
                <w:rFonts w:hint="eastAsia"/>
                <w:color w:val="auto"/>
                <w:highlight w:val="none"/>
              </w:rPr>
              <w:t>）水泵必须通过国家相关部门的检测，需符合国家《生活饮用水输配水设备及防护材料卫生安全评价规范》，需提供相关检测报告。</w:t>
            </w:r>
          </w:p>
          <w:p>
            <w:pPr>
              <w:rPr>
                <w:color w:val="auto"/>
                <w:highlight w:val="none"/>
              </w:rPr>
            </w:pPr>
            <w:r>
              <w:rPr>
                <w:rFonts w:hint="eastAsia"/>
                <w:color w:val="auto"/>
                <w:highlight w:val="none"/>
              </w:rPr>
              <w:t>（</w:t>
            </w:r>
            <w:r>
              <w:rPr>
                <w:color w:val="auto"/>
                <w:highlight w:val="none"/>
              </w:rPr>
              <w:t>4</w:t>
            </w:r>
            <w:r>
              <w:rPr>
                <w:rFonts w:hint="eastAsia"/>
                <w:color w:val="auto"/>
                <w:highlight w:val="none"/>
              </w:rPr>
              <w:t>）水泵能效值必须符合</w:t>
            </w:r>
            <w:r>
              <w:rPr>
                <w:color w:val="auto"/>
                <w:highlight w:val="none"/>
              </w:rPr>
              <w:t>GB19762-2007(</w:t>
            </w:r>
            <w:r>
              <w:rPr>
                <w:rFonts w:hint="eastAsia"/>
                <w:color w:val="auto"/>
                <w:highlight w:val="none"/>
              </w:rPr>
              <w:t>清水离心泵能效限定值及节能评价值</w:t>
            </w:r>
            <w:r>
              <w:rPr>
                <w:color w:val="auto"/>
                <w:highlight w:val="none"/>
              </w:rPr>
              <w:t>)</w:t>
            </w:r>
            <w:r>
              <w:rPr>
                <w:rFonts w:hint="eastAsia"/>
                <w:color w:val="auto"/>
                <w:highlight w:val="none"/>
              </w:rPr>
              <w:t>的要求。</w:t>
            </w:r>
          </w:p>
          <w:p>
            <w:pPr>
              <w:rPr>
                <w:color w:val="auto"/>
                <w:highlight w:val="none"/>
              </w:rPr>
            </w:pPr>
            <w:r>
              <w:rPr>
                <w:rFonts w:hint="eastAsia"/>
                <w:color w:val="auto"/>
                <w:highlight w:val="none"/>
              </w:rPr>
              <w:t>（</w:t>
            </w:r>
            <w:r>
              <w:rPr>
                <w:color w:val="auto"/>
                <w:highlight w:val="none"/>
              </w:rPr>
              <w:t>5</w:t>
            </w:r>
            <w:r>
              <w:rPr>
                <w:rFonts w:hint="eastAsia"/>
                <w:color w:val="auto"/>
                <w:highlight w:val="none"/>
              </w:rPr>
              <w:t>）制造商应提供各部件的材质说明和机组基础安装大样图，同时应提供水泵运行曲线图及控制线路图。</w:t>
            </w:r>
          </w:p>
          <w:p>
            <w:pPr>
              <w:rPr>
                <w:color w:val="auto"/>
                <w:highlight w:val="none"/>
              </w:rPr>
            </w:pPr>
            <w:r>
              <w:rPr>
                <w:rFonts w:hint="eastAsia"/>
                <w:color w:val="auto"/>
                <w:highlight w:val="none"/>
              </w:rPr>
              <w:t>（</w:t>
            </w:r>
            <w:r>
              <w:rPr>
                <w:color w:val="auto"/>
                <w:highlight w:val="none"/>
              </w:rPr>
              <w:t>6</w:t>
            </w:r>
            <w:r>
              <w:rPr>
                <w:rFonts w:hint="eastAsia"/>
                <w:color w:val="auto"/>
                <w:highlight w:val="none"/>
              </w:rPr>
              <w:t>）生产厂家应经</w:t>
            </w:r>
            <w:r>
              <w:rPr>
                <w:color w:val="auto"/>
                <w:highlight w:val="none"/>
              </w:rPr>
              <w:t>ISO9001</w:t>
            </w:r>
            <w:r>
              <w:rPr>
                <w:rFonts w:hint="eastAsia"/>
                <w:color w:val="auto"/>
                <w:highlight w:val="none"/>
              </w:rPr>
              <w:t>：</w:t>
            </w:r>
            <w:r>
              <w:rPr>
                <w:color w:val="auto"/>
                <w:highlight w:val="none"/>
              </w:rPr>
              <w:t>2000</w:t>
            </w:r>
            <w:r>
              <w:rPr>
                <w:rFonts w:hint="eastAsia"/>
                <w:color w:val="auto"/>
                <w:highlight w:val="none"/>
              </w:rPr>
              <w:t>质量管理体系认证。</w:t>
            </w:r>
          </w:p>
          <w:p>
            <w:pPr>
              <w:rPr>
                <w:color w:val="auto"/>
                <w:highlight w:val="none"/>
              </w:rPr>
            </w:pPr>
            <w:r>
              <w:rPr>
                <w:rFonts w:hint="eastAsia"/>
                <w:color w:val="auto"/>
                <w:highlight w:val="none"/>
              </w:rPr>
              <w:t>（</w:t>
            </w:r>
            <w:r>
              <w:rPr>
                <w:color w:val="auto"/>
                <w:highlight w:val="none"/>
              </w:rPr>
              <w:t>7</w:t>
            </w:r>
            <w:r>
              <w:rPr>
                <w:rFonts w:hint="eastAsia"/>
                <w:color w:val="auto"/>
                <w:highlight w:val="none"/>
              </w:rPr>
              <w:t>）制造商在深圳地区设有完善的售后服务机构。</w:t>
            </w:r>
          </w:p>
          <w:p>
            <w:pPr>
              <w:rPr>
                <w:color w:val="auto"/>
                <w:highlight w:val="none"/>
              </w:rPr>
            </w:pPr>
            <w:r>
              <w:rPr>
                <w:rFonts w:hint="eastAsia"/>
                <w:color w:val="auto"/>
                <w:highlight w:val="none"/>
              </w:rPr>
              <w:t>（</w:t>
            </w:r>
            <w:r>
              <w:rPr>
                <w:color w:val="auto"/>
                <w:highlight w:val="none"/>
              </w:rPr>
              <w:t>8</w:t>
            </w:r>
            <w:r>
              <w:rPr>
                <w:rFonts w:hint="eastAsia"/>
                <w:color w:val="auto"/>
                <w:highlight w:val="none"/>
              </w:rPr>
              <w:t>）生活水泵品牌选用发包人品牌库中</w:t>
            </w:r>
            <w:r>
              <w:rPr>
                <w:color w:val="auto"/>
                <w:highlight w:val="none"/>
              </w:rPr>
              <w:t>A</w:t>
            </w:r>
            <w:r>
              <w:rPr>
                <w:rFonts w:hint="eastAsia"/>
                <w:color w:val="auto"/>
                <w:highlight w:val="none"/>
              </w:rPr>
              <w:t>类设备水泵</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）水泵轴封类型为机械密封，必须保证能够正常使用</w:t>
            </w:r>
            <w:r>
              <w:rPr>
                <w:color w:val="auto"/>
                <w:highlight w:val="none"/>
              </w:rPr>
              <w:t>30000</w:t>
            </w:r>
            <w:r>
              <w:rPr>
                <w:rFonts w:hint="eastAsia"/>
                <w:color w:val="auto"/>
                <w:highlight w:val="none"/>
              </w:rPr>
              <w:t>小时。</w:t>
            </w:r>
          </w:p>
          <w:p>
            <w:pPr>
              <w:rPr>
                <w:color w:val="auto"/>
                <w:highlight w:val="none"/>
              </w:rPr>
            </w:pPr>
            <w:r>
              <w:rPr>
                <w:rFonts w:hint="eastAsia"/>
                <w:color w:val="auto"/>
                <w:highlight w:val="none"/>
              </w:rPr>
              <w:t>（</w:t>
            </w:r>
            <w:r>
              <w:rPr>
                <w:color w:val="auto"/>
                <w:highlight w:val="none"/>
              </w:rPr>
              <w:t>2</w:t>
            </w:r>
            <w:r>
              <w:rPr>
                <w:rFonts w:hint="eastAsia"/>
                <w:color w:val="auto"/>
                <w:highlight w:val="none"/>
              </w:rPr>
              <w:t>）轴承为不锈钢材质，耐磨性大于</w:t>
            </w:r>
            <w:r>
              <w:rPr>
                <w:color w:val="auto"/>
                <w:highlight w:val="none"/>
              </w:rPr>
              <w:t>80000</w:t>
            </w:r>
            <w:r>
              <w:rPr>
                <w:rFonts w:hint="eastAsia"/>
                <w:color w:val="auto"/>
                <w:highlight w:val="none"/>
              </w:rPr>
              <w:t>小时。</w:t>
            </w:r>
          </w:p>
          <w:p>
            <w:pPr>
              <w:rPr>
                <w:color w:val="auto"/>
                <w:highlight w:val="none"/>
              </w:rPr>
            </w:pPr>
            <w:r>
              <w:rPr>
                <w:rFonts w:hint="eastAsia"/>
                <w:color w:val="auto"/>
                <w:highlight w:val="none"/>
              </w:rPr>
              <w:t>（</w:t>
            </w:r>
            <w:r>
              <w:rPr>
                <w:color w:val="auto"/>
                <w:highlight w:val="none"/>
              </w:rPr>
              <w:t>3</w:t>
            </w:r>
            <w:r>
              <w:rPr>
                <w:rFonts w:hint="eastAsia"/>
                <w:color w:val="auto"/>
                <w:highlight w:val="none"/>
              </w:rPr>
              <w:t>）水泵泵壳采用优质铸铁或不锈钢材质；叶轮采用青铜或不锈钢材质；泵轴采用不锈钢材质。</w:t>
            </w:r>
          </w:p>
          <w:p>
            <w:pPr>
              <w:rPr>
                <w:color w:val="auto"/>
                <w:highlight w:val="none"/>
              </w:rPr>
            </w:pPr>
            <w:r>
              <w:rPr>
                <w:rFonts w:hint="eastAsia"/>
                <w:color w:val="auto"/>
                <w:highlight w:val="none"/>
              </w:rPr>
              <w:t>（</w:t>
            </w:r>
            <w:r>
              <w:rPr>
                <w:color w:val="auto"/>
                <w:highlight w:val="none"/>
              </w:rPr>
              <w:t>4</w:t>
            </w:r>
            <w:r>
              <w:rPr>
                <w:rFonts w:hint="eastAsia"/>
                <w:color w:val="auto"/>
                <w:highlight w:val="none"/>
              </w:rPr>
              <w:t>）气压罐壳体采用</w:t>
            </w:r>
            <w:r>
              <w:rPr>
                <w:color w:val="auto"/>
                <w:highlight w:val="none"/>
              </w:rPr>
              <w:t>SUS304</w:t>
            </w:r>
            <w:r>
              <w:rPr>
                <w:rFonts w:hint="eastAsia"/>
                <w:color w:val="auto"/>
                <w:highlight w:val="none"/>
              </w:rPr>
              <w:t>不锈钢材质，隔膜材质应为</w:t>
            </w:r>
            <w:r>
              <w:rPr>
                <w:color w:val="auto"/>
                <w:highlight w:val="none"/>
              </w:rPr>
              <w:t>EPDM</w:t>
            </w:r>
            <w:r>
              <w:rPr>
                <w:rFonts w:hint="eastAsia"/>
                <w:color w:val="auto"/>
                <w:highlight w:val="none"/>
              </w:rPr>
              <w:t>，并应符合饮用水卫生要求。</w:t>
            </w:r>
          </w:p>
          <w:p>
            <w:pPr>
              <w:rPr>
                <w:color w:val="auto"/>
                <w:highlight w:val="none"/>
              </w:rPr>
            </w:pPr>
            <w:r>
              <w:rPr>
                <w:rFonts w:hint="eastAsia"/>
                <w:color w:val="auto"/>
                <w:highlight w:val="none"/>
              </w:rPr>
              <w:t>（</w:t>
            </w:r>
            <w:r>
              <w:rPr>
                <w:color w:val="auto"/>
                <w:highlight w:val="none"/>
              </w:rPr>
              <w:t>5</w:t>
            </w:r>
            <w:r>
              <w:rPr>
                <w:rFonts w:hint="eastAsia"/>
                <w:color w:val="auto"/>
                <w:highlight w:val="none"/>
              </w:rPr>
              <w:t>）选用微机控制变频调速给水，应具有自动调节水泵转速和软启动功能，应有观察设定压力和实际压力的显示。</w:t>
            </w:r>
          </w:p>
          <w:p>
            <w:pPr>
              <w:rPr>
                <w:color w:val="auto"/>
                <w:highlight w:val="none"/>
              </w:rPr>
            </w:pPr>
            <w:r>
              <w:rPr>
                <w:rFonts w:hint="eastAsia"/>
                <w:color w:val="auto"/>
                <w:highlight w:val="none"/>
              </w:rPr>
              <w:t>（</w:t>
            </w:r>
            <w:r>
              <w:rPr>
                <w:color w:val="auto"/>
                <w:highlight w:val="none"/>
              </w:rPr>
              <w:t>6</w:t>
            </w:r>
            <w:r>
              <w:rPr>
                <w:rFonts w:hint="eastAsia"/>
                <w:color w:val="auto"/>
                <w:highlight w:val="none"/>
              </w:rPr>
              <w:t>）选配国际名牌变频器和</w:t>
            </w:r>
            <w:r>
              <w:rPr>
                <w:color w:val="auto"/>
                <w:highlight w:val="none"/>
              </w:rPr>
              <w:t>PLC</w:t>
            </w:r>
            <w:r>
              <w:rPr>
                <w:rFonts w:hint="eastAsia"/>
                <w:color w:val="auto"/>
                <w:highlight w:val="none"/>
              </w:rPr>
              <w:t>控制器，控制器为模块化设计，具有人机对话功能，主要电气元件（空气开关、接触器、热继电器等）选用国际名牌产品（西门子、</w:t>
            </w:r>
            <w:r>
              <w:rPr>
                <w:color w:val="auto"/>
                <w:highlight w:val="none"/>
              </w:rPr>
              <w:t>ABB</w:t>
            </w:r>
            <w:r>
              <w:rPr>
                <w:rFonts w:hint="eastAsia"/>
                <w:color w:val="auto"/>
                <w:highlight w:val="none"/>
              </w:rPr>
              <w:t>、施耐德、</w:t>
            </w:r>
            <w:r>
              <w:rPr>
                <w:color w:val="auto"/>
                <w:highlight w:val="none"/>
              </w:rPr>
              <w:t>GE</w:t>
            </w:r>
            <w:r>
              <w:rPr>
                <w:rFonts w:hint="eastAsia"/>
                <w:color w:val="auto"/>
                <w:highlight w:val="none"/>
              </w:rPr>
              <w:t>、海格、</w:t>
            </w:r>
            <w:r>
              <w:rPr>
                <w:color w:val="auto"/>
                <w:highlight w:val="none"/>
              </w:rPr>
              <w:t>AEG</w:t>
            </w:r>
            <w:r>
              <w:rPr>
                <w:rFonts w:hint="eastAsia"/>
                <w:color w:val="auto"/>
                <w:highlight w:val="none"/>
              </w:rPr>
              <w:t>或同等档次）。</w:t>
            </w:r>
          </w:p>
          <w:p>
            <w:pPr>
              <w:rPr>
                <w:color w:val="auto"/>
                <w:highlight w:val="none"/>
              </w:rPr>
            </w:pPr>
            <w:r>
              <w:rPr>
                <w:rFonts w:hint="eastAsia"/>
                <w:color w:val="auto"/>
                <w:highlight w:val="none"/>
              </w:rPr>
              <w:t>（</w:t>
            </w:r>
            <w:r>
              <w:rPr>
                <w:color w:val="auto"/>
                <w:highlight w:val="none"/>
              </w:rPr>
              <w:t>7</w:t>
            </w:r>
            <w:r>
              <w:rPr>
                <w:rFonts w:hint="eastAsia"/>
                <w:color w:val="auto"/>
                <w:highlight w:val="none"/>
              </w:rPr>
              <w:t>）电机的要求：</w:t>
            </w:r>
          </w:p>
          <w:p>
            <w:pPr>
              <w:rPr>
                <w:color w:val="auto"/>
                <w:highlight w:val="none"/>
              </w:rPr>
            </w:pPr>
            <w:r>
              <w:rPr>
                <w:color w:val="auto"/>
                <w:highlight w:val="none"/>
              </w:rPr>
              <w:t>1</w:t>
            </w:r>
            <w:r>
              <w:rPr>
                <w:rFonts w:hint="eastAsia"/>
                <w:color w:val="auto"/>
                <w:highlight w:val="none"/>
              </w:rPr>
              <w:t>）</w:t>
            </w:r>
            <w:r>
              <w:rPr>
                <w:color w:val="auto"/>
                <w:highlight w:val="none"/>
              </w:rPr>
              <w:t xml:space="preserve"> </w:t>
            </w:r>
            <w:r>
              <w:rPr>
                <w:rFonts w:hint="eastAsia"/>
                <w:color w:val="auto"/>
                <w:highlight w:val="none"/>
              </w:rPr>
              <w:t>应采用高效低噪声的知名品牌电机，能效等级不低于二级，必须符合</w:t>
            </w:r>
            <w:r>
              <w:rPr>
                <w:color w:val="auto"/>
                <w:highlight w:val="none"/>
              </w:rPr>
              <w:t>GB</w:t>
            </w:r>
            <w:r>
              <w:rPr>
                <w:rFonts w:hint="eastAsia"/>
                <w:color w:val="auto"/>
                <w:highlight w:val="none"/>
              </w:rPr>
              <w:t>和</w:t>
            </w:r>
            <w:r>
              <w:rPr>
                <w:color w:val="auto"/>
                <w:highlight w:val="none"/>
              </w:rPr>
              <w:t>IEC</w:t>
            </w:r>
            <w:r>
              <w:rPr>
                <w:rFonts w:hint="eastAsia"/>
                <w:color w:val="auto"/>
                <w:highlight w:val="none"/>
              </w:rPr>
              <w:t>标准。</w:t>
            </w:r>
          </w:p>
          <w:p>
            <w:pPr>
              <w:rPr>
                <w:color w:val="auto"/>
                <w:highlight w:val="none"/>
              </w:rPr>
            </w:pPr>
            <w:r>
              <w:rPr>
                <w:color w:val="auto"/>
                <w:highlight w:val="none"/>
              </w:rPr>
              <w:t>2</w:t>
            </w:r>
            <w:r>
              <w:rPr>
                <w:rFonts w:hint="eastAsia"/>
                <w:color w:val="auto"/>
                <w:highlight w:val="none"/>
              </w:rPr>
              <w:t>）电机防护等级：</w:t>
            </w:r>
            <w:r>
              <w:rPr>
                <w:color w:val="auto"/>
                <w:highlight w:val="none"/>
              </w:rPr>
              <w:t>IP54</w:t>
            </w:r>
            <w:r>
              <w:rPr>
                <w:rFonts w:hint="eastAsia"/>
                <w:color w:val="auto"/>
                <w:highlight w:val="none"/>
              </w:rPr>
              <w:t>，绝缘等级：</w:t>
            </w:r>
            <w:r>
              <w:rPr>
                <w:color w:val="auto"/>
                <w:highlight w:val="none"/>
              </w:rPr>
              <w:t>F</w:t>
            </w:r>
            <w:r>
              <w:rPr>
                <w:rFonts w:hint="eastAsia"/>
                <w:color w:val="auto"/>
                <w:highlight w:val="none"/>
              </w:rPr>
              <w:t>级。</w:t>
            </w:r>
          </w:p>
          <w:p>
            <w:pPr>
              <w:rPr>
                <w:color w:val="auto"/>
                <w:highlight w:val="none"/>
              </w:rPr>
            </w:pPr>
            <w:r>
              <w:rPr>
                <w:color w:val="auto"/>
                <w:highlight w:val="none"/>
              </w:rPr>
              <w:t>3</w:t>
            </w:r>
            <w:r>
              <w:rPr>
                <w:rFonts w:hint="eastAsia"/>
                <w:color w:val="auto"/>
                <w:highlight w:val="none"/>
              </w:rPr>
              <w:t>）应有较宽范围的高效段，保证水泵在其整个运行曲线范围内不会过载。</w:t>
            </w:r>
          </w:p>
          <w:p>
            <w:pPr>
              <w:rPr>
                <w:color w:val="auto"/>
                <w:highlight w:val="none"/>
              </w:rPr>
            </w:pPr>
            <w:r>
              <w:rPr>
                <w:rFonts w:hint="eastAsia"/>
                <w:color w:val="auto"/>
                <w:highlight w:val="none"/>
              </w:rPr>
              <w:t>（</w:t>
            </w:r>
            <w:r>
              <w:rPr>
                <w:color w:val="auto"/>
                <w:highlight w:val="none"/>
              </w:rPr>
              <w:t>8</w:t>
            </w:r>
            <w:r>
              <w:rPr>
                <w:rFonts w:hint="eastAsia"/>
                <w:color w:val="auto"/>
                <w:highlight w:val="none"/>
              </w:rPr>
              <w:t>）控制要求：</w:t>
            </w:r>
          </w:p>
          <w:p>
            <w:pPr>
              <w:rPr>
                <w:color w:val="auto"/>
                <w:highlight w:val="none"/>
              </w:rPr>
            </w:pPr>
            <w:r>
              <w:rPr>
                <w:color w:val="auto"/>
                <w:highlight w:val="none"/>
              </w:rPr>
              <w:t>1</w:t>
            </w:r>
            <w:r>
              <w:rPr>
                <w:rFonts w:hint="eastAsia"/>
                <w:color w:val="auto"/>
                <w:highlight w:val="none"/>
              </w:rPr>
              <w:t>）给水机组须采用先进的控制方式，机组出口压力能够根据用水量的变化发生相应的变化，以保证用户末端压力的恒定。</w:t>
            </w:r>
          </w:p>
          <w:p>
            <w:pPr>
              <w:rPr>
                <w:color w:val="auto"/>
                <w:highlight w:val="none"/>
              </w:rPr>
            </w:pPr>
            <w:r>
              <w:rPr>
                <w:color w:val="auto"/>
                <w:highlight w:val="none"/>
              </w:rPr>
              <w:t>2</w:t>
            </w:r>
            <w:r>
              <w:rPr>
                <w:rFonts w:hint="eastAsia"/>
                <w:color w:val="auto"/>
                <w:highlight w:val="none"/>
              </w:rPr>
              <w:t>）变频给水机组需有专项的措施以保证供水机组在用水量变化频繁时不会频繁启停。</w:t>
            </w:r>
          </w:p>
          <w:p>
            <w:pPr>
              <w:rPr>
                <w:color w:val="auto"/>
                <w:highlight w:val="none"/>
              </w:rPr>
            </w:pPr>
            <w:r>
              <w:rPr>
                <w:color w:val="auto"/>
                <w:highlight w:val="none"/>
              </w:rPr>
              <w:t>3</w:t>
            </w:r>
            <w:r>
              <w:rPr>
                <w:rFonts w:hint="eastAsia"/>
                <w:color w:val="auto"/>
                <w:highlight w:val="none"/>
              </w:rPr>
              <w:t>）供水机组的运转电流、电压、频率、出口压力、报警等常用参数都必须用中文在控制屏显示出来。</w:t>
            </w:r>
          </w:p>
          <w:p>
            <w:pPr>
              <w:rPr>
                <w:color w:val="auto"/>
                <w:highlight w:val="none"/>
              </w:rPr>
            </w:pPr>
            <w:r>
              <w:rPr>
                <w:color w:val="auto"/>
                <w:highlight w:val="none"/>
              </w:rPr>
              <w:t>4</w:t>
            </w:r>
            <w:r>
              <w:rPr>
                <w:rFonts w:hint="eastAsia"/>
                <w:color w:val="auto"/>
                <w:highlight w:val="none"/>
              </w:rPr>
              <w:t>）设备应具有水位监控功能。供水机组控制柜设水箱液位控制器接点控制水泵低液位停泵；恢复到启泵水位时，水泵自动启动供水；当液位超高溢流时报警；各种故障均有声光报警提示。多台水泵应能自动切换，交替运行。</w:t>
            </w:r>
          </w:p>
          <w:p>
            <w:pPr>
              <w:rPr>
                <w:color w:val="auto"/>
                <w:highlight w:val="none"/>
              </w:rPr>
            </w:pPr>
            <w:r>
              <w:rPr>
                <w:color w:val="auto"/>
                <w:highlight w:val="none"/>
              </w:rPr>
              <w:t>5</w:t>
            </w:r>
            <w:r>
              <w:rPr>
                <w:rFonts w:hint="eastAsia"/>
                <w:color w:val="auto"/>
                <w:highlight w:val="none"/>
              </w:rPr>
              <w:t>）控制柜设置手动、自动控制装置；控制柜预留</w:t>
            </w:r>
            <w:r>
              <w:rPr>
                <w:color w:val="auto"/>
                <w:highlight w:val="none"/>
              </w:rPr>
              <w:t>BA</w:t>
            </w:r>
            <w:r>
              <w:rPr>
                <w:rFonts w:hint="eastAsia"/>
                <w:color w:val="auto"/>
                <w:highlight w:val="none"/>
              </w:rPr>
              <w:t>系统的通讯接口，通讯接口和通讯协议要无条件符合</w:t>
            </w:r>
            <w:r>
              <w:rPr>
                <w:color w:val="auto"/>
                <w:highlight w:val="none"/>
              </w:rPr>
              <w:t>BA</w:t>
            </w:r>
            <w:r>
              <w:rPr>
                <w:rFonts w:hint="eastAsia"/>
                <w:color w:val="auto"/>
                <w:highlight w:val="none"/>
              </w:rPr>
              <w:t>系统的要求并配合相关调试。</w:t>
            </w:r>
          </w:p>
          <w:p>
            <w:pPr>
              <w:rPr>
                <w:color w:val="auto"/>
                <w:highlight w:val="none"/>
              </w:rPr>
            </w:pPr>
          </w:p>
        </w:tc>
        <w:tc>
          <w:tcPr>
            <w:tcW w:w="567"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3" w:type="dxa"/>
            <w:noWrap w:val="0"/>
            <w:vAlign w:val="center"/>
          </w:tcPr>
          <w:p>
            <w:pPr>
              <w:rPr>
                <w:color w:val="auto"/>
                <w:highlight w:val="none"/>
              </w:rPr>
            </w:pPr>
            <w:r>
              <w:rPr>
                <w:color w:val="auto"/>
                <w:highlight w:val="none"/>
              </w:rPr>
              <w:t>18.</w:t>
            </w:r>
          </w:p>
        </w:tc>
        <w:tc>
          <w:tcPr>
            <w:tcW w:w="966" w:type="dxa"/>
            <w:noWrap w:val="0"/>
            <w:vAlign w:val="center"/>
          </w:tcPr>
          <w:p>
            <w:pPr>
              <w:rPr>
                <w:color w:val="auto"/>
                <w:highlight w:val="none"/>
              </w:rPr>
            </w:pPr>
            <w:r>
              <w:rPr>
                <w:rFonts w:hint="eastAsia"/>
                <w:color w:val="auto"/>
                <w:highlight w:val="none"/>
              </w:rPr>
              <w:t>潜污泵</w:t>
            </w:r>
          </w:p>
        </w:tc>
        <w:tc>
          <w:tcPr>
            <w:tcW w:w="658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）制造商注册资本不少于</w:t>
            </w:r>
            <w:r>
              <w:rPr>
                <w:color w:val="auto"/>
                <w:highlight w:val="none"/>
              </w:rPr>
              <w:t>5000</w:t>
            </w:r>
            <w:r>
              <w:rPr>
                <w:rFonts w:hint="eastAsia"/>
                <w:color w:val="auto"/>
                <w:highlight w:val="none"/>
              </w:rPr>
              <w:t>万元。</w:t>
            </w:r>
          </w:p>
          <w:p>
            <w:pPr>
              <w:rPr>
                <w:color w:val="auto"/>
                <w:highlight w:val="none"/>
              </w:rPr>
            </w:pPr>
            <w:r>
              <w:rPr>
                <w:rFonts w:hint="eastAsia"/>
                <w:color w:val="auto"/>
                <w:highlight w:val="none"/>
              </w:rPr>
              <w:t>（</w:t>
            </w:r>
            <w:r>
              <w:rPr>
                <w:color w:val="auto"/>
                <w:highlight w:val="none"/>
              </w:rPr>
              <w:t>2</w:t>
            </w:r>
            <w:r>
              <w:rPr>
                <w:rFonts w:hint="eastAsia"/>
                <w:color w:val="auto"/>
                <w:highlight w:val="none"/>
              </w:rPr>
              <w:t>）水泵采用知名品牌产品，产品应符合有关国家标准和设计要求。</w:t>
            </w:r>
          </w:p>
          <w:p>
            <w:pPr>
              <w:rPr>
                <w:color w:val="auto"/>
                <w:highlight w:val="none"/>
              </w:rPr>
            </w:pPr>
            <w:r>
              <w:rPr>
                <w:rFonts w:hint="eastAsia"/>
                <w:color w:val="auto"/>
                <w:highlight w:val="none"/>
              </w:rPr>
              <w:t>（</w:t>
            </w:r>
            <w:r>
              <w:rPr>
                <w:color w:val="auto"/>
                <w:highlight w:val="none"/>
              </w:rPr>
              <w:t>3</w:t>
            </w:r>
            <w:r>
              <w:rPr>
                <w:rFonts w:hint="eastAsia"/>
                <w:color w:val="auto"/>
                <w:highlight w:val="none"/>
              </w:rPr>
              <w:t>）制造商应经</w:t>
            </w:r>
            <w:r>
              <w:rPr>
                <w:color w:val="auto"/>
                <w:highlight w:val="none"/>
              </w:rPr>
              <w:t>ISO9001</w:t>
            </w:r>
            <w:r>
              <w:rPr>
                <w:rFonts w:hint="eastAsia"/>
                <w:color w:val="auto"/>
                <w:highlight w:val="none"/>
              </w:rPr>
              <w:t>：</w:t>
            </w:r>
            <w:r>
              <w:rPr>
                <w:color w:val="auto"/>
                <w:highlight w:val="none"/>
              </w:rPr>
              <w:t>2000</w:t>
            </w:r>
            <w:r>
              <w:rPr>
                <w:rFonts w:hint="eastAsia"/>
                <w:color w:val="auto"/>
                <w:highlight w:val="none"/>
              </w:rPr>
              <w:t>质量管理体系认证。</w:t>
            </w:r>
          </w:p>
          <w:p>
            <w:pPr>
              <w:rPr>
                <w:color w:val="auto"/>
                <w:highlight w:val="none"/>
              </w:rPr>
            </w:pPr>
            <w:r>
              <w:rPr>
                <w:rFonts w:hint="eastAsia"/>
                <w:color w:val="auto"/>
                <w:highlight w:val="none"/>
              </w:rPr>
              <w:t>（</w:t>
            </w:r>
            <w:r>
              <w:rPr>
                <w:color w:val="auto"/>
                <w:highlight w:val="none"/>
              </w:rPr>
              <w:t>4</w:t>
            </w:r>
            <w:r>
              <w:rPr>
                <w:rFonts w:hint="eastAsia"/>
                <w:color w:val="auto"/>
                <w:highlight w:val="none"/>
              </w:rPr>
              <w:t>）制造商应提供各部件的材质说明和安装大样图，同时应提供水泵运行曲线图及控制线路图。</w:t>
            </w:r>
          </w:p>
          <w:p>
            <w:pPr>
              <w:rPr>
                <w:color w:val="auto"/>
                <w:highlight w:val="none"/>
              </w:rPr>
            </w:pPr>
            <w:r>
              <w:rPr>
                <w:rFonts w:hint="eastAsia"/>
                <w:color w:val="auto"/>
                <w:highlight w:val="none"/>
              </w:rPr>
              <w:t>（</w:t>
            </w:r>
            <w:r>
              <w:rPr>
                <w:color w:val="auto"/>
                <w:highlight w:val="none"/>
              </w:rPr>
              <w:t>5</w:t>
            </w:r>
            <w:r>
              <w:rPr>
                <w:rFonts w:hint="eastAsia"/>
                <w:color w:val="auto"/>
                <w:highlight w:val="none"/>
              </w:rPr>
              <w:t>）制造商在深圳地区设有完善的售后服务机构。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采用自耦式潜污泵。泵与耦合装置相连，耦合底座固定于泵坑底部（在建造污水坑时，应预埋好地脚螺栓，使用时将耦合底座固定即可），泵可以在导轨中上下自动移动。当泵放下时，耦合装置自动与耦合底座耦合；提升泵时，耦合装置与耦合底座自动脱离。</w:t>
            </w:r>
          </w:p>
          <w:p>
            <w:pPr>
              <w:rPr>
                <w:color w:val="auto"/>
                <w:highlight w:val="none"/>
              </w:rPr>
            </w:pPr>
            <w:r>
              <w:rPr>
                <w:rFonts w:hint="eastAsia"/>
                <w:color w:val="auto"/>
                <w:highlight w:val="none"/>
              </w:rPr>
              <w:t>（</w:t>
            </w:r>
            <w:r>
              <w:rPr>
                <w:color w:val="auto"/>
                <w:highlight w:val="none"/>
              </w:rPr>
              <w:t>2</w:t>
            </w:r>
            <w:r>
              <w:rPr>
                <w:rFonts w:hint="eastAsia"/>
                <w:color w:val="auto"/>
                <w:highlight w:val="none"/>
              </w:rPr>
              <w:t>）泵体材质为优质铸铁或不锈钢，泵轴、叶轮和所有紧固件材质均为不锈钢。</w:t>
            </w:r>
          </w:p>
          <w:p>
            <w:pPr>
              <w:rPr>
                <w:color w:val="auto"/>
                <w:highlight w:val="none"/>
              </w:rPr>
            </w:pPr>
            <w:r>
              <w:rPr>
                <w:rFonts w:hint="eastAsia"/>
                <w:color w:val="auto"/>
                <w:highlight w:val="none"/>
              </w:rPr>
              <w:t>（</w:t>
            </w:r>
            <w:r>
              <w:rPr>
                <w:color w:val="auto"/>
                <w:highlight w:val="none"/>
              </w:rPr>
              <w:t>3</w:t>
            </w:r>
            <w:r>
              <w:rPr>
                <w:rFonts w:hint="eastAsia"/>
                <w:color w:val="auto"/>
                <w:highlight w:val="none"/>
              </w:rPr>
              <w:t>）轴承为永久润滑高温型，材质为不锈钢，应选用优质轴承，保证耐热、润滑性好，质量可靠，耐磨性大于</w:t>
            </w:r>
            <w:r>
              <w:rPr>
                <w:color w:val="auto"/>
                <w:highlight w:val="none"/>
              </w:rPr>
              <w:t>50000</w:t>
            </w:r>
            <w:r>
              <w:rPr>
                <w:rFonts w:hint="eastAsia"/>
                <w:color w:val="auto"/>
                <w:highlight w:val="none"/>
              </w:rPr>
              <w:t>小时。</w:t>
            </w:r>
          </w:p>
          <w:p>
            <w:pPr>
              <w:rPr>
                <w:color w:val="auto"/>
                <w:highlight w:val="none"/>
              </w:rPr>
            </w:pPr>
            <w:r>
              <w:rPr>
                <w:rFonts w:hint="eastAsia"/>
                <w:color w:val="auto"/>
                <w:highlight w:val="none"/>
              </w:rPr>
              <w:t>（</w:t>
            </w:r>
            <w:r>
              <w:rPr>
                <w:color w:val="auto"/>
                <w:highlight w:val="none"/>
              </w:rPr>
              <w:t>4</w:t>
            </w:r>
            <w:r>
              <w:rPr>
                <w:rFonts w:hint="eastAsia"/>
                <w:color w:val="auto"/>
                <w:highlight w:val="none"/>
              </w:rPr>
              <w:t>）机械密封为带硬端面的双机械密封装置，采用独立机油润滑型的轴封套，耐磨性大于</w:t>
            </w:r>
            <w:r>
              <w:rPr>
                <w:color w:val="auto"/>
                <w:highlight w:val="none"/>
              </w:rPr>
              <w:t>25000</w:t>
            </w:r>
            <w:r>
              <w:rPr>
                <w:rFonts w:hint="eastAsia"/>
                <w:color w:val="auto"/>
                <w:highlight w:val="none"/>
              </w:rPr>
              <w:t>小时，密封面：顶面采用石墨</w:t>
            </w:r>
            <w:r>
              <w:rPr>
                <w:color w:val="auto"/>
                <w:highlight w:val="none"/>
              </w:rPr>
              <w:t>/</w:t>
            </w:r>
            <w:r>
              <w:rPr>
                <w:rFonts w:hint="eastAsia"/>
                <w:color w:val="auto"/>
                <w:highlight w:val="none"/>
              </w:rPr>
              <w:t>陶瓷，底面采用碳化钨。</w:t>
            </w:r>
          </w:p>
          <w:p>
            <w:pPr>
              <w:rPr>
                <w:color w:val="auto"/>
                <w:highlight w:val="none"/>
              </w:rPr>
            </w:pPr>
            <w:r>
              <w:rPr>
                <w:rFonts w:hint="eastAsia"/>
                <w:color w:val="auto"/>
                <w:highlight w:val="none"/>
              </w:rPr>
              <w:t>（</w:t>
            </w:r>
            <w:r>
              <w:rPr>
                <w:color w:val="auto"/>
                <w:highlight w:val="none"/>
              </w:rPr>
              <w:t>5</w:t>
            </w:r>
            <w:r>
              <w:rPr>
                <w:rFonts w:hint="eastAsia"/>
                <w:color w:val="auto"/>
                <w:highlight w:val="none"/>
              </w:rPr>
              <w:t>）电机内置热过载或小型热保护器，为电机提供可靠有效的保护。</w:t>
            </w:r>
          </w:p>
          <w:p>
            <w:pPr>
              <w:rPr>
                <w:color w:val="auto"/>
                <w:highlight w:val="none"/>
              </w:rPr>
            </w:pPr>
            <w:r>
              <w:rPr>
                <w:rFonts w:hint="eastAsia"/>
                <w:color w:val="auto"/>
                <w:highlight w:val="none"/>
              </w:rPr>
              <w:t>（</w:t>
            </w:r>
            <w:r>
              <w:rPr>
                <w:color w:val="auto"/>
                <w:highlight w:val="none"/>
              </w:rPr>
              <w:t>6</w:t>
            </w:r>
            <w:r>
              <w:rPr>
                <w:rFonts w:hint="eastAsia"/>
                <w:color w:val="auto"/>
                <w:highlight w:val="none"/>
              </w:rPr>
              <w:t>）电机采用高效铜绕组电机，绝缘等级应为</w:t>
            </w:r>
            <w:r>
              <w:rPr>
                <w:color w:val="auto"/>
                <w:highlight w:val="none"/>
              </w:rPr>
              <w:t>F</w:t>
            </w:r>
            <w:r>
              <w:rPr>
                <w:rFonts w:hint="eastAsia"/>
                <w:color w:val="auto"/>
                <w:highlight w:val="none"/>
              </w:rPr>
              <w:t>级，防护等级应为</w:t>
            </w:r>
            <w:r>
              <w:rPr>
                <w:color w:val="auto"/>
                <w:highlight w:val="none"/>
              </w:rPr>
              <w:t>IP68</w:t>
            </w:r>
            <w:r>
              <w:rPr>
                <w:rFonts w:hint="eastAsia"/>
                <w:color w:val="auto"/>
                <w:highlight w:val="none"/>
              </w:rPr>
              <w:t>。</w:t>
            </w:r>
          </w:p>
          <w:p>
            <w:pPr>
              <w:rPr>
                <w:color w:val="auto"/>
                <w:highlight w:val="none"/>
              </w:rPr>
            </w:pPr>
            <w:r>
              <w:rPr>
                <w:rFonts w:hint="eastAsia"/>
                <w:color w:val="auto"/>
                <w:highlight w:val="none"/>
              </w:rPr>
              <w:t>电机绕组真空浸渍处理和环氧树脂密封。</w:t>
            </w:r>
          </w:p>
          <w:p>
            <w:pPr>
              <w:rPr>
                <w:color w:val="auto"/>
                <w:highlight w:val="none"/>
              </w:rPr>
            </w:pPr>
            <w:r>
              <w:rPr>
                <w:rFonts w:hint="eastAsia"/>
                <w:color w:val="auto"/>
                <w:highlight w:val="none"/>
              </w:rPr>
              <w:t>（</w:t>
            </w:r>
            <w:r>
              <w:rPr>
                <w:color w:val="auto"/>
                <w:highlight w:val="none"/>
              </w:rPr>
              <w:t>7</w:t>
            </w:r>
            <w:r>
              <w:rPr>
                <w:rFonts w:hint="eastAsia"/>
                <w:color w:val="auto"/>
                <w:highlight w:val="none"/>
              </w:rPr>
              <w:t>）电缆入口需经过独特的硫化处理，三重密封电缆入口，以保证完全防止进水。</w:t>
            </w:r>
          </w:p>
          <w:p>
            <w:pPr>
              <w:rPr>
                <w:color w:val="auto"/>
                <w:highlight w:val="none"/>
              </w:rPr>
            </w:pPr>
            <w:r>
              <w:rPr>
                <w:rFonts w:hint="eastAsia"/>
                <w:color w:val="auto"/>
                <w:highlight w:val="none"/>
              </w:rPr>
              <w:t>（</w:t>
            </w:r>
            <w:r>
              <w:rPr>
                <w:color w:val="auto"/>
                <w:highlight w:val="none"/>
              </w:rPr>
              <w:t>8</w:t>
            </w:r>
            <w:r>
              <w:rPr>
                <w:rFonts w:hint="eastAsia"/>
                <w:color w:val="auto"/>
                <w:highlight w:val="none"/>
              </w:rPr>
              <w:t>）电机的连线与绕组的绝缘应具有相同的绝缘等级，绝缘要能承受周围环境的影响。</w:t>
            </w:r>
          </w:p>
          <w:p>
            <w:pPr>
              <w:rPr>
                <w:color w:val="auto"/>
                <w:highlight w:val="none"/>
              </w:rPr>
            </w:pPr>
            <w:r>
              <w:rPr>
                <w:rFonts w:hint="eastAsia"/>
                <w:color w:val="auto"/>
                <w:highlight w:val="none"/>
              </w:rPr>
              <w:t>（</w:t>
            </w:r>
            <w:r>
              <w:rPr>
                <w:color w:val="auto"/>
                <w:highlight w:val="none"/>
              </w:rPr>
              <w:t>9</w:t>
            </w:r>
            <w:r>
              <w:rPr>
                <w:rFonts w:hint="eastAsia"/>
                <w:color w:val="auto"/>
                <w:highlight w:val="none"/>
              </w:rPr>
              <w:t>）控制要求：</w:t>
            </w:r>
          </w:p>
          <w:p>
            <w:pPr>
              <w:rPr>
                <w:color w:val="auto"/>
                <w:highlight w:val="none"/>
              </w:rPr>
            </w:pPr>
            <w:r>
              <w:rPr>
                <w:color w:val="auto"/>
                <w:highlight w:val="none"/>
              </w:rPr>
              <w:t>1</w:t>
            </w:r>
            <w:r>
              <w:rPr>
                <w:rFonts w:hint="eastAsia"/>
                <w:color w:val="auto"/>
                <w:highlight w:val="none"/>
              </w:rPr>
              <w:t>）</w:t>
            </w:r>
            <w:r>
              <w:rPr>
                <w:color w:val="auto"/>
                <w:highlight w:val="none"/>
              </w:rPr>
              <w:t xml:space="preserve"> </w:t>
            </w:r>
            <w:r>
              <w:rPr>
                <w:rFonts w:hint="eastAsia"/>
                <w:color w:val="auto"/>
                <w:highlight w:val="none"/>
              </w:rPr>
              <w:t>柜体用</w:t>
            </w:r>
            <w:r>
              <w:rPr>
                <w:color w:val="auto"/>
                <w:highlight w:val="none"/>
              </w:rPr>
              <w:t>1.2mm</w:t>
            </w:r>
            <w:r>
              <w:rPr>
                <w:rFonts w:hint="eastAsia"/>
                <w:color w:val="auto"/>
                <w:highlight w:val="none"/>
              </w:rPr>
              <w:t>厚以上覆铝锌板制作。当并排安装于同一房间时，柜体外形尺寸、色泽需保持一致。</w:t>
            </w:r>
          </w:p>
          <w:p>
            <w:pPr>
              <w:rPr>
                <w:color w:val="auto"/>
                <w:highlight w:val="none"/>
              </w:rPr>
            </w:pPr>
            <w:r>
              <w:rPr>
                <w:color w:val="auto"/>
                <w:highlight w:val="none"/>
              </w:rPr>
              <w:t>2</w:t>
            </w:r>
            <w:r>
              <w:rPr>
                <w:rFonts w:hint="eastAsia"/>
                <w:color w:val="auto"/>
                <w:highlight w:val="none"/>
              </w:rPr>
              <w:t>）空气开关、交流接触器、热继电器等主要电气元件采用知名品牌产品（西门子、</w:t>
            </w:r>
            <w:r>
              <w:rPr>
                <w:color w:val="auto"/>
                <w:highlight w:val="none"/>
              </w:rPr>
              <w:t>ABB</w:t>
            </w:r>
            <w:r>
              <w:rPr>
                <w:rFonts w:hint="eastAsia"/>
                <w:color w:val="auto"/>
                <w:highlight w:val="none"/>
              </w:rPr>
              <w:t>、施耐德、</w:t>
            </w:r>
            <w:r>
              <w:rPr>
                <w:color w:val="auto"/>
                <w:highlight w:val="none"/>
              </w:rPr>
              <w:t>GE</w:t>
            </w:r>
            <w:r>
              <w:rPr>
                <w:rFonts w:hint="eastAsia"/>
                <w:color w:val="auto"/>
                <w:highlight w:val="none"/>
              </w:rPr>
              <w:t>、海格、</w:t>
            </w:r>
            <w:r>
              <w:rPr>
                <w:color w:val="auto"/>
                <w:highlight w:val="none"/>
              </w:rPr>
              <w:t>AEG</w:t>
            </w:r>
            <w:r>
              <w:rPr>
                <w:rFonts w:hint="eastAsia"/>
                <w:color w:val="auto"/>
                <w:highlight w:val="none"/>
              </w:rPr>
              <w:t>或同等档次）。</w:t>
            </w:r>
          </w:p>
          <w:p>
            <w:pPr>
              <w:rPr>
                <w:color w:val="auto"/>
                <w:highlight w:val="none"/>
              </w:rPr>
            </w:pPr>
            <w:r>
              <w:rPr>
                <w:color w:val="auto"/>
                <w:highlight w:val="none"/>
              </w:rPr>
              <w:t>3</w:t>
            </w:r>
            <w:r>
              <w:rPr>
                <w:rFonts w:hint="eastAsia"/>
                <w:color w:val="auto"/>
                <w:highlight w:val="none"/>
              </w:rPr>
              <w:t>）根据设计要求配置液位控制系统，高水位发出报警信号。</w:t>
            </w:r>
          </w:p>
          <w:p>
            <w:pPr>
              <w:rPr>
                <w:color w:val="auto"/>
                <w:highlight w:val="none"/>
              </w:rPr>
            </w:pPr>
            <w:r>
              <w:rPr>
                <w:color w:val="auto"/>
                <w:highlight w:val="none"/>
              </w:rPr>
              <w:t>4</w:t>
            </w:r>
            <w:r>
              <w:rPr>
                <w:rFonts w:hint="eastAsia"/>
                <w:color w:val="auto"/>
                <w:highlight w:val="none"/>
              </w:rPr>
              <w:t>）实现水泵自动交替运行</w:t>
            </w:r>
            <w:r>
              <w:rPr>
                <w:color w:val="auto"/>
                <w:highlight w:val="none"/>
              </w:rPr>
              <w:t>,</w:t>
            </w:r>
            <w:r>
              <w:rPr>
                <w:rFonts w:hint="eastAsia"/>
                <w:color w:val="auto"/>
                <w:highlight w:val="none"/>
              </w:rPr>
              <w:t>保证各水泵运行时间相同。</w:t>
            </w:r>
          </w:p>
          <w:p>
            <w:pPr>
              <w:rPr>
                <w:color w:val="auto"/>
                <w:highlight w:val="none"/>
              </w:rPr>
            </w:pPr>
            <w:r>
              <w:rPr>
                <w:color w:val="auto"/>
                <w:highlight w:val="none"/>
              </w:rPr>
              <w:t>5</w:t>
            </w:r>
            <w:r>
              <w:rPr>
                <w:rFonts w:hint="eastAsia"/>
                <w:color w:val="auto"/>
                <w:highlight w:val="none"/>
              </w:rPr>
              <w:t>）具有手动操作功能</w:t>
            </w:r>
            <w:r>
              <w:rPr>
                <w:color w:val="auto"/>
                <w:highlight w:val="none"/>
              </w:rPr>
              <w:t>,</w:t>
            </w:r>
            <w:r>
              <w:rPr>
                <w:rFonts w:hint="eastAsia"/>
                <w:color w:val="auto"/>
                <w:highlight w:val="none"/>
              </w:rPr>
              <w:t>允许对单个水泵进行调试。</w:t>
            </w:r>
          </w:p>
          <w:p>
            <w:pPr>
              <w:rPr>
                <w:color w:val="auto"/>
                <w:highlight w:val="none"/>
              </w:rPr>
            </w:pPr>
            <w:r>
              <w:rPr>
                <w:color w:val="auto"/>
                <w:highlight w:val="none"/>
              </w:rPr>
              <w:t>6</w:t>
            </w:r>
            <w:r>
              <w:rPr>
                <w:rFonts w:hint="eastAsia"/>
                <w:color w:val="auto"/>
                <w:highlight w:val="none"/>
              </w:rPr>
              <w:t>）应实现完全无人值守，自动运行。</w:t>
            </w:r>
          </w:p>
          <w:p>
            <w:pPr>
              <w:rPr>
                <w:color w:val="auto"/>
                <w:highlight w:val="none"/>
              </w:rPr>
            </w:pPr>
            <w:r>
              <w:rPr>
                <w:color w:val="auto"/>
                <w:highlight w:val="none"/>
              </w:rPr>
              <w:t>7</w:t>
            </w:r>
            <w:r>
              <w:rPr>
                <w:rFonts w:hint="eastAsia"/>
                <w:color w:val="auto"/>
                <w:highlight w:val="none"/>
              </w:rPr>
              <w:t>）预留</w:t>
            </w:r>
            <w:r>
              <w:rPr>
                <w:color w:val="auto"/>
                <w:highlight w:val="none"/>
              </w:rPr>
              <w:t>BA</w:t>
            </w:r>
            <w:r>
              <w:rPr>
                <w:rFonts w:hint="eastAsia"/>
                <w:color w:val="auto"/>
                <w:highlight w:val="none"/>
              </w:rPr>
              <w:t>系统的通讯接口，通讯接口和通讯协议要无条件符合</w:t>
            </w:r>
            <w:r>
              <w:rPr>
                <w:color w:val="auto"/>
                <w:highlight w:val="none"/>
              </w:rPr>
              <w:t>BA</w:t>
            </w:r>
            <w:r>
              <w:rPr>
                <w:rFonts w:hint="eastAsia"/>
                <w:color w:val="auto"/>
                <w:highlight w:val="none"/>
              </w:rPr>
              <w:t>系统的要求并配合相关调试。</w:t>
            </w:r>
          </w:p>
          <w:p>
            <w:pPr>
              <w:rPr>
                <w:color w:val="auto"/>
                <w:highlight w:val="none"/>
              </w:rPr>
            </w:pPr>
          </w:p>
        </w:tc>
        <w:tc>
          <w:tcPr>
            <w:tcW w:w="567" w:type="dxa"/>
            <w:noWrap w:val="0"/>
            <w:vAlign w:val="center"/>
          </w:tcPr>
          <w:p>
            <w:pPr>
              <w:rPr>
                <w:color w:val="auto"/>
                <w:highlight w:val="none"/>
              </w:rPr>
            </w:pPr>
          </w:p>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3" w:type="dxa"/>
            <w:noWrap w:val="0"/>
            <w:vAlign w:val="center"/>
          </w:tcPr>
          <w:p>
            <w:pPr>
              <w:rPr>
                <w:color w:val="auto"/>
                <w:highlight w:val="none"/>
              </w:rPr>
            </w:pPr>
            <w:r>
              <w:rPr>
                <w:color w:val="auto"/>
                <w:highlight w:val="none"/>
              </w:rPr>
              <w:t>19.</w:t>
            </w:r>
          </w:p>
        </w:tc>
        <w:tc>
          <w:tcPr>
            <w:tcW w:w="966" w:type="dxa"/>
            <w:noWrap w:val="0"/>
            <w:vAlign w:val="center"/>
          </w:tcPr>
          <w:p>
            <w:pPr>
              <w:rPr>
                <w:color w:val="auto"/>
                <w:highlight w:val="none"/>
              </w:rPr>
            </w:pPr>
            <w:r>
              <w:rPr>
                <w:rFonts w:hint="eastAsia"/>
                <w:color w:val="auto"/>
                <w:highlight w:val="none"/>
              </w:rPr>
              <w:t>雨水回收利用系统</w:t>
            </w:r>
          </w:p>
          <w:p>
            <w:pPr>
              <w:rPr>
                <w:color w:val="auto"/>
                <w:highlight w:val="none"/>
              </w:rPr>
            </w:pPr>
          </w:p>
        </w:tc>
        <w:tc>
          <w:tcPr>
            <w:tcW w:w="6589" w:type="dxa"/>
            <w:noWrap w:val="0"/>
            <w:vAlign w:val="top"/>
          </w:tcPr>
          <w:p>
            <w:pPr>
              <w:rPr>
                <w:color w:val="auto"/>
                <w:highlight w:val="none"/>
              </w:rPr>
            </w:pPr>
            <w:r>
              <w:rPr>
                <w:color w:val="auto"/>
                <w:highlight w:val="none"/>
              </w:rPr>
              <w:t>1.</w:t>
            </w:r>
            <w:r>
              <w:rPr>
                <w:rFonts w:hint="eastAsia"/>
                <w:color w:val="auto"/>
                <w:highlight w:val="none"/>
              </w:rPr>
              <w:t>一般要求：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）承包人应委托雨水收集处理的专业公司进行深化设计和施工。</w:t>
            </w:r>
          </w:p>
          <w:p>
            <w:pPr>
              <w:rPr>
                <w:color w:val="auto"/>
                <w:highlight w:val="none"/>
              </w:rPr>
            </w:pPr>
            <w:r>
              <w:rPr>
                <w:rFonts w:hint="eastAsia"/>
                <w:color w:val="auto"/>
                <w:highlight w:val="none"/>
              </w:rPr>
              <w:t>（</w:t>
            </w:r>
            <w:r>
              <w:rPr>
                <w:color w:val="auto"/>
                <w:highlight w:val="none"/>
              </w:rPr>
              <w:t>2</w:t>
            </w:r>
            <w:r>
              <w:rPr>
                <w:rFonts w:hint="eastAsia"/>
                <w:color w:val="auto"/>
                <w:highlight w:val="none"/>
              </w:rPr>
              <w:t>）专业公司注册资金不少于人民币</w:t>
            </w:r>
            <w:r>
              <w:rPr>
                <w:color w:val="auto"/>
                <w:highlight w:val="none"/>
              </w:rPr>
              <w:t>500</w:t>
            </w:r>
            <w:r>
              <w:rPr>
                <w:rFonts w:hint="eastAsia"/>
                <w:color w:val="auto"/>
                <w:highlight w:val="none"/>
              </w:rPr>
              <w:t>万元。</w:t>
            </w:r>
          </w:p>
          <w:p>
            <w:pPr>
              <w:rPr>
                <w:color w:val="auto"/>
                <w:highlight w:val="none"/>
              </w:rPr>
            </w:pPr>
            <w:r>
              <w:rPr>
                <w:rFonts w:hint="eastAsia"/>
                <w:color w:val="auto"/>
                <w:highlight w:val="none"/>
              </w:rPr>
              <w:t>（</w:t>
            </w:r>
            <w:r>
              <w:rPr>
                <w:color w:val="auto"/>
                <w:highlight w:val="none"/>
              </w:rPr>
              <w:t>3</w:t>
            </w:r>
            <w:r>
              <w:rPr>
                <w:rFonts w:hint="eastAsia"/>
                <w:color w:val="auto"/>
                <w:highlight w:val="none"/>
              </w:rPr>
              <w:t>）专业公司应至少完成一个类似工艺流程的雨水收集回用工程实例，以上实例须提供合同、竣工验收证明复印件</w:t>
            </w:r>
            <w:r>
              <w:rPr>
                <w:color w:val="auto"/>
                <w:highlight w:val="none"/>
              </w:rPr>
              <w:t>(</w:t>
            </w:r>
            <w:r>
              <w:rPr>
                <w:rFonts w:hint="eastAsia"/>
                <w:color w:val="auto"/>
                <w:highlight w:val="none"/>
              </w:rPr>
              <w:t>加盖公章</w:t>
            </w:r>
            <w:r>
              <w:rPr>
                <w:color w:val="auto"/>
                <w:highlight w:val="none"/>
              </w:rPr>
              <w:t>)</w:t>
            </w:r>
            <w:r>
              <w:rPr>
                <w:rFonts w:hint="eastAsia"/>
                <w:color w:val="auto"/>
                <w:highlight w:val="none"/>
              </w:rPr>
              <w:t>。</w:t>
            </w:r>
          </w:p>
          <w:p>
            <w:pPr>
              <w:rPr>
                <w:color w:val="auto"/>
                <w:highlight w:val="none"/>
              </w:rPr>
            </w:pPr>
            <w:r>
              <w:rPr>
                <w:rFonts w:hint="eastAsia"/>
                <w:color w:val="auto"/>
                <w:highlight w:val="none"/>
              </w:rPr>
              <w:t>（</w:t>
            </w:r>
            <w:r>
              <w:rPr>
                <w:color w:val="auto"/>
                <w:highlight w:val="none"/>
              </w:rPr>
              <w:t>4</w:t>
            </w:r>
            <w:r>
              <w:rPr>
                <w:rFonts w:hint="eastAsia"/>
                <w:color w:val="auto"/>
                <w:highlight w:val="none"/>
              </w:rPr>
              <w:t>）专业公司必须在深圳地区设有常驻的维修机构。</w:t>
            </w:r>
          </w:p>
          <w:p>
            <w:pPr>
              <w:rPr>
                <w:color w:val="auto"/>
                <w:highlight w:val="none"/>
              </w:rPr>
            </w:pPr>
          </w:p>
          <w:p>
            <w:pPr>
              <w:rPr>
                <w:color w:val="auto"/>
                <w:highlight w:val="none"/>
              </w:rPr>
            </w:pPr>
            <w:r>
              <w:rPr>
                <w:color w:val="auto"/>
                <w:highlight w:val="none"/>
              </w:rPr>
              <w:t>2.</w:t>
            </w:r>
            <w:r>
              <w:rPr>
                <w:rFonts w:hint="eastAsia"/>
                <w:color w:val="auto"/>
                <w:highlight w:val="none"/>
              </w:rPr>
              <w:t>系统要求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）完成设计院设计图纸和本招标文件要求的雨水回收利用系统的深化设计（须经设计院、建设单位审批认可）、设备材料采购、施工安装、调试、试运行、验收、人员培训、售后服务等内容。</w:t>
            </w:r>
          </w:p>
          <w:p>
            <w:pPr>
              <w:rPr>
                <w:color w:val="auto"/>
                <w:highlight w:val="none"/>
              </w:rPr>
            </w:pPr>
            <w:r>
              <w:rPr>
                <w:rFonts w:hint="eastAsia"/>
                <w:color w:val="auto"/>
                <w:highlight w:val="none"/>
              </w:rPr>
              <w:t>（</w:t>
            </w:r>
            <w:r>
              <w:rPr>
                <w:color w:val="auto"/>
                <w:highlight w:val="none"/>
              </w:rPr>
              <w:t>2</w:t>
            </w:r>
            <w:r>
              <w:rPr>
                <w:rFonts w:hint="eastAsia"/>
                <w:color w:val="auto"/>
                <w:highlight w:val="none"/>
              </w:rPr>
              <w:t>）收集雨水处理后回用于绿化洒水、道路冲洗，水质须满足《城市污水再生利用城市杂用水水质》（</w:t>
            </w:r>
            <w:r>
              <w:rPr>
                <w:color w:val="auto"/>
                <w:highlight w:val="none"/>
              </w:rPr>
              <w:t>GB</w:t>
            </w:r>
            <w:r>
              <w:rPr>
                <w:rFonts w:hint="eastAsia"/>
                <w:color w:val="auto"/>
                <w:highlight w:val="none"/>
              </w:rPr>
              <w:t>／</w:t>
            </w:r>
            <w:r>
              <w:rPr>
                <w:color w:val="auto"/>
                <w:highlight w:val="none"/>
              </w:rPr>
              <w:t>T18920</w:t>
            </w:r>
            <w:r>
              <w:rPr>
                <w:rFonts w:hint="eastAsia"/>
                <w:color w:val="auto"/>
                <w:highlight w:val="none"/>
              </w:rPr>
              <w:t>－</w:t>
            </w:r>
            <w:r>
              <w:rPr>
                <w:color w:val="auto"/>
                <w:highlight w:val="none"/>
              </w:rPr>
              <w:t>2002</w:t>
            </w:r>
            <w:r>
              <w:rPr>
                <w:rFonts w:hint="eastAsia"/>
                <w:color w:val="auto"/>
                <w:highlight w:val="none"/>
              </w:rPr>
              <w:t>）和《城市污水再生利用城市景观环境用水水质》（</w:t>
            </w:r>
            <w:r>
              <w:rPr>
                <w:color w:val="auto"/>
                <w:highlight w:val="none"/>
              </w:rPr>
              <w:t>GB/T18921—2002</w:t>
            </w:r>
            <w:r>
              <w:rPr>
                <w:rFonts w:hint="eastAsia"/>
                <w:color w:val="auto"/>
                <w:highlight w:val="none"/>
              </w:rPr>
              <w:t>）的要求。（根据项目情况调整）</w:t>
            </w:r>
          </w:p>
          <w:p>
            <w:pPr>
              <w:rPr>
                <w:color w:val="auto"/>
                <w:highlight w:val="none"/>
              </w:rPr>
            </w:pPr>
            <w:r>
              <w:rPr>
                <w:rFonts w:hint="eastAsia"/>
                <w:color w:val="auto"/>
                <w:highlight w:val="none"/>
              </w:rPr>
              <w:t>（</w:t>
            </w:r>
            <w:r>
              <w:rPr>
                <w:color w:val="auto"/>
                <w:highlight w:val="none"/>
              </w:rPr>
              <w:t>3</w:t>
            </w:r>
            <w:r>
              <w:rPr>
                <w:rFonts w:hint="eastAsia"/>
                <w:color w:val="auto"/>
                <w:highlight w:val="none"/>
              </w:rPr>
              <w:t>）根据设计院设计图纸中雨水回收利用工艺流程进行深化设计。</w:t>
            </w:r>
          </w:p>
          <w:p>
            <w:pPr>
              <w:rPr>
                <w:color w:val="auto"/>
                <w:highlight w:val="none"/>
              </w:rPr>
            </w:pPr>
            <w:r>
              <w:rPr>
                <w:rFonts w:hint="eastAsia"/>
                <w:color w:val="auto"/>
                <w:highlight w:val="none"/>
              </w:rPr>
              <w:t>（</w:t>
            </w:r>
            <w:r>
              <w:rPr>
                <w:color w:val="auto"/>
                <w:highlight w:val="none"/>
              </w:rPr>
              <w:t>4</w:t>
            </w:r>
            <w:r>
              <w:rPr>
                <w:rFonts w:hint="eastAsia"/>
                <w:color w:val="auto"/>
                <w:highlight w:val="none"/>
              </w:rPr>
              <w:t>）本系统除相关构筑物外主要包括雨水弃流收集装置、雨水收集池提升泵、过滤砂缸、雨水回用加压水泵（变频调速）、混凝和消毒投药装置、紫外线消毒器、连接管道、阀门、供电和控制系统及其它辅助设施。（根据项目处理工艺情况调整）</w:t>
            </w:r>
          </w:p>
          <w:p>
            <w:pPr>
              <w:rPr>
                <w:color w:val="auto"/>
                <w:highlight w:val="none"/>
              </w:rPr>
            </w:pPr>
            <w:r>
              <w:rPr>
                <w:rFonts w:hint="eastAsia"/>
                <w:color w:val="auto"/>
                <w:highlight w:val="none"/>
              </w:rPr>
              <w:t>（</w:t>
            </w:r>
            <w:r>
              <w:rPr>
                <w:color w:val="auto"/>
                <w:highlight w:val="none"/>
              </w:rPr>
              <w:t>5</w:t>
            </w:r>
            <w:r>
              <w:rPr>
                <w:rFonts w:hint="eastAsia"/>
                <w:color w:val="auto"/>
                <w:highlight w:val="none"/>
              </w:rPr>
              <w:t>）系统应满足安全、经济、适用、美观的要求，选用的设备性能可靠，噪声符合国家有关环保标准。</w:t>
            </w:r>
          </w:p>
          <w:p>
            <w:pPr>
              <w:rPr>
                <w:color w:val="auto"/>
                <w:highlight w:val="none"/>
              </w:rPr>
            </w:pPr>
            <w:r>
              <w:rPr>
                <w:rFonts w:hint="eastAsia"/>
                <w:color w:val="auto"/>
                <w:highlight w:val="none"/>
              </w:rPr>
              <w:t>（</w:t>
            </w:r>
            <w:r>
              <w:rPr>
                <w:color w:val="auto"/>
                <w:highlight w:val="none"/>
              </w:rPr>
              <w:t>6</w:t>
            </w:r>
            <w:r>
              <w:rPr>
                <w:rFonts w:hint="eastAsia"/>
                <w:color w:val="auto"/>
                <w:highlight w:val="none"/>
              </w:rPr>
              <w:t>）必须保证选用产品的尺寸、结构形式等满足本项目安装及维护要求。</w:t>
            </w:r>
          </w:p>
          <w:p>
            <w:pPr>
              <w:rPr>
                <w:color w:val="auto"/>
                <w:highlight w:val="none"/>
              </w:rPr>
            </w:pPr>
            <w:r>
              <w:rPr>
                <w:rFonts w:hint="eastAsia"/>
                <w:color w:val="auto"/>
                <w:highlight w:val="none"/>
              </w:rPr>
              <w:t>（</w:t>
            </w:r>
            <w:r>
              <w:rPr>
                <w:color w:val="auto"/>
                <w:highlight w:val="none"/>
              </w:rPr>
              <w:t>7</w:t>
            </w:r>
            <w:r>
              <w:rPr>
                <w:rFonts w:hint="eastAsia"/>
                <w:color w:val="auto"/>
                <w:highlight w:val="none"/>
              </w:rPr>
              <w:t>）清水池存水长时间不用水质会变坏，深化设计时应考虑相应的循环处理措施。</w:t>
            </w:r>
          </w:p>
          <w:p>
            <w:pPr>
              <w:rPr>
                <w:color w:val="auto"/>
                <w:highlight w:val="none"/>
              </w:rPr>
            </w:pPr>
            <w:r>
              <w:rPr>
                <w:rFonts w:hint="eastAsia"/>
                <w:color w:val="auto"/>
                <w:highlight w:val="none"/>
              </w:rPr>
              <w:t>（</w:t>
            </w:r>
            <w:r>
              <w:rPr>
                <w:color w:val="auto"/>
                <w:highlight w:val="none"/>
              </w:rPr>
              <w:t>8</w:t>
            </w:r>
            <w:r>
              <w:rPr>
                <w:rFonts w:hint="eastAsia"/>
                <w:color w:val="auto"/>
                <w:highlight w:val="none"/>
              </w:rPr>
              <w:t>）本系统应能全自动运行和控制。</w:t>
            </w:r>
          </w:p>
          <w:p>
            <w:pPr>
              <w:rPr>
                <w:color w:val="auto"/>
                <w:highlight w:val="none"/>
              </w:rPr>
            </w:pPr>
            <w:r>
              <w:rPr>
                <w:rFonts w:hint="eastAsia"/>
                <w:color w:val="auto"/>
                <w:highlight w:val="none"/>
              </w:rPr>
              <w:t>（</w:t>
            </w:r>
            <w:r>
              <w:rPr>
                <w:color w:val="auto"/>
                <w:highlight w:val="none"/>
              </w:rPr>
              <w:t>9</w:t>
            </w:r>
            <w:r>
              <w:rPr>
                <w:rFonts w:hint="eastAsia"/>
                <w:color w:val="auto"/>
                <w:highlight w:val="none"/>
              </w:rPr>
              <w:t>）雨水回用设备间内应设置配制药剂、洗手、冲洗地面等用途的用水管道。</w:t>
            </w:r>
          </w:p>
          <w:p>
            <w:pPr>
              <w:rPr>
                <w:color w:val="auto"/>
                <w:highlight w:val="none"/>
              </w:rPr>
            </w:pPr>
            <w:r>
              <w:rPr>
                <w:rFonts w:hint="eastAsia"/>
                <w:color w:val="auto"/>
                <w:highlight w:val="none"/>
              </w:rPr>
              <w:t>（</w:t>
            </w:r>
            <w:r>
              <w:rPr>
                <w:color w:val="auto"/>
                <w:highlight w:val="none"/>
              </w:rPr>
              <w:t>10</w:t>
            </w:r>
            <w:r>
              <w:rPr>
                <w:rFonts w:hint="eastAsia"/>
                <w:color w:val="auto"/>
                <w:highlight w:val="none"/>
              </w:rPr>
              <w:t>）应配备常规水质检测项目的检测仪器。</w:t>
            </w:r>
          </w:p>
          <w:p>
            <w:pPr>
              <w:rPr>
                <w:color w:val="auto"/>
                <w:highlight w:val="none"/>
              </w:rPr>
            </w:pPr>
          </w:p>
          <w:p>
            <w:pPr>
              <w:rPr>
                <w:color w:val="auto"/>
                <w:highlight w:val="none"/>
              </w:rPr>
            </w:pPr>
            <w:r>
              <w:rPr>
                <w:color w:val="auto"/>
                <w:highlight w:val="none"/>
              </w:rPr>
              <w:t>3.</w:t>
            </w:r>
            <w:r>
              <w:rPr>
                <w:rFonts w:hint="eastAsia"/>
                <w:color w:val="auto"/>
                <w:highlight w:val="none"/>
              </w:rPr>
              <w:t>过滤砂缸（按设计调整）</w:t>
            </w:r>
          </w:p>
          <w:p>
            <w:pPr>
              <w:rPr>
                <w:color w:val="auto"/>
                <w:highlight w:val="none"/>
              </w:rPr>
            </w:pPr>
            <w:r>
              <w:rPr>
                <w:rFonts w:hint="eastAsia"/>
                <w:color w:val="auto"/>
                <w:highlight w:val="none"/>
              </w:rPr>
              <w:t>（</w:t>
            </w:r>
            <w:r>
              <w:rPr>
                <w:color w:val="auto"/>
                <w:highlight w:val="none"/>
              </w:rPr>
              <w:t>1</w:t>
            </w:r>
            <w:r>
              <w:rPr>
                <w:rFonts w:hint="eastAsia"/>
                <w:color w:val="auto"/>
                <w:highlight w:val="none"/>
              </w:rPr>
              <w:t>）产品规格、处理能力、耐压等级应满足设计要求。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）制造商必须通过</w:t>
            </w:r>
            <w:r>
              <w:rPr>
                <w:color w:val="auto"/>
                <w:highlight w:val="none"/>
              </w:rPr>
              <w:t>ISO9001</w:t>
            </w:r>
            <w:r>
              <w:rPr>
                <w:rFonts w:hint="eastAsia"/>
                <w:color w:val="auto"/>
                <w:highlight w:val="none"/>
              </w:rPr>
              <w:t>质量体系认证，并提供相关的检测报告和类似工程的使用验收证明。</w:t>
            </w:r>
          </w:p>
          <w:p>
            <w:pPr>
              <w:rPr>
                <w:color w:val="auto"/>
                <w:highlight w:val="none"/>
              </w:rPr>
            </w:pPr>
            <w:r>
              <w:rPr>
                <w:rFonts w:hint="eastAsia"/>
                <w:color w:val="auto"/>
                <w:highlight w:val="none"/>
              </w:rPr>
              <w:t>（</w:t>
            </w:r>
            <w:r>
              <w:rPr>
                <w:color w:val="auto"/>
                <w:highlight w:val="none"/>
              </w:rPr>
              <w:t>3</w:t>
            </w:r>
            <w:r>
              <w:rPr>
                <w:rFonts w:hint="eastAsia"/>
                <w:color w:val="auto"/>
                <w:highlight w:val="none"/>
              </w:rPr>
              <w:t>）外壳采用缠绕式聚脂玻璃纤维材质，喷涂环氧树脂漆。应耐腐蚀，结构坚固，不易磨损。</w:t>
            </w:r>
          </w:p>
          <w:p>
            <w:pPr>
              <w:rPr>
                <w:color w:val="auto"/>
                <w:highlight w:val="none"/>
              </w:rPr>
            </w:pPr>
            <w:r>
              <w:rPr>
                <w:rFonts w:hint="eastAsia"/>
                <w:color w:val="auto"/>
                <w:highlight w:val="none"/>
              </w:rPr>
              <w:t>（</w:t>
            </w:r>
            <w:r>
              <w:rPr>
                <w:color w:val="auto"/>
                <w:highlight w:val="none"/>
              </w:rPr>
              <w:t>4</w:t>
            </w:r>
            <w:r>
              <w:rPr>
                <w:rFonts w:hint="eastAsia"/>
                <w:color w:val="auto"/>
                <w:highlight w:val="none"/>
              </w:rPr>
              <w:t>）过滤器介质采用均质石英砂。</w:t>
            </w:r>
          </w:p>
          <w:p>
            <w:pPr>
              <w:rPr>
                <w:color w:val="auto"/>
                <w:highlight w:val="none"/>
              </w:rPr>
            </w:pPr>
            <w:r>
              <w:rPr>
                <w:rFonts w:hint="eastAsia"/>
                <w:color w:val="auto"/>
                <w:highlight w:val="none"/>
              </w:rPr>
              <w:t>（</w:t>
            </w:r>
            <w:r>
              <w:rPr>
                <w:color w:val="auto"/>
                <w:highlight w:val="none"/>
              </w:rPr>
              <w:t>5</w:t>
            </w:r>
            <w:r>
              <w:rPr>
                <w:rFonts w:hint="eastAsia"/>
                <w:color w:val="auto"/>
                <w:highlight w:val="none"/>
              </w:rPr>
              <w:t>）具有反冲洗功能，配置进出水管，检修孔，差压管，观察孔等附件。</w:t>
            </w:r>
          </w:p>
          <w:p>
            <w:pPr>
              <w:rPr>
                <w:color w:val="auto"/>
                <w:highlight w:val="none"/>
              </w:rPr>
            </w:pPr>
            <w:r>
              <w:rPr>
                <w:rFonts w:hint="eastAsia"/>
                <w:color w:val="auto"/>
                <w:highlight w:val="none"/>
              </w:rPr>
              <w:t>（</w:t>
            </w:r>
            <w:r>
              <w:rPr>
                <w:color w:val="auto"/>
                <w:highlight w:val="none"/>
              </w:rPr>
              <w:t>6</w:t>
            </w:r>
            <w:r>
              <w:rPr>
                <w:rFonts w:hint="eastAsia"/>
                <w:color w:val="auto"/>
                <w:highlight w:val="none"/>
              </w:rPr>
              <w:t>）布水系统采用不锈钢</w:t>
            </w:r>
            <w:r>
              <w:rPr>
                <w:color w:val="auto"/>
                <w:highlight w:val="none"/>
              </w:rPr>
              <w:t>316L</w:t>
            </w:r>
            <w:r>
              <w:rPr>
                <w:rFonts w:hint="eastAsia"/>
                <w:color w:val="auto"/>
                <w:highlight w:val="none"/>
              </w:rPr>
              <w:t>或</w:t>
            </w:r>
            <w:r>
              <w:rPr>
                <w:color w:val="auto"/>
                <w:highlight w:val="none"/>
              </w:rPr>
              <w:t>ABS</w:t>
            </w:r>
            <w:r>
              <w:rPr>
                <w:rFonts w:hint="eastAsia"/>
                <w:color w:val="auto"/>
                <w:highlight w:val="none"/>
              </w:rPr>
              <w:t>材质，硬性支撑（无悬臂），不破坏砂层表面。</w:t>
            </w:r>
          </w:p>
          <w:p>
            <w:pPr>
              <w:rPr>
                <w:color w:val="auto"/>
                <w:highlight w:val="none"/>
              </w:rPr>
            </w:pPr>
            <w:r>
              <w:rPr>
                <w:rFonts w:hint="eastAsia"/>
                <w:color w:val="auto"/>
                <w:highlight w:val="none"/>
              </w:rPr>
              <w:t>（</w:t>
            </w:r>
            <w:r>
              <w:rPr>
                <w:color w:val="auto"/>
                <w:highlight w:val="none"/>
              </w:rPr>
              <w:t>7</w:t>
            </w:r>
            <w:r>
              <w:rPr>
                <w:rFonts w:hint="eastAsia"/>
                <w:color w:val="auto"/>
                <w:highlight w:val="none"/>
              </w:rPr>
              <w:t>）集水（反冲配水）系统采用不锈钢</w:t>
            </w:r>
            <w:r>
              <w:rPr>
                <w:color w:val="auto"/>
                <w:highlight w:val="none"/>
              </w:rPr>
              <w:t>316L</w:t>
            </w:r>
            <w:r>
              <w:rPr>
                <w:rFonts w:hint="eastAsia"/>
                <w:color w:val="auto"/>
                <w:highlight w:val="none"/>
              </w:rPr>
              <w:t>或</w:t>
            </w:r>
            <w:r>
              <w:rPr>
                <w:color w:val="auto"/>
                <w:highlight w:val="none"/>
              </w:rPr>
              <w:t>ABS</w:t>
            </w:r>
            <w:r>
              <w:rPr>
                <w:rFonts w:hint="eastAsia"/>
                <w:color w:val="auto"/>
                <w:highlight w:val="none"/>
              </w:rPr>
              <w:t>材质，长圆形孔隙配水支管，孔隙规格≤</w:t>
            </w:r>
            <w:r>
              <w:rPr>
                <w:color w:val="auto"/>
                <w:highlight w:val="none"/>
              </w:rPr>
              <w:t>0.3mm</w:t>
            </w:r>
            <w:r>
              <w:rPr>
                <w:rFonts w:hint="eastAsia"/>
                <w:color w:val="auto"/>
                <w:highlight w:val="none"/>
              </w:rPr>
              <w:t>，均匀分布。</w:t>
            </w:r>
          </w:p>
          <w:p>
            <w:pPr>
              <w:rPr>
                <w:color w:val="auto"/>
                <w:highlight w:val="none"/>
              </w:rPr>
            </w:pPr>
            <w:r>
              <w:rPr>
                <w:rFonts w:hint="eastAsia"/>
                <w:color w:val="auto"/>
                <w:highlight w:val="none"/>
              </w:rPr>
              <w:t>（</w:t>
            </w:r>
            <w:r>
              <w:rPr>
                <w:color w:val="auto"/>
                <w:highlight w:val="none"/>
              </w:rPr>
              <w:t>8</w:t>
            </w:r>
            <w:r>
              <w:rPr>
                <w:rFonts w:hint="eastAsia"/>
                <w:color w:val="auto"/>
                <w:highlight w:val="none"/>
              </w:rPr>
              <w:t>）布水和集水系统应可平均分布和收集水，并在水反冲中平均分布反冲水，以完全激活砂层。</w:t>
            </w:r>
          </w:p>
          <w:p>
            <w:pPr>
              <w:rPr>
                <w:color w:val="auto"/>
                <w:highlight w:val="none"/>
              </w:rPr>
            </w:pPr>
          </w:p>
          <w:p>
            <w:pPr>
              <w:rPr>
                <w:color w:val="auto"/>
                <w:highlight w:val="none"/>
              </w:rPr>
            </w:pPr>
            <w:r>
              <w:rPr>
                <w:color w:val="auto"/>
                <w:highlight w:val="none"/>
              </w:rPr>
              <w:t>4.</w:t>
            </w:r>
            <w:r>
              <w:rPr>
                <w:rFonts w:hint="eastAsia"/>
                <w:color w:val="auto"/>
                <w:highlight w:val="none"/>
              </w:rPr>
              <w:t>水泵</w:t>
            </w:r>
          </w:p>
          <w:p>
            <w:pPr>
              <w:rPr>
                <w:color w:val="auto"/>
                <w:highlight w:val="none"/>
              </w:rPr>
            </w:pPr>
            <w:r>
              <w:rPr>
                <w:rFonts w:hint="eastAsia"/>
                <w:color w:val="auto"/>
                <w:highlight w:val="none"/>
              </w:rPr>
              <w:t>（</w:t>
            </w:r>
            <w:r>
              <w:rPr>
                <w:color w:val="auto"/>
                <w:highlight w:val="none"/>
              </w:rPr>
              <w:t>1</w:t>
            </w:r>
            <w:r>
              <w:rPr>
                <w:rFonts w:hint="eastAsia"/>
                <w:color w:val="auto"/>
                <w:highlight w:val="none"/>
              </w:rPr>
              <w:t>）雨水收集池提升泵选用无堵塞泵，泵体材质为优质铸铁或不锈钢，泵轴、叶轮和所有紧固件材质均为不锈钢，采用机械密封，选配名牌优质电机。</w:t>
            </w:r>
          </w:p>
          <w:p>
            <w:pPr>
              <w:rPr>
                <w:color w:val="auto"/>
                <w:highlight w:val="none"/>
              </w:rPr>
            </w:pPr>
            <w:r>
              <w:rPr>
                <w:rFonts w:hint="eastAsia"/>
                <w:color w:val="auto"/>
                <w:highlight w:val="none"/>
              </w:rPr>
              <w:t>（</w:t>
            </w:r>
            <w:r>
              <w:rPr>
                <w:color w:val="auto"/>
                <w:highlight w:val="none"/>
              </w:rPr>
              <w:t>2</w:t>
            </w:r>
            <w:r>
              <w:rPr>
                <w:rFonts w:hint="eastAsia"/>
                <w:color w:val="auto"/>
                <w:highlight w:val="none"/>
              </w:rPr>
              <w:t>）雨水回用加压水泵，泵壳采用优质铸铁或不锈钢材质；叶轮采用青铜或不锈钢材质；泵轴采用不锈钢材质；采用机械密封，选配名牌优质电机。该水泵配变频控制器。</w:t>
            </w:r>
          </w:p>
          <w:p>
            <w:pPr>
              <w:rPr>
                <w:color w:val="auto"/>
                <w:highlight w:val="none"/>
              </w:rPr>
            </w:pPr>
            <w:r>
              <w:rPr>
                <w:rFonts w:hint="eastAsia"/>
                <w:color w:val="auto"/>
                <w:highlight w:val="none"/>
              </w:rPr>
              <w:t>（</w:t>
            </w:r>
            <w:r>
              <w:rPr>
                <w:color w:val="auto"/>
                <w:highlight w:val="none"/>
              </w:rPr>
              <w:t>3</w:t>
            </w:r>
            <w:r>
              <w:rPr>
                <w:rFonts w:hint="eastAsia"/>
                <w:color w:val="auto"/>
                <w:highlight w:val="none"/>
              </w:rPr>
              <w:t>）其它技术要求详见本给排水系统材料设备技术要求表</w:t>
            </w:r>
            <w:r>
              <w:rPr>
                <w:color w:val="auto"/>
                <w:highlight w:val="none"/>
              </w:rPr>
              <w:t>15</w:t>
            </w:r>
            <w:r>
              <w:rPr>
                <w:rFonts w:hint="eastAsia"/>
                <w:color w:val="auto"/>
                <w:highlight w:val="none"/>
              </w:rPr>
              <w:t>项、</w:t>
            </w:r>
            <w:r>
              <w:rPr>
                <w:color w:val="auto"/>
                <w:highlight w:val="none"/>
              </w:rPr>
              <w:t xml:space="preserve"> 16</w:t>
            </w:r>
            <w:r>
              <w:rPr>
                <w:rFonts w:hint="eastAsia"/>
                <w:color w:val="auto"/>
                <w:highlight w:val="none"/>
              </w:rPr>
              <w:t>项。</w:t>
            </w:r>
          </w:p>
          <w:p>
            <w:pPr>
              <w:rPr>
                <w:color w:val="auto"/>
                <w:highlight w:val="none"/>
              </w:rPr>
            </w:pPr>
          </w:p>
          <w:p>
            <w:pPr>
              <w:rPr>
                <w:color w:val="auto"/>
                <w:highlight w:val="none"/>
              </w:rPr>
            </w:pPr>
            <w:r>
              <w:rPr>
                <w:color w:val="auto"/>
                <w:highlight w:val="none"/>
              </w:rPr>
              <w:t>5.</w:t>
            </w:r>
            <w:r>
              <w:rPr>
                <w:rFonts w:hint="eastAsia"/>
                <w:color w:val="auto"/>
                <w:highlight w:val="none"/>
              </w:rPr>
              <w:t>紫外线消毒器</w:t>
            </w:r>
          </w:p>
          <w:p>
            <w:pPr>
              <w:rPr>
                <w:color w:val="auto"/>
                <w:highlight w:val="none"/>
              </w:rPr>
            </w:pPr>
            <w:r>
              <w:rPr>
                <w:rFonts w:hint="eastAsia"/>
                <w:color w:val="auto"/>
                <w:highlight w:val="none"/>
              </w:rPr>
              <w:t>（</w:t>
            </w:r>
            <w:r>
              <w:rPr>
                <w:color w:val="auto"/>
                <w:highlight w:val="none"/>
              </w:rPr>
              <w:t>1</w:t>
            </w:r>
            <w:r>
              <w:rPr>
                <w:rFonts w:hint="eastAsia"/>
                <w:color w:val="auto"/>
                <w:highlight w:val="none"/>
              </w:rPr>
              <w:t>）国产名优品牌，具有</w:t>
            </w:r>
            <w:r>
              <w:rPr>
                <w:color w:val="auto"/>
                <w:highlight w:val="none"/>
              </w:rPr>
              <w:t>5</w:t>
            </w:r>
            <w:r>
              <w:rPr>
                <w:rFonts w:hint="eastAsia"/>
                <w:color w:val="auto"/>
                <w:highlight w:val="none"/>
              </w:rPr>
              <w:t>年以上生产同类型产品的历史，制造商具有独立的产品检测部门及齐全的经计量单位认可的检测设备，能提供产品的相关国家权威机构检验报告。</w:t>
            </w:r>
          </w:p>
          <w:p>
            <w:pPr>
              <w:rPr>
                <w:color w:val="auto"/>
                <w:highlight w:val="none"/>
              </w:rPr>
            </w:pPr>
            <w:r>
              <w:rPr>
                <w:rFonts w:hint="eastAsia"/>
                <w:color w:val="auto"/>
                <w:highlight w:val="none"/>
              </w:rPr>
              <w:t>（</w:t>
            </w:r>
            <w:r>
              <w:rPr>
                <w:color w:val="auto"/>
                <w:highlight w:val="none"/>
              </w:rPr>
              <w:t>2</w:t>
            </w:r>
            <w:r>
              <w:rPr>
                <w:rFonts w:hint="eastAsia"/>
                <w:color w:val="auto"/>
                <w:highlight w:val="none"/>
              </w:rPr>
              <w:t>）过流瞬间消毒，起效快，杀菌率</w:t>
            </w:r>
            <w:r>
              <w:rPr>
                <w:color w:val="auto"/>
                <w:highlight w:val="none"/>
              </w:rPr>
              <w:t>99%</w:t>
            </w:r>
            <w:r>
              <w:rPr>
                <w:rFonts w:hint="eastAsia"/>
                <w:color w:val="auto"/>
                <w:highlight w:val="none"/>
              </w:rPr>
              <w:t>以上。</w:t>
            </w:r>
          </w:p>
          <w:p>
            <w:pPr>
              <w:rPr>
                <w:color w:val="auto"/>
                <w:highlight w:val="none"/>
              </w:rPr>
            </w:pPr>
            <w:r>
              <w:rPr>
                <w:rFonts w:hint="eastAsia"/>
                <w:color w:val="auto"/>
                <w:highlight w:val="none"/>
              </w:rPr>
              <w:t>（</w:t>
            </w:r>
            <w:r>
              <w:rPr>
                <w:color w:val="auto"/>
                <w:highlight w:val="none"/>
              </w:rPr>
              <w:t>3</w:t>
            </w:r>
            <w:r>
              <w:rPr>
                <w:rFonts w:hint="eastAsia"/>
                <w:color w:val="auto"/>
                <w:highlight w:val="none"/>
              </w:rPr>
              <w:t>）材质：不锈钢腔体、不锈钢反应器、石英套管。</w:t>
            </w:r>
          </w:p>
          <w:p>
            <w:pPr>
              <w:rPr>
                <w:color w:val="auto"/>
                <w:highlight w:val="none"/>
              </w:rPr>
            </w:pPr>
          </w:p>
          <w:p>
            <w:pPr>
              <w:rPr>
                <w:color w:val="auto"/>
                <w:highlight w:val="none"/>
              </w:rPr>
            </w:pPr>
            <w:r>
              <w:rPr>
                <w:color w:val="auto"/>
                <w:highlight w:val="none"/>
              </w:rPr>
              <w:t>6.</w:t>
            </w:r>
            <w:r>
              <w:rPr>
                <w:rFonts w:hint="eastAsia"/>
                <w:color w:val="auto"/>
                <w:highlight w:val="none"/>
              </w:rPr>
              <w:t>自动投药装置</w:t>
            </w:r>
          </w:p>
          <w:p>
            <w:pPr>
              <w:rPr>
                <w:color w:val="auto"/>
                <w:highlight w:val="none"/>
              </w:rPr>
            </w:pPr>
            <w:r>
              <w:rPr>
                <w:rFonts w:hint="eastAsia"/>
                <w:color w:val="auto"/>
                <w:highlight w:val="none"/>
              </w:rPr>
              <w:t>（</w:t>
            </w:r>
            <w:r>
              <w:rPr>
                <w:color w:val="auto"/>
                <w:highlight w:val="none"/>
              </w:rPr>
              <w:t>1</w:t>
            </w:r>
            <w:r>
              <w:rPr>
                <w:rFonts w:hint="eastAsia"/>
                <w:color w:val="auto"/>
                <w:highlight w:val="none"/>
              </w:rPr>
              <w:t>）制造商必须通过</w:t>
            </w:r>
            <w:r>
              <w:rPr>
                <w:color w:val="auto"/>
                <w:highlight w:val="none"/>
              </w:rPr>
              <w:t>ISO9001</w:t>
            </w:r>
            <w:r>
              <w:rPr>
                <w:rFonts w:hint="eastAsia"/>
                <w:color w:val="auto"/>
                <w:highlight w:val="none"/>
              </w:rPr>
              <w:t>质量体系认证。</w:t>
            </w:r>
          </w:p>
          <w:p>
            <w:pPr>
              <w:rPr>
                <w:color w:val="auto"/>
                <w:highlight w:val="none"/>
              </w:rPr>
            </w:pPr>
            <w:r>
              <w:rPr>
                <w:rFonts w:hint="eastAsia"/>
                <w:color w:val="auto"/>
                <w:highlight w:val="none"/>
              </w:rPr>
              <w:t>（</w:t>
            </w:r>
            <w:r>
              <w:rPr>
                <w:color w:val="auto"/>
                <w:highlight w:val="none"/>
              </w:rPr>
              <w:t>2</w:t>
            </w:r>
            <w:r>
              <w:rPr>
                <w:rFonts w:hint="eastAsia"/>
                <w:color w:val="auto"/>
                <w:highlight w:val="none"/>
              </w:rPr>
              <w:t>）具有良好的耐化学腐蚀性能，具有手动和自动排气功能。</w:t>
            </w:r>
          </w:p>
          <w:p>
            <w:pPr>
              <w:rPr>
                <w:color w:val="auto"/>
                <w:highlight w:val="none"/>
              </w:rPr>
            </w:pPr>
            <w:r>
              <w:rPr>
                <w:rFonts w:hint="eastAsia"/>
                <w:color w:val="auto"/>
                <w:highlight w:val="none"/>
              </w:rPr>
              <w:t>（</w:t>
            </w:r>
            <w:r>
              <w:rPr>
                <w:color w:val="auto"/>
                <w:highlight w:val="none"/>
              </w:rPr>
              <w:t>3</w:t>
            </w:r>
            <w:r>
              <w:rPr>
                <w:rFonts w:hint="eastAsia"/>
                <w:color w:val="auto"/>
                <w:highlight w:val="none"/>
              </w:rPr>
              <w:t>）带液位开关接口，具有液位保护自锁功能。</w:t>
            </w:r>
          </w:p>
          <w:p>
            <w:pPr>
              <w:rPr>
                <w:color w:val="auto"/>
                <w:highlight w:val="none"/>
              </w:rPr>
            </w:pPr>
            <w:r>
              <w:rPr>
                <w:rFonts w:hint="eastAsia"/>
                <w:color w:val="auto"/>
                <w:highlight w:val="none"/>
              </w:rPr>
              <w:t>（</w:t>
            </w:r>
            <w:r>
              <w:rPr>
                <w:color w:val="auto"/>
                <w:highlight w:val="none"/>
              </w:rPr>
              <w:t>4</w:t>
            </w:r>
            <w:r>
              <w:rPr>
                <w:rFonts w:hint="eastAsia"/>
                <w:color w:val="auto"/>
                <w:highlight w:val="none"/>
              </w:rPr>
              <w:t>）可通过手动或接收脉冲信号实现自动控制。</w:t>
            </w:r>
          </w:p>
          <w:p>
            <w:pPr>
              <w:rPr>
                <w:color w:val="auto"/>
                <w:highlight w:val="none"/>
              </w:rPr>
            </w:pPr>
            <w:r>
              <w:rPr>
                <w:rFonts w:hint="eastAsia"/>
                <w:color w:val="auto"/>
                <w:highlight w:val="none"/>
              </w:rPr>
              <w:t>（</w:t>
            </w:r>
            <w:r>
              <w:rPr>
                <w:color w:val="auto"/>
                <w:highlight w:val="none"/>
              </w:rPr>
              <w:t>5</w:t>
            </w:r>
            <w:r>
              <w:rPr>
                <w:rFonts w:hint="eastAsia"/>
                <w:color w:val="auto"/>
                <w:highlight w:val="none"/>
              </w:rPr>
              <w:t>）计量精度优于±</w:t>
            </w:r>
            <w:r>
              <w:rPr>
                <w:color w:val="auto"/>
                <w:highlight w:val="none"/>
              </w:rPr>
              <w:t>2%</w:t>
            </w:r>
            <w:r>
              <w:rPr>
                <w:rFonts w:hint="eastAsia"/>
                <w:color w:val="auto"/>
                <w:highlight w:val="none"/>
              </w:rPr>
              <w:t>。</w:t>
            </w:r>
          </w:p>
          <w:p>
            <w:pPr>
              <w:rPr>
                <w:color w:val="auto"/>
                <w:highlight w:val="none"/>
              </w:rPr>
            </w:pPr>
            <w:r>
              <w:rPr>
                <w:rFonts w:hint="eastAsia"/>
                <w:color w:val="auto"/>
                <w:highlight w:val="none"/>
              </w:rPr>
              <w:t>（</w:t>
            </w:r>
            <w:r>
              <w:rPr>
                <w:color w:val="auto"/>
                <w:highlight w:val="none"/>
              </w:rPr>
              <w:t>6</w:t>
            </w:r>
            <w:r>
              <w:rPr>
                <w:rFonts w:hint="eastAsia"/>
                <w:color w:val="auto"/>
                <w:highlight w:val="none"/>
              </w:rPr>
              <w:t>）混凝剂采用氯化铝或精制硫酸铝；消毒剂采用三氯乙氢尿酸。</w:t>
            </w:r>
          </w:p>
          <w:p>
            <w:pPr>
              <w:rPr>
                <w:color w:val="auto"/>
                <w:highlight w:val="none"/>
              </w:rPr>
            </w:pPr>
          </w:p>
          <w:p>
            <w:pPr>
              <w:rPr>
                <w:color w:val="auto"/>
                <w:highlight w:val="none"/>
              </w:rPr>
            </w:pPr>
            <w:r>
              <w:rPr>
                <w:color w:val="auto"/>
                <w:highlight w:val="none"/>
              </w:rPr>
              <w:t>7.</w:t>
            </w:r>
            <w:r>
              <w:rPr>
                <w:rFonts w:hint="eastAsia"/>
                <w:color w:val="auto"/>
                <w:highlight w:val="none"/>
              </w:rPr>
              <w:t>硬聚氯乙烯（</w:t>
            </w:r>
            <w:r>
              <w:rPr>
                <w:color w:val="auto"/>
                <w:highlight w:val="none"/>
              </w:rPr>
              <w:t>UPVC</w:t>
            </w:r>
            <w:r>
              <w:rPr>
                <w:rFonts w:hint="eastAsia"/>
                <w:color w:val="auto"/>
                <w:highlight w:val="none"/>
              </w:rPr>
              <w:t>）给水管</w:t>
            </w:r>
          </w:p>
          <w:p>
            <w:pPr>
              <w:rPr>
                <w:color w:val="auto"/>
                <w:highlight w:val="none"/>
              </w:rPr>
            </w:pPr>
            <w:r>
              <w:rPr>
                <w:rFonts w:hint="eastAsia"/>
                <w:color w:val="auto"/>
                <w:highlight w:val="none"/>
              </w:rPr>
              <w:t>（</w:t>
            </w:r>
            <w:r>
              <w:rPr>
                <w:color w:val="auto"/>
                <w:highlight w:val="none"/>
              </w:rPr>
              <w:t>1</w:t>
            </w:r>
            <w:r>
              <w:rPr>
                <w:rFonts w:hint="eastAsia"/>
                <w:color w:val="auto"/>
                <w:highlight w:val="none"/>
              </w:rPr>
              <w:t>）制造商应通过</w:t>
            </w:r>
            <w:r>
              <w:rPr>
                <w:color w:val="auto"/>
                <w:highlight w:val="none"/>
              </w:rPr>
              <w:t>ISO9001</w:t>
            </w:r>
            <w:r>
              <w:rPr>
                <w:rFonts w:hint="eastAsia"/>
                <w:color w:val="auto"/>
                <w:highlight w:val="none"/>
              </w:rPr>
              <w:t>：</w:t>
            </w:r>
            <w:r>
              <w:rPr>
                <w:color w:val="auto"/>
                <w:highlight w:val="none"/>
              </w:rPr>
              <w:t>2000</w:t>
            </w:r>
            <w:r>
              <w:rPr>
                <w:rFonts w:hint="eastAsia"/>
                <w:color w:val="auto"/>
                <w:highlight w:val="none"/>
              </w:rPr>
              <w:t>质量管理体系认证及</w:t>
            </w:r>
            <w:r>
              <w:rPr>
                <w:color w:val="auto"/>
                <w:highlight w:val="none"/>
              </w:rPr>
              <w:t>ISO14001</w:t>
            </w:r>
            <w:r>
              <w:rPr>
                <w:rFonts w:hint="eastAsia"/>
                <w:color w:val="auto"/>
                <w:highlight w:val="none"/>
              </w:rPr>
              <w:t>：</w:t>
            </w:r>
            <w:r>
              <w:rPr>
                <w:color w:val="auto"/>
                <w:highlight w:val="none"/>
              </w:rPr>
              <w:t xml:space="preserve">1996 </w:t>
            </w:r>
            <w:r>
              <w:rPr>
                <w:rFonts w:hint="eastAsia"/>
                <w:color w:val="auto"/>
                <w:highlight w:val="none"/>
              </w:rPr>
              <w:t>环境管理体系认证。</w:t>
            </w:r>
          </w:p>
          <w:p>
            <w:pPr>
              <w:rPr>
                <w:color w:val="auto"/>
                <w:highlight w:val="none"/>
              </w:rPr>
            </w:pPr>
            <w:r>
              <w:rPr>
                <w:rFonts w:hint="eastAsia"/>
                <w:color w:val="auto"/>
                <w:highlight w:val="none"/>
              </w:rPr>
              <w:t>（</w:t>
            </w:r>
            <w:r>
              <w:rPr>
                <w:color w:val="auto"/>
                <w:highlight w:val="none"/>
              </w:rPr>
              <w:t>2</w:t>
            </w:r>
            <w:r>
              <w:rPr>
                <w:rFonts w:hint="eastAsia"/>
                <w:color w:val="auto"/>
                <w:highlight w:val="none"/>
              </w:rPr>
              <w:t>）制造商注册资本：不少于</w:t>
            </w:r>
            <w:r>
              <w:rPr>
                <w:color w:val="auto"/>
                <w:highlight w:val="none"/>
              </w:rPr>
              <w:t>2000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3</w:t>
            </w:r>
            <w:r>
              <w:rPr>
                <w:rFonts w:hint="eastAsia"/>
                <w:color w:val="auto"/>
                <w:highlight w:val="none"/>
              </w:rPr>
              <w:t>）产品标准应满足国标要求，并须提供国家化学建筑材料测试中心出具的检测报告证明。</w:t>
            </w:r>
          </w:p>
          <w:p>
            <w:pPr>
              <w:rPr>
                <w:color w:val="auto"/>
                <w:highlight w:val="none"/>
              </w:rPr>
            </w:pPr>
            <w:r>
              <w:rPr>
                <w:rFonts w:hint="eastAsia"/>
                <w:color w:val="auto"/>
                <w:highlight w:val="none"/>
              </w:rPr>
              <w:t>（</w:t>
            </w:r>
            <w:r>
              <w:rPr>
                <w:color w:val="auto"/>
                <w:highlight w:val="none"/>
              </w:rPr>
              <w:t>4</w:t>
            </w:r>
            <w:r>
              <w:rPr>
                <w:rFonts w:hint="eastAsia"/>
                <w:color w:val="auto"/>
                <w:highlight w:val="none"/>
              </w:rPr>
              <w:t>）管材管件的规格、压力等级等应符合设计要求。</w:t>
            </w:r>
          </w:p>
          <w:p>
            <w:pPr>
              <w:rPr>
                <w:color w:val="auto"/>
                <w:highlight w:val="none"/>
              </w:rPr>
            </w:pPr>
          </w:p>
          <w:p>
            <w:pPr>
              <w:rPr>
                <w:color w:val="auto"/>
                <w:highlight w:val="none"/>
              </w:rPr>
            </w:pPr>
            <w:r>
              <w:rPr>
                <w:color w:val="auto"/>
                <w:highlight w:val="none"/>
              </w:rPr>
              <w:t>8.</w:t>
            </w:r>
            <w:r>
              <w:rPr>
                <w:rFonts w:hint="eastAsia"/>
                <w:color w:val="auto"/>
                <w:highlight w:val="none"/>
              </w:rPr>
              <w:t>雨水弃流井（按设计调整）</w:t>
            </w:r>
          </w:p>
          <w:p>
            <w:pPr>
              <w:rPr>
                <w:color w:val="auto"/>
                <w:highlight w:val="none"/>
              </w:rPr>
            </w:pPr>
            <w:r>
              <w:rPr>
                <w:rFonts w:hint="eastAsia"/>
                <w:color w:val="auto"/>
                <w:highlight w:val="none"/>
              </w:rPr>
              <w:t>（</w:t>
            </w:r>
            <w:r>
              <w:rPr>
                <w:color w:val="auto"/>
                <w:highlight w:val="none"/>
              </w:rPr>
              <w:t>1</w:t>
            </w:r>
            <w:r>
              <w:rPr>
                <w:rFonts w:hint="eastAsia"/>
                <w:color w:val="auto"/>
                <w:highlight w:val="none"/>
              </w:rPr>
              <w:t>）雨水弃流井按设计图纸进行砌筑，并按图纸要求安装格栅、阀门、雨水弃流装置。雨水弃流装置包括电动阀和智能流量计。</w:t>
            </w:r>
          </w:p>
          <w:p>
            <w:pPr>
              <w:rPr>
                <w:color w:val="auto"/>
                <w:highlight w:val="none"/>
              </w:rPr>
            </w:pPr>
            <w:r>
              <w:rPr>
                <w:rFonts w:hint="eastAsia"/>
                <w:color w:val="auto"/>
                <w:highlight w:val="none"/>
              </w:rPr>
              <w:t>（</w:t>
            </w:r>
            <w:r>
              <w:rPr>
                <w:color w:val="auto"/>
                <w:highlight w:val="none"/>
              </w:rPr>
              <w:t>2</w:t>
            </w:r>
            <w:r>
              <w:rPr>
                <w:rFonts w:hint="eastAsia"/>
                <w:color w:val="auto"/>
                <w:highlight w:val="none"/>
              </w:rPr>
              <w:t>）格栅材质为不锈钢，要求不锈钢的镍铬含量不低于国标</w:t>
            </w:r>
            <w:r>
              <w:rPr>
                <w:color w:val="auto"/>
                <w:highlight w:val="none"/>
              </w:rPr>
              <w:t>1Cr18Ni9Ti</w:t>
            </w:r>
            <w:r>
              <w:rPr>
                <w:rFonts w:hint="eastAsia"/>
                <w:color w:val="auto"/>
                <w:highlight w:val="none"/>
              </w:rPr>
              <w:t>牌号的标准。</w:t>
            </w:r>
          </w:p>
          <w:p>
            <w:pPr>
              <w:rPr>
                <w:color w:val="auto"/>
                <w:highlight w:val="none"/>
              </w:rPr>
            </w:pPr>
            <w:r>
              <w:rPr>
                <w:rFonts w:hint="eastAsia"/>
                <w:color w:val="auto"/>
                <w:highlight w:val="none"/>
              </w:rPr>
              <w:t>（</w:t>
            </w:r>
            <w:r>
              <w:rPr>
                <w:color w:val="auto"/>
                <w:highlight w:val="none"/>
              </w:rPr>
              <w:t>3</w:t>
            </w:r>
            <w:r>
              <w:rPr>
                <w:rFonts w:hint="eastAsia"/>
                <w:color w:val="auto"/>
                <w:highlight w:val="none"/>
              </w:rPr>
              <w:t>）电动阀驱动器防护等级≥</w:t>
            </w:r>
            <w:r>
              <w:rPr>
                <w:color w:val="auto"/>
                <w:highlight w:val="none"/>
              </w:rPr>
              <w:t>IP65(</w:t>
            </w:r>
            <w:r>
              <w:rPr>
                <w:rFonts w:hint="eastAsia"/>
                <w:color w:val="auto"/>
                <w:highlight w:val="none"/>
              </w:rPr>
              <w:t>安装于室外</w:t>
            </w:r>
            <w:r>
              <w:rPr>
                <w:color w:val="auto"/>
                <w:highlight w:val="none"/>
              </w:rPr>
              <w:t>)</w:t>
            </w:r>
            <w:r>
              <w:rPr>
                <w:rFonts w:hint="eastAsia"/>
                <w:color w:val="auto"/>
                <w:highlight w:val="none"/>
              </w:rPr>
              <w:t>。</w:t>
            </w:r>
          </w:p>
          <w:p>
            <w:pPr>
              <w:rPr>
                <w:color w:val="auto"/>
                <w:highlight w:val="none"/>
              </w:rPr>
            </w:pPr>
            <w:r>
              <w:rPr>
                <w:rFonts w:hint="eastAsia"/>
                <w:color w:val="auto"/>
                <w:highlight w:val="none"/>
              </w:rPr>
              <w:t>（</w:t>
            </w:r>
            <w:r>
              <w:rPr>
                <w:color w:val="auto"/>
                <w:highlight w:val="none"/>
              </w:rPr>
              <w:t>4</w:t>
            </w:r>
            <w:r>
              <w:rPr>
                <w:rFonts w:hint="eastAsia"/>
                <w:color w:val="auto"/>
                <w:highlight w:val="none"/>
              </w:rPr>
              <w:t>）智能流量计采用动差式智能流量计，安装在室外应有避雨防碰撞措施。</w:t>
            </w:r>
          </w:p>
          <w:p>
            <w:pPr>
              <w:rPr>
                <w:color w:val="auto"/>
                <w:highlight w:val="none"/>
              </w:rPr>
            </w:pPr>
          </w:p>
          <w:p>
            <w:pPr>
              <w:rPr>
                <w:color w:val="auto"/>
                <w:highlight w:val="none"/>
              </w:rPr>
            </w:pPr>
            <w:r>
              <w:rPr>
                <w:color w:val="auto"/>
                <w:highlight w:val="none"/>
              </w:rPr>
              <w:t>9.</w:t>
            </w:r>
            <w:r>
              <w:rPr>
                <w:rFonts w:hint="eastAsia"/>
                <w:color w:val="auto"/>
                <w:highlight w:val="none"/>
              </w:rPr>
              <w:t>供电系统和控制系统</w:t>
            </w:r>
          </w:p>
          <w:p>
            <w:pPr>
              <w:rPr>
                <w:color w:val="auto"/>
                <w:highlight w:val="none"/>
              </w:rPr>
            </w:pPr>
            <w:r>
              <w:rPr>
                <w:rFonts w:hint="eastAsia"/>
                <w:color w:val="auto"/>
                <w:highlight w:val="none"/>
              </w:rPr>
              <w:t>（</w:t>
            </w:r>
            <w:r>
              <w:rPr>
                <w:color w:val="auto"/>
                <w:highlight w:val="none"/>
              </w:rPr>
              <w:t>1</w:t>
            </w:r>
            <w:r>
              <w:rPr>
                <w:rFonts w:hint="eastAsia"/>
                <w:color w:val="auto"/>
                <w:highlight w:val="none"/>
              </w:rPr>
              <w:t>）电控系统主要电气元器件采用进口知名品牌，要求具有</w:t>
            </w:r>
            <w:r>
              <w:rPr>
                <w:color w:val="auto"/>
                <w:highlight w:val="none"/>
              </w:rPr>
              <w:t>3C</w:t>
            </w:r>
            <w:r>
              <w:rPr>
                <w:rFonts w:hint="eastAsia"/>
                <w:color w:val="auto"/>
                <w:highlight w:val="none"/>
              </w:rPr>
              <w:t>认证证书。</w:t>
            </w:r>
          </w:p>
          <w:p>
            <w:pPr>
              <w:rPr>
                <w:color w:val="auto"/>
                <w:highlight w:val="none"/>
              </w:rPr>
            </w:pPr>
            <w:r>
              <w:rPr>
                <w:rFonts w:hint="eastAsia"/>
                <w:color w:val="auto"/>
                <w:highlight w:val="none"/>
              </w:rPr>
              <w:t>（</w:t>
            </w:r>
            <w:r>
              <w:rPr>
                <w:color w:val="auto"/>
                <w:highlight w:val="none"/>
              </w:rPr>
              <w:t>2</w:t>
            </w:r>
            <w:r>
              <w:rPr>
                <w:rFonts w:hint="eastAsia"/>
                <w:color w:val="auto"/>
                <w:highlight w:val="none"/>
              </w:rPr>
              <w:t>）箱体材料采用国产优质冷轧钢板，箱体板材厚度不小于</w:t>
            </w:r>
            <w:r>
              <w:rPr>
                <w:color w:val="auto"/>
                <w:highlight w:val="none"/>
              </w:rPr>
              <w:t>1.5mm</w:t>
            </w:r>
            <w:r>
              <w:rPr>
                <w:rFonts w:hint="eastAsia"/>
                <w:color w:val="auto"/>
                <w:highlight w:val="none"/>
              </w:rPr>
              <w:t>，落地柜板材厚度不小于</w:t>
            </w:r>
            <w:r>
              <w:rPr>
                <w:color w:val="auto"/>
                <w:highlight w:val="none"/>
              </w:rPr>
              <w:t>2.0mm</w:t>
            </w:r>
            <w:r>
              <w:rPr>
                <w:rFonts w:hint="eastAsia"/>
                <w:color w:val="auto"/>
                <w:highlight w:val="none"/>
              </w:rPr>
              <w:t>，箱体表面喷塑。</w:t>
            </w:r>
          </w:p>
          <w:p>
            <w:pPr>
              <w:rPr>
                <w:color w:val="auto"/>
                <w:highlight w:val="none"/>
              </w:rPr>
            </w:pPr>
            <w:r>
              <w:rPr>
                <w:rFonts w:hint="eastAsia"/>
                <w:color w:val="auto"/>
                <w:highlight w:val="none"/>
              </w:rPr>
              <w:t>（</w:t>
            </w:r>
            <w:r>
              <w:rPr>
                <w:color w:val="auto"/>
                <w:highlight w:val="none"/>
              </w:rPr>
              <w:t>3</w:t>
            </w:r>
            <w:r>
              <w:rPr>
                <w:rFonts w:hint="eastAsia"/>
                <w:color w:val="auto"/>
                <w:highlight w:val="none"/>
              </w:rPr>
              <w:t>）本系统应能全自动运行和控制。根据系统的操作要求，采用</w:t>
            </w:r>
            <w:r>
              <w:rPr>
                <w:color w:val="auto"/>
                <w:highlight w:val="none"/>
              </w:rPr>
              <w:t>PLC</w:t>
            </w:r>
            <w:r>
              <w:rPr>
                <w:rFonts w:hint="eastAsia"/>
                <w:color w:val="auto"/>
                <w:highlight w:val="none"/>
              </w:rPr>
              <w:t>控制设备的启停、控制电动阀的开关。</w:t>
            </w:r>
          </w:p>
          <w:p>
            <w:pPr>
              <w:rPr>
                <w:color w:val="auto"/>
                <w:highlight w:val="none"/>
              </w:rPr>
            </w:pPr>
            <w:r>
              <w:rPr>
                <w:rFonts w:hint="eastAsia"/>
                <w:color w:val="auto"/>
                <w:highlight w:val="none"/>
              </w:rPr>
              <w:t>（</w:t>
            </w:r>
            <w:r>
              <w:rPr>
                <w:color w:val="auto"/>
                <w:highlight w:val="none"/>
              </w:rPr>
              <w:t>4</w:t>
            </w:r>
            <w:r>
              <w:rPr>
                <w:rFonts w:hint="eastAsia"/>
                <w:color w:val="auto"/>
                <w:highlight w:val="none"/>
              </w:rPr>
              <w:t>）各设备的运行情况，雨水收集池、雨水清水池水位状况均能显示出来。同时系统应带有液位保护功能。</w:t>
            </w:r>
          </w:p>
          <w:p>
            <w:pPr>
              <w:rPr>
                <w:color w:val="auto"/>
                <w:highlight w:val="none"/>
              </w:rPr>
            </w:pPr>
            <w:r>
              <w:rPr>
                <w:rFonts w:hint="eastAsia"/>
                <w:color w:val="auto"/>
                <w:highlight w:val="none"/>
              </w:rPr>
              <w:t>（</w:t>
            </w:r>
            <w:r>
              <w:rPr>
                <w:color w:val="auto"/>
                <w:highlight w:val="none"/>
              </w:rPr>
              <w:t>5</w:t>
            </w:r>
            <w:r>
              <w:rPr>
                <w:rFonts w:hint="eastAsia"/>
                <w:color w:val="auto"/>
                <w:highlight w:val="none"/>
              </w:rPr>
              <w:t>）每台设备均可作手动控制，单独或同时运行皆可，以便设备测试和手动控制。</w:t>
            </w:r>
          </w:p>
          <w:p>
            <w:pPr>
              <w:rPr>
                <w:color w:val="auto"/>
                <w:highlight w:val="none"/>
              </w:rPr>
            </w:pPr>
            <w:r>
              <w:rPr>
                <w:rFonts w:hint="eastAsia"/>
                <w:color w:val="auto"/>
                <w:highlight w:val="none"/>
              </w:rPr>
              <w:t>（</w:t>
            </w:r>
            <w:r>
              <w:rPr>
                <w:color w:val="auto"/>
                <w:highlight w:val="none"/>
              </w:rPr>
              <w:t>6</w:t>
            </w:r>
            <w:r>
              <w:rPr>
                <w:rFonts w:hint="eastAsia"/>
                <w:color w:val="auto"/>
                <w:highlight w:val="none"/>
              </w:rPr>
              <w:t>）水泵须轮换工作。工作泵一经停止，下次启动对应的备用泵。当设备工作中出现故障时，故障设备停止工作，延时并系统自动尝试恢复运行状态，仍然出现故障时，故障设备停止工作，对应的备用设备自动进入工作状态。</w:t>
            </w:r>
          </w:p>
          <w:p>
            <w:pPr>
              <w:rPr>
                <w:color w:val="auto"/>
                <w:highlight w:val="none"/>
              </w:rPr>
            </w:pPr>
            <w:r>
              <w:rPr>
                <w:rFonts w:hint="eastAsia"/>
                <w:color w:val="auto"/>
                <w:highlight w:val="none"/>
              </w:rPr>
              <w:t>（</w:t>
            </w:r>
            <w:r>
              <w:rPr>
                <w:color w:val="auto"/>
                <w:highlight w:val="none"/>
              </w:rPr>
              <w:t>7</w:t>
            </w:r>
            <w:r>
              <w:rPr>
                <w:rFonts w:hint="eastAsia"/>
                <w:color w:val="auto"/>
                <w:highlight w:val="none"/>
              </w:rPr>
              <w:t>）应有观察故障的显示，带触摸屏，并对各类故障进行自检、报警功能。对可恢复的故障应能自动或手动消警，恢复正常运行。</w:t>
            </w:r>
          </w:p>
          <w:p>
            <w:pPr>
              <w:rPr>
                <w:color w:val="auto"/>
                <w:highlight w:val="none"/>
              </w:rPr>
            </w:pPr>
            <w:r>
              <w:rPr>
                <w:rFonts w:hint="eastAsia"/>
                <w:color w:val="auto"/>
                <w:highlight w:val="none"/>
              </w:rPr>
              <w:t>（</w:t>
            </w:r>
            <w:r>
              <w:rPr>
                <w:color w:val="auto"/>
                <w:highlight w:val="none"/>
              </w:rPr>
              <w:t>8</w:t>
            </w:r>
            <w:r>
              <w:rPr>
                <w:rFonts w:hint="eastAsia"/>
                <w:color w:val="auto"/>
                <w:highlight w:val="none"/>
              </w:rPr>
              <w:t>）电气设备应有过载、短路、过压、缺相、欠压、过热等故障的保护功能以及接地等安全措施。</w:t>
            </w:r>
          </w:p>
          <w:p>
            <w:pPr>
              <w:rPr>
                <w:color w:val="auto"/>
                <w:highlight w:val="none"/>
              </w:rPr>
            </w:pPr>
          </w:p>
        </w:tc>
        <w:tc>
          <w:tcPr>
            <w:tcW w:w="567" w:type="dxa"/>
            <w:noWrap w:val="0"/>
            <w:vAlign w:val="center"/>
          </w:tcPr>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3" w:type="dxa"/>
            <w:noWrap w:val="0"/>
            <w:vAlign w:val="center"/>
          </w:tcPr>
          <w:p>
            <w:pPr>
              <w:rPr>
                <w:color w:val="auto"/>
                <w:highlight w:val="none"/>
              </w:rPr>
            </w:pPr>
            <w:r>
              <w:rPr>
                <w:color w:val="auto"/>
                <w:highlight w:val="none"/>
              </w:rPr>
              <w:t>20.</w:t>
            </w:r>
          </w:p>
        </w:tc>
        <w:tc>
          <w:tcPr>
            <w:tcW w:w="966" w:type="dxa"/>
            <w:noWrap w:val="0"/>
            <w:vAlign w:val="center"/>
          </w:tcPr>
          <w:p>
            <w:pPr>
              <w:rPr>
                <w:color w:val="auto"/>
                <w:highlight w:val="none"/>
              </w:rPr>
            </w:pPr>
            <w:r>
              <w:rPr>
                <w:rFonts w:hint="eastAsia"/>
                <w:color w:val="auto"/>
                <w:highlight w:val="none"/>
              </w:rPr>
              <w:t>不锈钢地漏</w:t>
            </w:r>
          </w:p>
        </w:tc>
        <w:tc>
          <w:tcPr>
            <w:tcW w:w="6589" w:type="dxa"/>
            <w:noWrap w:val="0"/>
            <w:vAlign w:val="center"/>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）制造商应通过</w:t>
            </w:r>
            <w:r>
              <w:rPr>
                <w:color w:val="auto"/>
                <w:highlight w:val="none"/>
              </w:rPr>
              <w:t>ISO9001</w:t>
            </w:r>
            <w:r>
              <w:rPr>
                <w:rFonts w:hint="eastAsia"/>
                <w:color w:val="auto"/>
                <w:highlight w:val="none"/>
              </w:rPr>
              <w:t>：</w:t>
            </w:r>
            <w:r>
              <w:rPr>
                <w:color w:val="auto"/>
                <w:highlight w:val="none"/>
              </w:rPr>
              <w:t>2000</w:t>
            </w:r>
            <w:r>
              <w:rPr>
                <w:rFonts w:hint="eastAsia"/>
                <w:color w:val="auto"/>
                <w:highlight w:val="none"/>
              </w:rPr>
              <w:t>质量管理体系认证。</w:t>
            </w:r>
          </w:p>
          <w:p>
            <w:pPr>
              <w:rPr>
                <w:color w:val="auto"/>
                <w:highlight w:val="none"/>
              </w:rPr>
            </w:pPr>
            <w:r>
              <w:rPr>
                <w:rFonts w:hint="eastAsia"/>
                <w:color w:val="auto"/>
                <w:highlight w:val="none"/>
              </w:rPr>
              <w:t>（</w:t>
            </w:r>
            <w:r>
              <w:rPr>
                <w:color w:val="auto"/>
                <w:highlight w:val="none"/>
              </w:rPr>
              <w:t>2</w:t>
            </w:r>
            <w:r>
              <w:rPr>
                <w:rFonts w:hint="eastAsia"/>
                <w:color w:val="auto"/>
                <w:highlight w:val="none"/>
              </w:rPr>
              <w:t>）制造商在深圳地区设有完善的售后服务机构。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）采用</w:t>
            </w:r>
            <w:r>
              <w:rPr>
                <w:color w:val="auto"/>
                <w:highlight w:val="none"/>
              </w:rPr>
              <w:t>304</w:t>
            </w:r>
            <w:r>
              <w:rPr>
                <w:rFonts w:hint="eastAsia"/>
                <w:color w:val="auto"/>
                <w:highlight w:val="none"/>
              </w:rPr>
              <w:t>不锈钢材质制造的优质产品。</w:t>
            </w:r>
          </w:p>
          <w:p>
            <w:pPr>
              <w:rPr>
                <w:color w:val="auto"/>
                <w:highlight w:val="none"/>
              </w:rPr>
            </w:pPr>
            <w:r>
              <w:rPr>
                <w:rFonts w:hint="eastAsia"/>
                <w:color w:val="auto"/>
                <w:highlight w:val="none"/>
              </w:rPr>
              <w:t>（</w:t>
            </w:r>
            <w:r>
              <w:rPr>
                <w:color w:val="auto"/>
                <w:highlight w:val="none"/>
              </w:rPr>
              <w:t>2</w:t>
            </w:r>
            <w:r>
              <w:rPr>
                <w:rFonts w:hint="eastAsia"/>
                <w:color w:val="auto"/>
                <w:highlight w:val="none"/>
              </w:rPr>
              <w:t>）符合国家或行业的生产技术标准。</w:t>
            </w:r>
          </w:p>
          <w:p>
            <w:pPr>
              <w:rPr>
                <w:color w:val="auto"/>
                <w:highlight w:val="none"/>
              </w:rPr>
            </w:pPr>
            <w:r>
              <w:rPr>
                <w:rFonts w:hint="eastAsia"/>
                <w:color w:val="auto"/>
                <w:highlight w:val="none"/>
              </w:rPr>
              <w:t>（</w:t>
            </w:r>
            <w:r>
              <w:rPr>
                <w:color w:val="auto"/>
                <w:highlight w:val="none"/>
              </w:rPr>
              <w:t>3</w:t>
            </w:r>
            <w:r>
              <w:rPr>
                <w:rFonts w:hint="eastAsia"/>
                <w:color w:val="auto"/>
                <w:highlight w:val="none"/>
              </w:rPr>
              <w:t>）规格、尺寸要符合设计及有关规范要求。</w:t>
            </w:r>
          </w:p>
          <w:p>
            <w:pPr>
              <w:rPr>
                <w:color w:val="auto"/>
                <w:highlight w:val="none"/>
              </w:rPr>
            </w:pPr>
            <w:r>
              <w:rPr>
                <w:rFonts w:hint="eastAsia"/>
                <w:color w:val="auto"/>
                <w:highlight w:val="none"/>
              </w:rPr>
              <w:t>（</w:t>
            </w:r>
            <w:r>
              <w:rPr>
                <w:color w:val="auto"/>
                <w:highlight w:val="none"/>
              </w:rPr>
              <w:t>4</w:t>
            </w:r>
            <w:r>
              <w:rPr>
                <w:rFonts w:hint="eastAsia"/>
                <w:color w:val="auto"/>
                <w:highlight w:val="none"/>
              </w:rPr>
              <w:t>）用途及使用部位：详见设计图。</w:t>
            </w:r>
          </w:p>
          <w:p>
            <w:pPr>
              <w:rPr>
                <w:color w:val="auto"/>
                <w:highlight w:val="none"/>
              </w:rPr>
            </w:pPr>
            <w:r>
              <w:rPr>
                <w:rFonts w:hint="eastAsia"/>
                <w:color w:val="auto"/>
                <w:highlight w:val="none"/>
              </w:rPr>
              <w:t>（</w:t>
            </w:r>
            <w:r>
              <w:rPr>
                <w:color w:val="auto"/>
                <w:highlight w:val="none"/>
              </w:rPr>
              <w:t>5</w:t>
            </w:r>
            <w:r>
              <w:rPr>
                <w:rFonts w:hint="eastAsia"/>
                <w:color w:val="auto"/>
                <w:highlight w:val="none"/>
              </w:rPr>
              <w:t>）其他要求详见给水排水标准图集，图集号：</w:t>
            </w:r>
            <w:r>
              <w:rPr>
                <w:color w:val="auto"/>
                <w:highlight w:val="none"/>
              </w:rPr>
              <w:t>04S301</w:t>
            </w:r>
            <w:r>
              <w:rPr>
                <w:rFonts w:hint="eastAsia"/>
                <w:color w:val="auto"/>
                <w:highlight w:val="none"/>
              </w:rPr>
              <w:t>。</w:t>
            </w:r>
          </w:p>
        </w:tc>
        <w:tc>
          <w:tcPr>
            <w:tcW w:w="567"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3" w:type="dxa"/>
            <w:noWrap w:val="0"/>
            <w:vAlign w:val="center"/>
          </w:tcPr>
          <w:p>
            <w:pPr>
              <w:rPr>
                <w:color w:val="auto"/>
                <w:highlight w:val="none"/>
              </w:rPr>
            </w:pPr>
            <w:r>
              <w:rPr>
                <w:color w:val="auto"/>
                <w:highlight w:val="none"/>
              </w:rPr>
              <w:t>21.</w:t>
            </w:r>
          </w:p>
        </w:tc>
        <w:tc>
          <w:tcPr>
            <w:tcW w:w="966" w:type="dxa"/>
            <w:noWrap w:val="0"/>
            <w:vAlign w:val="center"/>
          </w:tcPr>
          <w:p>
            <w:pPr>
              <w:rPr>
                <w:color w:val="auto"/>
                <w:highlight w:val="none"/>
              </w:rPr>
            </w:pPr>
            <w:r>
              <w:rPr>
                <w:rFonts w:hint="eastAsia"/>
                <w:color w:val="auto"/>
                <w:highlight w:val="none"/>
              </w:rPr>
              <w:t>低水箱坐便器（节水型连体座厕）</w:t>
            </w:r>
          </w:p>
        </w:tc>
        <w:tc>
          <w:tcPr>
            <w:tcW w:w="6589" w:type="dxa"/>
            <w:noWrap w:val="0"/>
            <w:vAlign w:val="center"/>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）制造商应通过</w:t>
            </w:r>
            <w:r>
              <w:rPr>
                <w:color w:val="auto"/>
                <w:highlight w:val="none"/>
              </w:rPr>
              <w:t>ISO9001</w:t>
            </w:r>
            <w:r>
              <w:rPr>
                <w:rFonts w:hint="eastAsia"/>
                <w:color w:val="auto"/>
                <w:highlight w:val="none"/>
              </w:rPr>
              <w:t>：</w:t>
            </w:r>
            <w:r>
              <w:rPr>
                <w:color w:val="auto"/>
                <w:highlight w:val="none"/>
              </w:rPr>
              <w:t>2000</w:t>
            </w:r>
            <w:r>
              <w:rPr>
                <w:rFonts w:hint="eastAsia"/>
                <w:color w:val="auto"/>
                <w:highlight w:val="none"/>
              </w:rPr>
              <w:t>质量管理体系认证。</w:t>
            </w:r>
          </w:p>
          <w:p>
            <w:pPr>
              <w:rPr>
                <w:color w:val="auto"/>
                <w:highlight w:val="none"/>
              </w:rPr>
            </w:pPr>
            <w:r>
              <w:rPr>
                <w:rFonts w:hint="eastAsia"/>
                <w:color w:val="auto"/>
                <w:highlight w:val="none"/>
              </w:rPr>
              <w:t>（</w:t>
            </w:r>
            <w:r>
              <w:rPr>
                <w:color w:val="auto"/>
                <w:highlight w:val="none"/>
              </w:rPr>
              <w:t>2</w:t>
            </w:r>
            <w:r>
              <w:rPr>
                <w:rFonts w:hint="eastAsia"/>
                <w:color w:val="auto"/>
                <w:highlight w:val="none"/>
              </w:rPr>
              <w:t>）制造商注册资本：不少于</w:t>
            </w:r>
            <w:r>
              <w:rPr>
                <w:color w:val="auto"/>
                <w:highlight w:val="none"/>
              </w:rPr>
              <w:t>3000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3</w:t>
            </w:r>
            <w:r>
              <w:rPr>
                <w:rFonts w:hint="eastAsia"/>
                <w:color w:val="auto"/>
                <w:highlight w:val="none"/>
              </w:rPr>
              <w:t>）制造商在深圳地区设有完善的售后服务机构。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）通过中国节水产品认证。</w:t>
            </w:r>
          </w:p>
          <w:p>
            <w:pPr>
              <w:rPr>
                <w:color w:val="auto"/>
                <w:highlight w:val="none"/>
              </w:rPr>
            </w:pPr>
            <w:r>
              <w:rPr>
                <w:rFonts w:hint="eastAsia"/>
                <w:color w:val="auto"/>
                <w:highlight w:val="none"/>
              </w:rPr>
              <w:t>（</w:t>
            </w:r>
            <w:r>
              <w:rPr>
                <w:color w:val="auto"/>
                <w:highlight w:val="none"/>
              </w:rPr>
              <w:t>2</w:t>
            </w:r>
            <w:r>
              <w:rPr>
                <w:rFonts w:hint="eastAsia"/>
                <w:color w:val="auto"/>
                <w:highlight w:val="none"/>
              </w:rPr>
              <w:t>）绿色建筑应符合坐便器用水效率限定值及用水效率等级（</w:t>
            </w:r>
            <w:r>
              <w:rPr>
                <w:color w:val="auto"/>
                <w:highlight w:val="none"/>
              </w:rPr>
              <w:t>GB25502-2010</w:t>
            </w:r>
            <w:r>
              <w:rPr>
                <w:rFonts w:hint="eastAsia"/>
                <w:color w:val="auto"/>
                <w:highlight w:val="none"/>
              </w:rPr>
              <w:t>）节水</w:t>
            </w:r>
            <w:r>
              <w:rPr>
                <w:color w:val="auto"/>
                <w:highlight w:val="none"/>
              </w:rPr>
              <w:t>2</w:t>
            </w:r>
            <w:r>
              <w:rPr>
                <w:rFonts w:hint="eastAsia"/>
                <w:color w:val="auto"/>
                <w:highlight w:val="none"/>
              </w:rPr>
              <w:t>级的规定。</w:t>
            </w:r>
          </w:p>
          <w:p>
            <w:pPr>
              <w:rPr>
                <w:color w:val="auto"/>
                <w:highlight w:val="none"/>
              </w:rPr>
            </w:pPr>
            <w:r>
              <w:rPr>
                <w:rFonts w:hint="eastAsia"/>
                <w:color w:val="auto"/>
                <w:highlight w:val="none"/>
              </w:rPr>
              <w:t>（</w:t>
            </w:r>
            <w:r>
              <w:rPr>
                <w:color w:val="auto"/>
                <w:highlight w:val="none"/>
              </w:rPr>
              <w:t>3</w:t>
            </w:r>
            <w:r>
              <w:rPr>
                <w:rFonts w:hint="eastAsia"/>
                <w:color w:val="auto"/>
                <w:highlight w:val="none"/>
              </w:rPr>
              <w:t>）陶瓷放射性检测达到</w:t>
            </w:r>
            <w:r>
              <w:rPr>
                <w:color w:val="auto"/>
                <w:highlight w:val="none"/>
              </w:rPr>
              <w:t>GB6566</w:t>
            </w:r>
            <w:r>
              <w:rPr>
                <w:rFonts w:hint="eastAsia"/>
                <w:color w:val="auto"/>
                <w:highlight w:val="none"/>
              </w:rPr>
              <w:t>标准。</w:t>
            </w:r>
          </w:p>
          <w:p>
            <w:pPr>
              <w:rPr>
                <w:color w:val="auto"/>
                <w:highlight w:val="none"/>
              </w:rPr>
            </w:pPr>
            <w:r>
              <w:rPr>
                <w:rFonts w:hint="eastAsia"/>
                <w:color w:val="auto"/>
                <w:highlight w:val="none"/>
              </w:rPr>
              <w:t>（</w:t>
            </w:r>
            <w:r>
              <w:rPr>
                <w:color w:val="auto"/>
                <w:highlight w:val="none"/>
              </w:rPr>
              <w:t>4</w:t>
            </w:r>
            <w:r>
              <w:rPr>
                <w:rFonts w:hint="eastAsia"/>
                <w:color w:val="auto"/>
                <w:highlight w:val="none"/>
              </w:rPr>
              <w:t>）自洁釉面或纳米抗菌陶瓷。</w:t>
            </w:r>
          </w:p>
          <w:p>
            <w:pPr>
              <w:rPr>
                <w:color w:val="auto"/>
                <w:highlight w:val="none"/>
              </w:rPr>
            </w:pPr>
            <w:r>
              <w:rPr>
                <w:rFonts w:hint="eastAsia"/>
                <w:color w:val="auto"/>
                <w:highlight w:val="none"/>
              </w:rPr>
              <w:t>（</w:t>
            </w:r>
            <w:r>
              <w:rPr>
                <w:color w:val="auto"/>
                <w:highlight w:val="none"/>
              </w:rPr>
              <w:t>5</w:t>
            </w:r>
            <w:r>
              <w:rPr>
                <w:rFonts w:hint="eastAsia"/>
                <w:color w:val="auto"/>
                <w:highlight w:val="none"/>
              </w:rPr>
              <w:t>）采用分体</w:t>
            </w:r>
            <w:r>
              <w:rPr>
                <w:color w:val="auto"/>
                <w:highlight w:val="none"/>
              </w:rPr>
              <w:t>/</w:t>
            </w:r>
            <w:r>
              <w:rPr>
                <w:rFonts w:hint="eastAsia"/>
                <w:color w:val="auto"/>
                <w:highlight w:val="none"/>
              </w:rPr>
              <w:t>连体座厕，虹吸式静音冲洗。</w:t>
            </w:r>
          </w:p>
          <w:p>
            <w:pPr>
              <w:rPr>
                <w:color w:val="auto"/>
                <w:highlight w:val="none"/>
              </w:rPr>
            </w:pPr>
            <w:r>
              <w:rPr>
                <w:rFonts w:hint="eastAsia"/>
                <w:color w:val="auto"/>
                <w:highlight w:val="none"/>
              </w:rPr>
              <w:t>（</w:t>
            </w:r>
            <w:r>
              <w:rPr>
                <w:color w:val="auto"/>
                <w:highlight w:val="none"/>
              </w:rPr>
              <w:t>6</w:t>
            </w:r>
            <w:r>
              <w:rPr>
                <w:rFonts w:hint="eastAsia"/>
                <w:color w:val="auto"/>
                <w:highlight w:val="none"/>
              </w:rPr>
              <w:t>）双档冲洗结构。</w:t>
            </w:r>
          </w:p>
          <w:p>
            <w:pPr>
              <w:rPr>
                <w:color w:val="auto"/>
                <w:highlight w:val="none"/>
              </w:rPr>
            </w:pPr>
            <w:r>
              <w:rPr>
                <w:rFonts w:hint="eastAsia"/>
                <w:color w:val="auto"/>
                <w:highlight w:val="none"/>
              </w:rPr>
              <w:t>（</w:t>
            </w:r>
            <w:r>
              <w:rPr>
                <w:color w:val="auto"/>
                <w:highlight w:val="none"/>
              </w:rPr>
              <w:t>7</w:t>
            </w:r>
            <w:r>
              <w:rPr>
                <w:rFonts w:hint="eastAsia"/>
                <w:color w:val="auto"/>
                <w:highlight w:val="none"/>
              </w:rPr>
              <w:t>）水箱进水阀要求：静音，充水迅速，水位可调，抗杂质。</w:t>
            </w:r>
          </w:p>
          <w:p>
            <w:pPr>
              <w:rPr>
                <w:color w:val="auto"/>
                <w:highlight w:val="none"/>
              </w:rPr>
            </w:pPr>
            <w:r>
              <w:rPr>
                <w:rFonts w:hint="eastAsia"/>
                <w:color w:val="auto"/>
                <w:highlight w:val="none"/>
              </w:rPr>
              <w:t>（</w:t>
            </w:r>
            <w:r>
              <w:rPr>
                <w:color w:val="auto"/>
                <w:highlight w:val="none"/>
              </w:rPr>
              <w:t>8</w:t>
            </w:r>
            <w:r>
              <w:rPr>
                <w:rFonts w:hint="eastAsia"/>
                <w:color w:val="auto"/>
                <w:highlight w:val="none"/>
              </w:rPr>
              <w:t>）水箱配件选用优质品。</w:t>
            </w:r>
          </w:p>
          <w:p>
            <w:pPr>
              <w:rPr>
                <w:color w:val="auto"/>
                <w:highlight w:val="none"/>
              </w:rPr>
            </w:pPr>
            <w:r>
              <w:rPr>
                <w:rFonts w:hint="eastAsia"/>
                <w:color w:val="auto"/>
                <w:highlight w:val="none"/>
              </w:rPr>
              <w:t>（</w:t>
            </w:r>
            <w:r>
              <w:rPr>
                <w:color w:val="auto"/>
                <w:highlight w:val="none"/>
              </w:rPr>
              <w:t>9</w:t>
            </w:r>
            <w:r>
              <w:rPr>
                <w:rFonts w:hint="eastAsia"/>
                <w:color w:val="auto"/>
                <w:highlight w:val="none"/>
              </w:rPr>
              <w:t>）排污管内壁施釉。</w:t>
            </w:r>
          </w:p>
          <w:p>
            <w:pPr>
              <w:rPr>
                <w:color w:val="auto"/>
                <w:highlight w:val="none"/>
              </w:rPr>
            </w:pPr>
            <w:r>
              <w:rPr>
                <w:rFonts w:hint="eastAsia"/>
                <w:color w:val="auto"/>
                <w:highlight w:val="none"/>
              </w:rPr>
              <w:t>（</w:t>
            </w:r>
            <w:r>
              <w:rPr>
                <w:color w:val="auto"/>
                <w:highlight w:val="none"/>
              </w:rPr>
              <w:t>10</w:t>
            </w:r>
            <w:r>
              <w:rPr>
                <w:rFonts w:hint="eastAsia"/>
                <w:color w:val="auto"/>
                <w:highlight w:val="none"/>
              </w:rPr>
              <w:t>）水封深度和水封回复不小于</w:t>
            </w:r>
            <w:r>
              <w:rPr>
                <w:color w:val="auto"/>
                <w:highlight w:val="none"/>
              </w:rPr>
              <w:t>50mm</w:t>
            </w:r>
            <w:r>
              <w:rPr>
                <w:rFonts w:hint="eastAsia"/>
                <w:color w:val="auto"/>
                <w:highlight w:val="none"/>
              </w:rPr>
              <w:t>。</w:t>
            </w:r>
          </w:p>
          <w:p>
            <w:pPr>
              <w:rPr>
                <w:color w:val="auto"/>
                <w:highlight w:val="none"/>
              </w:rPr>
            </w:pPr>
            <w:r>
              <w:rPr>
                <w:rFonts w:hint="eastAsia"/>
                <w:color w:val="auto"/>
                <w:highlight w:val="none"/>
              </w:rPr>
              <w:t>（</w:t>
            </w:r>
            <w:r>
              <w:rPr>
                <w:color w:val="auto"/>
                <w:highlight w:val="none"/>
              </w:rPr>
              <w:t>11</w:t>
            </w:r>
            <w:r>
              <w:rPr>
                <w:rFonts w:hint="eastAsia"/>
                <w:color w:val="auto"/>
                <w:highlight w:val="none"/>
              </w:rPr>
              <w:t>）配套全铜角阀，不锈钢软管。</w:t>
            </w:r>
          </w:p>
          <w:p>
            <w:pPr>
              <w:rPr>
                <w:color w:val="auto"/>
                <w:highlight w:val="none"/>
              </w:rPr>
            </w:pPr>
            <w:r>
              <w:rPr>
                <w:rFonts w:hint="eastAsia"/>
                <w:color w:val="auto"/>
                <w:highlight w:val="none"/>
              </w:rPr>
              <w:t>（</w:t>
            </w:r>
            <w:r>
              <w:rPr>
                <w:color w:val="auto"/>
                <w:highlight w:val="none"/>
              </w:rPr>
              <w:t>12</w:t>
            </w:r>
            <w:r>
              <w:rPr>
                <w:rFonts w:hint="eastAsia"/>
                <w:color w:val="auto"/>
                <w:highlight w:val="none"/>
              </w:rPr>
              <w:t>）颜色为白色。</w:t>
            </w:r>
          </w:p>
          <w:p>
            <w:pPr>
              <w:rPr>
                <w:color w:val="auto"/>
                <w:highlight w:val="none"/>
              </w:rPr>
            </w:pPr>
          </w:p>
        </w:tc>
        <w:tc>
          <w:tcPr>
            <w:tcW w:w="567"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3" w:type="dxa"/>
            <w:noWrap w:val="0"/>
            <w:vAlign w:val="center"/>
          </w:tcPr>
          <w:p>
            <w:pPr>
              <w:rPr>
                <w:color w:val="auto"/>
                <w:highlight w:val="none"/>
              </w:rPr>
            </w:pPr>
            <w:r>
              <w:rPr>
                <w:color w:val="auto"/>
                <w:highlight w:val="none"/>
              </w:rPr>
              <w:t>22.</w:t>
            </w:r>
          </w:p>
        </w:tc>
        <w:tc>
          <w:tcPr>
            <w:tcW w:w="966" w:type="dxa"/>
            <w:noWrap w:val="0"/>
            <w:vAlign w:val="center"/>
          </w:tcPr>
          <w:p>
            <w:pPr>
              <w:rPr>
                <w:color w:val="auto"/>
                <w:highlight w:val="none"/>
              </w:rPr>
            </w:pPr>
            <w:r>
              <w:rPr>
                <w:rFonts w:hint="eastAsia"/>
                <w:color w:val="auto"/>
                <w:highlight w:val="none"/>
              </w:rPr>
              <w:t>蹲便器（配脚踏式冲水阀）</w:t>
            </w:r>
          </w:p>
        </w:tc>
        <w:tc>
          <w:tcPr>
            <w:tcW w:w="6589" w:type="dxa"/>
            <w:noWrap w:val="0"/>
            <w:vAlign w:val="center"/>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）制造商应通过</w:t>
            </w:r>
            <w:r>
              <w:rPr>
                <w:color w:val="auto"/>
                <w:highlight w:val="none"/>
              </w:rPr>
              <w:t>ISO9001</w:t>
            </w:r>
            <w:r>
              <w:rPr>
                <w:rFonts w:hint="eastAsia"/>
                <w:color w:val="auto"/>
                <w:highlight w:val="none"/>
              </w:rPr>
              <w:t>：</w:t>
            </w:r>
            <w:r>
              <w:rPr>
                <w:color w:val="auto"/>
                <w:highlight w:val="none"/>
              </w:rPr>
              <w:t>2000</w:t>
            </w:r>
            <w:r>
              <w:rPr>
                <w:rFonts w:hint="eastAsia"/>
                <w:color w:val="auto"/>
                <w:highlight w:val="none"/>
              </w:rPr>
              <w:t>质量管理体系认证。</w:t>
            </w:r>
          </w:p>
          <w:p>
            <w:pPr>
              <w:rPr>
                <w:color w:val="auto"/>
                <w:highlight w:val="none"/>
              </w:rPr>
            </w:pPr>
            <w:r>
              <w:rPr>
                <w:rFonts w:hint="eastAsia"/>
                <w:color w:val="auto"/>
                <w:highlight w:val="none"/>
              </w:rPr>
              <w:t>（</w:t>
            </w:r>
            <w:r>
              <w:rPr>
                <w:color w:val="auto"/>
                <w:highlight w:val="none"/>
              </w:rPr>
              <w:t>2</w:t>
            </w:r>
            <w:r>
              <w:rPr>
                <w:rFonts w:hint="eastAsia"/>
                <w:color w:val="auto"/>
                <w:highlight w:val="none"/>
              </w:rPr>
              <w:t>）制造商注册资本：不少于</w:t>
            </w:r>
            <w:r>
              <w:rPr>
                <w:color w:val="auto"/>
                <w:highlight w:val="none"/>
              </w:rPr>
              <w:t>3000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3</w:t>
            </w:r>
            <w:r>
              <w:rPr>
                <w:rFonts w:hint="eastAsia"/>
                <w:color w:val="auto"/>
                <w:highlight w:val="none"/>
              </w:rPr>
              <w:t>）制造商在深圳地区设有完善的售后服务机构。</w:t>
            </w:r>
          </w:p>
          <w:p>
            <w:pPr>
              <w:rPr>
                <w:color w:val="auto"/>
                <w:highlight w:val="none"/>
              </w:rPr>
            </w:pPr>
          </w:p>
          <w:p>
            <w:pPr>
              <w:rPr>
                <w:color w:val="auto"/>
                <w:highlight w:val="none"/>
              </w:rPr>
            </w:pPr>
            <w:r>
              <w:rPr>
                <w:color w:val="auto"/>
                <w:highlight w:val="none"/>
              </w:rPr>
              <w:t>2.</w:t>
            </w:r>
            <w:r>
              <w:rPr>
                <w:rFonts w:hint="eastAsia"/>
                <w:color w:val="auto"/>
                <w:highlight w:val="none"/>
              </w:rPr>
              <w:t>产品技术要求：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）通过中国节水产品认证。</w:t>
            </w:r>
          </w:p>
          <w:p>
            <w:pPr>
              <w:rPr>
                <w:color w:val="auto"/>
                <w:highlight w:val="none"/>
              </w:rPr>
            </w:pPr>
            <w:r>
              <w:rPr>
                <w:rFonts w:hint="eastAsia"/>
                <w:color w:val="auto"/>
                <w:highlight w:val="none"/>
              </w:rPr>
              <w:t>（</w:t>
            </w:r>
            <w:r>
              <w:rPr>
                <w:color w:val="auto"/>
                <w:highlight w:val="none"/>
              </w:rPr>
              <w:t>2</w:t>
            </w:r>
            <w:r>
              <w:rPr>
                <w:rFonts w:hint="eastAsia"/>
                <w:color w:val="auto"/>
                <w:highlight w:val="none"/>
              </w:rPr>
              <w:t>绿色建筑应符合便器冲洗阀用水效率限定值及用水效率等级（</w:t>
            </w:r>
            <w:r>
              <w:rPr>
                <w:color w:val="auto"/>
                <w:highlight w:val="none"/>
              </w:rPr>
              <w:t>GB28379-2012</w:t>
            </w:r>
            <w:r>
              <w:rPr>
                <w:rFonts w:hint="eastAsia"/>
                <w:color w:val="auto"/>
                <w:highlight w:val="none"/>
              </w:rPr>
              <w:t>）节水</w:t>
            </w:r>
            <w:r>
              <w:rPr>
                <w:color w:val="auto"/>
                <w:highlight w:val="none"/>
              </w:rPr>
              <w:t>2</w:t>
            </w:r>
            <w:r>
              <w:rPr>
                <w:rFonts w:hint="eastAsia"/>
                <w:color w:val="auto"/>
                <w:highlight w:val="none"/>
              </w:rPr>
              <w:t>级的规定。</w:t>
            </w:r>
          </w:p>
          <w:p>
            <w:pPr>
              <w:rPr>
                <w:color w:val="auto"/>
                <w:highlight w:val="none"/>
              </w:rPr>
            </w:pPr>
            <w:r>
              <w:rPr>
                <w:rFonts w:hint="eastAsia"/>
                <w:color w:val="auto"/>
                <w:highlight w:val="none"/>
              </w:rPr>
              <w:t>（</w:t>
            </w:r>
            <w:r>
              <w:rPr>
                <w:color w:val="auto"/>
                <w:highlight w:val="none"/>
              </w:rPr>
              <w:t>3</w:t>
            </w:r>
            <w:r>
              <w:rPr>
                <w:rFonts w:hint="eastAsia"/>
                <w:color w:val="auto"/>
                <w:highlight w:val="none"/>
              </w:rPr>
              <w:t>）陶瓷放射性检测达到</w:t>
            </w:r>
            <w:r>
              <w:rPr>
                <w:color w:val="auto"/>
                <w:highlight w:val="none"/>
              </w:rPr>
              <w:t>GB6566</w:t>
            </w:r>
            <w:r>
              <w:rPr>
                <w:rFonts w:hint="eastAsia"/>
                <w:color w:val="auto"/>
                <w:highlight w:val="none"/>
              </w:rPr>
              <w:t>标准。</w:t>
            </w:r>
          </w:p>
          <w:p>
            <w:pPr>
              <w:rPr>
                <w:color w:val="auto"/>
                <w:highlight w:val="none"/>
              </w:rPr>
            </w:pPr>
            <w:r>
              <w:rPr>
                <w:rFonts w:hint="eastAsia"/>
                <w:color w:val="auto"/>
                <w:highlight w:val="none"/>
              </w:rPr>
              <w:t>（</w:t>
            </w:r>
            <w:r>
              <w:rPr>
                <w:color w:val="auto"/>
                <w:highlight w:val="none"/>
              </w:rPr>
              <w:t>4</w:t>
            </w:r>
            <w:r>
              <w:rPr>
                <w:rFonts w:hint="eastAsia"/>
                <w:color w:val="auto"/>
                <w:highlight w:val="none"/>
              </w:rPr>
              <w:t>）蹲便器采用智洁釉面或纳米抗菌陶瓷，防滑脚踏。</w:t>
            </w:r>
          </w:p>
          <w:p>
            <w:pPr>
              <w:rPr>
                <w:color w:val="auto"/>
                <w:highlight w:val="none"/>
              </w:rPr>
            </w:pPr>
            <w:r>
              <w:rPr>
                <w:rFonts w:hint="eastAsia"/>
                <w:color w:val="auto"/>
                <w:highlight w:val="none"/>
              </w:rPr>
              <w:t>（</w:t>
            </w:r>
            <w:r>
              <w:rPr>
                <w:color w:val="auto"/>
                <w:highlight w:val="none"/>
              </w:rPr>
              <w:t>5</w:t>
            </w:r>
            <w:r>
              <w:rPr>
                <w:rFonts w:hint="eastAsia"/>
                <w:color w:val="auto"/>
                <w:highlight w:val="none"/>
              </w:rPr>
              <w:t>）蹲便器自带存水弯。</w:t>
            </w:r>
          </w:p>
          <w:p>
            <w:pPr>
              <w:rPr>
                <w:color w:val="auto"/>
                <w:highlight w:val="none"/>
              </w:rPr>
            </w:pPr>
            <w:r>
              <w:rPr>
                <w:rFonts w:hint="eastAsia"/>
                <w:color w:val="auto"/>
                <w:highlight w:val="none"/>
              </w:rPr>
              <w:t>（</w:t>
            </w:r>
            <w:r>
              <w:rPr>
                <w:color w:val="auto"/>
                <w:highlight w:val="none"/>
              </w:rPr>
              <w:t>6</w:t>
            </w:r>
            <w:r>
              <w:rPr>
                <w:rFonts w:hint="eastAsia"/>
                <w:color w:val="auto"/>
                <w:highlight w:val="none"/>
              </w:rPr>
              <w:t>）排污弯管内壁施釉。</w:t>
            </w:r>
          </w:p>
          <w:p>
            <w:pPr>
              <w:rPr>
                <w:color w:val="auto"/>
                <w:highlight w:val="none"/>
              </w:rPr>
            </w:pPr>
            <w:r>
              <w:rPr>
                <w:rFonts w:hint="eastAsia"/>
                <w:color w:val="auto"/>
                <w:highlight w:val="none"/>
              </w:rPr>
              <w:t>（</w:t>
            </w:r>
            <w:r>
              <w:rPr>
                <w:color w:val="auto"/>
                <w:highlight w:val="none"/>
              </w:rPr>
              <w:t>7</w:t>
            </w:r>
            <w:r>
              <w:rPr>
                <w:rFonts w:hint="eastAsia"/>
                <w:color w:val="auto"/>
                <w:highlight w:val="none"/>
              </w:rPr>
              <w:t>）冲洗阀采用铜制铸造本体，表面镀铬。</w:t>
            </w:r>
          </w:p>
          <w:p>
            <w:pPr>
              <w:rPr>
                <w:color w:val="auto"/>
                <w:highlight w:val="none"/>
              </w:rPr>
            </w:pPr>
            <w:r>
              <w:rPr>
                <w:rFonts w:hint="eastAsia"/>
                <w:color w:val="auto"/>
                <w:highlight w:val="none"/>
              </w:rPr>
              <w:t>（</w:t>
            </w:r>
            <w:r>
              <w:rPr>
                <w:color w:val="auto"/>
                <w:highlight w:val="none"/>
              </w:rPr>
              <w:t>8</w:t>
            </w:r>
            <w:r>
              <w:rPr>
                <w:rFonts w:hint="eastAsia"/>
                <w:color w:val="auto"/>
                <w:highlight w:val="none"/>
              </w:rPr>
              <w:t>）颜色为白色。</w:t>
            </w:r>
          </w:p>
          <w:p>
            <w:pPr>
              <w:rPr>
                <w:color w:val="auto"/>
                <w:highlight w:val="none"/>
              </w:rPr>
            </w:pPr>
          </w:p>
        </w:tc>
        <w:tc>
          <w:tcPr>
            <w:tcW w:w="567"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3" w:type="dxa"/>
            <w:noWrap w:val="0"/>
            <w:vAlign w:val="center"/>
          </w:tcPr>
          <w:p>
            <w:pPr>
              <w:rPr>
                <w:color w:val="auto"/>
                <w:highlight w:val="none"/>
              </w:rPr>
            </w:pPr>
            <w:r>
              <w:rPr>
                <w:color w:val="auto"/>
                <w:highlight w:val="none"/>
              </w:rPr>
              <w:t>23.</w:t>
            </w:r>
          </w:p>
        </w:tc>
        <w:tc>
          <w:tcPr>
            <w:tcW w:w="966" w:type="dxa"/>
            <w:noWrap w:val="0"/>
            <w:vAlign w:val="center"/>
          </w:tcPr>
          <w:p>
            <w:pPr>
              <w:rPr>
                <w:color w:val="auto"/>
                <w:highlight w:val="none"/>
              </w:rPr>
            </w:pPr>
            <w:r>
              <w:rPr>
                <w:rFonts w:hint="eastAsia"/>
                <w:color w:val="auto"/>
                <w:highlight w:val="none"/>
              </w:rPr>
              <w:t>小便器（配感应式冲洗阀）</w:t>
            </w:r>
          </w:p>
        </w:tc>
        <w:tc>
          <w:tcPr>
            <w:tcW w:w="6589" w:type="dxa"/>
            <w:noWrap w:val="0"/>
            <w:vAlign w:val="center"/>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）制造商应通过</w:t>
            </w:r>
            <w:r>
              <w:rPr>
                <w:color w:val="auto"/>
                <w:highlight w:val="none"/>
              </w:rPr>
              <w:t>ISO9001</w:t>
            </w:r>
            <w:r>
              <w:rPr>
                <w:rFonts w:hint="eastAsia"/>
                <w:color w:val="auto"/>
                <w:highlight w:val="none"/>
              </w:rPr>
              <w:t>：</w:t>
            </w:r>
            <w:r>
              <w:rPr>
                <w:color w:val="auto"/>
                <w:highlight w:val="none"/>
              </w:rPr>
              <w:t>2000</w:t>
            </w:r>
            <w:r>
              <w:rPr>
                <w:rFonts w:hint="eastAsia"/>
                <w:color w:val="auto"/>
                <w:highlight w:val="none"/>
              </w:rPr>
              <w:t>质量管理体系认证。</w:t>
            </w:r>
          </w:p>
          <w:p>
            <w:pPr>
              <w:rPr>
                <w:color w:val="auto"/>
                <w:highlight w:val="none"/>
              </w:rPr>
            </w:pPr>
            <w:r>
              <w:rPr>
                <w:rFonts w:hint="eastAsia"/>
                <w:color w:val="auto"/>
                <w:highlight w:val="none"/>
              </w:rPr>
              <w:t>（</w:t>
            </w:r>
            <w:r>
              <w:rPr>
                <w:color w:val="auto"/>
                <w:highlight w:val="none"/>
              </w:rPr>
              <w:t>2</w:t>
            </w:r>
            <w:r>
              <w:rPr>
                <w:rFonts w:hint="eastAsia"/>
                <w:color w:val="auto"/>
                <w:highlight w:val="none"/>
              </w:rPr>
              <w:t>）制造商注册资本：不少于</w:t>
            </w:r>
            <w:r>
              <w:rPr>
                <w:color w:val="auto"/>
                <w:highlight w:val="none"/>
              </w:rPr>
              <w:t>3000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3</w:t>
            </w:r>
            <w:r>
              <w:rPr>
                <w:rFonts w:hint="eastAsia"/>
                <w:color w:val="auto"/>
                <w:highlight w:val="none"/>
              </w:rPr>
              <w:t>）制造商在深圳地区设有完善的售后服务机构。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）通过中国节水产品认证。</w:t>
            </w:r>
          </w:p>
          <w:p>
            <w:pPr>
              <w:rPr>
                <w:color w:val="auto"/>
                <w:highlight w:val="none"/>
              </w:rPr>
            </w:pPr>
            <w:r>
              <w:rPr>
                <w:rFonts w:hint="eastAsia"/>
                <w:color w:val="auto"/>
                <w:highlight w:val="none"/>
              </w:rPr>
              <w:t>（</w:t>
            </w:r>
            <w:r>
              <w:rPr>
                <w:color w:val="auto"/>
                <w:highlight w:val="none"/>
              </w:rPr>
              <w:t>2</w:t>
            </w:r>
            <w:r>
              <w:rPr>
                <w:rFonts w:hint="eastAsia"/>
                <w:color w:val="auto"/>
                <w:highlight w:val="none"/>
              </w:rPr>
              <w:t>）陶瓷放射性检测达到</w:t>
            </w:r>
            <w:r>
              <w:rPr>
                <w:color w:val="auto"/>
                <w:highlight w:val="none"/>
              </w:rPr>
              <w:t>GB6566</w:t>
            </w:r>
            <w:r>
              <w:rPr>
                <w:rFonts w:hint="eastAsia"/>
                <w:color w:val="auto"/>
                <w:highlight w:val="none"/>
              </w:rPr>
              <w:t>标准。</w:t>
            </w:r>
          </w:p>
          <w:p>
            <w:pPr>
              <w:rPr>
                <w:color w:val="auto"/>
                <w:highlight w:val="none"/>
              </w:rPr>
            </w:pPr>
            <w:r>
              <w:rPr>
                <w:rFonts w:hint="eastAsia"/>
                <w:color w:val="auto"/>
                <w:highlight w:val="none"/>
              </w:rPr>
              <w:t>（</w:t>
            </w:r>
            <w:r>
              <w:rPr>
                <w:color w:val="auto"/>
                <w:highlight w:val="none"/>
              </w:rPr>
              <w:t>3</w:t>
            </w:r>
            <w:r>
              <w:rPr>
                <w:rFonts w:hint="eastAsia"/>
                <w:color w:val="auto"/>
                <w:highlight w:val="none"/>
              </w:rPr>
              <w:t>）自洁釉面或纳米抗菌陶瓷。</w:t>
            </w:r>
          </w:p>
          <w:p>
            <w:pPr>
              <w:rPr>
                <w:color w:val="auto"/>
                <w:highlight w:val="none"/>
              </w:rPr>
            </w:pPr>
            <w:r>
              <w:rPr>
                <w:rFonts w:hint="eastAsia"/>
                <w:color w:val="auto"/>
                <w:highlight w:val="none"/>
              </w:rPr>
              <w:t>（</w:t>
            </w:r>
            <w:r>
              <w:rPr>
                <w:color w:val="auto"/>
                <w:highlight w:val="none"/>
              </w:rPr>
              <w:t>4</w:t>
            </w:r>
            <w:r>
              <w:rPr>
                <w:rFonts w:hint="eastAsia"/>
                <w:color w:val="auto"/>
                <w:highlight w:val="none"/>
              </w:rPr>
              <w:t>）绿色建筑应符合小便器用水效率限定值及用水效率等级（</w:t>
            </w:r>
            <w:r>
              <w:rPr>
                <w:color w:val="auto"/>
                <w:highlight w:val="none"/>
              </w:rPr>
              <w:t>GB28377-2012</w:t>
            </w:r>
            <w:r>
              <w:rPr>
                <w:rFonts w:hint="eastAsia"/>
                <w:color w:val="auto"/>
                <w:highlight w:val="none"/>
              </w:rPr>
              <w:t>）节水</w:t>
            </w:r>
            <w:r>
              <w:rPr>
                <w:color w:val="auto"/>
                <w:highlight w:val="none"/>
              </w:rPr>
              <w:t>2</w:t>
            </w:r>
            <w:r>
              <w:rPr>
                <w:rFonts w:hint="eastAsia"/>
                <w:color w:val="auto"/>
                <w:highlight w:val="none"/>
              </w:rPr>
              <w:t>级的规定。</w:t>
            </w:r>
          </w:p>
          <w:p>
            <w:pPr>
              <w:rPr>
                <w:color w:val="auto"/>
                <w:highlight w:val="none"/>
              </w:rPr>
            </w:pPr>
            <w:r>
              <w:rPr>
                <w:rFonts w:hint="eastAsia"/>
                <w:color w:val="auto"/>
                <w:highlight w:val="none"/>
              </w:rPr>
              <w:t>（</w:t>
            </w:r>
            <w:r>
              <w:rPr>
                <w:color w:val="auto"/>
                <w:highlight w:val="none"/>
              </w:rPr>
              <w:t>5</w:t>
            </w:r>
            <w:r>
              <w:rPr>
                <w:rFonts w:hint="eastAsia"/>
                <w:color w:val="auto"/>
                <w:highlight w:val="none"/>
              </w:rPr>
              <w:t>）采用落地立式小便斗或后排水挂式小便斗。</w:t>
            </w:r>
          </w:p>
          <w:p>
            <w:pPr>
              <w:rPr>
                <w:color w:val="auto"/>
                <w:highlight w:val="none"/>
              </w:rPr>
            </w:pPr>
            <w:r>
              <w:rPr>
                <w:rFonts w:hint="eastAsia"/>
                <w:color w:val="auto"/>
                <w:highlight w:val="none"/>
              </w:rPr>
              <w:t>（</w:t>
            </w:r>
            <w:r>
              <w:rPr>
                <w:color w:val="auto"/>
                <w:highlight w:val="none"/>
              </w:rPr>
              <w:t>6</w:t>
            </w:r>
            <w:r>
              <w:rPr>
                <w:rFonts w:hint="eastAsia"/>
                <w:color w:val="auto"/>
                <w:highlight w:val="none"/>
              </w:rPr>
              <w:t>）冲洗水覆盖小便器全部表面。</w:t>
            </w:r>
          </w:p>
          <w:p>
            <w:pPr>
              <w:rPr>
                <w:color w:val="auto"/>
                <w:highlight w:val="none"/>
              </w:rPr>
            </w:pPr>
            <w:r>
              <w:rPr>
                <w:rFonts w:hint="eastAsia"/>
                <w:color w:val="auto"/>
                <w:highlight w:val="none"/>
              </w:rPr>
              <w:t>（</w:t>
            </w:r>
            <w:r>
              <w:rPr>
                <w:color w:val="auto"/>
                <w:highlight w:val="none"/>
              </w:rPr>
              <w:t>7</w:t>
            </w:r>
            <w:r>
              <w:rPr>
                <w:rFonts w:hint="eastAsia"/>
                <w:color w:val="auto"/>
                <w:highlight w:val="none"/>
              </w:rPr>
              <w:t>）颜色为白色。</w:t>
            </w:r>
          </w:p>
        </w:tc>
        <w:tc>
          <w:tcPr>
            <w:tcW w:w="567"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3" w:type="dxa"/>
            <w:noWrap w:val="0"/>
            <w:vAlign w:val="center"/>
          </w:tcPr>
          <w:p>
            <w:pPr>
              <w:rPr>
                <w:color w:val="auto"/>
                <w:highlight w:val="none"/>
              </w:rPr>
            </w:pPr>
            <w:r>
              <w:rPr>
                <w:color w:val="auto"/>
                <w:highlight w:val="none"/>
              </w:rPr>
              <w:t>24.</w:t>
            </w:r>
          </w:p>
        </w:tc>
        <w:tc>
          <w:tcPr>
            <w:tcW w:w="966" w:type="dxa"/>
            <w:noWrap w:val="0"/>
            <w:vAlign w:val="center"/>
          </w:tcPr>
          <w:p>
            <w:pPr>
              <w:rPr>
                <w:color w:val="auto"/>
                <w:highlight w:val="none"/>
              </w:rPr>
            </w:pPr>
            <w:r>
              <w:rPr>
                <w:rFonts w:hint="eastAsia"/>
                <w:color w:val="auto"/>
                <w:highlight w:val="none"/>
              </w:rPr>
              <w:t>洗手盆</w:t>
            </w:r>
          </w:p>
        </w:tc>
        <w:tc>
          <w:tcPr>
            <w:tcW w:w="6589" w:type="dxa"/>
            <w:noWrap w:val="0"/>
            <w:vAlign w:val="center"/>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）制造商应通过</w:t>
            </w:r>
            <w:r>
              <w:rPr>
                <w:color w:val="auto"/>
                <w:highlight w:val="none"/>
              </w:rPr>
              <w:t>ISO9001</w:t>
            </w:r>
            <w:r>
              <w:rPr>
                <w:rFonts w:hint="eastAsia"/>
                <w:color w:val="auto"/>
                <w:highlight w:val="none"/>
              </w:rPr>
              <w:t>：</w:t>
            </w:r>
            <w:r>
              <w:rPr>
                <w:color w:val="auto"/>
                <w:highlight w:val="none"/>
              </w:rPr>
              <w:t>2000</w:t>
            </w:r>
            <w:r>
              <w:rPr>
                <w:rFonts w:hint="eastAsia"/>
                <w:color w:val="auto"/>
                <w:highlight w:val="none"/>
              </w:rPr>
              <w:t>质量管理体系认证。</w:t>
            </w:r>
          </w:p>
          <w:p>
            <w:pPr>
              <w:rPr>
                <w:color w:val="auto"/>
                <w:highlight w:val="none"/>
              </w:rPr>
            </w:pPr>
            <w:r>
              <w:rPr>
                <w:rFonts w:hint="eastAsia"/>
                <w:color w:val="auto"/>
                <w:highlight w:val="none"/>
              </w:rPr>
              <w:t>（</w:t>
            </w:r>
            <w:r>
              <w:rPr>
                <w:color w:val="auto"/>
                <w:highlight w:val="none"/>
              </w:rPr>
              <w:t>2</w:t>
            </w:r>
            <w:r>
              <w:rPr>
                <w:rFonts w:hint="eastAsia"/>
                <w:color w:val="auto"/>
                <w:highlight w:val="none"/>
              </w:rPr>
              <w:t>）制造商注册资本：不少于</w:t>
            </w:r>
            <w:r>
              <w:rPr>
                <w:color w:val="auto"/>
                <w:highlight w:val="none"/>
              </w:rPr>
              <w:t>3000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3</w:t>
            </w:r>
            <w:r>
              <w:rPr>
                <w:rFonts w:hint="eastAsia"/>
                <w:color w:val="auto"/>
                <w:highlight w:val="none"/>
              </w:rPr>
              <w:t>）制造商在深圳地区设有完善的售后服务机构。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）配套不锈钢存水弯，不锈钢给水软管、铜镀铬角阀。</w:t>
            </w:r>
          </w:p>
          <w:p>
            <w:pPr>
              <w:rPr>
                <w:color w:val="auto"/>
                <w:highlight w:val="none"/>
              </w:rPr>
            </w:pPr>
            <w:r>
              <w:rPr>
                <w:rFonts w:hint="eastAsia"/>
                <w:color w:val="auto"/>
                <w:highlight w:val="none"/>
              </w:rPr>
              <w:t>（</w:t>
            </w:r>
            <w:r>
              <w:rPr>
                <w:color w:val="auto"/>
                <w:highlight w:val="none"/>
              </w:rPr>
              <w:t>2</w:t>
            </w:r>
            <w:r>
              <w:rPr>
                <w:rFonts w:hint="eastAsia"/>
                <w:color w:val="auto"/>
                <w:highlight w:val="none"/>
              </w:rPr>
              <w:t>）陶瓷放射性检测达到</w:t>
            </w:r>
            <w:r>
              <w:rPr>
                <w:color w:val="auto"/>
                <w:highlight w:val="none"/>
              </w:rPr>
              <w:t>GB6566</w:t>
            </w:r>
            <w:r>
              <w:rPr>
                <w:rFonts w:hint="eastAsia"/>
                <w:color w:val="auto"/>
                <w:highlight w:val="none"/>
              </w:rPr>
              <w:t>标准。</w:t>
            </w:r>
          </w:p>
          <w:p>
            <w:pPr>
              <w:rPr>
                <w:color w:val="auto"/>
                <w:highlight w:val="none"/>
              </w:rPr>
            </w:pPr>
            <w:r>
              <w:rPr>
                <w:rFonts w:hint="eastAsia"/>
                <w:color w:val="auto"/>
                <w:highlight w:val="none"/>
              </w:rPr>
              <w:t>（</w:t>
            </w:r>
            <w:r>
              <w:rPr>
                <w:color w:val="auto"/>
                <w:highlight w:val="none"/>
              </w:rPr>
              <w:t>3</w:t>
            </w:r>
            <w:r>
              <w:rPr>
                <w:rFonts w:hint="eastAsia"/>
                <w:color w:val="auto"/>
                <w:highlight w:val="none"/>
              </w:rPr>
              <w:t>）自洁釉面或纳米抗菌陶瓷。</w:t>
            </w:r>
          </w:p>
          <w:p>
            <w:pPr>
              <w:rPr>
                <w:color w:val="auto"/>
                <w:highlight w:val="none"/>
              </w:rPr>
            </w:pPr>
            <w:r>
              <w:rPr>
                <w:rFonts w:hint="eastAsia"/>
                <w:color w:val="auto"/>
                <w:highlight w:val="none"/>
              </w:rPr>
              <w:t>（</w:t>
            </w:r>
            <w:r>
              <w:rPr>
                <w:color w:val="auto"/>
                <w:highlight w:val="none"/>
              </w:rPr>
              <w:t>4</w:t>
            </w:r>
            <w:r>
              <w:rPr>
                <w:rFonts w:hint="eastAsia"/>
                <w:color w:val="auto"/>
                <w:highlight w:val="none"/>
              </w:rPr>
              <w:t>）颜色为白色。</w:t>
            </w:r>
          </w:p>
        </w:tc>
        <w:tc>
          <w:tcPr>
            <w:tcW w:w="567" w:type="dxa"/>
            <w:noWrap w:val="0"/>
            <w:vAlign w:val="center"/>
          </w:tcPr>
          <w:p>
            <w:pPr>
              <w:rPr>
                <w:color w:val="auto"/>
                <w:highlight w:val="none"/>
              </w:rPr>
            </w:pPr>
          </w:p>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3" w:type="dxa"/>
            <w:noWrap w:val="0"/>
            <w:vAlign w:val="center"/>
          </w:tcPr>
          <w:p>
            <w:pPr>
              <w:rPr>
                <w:color w:val="auto"/>
                <w:highlight w:val="none"/>
              </w:rPr>
            </w:pPr>
            <w:r>
              <w:rPr>
                <w:color w:val="auto"/>
                <w:highlight w:val="none"/>
              </w:rPr>
              <w:t>25.</w:t>
            </w:r>
          </w:p>
        </w:tc>
        <w:tc>
          <w:tcPr>
            <w:tcW w:w="966" w:type="dxa"/>
            <w:noWrap w:val="0"/>
            <w:vAlign w:val="center"/>
          </w:tcPr>
          <w:p>
            <w:pPr>
              <w:rPr>
                <w:color w:val="auto"/>
                <w:highlight w:val="none"/>
              </w:rPr>
            </w:pPr>
            <w:r>
              <w:rPr>
                <w:rFonts w:hint="eastAsia"/>
                <w:color w:val="auto"/>
                <w:highlight w:val="none"/>
              </w:rPr>
              <w:t>小便斗感应器</w:t>
            </w:r>
          </w:p>
        </w:tc>
        <w:tc>
          <w:tcPr>
            <w:tcW w:w="6589" w:type="dxa"/>
            <w:noWrap w:val="0"/>
            <w:vAlign w:val="center"/>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）制造商应通过</w:t>
            </w:r>
            <w:r>
              <w:rPr>
                <w:color w:val="auto"/>
                <w:highlight w:val="none"/>
              </w:rPr>
              <w:t>ISO9001</w:t>
            </w:r>
            <w:r>
              <w:rPr>
                <w:rFonts w:hint="eastAsia"/>
                <w:color w:val="auto"/>
                <w:highlight w:val="none"/>
              </w:rPr>
              <w:t>：</w:t>
            </w:r>
            <w:r>
              <w:rPr>
                <w:color w:val="auto"/>
                <w:highlight w:val="none"/>
              </w:rPr>
              <w:t>2000</w:t>
            </w:r>
            <w:r>
              <w:rPr>
                <w:rFonts w:hint="eastAsia"/>
                <w:color w:val="auto"/>
                <w:highlight w:val="none"/>
              </w:rPr>
              <w:t>质量管理体系认证。</w:t>
            </w:r>
          </w:p>
          <w:p>
            <w:pPr>
              <w:rPr>
                <w:color w:val="auto"/>
                <w:highlight w:val="none"/>
              </w:rPr>
            </w:pPr>
            <w:r>
              <w:rPr>
                <w:rFonts w:hint="eastAsia"/>
                <w:color w:val="auto"/>
                <w:highlight w:val="none"/>
              </w:rPr>
              <w:t>（</w:t>
            </w:r>
            <w:r>
              <w:rPr>
                <w:color w:val="auto"/>
                <w:highlight w:val="none"/>
              </w:rPr>
              <w:t>2</w:t>
            </w:r>
            <w:r>
              <w:rPr>
                <w:rFonts w:hint="eastAsia"/>
                <w:color w:val="auto"/>
                <w:highlight w:val="none"/>
              </w:rPr>
              <w:t>）制造商在深圳地区设有完善的售后服务机构。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）产品符合</w:t>
            </w:r>
            <w:r>
              <w:rPr>
                <w:color w:val="auto"/>
                <w:highlight w:val="none"/>
              </w:rPr>
              <w:t>GJ/T 194-2004</w:t>
            </w:r>
            <w:r>
              <w:rPr>
                <w:rFonts w:hint="eastAsia"/>
                <w:color w:val="auto"/>
                <w:highlight w:val="none"/>
              </w:rPr>
              <w:t>《非接触式给水器具》要求。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）感应装置嵌墙，不锈钢面板，铬色，内置感应电磁开关、定时器，感应范围及冲水量可调。</w:t>
            </w:r>
          </w:p>
          <w:p>
            <w:pPr>
              <w:rPr>
                <w:color w:val="auto"/>
                <w:highlight w:val="none"/>
              </w:rPr>
            </w:pPr>
            <w:r>
              <w:rPr>
                <w:rFonts w:hint="eastAsia"/>
                <w:color w:val="auto"/>
                <w:highlight w:val="none"/>
              </w:rPr>
              <w:t>（</w:t>
            </w:r>
            <w:r>
              <w:rPr>
                <w:color w:val="auto"/>
                <w:highlight w:val="none"/>
              </w:rPr>
              <w:t>3</w:t>
            </w:r>
            <w:r>
              <w:rPr>
                <w:rFonts w:hint="eastAsia"/>
                <w:color w:val="auto"/>
                <w:highlight w:val="none"/>
              </w:rPr>
              <w:t>）采用交流电驱动。</w:t>
            </w:r>
          </w:p>
          <w:p>
            <w:pPr>
              <w:rPr>
                <w:color w:val="auto"/>
                <w:highlight w:val="none"/>
              </w:rPr>
            </w:pPr>
          </w:p>
        </w:tc>
        <w:tc>
          <w:tcPr>
            <w:tcW w:w="567"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3" w:type="dxa"/>
            <w:noWrap w:val="0"/>
            <w:vAlign w:val="center"/>
          </w:tcPr>
          <w:p>
            <w:pPr>
              <w:rPr>
                <w:color w:val="auto"/>
                <w:highlight w:val="none"/>
              </w:rPr>
            </w:pPr>
            <w:r>
              <w:rPr>
                <w:color w:val="auto"/>
                <w:highlight w:val="none"/>
              </w:rPr>
              <w:t>26.</w:t>
            </w:r>
          </w:p>
        </w:tc>
        <w:tc>
          <w:tcPr>
            <w:tcW w:w="966" w:type="dxa"/>
            <w:noWrap w:val="0"/>
            <w:vAlign w:val="center"/>
          </w:tcPr>
          <w:p>
            <w:pPr>
              <w:rPr>
                <w:color w:val="auto"/>
                <w:highlight w:val="none"/>
              </w:rPr>
            </w:pPr>
            <w:r>
              <w:rPr>
                <w:rFonts w:hint="eastAsia"/>
                <w:color w:val="auto"/>
                <w:highlight w:val="none"/>
              </w:rPr>
              <w:t>普通水龙头</w:t>
            </w:r>
          </w:p>
        </w:tc>
        <w:tc>
          <w:tcPr>
            <w:tcW w:w="6589" w:type="dxa"/>
            <w:noWrap w:val="0"/>
            <w:vAlign w:val="center"/>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）制造商应通过</w:t>
            </w:r>
            <w:r>
              <w:rPr>
                <w:color w:val="auto"/>
                <w:highlight w:val="none"/>
              </w:rPr>
              <w:t>ISO9001</w:t>
            </w:r>
            <w:r>
              <w:rPr>
                <w:rFonts w:hint="eastAsia"/>
                <w:color w:val="auto"/>
                <w:highlight w:val="none"/>
              </w:rPr>
              <w:t>：</w:t>
            </w:r>
            <w:r>
              <w:rPr>
                <w:color w:val="auto"/>
                <w:highlight w:val="none"/>
              </w:rPr>
              <w:t>2000</w:t>
            </w:r>
            <w:r>
              <w:rPr>
                <w:rFonts w:hint="eastAsia"/>
                <w:color w:val="auto"/>
                <w:highlight w:val="none"/>
              </w:rPr>
              <w:t>质量管理体系认证。</w:t>
            </w:r>
          </w:p>
          <w:p>
            <w:pPr>
              <w:rPr>
                <w:color w:val="auto"/>
                <w:highlight w:val="none"/>
              </w:rPr>
            </w:pPr>
            <w:r>
              <w:rPr>
                <w:rFonts w:hint="eastAsia"/>
                <w:color w:val="auto"/>
                <w:highlight w:val="none"/>
              </w:rPr>
              <w:t>（</w:t>
            </w:r>
            <w:r>
              <w:rPr>
                <w:color w:val="auto"/>
                <w:highlight w:val="none"/>
              </w:rPr>
              <w:t>2</w:t>
            </w:r>
            <w:r>
              <w:rPr>
                <w:rFonts w:hint="eastAsia"/>
                <w:color w:val="auto"/>
                <w:highlight w:val="none"/>
              </w:rPr>
              <w:t>）制造商注册资本：不少于</w:t>
            </w:r>
            <w:r>
              <w:rPr>
                <w:color w:val="auto"/>
                <w:highlight w:val="none"/>
              </w:rPr>
              <w:t>3000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3</w:t>
            </w:r>
            <w:r>
              <w:rPr>
                <w:rFonts w:hint="eastAsia"/>
                <w:color w:val="auto"/>
                <w:highlight w:val="none"/>
              </w:rPr>
              <w:t>）制造商在深圳地区设有完善的售后服务机构。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）通过中国节水产品认证。</w:t>
            </w:r>
          </w:p>
          <w:p>
            <w:pPr>
              <w:rPr>
                <w:color w:val="auto"/>
                <w:highlight w:val="none"/>
              </w:rPr>
            </w:pPr>
            <w:r>
              <w:rPr>
                <w:rFonts w:hint="eastAsia"/>
                <w:color w:val="auto"/>
                <w:highlight w:val="none"/>
              </w:rPr>
              <w:t>（</w:t>
            </w:r>
            <w:r>
              <w:rPr>
                <w:color w:val="auto"/>
                <w:highlight w:val="none"/>
              </w:rPr>
              <w:t>2</w:t>
            </w:r>
            <w:r>
              <w:rPr>
                <w:rFonts w:hint="eastAsia"/>
                <w:color w:val="auto"/>
                <w:highlight w:val="none"/>
              </w:rPr>
              <w:t>）产品符合</w:t>
            </w:r>
            <w:r>
              <w:rPr>
                <w:color w:val="auto"/>
                <w:highlight w:val="none"/>
              </w:rPr>
              <w:t>CJ 164-2002</w:t>
            </w:r>
            <w:r>
              <w:rPr>
                <w:rFonts w:hint="eastAsia"/>
                <w:color w:val="auto"/>
                <w:highlight w:val="none"/>
              </w:rPr>
              <w:t>《节水型生活用水器具标准规范》要求。</w:t>
            </w:r>
          </w:p>
          <w:p>
            <w:pPr>
              <w:rPr>
                <w:color w:val="auto"/>
                <w:highlight w:val="none"/>
              </w:rPr>
            </w:pPr>
            <w:r>
              <w:rPr>
                <w:rFonts w:hint="eastAsia"/>
                <w:color w:val="auto"/>
                <w:highlight w:val="none"/>
              </w:rPr>
              <w:t>（</w:t>
            </w:r>
            <w:r>
              <w:rPr>
                <w:color w:val="auto"/>
                <w:highlight w:val="none"/>
              </w:rPr>
              <w:t>3</w:t>
            </w:r>
            <w:r>
              <w:rPr>
                <w:rFonts w:hint="eastAsia"/>
                <w:color w:val="auto"/>
                <w:highlight w:val="none"/>
              </w:rPr>
              <w:t>）绿色建筑应符合水嘴用水效率限定值及用水效率等级（</w:t>
            </w:r>
            <w:r>
              <w:rPr>
                <w:color w:val="auto"/>
                <w:highlight w:val="none"/>
              </w:rPr>
              <w:t>GB25501-2010</w:t>
            </w:r>
            <w:r>
              <w:rPr>
                <w:rFonts w:hint="eastAsia"/>
                <w:color w:val="auto"/>
                <w:highlight w:val="none"/>
              </w:rPr>
              <w:t>）节水</w:t>
            </w:r>
            <w:r>
              <w:rPr>
                <w:color w:val="auto"/>
                <w:highlight w:val="none"/>
              </w:rPr>
              <w:t>2</w:t>
            </w:r>
            <w:r>
              <w:rPr>
                <w:rFonts w:hint="eastAsia"/>
                <w:color w:val="auto"/>
                <w:highlight w:val="none"/>
              </w:rPr>
              <w:t>级的规定。</w:t>
            </w:r>
          </w:p>
          <w:p>
            <w:pPr>
              <w:rPr>
                <w:color w:val="auto"/>
                <w:highlight w:val="none"/>
              </w:rPr>
            </w:pPr>
            <w:r>
              <w:rPr>
                <w:rFonts w:hint="eastAsia"/>
                <w:color w:val="auto"/>
                <w:highlight w:val="none"/>
              </w:rPr>
              <w:t>（</w:t>
            </w:r>
            <w:r>
              <w:rPr>
                <w:color w:val="auto"/>
                <w:highlight w:val="none"/>
              </w:rPr>
              <w:t>4</w:t>
            </w:r>
            <w:r>
              <w:rPr>
                <w:rFonts w:hint="eastAsia"/>
                <w:color w:val="auto"/>
                <w:highlight w:val="none"/>
              </w:rPr>
              <w:t>）陶瓷片密封式水嘴，黄铜本体。</w:t>
            </w:r>
          </w:p>
          <w:p>
            <w:pPr>
              <w:rPr>
                <w:color w:val="auto"/>
                <w:highlight w:val="none"/>
              </w:rPr>
            </w:pPr>
          </w:p>
        </w:tc>
        <w:tc>
          <w:tcPr>
            <w:tcW w:w="567"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3" w:type="dxa"/>
            <w:noWrap w:val="0"/>
            <w:vAlign w:val="center"/>
          </w:tcPr>
          <w:p>
            <w:pPr>
              <w:rPr>
                <w:color w:val="auto"/>
                <w:highlight w:val="none"/>
              </w:rPr>
            </w:pPr>
            <w:r>
              <w:rPr>
                <w:color w:val="auto"/>
                <w:highlight w:val="none"/>
              </w:rPr>
              <w:t>27.</w:t>
            </w:r>
          </w:p>
        </w:tc>
        <w:tc>
          <w:tcPr>
            <w:tcW w:w="966" w:type="dxa"/>
            <w:noWrap w:val="0"/>
            <w:vAlign w:val="center"/>
          </w:tcPr>
          <w:p>
            <w:pPr>
              <w:rPr>
                <w:color w:val="auto"/>
                <w:highlight w:val="none"/>
              </w:rPr>
            </w:pPr>
            <w:r>
              <w:rPr>
                <w:rFonts w:hint="eastAsia"/>
                <w:color w:val="auto"/>
                <w:highlight w:val="none"/>
              </w:rPr>
              <w:t>淋浴花洒</w:t>
            </w:r>
          </w:p>
        </w:tc>
        <w:tc>
          <w:tcPr>
            <w:tcW w:w="6589" w:type="dxa"/>
            <w:noWrap w:val="0"/>
            <w:vAlign w:val="center"/>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）制造商应通过</w:t>
            </w:r>
            <w:r>
              <w:rPr>
                <w:color w:val="auto"/>
                <w:highlight w:val="none"/>
              </w:rPr>
              <w:t>ISO9001</w:t>
            </w:r>
            <w:r>
              <w:rPr>
                <w:rFonts w:hint="eastAsia"/>
                <w:color w:val="auto"/>
                <w:highlight w:val="none"/>
              </w:rPr>
              <w:t>：</w:t>
            </w:r>
            <w:r>
              <w:rPr>
                <w:color w:val="auto"/>
                <w:highlight w:val="none"/>
              </w:rPr>
              <w:t>2000</w:t>
            </w:r>
            <w:r>
              <w:rPr>
                <w:rFonts w:hint="eastAsia"/>
                <w:color w:val="auto"/>
                <w:highlight w:val="none"/>
              </w:rPr>
              <w:t>质量管理体系认证。</w:t>
            </w:r>
          </w:p>
          <w:p>
            <w:pPr>
              <w:rPr>
                <w:color w:val="auto"/>
                <w:highlight w:val="none"/>
              </w:rPr>
            </w:pPr>
            <w:r>
              <w:rPr>
                <w:rFonts w:hint="eastAsia"/>
                <w:color w:val="auto"/>
                <w:highlight w:val="none"/>
              </w:rPr>
              <w:t>（</w:t>
            </w:r>
            <w:r>
              <w:rPr>
                <w:color w:val="auto"/>
                <w:highlight w:val="none"/>
              </w:rPr>
              <w:t>2</w:t>
            </w:r>
            <w:r>
              <w:rPr>
                <w:rFonts w:hint="eastAsia"/>
                <w:color w:val="auto"/>
                <w:highlight w:val="none"/>
              </w:rPr>
              <w:t>）制造商注册资本：不少于</w:t>
            </w:r>
            <w:r>
              <w:rPr>
                <w:color w:val="auto"/>
                <w:highlight w:val="none"/>
              </w:rPr>
              <w:t>3000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3</w:t>
            </w:r>
            <w:r>
              <w:rPr>
                <w:rFonts w:hint="eastAsia"/>
                <w:color w:val="auto"/>
                <w:highlight w:val="none"/>
              </w:rPr>
              <w:t>）制造商在深圳地区设有完善的售后服务机构。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）产品符合</w:t>
            </w:r>
            <w:r>
              <w:rPr>
                <w:color w:val="auto"/>
                <w:highlight w:val="none"/>
              </w:rPr>
              <w:t>CJ 164-2002</w:t>
            </w:r>
            <w:r>
              <w:rPr>
                <w:rFonts w:hint="eastAsia"/>
                <w:color w:val="auto"/>
                <w:highlight w:val="none"/>
              </w:rPr>
              <w:t>《节水型生活用水器具标准规范》要求。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）通过中国节水产品认证。</w:t>
            </w:r>
          </w:p>
          <w:p>
            <w:pPr>
              <w:rPr>
                <w:color w:val="auto"/>
                <w:highlight w:val="none"/>
              </w:rPr>
            </w:pPr>
            <w:r>
              <w:rPr>
                <w:rFonts w:hint="eastAsia"/>
                <w:color w:val="auto"/>
                <w:highlight w:val="none"/>
              </w:rPr>
              <w:t>（</w:t>
            </w:r>
            <w:r>
              <w:rPr>
                <w:color w:val="auto"/>
                <w:highlight w:val="none"/>
              </w:rPr>
              <w:t>3</w:t>
            </w:r>
            <w:r>
              <w:rPr>
                <w:rFonts w:hint="eastAsia"/>
                <w:color w:val="auto"/>
                <w:highlight w:val="none"/>
              </w:rPr>
              <w:t>）绿色建筑应符合淋浴器用水效率限定值及用水效率等级（</w:t>
            </w:r>
            <w:r>
              <w:rPr>
                <w:color w:val="auto"/>
                <w:highlight w:val="none"/>
              </w:rPr>
              <w:t>GB28378-2012</w:t>
            </w:r>
            <w:r>
              <w:rPr>
                <w:rFonts w:hint="eastAsia"/>
                <w:color w:val="auto"/>
                <w:highlight w:val="none"/>
              </w:rPr>
              <w:t>）节水</w:t>
            </w:r>
            <w:r>
              <w:rPr>
                <w:color w:val="auto"/>
                <w:highlight w:val="none"/>
              </w:rPr>
              <w:t>2</w:t>
            </w:r>
            <w:r>
              <w:rPr>
                <w:rFonts w:hint="eastAsia"/>
                <w:color w:val="auto"/>
                <w:highlight w:val="none"/>
              </w:rPr>
              <w:t>级的规定。</w:t>
            </w:r>
          </w:p>
          <w:p>
            <w:pPr>
              <w:rPr>
                <w:color w:val="auto"/>
                <w:highlight w:val="none"/>
              </w:rPr>
            </w:pPr>
            <w:r>
              <w:rPr>
                <w:rFonts w:hint="eastAsia"/>
                <w:color w:val="auto"/>
                <w:highlight w:val="none"/>
              </w:rPr>
              <w:t>（</w:t>
            </w:r>
            <w:r>
              <w:rPr>
                <w:color w:val="auto"/>
                <w:highlight w:val="none"/>
              </w:rPr>
              <w:t>4</w:t>
            </w:r>
            <w:r>
              <w:rPr>
                <w:rFonts w:hint="eastAsia"/>
                <w:color w:val="auto"/>
                <w:highlight w:val="none"/>
              </w:rPr>
              <w:t>）放水龙头采用黄铜材质本体，表面镀铬。</w:t>
            </w:r>
          </w:p>
          <w:p>
            <w:pPr>
              <w:rPr>
                <w:color w:val="auto"/>
                <w:highlight w:val="none"/>
              </w:rPr>
            </w:pPr>
            <w:r>
              <w:rPr>
                <w:rFonts w:hint="eastAsia"/>
                <w:color w:val="auto"/>
                <w:highlight w:val="none"/>
              </w:rPr>
              <w:t>（</w:t>
            </w:r>
            <w:r>
              <w:rPr>
                <w:color w:val="auto"/>
                <w:highlight w:val="none"/>
              </w:rPr>
              <w:t>5</w:t>
            </w:r>
            <w:r>
              <w:rPr>
                <w:rFonts w:hint="eastAsia"/>
                <w:color w:val="auto"/>
                <w:highlight w:val="none"/>
              </w:rPr>
              <w:t>）陶瓷阀芯，冷热水调节方便。</w:t>
            </w:r>
          </w:p>
          <w:p>
            <w:pPr>
              <w:rPr>
                <w:color w:val="auto"/>
                <w:highlight w:val="none"/>
              </w:rPr>
            </w:pPr>
            <w:r>
              <w:rPr>
                <w:rFonts w:hint="eastAsia"/>
                <w:color w:val="auto"/>
                <w:highlight w:val="none"/>
              </w:rPr>
              <w:t>（</w:t>
            </w:r>
            <w:r>
              <w:rPr>
                <w:color w:val="auto"/>
                <w:highlight w:val="none"/>
              </w:rPr>
              <w:t>6</w:t>
            </w:r>
            <w:r>
              <w:rPr>
                <w:rFonts w:hint="eastAsia"/>
                <w:color w:val="auto"/>
                <w:highlight w:val="none"/>
              </w:rPr>
              <w:t>）花洒插座位置可自由调节。</w:t>
            </w:r>
          </w:p>
          <w:p>
            <w:pPr>
              <w:rPr>
                <w:color w:val="auto"/>
                <w:highlight w:val="none"/>
              </w:rPr>
            </w:pPr>
            <w:r>
              <w:rPr>
                <w:rFonts w:hint="eastAsia"/>
                <w:color w:val="auto"/>
                <w:highlight w:val="none"/>
              </w:rPr>
              <w:t>（</w:t>
            </w:r>
            <w:r>
              <w:rPr>
                <w:color w:val="auto"/>
                <w:highlight w:val="none"/>
              </w:rPr>
              <w:t>7</w:t>
            </w:r>
            <w:r>
              <w:rPr>
                <w:rFonts w:hint="eastAsia"/>
                <w:color w:val="auto"/>
                <w:highlight w:val="none"/>
              </w:rPr>
              <w:t>）铜质镀铬滑杆（</w:t>
            </w:r>
            <w:r>
              <w:rPr>
                <w:color w:val="auto"/>
                <w:highlight w:val="none"/>
              </w:rPr>
              <w:t>0.8mm</w:t>
            </w:r>
            <w:r>
              <w:rPr>
                <w:rFonts w:hint="eastAsia"/>
                <w:color w:val="auto"/>
                <w:highlight w:val="none"/>
              </w:rPr>
              <w:t>加厚铜管）。</w:t>
            </w:r>
          </w:p>
          <w:p>
            <w:pPr>
              <w:rPr>
                <w:color w:val="auto"/>
                <w:highlight w:val="none"/>
              </w:rPr>
            </w:pPr>
          </w:p>
        </w:tc>
        <w:tc>
          <w:tcPr>
            <w:tcW w:w="567"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3" w:type="dxa"/>
            <w:noWrap w:val="0"/>
            <w:vAlign w:val="center"/>
          </w:tcPr>
          <w:p>
            <w:pPr>
              <w:rPr>
                <w:color w:val="auto"/>
                <w:highlight w:val="none"/>
              </w:rPr>
            </w:pPr>
            <w:r>
              <w:rPr>
                <w:color w:val="auto"/>
                <w:highlight w:val="none"/>
              </w:rPr>
              <w:t>28.</w:t>
            </w:r>
          </w:p>
        </w:tc>
        <w:tc>
          <w:tcPr>
            <w:tcW w:w="966" w:type="dxa"/>
            <w:noWrap w:val="0"/>
            <w:vAlign w:val="center"/>
          </w:tcPr>
          <w:p>
            <w:pPr>
              <w:rPr>
                <w:color w:val="auto"/>
                <w:highlight w:val="none"/>
              </w:rPr>
            </w:pPr>
            <w:r>
              <w:rPr>
                <w:rFonts w:hint="eastAsia"/>
                <w:color w:val="auto"/>
                <w:highlight w:val="none"/>
              </w:rPr>
              <w:t>感应龙头</w:t>
            </w:r>
          </w:p>
        </w:tc>
        <w:tc>
          <w:tcPr>
            <w:tcW w:w="6589" w:type="dxa"/>
            <w:noWrap w:val="0"/>
            <w:vAlign w:val="center"/>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）制造商应通过</w:t>
            </w:r>
            <w:r>
              <w:rPr>
                <w:color w:val="auto"/>
                <w:highlight w:val="none"/>
              </w:rPr>
              <w:t>ISO9001</w:t>
            </w:r>
            <w:r>
              <w:rPr>
                <w:rFonts w:hint="eastAsia"/>
                <w:color w:val="auto"/>
                <w:highlight w:val="none"/>
              </w:rPr>
              <w:t>：</w:t>
            </w:r>
            <w:r>
              <w:rPr>
                <w:color w:val="auto"/>
                <w:highlight w:val="none"/>
              </w:rPr>
              <w:t>2000</w:t>
            </w:r>
            <w:r>
              <w:rPr>
                <w:rFonts w:hint="eastAsia"/>
                <w:color w:val="auto"/>
                <w:highlight w:val="none"/>
              </w:rPr>
              <w:t>质量管理体系认证。</w:t>
            </w:r>
          </w:p>
          <w:p>
            <w:pPr>
              <w:rPr>
                <w:color w:val="auto"/>
                <w:highlight w:val="none"/>
              </w:rPr>
            </w:pPr>
            <w:r>
              <w:rPr>
                <w:rFonts w:hint="eastAsia"/>
                <w:color w:val="auto"/>
                <w:highlight w:val="none"/>
              </w:rPr>
              <w:t>（</w:t>
            </w:r>
            <w:r>
              <w:rPr>
                <w:color w:val="auto"/>
                <w:highlight w:val="none"/>
              </w:rPr>
              <w:t>2</w:t>
            </w:r>
            <w:r>
              <w:rPr>
                <w:rFonts w:hint="eastAsia"/>
                <w:color w:val="auto"/>
                <w:highlight w:val="none"/>
              </w:rPr>
              <w:t>）制造商注册资本：不少于</w:t>
            </w:r>
            <w:r>
              <w:rPr>
                <w:color w:val="auto"/>
                <w:highlight w:val="none"/>
              </w:rPr>
              <w:t>3000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3</w:t>
            </w:r>
            <w:r>
              <w:rPr>
                <w:rFonts w:hint="eastAsia"/>
                <w:color w:val="auto"/>
                <w:highlight w:val="none"/>
              </w:rPr>
              <w:t>）制造商在深圳地区设有完善的售后服务机构。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）产品符合</w:t>
            </w:r>
            <w:r>
              <w:rPr>
                <w:color w:val="auto"/>
                <w:highlight w:val="none"/>
              </w:rPr>
              <w:t>CJ 164-2002</w:t>
            </w:r>
            <w:r>
              <w:rPr>
                <w:rFonts w:hint="eastAsia"/>
                <w:color w:val="auto"/>
                <w:highlight w:val="none"/>
              </w:rPr>
              <w:t>《节水型生活用水器具标准规范》要求。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）产品符合</w:t>
            </w:r>
            <w:r>
              <w:rPr>
                <w:color w:val="auto"/>
                <w:highlight w:val="none"/>
              </w:rPr>
              <w:t>CJ/T 194-2004</w:t>
            </w:r>
            <w:r>
              <w:rPr>
                <w:rFonts w:hint="eastAsia"/>
                <w:color w:val="auto"/>
                <w:highlight w:val="none"/>
              </w:rPr>
              <w:t>《非接触式给水器具》要求。</w:t>
            </w:r>
          </w:p>
          <w:p>
            <w:pPr>
              <w:rPr>
                <w:color w:val="auto"/>
                <w:highlight w:val="none"/>
              </w:rPr>
            </w:pPr>
            <w:r>
              <w:rPr>
                <w:rFonts w:hint="eastAsia"/>
                <w:color w:val="auto"/>
                <w:highlight w:val="none"/>
              </w:rPr>
              <w:t>（</w:t>
            </w:r>
            <w:r>
              <w:rPr>
                <w:color w:val="auto"/>
                <w:highlight w:val="none"/>
              </w:rPr>
              <w:t>3</w:t>
            </w:r>
            <w:r>
              <w:rPr>
                <w:rFonts w:hint="eastAsia"/>
                <w:color w:val="auto"/>
                <w:highlight w:val="none"/>
              </w:rPr>
              <w:t>）感应龙头：陶瓷片密封式水嘴，黄铜本体，表面镀铬或不锈钢本体。</w:t>
            </w:r>
          </w:p>
          <w:p>
            <w:pPr>
              <w:rPr>
                <w:color w:val="auto"/>
                <w:highlight w:val="none"/>
              </w:rPr>
            </w:pPr>
            <w:r>
              <w:rPr>
                <w:rFonts w:hint="eastAsia"/>
                <w:color w:val="auto"/>
                <w:highlight w:val="none"/>
              </w:rPr>
              <w:t>（</w:t>
            </w:r>
            <w:r>
              <w:rPr>
                <w:color w:val="auto"/>
                <w:highlight w:val="none"/>
              </w:rPr>
              <w:t>4</w:t>
            </w:r>
            <w:r>
              <w:rPr>
                <w:rFonts w:hint="eastAsia"/>
                <w:color w:val="auto"/>
                <w:highlight w:val="none"/>
              </w:rPr>
              <w:t>）采用交流电驱动。</w:t>
            </w:r>
          </w:p>
          <w:p>
            <w:pPr>
              <w:rPr>
                <w:color w:val="auto"/>
                <w:highlight w:val="none"/>
              </w:rPr>
            </w:pPr>
            <w:r>
              <w:rPr>
                <w:rFonts w:hint="eastAsia"/>
                <w:color w:val="auto"/>
                <w:highlight w:val="none"/>
              </w:rPr>
              <w:t>（</w:t>
            </w:r>
            <w:r>
              <w:rPr>
                <w:color w:val="auto"/>
                <w:highlight w:val="none"/>
              </w:rPr>
              <w:t>5</w:t>
            </w:r>
            <w:r>
              <w:rPr>
                <w:rFonts w:hint="eastAsia"/>
                <w:color w:val="auto"/>
                <w:highlight w:val="none"/>
              </w:rPr>
              <w:t>）超时自动关闭水源（连续冲水超过</w:t>
            </w:r>
            <w:r>
              <w:rPr>
                <w:color w:val="auto"/>
                <w:highlight w:val="none"/>
              </w:rPr>
              <w:t>60</w:t>
            </w:r>
            <w:r>
              <w:rPr>
                <w:rFonts w:hint="eastAsia"/>
                <w:color w:val="auto"/>
                <w:highlight w:val="none"/>
              </w:rPr>
              <w:t>秒，自动关水）。</w:t>
            </w:r>
          </w:p>
          <w:p>
            <w:pPr>
              <w:rPr>
                <w:color w:val="auto"/>
                <w:highlight w:val="none"/>
              </w:rPr>
            </w:pPr>
            <w:r>
              <w:rPr>
                <w:rFonts w:hint="eastAsia"/>
                <w:color w:val="auto"/>
                <w:highlight w:val="none"/>
              </w:rPr>
              <w:t>（</w:t>
            </w:r>
            <w:r>
              <w:rPr>
                <w:color w:val="auto"/>
                <w:highlight w:val="none"/>
              </w:rPr>
              <w:t>6</w:t>
            </w:r>
            <w:r>
              <w:rPr>
                <w:rFonts w:hint="eastAsia"/>
                <w:color w:val="auto"/>
                <w:highlight w:val="none"/>
              </w:rPr>
              <w:t>）防光线干扰控制，使用稳定，避免误操作。</w:t>
            </w:r>
          </w:p>
          <w:p>
            <w:pPr>
              <w:rPr>
                <w:color w:val="auto"/>
                <w:highlight w:val="none"/>
              </w:rPr>
            </w:pPr>
            <w:r>
              <w:rPr>
                <w:rFonts w:hint="eastAsia"/>
                <w:color w:val="auto"/>
                <w:highlight w:val="none"/>
              </w:rPr>
              <w:t>（</w:t>
            </w:r>
            <w:r>
              <w:rPr>
                <w:color w:val="auto"/>
                <w:highlight w:val="none"/>
              </w:rPr>
              <w:t>7</w:t>
            </w:r>
            <w:r>
              <w:rPr>
                <w:rFonts w:hint="eastAsia"/>
                <w:color w:val="auto"/>
                <w:highlight w:val="none"/>
              </w:rPr>
              <w:t>）无电指示功能。</w:t>
            </w:r>
          </w:p>
          <w:p>
            <w:pPr>
              <w:rPr>
                <w:color w:val="auto"/>
                <w:highlight w:val="none"/>
              </w:rPr>
            </w:pPr>
          </w:p>
        </w:tc>
        <w:tc>
          <w:tcPr>
            <w:tcW w:w="567"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3" w:type="dxa"/>
            <w:noWrap w:val="0"/>
            <w:vAlign w:val="center"/>
          </w:tcPr>
          <w:p>
            <w:pPr>
              <w:rPr>
                <w:color w:val="auto"/>
                <w:highlight w:val="none"/>
              </w:rPr>
            </w:pPr>
            <w:r>
              <w:rPr>
                <w:color w:val="auto"/>
                <w:highlight w:val="none"/>
              </w:rPr>
              <w:t>29.</w:t>
            </w:r>
          </w:p>
        </w:tc>
        <w:tc>
          <w:tcPr>
            <w:tcW w:w="966" w:type="dxa"/>
            <w:noWrap w:val="0"/>
            <w:vAlign w:val="center"/>
          </w:tcPr>
          <w:p>
            <w:pPr>
              <w:rPr>
                <w:color w:val="auto"/>
                <w:highlight w:val="none"/>
              </w:rPr>
            </w:pPr>
            <w:r>
              <w:rPr>
                <w:rFonts w:hint="eastAsia"/>
                <w:color w:val="auto"/>
                <w:highlight w:val="none"/>
              </w:rPr>
              <w:t>拖布池</w:t>
            </w:r>
          </w:p>
        </w:tc>
        <w:tc>
          <w:tcPr>
            <w:tcW w:w="6589" w:type="dxa"/>
            <w:noWrap w:val="0"/>
            <w:vAlign w:val="center"/>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）制造商应通过</w:t>
            </w:r>
            <w:r>
              <w:rPr>
                <w:color w:val="auto"/>
                <w:highlight w:val="none"/>
              </w:rPr>
              <w:t>ISO9001</w:t>
            </w:r>
            <w:r>
              <w:rPr>
                <w:rFonts w:hint="eastAsia"/>
                <w:color w:val="auto"/>
                <w:highlight w:val="none"/>
              </w:rPr>
              <w:t>：</w:t>
            </w:r>
            <w:r>
              <w:rPr>
                <w:color w:val="auto"/>
                <w:highlight w:val="none"/>
              </w:rPr>
              <w:t>2000</w:t>
            </w:r>
            <w:r>
              <w:rPr>
                <w:rFonts w:hint="eastAsia"/>
                <w:color w:val="auto"/>
                <w:highlight w:val="none"/>
              </w:rPr>
              <w:t>质量管理体系认证。</w:t>
            </w:r>
          </w:p>
          <w:p>
            <w:pPr>
              <w:rPr>
                <w:color w:val="auto"/>
                <w:highlight w:val="none"/>
              </w:rPr>
            </w:pPr>
            <w:r>
              <w:rPr>
                <w:rFonts w:hint="eastAsia"/>
                <w:color w:val="auto"/>
                <w:highlight w:val="none"/>
              </w:rPr>
              <w:t>（</w:t>
            </w:r>
            <w:r>
              <w:rPr>
                <w:color w:val="auto"/>
                <w:highlight w:val="none"/>
              </w:rPr>
              <w:t>2</w:t>
            </w:r>
            <w:r>
              <w:rPr>
                <w:rFonts w:hint="eastAsia"/>
                <w:color w:val="auto"/>
                <w:highlight w:val="none"/>
              </w:rPr>
              <w:t>）制造商注册资本：不少于</w:t>
            </w:r>
            <w:r>
              <w:rPr>
                <w:color w:val="auto"/>
                <w:highlight w:val="none"/>
              </w:rPr>
              <w:t>3000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3</w:t>
            </w:r>
            <w:r>
              <w:rPr>
                <w:rFonts w:hint="eastAsia"/>
                <w:color w:val="auto"/>
                <w:highlight w:val="none"/>
              </w:rPr>
              <w:t>）制造商在深圳地区设有完善的售后服务机构。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）陶瓷放射性检测达到</w:t>
            </w:r>
            <w:r>
              <w:rPr>
                <w:color w:val="auto"/>
                <w:highlight w:val="none"/>
              </w:rPr>
              <w:t>GB6566</w:t>
            </w:r>
            <w:r>
              <w:rPr>
                <w:rFonts w:hint="eastAsia"/>
                <w:color w:val="auto"/>
                <w:highlight w:val="none"/>
              </w:rPr>
              <w:t>标准。</w:t>
            </w:r>
          </w:p>
          <w:p>
            <w:pPr>
              <w:rPr>
                <w:color w:val="auto"/>
                <w:highlight w:val="none"/>
              </w:rPr>
            </w:pPr>
            <w:r>
              <w:rPr>
                <w:rFonts w:hint="eastAsia"/>
                <w:color w:val="auto"/>
                <w:highlight w:val="none"/>
              </w:rPr>
              <w:t>（</w:t>
            </w:r>
            <w:r>
              <w:rPr>
                <w:color w:val="auto"/>
                <w:highlight w:val="none"/>
              </w:rPr>
              <w:t>2</w:t>
            </w:r>
            <w:r>
              <w:rPr>
                <w:rFonts w:hint="eastAsia"/>
                <w:color w:val="auto"/>
                <w:highlight w:val="none"/>
              </w:rPr>
              <w:t>）颜色为白色。</w:t>
            </w:r>
          </w:p>
          <w:p>
            <w:pPr>
              <w:rPr>
                <w:color w:val="auto"/>
                <w:highlight w:val="none"/>
              </w:rPr>
            </w:pPr>
          </w:p>
        </w:tc>
        <w:tc>
          <w:tcPr>
            <w:tcW w:w="567"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33" w:type="dxa"/>
            <w:noWrap w:val="0"/>
            <w:vAlign w:val="center"/>
          </w:tcPr>
          <w:p>
            <w:pPr>
              <w:rPr>
                <w:color w:val="auto"/>
                <w:highlight w:val="none"/>
              </w:rPr>
            </w:pPr>
            <w:r>
              <w:rPr>
                <w:color w:val="auto"/>
                <w:highlight w:val="none"/>
              </w:rPr>
              <w:t>30.</w:t>
            </w:r>
          </w:p>
        </w:tc>
        <w:tc>
          <w:tcPr>
            <w:tcW w:w="966" w:type="dxa"/>
            <w:noWrap w:val="0"/>
            <w:vAlign w:val="center"/>
          </w:tcPr>
          <w:p>
            <w:pPr>
              <w:rPr>
                <w:color w:val="auto"/>
                <w:highlight w:val="none"/>
              </w:rPr>
            </w:pPr>
            <w:r>
              <w:rPr>
                <w:rFonts w:hint="eastAsia"/>
                <w:color w:val="auto"/>
                <w:highlight w:val="none"/>
              </w:rPr>
              <w:t>内肋增强</w:t>
            </w:r>
            <w:r>
              <w:rPr>
                <w:color w:val="auto"/>
                <w:highlight w:val="none"/>
              </w:rPr>
              <w:t>HDPE</w:t>
            </w:r>
            <w:r>
              <w:rPr>
                <w:rFonts w:hint="eastAsia"/>
                <w:color w:val="auto"/>
                <w:highlight w:val="none"/>
              </w:rPr>
              <w:t>螺旋波纹管</w:t>
            </w:r>
          </w:p>
        </w:tc>
        <w:tc>
          <w:tcPr>
            <w:tcW w:w="6589" w:type="dxa"/>
            <w:noWrap w:val="0"/>
            <w:vAlign w:val="center"/>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）制造商必须通过</w:t>
            </w:r>
            <w:r>
              <w:rPr>
                <w:color w:val="auto"/>
                <w:highlight w:val="none"/>
              </w:rPr>
              <w:t>ISO9001</w:t>
            </w:r>
            <w:r>
              <w:rPr>
                <w:rFonts w:hint="eastAsia"/>
                <w:color w:val="auto"/>
                <w:highlight w:val="none"/>
              </w:rPr>
              <w:t>：</w:t>
            </w:r>
            <w:r>
              <w:rPr>
                <w:color w:val="auto"/>
                <w:highlight w:val="none"/>
              </w:rPr>
              <w:t>2000</w:t>
            </w:r>
            <w:r>
              <w:rPr>
                <w:rFonts w:hint="eastAsia"/>
                <w:color w:val="auto"/>
                <w:highlight w:val="none"/>
              </w:rPr>
              <w:t>系列质量体系认证，并能提供相关产品的国家权威机构检验报告。</w:t>
            </w:r>
          </w:p>
          <w:p>
            <w:pPr>
              <w:rPr>
                <w:color w:val="auto"/>
                <w:highlight w:val="none"/>
              </w:rPr>
            </w:pPr>
            <w:r>
              <w:rPr>
                <w:rFonts w:hint="eastAsia"/>
                <w:color w:val="auto"/>
                <w:highlight w:val="none"/>
              </w:rPr>
              <w:t>（</w:t>
            </w:r>
            <w:r>
              <w:rPr>
                <w:color w:val="auto"/>
                <w:highlight w:val="none"/>
              </w:rPr>
              <w:t>2</w:t>
            </w:r>
            <w:r>
              <w:rPr>
                <w:rFonts w:hint="eastAsia"/>
                <w:color w:val="auto"/>
                <w:highlight w:val="none"/>
              </w:rPr>
              <w:t>）制造商注册资本：不少于</w:t>
            </w:r>
            <w:r>
              <w:rPr>
                <w:color w:val="auto"/>
                <w:highlight w:val="none"/>
              </w:rPr>
              <w:t>2000</w:t>
            </w:r>
            <w:r>
              <w:rPr>
                <w:rFonts w:hint="eastAsia"/>
                <w:color w:val="auto"/>
                <w:highlight w:val="none"/>
              </w:rPr>
              <w:t>万元人民币。</w:t>
            </w:r>
          </w:p>
          <w:p>
            <w:pPr>
              <w:rPr>
                <w:color w:val="auto"/>
                <w:highlight w:val="none"/>
              </w:rPr>
            </w:pPr>
            <w:r>
              <w:rPr>
                <w:rFonts w:hint="eastAsia"/>
                <w:color w:val="auto"/>
                <w:highlight w:val="none"/>
              </w:rPr>
              <w:t>（</w:t>
            </w:r>
            <w:r>
              <w:rPr>
                <w:color w:val="auto"/>
                <w:highlight w:val="none"/>
              </w:rPr>
              <w:t>3</w:t>
            </w:r>
            <w:r>
              <w:rPr>
                <w:rFonts w:hint="eastAsia"/>
                <w:color w:val="auto"/>
                <w:highlight w:val="none"/>
              </w:rPr>
              <w:t>）应为省级以上名牌产品，或省级以上著名商标，或国家免检产品。</w:t>
            </w:r>
          </w:p>
          <w:p>
            <w:pPr>
              <w:rPr>
                <w:color w:val="auto"/>
                <w:highlight w:val="none"/>
              </w:rPr>
            </w:pPr>
            <w:r>
              <w:rPr>
                <w:rFonts w:hint="eastAsia"/>
                <w:color w:val="auto"/>
                <w:highlight w:val="none"/>
              </w:rPr>
              <w:t>（</w:t>
            </w:r>
            <w:r>
              <w:rPr>
                <w:color w:val="auto"/>
                <w:highlight w:val="none"/>
              </w:rPr>
              <w:t>4</w:t>
            </w:r>
            <w:r>
              <w:rPr>
                <w:rFonts w:hint="eastAsia"/>
                <w:color w:val="auto"/>
                <w:highlight w:val="none"/>
              </w:rPr>
              <w:t>）制造商在深圳地区设有完善的售后服务机构。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）产品应符合内肋增强聚乙烯</w:t>
            </w:r>
            <w:r>
              <w:rPr>
                <w:color w:val="auto"/>
                <w:highlight w:val="none"/>
              </w:rPr>
              <w:t>(PE)</w:t>
            </w:r>
            <w:r>
              <w:rPr>
                <w:rFonts w:hint="eastAsia"/>
                <w:color w:val="auto"/>
                <w:highlight w:val="none"/>
              </w:rPr>
              <w:t>螺旋波纹管广东省标准</w:t>
            </w:r>
            <w:r>
              <w:rPr>
                <w:color w:val="auto"/>
                <w:highlight w:val="none"/>
              </w:rPr>
              <w:t>DB44 T 1098-2012</w:t>
            </w:r>
          </w:p>
          <w:p>
            <w:pPr>
              <w:rPr>
                <w:color w:val="auto"/>
                <w:highlight w:val="none"/>
              </w:rPr>
            </w:pPr>
            <w:r>
              <w:rPr>
                <w:rFonts w:hint="eastAsia"/>
                <w:color w:val="auto"/>
                <w:highlight w:val="none"/>
              </w:rPr>
              <w:t>（</w:t>
            </w:r>
            <w:r>
              <w:rPr>
                <w:color w:val="auto"/>
                <w:highlight w:val="none"/>
              </w:rPr>
              <w:t>2</w:t>
            </w:r>
            <w:r>
              <w:rPr>
                <w:rFonts w:hint="eastAsia"/>
                <w:color w:val="auto"/>
                <w:highlight w:val="none"/>
              </w:rPr>
              <w:t>）管材和管件规格、环刚度，应符合设计及有关标准规范的要求。</w:t>
            </w:r>
          </w:p>
          <w:p>
            <w:pPr>
              <w:rPr>
                <w:color w:val="auto"/>
                <w:highlight w:val="none"/>
              </w:rPr>
            </w:pPr>
            <w:r>
              <w:rPr>
                <w:rFonts w:hint="eastAsia"/>
                <w:color w:val="auto"/>
                <w:highlight w:val="none"/>
              </w:rPr>
              <w:t>（</w:t>
            </w:r>
            <w:r>
              <w:rPr>
                <w:color w:val="auto"/>
                <w:highlight w:val="none"/>
              </w:rPr>
              <w:t>3</w:t>
            </w:r>
            <w:r>
              <w:rPr>
                <w:rFonts w:hint="eastAsia"/>
                <w:color w:val="auto"/>
                <w:highlight w:val="none"/>
              </w:rPr>
              <w:t>）管材和管件的内外表面应光滑，壁厚均匀，无划痕。管材外表应标注供应厂名称，产品型号，生产日期，产品标准等。采用天然橡胶密封圈柔性接口。</w:t>
            </w:r>
          </w:p>
          <w:p>
            <w:pPr>
              <w:rPr>
                <w:color w:val="auto"/>
                <w:highlight w:val="none"/>
              </w:rPr>
            </w:pPr>
            <w:r>
              <w:rPr>
                <w:rFonts w:hint="eastAsia"/>
                <w:color w:val="auto"/>
                <w:highlight w:val="none"/>
              </w:rPr>
              <w:t>（</w:t>
            </w:r>
            <w:r>
              <w:rPr>
                <w:color w:val="auto"/>
                <w:highlight w:val="none"/>
              </w:rPr>
              <w:t>4</w:t>
            </w:r>
            <w:r>
              <w:rPr>
                <w:rFonts w:hint="eastAsia"/>
                <w:color w:val="auto"/>
                <w:highlight w:val="none"/>
              </w:rPr>
              <w:t>）应由管材供应商配套提供管材、管件，专用机具和辅料。</w:t>
            </w:r>
          </w:p>
          <w:p>
            <w:pPr>
              <w:rPr>
                <w:color w:val="auto"/>
                <w:highlight w:val="none"/>
              </w:rPr>
            </w:pPr>
            <w:r>
              <w:rPr>
                <w:rFonts w:hint="eastAsia"/>
                <w:color w:val="auto"/>
                <w:highlight w:val="none"/>
              </w:rPr>
              <w:t>（</w:t>
            </w:r>
            <w:r>
              <w:rPr>
                <w:color w:val="auto"/>
                <w:highlight w:val="none"/>
              </w:rPr>
              <w:t>5</w:t>
            </w:r>
            <w:r>
              <w:rPr>
                <w:rFonts w:hint="eastAsia"/>
                <w:color w:val="auto"/>
                <w:highlight w:val="none"/>
              </w:rPr>
              <w:t>）用于室外雨污排水系统。</w:t>
            </w:r>
            <w:r>
              <w:rPr>
                <w:color w:val="auto"/>
                <w:highlight w:val="none"/>
              </w:rPr>
              <w:t>6)</w:t>
            </w:r>
            <w:r>
              <w:rPr>
                <w:rFonts w:hint="eastAsia"/>
                <w:color w:val="auto"/>
                <w:highlight w:val="none"/>
              </w:rPr>
              <w:t>满足标准规范要求</w:t>
            </w:r>
          </w:p>
        </w:tc>
        <w:tc>
          <w:tcPr>
            <w:tcW w:w="567" w:type="dxa"/>
            <w:noWrap w:val="0"/>
            <w:vAlign w:val="center"/>
          </w:tcPr>
          <w:p>
            <w:pPr>
              <w:rPr>
                <w:color w:val="auto"/>
                <w:highlight w:val="none"/>
              </w:rPr>
            </w:pPr>
          </w:p>
        </w:tc>
      </w:tr>
    </w:tbl>
    <w:p>
      <w:pPr>
        <w:pStyle w:val="217"/>
        <w:ind w:firstLine="0" w:firstLineChars="0"/>
        <w:rPr>
          <w:rFonts w:ascii="Times New Roman" w:hAnsi="Times New Roman"/>
          <w:color w:val="auto"/>
          <w:sz w:val="21"/>
          <w:highlight w:val="none"/>
        </w:rPr>
      </w:pPr>
      <w:r>
        <w:rPr>
          <w:rFonts w:hint="eastAsia" w:ascii="Times New Roman" w:hAnsi="Times New Roman"/>
          <w:color w:val="auto"/>
          <w:sz w:val="21"/>
          <w:highlight w:val="none"/>
        </w:rPr>
        <w:t>说明：</w:t>
      </w:r>
    </w:p>
    <w:p>
      <w:pPr>
        <w:pStyle w:val="217"/>
        <w:ind w:firstLine="0" w:firstLineChars="0"/>
        <w:rPr>
          <w:rFonts w:ascii="Times New Roman" w:hAnsi="Times New Roman"/>
          <w:color w:val="auto"/>
          <w:sz w:val="21"/>
          <w:highlight w:val="none"/>
        </w:rPr>
      </w:pPr>
      <w:r>
        <w:rPr>
          <w:rFonts w:ascii="Times New Roman" w:hAnsi="Times New Roman"/>
          <w:color w:val="auto"/>
          <w:sz w:val="21"/>
          <w:highlight w:val="none"/>
        </w:rPr>
        <w:t>1</w:t>
      </w:r>
      <w:r>
        <w:rPr>
          <w:rFonts w:hint="eastAsia" w:ascii="Times New Roman" w:hAnsi="Times New Roman"/>
          <w:color w:val="auto"/>
          <w:sz w:val="21"/>
          <w:highlight w:val="none"/>
        </w:rPr>
        <w:t>、承包商选用的设备材料需向业主和监理工程师进行品牌申报，并提供本标书要求的产品相关资料。</w:t>
      </w:r>
    </w:p>
    <w:p>
      <w:pPr>
        <w:rPr>
          <w:color w:val="auto"/>
          <w:highlight w:val="none"/>
        </w:rPr>
      </w:pPr>
      <w:r>
        <w:rPr>
          <w:color w:val="auto"/>
          <w:highlight w:val="none"/>
        </w:rPr>
        <w:t>2</w:t>
      </w:r>
      <w:r>
        <w:rPr>
          <w:rFonts w:hint="eastAsia"/>
          <w:color w:val="auto"/>
          <w:highlight w:val="none"/>
        </w:rPr>
        <w:t>、上表中技术要求中某些产品规格与品牌不符的应以品牌为准。产品的技术要求以设计图纸要求为准。</w:t>
      </w:r>
    </w:p>
    <w:p>
      <w:pPr>
        <w:rPr>
          <w:color w:val="auto"/>
          <w:highlight w:val="none"/>
        </w:rPr>
      </w:pPr>
      <w:r>
        <w:rPr>
          <w:color w:val="auto"/>
          <w:highlight w:val="none"/>
        </w:rPr>
        <w:t>3</w:t>
      </w:r>
      <w:r>
        <w:rPr>
          <w:rFonts w:hint="eastAsia"/>
          <w:color w:val="auto"/>
          <w:highlight w:val="none"/>
        </w:rPr>
        <w:t>、上表中材料设备须从现行的发包人材料设备参考品牌库中选择。</w:t>
      </w:r>
    </w:p>
    <w:p>
      <w:pPr>
        <w:widowControl/>
        <w:jc w:val="left"/>
        <w:rPr>
          <w:rFonts w:ascii="宋体"/>
          <w:color w:val="auto"/>
          <w:sz w:val="24"/>
          <w:highlight w:val="none"/>
        </w:rPr>
      </w:pPr>
      <w:r>
        <w:rPr>
          <w:color w:val="auto"/>
          <w:highlight w:val="none"/>
        </w:rPr>
        <w:br w:type="page"/>
      </w:r>
    </w:p>
    <w:p>
      <w:pPr>
        <w:pStyle w:val="113"/>
        <w:spacing w:before="120" w:after="120"/>
        <w:outlineLvl w:val="2"/>
        <w:rPr>
          <w:color w:val="auto"/>
          <w:highlight w:val="none"/>
        </w:rPr>
      </w:pPr>
      <w:bookmarkStart w:id="7885" w:name="_Toc66890445"/>
      <w:bookmarkStart w:id="7886" w:name="_Toc505345763"/>
      <w:bookmarkStart w:id="7887" w:name="_Toc66634450"/>
      <w:bookmarkStart w:id="7888" w:name="_Toc69114191"/>
      <w:r>
        <w:rPr>
          <w:color w:val="auto"/>
          <w:highlight w:val="none"/>
        </w:rPr>
        <w:t xml:space="preserve">5.2 </w:t>
      </w:r>
      <w:r>
        <w:rPr>
          <w:rFonts w:hint="eastAsia"/>
          <w:color w:val="auto"/>
          <w:highlight w:val="none"/>
        </w:rPr>
        <w:t>甲供洁具材料范围</w:t>
      </w:r>
      <w:bookmarkEnd w:id="7885"/>
      <w:bookmarkEnd w:id="7886"/>
      <w:bookmarkEnd w:id="7887"/>
      <w:bookmarkEnd w:id="7888"/>
      <w:r>
        <w:rPr>
          <w:color w:val="auto"/>
          <w:highlight w:val="none"/>
        </w:rPr>
        <w:t xml:space="preserve"> </w:t>
      </w:r>
    </w:p>
    <w:p>
      <w:pPr>
        <w:rPr>
          <w:color w:val="auto"/>
          <w:highlight w:val="none"/>
        </w:rPr>
      </w:pPr>
    </w:p>
    <w:tbl>
      <w:tblPr>
        <w:tblStyle w:val="43"/>
        <w:tblW w:w="531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4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tcW w:w="916" w:type="dxa"/>
            <w:noWrap w:val="0"/>
            <w:vAlign w:val="center"/>
          </w:tcPr>
          <w:p>
            <w:pPr>
              <w:jc w:val="center"/>
              <w:rPr>
                <w:color w:val="auto"/>
                <w:highlight w:val="none"/>
              </w:rPr>
            </w:pPr>
            <w:r>
              <w:rPr>
                <w:color w:val="auto"/>
                <w:highlight w:val="none"/>
              </w:rPr>
              <w:t>1</w:t>
            </w:r>
          </w:p>
        </w:tc>
        <w:tc>
          <w:tcPr>
            <w:tcW w:w="4394" w:type="dxa"/>
            <w:tcBorders>
              <w:left w:val="nil"/>
            </w:tcBorders>
            <w:noWrap w:val="0"/>
            <w:vAlign w:val="center"/>
          </w:tcPr>
          <w:p>
            <w:pPr>
              <w:jc w:val="center"/>
              <w:rPr>
                <w:color w:val="auto"/>
                <w:highlight w:val="none"/>
              </w:rPr>
            </w:pPr>
            <w:r>
              <w:rPr>
                <w:rFonts w:hint="eastAsia"/>
                <w:color w:val="auto"/>
                <w:highlight w:val="none"/>
              </w:rPr>
              <w:t>坐便器</w:t>
            </w:r>
            <w:r>
              <w:rPr>
                <w:color w:val="auto"/>
                <w:highlight w:val="none"/>
              </w:rPr>
              <w:t>(</w:t>
            </w:r>
            <w:r>
              <w:rPr>
                <w:rFonts w:hint="eastAsia"/>
                <w:color w:val="auto"/>
                <w:highlight w:val="none"/>
              </w:rPr>
              <w:t>马桶</w:t>
            </w:r>
            <w:r>
              <w:rPr>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916" w:type="dxa"/>
            <w:noWrap w:val="0"/>
            <w:vAlign w:val="center"/>
          </w:tcPr>
          <w:p>
            <w:pPr>
              <w:jc w:val="center"/>
              <w:rPr>
                <w:color w:val="auto"/>
                <w:highlight w:val="none"/>
              </w:rPr>
            </w:pPr>
            <w:r>
              <w:rPr>
                <w:color w:val="auto"/>
                <w:highlight w:val="none"/>
              </w:rPr>
              <w:t>2</w:t>
            </w:r>
          </w:p>
        </w:tc>
        <w:tc>
          <w:tcPr>
            <w:tcW w:w="4394" w:type="dxa"/>
            <w:tcBorders>
              <w:left w:val="nil"/>
            </w:tcBorders>
            <w:noWrap w:val="0"/>
            <w:vAlign w:val="center"/>
          </w:tcPr>
          <w:p>
            <w:pPr>
              <w:jc w:val="center"/>
              <w:rPr>
                <w:color w:val="auto"/>
                <w:highlight w:val="none"/>
              </w:rPr>
            </w:pPr>
            <w:r>
              <w:rPr>
                <w:rFonts w:hint="eastAsia"/>
                <w:color w:val="auto"/>
                <w:highlight w:val="none"/>
              </w:rPr>
              <w:t>立式感应小便器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916" w:type="dxa"/>
            <w:noWrap w:val="0"/>
            <w:vAlign w:val="center"/>
          </w:tcPr>
          <w:p>
            <w:pPr>
              <w:jc w:val="center"/>
              <w:rPr>
                <w:color w:val="auto"/>
                <w:highlight w:val="none"/>
              </w:rPr>
            </w:pPr>
            <w:r>
              <w:rPr>
                <w:color w:val="auto"/>
                <w:highlight w:val="none"/>
              </w:rPr>
              <w:t>3</w:t>
            </w:r>
          </w:p>
        </w:tc>
        <w:tc>
          <w:tcPr>
            <w:tcW w:w="4394" w:type="dxa"/>
            <w:tcBorders>
              <w:left w:val="nil"/>
            </w:tcBorders>
            <w:noWrap w:val="0"/>
            <w:vAlign w:val="center"/>
          </w:tcPr>
          <w:p>
            <w:pPr>
              <w:jc w:val="center"/>
              <w:rPr>
                <w:color w:val="auto"/>
                <w:highlight w:val="none"/>
              </w:rPr>
            </w:pPr>
            <w:r>
              <w:rPr>
                <w:rFonts w:hint="eastAsia"/>
                <w:color w:val="auto"/>
                <w:highlight w:val="none"/>
              </w:rPr>
              <w:t>蹲便器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trPr>
        <w:tc>
          <w:tcPr>
            <w:tcW w:w="916" w:type="dxa"/>
            <w:noWrap w:val="0"/>
            <w:vAlign w:val="center"/>
          </w:tcPr>
          <w:p>
            <w:pPr>
              <w:jc w:val="center"/>
              <w:rPr>
                <w:color w:val="auto"/>
                <w:highlight w:val="none"/>
              </w:rPr>
            </w:pPr>
            <w:r>
              <w:rPr>
                <w:color w:val="auto"/>
                <w:highlight w:val="none"/>
              </w:rPr>
              <w:t>4</w:t>
            </w:r>
          </w:p>
        </w:tc>
        <w:tc>
          <w:tcPr>
            <w:tcW w:w="4394" w:type="dxa"/>
            <w:tcBorders>
              <w:left w:val="nil"/>
            </w:tcBorders>
            <w:noWrap w:val="0"/>
            <w:vAlign w:val="center"/>
          </w:tcPr>
          <w:p>
            <w:pPr>
              <w:jc w:val="center"/>
              <w:rPr>
                <w:color w:val="auto"/>
                <w:highlight w:val="none"/>
              </w:rPr>
            </w:pPr>
            <w:r>
              <w:rPr>
                <w:rFonts w:hint="eastAsia"/>
                <w:color w:val="auto"/>
                <w:highlight w:val="none"/>
              </w:rPr>
              <w:t>洗手盆</w:t>
            </w:r>
            <w:r>
              <w:rPr>
                <w:color w:val="auto"/>
                <w:highlight w:val="none"/>
              </w:rPr>
              <w:t>(</w:t>
            </w:r>
            <w:r>
              <w:rPr>
                <w:rFonts w:hint="eastAsia"/>
                <w:color w:val="auto"/>
                <w:highlight w:val="none"/>
              </w:rPr>
              <w:t>洗脸盆</w:t>
            </w:r>
            <w:r>
              <w:rPr>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916" w:type="dxa"/>
            <w:noWrap w:val="0"/>
            <w:vAlign w:val="center"/>
          </w:tcPr>
          <w:p>
            <w:pPr>
              <w:jc w:val="center"/>
              <w:rPr>
                <w:color w:val="auto"/>
                <w:highlight w:val="none"/>
              </w:rPr>
            </w:pPr>
            <w:r>
              <w:rPr>
                <w:color w:val="auto"/>
                <w:highlight w:val="none"/>
              </w:rPr>
              <w:t>5</w:t>
            </w:r>
          </w:p>
        </w:tc>
        <w:tc>
          <w:tcPr>
            <w:tcW w:w="4394" w:type="dxa"/>
            <w:tcBorders>
              <w:left w:val="nil"/>
            </w:tcBorders>
            <w:noWrap w:val="0"/>
            <w:vAlign w:val="center"/>
          </w:tcPr>
          <w:p>
            <w:pPr>
              <w:jc w:val="center"/>
              <w:rPr>
                <w:color w:val="auto"/>
                <w:highlight w:val="none"/>
              </w:rPr>
            </w:pPr>
            <w:r>
              <w:rPr>
                <w:rFonts w:hint="eastAsia"/>
                <w:color w:val="auto"/>
                <w:highlight w:val="none"/>
              </w:rPr>
              <w:t>感应式水龙头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916" w:type="dxa"/>
            <w:noWrap w:val="0"/>
            <w:vAlign w:val="center"/>
          </w:tcPr>
          <w:p>
            <w:pPr>
              <w:jc w:val="center"/>
              <w:rPr>
                <w:color w:val="auto"/>
                <w:highlight w:val="none"/>
              </w:rPr>
            </w:pPr>
            <w:r>
              <w:rPr>
                <w:color w:val="auto"/>
                <w:highlight w:val="none"/>
              </w:rPr>
              <w:t>6</w:t>
            </w:r>
          </w:p>
        </w:tc>
        <w:tc>
          <w:tcPr>
            <w:tcW w:w="4394" w:type="dxa"/>
            <w:tcBorders>
              <w:left w:val="nil"/>
            </w:tcBorders>
            <w:noWrap w:val="0"/>
            <w:vAlign w:val="center"/>
          </w:tcPr>
          <w:p>
            <w:pPr>
              <w:jc w:val="center"/>
              <w:rPr>
                <w:color w:val="auto"/>
                <w:highlight w:val="none"/>
              </w:rPr>
            </w:pPr>
            <w:r>
              <w:rPr>
                <w:rFonts w:hint="eastAsia"/>
                <w:color w:val="auto"/>
                <w:highlight w:val="none"/>
              </w:rPr>
              <w:t>淋浴器</w:t>
            </w:r>
          </w:p>
        </w:tc>
      </w:tr>
    </w:tbl>
    <w:p>
      <w:pPr>
        <w:rPr>
          <w:color w:val="auto"/>
          <w:highlight w:val="none"/>
        </w:rPr>
      </w:pPr>
    </w:p>
    <w:p>
      <w:pPr>
        <w:rPr>
          <w:color w:val="auto"/>
          <w:highlight w:val="none"/>
        </w:rPr>
      </w:pPr>
      <w:r>
        <w:rPr>
          <w:rFonts w:hint="eastAsia"/>
          <w:color w:val="auto"/>
          <w:highlight w:val="none"/>
        </w:rPr>
        <w:t>说明：以上甲供洁具材料的范围可能有变，最终以战略合作协议内容为准。</w:t>
      </w:r>
    </w:p>
    <w:p>
      <w:pPr>
        <w:widowControl/>
        <w:jc w:val="left"/>
        <w:rPr>
          <w:rFonts w:ascii="Times New Roman" w:hAnsi="Times New Roman"/>
          <w:color w:val="auto"/>
          <w:sz w:val="44"/>
          <w:szCs w:val="24"/>
          <w:highlight w:val="none"/>
        </w:rPr>
      </w:pPr>
      <w:bookmarkStart w:id="7889" w:name="_Toc505345764"/>
      <w:r>
        <w:rPr>
          <w:color w:val="auto"/>
          <w:highlight w:val="none"/>
        </w:rPr>
        <w:br w:type="page"/>
      </w:r>
    </w:p>
    <w:p>
      <w:pPr>
        <w:widowControl/>
        <w:jc w:val="left"/>
        <w:rPr>
          <w:color w:val="auto"/>
          <w:highlight w:val="none"/>
        </w:rPr>
      </w:pPr>
    </w:p>
    <w:p>
      <w:pPr>
        <w:widowControl/>
        <w:jc w:val="left"/>
        <w:rPr>
          <w:color w:val="auto"/>
          <w:highlight w:val="none"/>
        </w:rPr>
      </w:pPr>
    </w:p>
    <w:p>
      <w:pPr>
        <w:widowControl/>
        <w:jc w:val="left"/>
        <w:rPr>
          <w:color w:val="auto"/>
          <w:highlight w:val="none"/>
        </w:rPr>
      </w:pPr>
    </w:p>
    <w:p>
      <w:pPr>
        <w:widowControl/>
        <w:jc w:val="left"/>
        <w:rPr>
          <w:color w:val="auto"/>
          <w:highlight w:val="none"/>
        </w:rPr>
      </w:pPr>
    </w:p>
    <w:p>
      <w:pPr>
        <w:widowControl/>
        <w:jc w:val="left"/>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2"/>
        <w:outlineLvl w:val="0"/>
        <w:rPr>
          <w:color w:val="auto"/>
          <w:highlight w:val="none"/>
        </w:rPr>
      </w:pPr>
      <w:bookmarkStart w:id="7890" w:name="_Toc69114192"/>
      <w:bookmarkStart w:id="7891" w:name="_Toc66634451"/>
      <w:bookmarkStart w:id="7892" w:name="_Toc66890446"/>
      <w:r>
        <w:rPr>
          <w:rFonts w:hint="eastAsia"/>
          <w:color w:val="auto"/>
          <w:highlight w:val="none"/>
        </w:rPr>
        <w:t>第五部分</w:t>
      </w:r>
      <w:r>
        <w:rPr>
          <w:color w:val="auto"/>
          <w:highlight w:val="none"/>
        </w:rPr>
        <w:t xml:space="preserve">  </w:t>
      </w:r>
      <w:r>
        <w:rPr>
          <w:rFonts w:hint="eastAsia"/>
          <w:color w:val="auto"/>
          <w:highlight w:val="none"/>
        </w:rPr>
        <w:t>通风与空调工程技术要求</w:t>
      </w:r>
      <w:bookmarkEnd w:id="7889"/>
      <w:bookmarkEnd w:id="7890"/>
      <w:bookmarkEnd w:id="7891"/>
      <w:bookmarkEnd w:id="7892"/>
    </w:p>
    <w:p>
      <w:pPr>
        <w:widowControl/>
        <w:jc w:val="left"/>
        <w:rPr>
          <w:rFonts w:ascii="黑体" w:hAnsi="黑体" w:eastAsia="黑体"/>
          <w:b/>
          <w:color w:val="auto"/>
          <w:sz w:val="32"/>
          <w:szCs w:val="32"/>
          <w:highlight w:val="none"/>
        </w:rPr>
      </w:pPr>
      <w:bookmarkStart w:id="7893" w:name="_Toc505345765"/>
      <w:bookmarkStart w:id="7894" w:name="_Toc320791304"/>
      <w:bookmarkStart w:id="7895" w:name="_Toc380622844"/>
      <w:r>
        <w:rPr>
          <w:color w:val="auto"/>
          <w:highlight w:val="none"/>
        </w:rPr>
        <w:br w:type="page"/>
      </w:r>
    </w:p>
    <w:p>
      <w:pPr>
        <w:pStyle w:val="188"/>
        <w:spacing w:before="120" w:after="120"/>
        <w:outlineLvl w:val="1"/>
        <w:rPr>
          <w:color w:val="auto"/>
          <w:highlight w:val="none"/>
        </w:rPr>
      </w:pPr>
      <w:bookmarkStart w:id="7896" w:name="_Toc66890447"/>
      <w:bookmarkStart w:id="7897" w:name="_Toc69114193"/>
      <w:bookmarkStart w:id="7898" w:name="_Toc66634452"/>
      <w:r>
        <w:rPr>
          <w:rFonts w:hint="eastAsia"/>
          <w:color w:val="auto"/>
          <w:highlight w:val="none"/>
        </w:rPr>
        <w:t>第</w:t>
      </w:r>
      <w:r>
        <w:rPr>
          <w:color w:val="auto"/>
          <w:highlight w:val="none"/>
        </w:rPr>
        <w:t>1</w:t>
      </w:r>
      <w:r>
        <w:rPr>
          <w:rFonts w:hint="eastAsia"/>
          <w:color w:val="auto"/>
          <w:highlight w:val="none"/>
        </w:rPr>
        <w:t>章</w:t>
      </w:r>
      <w:r>
        <w:rPr>
          <w:color w:val="auto"/>
          <w:highlight w:val="none"/>
        </w:rPr>
        <w:t xml:space="preserve">  </w:t>
      </w:r>
      <w:r>
        <w:rPr>
          <w:rFonts w:hint="eastAsia"/>
          <w:color w:val="auto"/>
          <w:highlight w:val="none"/>
        </w:rPr>
        <w:t>防腐与绝热</w:t>
      </w:r>
      <w:bookmarkEnd w:id="7893"/>
      <w:bookmarkEnd w:id="7894"/>
      <w:bookmarkEnd w:id="7895"/>
      <w:bookmarkEnd w:id="7896"/>
      <w:bookmarkEnd w:id="7897"/>
      <w:bookmarkEnd w:id="7898"/>
    </w:p>
    <w:p>
      <w:pPr>
        <w:pStyle w:val="113"/>
        <w:spacing w:before="120" w:after="120"/>
        <w:outlineLvl w:val="2"/>
        <w:rPr>
          <w:color w:val="auto"/>
          <w:highlight w:val="none"/>
        </w:rPr>
      </w:pPr>
      <w:bookmarkStart w:id="7899" w:name="_Toc66890448"/>
      <w:bookmarkStart w:id="7900" w:name="_Toc69114194"/>
      <w:bookmarkStart w:id="7901" w:name="_Toc505345766"/>
      <w:bookmarkStart w:id="7902" w:name="_Toc66634453"/>
      <w:r>
        <w:rPr>
          <w:color w:val="auto"/>
          <w:highlight w:val="none"/>
        </w:rPr>
        <w:t xml:space="preserve">1.1 </w:t>
      </w:r>
      <w:r>
        <w:rPr>
          <w:rFonts w:hint="eastAsia"/>
          <w:color w:val="auto"/>
          <w:highlight w:val="none"/>
        </w:rPr>
        <w:t>防腐</w:t>
      </w:r>
      <w:bookmarkEnd w:id="7899"/>
      <w:bookmarkEnd w:id="7900"/>
      <w:bookmarkEnd w:id="7901"/>
      <w:bookmarkEnd w:id="7902"/>
    </w:p>
    <w:p>
      <w:pPr>
        <w:pStyle w:val="217"/>
        <w:rPr>
          <w:color w:val="auto"/>
          <w:highlight w:val="none"/>
        </w:rPr>
      </w:pPr>
      <w:r>
        <w:rPr>
          <w:rFonts w:hint="eastAsia"/>
          <w:color w:val="auto"/>
          <w:highlight w:val="none"/>
        </w:rPr>
        <w:t>本节说明有关通风与空调系统、防排烟系统的设备、风管、水管和其他配件进行防腐油漆工程的相关技术要求。</w:t>
      </w:r>
    </w:p>
    <w:p>
      <w:pPr>
        <w:pStyle w:val="172"/>
        <w:rPr>
          <w:color w:val="auto"/>
          <w:highlight w:val="none"/>
        </w:rPr>
      </w:pPr>
      <w:r>
        <w:rPr>
          <w:color w:val="auto"/>
          <w:highlight w:val="none"/>
        </w:rPr>
        <w:t xml:space="preserve">1.1.1 </w:t>
      </w:r>
      <w:r>
        <w:rPr>
          <w:rFonts w:hint="eastAsia"/>
          <w:color w:val="auto"/>
          <w:highlight w:val="none"/>
        </w:rPr>
        <w:t>一般要求</w:t>
      </w:r>
    </w:p>
    <w:p>
      <w:pPr>
        <w:pStyle w:val="217"/>
        <w:rPr>
          <w:color w:val="auto"/>
          <w:highlight w:val="none"/>
        </w:rPr>
      </w:pPr>
      <w:r>
        <w:rPr>
          <w:color w:val="auto"/>
          <w:highlight w:val="none"/>
        </w:rPr>
        <w:t>1.</w:t>
      </w:r>
      <w:r>
        <w:rPr>
          <w:rFonts w:hint="eastAsia"/>
          <w:color w:val="auto"/>
          <w:highlight w:val="none"/>
        </w:rPr>
        <w:t>所有机电设备、风管和水管须按设计及本技术要求，提供所需的油漆防腐。</w:t>
      </w:r>
    </w:p>
    <w:p>
      <w:pPr>
        <w:pStyle w:val="217"/>
        <w:rPr>
          <w:color w:val="auto"/>
          <w:highlight w:val="none"/>
        </w:rPr>
      </w:pPr>
      <w:r>
        <w:rPr>
          <w:color w:val="auto"/>
          <w:highlight w:val="none"/>
        </w:rPr>
        <w:t>2.</w:t>
      </w:r>
      <w:r>
        <w:rPr>
          <w:rFonts w:hint="eastAsia"/>
          <w:color w:val="auto"/>
          <w:highlight w:val="none"/>
        </w:rPr>
        <w:t>所有由铁或钢的制成品（包括风管、水管、支吊架、结构钢架、检修门、设备基座等等）都须涂以油漆防腐。而所用的螺栓、螺母及垫片等须由防锈金属材料制成；</w:t>
      </w:r>
    </w:p>
    <w:p>
      <w:pPr>
        <w:pStyle w:val="217"/>
        <w:rPr>
          <w:color w:val="auto"/>
          <w:highlight w:val="none"/>
        </w:rPr>
      </w:pPr>
      <w:r>
        <w:rPr>
          <w:color w:val="auto"/>
          <w:highlight w:val="none"/>
        </w:rPr>
        <w:t>3.</w:t>
      </w:r>
      <w:r>
        <w:rPr>
          <w:rFonts w:hint="eastAsia"/>
          <w:color w:val="auto"/>
          <w:highlight w:val="none"/>
        </w:rPr>
        <w:t>须严格按照油漆生产厂家的要求进行涂漆工作。同时为确保各种油漆互相兼容，应采用同一厂家的油漆产品；</w:t>
      </w:r>
    </w:p>
    <w:p>
      <w:pPr>
        <w:pStyle w:val="217"/>
        <w:rPr>
          <w:color w:val="auto"/>
          <w:highlight w:val="none"/>
        </w:rPr>
      </w:pPr>
      <w:r>
        <w:rPr>
          <w:color w:val="auto"/>
          <w:highlight w:val="none"/>
        </w:rPr>
        <w:t>4.</w:t>
      </w:r>
      <w:r>
        <w:rPr>
          <w:rFonts w:hint="eastAsia"/>
          <w:color w:val="auto"/>
          <w:highlight w:val="none"/>
        </w:rPr>
        <w:t>所有油漆产品须符合当地消防局的要求；</w:t>
      </w:r>
    </w:p>
    <w:p>
      <w:pPr>
        <w:pStyle w:val="217"/>
        <w:rPr>
          <w:color w:val="auto"/>
          <w:highlight w:val="none"/>
        </w:rPr>
      </w:pPr>
      <w:r>
        <w:rPr>
          <w:color w:val="auto"/>
          <w:highlight w:val="none"/>
        </w:rPr>
        <w:t>5.</w:t>
      </w:r>
      <w:r>
        <w:rPr>
          <w:rFonts w:hint="eastAsia"/>
          <w:color w:val="auto"/>
          <w:highlight w:val="none"/>
        </w:rPr>
        <w:t>所有油漆产品的生产商必须具有不少于十年生产油漆产品的经验；</w:t>
      </w:r>
    </w:p>
    <w:p>
      <w:pPr>
        <w:pStyle w:val="217"/>
        <w:rPr>
          <w:color w:val="auto"/>
          <w:highlight w:val="none"/>
        </w:rPr>
      </w:pPr>
      <w:r>
        <w:rPr>
          <w:color w:val="auto"/>
          <w:highlight w:val="none"/>
        </w:rPr>
        <w:t>6.</w:t>
      </w:r>
      <w:r>
        <w:rPr>
          <w:rFonts w:hint="eastAsia"/>
          <w:color w:val="auto"/>
          <w:highlight w:val="none"/>
        </w:rPr>
        <w:t>所有油漆产品须有出厂合格证或质量保证书；</w:t>
      </w:r>
    </w:p>
    <w:p>
      <w:pPr>
        <w:pStyle w:val="217"/>
        <w:rPr>
          <w:color w:val="auto"/>
          <w:highlight w:val="none"/>
        </w:rPr>
      </w:pPr>
      <w:r>
        <w:rPr>
          <w:color w:val="auto"/>
          <w:highlight w:val="none"/>
        </w:rPr>
        <w:t>7.</w:t>
      </w:r>
      <w:r>
        <w:rPr>
          <w:rFonts w:hint="eastAsia"/>
          <w:color w:val="auto"/>
          <w:highlight w:val="none"/>
        </w:rPr>
        <w:t>须按照国标</w:t>
      </w:r>
      <w:r>
        <w:rPr>
          <w:color w:val="auto"/>
          <w:highlight w:val="none"/>
        </w:rPr>
        <w:t>GB50243-2016</w:t>
      </w:r>
      <w:r>
        <w:rPr>
          <w:rFonts w:hint="eastAsia"/>
          <w:color w:val="auto"/>
          <w:highlight w:val="none"/>
        </w:rPr>
        <w:t>《通风与空调施工质量验收规范》的规定进行有关油漆施工工作。</w:t>
      </w:r>
    </w:p>
    <w:p>
      <w:pPr>
        <w:pStyle w:val="217"/>
        <w:rPr>
          <w:color w:val="auto"/>
          <w:highlight w:val="none"/>
        </w:rPr>
      </w:pPr>
      <w:r>
        <w:rPr>
          <w:color w:val="auto"/>
          <w:highlight w:val="none"/>
        </w:rPr>
        <w:t>8.</w:t>
      </w:r>
      <w:r>
        <w:rPr>
          <w:rFonts w:hint="eastAsia"/>
          <w:color w:val="auto"/>
          <w:highlight w:val="none"/>
        </w:rPr>
        <w:t>在运送、储存和防腐施工期间，应采取正确的保护措施，以确保产品在任何情况下不受破损；</w:t>
      </w:r>
    </w:p>
    <w:p>
      <w:pPr>
        <w:pStyle w:val="217"/>
        <w:rPr>
          <w:color w:val="auto"/>
          <w:highlight w:val="none"/>
        </w:rPr>
      </w:pPr>
      <w:r>
        <w:rPr>
          <w:color w:val="auto"/>
          <w:highlight w:val="none"/>
        </w:rPr>
        <w:t>9.</w:t>
      </w:r>
      <w:r>
        <w:rPr>
          <w:rFonts w:hint="eastAsia"/>
          <w:color w:val="auto"/>
          <w:highlight w:val="none"/>
        </w:rPr>
        <w:t>要提交所有油漆的样本。</w:t>
      </w:r>
    </w:p>
    <w:p>
      <w:pPr>
        <w:pStyle w:val="172"/>
        <w:rPr>
          <w:color w:val="auto"/>
          <w:highlight w:val="none"/>
        </w:rPr>
      </w:pPr>
      <w:r>
        <w:rPr>
          <w:color w:val="auto"/>
          <w:highlight w:val="none"/>
        </w:rPr>
        <w:t xml:space="preserve">1.1.2 </w:t>
      </w:r>
      <w:r>
        <w:rPr>
          <w:rFonts w:hint="eastAsia"/>
          <w:color w:val="auto"/>
          <w:highlight w:val="none"/>
        </w:rPr>
        <w:t>产品</w:t>
      </w:r>
    </w:p>
    <w:p>
      <w:pPr>
        <w:pStyle w:val="217"/>
        <w:rPr>
          <w:color w:val="auto"/>
          <w:highlight w:val="none"/>
        </w:rPr>
      </w:pPr>
      <w:r>
        <w:rPr>
          <w:color w:val="auto"/>
          <w:highlight w:val="none"/>
        </w:rPr>
        <w:t>1.</w:t>
      </w:r>
      <w:r>
        <w:rPr>
          <w:rFonts w:hint="eastAsia"/>
          <w:color w:val="auto"/>
          <w:highlight w:val="none"/>
        </w:rPr>
        <w:t>所有油漆须是有效保质期限内的合格产品；所有盛装油漆材料的容器必须清楚印上商标、产品编号和产家名称。</w:t>
      </w:r>
    </w:p>
    <w:p>
      <w:pPr>
        <w:pStyle w:val="217"/>
        <w:rPr>
          <w:color w:val="auto"/>
          <w:highlight w:val="none"/>
        </w:rPr>
      </w:pPr>
      <w:r>
        <w:rPr>
          <w:color w:val="auto"/>
          <w:highlight w:val="none"/>
        </w:rPr>
        <w:t>2.</w:t>
      </w:r>
      <w:r>
        <w:rPr>
          <w:rFonts w:hint="eastAsia"/>
          <w:color w:val="auto"/>
          <w:highlight w:val="none"/>
        </w:rPr>
        <w:t>防腐油漆和涂料，必须是有效保质期限内的合格产品。</w:t>
      </w:r>
    </w:p>
    <w:p>
      <w:pPr>
        <w:pStyle w:val="217"/>
        <w:rPr>
          <w:color w:val="auto"/>
          <w:highlight w:val="none"/>
        </w:rPr>
      </w:pPr>
      <w:r>
        <w:rPr>
          <w:color w:val="auto"/>
          <w:highlight w:val="none"/>
        </w:rPr>
        <w:t>3.</w:t>
      </w:r>
      <w:r>
        <w:rPr>
          <w:rFonts w:hint="eastAsia"/>
          <w:color w:val="auto"/>
          <w:highlight w:val="none"/>
        </w:rPr>
        <w:t>空调冷冻水、冷却水管须在除锈后刷防锈漆两道。</w:t>
      </w:r>
    </w:p>
    <w:p>
      <w:pPr>
        <w:pStyle w:val="172"/>
        <w:rPr>
          <w:color w:val="auto"/>
          <w:highlight w:val="none"/>
        </w:rPr>
      </w:pPr>
      <w:r>
        <w:rPr>
          <w:color w:val="auto"/>
          <w:highlight w:val="none"/>
        </w:rPr>
        <w:t xml:space="preserve">1.1.3 </w:t>
      </w:r>
      <w:r>
        <w:rPr>
          <w:rFonts w:hint="eastAsia"/>
          <w:color w:val="auto"/>
          <w:highlight w:val="none"/>
        </w:rPr>
        <w:t>施工</w:t>
      </w:r>
    </w:p>
    <w:p>
      <w:pPr>
        <w:pStyle w:val="217"/>
        <w:rPr>
          <w:color w:val="auto"/>
          <w:highlight w:val="none"/>
        </w:rPr>
      </w:pPr>
      <w:r>
        <w:rPr>
          <w:color w:val="auto"/>
          <w:highlight w:val="none"/>
        </w:rPr>
        <w:t>1.</w:t>
      </w:r>
      <w:r>
        <w:rPr>
          <w:rFonts w:hint="eastAsia"/>
          <w:color w:val="auto"/>
          <w:highlight w:val="none"/>
        </w:rPr>
        <w:t>喷涂油漆的施工环境</w:t>
      </w:r>
    </w:p>
    <w:p>
      <w:pPr>
        <w:pStyle w:val="217"/>
        <w:rPr>
          <w:color w:val="auto"/>
          <w:highlight w:val="none"/>
        </w:rPr>
      </w:pPr>
      <w:r>
        <w:rPr>
          <w:rFonts w:hint="eastAsia"/>
          <w:color w:val="auto"/>
          <w:highlight w:val="none"/>
        </w:rPr>
        <w:t>除特别注明或经业主</w:t>
      </w:r>
      <w:r>
        <w:rPr>
          <w:color w:val="auto"/>
          <w:highlight w:val="none"/>
        </w:rPr>
        <w:t>/</w:t>
      </w:r>
      <w:r>
        <w:rPr>
          <w:rFonts w:hint="eastAsia"/>
          <w:color w:val="auto"/>
          <w:highlight w:val="none"/>
        </w:rPr>
        <w:t>监理工程师许可外，所有油漆工作须在一个清洁及干燥的环境里进行。在气温低于</w:t>
      </w:r>
      <w:r>
        <w:rPr>
          <w:color w:val="auto"/>
          <w:highlight w:val="none"/>
        </w:rPr>
        <w:t>4</w:t>
      </w:r>
      <w:r>
        <w:rPr>
          <w:rFonts w:hint="eastAsia"/>
          <w:color w:val="auto"/>
          <w:highlight w:val="none"/>
        </w:rPr>
        <w:t>℃或相对湿度高于</w:t>
      </w:r>
      <w:r>
        <w:rPr>
          <w:color w:val="auto"/>
          <w:highlight w:val="none"/>
        </w:rPr>
        <w:t>90%</w:t>
      </w:r>
      <w:r>
        <w:rPr>
          <w:rFonts w:hint="eastAsia"/>
          <w:color w:val="auto"/>
          <w:highlight w:val="none"/>
        </w:rPr>
        <w:t>的环境下不能进行任何油漆工作。</w:t>
      </w:r>
    </w:p>
    <w:p>
      <w:pPr>
        <w:pStyle w:val="217"/>
        <w:rPr>
          <w:color w:val="auto"/>
          <w:highlight w:val="none"/>
        </w:rPr>
      </w:pPr>
      <w:r>
        <w:rPr>
          <w:color w:val="auto"/>
          <w:highlight w:val="none"/>
        </w:rPr>
        <w:t>2.</w:t>
      </w:r>
      <w:r>
        <w:rPr>
          <w:rFonts w:hint="eastAsia"/>
          <w:color w:val="auto"/>
          <w:highlight w:val="none"/>
        </w:rPr>
        <w:t>除锈</w:t>
      </w:r>
    </w:p>
    <w:p>
      <w:pPr>
        <w:pStyle w:val="217"/>
        <w:rPr>
          <w:color w:val="auto"/>
          <w:highlight w:val="none"/>
        </w:rPr>
      </w:pPr>
      <w:r>
        <w:rPr>
          <w:rFonts w:hint="eastAsia"/>
          <w:color w:val="auto"/>
          <w:highlight w:val="none"/>
        </w:rPr>
        <w:t>风管、部件、设备及水管道在涂刷底漆前应作好表面处理，清除金属表面的氧化物、铁锈、灰尘、污垢等，露出金属光泽。一般用手工或机械除锈，亦可采用化学试剂除锈，不得使用损伤物件表面或使之变形的工具或措施。表面处理后应在规定的时间内（一般不超过</w:t>
      </w:r>
      <w:r>
        <w:rPr>
          <w:color w:val="auto"/>
          <w:highlight w:val="none"/>
        </w:rPr>
        <w:t>4</w:t>
      </w:r>
      <w:r>
        <w:rPr>
          <w:rFonts w:hint="eastAsia"/>
          <w:color w:val="auto"/>
          <w:highlight w:val="none"/>
        </w:rPr>
        <w:t>小时）喷涂底漆，以免表面处理失效。</w:t>
      </w:r>
    </w:p>
    <w:p>
      <w:pPr>
        <w:pStyle w:val="217"/>
        <w:rPr>
          <w:color w:val="auto"/>
          <w:highlight w:val="none"/>
        </w:rPr>
      </w:pPr>
      <w:r>
        <w:rPr>
          <w:color w:val="auto"/>
          <w:highlight w:val="none"/>
        </w:rPr>
        <w:t>3.</w:t>
      </w:r>
      <w:r>
        <w:rPr>
          <w:rFonts w:hint="eastAsia"/>
          <w:color w:val="auto"/>
          <w:highlight w:val="none"/>
        </w:rPr>
        <w:t>喷涂油漆</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）所有经过清理干净的、干燥金属表面，必须尽快提交监理工程师检查合格后，按已认可的程序进行油漆保护，以免清理干净的表面再锈蚀；</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）必须严格按照生产商推荐的油漆程序进行油漆工作，同时各有关人员在处理、储存和使用油漆材料时须严格遵守有关的安全守则、当地法规和油漆供应商所列的注意事项等，以提供一个安全、健康的工作环境；</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）进行油漆工作时，所有不需油漆的而可能受到影响的表面须加以覆盖保护以免受污染。油漆工作结束后，须将其工作环境清理妥当；</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）所有油漆工作须由熟练的油漆工担任，以保证各层涂漆能均匀及光滑地覆盖。每一层涂层必须完全干透才可进行下一步涂漆；每层涂漆的最小干膜厚度须符合油漆厂家的建议。</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）所有钢制预埋件，当局部埋在结构内时，必须在结构混凝土凝固及模板拆除后，对所有外露部分尤其是与结构接合处加以涂漆作保护；</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）每公升的油漆所能涂刷的表面面积必须不能超越由油漆生产商所定的标准。</w:t>
      </w:r>
    </w:p>
    <w:p>
      <w:pPr>
        <w:pStyle w:val="217"/>
        <w:rPr>
          <w:color w:val="auto"/>
          <w:highlight w:val="none"/>
        </w:rPr>
      </w:pPr>
      <w:r>
        <w:rPr>
          <w:rFonts w:hint="eastAsia"/>
          <w:color w:val="auto"/>
          <w:highlight w:val="none"/>
        </w:rPr>
        <w:t>（</w:t>
      </w:r>
      <w:r>
        <w:rPr>
          <w:color w:val="auto"/>
          <w:highlight w:val="none"/>
        </w:rPr>
        <w:t>7</w:t>
      </w:r>
      <w:r>
        <w:rPr>
          <w:rFonts w:hint="eastAsia"/>
          <w:color w:val="auto"/>
          <w:highlight w:val="none"/>
        </w:rPr>
        <w:t>）喷涂油漆的漆膜应附着牢固、光滑均匀，无漏涂、剥落、起泡、透锈等缺陷。</w:t>
      </w:r>
    </w:p>
    <w:p>
      <w:pPr>
        <w:pStyle w:val="217"/>
        <w:rPr>
          <w:color w:val="auto"/>
          <w:highlight w:val="none"/>
        </w:rPr>
      </w:pPr>
      <w:r>
        <w:rPr>
          <w:rFonts w:hint="eastAsia"/>
          <w:color w:val="auto"/>
          <w:highlight w:val="none"/>
        </w:rPr>
        <w:t>（</w:t>
      </w:r>
      <w:r>
        <w:rPr>
          <w:color w:val="auto"/>
          <w:highlight w:val="none"/>
        </w:rPr>
        <w:t>8</w:t>
      </w:r>
      <w:r>
        <w:rPr>
          <w:rFonts w:hint="eastAsia"/>
          <w:color w:val="auto"/>
          <w:highlight w:val="none"/>
        </w:rPr>
        <w:t>）带有调节、关闭和转动要求的风口类及阀门类部件油漆，涂刷油漆后应开启灵活、调节角度准确、关闭严密。</w:t>
      </w:r>
    </w:p>
    <w:p>
      <w:pPr>
        <w:pStyle w:val="217"/>
        <w:rPr>
          <w:color w:val="auto"/>
          <w:highlight w:val="none"/>
        </w:rPr>
      </w:pPr>
      <w:r>
        <w:rPr>
          <w:rFonts w:hint="eastAsia"/>
          <w:color w:val="auto"/>
          <w:highlight w:val="none"/>
        </w:rPr>
        <w:t>（</w:t>
      </w:r>
      <w:r>
        <w:rPr>
          <w:color w:val="auto"/>
          <w:highlight w:val="none"/>
        </w:rPr>
        <w:t>9</w:t>
      </w:r>
      <w:r>
        <w:rPr>
          <w:rFonts w:hint="eastAsia"/>
          <w:color w:val="auto"/>
          <w:highlight w:val="none"/>
        </w:rPr>
        <w:t>）支吊架的防腐油漆应与风管或管道相一致，其明装部分必须涂面漆。</w:t>
      </w:r>
    </w:p>
    <w:p>
      <w:pPr>
        <w:pStyle w:val="217"/>
        <w:rPr>
          <w:color w:val="auto"/>
          <w:highlight w:val="none"/>
        </w:rPr>
      </w:pPr>
      <w:r>
        <w:rPr>
          <w:rFonts w:hint="eastAsia"/>
          <w:color w:val="auto"/>
          <w:highlight w:val="none"/>
        </w:rPr>
        <w:t>（</w:t>
      </w:r>
      <w:r>
        <w:rPr>
          <w:color w:val="auto"/>
          <w:highlight w:val="none"/>
        </w:rPr>
        <w:t>10</w:t>
      </w:r>
      <w:r>
        <w:rPr>
          <w:rFonts w:hint="eastAsia"/>
          <w:color w:val="auto"/>
          <w:highlight w:val="none"/>
        </w:rPr>
        <w:t>）空调制冷各系统管道的外表面，应按设计规定作色标。</w:t>
      </w:r>
    </w:p>
    <w:p>
      <w:pPr>
        <w:pStyle w:val="113"/>
        <w:spacing w:before="120" w:after="120"/>
        <w:outlineLvl w:val="2"/>
        <w:rPr>
          <w:color w:val="auto"/>
          <w:highlight w:val="none"/>
        </w:rPr>
      </w:pPr>
      <w:bookmarkStart w:id="7903" w:name="_Toc69114195"/>
      <w:bookmarkStart w:id="7904" w:name="_Toc66634454"/>
      <w:bookmarkStart w:id="7905" w:name="_Toc66890449"/>
      <w:bookmarkStart w:id="7906" w:name="_Toc505345767"/>
      <w:r>
        <w:rPr>
          <w:color w:val="auto"/>
          <w:highlight w:val="none"/>
        </w:rPr>
        <w:t xml:space="preserve">1.2 </w:t>
      </w:r>
      <w:r>
        <w:rPr>
          <w:rFonts w:hint="eastAsia"/>
          <w:color w:val="auto"/>
          <w:highlight w:val="none"/>
        </w:rPr>
        <w:t>绝热</w:t>
      </w:r>
      <w:bookmarkEnd w:id="7903"/>
      <w:bookmarkEnd w:id="7904"/>
      <w:bookmarkEnd w:id="7905"/>
      <w:bookmarkEnd w:id="7906"/>
    </w:p>
    <w:p>
      <w:pPr>
        <w:pStyle w:val="217"/>
        <w:rPr>
          <w:color w:val="auto"/>
          <w:highlight w:val="none"/>
        </w:rPr>
      </w:pPr>
      <w:r>
        <w:rPr>
          <w:rFonts w:hint="eastAsia"/>
          <w:color w:val="auto"/>
          <w:highlight w:val="none"/>
        </w:rPr>
        <w:t>本节说明有关保温材料的制造及安装技术要求。</w:t>
      </w:r>
    </w:p>
    <w:p>
      <w:pPr>
        <w:pStyle w:val="172"/>
        <w:rPr>
          <w:color w:val="auto"/>
          <w:highlight w:val="none"/>
        </w:rPr>
      </w:pPr>
      <w:r>
        <w:rPr>
          <w:color w:val="auto"/>
          <w:highlight w:val="none"/>
        </w:rPr>
        <w:t xml:space="preserve">1.2.1 </w:t>
      </w:r>
      <w:r>
        <w:rPr>
          <w:rFonts w:hint="eastAsia"/>
          <w:color w:val="auto"/>
          <w:highlight w:val="none"/>
        </w:rPr>
        <w:t>一般要求</w:t>
      </w:r>
    </w:p>
    <w:p>
      <w:pPr>
        <w:pStyle w:val="217"/>
        <w:rPr>
          <w:color w:val="auto"/>
          <w:highlight w:val="none"/>
        </w:rPr>
      </w:pPr>
      <w:r>
        <w:rPr>
          <w:color w:val="auto"/>
          <w:highlight w:val="none"/>
        </w:rPr>
        <w:t>1.</w:t>
      </w:r>
      <w:r>
        <w:rPr>
          <w:rFonts w:hint="eastAsia"/>
          <w:color w:val="auto"/>
          <w:highlight w:val="none"/>
        </w:rPr>
        <w:t>在运送、储存和安装保温材料期间，应采取正确的保护措施，以确保在任何情况下不受破损；</w:t>
      </w:r>
    </w:p>
    <w:p>
      <w:pPr>
        <w:pStyle w:val="217"/>
        <w:rPr>
          <w:color w:val="auto"/>
          <w:highlight w:val="none"/>
        </w:rPr>
      </w:pPr>
      <w:r>
        <w:rPr>
          <w:color w:val="auto"/>
          <w:highlight w:val="none"/>
        </w:rPr>
        <w:t>2.</w:t>
      </w:r>
      <w:r>
        <w:rPr>
          <w:rFonts w:hint="eastAsia"/>
          <w:color w:val="auto"/>
          <w:highlight w:val="none"/>
        </w:rPr>
        <w:t>生产保温材料的制造商至少具有五年或以上的生产制造经验；</w:t>
      </w:r>
    </w:p>
    <w:p>
      <w:pPr>
        <w:pStyle w:val="217"/>
        <w:rPr>
          <w:color w:val="auto"/>
          <w:highlight w:val="none"/>
        </w:rPr>
      </w:pPr>
      <w:r>
        <w:rPr>
          <w:color w:val="auto"/>
          <w:highlight w:val="none"/>
        </w:rPr>
        <w:t>3.</w:t>
      </w:r>
      <w:r>
        <w:rPr>
          <w:rFonts w:hint="eastAsia"/>
          <w:color w:val="auto"/>
          <w:highlight w:val="none"/>
        </w:rPr>
        <w:t>所有保温材料应符合国家产品标准和遵从当地消防局的规定；</w:t>
      </w:r>
    </w:p>
    <w:p>
      <w:pPr>
        <w:pStyle w:val="217"/>
        <w:rPr>
          <w:color w:val="auto"/>
          <w:highlight w:val="none"/>
        </w:rPr>
      </w:pPr>
      <w:r>
        <w:rPr>
          <w:color w:val="auto"/>
          <w:highlight w:val="none"/>
        </w:rPr>
        <w:t>4.</w:t>
      </w:r>
      <w:r>
        <w:rPr>
          <w:rFonts w:hint="eastAsia"/>
          <w:color w:val="auto"/>
          <w:highlight w:val="none"/>
        </w:rPr>
        <w:t>保温施工应符合</w:t>
      </w:r>
      <w:r>
        <w:rPr>
          <w:color w:val="auto"/>
          <w:highlight w:val="none"/>
        </w:rPr>
        <w:t>GB50243-2016</w:t>
      </w:r>
      <w:r>
        <w:rPr>
          <w:rFonts w:hint="eastAsia"/>
          <w:color w:val="auto"/>
          <w:highlight w:val="none"/>
        </w:rPr>
        <w:t>施工验收规范。</w:t>
      </w:r>
    </w:p>
    <w:p>
      <w:pPr>
        <w:pStyle w:val="217"/>
        <w:rPr>
          <w:color w:val="auto"/>
          <w:highlight w:val="none"/>
        </w:rPr>
      </w:pPr>
      <w:r>
        <w:rPr>
          <w:color w:val="auto"/>
          <w:highlight w:val="none"/>
        </w:rPr>
        <w:t>5.</w:t>
      </w:r>
      <w:r>
        <w:rPr>
          <w:rFonts w:hint="eastAsia"/>
          <w:color w:val="auto"/>
          <w:highlight w:val="none"/>
        </w:rPr>
        <w:t>要提交完整的保温材料产品技术说明书资料、产品质量合格证书；</w:t>
      </w:r>
    </w:p>
    <w:p>
      <w:pPr>
        <w:pStyle w:val="217"/>
        <w:rPr>
          <w:color w:val="auto"/>
          <w:highlight w:val="none"/>
        </w:rPr>
      </w:pPr>
      <w:r>
        <w:rPr>
          <w:color w:val="auto"/>
          <w:highlight w:val="none"/>
        </w:rPr>
        <w:t>6.</w:t>
      </w:r>
      <w:r>
        <w:rPr>
          <w:rFonts w:hint="eastAsia"/>
          <w:color w:val="auto"/>
          <w:highlight w:val="none"/>
        </w:rPr>
        <w:t>要提交所有保温材料的样本。</w:t>
      </w:r>
    </w:p>
    <w:p>
      <w:pPr>
        <w:pStyle w:val="172"/>
        <w:rPr>
          <w:color w:val="auto"/>
          <w:highlight w:val="none"/>
        </w:rPr>
      </w:pPr>
      <w:r>
        <w:rPr>
          <w:color w:val="auto"/>
          <w:highlight w:val="none"/>
        </w:rPr>
        <w:t xml:space="preserve">1.2.2 </w:t>
      </w:r>
      <w:r>
        <w:rPr>
          <w:rFonts w:hint="eastAsia"/>
          <w:color w:val="auto"/>
          <w:highlight w:val="none"/>
        </w:rPr>
        <w:t>产品</w:t>
      </w:r>
    </w:p>
    <w:p>
      <w:pPr>
        <w:pStyle w:val="217"/>
        <w:rPr>
          <w:color w:val="auto"/>
          <w:highlight w:val="none"/>
        </w:rPr>
      </w:pPr>
      <w:r>
        <w:rPr>
          <w:color w:val="auto"/>
          <w:highlight w:val="none"/>
        </w:rPr>
        <w:t>1.</w:t>
      </w:r>
      <w:r>
        <w:rPr>
          <w:rFonts w:hint="eastAsia"/>
          <w:color w:val="auto"/>
          <w:highlight w:val="none"/>
        </w:rPr>
        <w:t>保温材料应具有较低的导热系数、质轻、难燃、耐热、性能稳定、吸湿性小、无异味、不腐蚀金属并易于成型、有一定的机械强度、耐用、方便施工、价廉等特点。</w:t>
      </w:r>
    </w:p>
    <w:p>
      <w:pPr>
        <w:pStyle w:val="217"/>
        <w:rPr>
          <w:color w:val="auto"/>
          <w:highlight w:val="none"/>
        </w:rPr>
      </w:pPr>
      <w:r>
        <w:rPr>
          <w:color w:val="auto"/>
          <w:highlight w:val="none"/>
        </w:rPr>
        <w:t>2.</w:t>
      </w:r>
      <w:r>
        <w:rPr>
          <w:rFonts w:hint="eastAsia"/>
          <w:color w:val="auto"/>
          <w:highlight w:val="none"/>
        </w:rPr>
        <w:t>本工程空调送回风管、空调水管用带铝箔发泡橡塑材料保温，接缝用专用胶水封严；保温厚度按设计要求选用。</w:t>
      </w:r>
    </w:p>
    <w:p>
      <w:pPr>
        <w:pStyle w:val="172"/>
        <w:rPr>
          <w:color w:val="auto"/>
          <w:highlight w:val="none"/>
        </w:rPr>
      </w:pPr>
      <w:r>
        <w:rPr>
          <w:color w:val="auto"/>
          <w:highlight w:val="none"/>
        </w:rPr>
        <w:t xml:space="preserve">1.2.3 </w:t>
      </w:r>
      <w:r>
        <w:rPr>
          <w:rFonts w:hint="eastAsia"/>
          <w:color w:val="auto"/>
          <w:highlight w:val="none"/>
        </w:rPr>
        <w:t>安装</w:t>
      </w:r>
    </w:p>
    <w:p>
      <w:pPr>
        <w:pStyle w:val="217"/>
        <w:rPr>
          <w:color w:val="auto"/>
          <w:highlight w:val="none"/>
        </w:rPr>
      </w:pPr>
      <w:r>
        <w:rPr>
          <w:color w:val="auto"/>
          <w:highlight w:val="none"/>
        </w:rPr>
        <w:t>1.</w:t>
      </w:r>
      <w:r>
        <w:rPr>
          <w:rFonts w:hint="eastAsia"/>
          <w:color w:val="auto"/>
          <w:highlight w:val="none"/>
        </w:rPr>
        <w:t>需保温的设备和管道，必须在完成所需的各项系统测试后，才能进行保温安装。</w:t>
      </w:r>
    </w:p>
    <w:p>
      <w:pPr>
        <w:pStyle w:val="217"/>
        <w:rPr>
          <w:color w:val="auto"/>
          <w:highlight w:val="none"/>
        </w:rPr>
      </w:pPr>
      <w:r>
        <w:rPr>
          <w:color w:val="auto"/>
          <w:highlight w:val="none"/>
        </w:rPr>
        <w:t>2.</w:t>
      </w:r>
      <w:r>
        <w:rPr>
          <w:rFonts w:hint="eastAsia"/>
          <w:color w:val="auto"/>
          <w:highlight w:val="none"/>
        </w:rPr>
        <w:t>水管道在安装保温材料前，必须先表面除锈，且完成油漆工作。</w:t>
      </w:r>
    </w:p>
    <w:p>
      <w:pPr>
        <w:pStyle w:val="217"/>
        <w:rPr>
          <w:color w:val="auto"/>
          <w:highlight w:val="none"/>
        </w:rPr>
      </w:pPr>
      <w:r>
        <w:rPr>
          <w:color w:val="auto"/>
          <w:highlight w:val="none"/>
        </w:rPr>
        <w:t>3.</w:t>
      </w:r>
      <w:r>
        <w:rPr>
          <w:rFonts w:hint="eastAsia"/>
          <w:color w:val="auto"/>
          <w:highlight w:val="none"/>
        </w:rPr>
        <w:t>所有保温安装工作应由熟练的工作人员进行施工。须在清洁干燥及没有任何污染物的表面进行保温工作。</w:t>
      </w:r>
    </w:p>
    <w:p>
      <w:pPr>
        <w:pStyle w:val="217"/>
        <w:rPr>
          <w:color w:val="auto"/>
          <w:highlight w:val="none"/>
        </w:rPr>
      </w:pPr>
      <w:r>
        <w:rPr>
          <w:color w:val="auto"/>
          <w:highlight w:val="none"/>
        </w:rPr>
        <w:t>4.</w:t>
      </w:r>
      <w:r>
        <w:rPr>
          <w:rFonts w:hint="eastAsia"/>
          <w:color w:val="auto"/>
          <w:highlight w:val="none"/>
        </w:rPr>
        <w:t>只可使用清洁及干燥的保温材料。</w:t>
      </w:r>
    </w:p>
    <w:p>
      <w:pPr>
        <w:pStyle w:val="217"/>
        <w:rPr>
          <w:color w:val="auto"/>
          <w:highlight w:val="none"/>
        </w:rPr>
      </w:pPr>
      <w:r>
        <w:rPr>
          <w:color w:val="auto"/>
          <w:highlight w:val="none"/>
        </w:rPr>
        <w:t>5.</w:t>
      </w:r>
      <w:r>
        <w:rPr>
          <w:rFonts w:hint="eastAsia"/>
          <w:color w:val="auto"/>
          <w:highlight w:val="none"/>
        </w:rPr>
        <w:t>由保温制造商所提出的保温施工建议将作为基本的保温施工要求。</w:t>
      </w:r>
    </w:p>
    <w:p>
      <w:pPr>
        <w:pStyle w:val="217"/>
        <w:rPr>
          <w:color w:val="auto"/>
          <w:highlight w:val="none"/>
        </w:rPr>
      </w:pPr>
      <w:r>
        <w:rPr>
          <w:color w:val="auto"/>
          <w:highlight w:val="none"/>
        </w:rPr>
        <w:t>6.</w:t>
      </w:r>
      <w:r>
        <w:rPr>
          <w:rFonts w:hint="eastAsia"/>
          <w:color w:val="auto"/>
          <w:highlight w:val="none"/>
        </w:rPr>
        <w:t>凡金属支吊架及其它穿过保温层而与冰冷管道表面接触的金属构件，须提供一个完善的保温密封处理，确保不会产生结露。</w:t>
      </w:r>
    </w:p>
    <w:p>
      <w:pPr>
        <w:pStyle w:val="217"/>
        <w:rPr>
          <w:color w:val="auto"/>
          <w:highlight w:val="none"/>
        </w:rPr>
      </w:pPr>
      <w:r>
        <w:rPr>
          <w:color w:val="auto"/>
          <w:highlight w:val="none"/>
        </w:rPr>
        <w:t>7.</w:t>
      </w:r>
      <w:r>
        <w:rPr>
          <w:rFonts w:hint="eastAsia"/>
          <w:color w:val="auto"/>
          <w:highlight w:val="none"/>
        </w:rPr>
        <w:t>所有用于空调水系统的阀门、存水弯、过滤器、法兰和其他配件等应按其连接管道的保温厚度作相同厚度的保温，同时外加以</w:t>
      </w:r>
      <w:r>
        <w:rPr>
          <w:color w:val="auto"/>
          <w:highlight w:val="none"/>
        </w:rPr>
        <w:t>1.2mm</w:t>
      </w:r>
      <w:r>
        <w:rPr>
          <w:rFonts w:hint="eastAsia"/>
          <w:color w:val="auto"/>
          <w:highlight w:val="none"/>
        </w:rPr>
        <w:t>厚的镀锌钢板制成的可拆卸式保护盒。过滤器的保温须容许清理过滤器而不会损坏保温材料。阀门的保温须覆盖至阀帽。</w:t>
      </w:r>
    </w:p>
    <w:p>
      <w:pPr>
        <w:pStyle w:val="217"/>
        <w:rPr>
          <w:color w:val="auto"/>
          <w:highlight w:val="none"/>
        </w:rPr>
      </w:pPr>
      <w:r>
        <w:rPr>
          <w:color w:val="auto"/>
          <w:highlight w:val="none"/>
        </w:rPr>
        <w:t>8.</w:t>
      </w:r>
      <w:r>
        <w:rPr>
          <w:rFonts w:hint="eastAsia"/>
          <w:color w:val="auto"/>
          <w:highlight w:val="none"/>
        </w:rPr>
        <w:t>对水泵等设备进行保温时，应将保温材料裁剪以配合设备不规则或弯曲的表面，并紧贴密封。同时应提供可拆卸式的保护盒。</w:t>
      </w:r>
    </w:p>
    <w:p>
      <w:pPr>
        <w:pStyle w:val="217"/>
        <w:rPr>
          <w:color w:val="auto"/>
          <w:highlight w:val="none"/>
        </w:rPr>
      </w:pPr>
      <w:r>
        <w:rPr>
          <w:color w:val="auto"/>
          <w:highlight w:val="none"/>
        </w:rPr>
        <w:t>9.</w:t>
      </w:r>
      <w:r>
        <w:rPr>
          <w:rFonts w:hint="eastAsia"/>
          <w:color w:val="auto"/>
          <w:highlight w:val="none"/>
        </w:rPr>
        <w:t>地下室冷冻机房和屋顶明设的冷冻水管保温层外加铝板保护壳。</w:t>
      </w:r>
    </w:p>
    <w:p>
      <w:pPr>
        <w:pStyle w:val="217"/>
        <w:rPr>
          <w:color w:val="auto"/>
          <w:highlight w:val="none"/>
        </w:rPr>
      </w:pPr>
      <w:r>
        <w:rPr>
          <w:color w:val="auto"/>
          <w:highlight w:val="none"/>
        </w:rPr>
        <w:t>10.</w:t>
      </w:r>
      <w:r>
        <w:rPr>
          <w:rFonts w:hint="eastAsia"/>
          <w:color w:val="auto"/>
          <w:highlight w:val="none"/>
        </w:rPr>
        <w:t>屋顶明设的空调风管保温层外加铝板保护壳。</w:t>
      </w:r>
    </w:p>
    <w:p>
      <w:pPr>
        <w:rPr>
          <w:color w:val="auto"/>
          <w:highlight w:val="none"/>
        </w:rPr>
      </w:pPr>
      <w:bookmarkStart w:id="7907" w:name="_Toc320791305"/>
      <w:bookmarkStart w:id="7908" w:name="_Toc380622845"/>
    </w:p>
    <w:p>
      <w:pPr>
        <w:pStyle w:val="188"/>
        <w:spacing w:before="120" w:after="120"/>
        <w:outlineLvl w:val="1"/>
        <w:rPr>
          <w:color w:val="auto"/>
          <w:highlight w:val="none"/>
        </w:rPr>
      </w:pPr>
      <w:bookmarkStart w:id="7909" w:name="_Toc66890450"/>
      <w:bookmarkStart w:id="7910" w:name="_Toc69114196"/>
      <w:bookmarkStart w:id="7911" w:name="_Toc66634455"/>
      <w:bookmarkStart w:id="7912" w:name="_Toc505345768"/>
      <w:r>
        <w:rPr>
          <w:rFonts w:hint="eastAsia"/>
          <w:color w:val="auto"/>
          <w:highlight w:val="none"/>
        </w:rPr>
        <w:t>第</w:t>
      </w:r>
      <w:r>
        <w:rPr>
          <w:color w:val="auto"/>
          <w:highlight w:val="none"/>
        </w:rPr>
        <w:t>2</w:t>
      </w:r>
      <w:r>
        <w:rPr>
          <w:rFonts w:hint="eastAsia"/>
          <w:color w:val="auto"/>
          <w:highlight w:val="none"/>
        </w:rPr>
        <w:t>章</w:t>
      </w:r>
      <w:r>
        <w:rPr>
          <w:color w:val="auto"/>
          <w:highlight w:val="none"/>
        </w:rPr>
        <w:t xml:space="preserve">  </w:t>
      </w:r>
      <w:r>
        <w:rPr>
          <w:rFonts w:hint="eastAsia"/>
          <w:color w:val="auto"/>
          <w:highlight w:val="none"/>
        </w:rPr>
        <w:t>隔震设施</w:t>
      </w:r>
      <w:bookmarkEnd w:id="7907"/>
      <w:bookmarkEnd w:id="7908"/>
      <w:bookmarkEnd w:id="7909"/>
      <w:bookmarkEnd w:id="7910"/>
      <w:bookmarkEnd w:id="7911"/>
      <w:bookmarkEnd w:id="7912"/>
    </w:p>
    <w:p>
      <w:pPr>
        <w:pStyle w:val="113"/>
        <w:spacing w:before="120" w:after="120"/>
        <w:outlineLvl w:val="2"/>
        <w:rPr>
          <w:color w:val="auto"/>
          <w:highlight w:val="none"/>
        </w:rPr>
      </w:pPr>
      <w:bookmarkStart w:id="7913" w:name="_Toc69114197"/>
      <w:bookmarkStart w:id="7914" w:name="_Toc505345769"/>
      <w:bookmarkStart w:id="7915" w:name="_Toc66890451"/>
      <w:bookmarkStart w:id="7916" w:name="_Toc66634456"/>
      <w:r>
        <w:rPr>
          <w:color w:val="auto"/>
          <w:highlight w:val="none"/>
        </w:rPr>
        <w:t xml:space="preserve">2.1 </w:t>
      </w:r>
      <w:r>
        <w:rPr>
          <w:rFonts w:hint="eastAsia"/>
          <w:color w:val="auto"/>
          <w:highlight w:val="none"/>
        </w:rPr>
        <w:t>概述</w:t>
      </w:r>
      <w:bookmarkEnd w:id="7913"/>
      <w:bookmarkEnd w:id="7914"/>
      <w:bookmarkEnd w:id="7915"/>
      <w:bookmarkEnd w:id="7916"/>
    </w:p>
    <w:p>
      <w:pPr>
        <w:pStyle w:val="217"/>
        <w:rPr>
          <w:color w:val="auto"/>
          <w:highlight w:val="none"/>
        </w:rPr>
      </w:pPr>
      <w:r>
        <w:rPr>
          <w:rFonts w:hint="eastAsia"/>
          <w:color w:val="auto"/>
          <w:highlight w:val="none"/>
        </w:rPr>
        <w:t>本节说明防止或减低设备震动的有关隔震设施产品及安装的技术要求。</w:t>
      </w:r>
    </w:p>
    <w:p>
      <w:pPr>
        <w:pStyle w:val="113"/>
        <w:spacing w:before="120" w:after="120"/>
        <w:outlineLvl w:val="2"/>
        <w:rPr>
          <w:color w:val="auto"/>
          <w:highlight w:val="none"/>
        </w:rPr>
      </w:pPr>
      <w:bookmarkStart w:id="7917" w:name="_Toc69114198"/>
      <w:bookmarkStart w:id="7918" w:name="_Toc66634457"/>
      <w:bookmarkStart w:id="7919" w:name="_Toc505345770"/>
      <w:bookmarkStart w:id="7920" w:name="_Toc66890452"/>
      <w:r>
        <w:rPr>
          <w:color w:val="auto"/>
          <w:highlight w:val="none"/>
        </w:rPr>
        <w:t xml:space="preserve">2.2 </w:t>
      </w:r>
      <w:r>
        <w:rPr>
          <w:rFonts w:hint="eastAsia"/>
          <w:color w:val="auto"/>
          <w:highlight w:val="none"/>
        </w:rPr>
        <w:t>一般要求</w:t>
      </w:r>
      <w:bookmarkEnd w:id="7917"/>
      <w:bookmarkEnd w:id="7918"/>
      <w:bookmarkEnd w:id="7919"/>
      <w:bookmarkEnd w:id="7920"/>
    </w:p>
    <w:p>
      <w:pPr>
        <w:pStyle w:val="217"/>
        <w:rPr>
          <w:color w:val="auto"/>
          <w:highlight w:val="none"/>
        </w:rPr>
      </w:pPr>
      <w:r>
        <w:rPr>
          <w:color w:val="auto"/>
          <w:highlight w:val="none"/>
        </w:rPr>
        <w:t>1.</w:t>
      </w:r>
      <w:r>
        <w:rPr>
          <w:rFonts w:hint="eastAsia"/>
          <w:color w:val="auto"/>
          <w:highlight w:val="none"/>
        </w:rPr>
        <w:t>除在有关图纸上特别注明豁免外，在所有机械设备须设置隔震器，以防止设备操作时产生的震动和声音传送到建筑结构。</w:t>
      </w:r>
    </w:p>
    <w:p>
      <w:pPr>
        <w:pStyle w:val="217"/>
        <w:rPr>
          <w:color w:val="auto"/>
          <w:highlight w:val="none"/>
        </w:rPr>
      </w:pPr>
      <w:r>
        <w:rPr>
          <w:color w:val="auto"/>
          <w:highlight w:val="none"/>
        </w:rPr>
        <w:t>2.</w:t>
      </w:r>
      <w:r>
        <w:rPr>
          <w:rFonts w:hint="eastAsia"/>
          <w:color w:val="auto"/>
          <w:highlight w:val="none"/>
        </w:rPr>
        <w:t>按照设备重量的分布选择隔震器，以提供合理及均衡的震幅；</w:t>
      </w:r>
    </w:p>
    <w:p>
      <w:pPr>
        <w:pStyle w:val="217"/>
        <w:rPr>
          <w:color w:val="auto"/>
          <w:highlight w:val="none"/>
        </w:rPr>
      </w:pPr>
      <w:r>
        <w:rPr>
          <w:color w:val="auto"/>
          <w:highlight w:val="none"/>
        </w:rPr>
        <w:t>3.</w:t>
      </w:r>
      <w:r>
        <w:rPr>
          <w:rFonts w:hint="eastAsia"/>
          <w:color w:val="auto"/>
          <w:highlight w:val="none"/>
        </w:rPr>
        <w:t>对转动机件，所选的隔震装置须在任何正常操作状态下仍可提供足够的隔震措施。</w:t>
      </w:r>
    </w:p>
    <w:p>
      <w:pPr>
        <w:pStyle w:val="217"/>
        <w:rPr>
          <w:color w:val="auto"/>
          <w:highlight w:val="none"/>
        </w:rPr>
      </w:pPr>
      <w:r>
        <w:rPr>
          <w:color w:val="auto"/>
          <w:highlight w:val="none"/>
        </w:rPr>
        <w:t>4.</w:t>
      </w:r>
      <w:r>
        <w:rPr>
          <w:rFonts w:hint="eastAsia"/>
          <w:color w:val="auto"/>
          <w:highlight w:val="none"/>
        </w:rPr>
        <w:t>所有提供隔震设备的厂家必须具有制造此类设备不少于五年的经验；</w:t>
      </w:r>
    </w:p>
    <w:p>
      <w:pPr>
        <w:pStyle w:val="217"/>
        <w:rPr>
          <w:color w:val="auto"/>
          <w:highlight w:val="none"/>
        </w:rPr>
      </w:pPr>
      <w:r>
        <w:rPr>
          <w:color w:val="auto"/>
          <w:highlight w:val="none"/>
        </w:rPr>
        <w:t>5.</w:t>
      </w:r>
      <w:r>
        <w:rPr>
          <w:rFonts w:hint="eastAsia"/>
          <w:color w:val="auto"/>
          <w:highlight w:val="none"/>
        </w:rPr>
        <w:t>提交有关隔震设备和材料的详细样本说明书和施工图、测试证书等以供审批；</w:t>
      </w:r>
    </w:p>
    <w:p>
      <w:pPr>
        <w:pStyle w:val="217"/>
        <w:rPr>
          <w:color w:val="auto"/>
          <w:highlight w:val="none"/>
        </w:rPr>
      </w:pPr>
      <w:r>
        <w:rPr>
          <w:color w:val="auto"/>
          <w:highlight w:val="none"/>
        </w:rPr>
        <w:t>6.</w:t>
      </w:r>
      <w:r>
        <w:rPr>
          <w:rFonts w:hint="eastAsia"/>
          <w:color w:val="auto"/>
          <w:highlight w:val="none"/>
        </w:rPr>
        <w:t>须提交所有隔震装置的弹簧的震幅量、隔震效率、弹簧的种类及其安装方法等资料。</w:t>
      </w:r>
    </w:p>
    <w:p>
      <w:pPr>
        <w:pStyle w:val="113"/>
        <w:spacing w:before="120" w:after="120"/>
        <w:outlineLvl w:val="2"/>
        <w:rPr>
          <w:color w:val="auto"/>
          <w:highlight w:val="none"/>
        </w:rPr>
      </w:pPr>
      <w:bookmarkStart w:id="7921" w:name="_Toc505345771"/>
      <w:bookmarkStart w:id="7922" w:name="_Toc66890453"/>
      <w:bookmarkStart w:id="7923" w:name="_Toc66634458"/>
      <w:bookmarkStart w:id="7924" w:name="_Toc69114199"/>
      <w:r>
        <w:rPr>
          <w:color w:val="auto"/>
          <w:highlight w:val="none"/>
        </w:rPr>
        <w:t xml:space="preserve">2.3 </w:t>
      </w:r>
      <w:r>
        <w:rPr>
          <w:rFonts w:hint="eastAsia"/>
          <w:color w:val="auto"/>
          <w:highlight w:val="none"/>
        </w:rPr>
        <w:t>产品</w:t>
      </w:r>
      <w:bookmarkEnd w:id="7921"/>
      <w:bookmarkEnd w:id="7922"/>
      <w:bookmarkEnd w:id="7923"/>
      <w:bookmarkEnd w:id="7924"/>
    </w:p>
    <w:p>
      <w:pPr>
        <w:pStyle w:val="217"/>
        <w:rPr>
          <w:color w:val="auto"/>
          <w:highlight w:val="none"/>
        </w:rPr>
      </w:pPr>
      <w:r>
        <w:rPr>
          <w:color w:val="auto"/>
          <w:highlight w:val="none"/>
        </w:rPr>
        <w:t>1.</w:t>
      </w:r>
      <w:r>
        <w:rPr>
          <w:rFonts w:hint="eastAsia"/>
          <w:color w:val="auto"/>
          <w:highlight w:val="none"/>
        </w:rPr>
        <w:t>所有供本工程使用的隔震设备必须为不含石棉物质的产品。</w:t>
      </w:r>
    </w:p>
    <w:p>
      <w:pPr>
        <w:pStyle w:val="217"/>
        <w:rPr>
          <w:color w:val="auto"/>
          <w:highlight w:val="none"/>
        </w:rPr>
      </w:pPr>
      <w:r>
        <w:rPr>
          <w:color w:val="auto"/>
          <w:highlight w:val="none"/>
        </w:rPr>
        <w:t>2.</w:t>
      </w:r>
      <w:r>
        <w:rPr>
          <w:rFonts w:hint="eastAsia"/>
          <w:color w:val="auto"/>
          <w:highlight w:val="none"/>
        </w:rPr>
        <w:t>自立式弹簧隔震器</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）弹簧型隔震器均为无外壳自立式，底板和基座之间应配有</w:t>
      </w:r>
      <w:r>
        <w:rPr>
          <w:color w:val="auto"/>
          <w:highlight w:val="none"/>
        </w:rPr>
        <w:t>6</w:t>
      </w:r>
      <w:r>
        <w:rPr>
          <w:rFonts w:hint="eastAsia"/>
          <w:color w:val="auto"/>
          <w:highlight w:val="none"/>
        </w:rPr>
        <w:t>毫米厚的氯丁橡胶消声防滑垫片；</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）所有隔震器均须配有牢固栓接在设备上的水平调校螺栓；</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）弹簧最大的隔震幅度须能足够负担</w:t>
      </w:r>
      <w:r>
        <w:rPr>
          <w:color w:val="auto"/>
          <w:highlight w:val="none"/>
        </w:rPr>
        <w:t>50%</w:t>
      </w:r>
      <w:r>
        <w:rPr>
          <w:rFonts w:hint="eastAsia"/>
          <w:color w:val="auto"/>
          <w:highlight w:val="none"/>
        </w:rPr>
        <w:t>的额外负荷。</w:t>
      </w:r>
    </w:p>
    <w:p>
      <w:pPr>
        <w:pStyle w:val="217"/>
        <w:rPr>
          <w:color w:val="auto"/>
          <w:highlight w:val="none"/>
        </w:rPr>
      </w:pPr>
      <w:r>
        <w:rPr>
          <w:color w:val="auto"/>
          <w:highlight w:val="none"/>
        </w:rPr>
        <w:t>3.</w:t>
      </w:r>
      <w:r>
        <w:rPr>
          <w:rFonts w:hint="eastAsia"/>
          <w:color w:val="auto"/>
          <w:highlight w:val="none"/>
        </w:rPr>
        <w:t>限位式弹簧隔震器</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）当设备的额定装配重量和操作重量不同时，应设置附有垂直限位器的弹簧隔震器，以防止有关设备的外加重量除去后而引致弹簧伸长。外壳须由装配钢件组成，并施以热浸镀锌处理。</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）弹簧装配和正常运作时的高度相同。</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）在与限位螺栓的周围及弹簧与外壳之间，最少要保留</w:t>
      </w:r>
      <w:r>
        <w:rPr>
          <w:color w:val="auto"/>
          <w:highlight w:val="none"/>
        </w:rPr>
        <w:t>12</w:t>
      </w:r>
      <w:r>
        <w:rPr>
          <w:rFonts w:hint="eastAsia"/>
          <w:color w:val="auto"/>
          <w:highlight w:val="none"/>
        </w:rPr>
        <w:t>毫米的间隙，以供弹簧正常运作。</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）在正常操作时，限位器不应被接触。</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）弹簧的横向硬度不能小于其额定垂直硬度的</w:t>
      </w:r>
      <w:r>
        <w:rPr>
          <w:color w:val="auto"/>
          <w:highlight w:val="none"/>
        </w:rPr>
        <w:t>80%</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）弹簧最大的震幅度须能足够负担</w:t>
      </w:r>
      <w:r>
        <w:rPr>
          <w:color w:val="auto"/>
          <w:highlight w:val="none"/>
        </w:rPr>
        <w:t>50%</w:t>
      </w:r>
      <w:r>
        <w:rPr>
          <w:rFonts w:hint="eastAsia"/>
          <w:color w:val="auto"/>
          <w:highlight w:val="none"/>
        </w:rPr>
        <w:t>额外负荷。</w:t>
      </w:r>
    </w:p>
    <w:p>
      <w:pPr>
        <w:pStyle w:val="217"/>
        <w:rPr>
          <w:color w:val="auto"/>
          <w:highlight w:val="none"/>
        </w:rPr>
      </w:pPr>
      <w:r>
        <w:rPr>
          <w:color w:val="auto"/>
          <w:highlight w:val="none"/>
        </w:rPr>
        <w:t>4.</w:t>
      </w:r>
      <w:r>
        <w:rPr>
          <w:rFonts w:hint="eastAsia"/>
          <w:color w:val="auto"/>
          <w:highlight w:val="none"/>
        </w:rPr>
        <w:t>防震吊钩</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）防震吊钩应由一钢制弹簧和</w:t>
      </w:r>
      <w:r>
        <w:rPr>
          <w:color w:val="auto"/>
          <w:highlight w:val="none"/>
        </w:rPr>
        <w:t>8</w:t>
      </w:r>
      <w:r>
        <w:rPr>
          <w:rFonts w:hint="eastAsia"/>
          <w:color w:val="auto"/>
          <w:highlight w:val="none"/>
        </w:rPr>
        <w:t>毫米厚含弹性的氯丁橡胶垫层相串联组合在一吊钩盒子内。垫层须有一孔供吊杆安装。</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）弹簧的盘径和吊钩箱底的洞孔直径的大小应可容许吊杆作</w:t>
      </w:r>
      <w:r>
        <w:rPr>
          <w:color w:val="auto"/>
          <w:highlight w:val="none"/>
        </w:rPr>
        <w:t>30</w:t>
      </w:r>
      <w:r>
        <w:rPr>
          <w:rFonts w:hint="eastAsia"/>
          <w:color w:val="auto"/>
          <w:highlight w:val="none"/>
        </w:rPr>
        <w:t>度弧度的摆动，而不致碰到底洞及触到弹簧。</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）弹簧须能负担</w:t>
      </w:r>
      <w:r>
        <w:rPr>
          <w:color w:val="auto"/>
          <w:highlight w:val="none"/>
        </w:rPr>
        <w:t>50%</w:t>
      </w:r>
      <w:r>
        <w:rPr>
          <w:rFonts w:hint="eastAsia"/>
          <w:color w:val="auto"/>
          <w:highlight w:val="none"/>
        </w:rPr>
        <w:t>的额外负荷。</w:t>
      </w:r>
    </w:p>
    <w:p>
      <w:pPr>
        <w:pStyle w:val="217"/>
        <w:rPr>
          <w:color w:val="auto"/>
          <w:highlight w:val="none"/>
        </w:rPr>
      </w:pPr>
      <w:r>
        <w:rPr>
          <w:color w:val="auto"/>
          <w:highlight w:val="none"/>
        </w:rPr>
        <w:t>5.</w:t>
      </w:r>
      <w:r>
        <w:rPr>
          <w:rFonts w:hint="eastAsia"/>
          <w:color w:val="auto"/>
          <w:highlight w:val="none"/>
        </w:rPr>
        <w:t>氯丁橡胶隔震器</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）氯丁橡胶隔震器应具有双重隔震幅度设计而最小的隔震量须为</w:t>
      </w:r>
      <w:r>
        <w:rPr>
          <w:color w:val="auto"/>
          <w:highlight w:val="none"/>
        </w:rPr>
        <w:t>9</w:t>
      </w:r>
      <w:r>
        <w:rPr>
          <w:rFonts w:hint="eastAsia"/>
          <w:color w:val="auto"/>
          <w:highlight w:val="none"/>
        </w:rPr>
        <w:t>毫米；</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）全部金属面须覆以氯丁橡胶而底座的上下面皆附以防滑垫片及栓孔；</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）设备如小型风机或紧密接合的水泵应在隔震器上加钢轨。</w:t>
      </w:r>
    </w:p>
    <w:p>
      <w:pPr>
        <w:pStyle w:val="217"/>
        <w:rPr>
          <w:color w:val="auto"/>
          <w:highlight w:val="none"/>
        </w:rPr>
      </w:pPr>
      <w:r>
        <w:rPr>
          <w:color w:val="auto"/>
          <w:highlight w:val="none"/>
        </w:rPr>
        <w:t>6.</w:t>
      </w:r>
      <w:r>
        <w:rPr>
          <w:rFonts w:hint="eastAsia"/>
          <w:color w:val="auto"/>
          <w:highlight w:val="none"/>
        </w:rPr>
        <w:t>防震垫片</w:t>
      </w:r>
    </w:p>
    <w:p>
      <w:pPr>
        <w:pStyle w:val="217"/>
        <w:rPr>
          <w:color w:val="auto"/>
          <w:highlight w:val="none"/>
        </w:rPr>
      </w:pPr>
      <w:r>
        <w:rPr>
          <w:rFonts w:hint="eastAsia"/>
          <w:color w:val="auto"/>
          <w:highlight w:val="none"/>
        </w:rPr>
        <w:t>由两层或以上的受剪蜂窝组式氯丁橡胶片叠合，中夹填隙钢片。</w:t>
      </w:r>
    </w:p>
    <w:p>
      <w:pPr>
        <w:pStyle w:val="217"/>
        <w:rPr>
          <w:color w:val="auto"/>
          <w:highlight w:val="none"/>
        </w:rPr>
      </w:pPr>
      <w:r>
        <w:rPr>
          <w:color w:val="auto"/>
          <w:highlight w:val="none"/>
        </w:rPr>
        <w:t>7.</w:t>
      </w:r>
      <w:r>
        <w:rPr>
          <w:rFonts w:hint="eastAsia"/>
          <w:color w:val="auto"/>
          <w:highlight w:val="none"/>
        </w:rPr>
        <w:t>惯性基座</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）制造厂家须为需要惯性基座的设备进行设计、制造并提供隔震器。</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）由钢筋混凝土及钢制框架制成的惯性基座，其重量最少为所承载设备重量的</w:t>
      </w:r>
      <w:r>
        <w:rPr>
          <w:color w:val="auto"/>
          <w:highlight w:val="none"/>
        </w:rPr>
        <w:t>1.5</w:t>
      </w:r>
      <w:r>
        <w:rPr>
          <w:rFonts w:hint="eastAsia"/>
          <w:color w:val="auto"/>
          <w:highlight w:val="none"/>
        </w:rPr>
        <w:t>倍。混凝土的强度须为</w:t>
      </w:r>
      <w:r>
        <w:rPr>
          <w:color w:val="auto"/>
          <w:highlight w:val="none"/>
        </w:rPr>
        <w:t>20MPa</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）承托惯性基座的隔震器，其隔震量不可少于</w:t>
      </w:r>
      <w:r>
        <w:rPr>
          <w:color w:val="auto"/>
          <w:highlight w:val="none"/>
        </w:rPr>
        <w:t>20</w:t>
      </w:r>
      <w:r>
        <w:rPr>
          <w:rFonts w:hint="eastAsia"/>
          <w:color w:val="auto"/>
          <w:highlight w:val="none"/>
        </w:rPr>
        <w:t>毫米。</w:t>
      </w:r>
    </w:p>
    <w:p>
      <w:pPr>
        <w:pStyle w:val="217"/>
        <w:rPr>
          <w:color w:val="auto"/>
          <w:highlight w:val="none"/>
        </w:rPr>
      </w:pPr>
      <w:r>
        <w:rPr>
          <w:color w:val="auto"/>
          <w:highlight w:val="none"/>
        </w:rPr>
        <w:t>8.</w:t>
      </w:r>
      <w:r>
        <w:rPr>
          <w:rFonts w:hint="eastAsia"/>
          <w:color w:val="auto"/>
          <w:highlight w:val="none"/>
        </w:rPr>
        <w:t>水平推力限制器</w:t>
      </w:r>
    </w:p>
    <w:p>
      <w:pPr>
        <w:pStyle w:val="217"/>
        <w:rPr>
          <w:color w:val="auto"/>
          <w:highlight w:val="none"/>
        </w:rPr>
      </w:pPr>
      <w:r>
        <w:rPr>
          <w:rFonts w:hint="eastAsia"/>
          <w:color w:val="auto"/>
          <w:highlight w:val="none"/>
        </w:rPr>
        <w:t>推力限制器应由一弹簧组件与一氯丁橡胶串联组成及装设在一钢制框架内。限制器应在厂内预校及在工地按实际需要再作调整，以限制有关设备再起动和静止时水平移动不多于</w:t>
      </w:r>
      <w:r>
        <w:rPr>
          <w:color w:val="auto"/>
          <w:highlight w:val="none"/>
        </w:rPr>
        <w:t>6</w:t>
      </w:r>
      <w:r>
        <w:rPr>
          <w:rFonts w:hint="eastAsia"/>
          <w:color w:val="auto"/>
          <w:highlight w:val="none"/>
        </w:rPr>
        <w:t>毫米。</w:t>
      </w:r>
    </w:p>
    <w:p>
      <w:pPr>
        <w:pStyle w:val="217"/>
        <w:rPr>
          <w:color w:val="auto"/>
          <w:highlight w:val="none"/>
        </w:rPr>
      </w:pPr>
      <w:r>
        <w:rPr>
          <w:color w:val="auto"/>
          <w:highlight w:val="none"/>
        </w:rPr>
        <w:t>9.</w:t>
      </w:r>
      <w:r>
        <w:rPr>
          <w:rFonts w:hint="eastAsia"/>
          <w:color w:val="auto"/>
          <w:highlight w:val="none"/>
        </w:rPr>
        <w:t>柔性聚氯丁橡胶连接器</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）按图纸所示的设备（包括制冷机、冷却水塔、水泵及其他机动设备）其出口和进口处应设置柔性聚氯丁橡胶连接器；</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）连接器应为尼龙胎芯结构和聚氯丁橡胶复合管以液压橡胶压机压铸成型；</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）不应采用钢丝或钢环作为压力增强器；</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）所有连接管均应按系统要求提供单球型，且需得到监理工程师认可；</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）连接器应用悬浮式钢制凹槽法兰与管道进行连接；</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）所有连接器均应能承受</w:t>
      </w:r>
      <w:r>
        <w:rPr>
          <w:color w:val="auto"/>
          <w:highlight w:val="none"/>
        </w:rPr>
        <w:t>1600KPa</w:t>
      </w:r>
      <w:r>
        <w:rPr>
          <w:rFonts w:hint="eastAsia"/>
          <w:color w:val="auto"/>
          <w:highlight w:val="none"/>
        </w:rPr>
        <w:t>工作压力和</w:t>
      </w:r>
      <w:r>
        <w:rPr>
          <w:color w:val="auto"/>
          <w:highlight w:val="none"/>
        </w:rPr>
        <w:t>2400KPa</w:t>
      </w:r>
      <w:r>
        <w:rPr>
          <w:rFonts w:hint="eastAsia"/>
          <w:color w:val="auto"/>
          <w:highlight w:val="none"/>
        </w:rPr>
        <w:t>的测试压力；</w:t>
      </w:r>
    </w:p>
    <w:p>
      <w:pPr>
        <w:pStyle w:val="217"/>
        <w:rPr>
          <w:color w:val="auto"/>
          <w:highlight w:val="none"/>
        </w:rPr>
      </w:pPr>
      <w:r>
        <w:rPr>
          <w:rFonts w:hint="eastAsia"/>
          <w:color w:val="auto"/>
          <w:highlight w:val="none"/>
        </w:rPr>
        <w:t>（</w:t>
      </w:r>
      <w:r>
        <w:rPr>
          <w:color w:val="auto"/>
          <w:highlight w:val="none"/>
        </w:rPr>
        <w:t>7</w:t>
      </w:r>
      <w:r>
        <w:rPr>
          <w:rFonts w:hint="eastAsia"/>
          <w:color w:val="auto"/>
          <w:highlight w:val="none"/>
        </w:rPr>
        <w:t>）所有连接器均应制成凸缘球形，在生产过程均应进行适当的预伸长以防在系统压力下产生附加的伸长，同时每个连接器均需提供防超伸长销定杆装置。</w:t>
      </w:r>
    </w:p>
    <w:p>
      <w:pPr>
        <w:pStyle w:val="217"/>
        <w:rPr>
          <w:color w:val="auto"/>
          <w:highlight w:val="none"/>
        </w:rPr>
      </w:pPr>
      <w:r>
        <w:rPr>
          <w:color w:val="auto"/>
          <w:highlight w:val="none"/>
        </w:rPr>
        <w:t>10.</w:t>
      </w:r>
      <w:r>
        <w:rPr>
          <w:rFonts w:hint="eastAsia"/>
          <w:color w:val="auto"/>
          <w:highlight w:val="none"/>
        </w:rPr>
        <w:t>风管柔性接头</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）在各风管系统和设备连接口提供柔性接头；</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）按图纸所示或为减低震动，在所有风机和空调处理机的进风和出风接口安装隔震柔性接头。在每个接头均须预留有</w:t>
      </w:r>
      <w:r>
        <w:rPr>
          <w:color w:val="auto"/>
          <w:highlight w:val="none"/>
        </w:rPr>
        <w:t>25</w:t>
      </w:r>
      <w:r>
        <w:rPr>
          <w:rFonts w:hint="eastAsia"/>
          <w:color w:val="auto"/>
          <w:highlight w:val="none"/>
        </w:rPr>
        <w:t>毫米的宽松带以确保由风机所产生的震动不会传送至风管系统。柔性接头的连接应采用内折于金属片内或附于金属框架上，以防止漏风；</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）连接器应采用氯丁橡胶涂膜玻璃织物制造。所有连接器要符合当地消防局最新要求。呈交有关试验证书以供审批。</w:t>
      </w:r>
    </w:p>
    <w:p>
      <w:pPr>
        <w:pStyle w:val="113"/>
        <w:spacing w:before="120" w:after="120"/>
        <w:outlineLvl w:val="2"/>
        <w:rPr>
          <w:color w:val="auto"/>
          <w:highlight w:val="none"/>
        </w:rPr>
      </w:pPr>
      <w:bookmarkStart w:id="7925" w:name="_Toc66890454"/>
      <w:bookmarkStart w:id="7926" w:name="_Toc505345772"/>
      <w:bookmarkStart w:id="7927" w:name="_Toc69114200"/>
      <w:bookmarkStart w:id="7928" w:name="_Toc66634459"/>
      <w:r>
        <w:rPr>
          <w:color w:val="auto"/>
          <w:highlight w:val="none"/>
        </w:rPr>
        <w:t xml:space="preserve">2.4 </w:t>
      </w:r>
      <w:r>
        <w:rPr>
          <w:rFonts w:hint="eastAsia"/>
          <w:color w:val="auto"/>
          <w:highlight w:val="none"/>
        </w:rPr>
        <w:t>安装</w:t>
      </w:r>
      <w:bookmarkEnd w:id="7925"/>
      <w:bookmarkEnd w:id="7926"/>
      <w:bookmarkEnd w:id="7927"/>
      <w:bookmarkEnd w:id="7928"/>
    </w:p>
    <w:p>
      <w:pPr>
        <w:pStyle w:val="217"/>
        <w:rPr>
          <w:color w:val="auto"/>
          <w:highlight w:val="none"/>
        </w:rPr>
      </w:pPr>
      <w:r>
        <w:rPr>
          <w:color w:val="auto"/>
          <w:highlight w:val="none"/>
        </w:rPr>
        <w:t>1.</w:t>
      </w:r>
      <w:r>
        <w:rPr>
          <w:rFonts w:hint="eastAsia"/>
          <w:color w:val="auto"/>
          <w:highlight w:val="none"/>
        </w:rPr>
        <w:t>所有隔震设备均应按照各认可的制造厂家所建议的安装指引进行施工；</w:t>
      </w:r>
    </w:p>
    <w:p>
      <w:pPr>
        <w:pStyle w:val="217"/>
        <w:rPr>
          <w:color w:val="auto"/>
          <w:highlight w:val="none"/>
        </w:rPr>
      </w:pPr>
      <w:r>
        <w:rPr>
          <w:color w:val="auto"/>
          <w:highlight w:val="none"/>
        </w:rPr>
        <w:t>2.</w:t>
      </w:r>
      <w:r>
        <w:rPr>
          <w:rFonts w:hint="eastAsia"/>
          <w:color w:val="auto"/>
          <w:highlight w:val="none"/>
        </w:rPr>
        <w:t>空调处理机及风机</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）用一相同的构件连接整个风机及电动机，并安装在一具有足够刚度的钢制组合基座上；</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）所有风机须提供水平推力限制器；</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）除在图纸有特别标示，各弹簧隔震器的最少静态隔震器幅度是</w:t>
      </w:r>
      <w:r>
        <w:rPr>
          <w:color w:val="auto"/>
          <w:highlight w:val="none"/>
        </w:rPr>
        <w:t>20</w:t>
      </w:r>
      <w:r>
        <w:rPr>
          <w:rFonts w:hint="eastAsia"/>
          <w:color w:val="auto"/>
          <w:highlight w:val="none"/>
        </w:rPr>
        <w:t>毫米；</w:t>
      </w:r>
    </w:p>
    <w:p>
      <w:pPr>
        <w:pStyle w:val="217"/>
        <w:rPr>
          <w:color w:val="auto"/>
          <w:highlight w:val="none"/>
        </w:rPr>
      </w:pPr>
      <w:r>
        <w:rPr>
          <w:color w:val="auto"/>
          <w:highlight w:val="none"/>
        </w:rPr>
        <w:t>3.</w:t>
      </w:r>
      <w:r>
        <w:rPr>
          <w:rFonts w:hint="eastAsia"/>
          <w:color w:val="auto"/>
          <w:highlight w:val="none"/>
        </w:rPr>
        <w:t>水平管道</w:t>
      </w:r>
    </w:p>
    <w:p>
      <w:pPr>
        <w:pStyle w:val="217"/>
        <w:rPr>
          <w:color w:val="auto"/>
          <w:highlight w:val="none"/>
        </w:rPr>
      </w:pPr>
      <w:r>
        <w:rPr>
          <w:rFonts w:hint="eastAsia"/>
          <w:color w:val="auto"/>
          <w:highlight w:val="none"/>
        </w:rPr>
        <w:t>除特别注明外，安装在各空调机房内的所有水管道均须提供防震吊钩；</w:t>
      </w:r>
    </w:p>
    <w:p>
      <w:pPr>
        <w:pStyle w:val="217"/>
        <w:rPr>
          <w:color w:val="auto"/>
          <w:highlight w:val="none"/>
        </w:rPr>
      </w:pPr>
      <w:r>
        <w:rPr>
          <w:color w:val="auto"/>
          <w:highlight w:val="none"/>
        </w:rPr>
        <w:t>4.</w:t>
      </w:r>
      <w:r>
        <w:rPr>
          <w:rFonts w:hint="eastAsia"/>
          <w:color w:val="auto"/>
          <w:highlight w:val="none"/>
        </w:rPr>
        <w:t>垂直管和立管</w:t>
      </w:r>
    </w:p>
    <w:p>
      <w:pPr>
        <w:pStyle w:val="217"/>
        <w:rPr>
          <w:color w:val="auto"/>
          <w:highlight w:val="none"/>
        </w:rPr>
      </w:pPr>
      <w:r>
        <w:rPr>
          <w:rFonts w:hint="eastAsia"/>
          <w:color w:val="auto"/>
          <w:highlight w:val="none"/>
        </w:rPr>
        <w:t>所有立管均应按图纸上所示用支架或固定件悬吊或支撑，所有立管均应以</w:t>
      </w:r>
      <w:r>
        <w:rPr>
          <w:color w:val="auto"/>
          <w:highlight w:val="none"/>
        </w:rPr>
        <w:t>4</w:t>
      </w:r>
      <w:r>
        <w:rPr>
          <w:rFonts w:hint="eastAsia"/>
          <w:color w:val="auto"/>
          <w:highlight w:val="none"/>
        </w:rPr>
        <w:t>米的间隔弹性地悬吊或支撑。</w:t>
      </w:r>
    </w:p>
    <w:p>
      <w:pPr>
        <w:pStyle w:val="217"/>
        <w:rPr>
          <w:color w:val="auto"/>
          <w:highlight w:val="none"/>
        </w:rPr>
      </w:pPr>
      <w:r>
        <w:rPr>
          <w:color w:val="auto"/>
          <w:highlight w:val="none"/>
        </w:rPr>
        <w:t>5.</w:t>
      </w:r>
      <w:r>
        <w:rPr>
          <w:rFonts w:hint="eastAsia"/>
          <w:color w:val="auto"/>
          <w:highlight w:val="none"/>
        </w:rPr>
        <w:t>各种水泵</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）除特别标明外，所有水泵应装在惯性混凝土基座上，而对分外壳式水泵的基座面积应足够安装出水管及回水管的底部弯头。</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）除基座制造厂对质量或刚度有特别要求外，否则混凝土基座的深度不应大于</w:t>
      </w:r>
      <w:r>
        <w:rPr>
          <w:color w:val="auto"/>
          <w:highlight w:val="none"/>
        </w:rPr>
        <w:t>300</w:t>
      </w:r>
      <w:r>
        <w:rPr>
          <w:rFonts w:hint="eastAsia"/>
          <w:color w:val="auto"/>
          <w:highlight w:val="none"/>
        </w:rPr>
        <w:t>毫米。基座最少深度应为基座最长的边长十二分一，但不应少于</w:t>
      </w:r>
      <w:r>
        <w:rPr>
          <w:color w:val="auto"/>
          <w:highlight w:val="none"/>
        </w:rPr>
        <w:t>150</w:t>
      </w:r>
      <w:r>
        <w:rPr>
          <w:rFonts w:hint="eastAsia"/>
          <w:color w:val="auto"/>
          <w:highlight w:val="none"/>
        </w:rPr>
        <w:t>毫米。</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）水泵和电动机应共同装置在一座具有不少于</w:t>
      </w:r>
      <w:r>
        <w:rPr>
          <w:color w:val="auto"/>
          <w:highlight w:val="none"/>
        </w:rPr>
        <w:t>95%</w:t>
      </w:r>
      <w:r>
        <w:rPr>
          <w:rFonts w:hint="eastAsia"/>
          <w:color w:val="auto"/>
          <w:highlight w:val="none"/>
        </w:rPr>
        <w:t>隔震效果的浮式惯性台座上，再用弹簧型避震器和防震垫片承托于混凝土基座上。浮式台座的重量最少为设备操作重量的</w:t>
      </w:r>
      <w:r>
        <w:rPr>
          <w:color w:val="auto"/>
          <w:highlight w:val="none"/>
        </w:rPr>
        <w:t>1.5</w:t>
      </w:r>
      <w:r>
        <w:rPr>
          <w:rFonts w:hint="eastAsia"/>
          <w:color w:val="auto"/>
          <w:highlight w:val="none"/>
        </w:rPr>
        <w:t>倍。浮式台座的钢框由本本承包人提供，钢框架焊制完成后，并需进行热浸镀锌处理。</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）在各隔震安装位置，采用低高度托座，并保持基座底与地面有</w:t>
      </w:r>
      <w:r>
        <w:rPr>
          <w:color w:val="auto"/>
          <w:highlight w:val="none"/>
        </w:rPr>
        <w:t>24</w:t>
      </w:r>
      <w:r>
        <w:rPr>
          <w:rFonts w:hint="eastAsia"/>
          <w:color w:val="auto"/>
          <w:highlight w:val="none"/>
        </w:rPr>
        <w:t>毫米的空间。</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）当水泵的电动机马力在</w:t>
      </w:r>
      <w:r>
        <w:rPr>
          <w:color w:val="auto"/>
          <w:highlight w:val="none"/>
        </w:rPr>
        <w:t>45KW</w:t>
      </w:r>
      <w:r>
        <w:rPr>
          <w:rFonts w:hint="eastAsia"/>
          <w:color w:val="auto"/>
          <w:highlight w:val="none"/>
        </w:rPr>
        <w:t>（或以下）或水泵装设在地下室时，可选用静态震动幅度</w:t>
      </w:r>
      <w:r>
        <w:rPr>
          <w:color w:val="auto"/>
          <w:highlight w:val="none"/>
        </w:rPr>
        <w:t>20</w:t>
      </w:r>
      <w:r>
        <w:rPr>
          <w:rFonts w:hint="eastAsia"/>
          <w:color w:val="auto"/>
          <w:highlight w:val="none"/>
        </w:rPr>
        <w:t>毫米的弹簧隔震器。如电动机马力在</w:t>
      </w:r>
      <w:r>
        <w:rPr>
          <w:color w:val="auto"/>
          <w:highlight w:val="none"/>
        </w:rPr>
        <w:t>45KW</w:t>
      </w:r>
      <w:r>
        <w:rPr>
          <w:rFonts w:hint="eastAsia"/>
          <w:color w:val="auto"/>
          <w:highlight w:val="none"/>
        </w:rPr>
        <w:t>以上则应选用静态震动幅度</w:t>
      </w:r>
      <w:r>
        <w:rPr>
          <w:color w:val="auto"/>
          <w:highlight w:val="none"/>
        </w:rPr>
        <w:t>40</w:t>
      </w:r>
      <w:r>
        <w:rPr>
          <w:rFonts w:hint="eastAsia"/>
          <w:color w:val="auto"/>
          <w:highlight w:val="none"/>
        </w:rPr>
        <w:t>毫米的弹簧隔震器。</w:t>
      </w:r>
    </w:p>
    <w:p>
      <w:pPr>
        <w:rPr>
          <w:color w:val="auto"/>
          <w:highlight w:val="none"/>
        </w:rPr>
      </w:pPr>
    </w:p>
    <w:p>
      <w:pPr>
        <w:pStyle w:val="188"/>
        <w:spacing w:before="120" w:after="120"/>
        <w:outlineLvl w:val="1"/>
        <w:rPr>
          <w:color w:val="auto"/>
          <w:highlight w:val="none"/>
        </w:rPr>
      </w:pPr>
      <w:bookmarkStart w:id="7929" w:name="_Toc320791306"/>
      <w:bookmarkStart w:id="7930" w:name="_Toc69114201"/>
      <w:bookmarkStart w:id="7931" w:name="_Toc66890455"/>
      <w:bookmarkStart w:id="7932" w:name="_Toc66634460"/>
      <w:bookmarkStart w:id="7933" w:name="_Toc380622846"/>
      <w:bookmarkStart w:id="7934" w:name="_Toc505345773"/>
      <w:r>
        <w:rPr>
          <w:rFonts w:hint="eastAsia"/>
          <w:color w:val="auto"/>
          <w:highlight w:val="none"/>
        </w:rPr>
        <w:t>第</w:t>
      </w:r>
      <w:r>
        <w:rPr>
          <w:color w:val="auto"/>
          <w:highlight w:val="none"/>
        </w:rPr>
        <w:t>3</w:t>
      </w:r>
      <w:r>
        <w:rPr>
          <w:rFonts w:hint="eastAsia"/>
          <w:color w:val="auto"/>
          <w:highlight w:val="none"/>
        </w:rPr>
        <w:t>章</w:t>
      </w:r>
      <w:r>
        <w:rPr>
          <w:color w:val="auto"/>
          <w:highlight w:val="none"/>
        </w:rPr>
        <w:t xml:space="preserve">  </w:t>
      </w:r>
      <w:r>
        <w:rPr>
          <w:rFonts w:hint="eastAsia"/>
          <w:color w:val="auto"/>
          <w:highlight w:val="none"/>
        </w:rPr>
        <w:t>通风系统试验和试运行</w:t>
      </w:r>
      <w:bookmarkEnd w:id="7929"/>
      <w:bookmarkEnd w:id="7930"/>
      <w:bookmarkEnd w:id="7931"/>
      <w:bookmarkEnd w:id="7932"/>
      <w:bookmarkEnd w:id="7933"/>
      <w:bookmarkEnd w:id="7934"/>
    </w:p>
    <w:p>
      <w:pPr>
        <w:pStyle w:val="113"/>
        <w:spacing w:before="120" w:after="120"/>
        <w:outlineLvl w:val="2"/>
        <w:rPr>
          <w:color w:val="auto"/>
          <w:highlight w:val="none"/>
        </w:rPr>
      </w:pPr>
      <w:bookmarkStart w:id="7935" w:name="_Toc66890456"/>
      <w:bookmarkStart w:id="7936" w:name="_Toc66634461"/>
      <w:bookmarkStart w:id="7937" w:name="_Toc69114202"/>
      <w:bookmarkStart w:id="7938" w:name="_Toc505345774"/>
      <w:r>
        <w:rPr>
          <w:color w:val="auto"/>
          <w:highlight w:val="none"/>
        </w:rPr>
        <w:t xml:space="preserve">3.1 </w:t>
      </w:r>
      <w:r>
        <w:rPr>
          <w:rFonts w:hint="eastAsia"/>
          <w:color w:val="auto"/>
          <w:highlight w:val="none"/>
        </w:rPr>
        <w:t>概述</w:t>
      </w:r>
      <w:bookmarkEnd w:id="7935"/>
      <w:bookmarkEnd w:id="7936"/>
      <w:bookmarkEnd w:id="7937"/>
      <w:bookmarkEnd w:id="7938"/>
    </w:p>
    <w:p>
      <w:pPr>
        <w:pStyle w:val="217"/>
        <w:rPr>
          <w:color w:val="auto"/>
          <w:highlight w:val="none"/>
        </w:rPr>
      </w:pPr>
      <w:r>
        <w:rPr>
          <w:rFonts w:hint="eastAsia"/>
          <w:color w:val="auto"/>
          <w:highlight w:val="none"/>
        </w:rPr>
        <w:t>本节说明有关所有通风空调系统的试验、试运行的技术要求。</w:t>
      </w:r>
    </w:p>
    <w:p>
      <w:pPr>
        <w:pStyle w:val="113"/>
        <w:spacing w:before="120" w:after="120"/>
        <w:outlineLvl w:val="2"/>
        <w:rPr>
          <w:color w:val="auto"/>
          <w:highlight w:val="none"/>
        </w:rPr>
      </w:pPr>
      <w:bookmarkStart w:id="7939" w:name="_Toc505345775"/>
      <w:bookmarkStart w:id="7940" w:name="_Toc66634462"/>
      <w:bookmarkStart w:id="7941" w:name="_Toc66890457"/>
      <w:bookmarkStart w:id="7942" w:name="_Toc69114203"/>
      <w:r>
        <w:rPr>
          <w:color w:val="auto"/>
          <w:highlight w:val="none"/>
        </w:rPr>
        <w:t xml:space="preserve">3.2 </w:t>
      </w:r>
      <w:r>
        <w:rPr>
          <w:rFonts w:hint="eastAsia"/>
          <w:color w:val="auto"/>
          <w:highlight w:val="none"/>
        </w:rPr>
        <w:t>一般要求</w:t>
      </w:r>
      <w:bookmarkEnd w:id="7939"/>
      <w:bookmarkEnd w:id="7940"/>
      <w:bookmarkEnd w:id="7941"/>
      <w:bookmarkEnd w:id="7942"/>
    </w:p>
    <w:p>
      <w:pPr>
        <w:pStyle w:val="217"/>
        <w:rPr>
          <w:color w:val="auto"/>
          <w:highlight w:val="none"/>
        </w:rPr>
      </w:pPr>
      <w:r>
        <w:rPr>
          <w:color w:val="auto"/>
          <w:highlight w:val="none"/>
        </w:rPr>
        <w:t>1.</w:t>
      </w:r>
      <w:r>
        <w:rPr>
          <w:rFonts w:hint="eastAsia"/>
          <w:color w:val="auto"/>
          <w:highlight w:val="none"/>
        </w:rPr>
        <w:t>除了其他章节内的要求外，本承包人还应实施各项必要的试验和试运行，这包括施工期间的现场试验、交工试运行和验收试验。</w:t>
      </w:r>
    </w:p>
    <w:p>
      <w:pPr>
        <w:pStyle w:val="217"/>
        <w:rPr>
          <w:color w:val="auto"/>
          <w:highlight w:val="none"/>
        </w:rPr>
      </w:pPr>
      <w:r>
        <w:rPr>
          <w:color w:val="auto"/>
          <w:highlight w:val="none"/>
        </w:rPr>
        <w:t>2.</w:t>
      </w:r>
      <w:r>
        <w:rPr>
          <w:rFonts w:hint="eastAsia"/>
          <w:color w:val="auto"/>
          <w:highlight w:val="none"/>
        </w:rPr>
        <w:t>所有的测试须按业主</w:t>
      </w:r>
      <w:r>
        <w:rPr>
          <w:color w:val="auto"/>
          <w:highlight w:val="none"/>
        </w:rPr>
        <w:t>/</w:t>
      </w:r>
      <w:r>
        <w:rPr>
          <w:rFonts w:hint="eastAsia"/>
          <w:color w:val="auto"/>
          <w:highlight w:val="none"/>
        </w:rPr>
        <w:t>监理工程师所认可的程序进行，同时在完成试验后须提交所有试验记录文件一式三份供业主</w:t>
      </w:r>
      <w:r>
        <w:rPr>
          <w:color w:val="auto"/>
          <w:highlight w:val="none"/>
        </w:rPr>
        <w:t>/</w:t>
      </w:r>
      <w:r>
        <w:rPr>
          <w:rFonts w:hint="eastAsia"/>
          <w:color w:val="auto"/>
          <w:highlight w:val="none"/>
        </w:rPr>
        <w:t>监理工程师审阅。所有安装的系统必须完成本技术要求所有的试验并经业主</w:t>
      </w:r>
      <w:r>
        <w:rPr>
          <w:color w:val="auto"/>
          <w:highlight w:val="none"/>
        </w:rPr>
        <w:t>/</w:t>
      </w:r>
      <w:r>
        <w:rPr>
          <w:rFonts w:hint="eastAsia"/>
          <w:color w:val="auto"/>
          <w:highlight w:val="none"/>
        </w:rPr>
        <w:t>监理工程师审核认可后，方可正式移交业主使用。</w:t>
      </w:r>
    </w:p>
    <w:p>
      <w:pPr>
        <w:pStyle w:val="217"/>
        <w:rPr>
          <w:color w:val="auto"/>
          <w:highlight w:val="none"/>
        </w:rPr>
      </w:pPr>
      <w:r>
        <w:rPr>
          <w:color w:val="auto"/>
          <w:highlight w:val="none"/>
        </w:rPr>
        <w:t>3.</w:t>
      </w:r>
      <w:r>
        <w:rPr>
          <w:rFonts w:hint="eastAsia"/>
          <w:color w:val="auto"/>
          <w:highlight w:val="none"/>
        </w:rPr>
        <w:t>本承包人须负责有关系统试验所需的一切费用，包括修正在试验过程中所发现不妥善的地方及再次试验的费用，同时需包括一切试验所需的仪器设施。</w:t>
      </w:r>
    </w:p>
    <w:p>
      <w:pPr>
        <w:pStyle w:val="217"/>
        <w:rPr>
          <w:color w:val="auto"/>
          <w:highlight w:val="none"/>
        </w:rPr>
      </w:pPr>
      <w:r>
        <w:rPr>
          <w:color w:val="auto"/>
          <w:highlight w:val="none"/>
        </w:rPr>
        <w:t>4.</w:t>
      </w:r>
      <w:r>
        <w:rPr>
          <w:rFonts w:hint="eastAsia"/>
          <w:color w:val="auto"/>
          <w:highlight w:val="none"/>
        </w:rPr>
        <w:t>有关执行各系统的试验、调节和试运行工作的人员须具有五年或以上担任过相同工作的经验。</w:t>
      </w:r>
    </w:p>
    <w:p>
      <w:pPr>
        <w:pStyle w:val="217"/>
        <w:rPr>
          <w:color w:val="auto"/>
          <w:highlight w:val="none"/>
        </w:rPr>
      </w:pPr>
      <w:r>
        <w:rPr>
          <w:color w:val="auto"/>
          <w:highlight w:val="none"/>
        </w:rPr>
        <w:t>5.</w:t>
      </w:r>
      <w:r>
        <w:rPr>
          <w:rFonts w:hint="eastAsia"/>
          <w:color w:val="auto"/>
          <w:highlight w:val="none"/>
        </w:rPr>
        <w:t>所有用于试验、调节和试运行工作的仪器设施，须在使用前检定合格。</w:t>
      </w:r>
    </w:p>
    <w:p>
      <w:pPr>
        <w:pStyle w:val="217"/>
        <w:rPr>
          <w:color w:val="auto"/>
          <w:highlight w:val="none"/>
        </w:rPr>
      </w:pPr>
      <w:r>
        <w:rPr>
          <w:color w:val="auto"/>
          <w:highlight w:val="none"/>
        </w:rPr>
        <w:t>6.</w:t>
      </w:r>
      <w:r>
        <w:rPr>
          <w:rFonts w:hint="eastAsia"/>
          <w:color w:val="auto"/>
          <w:highlight w:val="none"/>
        </w:rPr>
        <w:t>遵守国家相关标准和规范（特别是消防、环境方面的要求）。</w:t>
      </w:r>
    </w:p>
    <w:p>
      <w:pPr>
        <w:pStyle w:val="217"/>
        <w:rPr>
          <w:color w:val="auto"/>
          <w:highlight w:val="none"/>
        </w:rPr>
      </w:pPr>
      <w:r>
        <w:rPr>
          <w:color w:val="auto"/>
          <w:highlight w:val="none"/>
        </w:rPr>
        <w:t>7.</w:t>
      </w:r>
      <w:r>
        <w:rPr>
          <w:rFonts w:hint="eastAsia"/>
          <w:color w:val="auto"/>
          <w:highlight w:val="none"/>
        </w:rPr>
        <w:t>提交执行系统测试及试运行人员的名单、简历。</w:t>
      </w:r>
    </w:p>
    <w:p>
      <w:pPr>
        <w:pStyle w:val="217"/>
        <w:rPr>
          <w:color w:val="auto"/>
          <w:highlight w:val="none"/>
        </w:rPr>
      </w:pPr>
      <w:r>
        <w:rPr>
          <w:color w:val="auto"/>
          <w:highlight w:val="none"/>
        </w:rPr>
        <w:t>8.</w:t>
      </w:r>
      <w:r>
        <w:rPr>
          <w:rFonts w:hint="eastAsia"/>
          <w:color w:val="auto"/>
          <w:highlight w:val="none"/>
        </w:rPr>
        <w:t>提交测试及试运行的计划进度表。</w:t>
      </w:r>
    </w:p>
    <w:p>
      <w:pPr>
        <w:pStyle w:val="217"/>
        <w:rPr>
          <w:color w:val="auto"/>
          <w:highlight w:val="none"/>
        </w:rPr>
      </w:pPr>
      <w:r>
        <w:rPr>
          <w:color w:val="auto"/>
          <w:highlight w:val="none"/>
        </w:rPr>
        <w:t>9.</w:t>
      </w:r>
      <w:r>
        <w:rPr>
          <w:rFonts w:hint="eastAsia"/>
          <w:color w:val="auto"/>
          <w:highlight w:val="none"/>
        </w:rPr>
        <w:t>提交测试及试运行的方案。</w:t>
      </w:r>
    </w:p>
    <w:p>
      <w:pPr>
        <w:pStyle w:val="113"/>
        <w:spacing w:before="120" w:after="120"/>
        <w:outlineLvl w:val="2"/>
        <w:rPr>
          <w:color w:val="auto"/>
          <w:highlight w:val="none"/>
        </w:rPr>
      </w:pPr>
      <w:bookmarkStart w:id="7943" w:name="_Toc66890458"/>
      <w:bookmarkStart w:id="7944" w:name="_Toc66634463"/>
      <w:bookmarkStart w:id="7945" w:name="_Toc505345776"/>
      <w:bookmarkStart w:id="7946" w:name="_Toc69114204"/>
      <w:r>
        <w:rPr>
          <w:color w:val="auto"/>
          <w:highlight w:val="none"/>
        </w:rPr>
        <w:t xml:space="preserve">3.3 </w:t>
      </w:r>
      <w:r>
        <w:rPr>
          <w:rFonts w:hint="eastAsia"/>
          <w:color w:val="auto"/>
          <w:highlight w:val="none"/>
        </w:rPr>
        <w:t>产品</w:t>
      </w:r>
      <w:bookmarkEnd w:id="7943"/>
      <w:bookmarkEnd w:id="7944"/>
      <w:bookmarkEnd w:id="7945"/>
      <w:bookmarkEnd w:id="7946"/>
    </w:p>
    <w:p>
      <w:pPr>
        <w:pStyle w:val="217"/>
        <w:rPr>
          <w:color w:val="auto"/>
          <w:highlight w:val="none"/>
        </w:rPr>
      </w:pPr>
      <w:r>
        <w:rPr>
          <w:color w:val="auto"/>
          <w:highlight w:val="none"/>
        </w:rPr>
        <w:t>1.</w:t>
      </w:r>
      <w:r>
        <w:rPr>
          <w:rFonts w:hint="eastAsia"/>
          <w:color w:val="auto"/>
          <w:highlight w:val="none"/>
        </w:rPr>
        <w:t>提供所有试验及试运行所需的仪器设施，其中包括但不限于下列内容：</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w:t>
      </w:r>
      <w:r>
        <w:rPr>
          <w:color w:val="auto"/>
          <w:highlight w:val="none"/>
        </w:rPr>
        <w:t>8</w:t>
      </w:r>
      <w:r>
        <w:rPr>
          <w:rFonts w:hint="eastAsia"/>
          <w:color w:val="auto"/>
          <w:highlight w:val="none"/>
        </w:rPr>
        <w:t>倍频带噪音测量表；</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）温湿度计；</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）转速计；</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）水银温度计；</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）流速测定管连测压计；</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）电子旋转叶片风速表；</w:t>
      </w:r>
    </w:p>
    <w:p>
      <w:pPr>
        <w:pStyle w:val="217"/>
        <w:rPr>
          <w:color w:val="auto"/>
          <w:highlight w:val="none"/>
        </w:rPr>
      </w:pPr>
      <w:r>
        <w:rPr>
          <w:rFonts w:hint="eastAsia"/>
          <w:color w:val="auto"/>
          <w:highlight w:val="none"/>
        </w:rPr>
        <w:t>（</w:t>
      </w:r>
      <w:r>
        <w:rPr>
          <w:color w:val="auto"/>
          <w:highlight w:val="none"/>
        </w:rPr>
        <w:t>7</w:t>
      </w:r>
      <w:r>
        <w:rPr>
          <w:rFonts w:hint="eastAsia"/>
          <w:color w:val="auto"/>
          <w:highlight w:val="none"/>
        </w:rPr>
        <w:t>）测速仪；</w:t>
      </w:r>
    </w:p>
    <w:p>
      <w:pPr>
        <w:pStyle w:val="217"/>
        <w:rPr>
          <w:color w:val="auto"/>
          <w:highlight w:val="none"/>
        </w:rPr>
      </w:pPr>
      <w:r>
        <w:rPr>
          <w:rFonts w:hint="eastAsia"/>
          <w:color w:val="auto"/>
          <w:highlight w:val="none"/>
        </w:rPr>
        <w:t>（</w:t>
      </w:r>
      <w:r>
        <w:rPr>
          <w:color w:val="auto"/>
          <w:highlight w:val="none"/>
        </w:rPr>
        <w:t>8</w:t>
      </w:r>
      <w:r>
        <w:rPr>
          <w:rFonts w:hint="eastAsia"/>
          <w:color w:val="auto"/>
          <w:highlight w:val="none"/>
        </w:rPr>
        <w:t>）电流、电压表；</w:t>
      </w:r>
    </w:p>
    <w:p>
      <w:pPr>
        <w:pStyle w:val="217"/>
        <w:rPr>
          <w:color w:val="auto"/>
          <w:highlight w:val="none"/>
        </w:rPr>
      </w:pPr>
      <w:r>
        <w:rPr>
          <w:rFonts w:hint="eastAsia"/>
          <w:color w:val="auto"/>
          <w:highlight w:val="none"/>
        </w:rPr>
        <w:t>（</w:t>
      </w:r>
      <w:r>
        <w:rPr>
          <w:color w:val="auto"/>
          <w:highlight w:val="none"/>
        </w:rPr>
        <w:t>9</w:t>
      </w:r>
      <w:r>
        <w:rPr>
          <w:rFonts w:hint="eastAsia"/>
          <w:color w:val="auto"/>
          <w:highlight w:val="none"/>
        </w:rPr>
        <w:t>）绝缘测试表；</w:t>
      </w:r>
    </w:p>
    <w:p>
      <w:pPr>
        <w:pStyle w:val="217"/>
        <w:rPr>
          <w:color w:val="auto"/>
          <w:highlight w:val="none"/>
        </w:rPr>
      </w:pPr>
      <w:r>
        <w:rPr>
          <w:rFonts w:hint="eastAsia"/>
          <w:color w:val="auto"/>
          <w:highlight w:val="none"/>
        </w:rPr>
        <w:t>（</w:t>
      </w:r>
      <w:r>
        <w:rPr>
          <w:color w:val="auto"/>
          <w:highlight w:val="none"/>
        </w:rPr>
        <w:t>10</w:t>
      </w:r>
      <w:r>
        <w:rPr>
          <w:rFonts w:hint="eastAsia"/>
          <w:color w:val="auto"/>
          <w:highlight w:val="none"/>
        </w:rPr>
        <w:t>）试压水泵设备。</w:t>
      </w:r>
    </w:p>
    <w:p>
      <w:pPr>
        <w:pStyle w:val="217"/>
        <w:rPr>
          <w:color w:val="auto"/>
          <w:highlight w:val="none"/>
        </w:rPr>
      </w:pPr>
      <w:r>
        <w:rPr>
          <w:color w:val="auto"/>
          <w:highlight w:val="none"/>
        </w:rPr>
        <w:t>2.</w:t>
      </w:r>
      <w:r>
        <w:rPr>
          <w:rFonts w:hint="eastAsia"/>
          <w:color w:val="auto"/>
          <w:highlight w:val="none"/>
        </w:rPr>
        <w:t>须于使用前三个月内对有关测量仪器重新校核检定。</w:t>
      </w:r>
    </w:p>
    <w:p>
      <w:pPr>
        <w:pStyle w:val="217"/>
        <w:rPr>
          <w:color w:val="auto"/>
          <w:highlight w:val="none"/>
        </w:rPr>
      </w:pPr>
      <w:r>
        <w:rPr>
          <w:color w:val="auto"/>
          <w:highlight w:val="none"/>
        </w:rPr>
        <w:t>3.</w:t>
      </w:r>
      <w:r>
        <w:rPr>
          <w:rFonts w:hint="eastAsia"/>
          <w:color w:val="auto"/>
          <w:highlight w:val="none"/>
        </w:rPr>
        <w:t>承包人须负责提供一切为成功调试有关水、风系统所需的附加设备，如调节阀、减压阀和蝶型阀等，并负责一切费用。</w:t>
      </w:r>
    </w:p>
    <w:p>
      <w:pPr>
        <w:pStyle w:val="217"/>
        <w:rPr>
          <w:color w:val="auto"/>
          <w:highlight w:val="none"/>
        </w:rPr>
      </w:pPr>
      <w:r>
        <w:rPr>
          <w:color w:val="auto"/>
          <w:highlight w:val="none"/>
        </w:rPr>
        <w:t>4.</w:t>
      </w:r>
      <w:r>
        <w:rPr>
          <w:rFonts w:hint="eastAsia"/>
          <w:color w:val="auto"/>
          <w:highlight w:val="none"/>
        </w:rPr>
        <w:t>提供本和约范围内一切系统测试所需的工作人员、设备、仪表。</w:t>
      </w:r>
    </w:p>
    <w:p>
      <w:pPr>
        <w:pStyle w:val="217"/>
        <w:rPr>
          <w:color w:val="auto"/>
          <w:highlight w:val="none"/>
        </w:rPr>
      </w:pPr>
      <w:r>
        <w:rPr>
          <w:color w:val="auto"/>
          <w:highlight w:val="none"/>
        </w:rPr>
        <w:t>5.</w:t>
      </w:r>
      <w:r>
        <w:rPr>
          <w:rFonts w:hint="eastAsia"/>
          <w:color w:val="auto"/>
          <w:highlight w:val="none"/>
        </w:rPr>
        <w:t>增添、替换或修正在测试期间发现的有缺陷的系统、设备。</w:t>
      </w:r>
    </w:p>
    <w:p>
      <w:pPr>
        <w:pStyle w:val="113"/>
        <w:spacing w:before="120" w:after="120"/>
        <w:outlineLvl w:val="2"/>
        <w:rPr>
          <w:color w:val="auto"/>
          <w:highlight w:val="none"/>
        </w:rPr>
      </w:pPr>
      <w:bookmarkStart w:id="7947" w:name="_Toc66634464"/>
      <w:bookmarkStart w:id="7948" w:name="_Toc66890459"/>
      <w:bookmarkStart w:id="7949" w:name="_Toc505345777"/>
      <w:bookmarkStart w:id="7950" w:name="_Toc69114205"/>
      <w:r>
        <w:rPr>
          <w:color w:val="auto"/>
          <w:highlight w:val="none"/>
        </w:rPr>
        <w:t xml:space="preserve">3.4 </w:t>
      </w:r>
      <w:r>
        <w:rPr>
          <w:rFonts w:hint="eastAsia"/>
          <w:color w:val="auto"/>
          <w:highlight w:val="none"/>
        </w:rPr>
        <w:t>测试前的准备</w:t>
      </w:r>
      <w:bookmarkEnd w:id="7947"/>
      <w:bookmarkEnd w:id="7948"/>
      <w:bookmarkEnd w:id="7949"/>
      <w:bookmarkEnd w:id="7950"/>
    </w:p>
    <w:p>
      <w:pPr>
        <w:pStyle w:val="217"/>
        <w:rPr>
          <w:color w:val="auto"/>
          <w:highlight w:val="none"/>
        </w:rPr>
      </w:pPr>
      <w:r>
        <w:rPr>
          <w:color w:val="auto"/>
          <w:highlight w:val="none"/>
        </w:rPr>
        <w:t>1.</w:t>
      </w:r>
      <w:r>
        <w:rPr>
          <w:rFonts w:hint="eastAsia"/>
          <w:color w:val="auto"/>
          <w:highlight w:val="none"/>
        </w:rPr>
        <w:t>承包人须保证所有本和约范围内的设备及装置，在进行调试工作前，彻底进行清洁、润滑和检查，将所有遗留在风管系统、水管系统、设备内的杂物一一清除。</w:t>
      </w:r>
    </w:p>
    <w:p>
      <w:pPr>
        <w:pStyle w:val="217"/>
        <w:rPr>
          <w:color w:val="auto"/>
          <w:highlight w:val="none"/>
        </w:rPr>
      </w:pPr>
      <w:r>
        <w:rPr>
          <w:color w:val="auto"/>
          <w:highlight w:val="none"/>
        </w:rPr>
        <w:t>2.</w:t>
      </w:r>
      <w:r>
        <w:rPr>
          <w:rFonts w:hint="eastAsia"/>
          <w:color w:val="auto"/>
          <w:highlight w:val="none"/>
        </w:rPr>
        <w:t>彻底冲洗管道系统，以清除管道内的污渍。在每个盘管设置旁通管，以避免在冲洗时，管网内的污垢被带入及积存在盘管内。冲洗完毕后，清洁系统内所有的过滤器及阀门，并为所有系统注入所需的媒体，及利用排气阀进行排气。</w:t>
      </w:r>
    </w:p>
    <w:p>
      <w:pPr>
        <w:pStyle w:val="217"/>
        <w:rPr>
          <w:color w:val="auto"/>
          <w:highlight w:val="none"/>
        </w:rPr>
      </w:pPr>
      <w:r>
        <w:rPr>
          <w:color w:val="auto"/>
          <w:highlight w:val="none"/>
        </w:rPr>
        <w:t>3.</w:t>
      </w:r>
      <w:r>
        <w:rPr>
          <w:rFonts w:hint="eastAsia"/>
          <w:color w:val="auto"/>
          <w:highlight w:val="none"/>
        </w:rPr>
        <w:t>须对所有自动控制元件和安全装置进行检查，确保操作正常后，才可接通水路和电力系统。</w:t>
      </w:r>
    </w:p>
    <w:p>
      <w:pPr>
        <w:pStyle w:val="217"/>
        <w:rPr>
          <w:color w:val="auto"/>
          <w:highlight w:val="none"/>
        </w:rPr>
      </w:pPr>
      <w:r>
        <w:rPr>
          <w:color w:val="auto"/>
          <w:highlight w:val="none"/>
        </w:rPr>
        <w:t>4.</w:t>
      </w:r>
      <w:r>
        <w:rPr>
          <w:rFonts w:hint="eastAsia"/>
          <w:color w:val="auto"/>
          <w:highlight w:val="none"/>
        </w:rPr>
        <w:t>在工程施工期间和在保温施工前，应对所完成的工程分段进行压力试验。压力试验前应先将可能受损的设备拆移并加法兰盲板封闭。</w:t>
      </w:r>
    </w:p>
    <w:p>
      <w:pPr>
        <w:pStyle w:val="113"/>
        <w:spacing w:before="120" w:after="120"/>
        <w:outlineLvl w:val="2"/>
        <w:rPr>
          <w:color w:val="auto"/>
          <w:highlight w:val="none"/>
        </w:rPr>
      </w:pPr>
      <w:bookmarkStart w:id="7951" w:name="_Toc69114206"/>
      <w:bookmarkStart w:id="7952" w:name="_Toc505345778"/>
      <w:bookmarkStart w:id="7953" w:name="_Toc66890460"/>
      <w:bookmarkStart w:id="7954" w:name="_Toc66634465"/>
      <w:r>
        <w:rPr>
          <w:color w:val="auto"/>
          <w:highlight w:val="none"/>
        </w:rPr>
        <w:t xml:space="preserve">3.5 </w:t>
      </w:r>
      <w:r>
        <w:rPr>
          <w:rFonts w:hint="eastAsia"/>
          <w:color w:val="auto"/>
          <w:highlight w:val="none"/>
        </w:rPr>
        <w:t>设备单机试运转</w:t>
      </w:r>
      <w:bookmarkEnd w:id="7951"/>
      <w:bookmarkEnd w:id="7952"/>
      <w:bookmarkEnd w:id="7953"/>
      <w:bookmarkEnd w:id="7954"/>
    </w:p>
    <w:p>
      <w:pPr>
        <w:pStyle w:val="217"/>
        <w:rPr>
          <w:color w:val="auto"/>
          <w:highlight w:val="none"/>
        </w:rPr>
      </w:pPr>
      <w:r>
        <w:rPr>
          <w:color w:val="auto"/>
          <w:highlight w:val="none"/>
        </w:rPr>
        <w:t>1.</w:t>
      </w:r>
      <w:r>
        <w:rPr>
          <w:rFonts w:hint="eastAsia"/>
          <w:color w:val="auto"/>
          <w:highlight w:val="none"/>
        </w:rPr>
        <w:t>通风机及空调机组中的通风机</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）盘动叶轮，应无卡阻和碰擦现象；</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）叶轮旋转方向必须正确、运转平稳、无异常振动和声响，电机运行功率应符合设备技术文件的规定；</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）风机启动达到正常转速后，应首先在调节门开度为</w:t>
      </w:r>
      <w:r>
        <w:rPr>
          <w:color w:val="auto"/>
          <w:highlight w:val="none"/>
        </w:rPr>
        <w:t>0</w:t>
      </w:r>
      <w:r>
        <w:rPr>
          <w:rFonts w:hint="eastAsia"/>
          <w:color w:val="auto"/>
          <w:highlight w:val="none"/>
        </w:rPr>
        <w:t>º到</w:t>
      </w:r>
      <w:r>
        <w:rPr>
          <w:color w:val="auto"/>
          <w:highlight w:val="none"/>
        </w:rPr>
        <w:t>5</w:t>
      </w:r>
      <w:r>
        <w:rPr>
          <w:rFonts w:hint="eastAsia"/>
          <w:color w:val="auto"/>
          <w:highlight w:val="none"/>
        </w:rPr>
        <w:t>º之间小负荷运转，待达到轴承温升稳定后连续运转时间不应小于</w:t>
      </w:r>
      <w:r>
        <w:rPr>
          <w:color w:val="auto"/>
          <w:highlight w:val="none"/>
        </w:rPr>
        <w:t>20min</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）小负荷运转正常后，应逐渐开大调节门但电动机不得超过额定值，直至规定的负荷为止，连续运转时间不应小于</w:t>
      </w:r>
      <w:r>
        <w:rPr>
          <w:color w:val="auto"/>
          <w:highlight w:val="none"/>
        </w:rPr>
        <w:t>2h</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）试运转中，滚动轴承温升不得超过环境温度</w:t>
      </w:r>
      <w:r>
        <w:rPr>
          <w:color w:val="auto"/>
          <w:highlight w:val="none"/>
        </w:rPr>
        <w:t>40</w:t>
      </w:r>
      <w:r>
        <w:rPr>
          <w:rFonts w:hint="eastAsia"/>
          <w:color w:val="auto"/>
          <w:highlight w:val="none"/>
        </w:rPr>
        <w:t>℃；滑动轴承温度不得超过</w:t>
      </w:r>
      <w:r>
        <w:rPr>
          <w:color w:val="auto"/>
          <w:highlight w:val="none"/>
        </w:rPr>
        <w:t>65</w:t>
      </w:r>
      <w:r>
        <w:rPr>
          <w:rFonts w:hint="eastAsia"/>
          <w:color w:val="auto"/>
          <w:highlight w:val="none"/>
        </w:rPr>
        <w:t>℃。轴承部位的振动速度有效值（均方根速度值）不应大于</w:t>
      </w:r>
      <w:r>
        <w:rPr>
          <w:color w:val="auto"/>
          <w:highlight w:val="none"/>
        </w:rPr>
        <w:t>6.3mm/s</w:t>
      </w:r>
      <w:r>
        <w:rPr>
          <w:rFonts w:hint="eastAsia"/>
          <w:color w:val="auto"/>
          <w:highlight w:val="none"/>
        </w:rPr>
        <w:t>。</w:t>
      </w:r>
    </w:p>
    <w:p>
      <w:pPr>
        <w:pStyle w:val="217"/>
        <w:rPr>
          <w:color w:val="auto"/>
          <w:highlight w:val="none"/>
        </w:rPr>
      </w:pPr>
      <w:r>
        <w:rPr>
          <w:color w:val="auto"/>
          <w:highlight w:val="none"/>
        </w:rPr>
        <w:t>2.</w:t>
      </w:r>
      <w:r>
        <w:rPr>
          <w:rFonts w:hint="eastAsia"/>
          <w:color w:val="auto"/>
          <w:highlight w:val="none"/>
        </w:rPr>
        <w:t>风机盘管机组</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）风机盘管机组的三速、温控开关的动作应正确，并与机组运行状态一一对应；</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）风机盘管水压试验的试验压力为系统工作压力的</w:t>
      </w:r>
      <w:r>
        <w:rPr>
          <w:color w:val="auto"/>
          <w:highlight w:val="none"/>
        </w:rPr>
        <w:t>1.5</w:t>
      </w:r>
      <w:r>
        <w:rPr>
          <w:rFonts w:hint="eastAsia"/>
          <w:color w:val="auto"/>
          <w:highlight w:val="none"/>
        </w:rPr>
        <w:t>倍，以不漏为合格。</w:t>
      </w:r>
    </w:p>
    <w:p>
      <w:pPr>
        <w:pStyle w:val="217"/>
        <w:rPr>
          <w:color w:val="auto"/>
          <w:highlight w:val="none"/>
        </w:rPr>
      </w:pPr>
      <w:r>
        <w:rPr>
          <w:color w:val="auto"/>
          <w:highlight w:val="none"/>
        </w:rPr>
        <w:t>3.</w:t>
      </w:r>
      <w:r>
        <w:rPr>
          <w:rFonts w:hint="eastAsia"/>
          <w:color w:val="auto"/>
          <w:highlight w:val="none"/>
        </w:rPr>
        <w:t>水泵</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）运转中不应有异常振动和声响，各静密封处不得泄露，固定连接部位不应有松动；</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）转子及各运动部位运转应正常，叶轮旋转方向应正确，无异常振动和声响；</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）滑动轴承的温度不应大于</w:t>
      </w:r>
      <w:r>
        <w:rPr>
          <w:color w:val="auto"/>
          <w:highlight w:val="none"/>
        </w:rPr>
        <w:t>70</w:t>
      </w:r>
      <w:r>
        <w:rPr>
          <w:rFonts w:hint="eastAsia"/>
          <w:color w:val="auto"/>
          <w:highlight w:val="none"/>
        </w:rPr>
        <w:t>℃；滚动轴承的温度不应大于</w:t>
      </w:r>
      <w:r>
        <w:rPr>
          <w:color w:val="auto"/>
          <w:highlight w:val="none"/>
        </w:rPr>
        <w:t>80</w:t>
      </w:r>
      <w:r>
        <w:rPr>
          <w:rFonts w:hint="eastAsia"/>
          <w:color w:val="auto"/>
          <w:highlight w:val="none"/>
        </w:rPr>
        <w:t>℃；特殊轴承的温度应符合设备技术文件的规定；</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）轴封填料的温升应正常，在无特殊要求情况下，普通填料泄露量不得大于</w:t>
      </w:r>
      <w:r>
        <w:rPr>
          <w:color w:val="auto"/>
          <w:highlight w:val="none"/>
        </w:rPr>
        <w:t>35-60ml/h</w:t>
      </w:r>
      <w:r>
        <w:rPr>
          <w:rFonts w:hint="eastAsia"/>
          <w:color w:val="auto"/>
          <w:highlight w:val="none"/>
        </w:rPr>
        <w:t>，机械密封的泄露量不得大于</w:t>
      </w:r>
      <w:r>
        <w:rPr>
          <w:color w:val="auto"/>
          <w:highlight w:val="none"/>
        </w:rPr>
        <w:t>10ml/h</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）泵在额定工作点连续运转时间不应小于</w:t>
      </w:r>
      <w:r>
        <w:rPr>
          <w:color w:val="auto"/>
          <w:highlight w:val="none"/>
        </w:rPr>
        <w:t>2h</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）电动机的电流和功率不应超过额定值。</w:t>
      </w:r>
    </w:p>
    <w:p>
      <w:pPr>
        <w:pStyle w:val="217"/>
        <w:rPr>
          <w:color w:val="auto"/>
          <w:highlight w:val="none"/>
        </w:rPr>
      </w:pPr>
      <w:r>
        <w:rPr>
          <w:color w:val="auto"/>
          <w:highlight w:val="none"/>
        </w:rPr>
        <w:t>4.</w:t>
      </w:r>
      <w:r>
        <w:rPr>
          <w:rFonts w:hint="eastAsia"/>
          <w:color w:val="auto"/>
          <w:highlight w:val="none"/>
        </w:rPr>
        <w:t>冷却塔</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）冷却塔本体应稳固，无异常振动，其噪声应符合设备技术文件的规定；</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）设备噪声应符合设备技术文件的规定；</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）冷却塔风机及冷却水系统循环试运行不少于</w:t>
      </w:r>
      <w:r>
        <w:rPr>
          <w:color w:val="auto"/>
          <w:highlight w:val="none"/>
        </w:rPr>
        <w:t>2h</w:t>
      </w:r>
      <w:r>
        <w:rPr>
          <w:rFonts w:hint="eastAsia"/>
          <w:color w:val="auto"/>
          <w:highlight w:val="none"/>
        </w:rPr>
        <w:t>，运行应无异常情况。</w:t>
      </w:r>
    </w:p>
    <w:p>
      <w:pPr>
        <w:pStyle w:val="217"/>
        <w:rPr>
          <w:color w:val="auto"/>
          <w:highlight w:val="none"/>
        </w:rPr>
      </w:pPr>
      <w:r>
        <w:rPr>
          <w:color w:val="auto"/>
          <w:highlight w:val="none"/>
        </w:rPr>
        <w:t>5.</w:t>
      </w:r>
      <w:r>
        <w:rPr>
          <w:rFonts w:hint="eastAsia"/>
          <w:color w:val="auto"/>
          <w:highlight w:val="none"/>
        </w:rPr>
        <w:t>技术要求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）采用合资进口产品，并提供产品的国家级检测部门检测报告</w:t>
      </w:r>
      <w:r>
        <w:rPr>
          <w:color w:val="auto"/>
          <w:highlight w:val="none"/>
        </w:rPr>
        <w:t>,</w:t>
      </w:r>
      <w:r>
        <w:rPr>
          <w:rFonts w:hint="eastAsia"/>
          <w:color w:val="auto"/>
          <w:highlight w:val="none"/>
        </w:rPr>
        <w:t>风机应具有</w:t>
      </w:r>
      <w:r>
        <w:rPr>
          <w:color w:val="auto"/>
          <w:highlight w:val="none"/>
        </w:rPr>
        <w:t xml:space="preserve">AMCA </w:t>
      </w:r>
      <w:r>
        <w:rPr>
          <w:rFonts w:hint="eastAsia"/>
          <w:color w:val="auto"/>
          <w:highlight w:val="none"/>
        </w:rPr>
        <w:t>认证或采用与其标准接近的其它先进工业国家的标准生产；</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）符合设计及有关规范、标准要求；</w:t>
      </w:r>
    </w:p>
    <w:p>
      <w:pPr>
        <w:pStyle w:val="217"/>
        <w:rPr>
          <w:color w:val="auto"/>
          <w:highlight w:val="none"/>
        </w:rPr>
      </w:pPr>
      <w:r>
        <w:rPr>
          <w:color w:val="auto"/>
          <w:highlight w:val="none"/>
        </w:rPr>
        <w:t>1</w:t>
      </w:r>
      <w:r>
        <w:rPr>
          <w:rFonts w:hint="eastAsia"/>
          <w:color w:val="auto"/>
          <w:highlight w:val="none"/>
        </w:rPr>
        <w:t>）每台风机须附有详细标明厂家的名称、设备的型号和编号及有关的技术数据等资料的标志铭牌；</w:t>
      </w:r>
    </w:p>
    <w:p>
      <w:pPr>
        <w:pStyle w:val="217"/>
        <w:rPr>
          <w:color w:val="auto"/>
          <w:highlight w:val="none"/>
        </w:rPr>
      </w:pPr>
      <w:r>
        <w:rPr>
          <w:color w:val="auto"/>
          <w:highlight w:val="none"/>
        </w:rPr>
        <w:t>2</w:t>
      </w:r>
      <w:r>
        <w:rPr>
          <w:rFonts w:hint="eastAsia"/>
          <w:color w:val="auto"/>
          <w:highlight w:val="none"/>
        </w:rPr>
        <w:t>）提供风机示意图和</w:t>
      </w:r>
      <w:r>
        <w:rPr>
          <w:color w:val="auto"/>
          <w:highlight w:val="none"/>
        </w:rPr>
        <w:t>/</w:t>
      </w:r>
      <w:r>
        <w:rPr>
          <w:rFonts w:hint="eastAsia"/>
          <w:color w:val="auto"/>
          <w:highlight w:val="none"/>
        </w:rPr>
        <w:t>或参数表中应明确标示种类、型号、尺寸、安装方位及性能。</w:t>
      </w:r>
    </w:p>
    <w:p>
      <w:pPr>
        <w:pStyle w:val="217"/>
        <w:rPr>
          <w:color w:val="auto"/>
          <w:highlight w:val="none"/>
        </w:rPr>
      </w:pPr>
      <w:r>
        <w:rPr>
          <w:color w:val="auto"/>
          <w:highlight w:val="none"/>
        </w:rPr>
        <w:t>3</w:t>
      </w:r>
      <w:r>
        <w:rPr>
          <w:rFonts w:hint="eastAsia"/>
          <w:color w:val="auto"/>
          <w:highlight w:val="none"/>
        </w:rPr>
        <w:t>）提供风机及其附件的完整样本及制造图、标明运行工况点的全风量性能曲线、噪音频谱特性。</w:t>
      </w:r>
    </w:p>
    <w:p>
      <w:pPr>
        <w:pStyle w:val="217"/>
        <w:rPr>
          <w:color w:val="auto"/>
          <w:highlight w:val="none"/>
        </w:rPr>
      </w:pPr>
      <w:r>
        <w:rPr>
          <w:color w:val="auto"/>
          <w:highlight w:val="none"/>
        </w:rPr>
        <w:t>4</w:t>
      </w:r>
      <w:r>
        <w:rPr>
          <w:rFonts w:hint="eastAsia"/>
          <w:color w:val="auto"/>
          <w:highlight w:val="none"/>
        </w:rPr>
        <w:t>）风机所配用的电机应为名优品牌，不低于二级能效，供电条件为：</w:t>
      </w:r>
      <w:r>
        <w:rPr>
          <w:color w:val="auto"/>
          <w:highlight w:val="none"/>
        </w:rPr>
        <w:t>3</w:t>
      </w:r>
      <w:r>
        <w:rPr>
          <w:rFonts w:hint="eastAsia"/>
          <w:color w:val="auto"/>
          <w:highlight w:val="none"/>
        </w:rPr>
        <w:t>Φ</w:t>
      </w:r>
      <w:r>
        <w:rPr>
          <w:color w:val="auto"/>
          <w:highlight w:val="none"/>
        </w:rPr>
        <w:t>/380V/50HZ</w:t>
      </w:r>
      <w:r>
        <w:rPr>
          <w:rFonts w:hint="eastAsia"/>
          <w:color w:val="auto"/>
          <w:highlight w:val="none"/>
        </w:rPr>
        <w:t>或</w:t>
      </w:r>
      <w:r>
        <w:rPr>
          <w:color w:val="auto"/>
          <w:highlight w:val="none"/>
        </w:rPr>
        <w:t>1</w:t>
      </w:r>
      <w:r>
        <w:rPr>
          <w:rFonts w:hint="eastAsia"/>
          <w:color w:val="auto"/>
          <w:highlight w:val="none"/>
        </w:rPr>
        <w:t>Φ</w:t>
      </w:r>
      <w:r>
        <w:rPr>
          <w:color w:val="auto"/>
          <w:highlight w:val="none"/>
        </w:rPr>
        <w:t>/220V/50HZ</w:t>
      </w:r>
      <w:r>
        <w:rPr>
          <w:rFonts w:hint="eastAsia"/>
          <w:color w:val="auto"/>
          <w:highlight w:val="none"/>
        </w:rPr>
        <w:t>，允许电压偏差：</w:t>
      </w:r>
      <w:r>
        <w:rPr>
          <w:color w:val="auto"/>
          <w:highlight w:val="none"/>
        </w:rPr>
        <w:t>+6%</w:t>
      </w:r>
      <w:r>
        <w:rPr>
          <w:rFonts w:hint="eastAsia"/>
          <w:color w:val="auto"/>
          <w:highlight w:val="none"/>
        </w:rPr>
        <w:t>，转速：≤</w:t>
      </w:r>
      <w:r>
        <w:rPr>
          <w:color w:val="auto"/>
          <w:highlight w:val="none"/>
        </w:rPr>
        <w:t>1480rpm</w:t>
      </w:r>
      <w:r>
        <w:rPr>
          <w:rFonts w:hint="eastAsia"/>
          <w:color w:val="auto"/>
          <w:highlight w:val="none"/>
        </w:rPr>
        <w:t>，绝缘等级：</w:t>
      </w:r>
      <w:r>
        <w:rPr>
          <w:color w:val="auto"/>
          <w:highlight w:val="none"/>
        </w:rPr>
        <w:t>F</w:t>
      </w:r>
      <w:r>
        <w:rPr>
          <w:rFonts w:hint="eastAsia"/>
          <w:color w:val="auto"/>
          <w:highlight w:val="none"/>
        </w:rPr>
        <w:t>级</w:t>
      </w:r>
      <w:r>
        <w:rPr>
          <w:color w:val="auto"/>
          <w:highlight w:val="none"/>
        </w:rPr>
        <w:t xml:space="preserve">, </w:t>
      </w:r>
      <w:r>
        <w:rPr>
          <w:rFonts w:hint="eastAsia"/>
          <w:color w:val="auto"/>
          <w:highlight w:val="none"/>
        </w:rPr>
        <w:t>防护等级：</w:t>
      </w:r>
      <w:r>
        <w:rPr>
          <w:color w:val="auto"/>
          <w:highlight w:val="none"/>
        </w:rPr>
        <w:t>IP55</w:t>
      </w:r>
      <w:r>
        <w:rPr>
          <w:rFonts w:hint="eastAsia"/>
          <w:color w:val="auto"/>
          <w:highlight w:val="none"/>
        </w:rPr>
        <w:t>。</w:t>
      </w:r>
    </w:p>
    <w:p>
      <w:pPr>
        <w:pStyle w:val="217"/>
        <w:rPr>
          <w:color w:val="auto"/>
          <w:highlight w:val="none"/>
        </w:rPr>
      </w:pPr>
      <w:r>
        <w:rPr>
          <w:color w:val="auto"/>
          <w:highlight w:val="none"/>
        </w:rPr>
        <w:t>5</w:t>
      </w:r>
      <w:r>
        <w:rPr>
          <w:rFonts w:hint="eastAsia"/>
          <w:color w:val="auto"/>
          <w:highlight w:val="none"/>
        </w:rPr>
        <w:t>）风机及传动装置应具有良好的接地措施以避免静电累积。按。照设计要求施工</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）工艺要求：</w:t>
      </w:r>
    </w:p>
    <w:p>
      <w:pPr>
        <w:pStyle w:val="217"/>
        <w:rPr>
          <w:color w:val="auto"/>
          <w:highlight w:val="none"/>
        </w:rPr>
      </w:pPr>
      <w:r>
        <w:rPr>
          <w:color w:val="auto"/>
          <w:highlight w:val="none"/>
        </w:rPr>
        <w:t>1</w:t>
      </w:r>
      <w:r>
        <w:rPr>
          <w:rFonts w:hint="eastAsia"/>
          <w:color w:val="auto"/>
          <w:highlight w:val="none"/>
        </w:rPr>
        <w:t>）轴流（混流）风机：</w:t>
      </w:r>
    </w:p>
    <w:p>
      <w:pPr>
        <w:pStyle w:val="217"/>
        <w:rPr>
          <w:color w:val="auto"/>
          <w:highlight w:val="none"/>
        </w:rPr>
      </w:pPr>
      <w:r>
        <w:rPr>
          <w:rFonts w:hint="eastAsia"/>
          <w:color w:val="auto"/>
          <w:highlight w:val="none"/>
        </w:rPr>
        <w:t>①安装方式、外形尺寸和基本参数详设计图纸。</w:t>
      </w:r>
    </w:p>
    <w:p>
      <w:pPr>
        <w:pStyle w:val="217"/>
        <w:rPr>
          <w:color w:val="auto"/>
          <w:highlight w:val="none"/>
        </w:rPr>
      </w:pPr>
      <w:r>
        <w:rPr>
          <w:rFonts w:hint="eastAsia"/>
          <w:color w:val="auto"/>
          <w:highlight w:val="none"/>
        </w:rPr>
        <w:t>②消防风机应有消防部门认证。</w:t>
      </w:r>
    </w:p>
    <w:p>
      <w:pPr>
        <w:pStyle w:val="217"/>
        <w:rPr>
          <w:color w:val="auto"/>
          <w:highlight w:val="none"/>
        </w:rPr>
      </w:pPr>
      <w:r>
        <w:rPr>
          <w:rFonts w:hint="eastAsia"/>
          <w:color w:val="auto"/>
          <w:highlight w:val="none"/>
        </w:rPr>
        <w:t>③风机出口最大风速不超过</w:t>
      </w:r>
      <w:r>
        <w:rPr>
          <w:color w:val="auto"/>
          <w:highlight w:val="none"/>
        </w:rPr>
        <w:t>15m/s</w:t>
      </w:r>
      <w:r>
        <w:rPr>
          <w:rFonts w:hint="eastAsia"/>
          <w:color w:val="auto"/>
          <w:highlight w:val="none"/>
        </w:rPr>
        <w:t>。</w:t>
      </w:r>
    </w:p>
    <w:p>
      <w:pPr>
        <w:pStyle w:val="217"/>
        <w:rPr>
          <w:color w:val="auto"/>
          <w:highlight w:val="none"/>
        </w:rPr>
      </w:pPr>
      <w:r>
        <w:rPr>
          <w:rFonts w:hint="eastAsia"/>
          <w:color w:val="auto"/>
          <w:highlight w:val="none"/>
        </w:rPr>
        <w:t>④机壳应有至少</w:t>
      </w:r>
      <w:r>
        <w:rPr>
          <w:color w:val="auto"/>
          <w:highlight w:val="none"/>
        </w:rPr>
        <w:t>60</w:t>
      </w:r>
      <w:r>
        <w:rPr>
          <w:rFonts w:hint="eastAsia"/>
          <w:color w:val="auto"/>
          <w:highlight w:val="none"/>
        </w:rPr>
        <w:t>微米厚的烤漆或热镀锌。应使叶片边缘与机壳间的缝隙最小且各处保持均匀。筒身应靠整体翻出</w:t>
      </w:r>
      <w:r>
        <w:rPr>
          <w:color w:val="auto"/>
          <w:highlight w:val="none"/>
        </w:rPr>
        <w:t>90</w:t>
      </w:r>
      <w:r>
        <w:rPr>
          <w:rFonts w:hint="eastAsia"/>
          <w:color w:val="auto"/>
          <w:highlight w:val="none"/>
        </w:rPr>
        <w:t>度的法兰边来保证其圆度。</w:t>
      </w:r>
    </w:p>
    <w:p>
      <w:pPr>
        <w:pStyle w:val="217"/>
        <w:rPr>
          <w:color w:val="auto"/>
          <w:highlight w:val="none"/>
        </w:rPr>
      </w:pPr>
      <w:r>
        <w:rPr>
          <w:rFonts w:hint="eastAsia"/>
          <w:color w:val="auto"/>
          <w:highlight w:val="none"/>
        </w:rPr>
        <w:t>⑤风机电机的底座及支架应特别的锁紧及固定以保证安全可靠。可以调节控制电机轴在壳体的中心</w:t>
      </w:r>
      <w:r>
        <w:rPr>
          <w:color w:val="auto"/>
          <w:highlight w:val="none"/>
        </w:rPr>
        <w:t>—</w:t>
      </w:r>
      <w:r>
        <w:rPr>
          <w:rFonts w:hint="eastAsia"/>
          <w:color w:val="auto"/>
          <w:highlight w:val="none"/>
        </w:rPr>
        <w:t>即使叶片边缘与筒身保持均匀的间隙。为考虑使用的调整，应在不变机壳及风管结构的前提下，适当考虑电机的加大。</w:t>
      </w:r>
    </w:p>
    <w:p>
      <w:pPr>
        <w:pStyle w:val="217"/>
        <w:rPr>
          <w:color w:val="auto"/>
          <w:highlight w:val="none"/>
        </w:rPr>
      </w:pPr>
      <w:r>
        <w:rPr>
          <w:rFonts w:hint="eastAsia"/>
          <w:color w:val="auto"/>
          <w:highlight w:val="none"/>
        </w:rPr>
        <w:t>⑥风机应在厂内全部组装好安装支架（吊装或座装）及进、出口配套法兰。</w:t>
      </w:r>
    </w:p>
    <w:p>
      <w:pPr>
        <w:pStyle w:val="217"/>
        <w:rPr>
          <w:color w:val="auto"/>
          <w:highlight w:val="none"/>
        </w:rPr>
      </w:pPr>
      <w:r>
        <w:rPr>
          <w:rFonts w:hint="eastAsia"/>
          <w:color w:val="auto"/>
          <w:highlight w:val="none"/>
        </w:rPr>
        <w:t>⑦叶轮应采用铝合金或铸铝等金属材料制作，叶片及轮毂采用精密模压工艺分别一次成型，叶轮应经动、静平衡试验进行校正。防排烟轴流风机可采用钢制叶片。</w:t>
      </w:r>
    </w:p>
    <w:p>
      <w:pPr>
        <w:pStyle w:val="217"/>
        <w:rPr>
          <w:color w:val="auto"/>
          <w:highlight w:val="none"/>
        </w:rPr>
      </w:pPr>
      <w:r>
        <w:rPr>
          <w:rFonts w:hint="eastAsia"/>
          <w:color w:val="auto"/>
          <w:highlight w:val="none"/>
        </w:rPr>
        <w:t>⑧叶片与筒身间的运转间隙，普通风机应不大于叶轮直径的</w:t>
      </w:r>
      <w:r>
        <w:rPr>
          <w:color w:val="auto"/>
          <w:highlight w:val="none"/>
        </w:rPr>
        <w:t>1%</w:t>
      </w:r>
      <w:r>
        <w:rPr>
          <w:rFonts w:hint="eastAsia"/>
          <w:color w:val="auto"/>
          <w:highlight w:val="none"/>
        </w:rPr>
        <w:t>；高温时由于机械膨胀系数与常温不同，其间隙应不大于</w:t>
      </w:r>
      <w:r>
        <w:rPr>
          <w:color w:val="auto"/>
          <w:highlight w:val="none"/>
        </w:rPr>
        <w:t>2%</w:t>
      </w:r>
      <w:r>
        <w:rPr>
          <w:rFonts w:hint="eastAsia"/>
          <w:color w:val="auto"/>
          <w:highlight w:val="none"/>
        </w:rPr>
        <w:t>。风机制造商应提供叶片与机壳均匀间隙装配的试验模型。</w:t>
      </w:r>
    </w:p>
    <w:p>
      <w:pPr>
        <w:pStyle w:val="217"/>
        <w:rPr>
          <w:color w:val="auto"/>
          <w:highlight w:val="none"/>
        </w:rPr>
      </w:pPr>
      <w:r>
        <w:rPr>
          <w:rFonts w:hint="eastAsia"/>
          <w:color w:val="auto"/>
          <w:highlight w:val="none"/>
        </w:rPr>
        <w:t>⑨叶片应靠键与键槽牢固地固定在驱动轴上。轴向应靠通过锥套式连接结构将叶片缩紧在驱动轴相应的位置。</w:t>
      </w:r>
    </w:p>
    <w:p>
      <w:pPr>
        <w:pStyle w:val="217"/>
        <w:rPr>
          <w:color w:val="auto"/>
          <w:highlight w:val="none"/>
        </w:rPr>
      </w:pPr>
      <w:r>
        <w:rPr>
          <w:rFonts w:hint="eastAsia"/>
          <w:color w:val="auto"/>
          <w:highlight w:val="none"/>
        </w:rPr>
        <w:t>⑩电机包括内部及延伸外部接线盒应至少提供</w:t>
      </w:r>
      <w:r>
        <w:rPr>
          <w:color w:val="auto"/>
          <w:highlight w:val="none"/>
        </w:rPr>
        <w:t>IP 55</w:t>
      </w:r>
      <w:r>
        <w:rPr>
          <w:rFonts w:hint="eastAsia"/>
          <w:color w:val="auto"/>
          <w:highlight w:val="none"/>
        </w:rPr>
        <w:t>的保护等级。</w:t>
      </w:r>
    </w:p>
    <w:p>
      <w:pPr>
        <w:pStyle w:val="217"/>
        <w:rPr>
          <w:color w:val="auto"/>
          <w:highlight w:val="none"/>
        </w:rPr>
      </w:pPr>
      <w:r>
        <w:rPr>
          <w:color w:val="auto"/>
          <w:highlight w:val="none"/>
        </w:rPr>
        <w:t>2</w:t>
      </w:r>
      <w:r>
        <w:rPr>
          <w:rFonts w:hint="eastAsia"/>
          <w:color w:val="auto"/>
          <w:highlight w:val="none"/>
        </w:rPr>
        <w:t>）低噪音离心风机箱：</w:t>
      </w:r>
    </w:p>
    <w:p>
      <w:pPr>
        <w:pStyle w:val="217"/>
        <w:rPr>
          <w:color w:val="auto"/>
          <w:highlight w:val="none"/>
        </w:rPr>
      </w:pPr>
      <w:r>
        <w:rPr>
          <w:rFonts w:hint="eastAsia"/>
          <w:color w:val="auto"/>
          <w:highlight w:val="none"/>
        </w:rPr>
        <w:t>①离心风机的综合效率应大于</w:t>
      </w:r>
      <w:r>
        <w:rPr>
          <w:color w:val="auto"/>
          <w:highlight w:val="none"/>
        </w:rPr>
        <w:t>60%</w:t>
      </w:r>
      <w:r>
        <w:rPr>
          <w:rFonts w:hint="eastAsia"/>
          <w:color w:val="auto"/>
          <w:highlight w:val="none"/>
        </w:rPr>
        <w:t>。</w:t>
      </w:r>
    </w:p>
    <w:p>
      <w:pPr>
        <w:pStyle w:val="217"/>
        <w:rPr>
          <w:color w:val="auto"/>
          <w:highlight w:val="none"/>
        </w:rPr>
      </w:pPr>
      <w:r>
        <w:rPr>
          <w:rFonts w:hint="eastAsia"/>
          <w:color w:val="auto"/>
          <w:highlight w:val="none"/>
        </w:rPr>
        <w:t>②消防排烟离心风机应有消防部门认证。</w:t>
      </w:r>
    </w:p>
    <w:p>
      <w:pPr>
        <w:pStyle w:val="217"/>
        <w:rPr>
          <w:color w:val="auto"/>
          <w:highlight w:val="none"/>
        </w:rPr>
      </w:pPr>
      <w:r>
        <w:rPr>
          <w:rFonts w:hint="eastAsia"/>
          <w:color w:val="auto"/>
          <w:highlight w:val="none"/>
        </w:rPr>
        <w:t>③离心风机安装方式、外形尺寸和基本参数按设计图纸要求。</w:t>
      </w:r>
    </w:p>
    <w:p>
      <w:pPr>
        <w:pStyle w:val="217"/>
        <w:rPr>
          <w:color w:val="auto"/>
          <w:highlight w:val="none"/>
        </w:rPr>
      </w:pPr>
      <w:r>
        <w:rPr>
          <w:rFonts w:hint="eastAsia"/>
          <w:color w:val="auto"/>
          <w:highlight w:val="none"/>
        </w:rPr>
        <w:t>④箱式离心风机的静压</w:t>
      </w:r>
      <w:r>
        <w:rPr>
          <w:color w:val="auto"/>
          <w:highlight w:val="none"/>
        </w:rPr>
        <w:t>/</w:t>
      </w:r>
      <w:r>
        <w:rPr>
          <w:rFonts w:hint="eastAsia"/>
          <w:color w:val="auto"/>
          <w:highlight w:val="none"/>
        </w:rPr>
        <w:t>全压比不小于</w:t>
      </w:r>
      <w:r>
        <w:rPr>
          <w:color w:val="auto"/>
          <w:highlight w:val="none"/>
        </w:rPr>
        <w:t>0.7</w:t>
      </w:r>
      <w:r>
        <w:rPr>
          <w:rFonts w:hint="eastAsia"/>
          <w:color w:val="auto"/>
          <w:highlight w:val="none"/>
        </w:rPr>
        <w:t>，且出口最大风速不超过</w:t>
      </w:r>
      <w:r>
        <w:rPr>
          <w:color w:val="auto"/>
          <w:highlight w:val="none"/>
        </w:rPr>
        <w:t>15m/s</w:t>
      </w:r>
      <w:r>
        <w:rPr>
          <w:rFonts w:hint="eastAsia"/>
          <w:color w:val="auto"/>
          <w:highlight w:val="none"/>
        </w:rPr>
        <w:t>。</w:t>
      </w:r>
    </w:p>
    <w:p>
      <w:pPr>
        <w:pStyle w:val="217"/>
        <w:rPr>
          <w:color w:val="auto"/>
          <w:highlight w:val="none"/>
        </w:rPr>
      </w:pPr>
      <w:r>
        <w:rPr>
          <w:rFonts w:hint="eastAsia"/>
          <w:color w:val="auto"/>
          <w:highlight w:val="none"/>
        </w:rPr>
        <w:t>⑤低噪音离心式风机箱：</w:t>
      </w:r>
    </w:p>
    <w:p>
      <w:pPr>
        <w:pStyle w:val="217"/>
        <w:rPr>
          <w:color w:val="auto"/>
          <w:highlight w:val="none"/>
        </w:rPr>
      </w:pPr>
      <w:r>
        <w:rPr>
          <w:rFonts w:hint="eastAsia"/>
          <w:color w:val="auto"/>
          <w:highlight w:val="none"/>
        </w:rPr>
        <w:t>机箱骨架为高强度铝形材，并采取防腐蚀处理。外板应是不小于</w:t>
      </w:r>
      <w:r>
        <w:rPr>
          <w:color w:val="auto"/>
          <w:highlight w:val="none"/>
        </w:rPr>
        <w:t>1.0mm</w:t>
      </w:r>
      <w:r>
        <w:rPr>
          <w:rFonts w:hint="eastAsia"/>
          <w:color w:val="auto"/>
          <w:highlight w:val="none"/>
        </w:rPr>
        <w:t>镀锌或彩色钢板，中间为</w:t>
      </w:r>
      <w:r>
        <w:rPr>
          <w:color w:val="auto"/>
          <w:highlight w:val="none"/>
        </w:rPr>
        <w:t>25mm</w:t>
      </w:r>
      <w:r>
        <w:rPr>
          <w:rFonts w:hint="eastAsia"/>
          <w:color w:val="auto"/>
          <w:highlight w:val="none"/>
        </w:rPr>
        <w:t>的发泡层或为</w:t>
      </w:r>
      <w:r>
        <w:rPr>
          <w:color w:val="auto"/>
          <w:highlight w:val="none"/>
        </w:rPr>
        <w:t>30mm</w:t>
      </w:r>
      <w:r>
        <w:rPr>
          <w:rFonts w:hint="eastAsia"/>
          <w:color w:val="auto"/>
          <w:highlight w:val="none"/>
        </w:rPr>
        <w:t>吸音专用玻璃棉吸音板，内板应是不小于</w:t>
      </w:r>
      <w:r>
        <w:rPr>
          <w:color w:val="auto"/>
          <w:highlight w:val="none"/>
        </w:rPr>
        <w:t>0.5mm</w:t>
      </w:r>
      <w:r>
        <w:rPr>
          <w:rFonts w:hint="eastAsia"/>
          <w:color w:val="auto"/>
          <w:highlight w:val="none"/>
        </w:rPr>
        <w:t>穿孔率不小于</w:t>
      </w:r>
      <w:r>
        <w:rPr>
          <w:color w:val="auto"/>
          <w:highlight w:val="none"/>
        </w:rPr>
        <w:t>30%</w:t>
      </w:r>
      <w:r>
        <w:rPr>
          <w:rFonts w:hint="eastAsia"/>
          <w:color w:val="auto"/>
          <w:highlight w:val="none"/>
        </w:rPr>
        <w:t>的穿孔镀锌钢板（内板在只作通风用途时用镀锌穿孔板，用于排烟时采用镀锌板）。机箱应是板式结构组合而成。为维修或服务，其结构应可以较快及较容易地拆散及组装。不可以用焊接的机箱；仅用于通风时，电机安装在箱体内，用于排烟时，电机应置于箱体外。</w:t>
      </w:r>
    </w:p>
    <w:p>
      <w:pPr>
        <w:pStyle w:val="217"/>
        <w:rPr>
          <w:color w:val="auto"/>
          <w:highlight w:val="none"/>
        </w:rPr>
      </w:pPr>
      <w:r>
        <w:rPr>
          <w:rFonts w:hint="eastAsia"/>
          <w:color w:val="auto"/>
          <w:highlight w:val="none"/>
        </w:rPr>
        <w:t>⑥风机及电机技术要求：</w:t>
      </w:r>
    </w:p>
    <w:p>
      <w:pPr>
        <w:pStyle w:val="217"/>
        <w:rPr>
          <w:color w:val="auto"/>
          <w:highlight w:val="none"/>
        </w:rPr>
      </w:pPr>
      <w:r>
        <w:rPr>
          <w:color w:val="auto"/>
          <w:highlight w:val="none"/>
        </w:rPr>
        <w:t>a.</w:t>
      </w:r>
      <w:r>
        <w:rPr>
          <w:rFonts w:hint="eastAsia"/>
          <w:color w:val="auto"/>
          <w:highlight w:val="none"/>
        </w:rPr>
        <w:t>风机应是双进双宽（</w:t>
      </w:r>
      <w:r>
        <w:rPr>
          <w:color w:val="auto"/>
          <w:highlight w:val="none"/>
        </w:rPr>
        <w:t>DIDW</w:t>
      </w:r>
      <w:r>
        <w:rPr>
          <w:rFonts w:hint="eastAsia"/>
          <w:color w:val="auto"/>
          <w:highlight w:val="none"/>
        </w:rPr>
        <w:t>）、前弯或后倾叶片的离心风机。</w:t>
      </w:r>
    </w:p>
    <w:p>
      <w:pPr>
        <w:pStyle w:val="217"/>
        <w:rPr>
          <w:color w:val="auto"/>
          <w:highlight w:val="none"/>
        </w:rPr>
      </w:pPr>
      <w:r>
        <w:rPr>
          <w:color w:val="auto"/>
          <w:highlight w:val="none"/>
        </w:rPr>
        <w:t>b.</w:t>
      </w:r>
      <w:r>
        <w:rPr>
          <w:rFonts w:hint="eastAsia"/>
          <w:color w:val="auto"/>
          <w:highlight w:val="none"/>
        </w:rPr>
        <w:t>风机蜗壳及边板应有不小于</w:t>
      </w:r>
      <w:r>
        <w:rPr>
          <w:color w:val="auto"/>
          <w:highlight w:val="none"/>
        </w:rPr>
        <w:t>0.6</w:t>
      </w:r>
      <w:r>
        <w:rPr>
          <w:rFonts w:hint="eastAsia"/>
          <w:color w:val="auto"/>
          <w:highlight w:val="none"/>
        </w:rPr>
        <w:t>微米厚度的烤漆层除非其材质为镀锌钢板、不锈钢板或铝质等。</w:t>
      </w:r>
    </w:p>
    <w:p>
      <w:pPr>
        <w:pStyle w:val="217"/>
        <w:rPr>
          <w:color w:val="auto"/>
          <w:highlight w:val="none"/>
        </w:rPr>
      </w:pPr>
      <w:r>
        <w:rPr>
          <w:color w:val="auto"/>
          <w:highlight w:val="none"/>
        </w:rPr>
        <w:t>c.</w:t>
      </w:r>
      <w:r>
        <w:rPr>
          <w:rFonts w:hint="eastAsia"/>
          <w:color w:val="auto"/>
          <w:highlight w:val="none"/>
        </w:rPr>
        <w:t>风机壳体应有适当的厚度以避免产生振动及噪声。风机蜗壳应与边板连续咬口啮合或焊接。叶轮及进口导风环应为流线型设计及结构，制造商应标出最好的特性及效率。</w:t>
      </w:r>
    </w:p>
    <w:p>
      <w:pPr>
        <w:pStyle w:val="217"/>
        <w:rPr>
          <w:color w:val="auto"/>
          <w:highlight w:val="none"/>
        </w:rPr>
      </w:pPr>
      <w:r>
        <w:rPr>
          <w:color w:val="auto"/>
          <w:highlight w:val="none"/>
        </w:rPr>
        <w:t>d.</w:t>
      </w:r>
      <w:r>
        <w:rPr>
          <w:rFonts w:hint="eastAsia"/>
          <w:color w:val="auto"/>
          <w:highlight w:val="none"/>
        </w:rPr>
        <w:t>风机轴的尺寸应可以满足最大的转速运行极限，且安全运行范围为不超过临界转速的</w:t>
      </w:r>
      <w:r>
        <w:rPr>
          <w:color w:val="auto"/>
          <w:highlight w:val="none"/>
        </w:rPr>
        <w:t>75%</w:t>
      </w:r>
      <w:r>
        <w:rPr>
          <w:rFonts w:hint="eastAsia"/>
          <w:color w:val="auto"/>
          <w:highlight w:val="none"/>
        </w:rPr>
        <w:t>。任何在制造商提供的样本上未列出的非标准产品的应用，其临界转速及细节的计算应征得制造商的核准。</w:t>
      </w:r>
    </w:p>
    <w:p>
      <w:pPr>
        <w:pStyle w:val="217"/>
        <w:rPr>
          <w:color w:val="auto"/>
          <w:highlight w:val="none"/>
        </w:rPr>
      </w:pPr>
      <w:r>
        <w:rPr>
          <w:color w:val="auto"/>
          <w:highlight w:val="none"/>
        </w:rPr>
        <w:t>e.</w:t>
      </w:r>
      <w:r>
        <w:rPr>
          <w:rFonts w:hint="eastAsia"/>
          <w:color w:val="auto"/>
          <w:highlight w:val="none"/>
        </w:rPr>
        <w:t>轴承应采用进口品牌产品，并配有标准润滑油注入口；轴承应是自对心调整型锥套轴承。轴承应是自润滑密封免维护型球轴承。轴承寿命基于</w:t>
      </w:r>
      <w:r>
        <w:rPr>
          <w:color w:val="auto"/>
          <w:highlight w:val="none"/>
        </w:rPr>
        <w:t>ISO 281</w:t>
      </w:r>
      <w:r>
        <w:rPr>
          <w:rFonts w:hint="eastAsia"/>
          <w:color w:val="auto"/>
          <w:highlight w:val="none"/>
        </w:rPr>
        <w:t>的</w:t>
      </w:r>
      <w:r>
        <w:rPr>
          <w:color w:val="auto"/>
          <w:highlight w:val="none"/>
        </w:rPr>
        <w:t>L10</w:t>
      </w:r>
      <w:r>
        <w:rPr>
          <w:rFonts w:hint="eastAsia"/>
          <w:color w:val="auto"/>
          <w:highlight w:val="none"/>
        </w:rPr>
        <w:t>标准，其寿命应不小于</w:t>
      </w:r>
      <w:r>
        <w:rPr>
          <w:color w:val="auto"/>
          <w:highlight w:val="none"/>
        </w:rPr>
        <w:t>75,000</w:t>
      </w:r>
      <w:r>
        <w:rPr>
          <w:rFonts w:hint="eastAsia"/>
          <w:color w:val="auto"/>
          <w:highlight w:val="none"/>
        </w:rPr>
        <w:t>小时。应提交轴承寿命计算书。</w:t>
      </w:r>
    </w:p>
    <w:p>
      <w:pPr>
        <w:pStyle w:val="217"/>
        <w:rPr>
          <w:color w:val="auto"/>
          <w:highlight w:val="none"/>
        </w:rPr>
      </w:pPr>
      <w:r>
        <w:rPr>
          <w:color w:val="auto"/>
          <w:highlight w:val="none"/>
        </w:rPr>
        <w:t>f.</w:t>
      </w:r>
      <w:r>
        <w:rPr>
          <w:rFonts w:hint="eastAsia"/>
          <w:color w:val="auto"/>
          <w:highlight w:val="none"/>
        </w:rPr>
        <w:t>电机安装功率应不小于吸收功率（轴功率）的</w:t>
      </w:r>
      <w:r>
        <w:rPr>
          <w:color w:val="auto"/>
          <w:highlight w:val="none"/>
        </w:rPr>
        <w:t>130%</w:t>
      </w:r>
      <w:r>
        <w:rPr>
          <w:rFonts w:hint="eastAsia"/>
          <w:color w:val="auto"/>
          <w:highlight w:val="none"/>
        </w:rPr>
        <w:t>，且应有足够的启动力矩使风机可以顺利地启动及连续运行。电机与风机的传动转速比≤</w:t>
      </w:r>
      <w:r>
        <w:rPr>
          <w:color w:val="auto"/>
          <w:highlight w:val="none"/>
        </w:rPr>
        <w:t>1.75</w:t>
      </w:r>
      <w:r>
        <w:rPr>
          <w:rFonts w:hint="eastAsia"/>
          <w:color w:val="auto"/>
          <w:highlight w:val="none"/>
        </w:rPr>
        <w:t>。</w:t>
      </w:r>
    </w:p>
    <w:p>
      <w:pPr>
        <w:pStyle w:val="217"/>
        <w:rPr>
          <w:color w:val="auto"/>
          <w:highlight w:val="none"/>
        </w:rPr>
      </w:pPr>
      <w:r>
        <w:rPr>
          <w:color w:val="auto"/>
          <w:highlight w:val="none"/>
        </w:rPr>
        <w:t>g.</w:t>
      </w:r>
      <w:r>
        <w:rPr>
          <w:rFonts w:hint="eastAsia"/>
          <w:color w:val="auto"/>
          <w:highlight w:val="none"/>
        </w:rPr>
        <w:t>皮带及带轮应至少能承载电机功率的</w:t>
      </w:r>
      <w:r>
        <w:rPr>
          <w:color w:val="auto"/>
          <w:highlight w:val="none"/>
        </w:rPr>
        <w:t>150%</w:t>
      </w:r>
      <w:r>
        <w:rPr>
          <w:rFonts w:hint="eastAsia"/>
          <w:color w:val="auto"/>
          <w:highlight w:val="none"/>
        </w:rPr>
        <w:t>。</w:t>
      </w:r>
    </w:p>
    <w:p>
      <w:pPr>
        <w:pStyle w:val="217"/>
        <w:rPr>
          <w:color w:val="auto"/>
          <w:highlight w:val="none"/>
        </w:rPr>
      </w:pPr>
      <w:r>
        <w:rPr>
          <w:color w:val="auto"/>
          <w:highlight w:val="none"/>
        </w:rPr>
        <w:t>h.</w:t>
      </w:r>
      <w:r>
        <w:rPr>
          <w:rFonts w:hint="eastAsia"/>
          <w:color w:val="auto"/>
          <w:highlight w:val="none"/>
        </w:rPr>
        <w:t>离心风机和驱动电机安装在共同机架上，机架应有双向调节功能（电机壳前后左右调节）；该共同机架底部与箱体之间应设置减振机构。</w:t>
      </w:r>
    </w:p>
    <w:p>
      <w:pPr>
        <w:pStyle w:val="217"/>
        <w:rPr>
          <w:color w:val="auto"/>
          <w:highlight w:val="none"/>
        </w:rPr>
      </w:pPr>
      <w:r>
        <w:rPr>
          <w:rFonts w:hint="eastAsia" w:cs="宋体"/>
          <w:color w:val="auto"/>
          <w:highlight w:val="none"/>
        </w:rPr>
        <w:t>⑦</w:t>
      </w:r>
      <w:r>
        <w:rPr>
          <w:rFonts w:hint="eastAsia"/>
          <w:color w:val="auto"/>
          <w:highlight w:val="none"/>
        </w:rPr>
        <w:t>减振机构：机组内减振采用阻尼弹簧或尼龙减振，各减振点经严格选型计算，保证减振效率</w:t>
      </w:r>
      <w:r>
        <w:rPr>
          <w:color w:val="auto"/>
          <w:highlight w:val="none"/>
        </w:rPr>
        <w:t>95%</w:t>
      </w:r>
      <w:r>
        <w:rPr>
          <w:rFonts w:hint="eastAsia"/>
          <w:color w:val="auto"/>
          <w:highlight w:val="none"/>
        </w:rPr>
        <w:t>以上。当采用弹簧减振器时，应设置防止高频失效措施。</w:t>
      </w:r>
    </w:p>
    <w:p>
      <w:pPr>
        <w:pStyle w:val="217"/>
        <w:rPr>
          <w:color w:val="auto"/>
          <w:highlight w:val="none"/>
        </w:rPr>
      </w:pPr>
      <w:r>
        <w:rPr>
          <w:rFonts w:hint="eastAsia"/>
          <w:color w:val="auto"/>
          <w:highlight w:val="none"/>
        </w:rPr>
        <w:t>⑧风机出口软连接：采用进口工程专用涂胶玻璃纤维帆布，符合消防要求，且在潮湿环境下可保证较长寿命。</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）风机须有原厂配备用于现场安装的减震装置。按设计要求施工。</w:t>
      </w:r>
    </w:p>
    <w:p>
      <w:pPr>
        <w:pStyle w:val="113"/>
        <w:spacing w:before="120" w:after="120"/>
        <w:outlineLvl w:val="2"/>
        <w:rPr>
          <w:color w:val="auto"/>
          <w:highlight w:val="none"/>
        </w:rPr>
      </w:pPr>
      <w:bookmarkStart w:id="7955" w:name="_Toc505345779"/>
      <w:bookmarkStart w:id="7956" w:name="_Toc69114207"/>
      <w:bookmarkStart w:id="7957" w:name="_Toc66890461"/>
      <w:bookmarkStart w:id="7958" w:name="_Toc66634466"/>
      <w:r>
        <w:rPr>
          <w:color w:val="auto"/>
          <w:highlight w:val="none"/>
        </w:rPr>
        <w:t xml:space="preserve">3.6 </w:t>
      </w:r>
      <w:r>
        <w:rPr>
          <w:rFonts w:hint="eastAsia"/>
          <w:color w:val="auto"/>
          <w:highlight w:val="none"/>
        </w:rPr>
        <w:t>系统无生产负荷联合试运转及调试</w:t>
      </w:r>
      <w:bookmarkEnd w:id="7955"/>
      <w:bookmarkEnd w:id="7956"/>
      <w:bookmarkEnd w:id="7957"/>
      <w:bookmarkEnd w:id="7958"/>
    </w:p>
    <w:p>
      <w:pPr>
        <w:pStyle w:val="217"/>
        <w:rPr>
          <w:color w:val="auto"/>
          <w:highlight w:val="none"/>
        </w:rPr>
      </w:pPr>
      <w:r>
        <w:rPr>
          <w:rFonts w:hint="eastAsia"/>
          <w:color w:val="auto"/>
          <w:highlight w:val="none"/>
        </w:rPr>
        <w:t>通风与空调工程系统无生产负荷的联合试运转及调试应在制冷设备和通风与空调设备单机试运转合格后进行。空调系统带冷源的正常联合试运转不应少于</w:t>
      </w:r>
      <w:r>
        <w:rPr>
          <w:color w:val="auto"/>
          <w:highlight w:val="none"/>
        </w:rPr>
        <w:t>8h</w:t>
      </w:r>
      <w:r>
        <w:rPr>
          <w:rFonts w:hint="eastAsia"/>
          <w:color w:val="auto"/>
          <w:highlight w:val="none"/>
        </w:rPr>
        <w:t>，当竣工季节与设计条件相差较大时，仅作不带冷源试运转。通风系统的连续试运转不应少于</w:t>
      </w:r>
      <w:r>
        <w:rPr>
          <w:color w:val="auto"/>
          <w:highlight w:val="none"/>
        </w:rPr>
        <w:t>2h</w:t>
      </w:r>
      <w:r>
        <w:rPr>
          <w:rFonts w:hint="eastAsia"/>
          <w:color w:val="auto"/>
          <w:highlight w:val="none"/>
        </w:rPr>
        <w:t>。</w:t>
      </w:r>
    </w:p>
    <w:p>
      <w:pPr>
        <w:pStyle w:val="217"/>
        <w:rPr>
          <w:color w:val="auto"/>
          <w:highlight w:val="none"/>
        </w:rPr>
      </w:pPr>
      <w:r>
        <w:rPr>
          <w:color w:val="auto"/>
          <w:highlight w:val="none"/>
        </w:rPr>
        <w:t>1.</w:t>
      </w:r>
      <w:r>
        <w:rPr>
          <w:rFonts w:hint="eastAsia"/>
          <w:color w:val="auto"/>
          <w:highlight w:val="none"/>
        </w:rPr>
        <w:t>空调系统总风量调试结果与设计风量的偏差不应大于</w:t>
      </w:r>
      <w:r>
        <w:rPr>
          <w:color w:val="auto"/>
          <w:highlight w:val="none"/>
        </w:rPr>
        <w:t>10%</w:t>
      </w:r>
      <w:r>
        <w:rPr>
          <w:rFonts w:hint="eastAsia"/>
          <w:color w:val="auto"/>
          <w:highlight w:val="none"/>
        </w:rPr>
        <w:t>。</w:t>
      </w:r>
    </w:p>
    <w:p>
      <w:pPr>
        <w:pStyle w:val="217"/>
        <w:rPr>
          <w:color w:val="auto"/>
          <w:highlight w:val="none"/>
        </w:rPr>
      </w:pPr>
      <w:r>
        <w:rPr>
          <w:color w:val="auto"/>
          <w:highlight w:val="none"/>
        </w:rPr>
        <w:t>2.</w:t>
      </w:r>
      <w:r>
        <w:rPr>
          <w:rFonts w:hint="eastAsia"/>
          <w:color w:val="auto"/>
          <w:highlight w:val="none"/>
        </w:rPr>
        <w:t>系统经过平衡调整，各风口或吸风罩的风量与设计风量的允许偏差不应大于</w:t>
      </w:r>
      <w:r>
        <w:rPr>
          <w:color w:val="auto"/>
          <w:highlight w:val="none"/>
        </w:rPr>
        <w:t>15%</w:t>
      </w:r>
      <w:r>
        <w:rPr>
          <w:rFonts w:hint="eastAsia"/>
          <w:color w:val="auto"/>
          <w:highlight w:val="none"/>
        </w:rPr>
        <w:t>。</w:t>
      </w:r>
    </w:p>
    <w:p>
      <w:pPr>
        <w:pStyle w:val="217"/>
        <w:rPr>
          <w:color w:val="auto"/>
          <w:highlight w:val="none"/>
        </w:rPr>
      </w:pPr>
      <w:r>
        <w:rPr>
          <w:color w:val="auto"/>
          <w:highlight w:val="none"/>
        </w:rPr>
        <w:t>3.</w:t>
      </w:r>
      <w:r>
        <w:rPr>
          <w:rFonts w:hint="eastAsia"/>
          <w:color w:val="auto"/>
          <w:highlight w:val="none"/>
        </w:rPr>
        <w:t>空调冷冻水、冷却水总流量测试结果与设计流量的偏差不应大于</w:t>
      </w:r>
      <w:r>
        <w:rPr>
          <w:color w:val="auto"/>
          <w:highlight w:val="none"/>
        </w:rPr>
        <w:t>10%</w:t>
      </w:r>
      <w:r>
        <w:rPr>
          <w:rFonts w:hint="eastAsia"/>
          <w:color w:val="auto"/>
          <w:highlight w:val="none"/>
        </w:rPr>
        <w:t>。</w:t>
      </w:r>
    </w:p>
    <w:p>
      <w:pPr>
        <w:pStyle w:val="217"/>
        <w:rPr>
          <w:color w:val="auto"/>
          <w:highlight w:val="none"/>
        </w:rPr>
      </w:pPr>
      <w:r>
        <w:rPr>
          <w:color w:val="auto"/>
          <w:highlight w:val="none"/>
        </w:rPr>
        <w:t>4.</w:t>
      </w:r>
      <w:r>
        <w:rPr>
          <w:rFonts w:hint="eastAsia"/>
          <w:color w:val="auto"/>
          <w:highlight w:val="none"/>
        </w:rPr>
        <w:t>通风与空调工程的控制和监测设备应能与系统的检测元件和执行机构正常沟通，系统的状态参数应能正确显示，设备连锁、自动调节、自动保护应能正确动作。</w:t>
      </w:r>
    </w:p>
    <w:p>
      <w:pPr>
        <w:pStyle w:val="217"/>
        <w:rPr>
          <w:color w:val="auto"/>
          <w:highlight w:val="none"/>
        </w:rPr>
      </w:pPr>
      <w:r>
        <w:rPr>
          <w:color w:val="auto"/>
          <w:highlight w:val="none"/>
        </w:rPr>
        <w:t>5.</w:t>
      </w:r>
      <w:r>
        <w:rPr>
          <w:rFonts w:hint="eastAsia"/>
          <w:color w:val="auto"/>
          <w:highlight w:val="none"/>
        </w:rPr>
        <w:t>通风工程</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）系统联合试运转中，设备及主要部件的联动必须符合设计要求，动作协调、正确，无异常现象。</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）总风量调试结果与设计风量的偏差不应大于</w:t>
      </w:r>
      <w:r>
        <w:rPr>
          <w:color w:val="auto"/>
          <w:highlight w:val="none"/>
        </w:rPr>
        <w:t>10%</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）系统经过平衡调整，各风口的风量与设计风量的允许偏差不应大于</w:t>
      </w:r>
      <w:r>
        <w:rPr>
          <w:color w:val="auto"/>
          <w:highlight w:val="none"/>
        </w:rPr>
        <w:t>15%</w:t>
      </w:r>
      <w:r>
        <w:rPr>
          <w:rFonts w:hint="eastAsia"/>
          <w:color w:val="auto"/>
          <w:highlight w:val="none"/>
        </w:rPr>
        <w:t>。</w:t>
      </w:r>
    </w:p>
    <w:p>
      <w:pPr>
        <w:pStyle w:val="217"/>
        <w:rPr>
          <w:color w:val="auto"/>
          <w:highlight w:val="none"/>
        </w:rPr>
      </w:pPr>
      <w:r>
        <w:rPr>
          <w:color w:val="auto"/>
          <w:highlight w:val="none"/>
        </w:rPr>
        <w:t>6.</w:t>
      </w:r>
      <w:r>
        <w:rPr>
          <w:rFonts w:hint="eastAsia"/>
          <w:color w:val="auto"/>
          <w:highlight w:val="none"/>
        </w:rPr>
        <w:t>空调工程</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）水系统应冲洗干净、不含杂物，并排除管道系统中空气，系统连续运行应达到正常、平稳，水泵的压力和水泵电机的电流不应出现大幅波动，系统调整平衡后，各空调机组水流量应符合设计要求，允许偏差为</w:t>
      </w:r>
      <w:r>
        <w:rPr>
          <w:color w:val="auto"/>
          <w:highlight w:val="none"/>
        </w:rPr>
        <w:t>20%</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）空调冷冻水、冷却水总流量测试结果与设计流量的偏差不应大于</w:t>
      </w:r>
      <w:r>
        <w:rPr>
          <w:color w:val="auto"/>
          <w:highlight w:val="none"/>
        </w:rPr>
        <w:t>10%</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）各种自动计量检测元件和执行机构的工作应正常，满足建筑设备智能化系统对被测定参数进行检测和控制的要求。</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）多台冷却塔并联运行时，各冷却塔的进、出水量应达到均衡一致；</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）舒适性空调的温度、相对湿度应符合设计的要求；</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）空调室内噪音应符合设计规定要求；</w:t>
      </w:r>
    </w:p>
    <w:p>
      <w:pPr>
        <w:pStyle w:val="217"/>
        <w:rPr>
          <w:color w:val="auto"/>
          <w:highlight w:val="none"/>
        </w:rPr>
      </w:pPr>
      <w:r>
        <w:rPr>
          <w:rFonts w:hint="eastAsia"/>
          <w:color w:val="auto"/>
          <w:highlight w:val="none"/>
        </w:rPr>
        <w:t>（</w:t>
      </w:r>
      <w:r>
        <w:rPr>
          <w:color w:val="auto"/>
          <w:highlight w:val="none"/>
        </w:rPr>
        <w:t>7</w:t>
      </w:r>
      <w:r>
        <w:rPr>
          <w:rFonts w:hint="eastAsia"/>
          <w:color w:val="auto"/>
          <w:highlight w:val="none"/>
        </w:rPr>
        <w:t>）有环境噪声要求的场所，制冷、空调机组应按现行国家标准进行测定。</w:t>
      </w:r>
    </w:p>
    <w:p>
      <w:pPr>
        <w:pStyle w:val="217"/>
        <w:rPr>
          <w:color w:val="auto"/>
          <w:highlight w:val="none"/>
        </w:rPr>
      </w:pPr>
      <w:r>
        <w:rPr>
          <w:color w:val="auto"/>
          <w:highlight w:val="none"/>
        </w:rPr>
        <w:t>7.</w:t>
      </w:r>
      <w:r>
        <w:rPr>
          <w:rFonts w:hint="eastAsia"/>
          <w:color w:val="auto"/>
          <w:highlight w:val="none"/>
        </w:rPr>
        <w:t>制冷系统</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）试运转前应首先启动冷却水泵和冷冻水泵；</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）制冷机试运转时应首先启动油箱电加热器，将油温加热至</w:t>
      </w:r>
      <w:r>
        <w:rPr>
          <w:color w:val="auto"/>
          <w:highlight w:val="none"/>
        </w:rPr>
        <w:t>50-55</w:t>
      </w:r>
      <w:r>
        <w:rPr>
          <w:rFonts w:hint="eastAsia"/>
          <w:color w:val="auto"/>
          <w:highlight w:val="none"/>
        </w:rPr>
        <w:t>℃，按要求供给冷却水和载冷剂，在启动油泵，调节润滑系统。</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）系统带制冷剂正常运转不应少于</w:t>
      </w:r>
      <w:r>
        <w:rPr>
          <w:color w:val="auto"/>
          <w:highlight w:val="none"/>
        </w:rPr>
        <w:t>8h</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）试运转正常后，必须先停止制冷机，油泵继续供油</w:t>
      </w:r>
      <w:r>
        <w:rPr>
          <w:color w:val="auto"/>
          <w:highlight w:val="none"/>
        </w:rPr>
        <w:t>2min</w:t>
      </w:r>
      <w:r>
        <w:rPr>
          <w:rFonts w:hint="eastAsia"/>
          <w:color w:val="auto"/>
          <w:highlight w:val="none"/>
        </w:rPr>
        <w:t>后停止油泵，在停冷冻水泵、冷却水泵。</w:t>
      </w:r>
      <w:r>
        <w:rPr>
          <w:color w:val="auto"/>
          <w:highlight w:val="none"/>
        </w:rPr>
        <w:t xml:space="preserve"> </w:t>
      </w:r>
    </w:p>
    <w:p>
      <w:pPr>
        <w:pStyle w:val="113"/>
        <w:spacing w:before="120" w:after="120"/>
        <w:outlineLvl w:val="2"/>
        <w:rPr>
          <w:color w:val="auto"/>
          <w:highlight w:val="none"/>
        </w:rPr>
      </w:pPr>
      <w:bookmarkStart w:id="7959" w:name="_Toc505345780"/>
      <w:bookmarkStart w:id="7960" w:name="_Toc66634467"/>
      <w:bookmarkStart w:id="7961" w:name="_Toc69114208"/>
      <w:bookmarkStart w:id="7962" w:name="_Toc66890462"/>
      <w:r>
        <w:rPr>
          <w:color w:val="auto"/>
          <w:highlight w:val="none"/>
        </w:rPr>
        <w:t xml:space="preserve">3.7 </w:t>
      </w:r>
      <w:r>
        <w:rPr>
          <w:rFonts w:hint="eastAsia"/>
          <w:color w:val="auto"/>
          <w:highlight w:val="none"/>
        </w:rPr>
        <w:t>综合效能试验</w:t>
      </w:r>
      <w:bookmarkEnd w:id="7959"/>
      <w:bookmarkEnd w:id="7960"/>
      <w:bookmarkEnd w:id="7961"/>
      <w:bookmarkEnd w:id="7962"/>
    </w:p>
    <w:p>
      <w:pPr>
        <w:pStyle w:val="217"/>
        <w:rPr>
          <w:color w:val="auto"/>
          <w:highlight w:val="none"/>
        </w:rPr>
      </w:pPr>
      <w:r>
        <w:rPr>
          <w:rFonts w:hint="eastAsia"/>
          <w:color w:val="auto"/>
          <w:highlight w:val="none"/>
        </w:rPr>
        <w:t>通风与空调工程交工前，并已具备联合试运行的条件下，由承包人负责，设计、设备供应商、其他施工单位等配合，进行带负荷的综合效能试验测定与调整。</w:t>
      </w:r>
    </w:p>
    <w:p>
      <w:pPr>
        <w:pStyle w:val="217"/>
        <w:rPr>
          <w:color w:val="auto"/>
          <w:highlight w:val="none"/>
        </w:rPr>
      </w:pPr>
      <w:r>
        <w:rPr>
          <w:rFonts w:hint="eastAsia"/>
          <w:color w:val="auto"/>
          <w:highlight w:val="none"/>
        </w:rPr>
        <w:t>综合效能试验与调整的项目，由业主根据工程性质、工艺和设计要求进行确定并通知承包人。主要试验内容包括（但不限于）：</w:t>
      </w:r>
    </w:p>
    <w:p>
      <w:pPr>
        <w:pStyle w:val="217"/>
        <w:rPr>
          <w:color w:val="auto"/>
          <w:highlight w:val="none"/>
        </w:rPr>
      </w:pPr>
      <w:r>
        <w:rPr>
          <w:color w:val="auto"/>
          <w:highlight w:val="none"/>
        </w:rPr>
        <w:t>1.</w:t>
      </w:r>
      <w:r>
        <w:rPr>
          <w:rFonts w:hint="eastAsia"/>
          <w:color w:val="auto"/>
          <w:highlight w:val="none"/>
        </w:rPr>
        <w:t>系统总风压、风量及风机转数的测定</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）风量测定调整一般从风机最远的支干管开始。</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）实测总风量与设计风量偏差不应大于</w:t>
      </w:r>
      <w:r>
        <w:rPr>
          <w:color w:val="auto"/>
          <w:highlight w:val="none"/>
        </w:rPr>
        <w:t>10%</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）各风口风量实测值与设计值偏差不大于</w:t>
      </w:r>
      <w:r>
        <w:rPr>
          <w:color w:val="auto"/>
          <w:highlight w:val="none"/>
        </w:rPr>
        <w:t>15%</w:t>
      </w:r>
      <w:r>
        <w:rPr>
          <w:rFonts w:hint="eastAsia"/>
          <w:color w:val="auto"/>
          <w:highlight w:val="none"/>
        </w:rPr>
        <w:t>。</w:t>
      </w:r>
    </w:p>
    <w:p>
      <w:pPr>
        <w:pStyle w:val="217"/>
        <w:rPr>
          <w:color w:val="auto"/>
          <w:highlight w:val="none"/>
        </w:rPr>
      </w:pPr>
      <w:r>
        <w:rPr>
          <w:color w:val="auto"/>
          <w:highlight w:val="none"/>
        </w:rPr>
        <w:t>2.</w:t>
      </w:r>
      <w:r>
        <w:rPr>
          <w:rFonts w:hint="eastAsia"/>
          <w:color w:val="auto"/>
          <w:highlight w:val="none"/>
        </w:rPr>
        <w:t>送回风口空气状态参数的测定与调整。</w:t>
      </w:r>
    </w:p>
    <w:p>
      <w:pPr>
        <w:pStyle w:val="217"/>
        <w:rPr>
          <w:color w:val="auto"/>
          <w:highlight w:val="none"/>
        </w:rPr>
      </w:pPr>
      <w:r>
        <w:rPr>
          <w:color w:val="auto"/>
          <w:highlight w:val="none"/>
        </w:rPr>
        <w:t>3.</w:t>
      </w:r>
      <w:r>
        <w:rPr>
          <w:rFonts w:hint="eastAsia"/>
          <w:color w:val="auto"/>
          <w:highlight w:val="none"/>
        </w:rPr>
        <w:t>空气调节机组性能参数的测定与调整。</w:t>
      </w:r>
    </w:p>
    <w:p>
      <w:pPr>
        <w:pStyle w:val="217"/>
        <w:rPr>
          <w:color w:val="auto"/>
          <w:highlight w:val="none"/>
        </w:rPr>
      </w:pPr>
      <w:r>
        <w:rPr>
          <w:color w:val="auto"/>
          <w:highlight w:val="none"/>
        </w:rPr>
        <w:t>4.</w:t>
      </w:r>
      <w:r>
        <w:rPr>
          <w:rFonts w:hint="eastAsia"/>
          <w:color w:val="auto"/>
          <w:highlight w:val="none"/>
        </w:rPr>
        <w:t>室内噪声的测定。</w:t>
      </w:r>
    </w:p>
    <w:p>
      <w:pPr>
        <w:pStyle w:val="217"/>
        <w:rPr>
          <w:color w:val="auto"/>
          <w:highlight w:val="none"/>
        </w:rPr>
      </w:pPr>
      <w:r>
        <w:rPr>
          <w:color w:val="auto"/>
          <w:highlight w:val="none"/>
        </w:rPr>
        <w:t>5.</w:t>
      </w:r>
      <w:r>
        <w:rPr>
          <w:rFonts w:hint="eastAsia"/>
          <w:color w:val="auto"/>
          <w:highlight w:val="none"/>
        </w:rPr>
        <w:t>室内空气温度和相对湿度的测定与调整。</w:t>
      </w:r>
    </w:p>
    <w:p>
      <w:pPr>
        <w:rPr>
          <w:color w:val="auto"/>
          <w:highlight w:val="none"/>
        </w:rPr>
      </w:pPr>
    </w:p>
    <w:p>
      <w:pPr>
        <w:pStyle w:val="188"/>
        <w:spacing w:before="120" w:after="120"/>
        <w:outlineLvl w:val="1"/>
        <w:rPr>
          <w:color w:val="auto"/>
          <w:highlight w:val="none"/>
        </w:rPr>
      </w:pPr>
      <w:bookmarkStart w:id="7963" w:name="_Toc505345781"/>
      <w:bookmarkStart w:id="7964" w:name="_Toc66890463"/>
      <w:bookmarkStart w:id="7965" w:name="_Toc66634468"/>
      <w:bookmarkStart w:id="7966" w:name="_Toc69114209"/>
      <w:r>
        <w:rPr>
          <w:rFonts w:hint="eastAsia"/>
          <w:color w:val="auto"/>
          <w:highlight w:val="none"/>
        </w:rPr>
        <w:t>第</w:t>
      </w:r>
      <w:r>
        <w:rPr>
          <w:color w:val="auto"/>
          <w:highlight w:val="none"/>
        </w:rPr>
        <w:t>4</w:t>
      </w:r>
      <w:r>
        <w:rPr>
          <w:rFonts w:hint="eastAsia"/>
          <w:color w:val="auto"/>
          <w:highlight w:val="none"/>
        </w:rPr>
        <w:t>章</w:t>
      </w:r>
      <w:r>
        <w:rPr>
          <w:color w:val="auto"/>
          <w:highlight w:val="none"/>
        </w:rPr>
        <w:t xml:space="preserve">  </w:t>
      </w:r>
      <w:r>
        <w:rPr>
          <w:rFonts w:hint="eastAsia"/>
          <w:color w:val="auto"/>
          <w:highlight w:val="none"/>
        </w:rPr>
        <w:t>防排烟系统试验和试运行</w:t>
      </w:r>
      <w:bookmarkEnd w:id="7963"/>
      <w:bookmarkEnd w:id="7964"/>
      <w:bookmarkEnd w:id="7965"/>
      <w:bookmarkEnd w:id="7966"/>
    </w:p>
    <w:p>
      <w:pPr>
        <w:pStyle w:val="113"/>
        <w:spacing w:before="120" w:after="120"/>
        <w:outlineLvl w:val="2"/>
        <w:rPr>
          <w:color w:val="auto"/>
          <w:highlight w:val="none"/>
        </w:rPr>
      </w:pPr>
      <w:bookmarkStart w:id="7967" w:name="_Toc66634469"/>
      <w:bookmarkStart w:id="7968" w:name="_Toc69114210"/>
      <w:bookmarkStart w:id="7969" w:name="_Toc66890464"/>
      <w:bookmarkStart w:id="7970" w:name="_Toc505345782"/>
      <w:r>
        <w:rPr>
          <w:color w:val="auto"/>
          <w:highlight w:val="none"/>
        </w:rPr>
        <w:t xml:space="preserve">4.1 </w:t>
      </w:r>
      <w:r>
        <w:rPr>
          <w:rFonts w:hint="eastAsia"/>
          <w:color w:val="auto"/>
          <w:highlight w:val="none"/>
        </w:rPr>
        <w:t>概述</w:t>
      </w:r>
      <w:bookmarkEnd w:id="7967"/>
      <w:bookmarkEnd w:id="7968"/>
      <w:bookmarkEnd w:id="7969"/>
      <w:bookmarkEnd w:id="7970"/>
    </w:p>
    <w:p>
      <w:pPr>
        <w:pStyle w:val="217"/>
        <w:rPr>
          <w:color w:val="auto"/>
          <w:highlight w:val="none"/>
        </w:rPr>
      </w:pPr>
      <w:r>
        <w:rPr>
          <w:rFonts w:hint="eastAsia"/>
          <w:color w:val="auto"/>
          <w:highlight w:val="none"/>
        </w:rPr>
        <w:t>本节说明有关所有防排烟系统的试验、试运行的技术要求。</w:t>
      </w:r>
    </w:p>
    <w:p>
      <w:pPr>
        <w:pStyle w:val="113"/>
        <w:spacing w:before="120" w:after="120"/>
        <w:outlineLvl w:val="2"/>
        <w:rPr>
          <w:color w:val="auto"/>
          <w:highlight w:val="none"/>
        </w:rPr>
      </w:pPr>
      <w:bookmarkStart w:id="7971" w:name="_Toc505345783"/>
      <w:bookmarkStart w:id="7972" w:name="_Toc66634470"/>
      <w:bookmarkStart w:id="7973" w:name="_Toc69114211"/>
      <w:bookmarkStart w:id="7974" w:name="_Toc66890465"/>
      <w:r>
        <w:rPr>
          <w:color w:val="auto"/>
          <w:highlight w:val="none"/>
        </w:rPr>
        <w:t xml:space="preserve">4.2 </w:t>
      </w:r>
      <w:r>
        <w:rPr>
          <w:rFonts w:hint="eastAsia"/>
          <w:color w:val="auto"/>
          <w:highlight w:val="none"/>
        </w:rPr>
        <w:t>一般要求</w:t>
      </w:r>
      <w:bookmarkEnd w:id="7971"/>
      <w:bookmarkEnd w:id="7972"/>
      <w:bookmarkEnd w:id="7973"/>
      <w:bookmarkEnd w:id="7974"/>
    </w:p>
    <w:p>
      <w:pPr>
        <w:pStyle w:val="217"/>
        <w:rPr>
          <w:color w:val="auto"/>
          <w:highlight w:val="none"/>
        </w:rPr>
      </w:pPr>
      <w:r>
        <w:rPr>
          <w:color w:val="auto"/>
          <w:highlight w:val="none"/>
        </w:rPr>
        <w:t>1.</w:t>
      </w:r>
      <w:r>
        <w:rPr>
          <w:rFonts w:hint="eastAsia"/>
          <w:color w:val="auto"/>
          <w:highlight w:val="none"/>
        </w:rPr>
        <w:t>除了其他章节内的要求外，承包人还应实施各项必要的试验和试运行，这包括施工期间的现场试验、交工试运行和验收试验。</w:t>
      </w:r>
    </w:p>
    <w:p>
      <w:pPr>
        <w:pStyle w:val="217"/>
        <w:rPr>
          <w:color w:val="auto"/>
          <w:highlight w:val="none"/>
        </w:rPr>
      </w:pPr>
      <w:r>
        <w:rPr>
          <w:color w:val="auto"/>
          <w:highlight w:val="none"/>
        </w:rPr>
        <w:t>2.</w:t>
      </w:r>
      <w:r>
        <w:rPr>
          <w:rFonts w:hint="eastAsia"/>
          <w:color w:val="auto"/>
          <w:highlight w:val="none"/>
        </w:rPr>
        <w:t>所有的测试须按业主</w:t>
      </w:r>
      <w:r>
        <w:rPr>
          <w:color w:val="auto"/>
          <w:highlight w:val="none"/>
        </w:rPr>
        <w:t>/</w:t>
      </w:r>
      <w:r>
        <w:rPr>
          <w:rFonts w:hint="eastAsia"/>
          <w:color w:val="auto"/>
          <w:highlight w:val="none"/>
        </w:rPr>
        <w:t>监理工程师所认可的程序进行，同时在完成试验后须提交所有试验记录文件一式三份供业主</w:t>
      </w:r>
      <w:r>
        <w:rPr>
          <w:color w:val="auto"/>
          <w:highlight w:val="none"/>
        </w:rPr>
        <w:t>/</w:t>
      </w:r>
      <w:r>
        <w:rPr>
          <w:rFonts w:hint="eastAsia"/>
          <w:color w:val="auto"/>
          <w:highlight w:val="none"/>
        </w:rPr>
        <w:t>监理工程师审阅。所有安装的系统必须完成本技术要求所有的试验并经业主</w:t>
      </w:r>
      <w:r>
        <w:rPr>
          <w:color w:val="auto"/>
          <w:highlight w:val="none"/>
        </w:rPr>
        <w:t>/</w:t>
      </w:r>
      <w:r>
        <w:rPr>
          <w:rFonts w:hint="eastAsia"/>
          <w:color w:val="auto"/>
          <w:highlight w:val="none"/>
        </w:rPr>
        <w:t>监理工程师审核认可后，方可正式移交业主使用。</w:t>
      </w:r>
      <w:r>
        <w:rPr>
          <w:color w:val="auto"/>
          <w:highlight w:val="none"/>
        </w:rPr>
        <w:t xml:space="preserve"> </w:t>
      </w:r>
    </w:p>
    <w:p>
      <w:pPr>
        <w:pStyle w:val="217"/>
        <w:rPr>
          <w:color w:val="auto"/>
          <w:highlight w:val="none"/>
        </w:rPr>
      </w:pPr>
      <w:r>
        <w:rPr>
          <w:color w:val="auto"/>
          <w:highlight w:val="none"/>
        </w:rPr>
        <w:t>3.</w:t>
      </w:r>
      <w:r>
        <w:rPr>
          <w:rFonts w:hint="eastAsia"/>
          <w:color w:val="auto"/>
          <w:highlight w:val="none"/>
        </w:rPr>
        <w:t>承包人须负责有关系统试验所需的一切费用，包括修正在试验过程中所发现不妥善的地方及再次试验的费用，同时需包括一切试验所需的仪器设施。</w:t>
      </w:r>
    </w:p>
    <w:p>
      <w:pPr>
        <w:pStyle w:val="217"/>
        <w:rPr>
          <w:color w:val="auto"/>
          <w:highlight w:val="none"/>
        </w:rPr>
      </w:pPr>
      <w:r>
        <w:rPr>
          <w:color w:val="auto"/>
          <w:highlight w:val="none"/>
        </w:rPr>
        <w:t>4.</w:t>
      </w:r>
      <w:r>
        <w:rPr>
          <w:rFonts w:hint="eastAsia"/>
          <w:color w:val="auto"/>
          <w:highlight w:val="none"/>
        </w:rPr>
        <w:t>有关执行各系统的试验、调节和试运行工作的人员须具有五年或以上担任过相同工作的经验。</w:t>
      </w:r>
    </w:p>
    <w:p>
      <w:pPr>
        <w:pStyle w:val="217"/>
        <w:rPr>
          <w:color w:val="auto"/>
          <w:highlight w:val="none"/>
        </w:rPr>
      </w:pPr>
      <w:r>
        <w:rPr>
          <w:color w:val="auto"/>
          <w:highlight w:val="none"/>
        </w:rPr>
        <w:t>5.</w:t>
      </w:r>
      <w:r>
        <w:rPr>
          <w:rFonts w:hint="eastAsia"/>
          <w:color w:val="auto"/>
          <w:highlight w:val="none"/>
        </w:rPr>
        <w:t>所有用于试验、调节和试运行工作的仪器设施，须在使用前检定合格。</w:t>
      </w:r>
    </w:p>
    <w:p>
      <w:pPr>
        <w:pStyle w:val="217"/>
        <w:rPr>
          <w:color w:val="auto"/>
          <w:highlight w:val="none"/>
        </w:rPr>
      </w:pPr>
      <w:r>
        <w:rPr>
          <w:color w:val="auto"/>
          <w:highlight w:val="none"/>
        </w:rPr>
        <w:t>6.</w:t>
      </w:r>
      <w:r>
        <w:rPr>
          <w:rFonts w:hint="eastAsia"/>
          <w:color w:val="auto"/>
          <w:highlight w:val="none"/>
        </w:rPr>
        <w:t>遵守国家相关标准和规范（特别是消防、环境方面的要求）。</w:t>
      </w:r>
    </w:p>
    <w:p>
      <w:pPr>
        <w:pStyle w:val="217"/>
        <w:rPr>
          <w:color w:val="auto"/>
          <w:highlight w:val="none"/>
        </w:rPr>
      </w:pPr>
      <w:r>
        <w:rPr>
          <w:color w:val="auto"/>
          <w:highlight w:val="none"/>
        </w:rPr>
        <w:t>7.</w:t>
      </w:r>
      <w:r>
        <w:rPr>
          <w:rFonts w:hint="eastAsia"/>
          <w:color w:val="auto"/>
          <w:highlight w:val="none"/>
        </w:rPr>
        <w:t>提交执行系统测试及试运行人员的名单、简历。</w:t>
      </w:r>
    </w:p>
    <w:p>
      <w:pPr>
        <w:pStyle w:val="217"/>
        <w:rPr>
          <w:color w:val="auto"/>
          <w:highlight w:val="none"/>
        </w:rPr>
      </w:pPr>
      <w:r>
        <w:rPr>
          <w:color w:val="auto"/>
          <w:highlight w:val="none"/>
        </w:rPr>
        <w:t>8.</w:t>
      </w:r>
      <w:r>
        <w:rPr>
          <w:rFonts w:hint="eastAsia"/>
          <w:color w:val="auto"/>
          <w:highlight w:val="none"/>
        </w:rPr>
        <w:t>提交测试及试运行的计划进度表。</w:t>
      </w:r>
    </w:p>
    <w:p>
      <w:pPr>
        <w:pStyle w:val="217"/>
        <w:rPr>
          <w:color w:val="auto"/>
          <w:highlight w:val="none"/>
        </w:rPr>
      </w:pPr>
      <w:r>
        <w:rPr>
          <w:color w:val="auto"/>
          <w:highlight w:val="none"/>
        </w:rPr>
        <w:t>9.</w:t>
      </w:r>
      <w:r>
        <w:rPr>
          <w:rFonts w:hint="eastAsia"/>
          <w:color w:val="auto"/>
          <w:highlight w:val="none"/>
        </w:rPr>
        <w:t>提交测试及试运行的方案。</w:t>
      </w:r>
    </w:p>
    <w:p>
      <w:pPr>
        <w:pStyle w:val="217"/>
        <w:rPr>
          <w:color w:val="auto"/>
          <w:highlight w:val="none"/>
        </w:rPr>
      </w:pPr>
      <w:r>
        <w:rPr>
          <w:color w:val="auto"/>
          <w:highlight w:val="none"/>
        </w:rPr>
        <w:t>10.</w:t>
      </w:r>
      <w:r>
        <w:rPr>
          <w:rFonts w:hint="eastAsia"/>
          <w:color w:val="auto"/>
          <w:highlight w:val="none"/>
        </w:rPr>
        <w:t>防排烟系统与火灾自动报警系统联合试运行及调试后，控制功能应正常，信号应正确，风量、风压必须符合设计与消防规范的规定。</w:t>
      </w:r>
    </w:p>
    <w:p>
      <w:pPr>
        <w:pStyle w:val="113"/>
        <w:spacing w:before="120" w:after="120"/>
        <w:outlineLvl w:val="2"/>
        <w:rPr>
          <w:color w:val="auto"/>
          <w:highlight w:val="none"/>
        </w:rPr>
      </w:pPr>
      <w:bookmarkStart w:id="7975" w:name="_Toc66890466"/>
      <w:bookmarkStart w:id="7976" w:name="_Toc69114212"/>
      <w:bookmarkStart w:id="7977" w:name="_Toc66634471"/>
      <w:bookmarkStart w:id="7978" w:name="_Toc505345784"/>
      <w:r>
        <w:rPr>
          <w:color w:val="auto"/>
          <w:highlight w:val="none"/>
        </w:rPr>
        <w:t xml:space="preserve">4.3 </w:t>
      </w:r>
      <w:r>
        <w:rPr>
          <w:rFonts w:hint="eastAsia"/>
          <w:color w:val="auto"/>
          <w:highlight w:val="none"/>
        </w:rPr>
        <w:t>产品</w:t>
      </w:r>
      <w:bookmarkEnd w:id="7975"/>
      <w:bookmarkEnd w:id="7976"/>
      <w:bookmarkEnd w:id="7977"/>
      <w:bookmarkEnd w:id="7978"/>
    </w:p>
    <w:p>
      <w:pPr>
        <w:pStyle w:val="217"/>
        <w:rPr>
          <w:color w:val="auto"/>
          <w:highlight w:val="none"/>
        </w:rPr>
      </w:pPr>
      <w:r>
        <w:rPr>
          <w:color w:val="auto"/>
          <w:highlight w:val="none"/>
        </w:rPr>
        <w:t>1.</w:t>
      </w:r>
      <w:r>
        <w:rPr>
          <w:rFonts w:hint="eastAsia"/>
          <w:color w:val="auto"/>
          <w:highlight w:val="none"/>
        </w:rPr>
        <w:t>提供所有试验及试运行所需的仪器设施，其中包括但不限于下列内容：</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w:t>
      </w:r>
      <w:r>
        <w:rPr>
          <w:color w:val="auto"/>
          <w:highlight w:val="none"/>
        </w:rPr>
        <w:t>8</w:t>
      </w:r>
      <w:r>
        <w:rPr>
          <w:rFonts w:hint="eastAsia"/>
          <w:color w:val="auto"/>
          <w:highlight w:val="none"/>
        </w:rPr>
        <w:t>倍频带噪音测量表；</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）转速计；</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）流速测定管连测压计；</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）电子旋转叶片风速表；</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）测速仪；</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）电流、电压表；</w:t>
      </w:r>
    </w:p>
    <w:p>
      <w:pPr>
        <w:pStyle w:val="217"/>
        <w:rPr>
          <w:color w:val="auto"/>
          <w:highlight w:val="none"/>
        </w:rPr>
      </w:pPr>
      <w:r>
        <w:rPr>
          <w:rFonts w:hint="eastAsia"/>
          <w:color w:val="auto"/>
          <w:highlight w:val="none"/>
        </w:rPr>
        <w:t>（</w:t>
      </w:r>
      <w:r>
        <w:rPr>
          <w:color w:val="auto"/>
          <w:highlight w:val="none"/>
        </w:rPr>
        <w:t>7</w:t>
      </w:r>
      <w:r>
        <w:rPr>
          <w:rFonts w:hint="eastAsia"/>
          <w:color w:val="auto"/>
          <w:highlight w:val="none"/>
        </w:rPr>
        <w:t>）绝缘测试表；</w:t>
      </w:r>
    </w:p>
    <w:p>
      <w:pPr>
        <w:pStyle w:val="217"/>
        <w:rPr>
          <w:color w:val="auto"/>
          <w:highlight w:val="none"/>
        </w:rPr>
      </w:pPr>
      <w:r>
        <w:rPr>
          <w:color w:val="auto"/>
          <w:highlight w:val="none"/>
        </w:rPr>
        <w:t>2.</w:t>
      </w:r>
      <w:r>
        <w:rPr>
          <w:rFonts w:hint="eastAsia"/>
          <w:color w:val="auto"/>
          <w:highlight w:val="none"/>
        </w:rPr>
        <w:t>须于使用前三个月内对有关测量仪器重新校核检定。</w:t>
      </w:r>
    </w:p>
    <w:p>
      <w:pPr>
        <w:pStyle w:val="217"/>
        <w:rPr>
          <w:color w:val="auto"/>
          <w:highlight w:val="none"/>
        </w:rPr>
      </w:pPr>
      <w:r>
        <w:rPr>
          <w:color w:val="auto"/>
          <w:highlight w:val="none"/>
        </w:rPr>
        <w:t>3.</w:t>
      </w:r>
      <w:r>
        <w:rPr>
          <w:rFonts w:hint="eastAsia"/>
          <w:color w:val="auto"/>
          <w:highlight w:val="none"/>
        </w:rPr>
        <w:t>承包人须负责提供一切为成功调试有关系统所需的附加设备，如调节阀、减压阀和蝶型阀等，并负责一切费用。</w:t>
      </w:r>
    </w:p>
    <w:p>
      <w:pPr>
        <w:pStyle w:val="217"/>
        <w:rPr>
          <w:color w:val="auto"/>
          <w:highlight w:val="none"/>
        </w:rPr>
      </w:pPr>
      <w:r>
        <w:rPr>
          <w:color w:val="auto"/>
          <w:highlight w:val="none"/>
        </w:rPr>
        <w:t>4.</w:t>
      </w:r>
      <w:r>
        <w:rPr>
          <w:rFonts w:hint="eastAsia"/>
          <w:color w:val="auto"/>
          <w:highlight w:val="none"/>
        </w:rPr>
        <w:t>提供本和约范围内一切系统测试所需的工作人员、设备、仪表。</w:t>
      </w:r>
    </w:p>
    <w:p>
      <w:pPr>
        <w:pStyle w:val="217"/>
        <w:rPr>
          <w:color w:val="auto"/>
          <w:highlight w:val="none"/>
        </w:rPr>
      </w:pPr>
      <w:r>
        <w:rPr>
          <w:color w:val="auto"/>
          <w:highlight w:val="none"/>
        </w:rPr>
        <w:t>5.</w:t>
      </w:r>
      <w:r>
        <w:rPr>
          <w:rFonts w:hint="eastAsia"/>
          <w:color w:val="auto"/>
          <w:highlight w:val="none"/>
        </w:rPr>
        <w:t>增添、替换或修正在测试期间发现的有缺陷的系统、设备。</w:t>
      </w:r>
    </w:p>
    <w:p>
      <w:pPr>
        <w:pStyle w:val="113"/>
        <w:spacing w:before="120" w:after="120"/>
        <w:outlineLvl w:val="2"/>
        <w:rPr>
          <w:color w:val="auto"/>
          <w:highlight w:val="none"/>
        </w:rPr>
      </w:pPr>
      <w:bookmarkStart w:id="7979" w:name="_Toc69114213"/>
      <w:bookmarkStart w:id="7980" w:name="_Toc505345785"/>
      <w:bookmarkStart w:id="7981" w:name="_Toc66634472"/>
      <w:bookmarkStart w:id="7982" w:name="_Toc66890467"/>
      <w:r>
        <w:rPr>
          <w:color w:val="auto"/>
          <w:highlight w:val="none"/>
        </w:rPr>
        <w:t xml:space="preserve">4.4 </w:t>
      </w:r>
      <w:r>
        <w:rPr>
          <w:rFonts w:hint="eastAsia"/>
          <w:color w:val="auto"/>
          <w:highlight w:val="none"/>
        </w:rPr>
        <w:t>测试前的准备</w:t>
      </w:r>
      <w:bookmarkEnd w:id="7979"/>
      <w:bookmarkEnd w:id="7980"/>
      <w:bookmarkEnd w:id="7981"/>
      <w:bookmarkEnd w:id="7982"/>
    </w:p>
    <w:p>
      <w:pPr>
        <w:pStyle w:val="217"/>
        <w:rPr>
          <w:color w:val="auto"/>
          <w:highlight w:val="none"/>
        </w:rPr>
      </w:pPr>
      <w:r>
        <w:rPr>
          <w:color w:val="auto"/>
          <w:highlight w:val="none"/>
        </w:rPr>
        <w:t>1.</w:t>
      </w:r>
      <w:r>
        <w:rPr>
          <w:rFonts w:hint="eastAsia"/>
          <w:color w:val="auto"/>
          <w:highlight w:val="none"/>
        </w:rPr>
        <w:t>承包人须保证所有本和约范围内的设备及装置，在进行调试工作前，彻底进行清洁、润滑和检查，将所有遗留在风管系统、设备内的杂物一一清除。</w:t>
      </w:r>
    </w:p>
    <w:p>
      <w:pPr>
        <w:pStyle w:val="217"/>
        <w:rPr>
          <w:color w:val="auto"/>
          <w:highlight w:val="none"/>
        </w:rPr>
      </w:pPr>
      <w:r>
        <w:rPr>
          <w:color w:val="auto"/>
          <w:highlight w:val="none"/>
        </w:rPr>
        <w:t>2.</w:t>
      </w:r>
      <w:r>
        <w:rPr>
          <w:rFonts w:hint="eastAsia"/>
          <w:color w:val="auto"/>
          <w:highlight w:val="none"/>
        </w:rPr>
        <w:t>须对所有自动控制元件和安全装置进行检查，确保操作正常后，才可接通电力系统。</w:t>
      </w:r>
    </w:p>
    <w:p>
      <w:pPr>
        <w:pStyle w:val="217"/>
        <w:rPr>
          <w:color w:val="auto"/>
          <w:highlight w:val="none"/>
        </w:rPr>
      </w:pPr>
      <w:r>
        <w:rPr>
          <w:color w:val="auto"/>
          <w:highlight w:val="none"/>
        </w:rPr>
        <w:t>3.</w:t>
      </w:r>
      <w:r>
        <w:rPr>
          <w:rFonts w:hint="eastAsia"/>
          <w:color w:val="auto"/>
          <w:highlight w:val="none"/>
        </w:rPr>
        <w:t>在工程施工期间和在保温施工前，应对所完成的工程分段进行相关试验。</w:t>
      </w:r>
    </w:p>
    <w:p>
      <w:pPr>
        <w:pStyle w:val="113"/>
        <w:spacing w:before="120" w:after="120"/>
        <w:outlineLvl w:val="2"/>
        <w:rPr>
          <w:color w:val="auto"/>
          <w:highlight w:val="none"/>
        </w:rPr>
      </w:pPr>
      <w:bookmarkStart w:id="7983" w:name="_Toc66890468"/>
      <w:bookmarkStart w:id="7984" w:name="_Toc505345786"/>
      <w:bookmarkStart w:id="7985" w:name="_Toc66634473"/>
      <w:bookmarkStart w:id="7986" w:name="_Toc69114214"/>
      <w:r>
        <w:rPr>
          <w:color w:val="auto"/>
          <w:highlight w:val="none"/>
        </w:rPr>
        <w:t xml:space="preserve">4.5 </w:t>
      </w:r>
      <w:r>
        <w:rPr>
          <w:rFonts w:hint="eastAsia"/>
          <w:color w:val="auto"/>
          <w:highlight w:val="none"/>
        </w:rPr>
        <w:t>风机单机试运转</w:t>
      </w:r>
      <w:bookmarkEnd w:id="7983"/>
      <w:bookmarkEnd w:id="7984"/>
      <w:bookmarkEnd w:id="7985"/>
      <w:bookmarkEnd w:id="7986"/>
    </w:p>
    <w:p>
      <w:pPr>
        <w:pStyle w:val="217"/>
        <w:rPr>
          <w:color w:val="auto"/>
          <w:highlight w:val="none"/>
        </w:rPr>
      </w:pPr>
      <w:r>
        <w:rPr>
          <w:color w:val="auto"/>
          <w:highlight w:val="none"/>
        </w:rPr>
        <w:t>1.</w:t>
      </w:r>
      <w:r>
        <w:rPr>
          <w:rFonts w:hint="eastAsia"/>
          <w:color w:val="auto"/>
          <w:highlight w:val="none"/>
        </w:rPr>
        <w:t>盘动叶轮，应无卡阻和碰擦现象；</w:t>
      </w:r>
    </w:p>
    <w:p>
      <w:pPr>
        <w:pStyle w:val="217"/>
        <w:rPr>
          <w:color w:val="auto"/>
          <w:highlight w:val="none"/>
        </w:rPr>
      </w:pPr>
      <w:r>
        <w:rPr>
          <w:color w:val="auto"/>
          <w:highlight w:val="none"/>
        </w:rPr>
        <w:t>2.</w:t>
      </w:r>
      <w:r>
        <w:rPr>
          <w:rFonts w:hint="eastAsia"/>
          <w:color w:val="auto"/>
          <w:highlight w:val="none"/>
        </w:rPr>
        <w:t>叶轮旋转方向必须正确、运转平稳、无异常振动和声响，电机运行功率应符合设备技术文件的规定；</w:t>
      </w:r>
    </w:p>
    <w:p>
      <w:pPr>
        <w:pStyle w:val="217"/>
        <w:rPr>
          <w:color w:val="auto"/>
          <w:highlight w:val="none"/>
        </w:rPr>
      </w:pPr>
      <w:r>
        <w:rPr>
          <w:color w:val="auto"/>
          <w:highlight w:val="none"/>
        </w:rPr>
        <w:t>3.</w:t>
      </w:r>
      <w:r>
        <w:rPr>
          <w:rFonts w:hint="eastAsia"/>
          <w:color w:val="auto"/>
          <w:highlight w:val="none"/>
        </w:rPr>
        <w:t>风机启动达到正常转速后，应首先在调节门开度为</w:t>
      </w:r>
      <w:r>
        <w:rPr>
          <w:color w:val="auto"/>
          <w:highlight w:val="none"/>
        </w:rPr>
        <w:t>0</w:t>
      </w:r>
      <w:r>
        <w:rPr>
          <w:rFonts w:hint="eastAsia"/>
          <w:color w:val="auto"/>
          <w:highlight w:val="none"/>
        </w:rPr>
        <w:t>º到</w:t>
      </w:r>
      <w:r>
        <w:rPr>
          <w:color w:val="auto"/>
          <w:highlight w:val="none"/>
        </w:rPr>
        <w:t>5</w:t>
      </w:r>
      <w:r>
        <w:rPr>
          <w:rFonts w:hint="eastAsia"/>
          <w:color w:val="auto"/>
          <w:highlight w:val="none"/>
        </w:rPr>
        <w:t>º之间小负荷运转，待达到轴承温升稳定后连续运转时间不应小于</w:t>
      </w:r>
      <w:r>
        <w:rPr>
          <w:color w:val="auto"/>
          <w:highlight w:val="none"/>
        </w:rPr>
        <w:t>20min</w:t>
      </w:r>
      <w:r>
        <w:rPr>
          <w:rFonts w:hint="eastAsia"/>
          <w:color w:val="auto"/>
          <w:highlight w:val="none"/>
        </w:rPr>
        <w:t>；</w:t>
      </w:r>
    </w:p>
    <w:p>
      <w:pPr>
        <w:pStyle w:val="217"/>
        <w:rPr>
          <w:color w:val="auto"/>
          <w:highlight w:val="none"/>
        </w:rPr>
      </w:pPr>
      <w:r>
        <w:rPr>
          <w:color w:val="auto"/>
          <w:highlight w:val="none"/>
        </w:rPr>
        <w:t>4.</w:t>
      </w:r>
      <w:r>
        <w:rPr>
          <w:rFonts w:hint="eastAsia"/>
          <w:color w:val="auto"/>
          <w:highlight w:val="none"/>
        </w:rPr>
        <w:t>小负荷运转正常后，应逐渐开大调节门但电动机不得超过额定值，直至规定的负荷为止，连续运转时间不应小于</w:t>
      </w:r>
      <w:r>
        <w:rPr>
          <w:color w:val="auto"/>
          <w:highlight w:val="none"/>
        </w:rPr>
        <w:t>2h</w:t>
      </w:r>
      <w:r>
        <w:rPr>
          <w:rFonts w:hint="eastAsia"/>
          <w:color w:val="auto"/>
          <w:highlight w:val="none"/>
        </w:rPr>
        <w:t>；</w:t>
      </w:r>
    </w:p>
    <w:p>
      <w:pPr>
        <w:pStyle w:val="217"/>
        <w:rPr>
          <w:color w:val="auto"/>
          <w:highlight w:val="none"/>
        </w:rPr>
      </w:pPr>
      <w:r>
        <w:rPr>
          <w:color w:val="auto"/>
          <w:highlight w:val="none"/>
        </w:rPr>
        <w:t>5.</w:t>
      </w:r>
      <w:r>
        <w:rPr>
          <w:rFonts w:hint="eastAsia"/>
          <w:color w:val="auto"/>
          <w:highlight w:val="none"/>
        </w:rPr>
        <w:t>试运转中，滚动轴承温升不得超过环境温度</w:t>
      </w:r>
      <w:r>
        <w:rPr>
          <w:color w:val="auto"/>
          <w:highlight w:val="none"/>
        </w:rPr>
        <w:t>40</w:t>
      </w:r>
      <w:r>
        <w:rPr>
          <w:rFonts w:hint="eastAsia"/>
          <w:color w:val="auto"/>
          <w:highlight w:val="none"/>
        </w:rPr>
        <w:t>℃；滑动轴承温度不得超过</w:t>
      </w:r>
      <w:r>
        <w:rPr>
          <w:color w:val="auto"/>
          <w:highlight w:val="none"/>
        </w:rPr>
        <w:t>65</w:t>
      </w:r>
      <w:r>
        <w:rPr>
          <w:rFonts w:hint="eastAsia"/>
          <w:color w:val="auto"/>
          <w:highlight w:val="none"/>
        </w:rPr>
        <w:t>℃。轴承部位的振动速度有效值（均方根速度值）不应大于</w:t>
      </w:r>
      <w:r>
        <w:rPr>
          <w:color w:val="auto"/>
          <w:highlight w:val="none"/>
        </w:rPr>
        <w:t>6.3mm/s</w:t>
      </w:r>
      <w:r>
        <w:rPr>
          <w:rFonts w:hint="eastAsia"/>
          <w:color w:val="auto"/>
          <w:highlight w:val="none"/>
        </w:rPr>
        <w:t>。</w:t>
      </w:r>
    </w:p>
    <w:p>
      <w:pPr>
        <w:pStyle w:val="113"/>
        <w:spacing w:before="120" w:after="120"/>
        <w:outlineLvl w:val="2"/>
        <w:rPr>
          <w:color w:val="auto"/>
          <w:highlight w:val="none"/>
        </w:rPr>
      </w:pPr>
      <w:bookmarkStart w:id="7987" w:name="_Toc66634474"/>
      <w:bookmarkStart w:id="7988" w:name="_Toc505345787"/>
      <w:bookmarkStart w:id="7989" w:name="_Toc69114215"/>
      <w:bookmarkStart w:id="7990" w:name="_Toc66890469"/>
      <w:r>
        <w:rPr>
          <w:color w:val="auto"/>
          <w:highlight w:val="none"/>
        </w:rPr>
        <w:t xml:space="preserve">4.6 </w:t>
      </w:r>
      <w:r>
        <w:rPr>
          <w:rFonts w:hint="eastAsia"/>
          <w:color w:val="auto"/>
          <w:highlight w:val="none"/>
        </w:rPr>
        <w:t>系统无生产负荷联合试运转及调试</w:t>
      </w:r>
      <w:bookmarkEnd w:id="7987"/>
      <w:bookmarkEnd w:id="7988"/>
      <w:bookmarkEnd w:id="7989"/>
      <w:bookmarkEnd w:id="7990"/>
    </w:p>
    <w:p>
      <w:pPr>
        <w:pStyle w:val="217"/>
        <w:rPr>
          <w:color w:val="auto"/>
          <w:highlight w:val="none"/>
        </w:rPr>
      </w:pPr>
      <w:r>
        <w:rPr>
          <w:rFonts w:hint="eastAsia"/>
          <w:color w:val="auto"/>
          <w:highlight w:val="none"/>
        </w:rPr>
        <w:t>防排烟工程系统无生产负荷的联合试运转及调试应在设备单机试运转合格后进行。系统的连续试运转不应少于</w:t>
      </w:r>
      <w:r>
        <w:rPr>
          <w:color w:val="auto"/>
          <w:highlight w:val="none"/>
        </w:rPr>
        <w:t>2h</w:t>
      </w:r>
      <w:r>
        <w:rPr>
          <w:rFonts w:hint="eastAsia"/>
          <w:color w:val="auto"/>
          <w:highlight w:val="none"/>
        </w:rPr>
        <w:t>。</w:t>
      </w:r>
    </w:p>
    <w:p>
      <w:pPr>
        <w:pStyle w:val="217"/>
        <w:rPr>
          <w:color w:val="auto"/>
          <w:highlight w:val="none"/>
        </w:rPr>
      </w:pPr>
      <w:r>
        <w:rPr>
          <w:color w:val="auto"/>
          <w:highlight w:val="none"/>
        </w:rPr>
        <w:t>1.</w:t>
      </w:r>
      <w:r>
        <w:rPr>
          <w:rFonts w:hint="eastAsia"/>
          <w:color w:val="auto"/>
          <w:highlight w:val="none"/>
        </w:rPr>
        <w:t>系统经过平衡调整，各风口或吸风罩的风量与设计风量的允许偏差不应大于</w:t>
      </w:r>
      <w:r>
        <w:rPr>
          <w:color w:val="auto"/>
          <w:highlight w:val="none"/>
        </w:rPr>
        <w:t>15%</w:t>
      </w:r>
      <w:r>
        <w:rPr>
          <w:rFonts w:hint="eastAsia"/>
          <w:color w:val="auto"/>
          <w:highlight w:val="none"/>
        </w:rPr>
        <w:t>。</w:t>
      </w:r>
    </w:p>
    <w:p>
      <w:pPr>
        <w:pStyle w:val="217"/>
        <w:rPr>
          <w:color w:val="auto"/>
          <w:highlight w:val="none"/>
        </w:rPr>
      </w:pPr>
      <w:r>
        <w:rPr>
          <w:color w:val="auto"/>
          <w:highlight w:val="none"/>
        </w:rPr>
        <w:t>2.</w:t>
      </w:r>
      <w:r>
        <w:rPr>
          <w:rFonts w:hint="eastAsia"/>
          <w:color w:val="auto"/>
          <w:highlight w:val="none"/>
        </w:rPr>
        <w:t>防排烟工程的控制和监测设备应能与系统的检测元件和执行机构正常沟通，系统的状态参数应能正确显示，设备连锁、自动调节、自动保护应能正确动作。各种自动计量检测元件和执行机构的工作应正常，满足建筑设备消防控制中心对被测定参数进行检测和控制的要求。</w:t>
      </w:r>
    </w:p>
    <w:p>
      <w:pPr>
        <w:pStyle w:val="217"/>
        <w:rPr>
          <w:color w:val="auto"/>
          <w:highlight w:val="none"/>
        </w:rPr>
      </w:pPr>
      <w:r>
        <w:rPr>
          <w:color w:val="auto"/>
          <w:highlight w:val="none"/>
        </w:rPr>
        <w:t>3.</w:t>
      </w:r>
      <w:r>
        <w:rPr>
          <w:rFonts w:hint="eastAsia"/>
          <w:color w:val="auto"/>
          <w:highlight w:val="none"/>
        </w:rPr>
        <w:t>系统联合试运转中，设备及主要部件的联动必须符合设计要求，动作协调、正确，无异常现象。</w:t>
      </w:r>
    </w:p>
    <w:p>
      <w:pPr>
        <w:pStyle w:val="217"/>
        <w:rPr>
          <w:color w:val="auto"/>
          <w:highlight w:val="none"/>
        </w:rPr>
      </w:pPr>
      <w:r>
        <w:rPr>
          <w:color w:val="auto"/>
          <w:highlight w:val="none"/>
        </w:rPr>
        <w:t>4.</w:t>
      </w:r>
      <w:r>
        <w:rPr>
          <w:rFonts w:hint="eastAsia"/>
          <w:color w:val="auto"/>
          <w:highlight w:val="none"/>
        </w:rPr>
        <w:t>总风量调试结果与设计风量的偏差不应大于</w:t>
      </w:r>
      <w:r>
        <w:rPr>
          <w:color w:val="auto"/>
          <w:highlight w:val="none"/>
        </w:rPr>
        <w:t>10%</w:t>
      </w:r>
      <w:r>
        <w:rPr>
          <w:rFonts w:hint="eastAsia"/>
          <w:color w:val="auto"/>
          <w:highlight w:val="none"/>
        </w:rPr>
        <w:t>；</w:t>
      </w:r>
    </w:p>
    <w:p>
      <w:pPr>
        <w:pStyle w:val="217"/>
        <w:rPr>
          <w:color w:val="auto"/>
          <w:highlight w:val="none"/>
        </w:rPr>
      </w:pPr>
      <w:r>
        <w:rPr>
          <w:color w:val="auto"/>
          <w:highlight w:val="none"/>
        </w:rPr>
        <w:t>5.</w:t>
      </w:r>
      <w:r>
        <w:rPr>
          <w:rFonts w:hint="eastAsia"/>
          <w:color w:val="auto"/>
          <w:highlight w:val="none"/>
        </w:rPr>
        <w:t>系统经过平衡调整，各风口的风量与设计风量的允许偏差不应大于</w:t>
      </w:r>
      <w:r>
        <w:rPr>
          <w:color w:val="auto"/>
          <w:highlight w:val="none"/>
        </w:rPr>
        <w:t>15%</w:t>
      </w:r>
      <w:r>
        <w:rPr>
          <w:rFonts w:hint="eastAsia"/>
          <w:color w:val="auto"/>
          <w:highlight w:val="none"/>
        </w:rPr>
        <w:t>。</w:t>
      </w:r>
    </w:p>
    <w:p>
      <w:pPr>
        <w:rPr>
          <w:color w:val="auto"/>
          <w:highlight w:val="none"/>
        </w:rPr>
      </w:pPr>
    </w:p>
    <w:p>
      <w:pPr>
        <w:pStyle w:val="188"/>
        <w:spacing w:before="120" w:after="120"/>
        <w:outlineLvl w:val="1"/>
        <w:rPr>
          <w:color w:val="auto"/>
          <w:highlight w:val="none"/>
        </w:rPr>
      </w:pPr>
      <w:bookmarkStart w:id="7991" w:name="_Toc69114216"/>
      <w:bookmarkStart w:id="7992" w:name="_Toc505345788"/>
      <w:bookmarkStart w:id="7993" w:name="_Toc66890470"/>
      <w:bookmarkStart w:id="7994" w:name="_Toc66634475"/>
      <w:r>
        <w:rPr>
          <w:rFonts w:hint="eastAsia"/>
          <w:color w:val="auto"/>
          <w:highlight w:val="none"/>
        </w:rPr>
        <w:t>第</w:t>
      </w:r>
      <w:r>
        <w:rPr>
          <w:color w:val="auto"/>
          <w:highlight w:val="none"/>
        </w:rPr>
        <w:t>5</w:t>
      </w:r>
      <w:r>
        <w:rPr>
          <w:rFonts w:hint="eastAsia"/>
          <w:color w:val="auto"/>
          <w:highlight w:val="none"/>
        </w:rPr>
        <w:t>章</w:t>
      </w:r>
      <w:r>
        <w:rPr>
          <w:color w:val="auto"/>
          <w:highlight w:val="none"/>
        </w:rPr>
        <w:t xml:space="preserve">  </w:t>
      </w:r>
      <w:r>
        <w:rPr>
          <w:rFonts w:hint="eastAsia"/>
          <w:color w:val="auto"/>
          <w:highlight w:val="none"/>
        </w:rPr>
        <w:t>暖通工程施工技术要求及施工工艺要求</w:t>
      </w:r>
      <w:bookmarkEnd w:id="7991"/>
      <w:bookmarkEnd w:id="7992"/>
      <w:bookmarkEnd w:id="7993"/>
      <w:bookmarkEnd w:id="7994"/>
    </w:p>
    <w:p>
      <w:pPr>
        <w:pStyle w:val="113"/>
        <w:spacing w:before="120" w:after="120"/>
        <w:outlineLvl w:val="2"/>
        <w:rPr>
          <w:color w:val="auto"/>
          <w:highlight w:val="none"/>
        </w:rPr>
      </w:pPr>
      <w:bookmarkStart w:id="7995" w:name="_Toc69114217"/>
      <w:bookmarkStart w:id="7996" w:name="_Toc66634476"/>
      <w:bookmarkStart w:id="7997" w:name="_Toc66890471"/>
      <w:bookmarkStart w:id="7998" w:name="_Toc505345789"/>
      <w:r>
        <w:rPr>
          <w:color w:val="auto"/>
          <w:highlight w:val="none"/>
        </w:rPr>
        <w:t xml:space="preserve">5.1 </w:t>
      </w:r>
      <w:r>
        <w:rPr>
          <w:rFonts w:hint="eastAsia"/>
          <w:color w:val="auto"/>
          <w:highlight w:val="none"/>
        </w:rPr>
        <w:t>空调水系统</w:t>
      </w:r>
      <w:bookmarkEnd w:id="7995"/>
      <w:bookmarkEnd w:id="7996"/>
      <w:bookmarkEnd w:id="7997"/>
      <w:bookmarkEnd w:id="7998"/>
    </w:p>
    <w:p>
      <w:pPr>
        <w:pStyle w:val="217"/>
        <w:rPr>
          <w:color w:val="auto"/>
          <w:highlight w:val="none"/>
        </w:rPr>
      </w:pPr>
      <w:r>
        <w:rPr>
          <w:color w:val="auto"/>
          <w:highlight w:val="none"/>
        </w:rPr>
        <w:t>1.</w:t>
      </w:r>
      <w:r>
        <w:rPr>
          <w:rFonts w:hint="eastAsia"/>
          <w:color w:val="auto"/>
          <w:highlight w:val="none"/>
        </w:rPr>
        <w:t>管材：</w:t>
      </w:r>
      <w:r>
        <w:rPr>
          <w:color w:val="auto"/>
          <w:highlight w:val="none"/>
        </w:rPr>
        <w:t xml:space="preserve"> </w:t>
      </w:r>
      <w:r>
        <w:rPr>
          <w:rFonts w:hint="eastAsia"/>
          <w:color w:val="auto"/>
          <w:highlight w:val="none"/>
        </w:rPr>
        <w:t>空调水管，管径小于和等于</w:t>
      </w:r>
      <w:r>
        <w:rPr>
          <w:color w:val="auto"/>
          <w:highlight w:val="none"/>
        </w:rPr>
        <w:t>50mm</w:t>
      </w:r>
      <w:r>
        <w:rPr>
          <w:rFonts w:hint="eastAsia"/>
          <w:color w:val="auto"/>
          <w:highlight w:val="none"/>
        </w:rPr>
        <w:t>的管道采用镀锌钢管螺纹连接，规格厚度按系统的承压要求选取</w:t>
      </w:r>
      <w:r>
        <w:rPr>
          <w:color w:val="auto"/>
          <w:highlight w:val="none"/>
        </w:rPr>
        <w:t>;</w:t>
      </w:r>
      <w:r>
        <w:rPr>
          <w:rFonts w:hint="eastAsia"/>
          <w:color w:val="auto"/>
          <w:highlight w:val="none"/>
        </w:rPr>
        <w:t>管径大于</w:t>
      </w:r>
      <w:r>
        <w:rPr>
          <w:color w:val="auto"/>
          <w:highlight w:val="none"/>
        </w:rPr>
        <w:t>50mm</w:t>
      </w:r>
      <w:r>
        <w:rPr>
          <w:rFonts w:hint="eastAsia"/>
          <w:color w:val="auto"/>
          <w:highlight w:val="none"/>
        </w:rPr>
        <w:t>小于和等于</w:t>
      </w:r>
      <w:r>
        <w:rPr>
          <w:color w:val="auto"/>
          <w:highlight w:val="none"/>
        </w:rPr>
        <w:t>250mm</w:t>
      </w:r>
      <w:r>
        <w:rPr>
          <w:rFonts w:hint="eastAsia"/>
          <w:color w:val="auto"/>
          <w:highlight w:val="none"/>
        </w:rPr>
        <w:t>，采用无缝钢管焊接，管径大于</w:t>
      </w:r>
      <w:r>
        <w:rPr>
          <w:color w:val="auto"/>
          <w:highlight w:val="none"/>
        </w:rPr>
        <w:t>250mm</w:t>
      </w:r>
      <w:r>
        <w:rPr>
          <w:rFonts w:hint="eastAsia"/>
          <w:color w:val="auto"/>
          <w:highlight w:val="none"/>
        </w:rPr>
        <w:t>，采用螺旋焊接管焊接，管壁厚度按设计要求。</w:t>
      </w:r>
    </w:p>
    <w:p>
      <w:pPr>
        <w:pStyle w:val="217"/>
        <w:rPr>
          <w:color w:val="auto"/>
          <w:highlight w:val="none"/>
        </w:rPr>
      </w:pPr>
      <w:r>
        <w:rPr>
          <w:color w:val="auto"/>
          <w:highlight w:val="none"/>
        </w:rPr>
        <w:t>2.</w:t>
      </w:r>
      <w:r>
        <w:rPr>
          <w:rFonts w:hint="eastAsia"/>
          <w:color w:val="auto"/>
          <w:highlight w:val="none"/>
        </w:rPr>
        <w:t>阀门：</w:t>
      </w:r>
      <w:r>
        <w:rPr>
          <w:color w:val="auto"/>
          <w:highlight w:val="none"/>
        </w:rPr>
        <w:t xml:space="preserve"> </w:t>
      </w:r>
      <w:r>
        <w:rPr>
          <w:rFonts w:hint="eastAsia"/>
          <w:color w:val="auto"/>
          <w:highlight w:val="none"/>
        </w:rPr>
        <w:t>管径小于或等于</w:t>
      </w:r>
      <w:r>
        <w:rPr>
          <w:color w:val="auto"/>
          <w:highlight w:val="none"/>
        </w:rPr>
        <w:t>50mm</w:t>
      </w:r>
      <w:r>
        <w:rPr>
          <w:rFonts w:hint="eastAsia"/>
          <w:color w:val="auto"/>
          <w:highlight w:val="none"/>
        </w:rPr>
        <w:t>的采用铜闸阀；管径大于</w:t>
      </w:r>
      <w:r>
        <w:rPr>
          <w:color w:val="auto"/>
          <w:highlight w:val="none"/>
        </w:rPr>
        <w:t>50mm</w:t>
      </w:r>
      <w:r>
        <w:rPr>
          <w:rFonts w:hint="eastAsia"/>
          <w:color w:val="auto"/>
          <w:highlight w:val="none"/>
        </w:rPr>
        <w:t>及小于等于</w:t>
      </w:r>
      <w:r>
        <w:rPr>
          <w:color w:val="auto"/>
          <w:highlight w:val="none"/>
        </w:rPr>
        <w:t>150mm</w:t>
      </w:r>
      <w:r>
        <w:rPr>
          <w:rFonts w:hint="eastAsia"/>
          <w:color w:val="auto"/>
          <w:highlight w:val="none"/>
        </w:rPr>
        <w:t>的采用对夹式手柄蝶阀；管径大于</w:t>
      </w:r>
      <w:r>
        <w:rPr>
          <w:color w:val="auto"/>
          <w:highlight w:val="none"/>
        </w:rPr>
        <w:t>150mm</w:t>
      </w:r>
      <w:r>
        <w:rPr>
          <w:rFonts w:hint="eastAsia"/>
          <w:color w:val="auto"/>
          <w:highlight w:val="none"/>
        </w:rPr>
        <w:t>的采用对夹式涡轮蝶阀。空调机组采用的动态压差平衡电动调节阀要求调节性能好，该阀门为压差动态平衡阀、电动调节阀、过滤器三合一阀门或机组处的比例积分阀及过滤器，选用产品时要求供货方有核算、调试水路平衡的技术能力。其产品特性应符合设计要求并征求设计意见，严禁选取全开阻力过大的阀门。空调机组如选比例调节阀，要根据空调机组盘管的阻力特性选择，订货要求先订空调机组，然后根据空调机组的阻力特性选择甲方所选品牌的比例积分二通调节阀。不设变频控制的冷水泵、冷却水泵采用限流缓闭式静音止回阀，其它采用变频控制的冷水泵采用缓闭式静音止回阀。</w:t>
      </w:r>
    </w:p>
    <w:p>
      <w:pPr>
        <w:pStyle w:val="113"/>
        <w:spacing w:before="120" w:after="120"/>
        <w:outlineLvl w:val="2"/>
        <w:rPr>
          <w:color w:val="auto"/>
          <w:highlight w:val="none"/>
        </w:rPr>
      </w:pPr>
      <w:bookmarkStart w:id="7999" w:name="_Toc69114218"/>
      <w:bookmarkStart w:id="8000" w:name="_Toc66634477"/>
      <w:bookmarkStart w:id="8001" w:name="_Toc505345790"/>
      <w:bookmarkStart w:id="8002" w:name="_Toc66890472"/>
      <w:r>
        <w:rPr>
          <w:color w:val="auto"/>
          <w:highlight w:val="none"/>
        </w:rPr>
        <w:t xml:space="preserve">5.2 </w:t>
      </w:r>
      <w:r>
        <w:rPr>
          <w:rFonts w:hint="eastAsia"/>
          <w:color w:val="auto"/>
          <w:highlight w:val="none"/>
        </w:rPr>
        <w:t>空调管道保温与防腐</w:t>
      </w:r>
      <w:bookmarkEnd w:id="7999"/>
      <w:bookmarkEnd w:id="8000"/>
      <w:bookmarkEnd w:id="8001"/>
      <w:bookmarkEnd w:id="8002"/>
    </w:p>
    <w:p>
      <w:pPr>
        <w:pStyle w:val="217"/>
        <w:rPr>
          <w:color w:val="auto"/>
          <w:highlight w:val="none"/>
        </w:rPr>
      </w:pPr>
      <w:r>
        <w:rPr>
          <w:color w:val="auto"/>
          <w:highlight w:val="none"/>
        </w:rPr>
        <w:t>1.</w:t>
      </w:r>
      <w:r>
        <w:rPr>
          <w:rFonts w:hint="eastAsia"/>
          <w:color w:val="auto"/>
          <w:highlight w:val="none"/>
        </w:rPr>
        <w:t>需要保温隔热的管道有空调风管、新风送风管、蒸汽管空调冷（热）水管、空调冷凝水管、蒸汽管、蒸汽凝结水管等。</w:t>
      </w:r>
    </w:p>
    <w:p>
      <w:pPr>
        <w:pStyle w:val="217"/>
        <w:rPr>
          <w:color w:val="auto"/>
          <w:highlight w:val="none"/>
        </w:rPr>
      </w:pPr>
      <w:r>
        <w:rPr>
          <w:color w:val="auto"/>
          <w:highlight w:val="none"/>
        </w:rPr>
        <w:t>2.</w:t>
      </w:r>
      <w:r>
        <w:rPr>
          <w:rFonts w:hint="eastAsia"/>
          <w:color w:val="auto"/>
          <w:highlight w:val="none"/>
        </w:rPr>
        <w:t>空调风管保温采用带加强型贴面的离心玻璃棉，应符合设计要求</w:t>
      </w:r>
    </w:p>
    <w:p>
      <w:pPr>
        <w:pStyle w:val="217"/>
        <w:rPr>
          <w:color w:val="auto"/>
          <w:highlight w:val="none"/>
        </w:rPr>
      </w:pPr>
      <w:r>
        <w:rPr>
          <w:color w:val="auto"/>
          <w:highlight w:val="none"/>
        </w:rPr>
        <w:t>3.</w:t>
      </w:r>
      <w:r>
        <w:rPr>
          <w:rFonts w:hint="eastAsia"/>
          <w:color w:val="auto"/>
          <w:highlight w:val="none"/>
        </w:rPr>
        <w:t>空调水管保温：冷水管、不大于</w:t>
      </w:r>
      <w:r>
        <w:rPr>
          <w:color w:val="auto"/>
          <w:highlight w:val="none"/>
        </w:rPr>
        <w:t>60</w:t>
      </w:r>
      <w:r>
        <w:rPr>
          <w:rFonts w:hint="eastAsia"/>
          <w:color w:val="auto"/>
          <w:highlight w:val="none"/>
        </w:rPr>
        <w:t>℃的采暖管道、冷凝水管采用难燃</w:t>
      </w:r>
      <w:r>
        <w:rPr>
          <w:color w:val="auto"/>
          <w:highlight w:val="none"/>
        </w:rPr>
        <w:t>B1</w:t>
      </w:r>
      <w:r>
        <w:rPr>
          <w:rFonts w:hint="eastAsia"/>
          <w:color w:val="auto"/>
          <w:highlight w:val="none"/>
        </w:rPr>
        <w:t>级复合橡塑保温材料，不燃</w:t>
      </w:r>
      <w:r>
        <w:rPr>
          <w:color w:val="auto"/>
          <w:highlight w:val="none"/>
        </w:rPr>
        <w:t>A</w:t>
      </w:r>
      <w:r>
        <w:rPr>
          <w:rFonts w:hint="eastAsia"/>
          <w:color w:val="auto"/>
          <w:highlight w:val="none"/>
        </w:rPr>
        <w:t>级铝箔贴面。屋面的冷水管道保温后均设镀锌铁皮保护，厚度为</w:t>
      </w:r>
      <w:r>
        <w:rPr>
          <w:color w:val="auto"/>
          <w:highlight w:val="none"/>
        </w:rPr>
        <w:t>0.5mm.</w:t>
      </w:r>
    </w:p>
    <w:p>
      <w:pPr>
        <w:pStyle w:val="217"/>
        <w:rPr>
          <w:color w:val="auto"/>
          <w:highlight w:val="none"/>
        </w:rPr>
      </w:pPr>
      <w:r>
        <w:rPr>
          <w:color w:val="auto"/>
          <w:highlight w:val="none"/>
        </w:rPr>
        <w:t>4.</w:t>
      </w:r>
      <w:r>
        <w:rPr>
          <w:rFonts w:hint="eastAsia"/>
          <w:color w:val="auto"/>
          <w:highlight w:val="none"/>
        </w:rPr>
        <w:t>冷却水管保温，仅屋面露天太阳直接照射的冷却水管需保温，采用厚度为</w:t>
      </w:r>
      <w:r>
        <w:rPr>
          <w:color w:val="auto"/>
          <w:highlight w:val="none"/>
        </w:rPr>
        <w:t>30mm</w:t>
      </w:r>
      <w:r>
        <w:rPr>
          <w:rFonts w:hint="eastAsia"/>
          <w:color w:val="auto"/>
          <w:highlight w:val="none"/>
        </w:rPr>
        <w:t>，难燃</w:t>
      </w:r>
      <w:r>
        <w:rPr>
          <w:color w:val="auto"/>
          <w:highlight w:val="none"/>
        </w:rPr>
        <w:t>B1</w:t>
      </w:r>
      <w:r>
        <w:rPr>
          <w:rFonts w:hint="eastAsia"/>
          <w:color w:val="auto"/>
          <w:highlight w:val="none"/>
        </w:rPr>
        <w:t>级复合橡塑保温材料，不燃</w:t>
      </w:r>
      <w:r>
        <w:rPr>
          <w:color w:val="auto"/>
          <w:highlight w:val="none"/>
        </w:rPr>
        <w:t>A</w:t>
      </w:r>
      <w:r>
        <w:rPr>
          <w:rFonts w:hint="eastAsia"/>
          <w:color w:val="auto"/>
          <w:highlight w:val="none"/>
        </w:rPr>
        <w:t>级铝箔贴面，再用厚度为</w:t>
      </w:r>
      <w:r>
        <w:rPr>
          <w:color w:val="auto"/>
          <w:highlight w:val="none"/>
        </w:rPr>
        <w:t>0.5mm</w:t>
      </w:r>
      <w:r>
        <w:rPr>
          <w:rFonts w:hint="eastAsia"/>
          <w:color w:val="auto"/>
          <w:highlight w:val="none"/>
        </w:rPr>
        <w:t>的镀锌铁皮作保护壳。</w:t>
      </w:r>
    </w:p>
    <w:p>
      <w:pPr>
        <w:pStyle w:val="217"/>
        <w:rPr>
          <w:color w:val="auto"/>
          <w:highlight w:val="none"/>
        </w:rPr>
      </w:pPr>
      <w:r>
        <w:rPr>
          <w:color w:val="auto"/>
          <w:highlight w:val="none"/>
        </w:rPr>
        <w:t>5.</w:t>
      </w:r>
      <w:r>
        <w:rPr>
          <w:rFonts w:hint="eastAsia"/>
          <w:color w:val="auto"/>
          <w:highlight w:val="none"/>
        </w:rPr>
        <w:t>蒸汽管道和蒸汽凝结水管保温，采用复合铝箔无机玻璃棉保温，厚度为</w:t>
      </w:r>
      <w:r>
        <w:rPr>
          <w:color w:val="auto"/>
          <w:highlight w:val="none"/>
        </w:rPr>
        <w:t>75mm</w:t>
      </w:r>
      <w:r>
        <w:rPr>
          <w:rFonts w:hint="eastAsia"/>
          <w:color w:val="auto"/>
          <w:highlight w:val="none"/>
        </w:rPr>
        <w:t>容重为</w:t>
      </w:r>
      <w:r>
        <w:rPr>
          <w:color w:val="auto"/>
          <w:highlight w:val="none"/>
        </w:rPr>
        <w:t>64kg/m3.</w:t>
      </w:r>
      <w:r>
        <w:rPr>
          <w:rFonts w:hint="eastAsia"/>
          <w:color w:val="auto"/>
          <w:highlight w:val="none"/>
        </w:rPr>
        <w:t>所有保温、隔热材料必须证件齐全，符合当地消防要求，甲方确认保温材料厂家后，需与设计、监理、厂家技术人员共同确认。</w:t>
      </w:r>
    </w:p>
    <w:p>
      <w:pPr>
        <w:pStyle w:val="113"/>
        <w:spacing w:before="120" w:after="120"/>
        <w:outlineLvl w:val="2"/>
        <w:rPr>
          <w:color w:val="auto"/>
          <w:highlight w:val="none"/>
        </w:rPr>
      </w:pPr>
      <w:bookmarkStart w:id="8003" w:name="_Toc66634478"/>
      <w:bookmarkStart w:id="8004" w:name="_Toc69114219"/>
      <w:bookmarkStart w:id="8005" w:name="_Toc66890473"/>
      <w:bookmarkStart w:id="8006" w:name="_Toc505345791"/>
      <w:r>
        <w:rPr>
          <w:color w:val="auto"/>
          <w:highlight w:val="none"/>
        </w:rPr>
        <w:t xml:space="preserve">5.3 </w:t>
      </w:r>
      <w:r>
        <w:rPr>
          <w:rFonts w:hint="eastAsia"/>
          <w:color w:val="auto"/>
          <w:highlight w:val="none"/>
        </w:rPr>
        <w:t>设备安装、消音减震及其它</w:t>
      </w:r>
      <w:bookmarkEnd w:id="8003"/>
      <w:bookmarkEnd w:id="8004"/>
      <w:bookmarkEnd w:id="8005"/>
      <w:bookmarkEnd w:id="8006"/>
    </w:p>
    <w:p>
      <w:pPr>
        <w:pStyle w:val="217"/>
        <w:rPr>
          <w:color w:val="auto"/>
          <w:highlight w:val="none"/>
        </w:rPr>
      </w:pPr>
      <w:r>
        <w:rPr>
          <w:color w:val="auto"/>
          <w:highlight w:val="none"/>
        </w:rPr>
        <w:t>1.</w:t>
      </w:r>
      <w:r>
        <w:rPr>
          <w:rFonts w:hint="eastAsia"/>
          <w:color w:val="auto"/>
          <w:highlight w:val="none"/>
        </w:rPr>
        <w:t>通风与空调设备应有装箱清单、设备说明书、产品质量合格证和产品性能检测报告等随机文件，进口设备还应有商检合格文件。</w:t>
      </w:r>
    </w:p>
    <w:p>
      <w:pPr>
        <w:pStyle w:val="217"/>
        <w:rPr>
          <w:color w:val="auto"/>
          <w:highlight w:val="none"/>
        </w:rPr>
      </w:pPr>
      <w:r>
        <w:rPr>
          <w:color w:val="auto"/>
          <w:highlight w:val="none"/>
        </w:rPr>
        <w:t>2.</w:t>
      </w:r>
      <w:r>
        <w:rPr>
          <w:rFonts w:hint="eastAsia"/>
          <w:color w:val="auto"/>
          <w:highlight w:val="none"/>
        </w:rPr>
        <w:t>安装在楼板上的冷水机组、风柜、柜机、风机等设备，应做好减振、隔振、防噪等措施；水泵、冷却塔等设备采用减震台座，通过弹簧减震器或橡胶减震垫减振和降低噪音。</w:t>
      </w:r>
    </w:p>
    <w:p>
      <w:pPr>
        <w:pStyle w:val="217"/>
        <w:rPr>
          <w:color w:val="auto"/>
          <w:highlight w:val="none"/>
        </w:rPr>
      </w:pPr>
      <w:r>
        <w:rPr>
          <w:color w:val="auto"/>
          <w:highlight w:val="none"/>
        </w:rPr>
        <w:t>3.</w:t>
      </w:r>
      <w:r>
        <w:rPr>
          <w:rFonts w:hint="eastAsia"/>
          <w:color w:val="auto"/>
          <w:highlight w:val="none"/>
        </w:rPr>
        <w:t>吊装在楼板下的风柜、新风柜及风机等空调设备，应设减振措施，采用橡胶减震垫。仅发生火灾时运行的排烟风机、正压送风机、补风风机，可不设减振措施。用皮带传动的离心式风机应装皮带防护罩，设在室外可遭雨淋的通风机，其电动机必须设防雨罩。</w:t>
      </w:r>
    </w:p>
    <w:p>
      <w:pPr>
        <w:pStyle w:val="217"/>
        <w:rPr>
          <w:color w:val="auto"/>
          <w:highlight w:val="none"/>
        </w:rPr>
      </w:pPr>
      <w:r>
        <w:rPr>
          <w:color w:val="auto"/>
          <w:highlight w:val="none"/>
        </w:rPr>
        <w:t>4.</w:t>
      </w:r>
      <w:r>
        <w:rPr>
          <w:rFonts w:hint="eastAsia"/>
          <w:color w:val="auto"/>
          <w:highlight w:val="none"/>
        </w:rPr>
        <w:t>所有与设备联接的风管及水管均采用不燃柔性联接，使设备震动与管道隔离，设备基础采用橡胶减震器（垫）隔振。冷冻站内所有吊装于梁板下颌结构柱做支撑的管道均应进行结构荷载校核，大于</w:t>
      </w:r>
      <w:r>
        <w:rPr>
          <w:color w:val="auto"/>
          <w:highlight w:val="none"/>
        </w:rPr>
        <w:t>DN300</w:t>
      </w:r>
      <w:r>
        <w:rPr>
          <w:rFonts w:hint="eastAsia"/>
          <w:color w:val="auto"/>
          <w:highlight w:val="none"/>
        </w:rPr>
        <w:t>以上的管道建议采用落地门形支架，水泵出口管吊装于梁下时应设弹簧支架。风阀单独设支吊架，吊装的通风设备均为减振支吊架。所有空调设备间做吸声、隔振处理。所有设备及管道与结构主体的连接及其自力均进行抗震设计，满足《建筑抗震设计规范》</w:t>
      </w:r>
      <w:r>
        <w:rPr>
          <w:color w:val="auto"/>
          <w:highlight w:val="none"/>
        </w:rPr>
        <w:t>GB50011-2010</w:t>
      </w:r>
      <w:r>
        <w:rPr>
          <w:rFonts w:hint="eastAsia"/>
          <w:color w:val="auto"/>
          <w:highlight w:val="none"/>
        </w:rPr>
        <w:t>《建筑机电工程抗震设计规范》</w:t>
      </w:r>
      <w:r>
        <w:rPr>
          <w:color w:val="auto"/>
          <w:highlight w:val="none"/>
        </w:rPr>
        <w:t>GB50981-2014</w:t>
      </w:r>
      <w:r>
        <w:rPr>
          <w:rFonts w:hint="eastAsia"/>
          <w:color w:val="auto"/>
          <w:highlight w:val="none"/>
        </w:rPr>
        <w:t>相关条款要求。本项目所有直径大于</w:t>
      </w:r>
      <w:r>
        <w:rPr>
          <w:color w:val="auto"/>
          <w:highlight w:val="none"/>
        </w:rPr>
        <w:t>0.7m</w:t>
      </w:r>
      <w:r>
        <w:rPr>
          <w:rFonts w:hint="eastAsia"/>
          <w:color w:val="auto"/>
          <w:highlight w:val="none"/>
        </w:rPr>
        <w:t>的圆形风管系统，所有截面积大于</w:t>
      </w:r>
      <w:r>
        <w:rPr>
          <w:color w:val="auto"/>
          <w:highlight w:val="none"/>
        </w:rPr>
        <w:t>0</w:t>
      </w:r>
      <w:r>
        <w:rPr>
          <w:rFonts w:hint="eastAsia"/>
          <w:color w:val="auto"/>
          <w:highlight w:val="none"/>
        </w:rPr>
        <w:t>。</w:t>
      </w:r>
      <w:r>
        <w:rPr>
          <w:color w:val="auto"/>
          <w:highlight w:val="none"/>
        </w:rPr>
        <w:t>38m2</w:t>
      </w:r>
      <w:r>
        <w:rPr>
          <w:rFonts w:hint="eastAsia"/>
          <w:color w:val="auto"/>
          <w:highlight w:val="none"/>
        </w:rPr>
        <w:t>的矩形风管，大于</w:t>
      </w:r>
      <w:r>
        <w:rPr>
          <w:color w:val="auto"/>
          <w:highlight w:val="none"/>
        </w:rPr>
        <w:t>DN65</w:t>
      </w:r>
      <w:r>
        <w:rPr>
          <w:rFonts w:hint="eastAsia"/>
          <w:color w:val="auto"/>
          <w:highlight w:val="none"/>
        </w:rPr>
        <w:t>的所有空调水管都应设置抗震支吊架，且此项目抗震支吊架产品需结构、木结构等须采取可靠的锚固形式。具体深化设计由专业公司完成。</w:t>
      </w:r>
    </w:p>
    <w:p>
      <w:pPr>
        <w:pStyle w:val="113"/>
        <w:spacing w:before="120" w:after="120"/>
        <w:outlineLvl w:val="2"/>
        <w:rPr>
          <w:color w:val="auto"/>
          <w:highlight w:val="none"/>
        </w:rPr>
      </w:pPr>
      <w:bookmarkStart w:id="8007" w:name="_Toc69114220"/>
      <w:bookmarkStart w:id="8008" w:name="_Toc66634479"/>
      <w:bookmarkStart w:id="8009" w:name="_Toc505345792"/>
      <w:bookmarkStart w:id="8010" w:name="_Toc66890474"/>
      <w:r>
        <w:rPr>
          <w:color w:val="auto"/>
          <w:highlight w:val="none"/>
        </w:rPr>
        <w:t xml:space="preserve">5.4 </w:t>
      </w:r>
      <w:r>
        <w:rPr>
          <w:rFonts w:hint="eastAsia"/>
          <w:color w:val="auto"/>
          <w:highlight w:val="none"/>
        </w:rPr>
        <w:t>空调通风自动控制系统</w:t>
      </w:r>
      <w:bookmarkEnd w:id="8007"/>
      <w:bookmarkEnd w:id="8008"/>
      <w:bookmarkEnd w:id="8009"/>
      <w:bookmarkEnd w:id="8010"/>
    </w:p>
    <w:p>
      <w:pPr>
        <w:pStyle w:val="217"/>
        <w:rPr>
          <w:color w:val="auto"/>
          <w:highlight w:val="none"/>
        </w:rPr>
      </w:pPr>
      <w:r>
        <w:rPr>
          <w:rFonts w:hint="eastAsia"/>
          <w:color w:val="auto"/>
          <w:highlight w:val="none"/>
        </w:rPr>
        <w:t>本工程的的中央空调系统及各子项之通风系统控制均采用直接数字式控制系统（即</w:t>
      </w:r>
      <w:r>
        <w:rPr>
          <w:color w:val="auto"/>
          <w:highlight w:val="none"/>
        </w:rPr>
        <w:t>DDC</w:t>
      </w:r>
      <w:r>
        <w:rPr>
          <w:rFonts w:hint="eastAsia"/>
          <w:color w:val="auto"/>
          <w:highlight w:val="none"/>
        </w:rPr>
        <w:t>系统），它由中央电脑及终端设备加上若干现场控制分站和传感器、执行器等组成。控制系统的软件功能应包括：最优化启停、</w:t>
      </w:r>
      <w:r>
        <w:rPr>
          <w:color w:val="auto"/>
          <w:highlight w:val="none"/>
        </w:rPr>
        <w:t>PID</w:t>
      </w:r>
      <w:r>
        <w:rPr>
          <w:rFonts w:hint="eastAsia"/>
          <w:color w:val="auto"/>
          <w:highlight w:val="none"/>
        </w:rPr>
        <w:t>控制、时间通道、设备台数控制、动态图形显示、各控制点状态显示、报警及打印、能耗统计、各分站的联络及通讯等功能。本工程的防排烟系统要求能在消防控制中心集中监控，远程启停。纳入</w:t>
      </w:r>
      <w:r>
        <w:rPr>
          <w:color w:val="auto"/>
          <w:highlight w:val="none"/>
        </w:rPr>
        <w:t>DDC</w:t>
      </w:r>
      <w:r>
        <w:rPr>
          <w:rFonts w:hint="eastAsia"/>
          <w:color w:val="auto"/>
          <w:highlight w:val="none"/>
        </w:rPr>
        <w:t>系统中的设备包括：</w:t>
      </w:r>
      <w:r>
        <w:rPr>
          <w:color w:val="auto"/>
          <w:highlight w:val="none"/>
        </w:rPr>
        <w:t>1)</w:t>
      </w:r>
      <w:r>
        <w:rPr>
          <w:rFonts w:hint="eastAsia"/>
          <w:color w:val="auto"/>
          <w:highlight w:val="none"/>
        </w:rPr>
        <w:t>空调制冷系统；</w:t>
      </w:r>
      <w:r>
        <w:rPr>
          <w:color w:val="auto"/>
          <w:highlight w:val="none"/>
        </w:rPr>
        <w:t>2</w:t>
      </w:r>
      <w:r>
        <w:rPr>
          <w:rFonts w:hint="eastAsia"/>
          <w:color w:val="auto"/>
          <w:highlight w:val="none"/>
        </w:rPr>
        <w:t>）全空气低速空调系统；</w:t>
      </w:r>
      <w:r>
        <w:rPr>
          <w:color w:val="auto"/>
          <w:highlight w:val="none"/>
        </w:rPr>
        <w:t>3</w:t>
      </w:r>
      <w:r>
        <w:rPr>
          <w:rFonts w:hint="eastAsia"/>
          <w:color w:val="auto"/>
          <w:highlight w:val="none"/>
        </w:rPr>
        <w:t>）新风空调系统；</w:t>
      </w:r>
      <w:r>
        <w:rPr>
          <w:color w:val="auto"/>
          <w:highlight w:val="none"/>
        </w:rPr>
        <w:t>4</w:t>
      </w:r>
      <w:r>
        <w:rPr>
          <w:rFonts w:hint="eastAsia"/>
          <w:color w:val="auto"/>
          <w:highlight w:val="none"/>
        </w:rPr>
        <w:t>）除排风扇外所有的机械排风系统（排风扇只做就地启停）；</w:t>
      </w:r>
      <w:r>
        <w:rPr>
          <w:color w:val="auto"/>
          <w:highlight w:val="none"/>
        </w:rPr>
        <w:t>5</w:t>
      </w:r>
      <w:r>
        <w:rPr>
          <w:rFonts w:hint="eastAsia"/>
          <w:color w:val="auto"/>
          <w:highlight w:val="none"/>
        </w:rPr>
        <w:t>）机械进、补风系统；</w:t>
      </w:r>
      <w:r>
        <w:rPr>
          <w:color w:val="auto"/>
          <w:highlight w:val="none"/>
        </w:rPr>
        <w:t>6</w:t>
      </w:r>
      <w:r>
        <w:rPr>
          <w:rFonts w:hint="eastAsia"/>
          <w:color w:val="auto"/>
          <w:highlight w:val="none"/>
        </w:rPr>
        <w:t>）防、排烟系统；</w:t>
      </w:r>
      <w:r>
        <w:rPr>
          <w:color w:val="auto"/>
          <w:highlight w:val="none"/>
        </w:rPr>
        <w:t>7</w:t>
      </w:r>
      <w:r>
        <w:rPr>
          <w:rFonts w:hint="eastAsia"/>
          <w:color w:val="auto"/>
          <w:highlight w:val="none"/>
        </w:rPr>
        <w:t>）膨胀水箱的水位信号、定压设备信号。</w:t>
      </w:r>
    </w:p>
    <w:p>
      <w:pPr>
        <w:pStyle w:val="217"/>
        <w:rPr>
          <w:color w:val="auto"/>
          <w:highlight w:val="none"/>
        </w:rPr>
      </w:pPr>
      <w:r>
        <w:rPr>
          <w:rFonts w:hint="eastAsia"/>
          <w:color w:val="auto"/>
          <w:highlight w:val="none"/>
        </w:rPr>
        <w:t>以下为一些主要设备的控制要求，承包商应考虑到其它为保证系统、设备安全、正常运行所必需的但有可能在本设计中没有提到的监测、调节、控制、防护等功能，并包含在报价内。</w:t>
      </w:r>
    </w:p>
    <w:p>
      <w:pPr>
        <w:pStyle w:val="217"/>
        <w:rPr>
          <w:color w:val="auto"/>
          <w:highlight w:val="none"/>
        </w:rPr>
      </w:pPr>
      <w:r>
        <w:rPr>
          <w:color w:val="auto"/>
          <w:highlight w:val="none"/>
        </w:rPr>
        <w:t>1.</w:t>
      </w:r>
      <w:r>
        <w:rPr>
          <w:rFonts w:hint="eastAsia"/>
          <w:color w:val="auto"/>
          <w:highlight w:val="none"/>
        </w:rPr>
        <w:t>新风机组</w:t>
      </w:r>
    </w:p>
    <w:p>
      <w:pPr>
        <w:pStyle w:val="217"/>
        <w:rPr>
          <w:color w:val="auto"/>
          <w:highlight w:val="none"/>
        </w:rPr>
      </w:pPr>
      <w:r>
        <w:rPr>
          <w:rFonts w:hint="eastAsia"/>
          <w:color w:val="auto"/>
          <w:highlight w:val="none"/>
        </w:rPr>
        <w:t>温度调节冷冻水回水管上设电动比例积分调节阀，由送风温度控制通过盘管的水量。电动二通阀的理想流量特性为等百分比特性，常闭型。室外新风、送风温度显示，新风机入口设电动对开多叶调节阀。过滤压力器压力感测</w:t>
      </w:r>
      <w:r>
        <w:rPr>
          <w:color w:val="auto"/>
          <w:highlight w:val="none"/>
        </w:rPr>
        <w:t>:</w:t>
      </w:r>
      <w:r>
        <w:rPr>
          <w:rFonts w:hint="eastAsia"/>
          <w:color w:val="auto"/>
          <w:highlight w:val="none"/>
        </w:rPr>
        <w:t>当压降超过设定值时，报警。风机：开、关及其状态显示，手</w:t>
      </w:r>
      <w:r>
        <w:rPr>
          <w:color w:val="auto"/>
          <w:highlight w:val="none"/>
        </w:rPr>
        <w:t>/</w:t>
      </w:r>
      <w:r>
        <w:rPr>
          <w:rFonts w:hint="eastAsia"/>
          <w:color w:val="auto"/>
          <w:highlight w:val="none"/>
        </w:rPr>
        <w:t>自动状态显示，风机跳闸报警。消防要求：消防联动报警，接受消防时的关闭指令。</w:t>
      </w:r>
    </w:p>
    <w:p>
      <w:pPr>
        <w:pStyle w:val="217"/>
        <w:rPr>
          <w:color w:val="auto"/>
          <w:highlight w:val="none"/>
        </w:rPr>
      </w:pPr>
      <w:r>
        <w:rPr>
          <w:color w:val="auto"/>
          <w:highlight w:val="none"/>
        </w:rPr>
        <w:t>2.</w:t>
      </w:r>
      <w:r>
        <w:rPr>
          <w:rFonts w:hint="eastAsia"/>
          <w:color w:val="auto"/>
          <w:highlight w:val="none"/>
        </w:rPr>
        <w:t>风机盘管</w:t>
      </w:r>
    </w:p>
    <w:p>
      <w:pPr>
        <w:pStyle w:val="217"/>
        <w:rPr>
          <w:color w:val="auto"/>
          <w:highlight w:val="none"/>
        </w:rPr>
      </w:pPr>
      <w:r>
        <w:rPr>
          <w:rFonts w:hint="eastAsia"/>
          <w:color w:val="auto"/>
          <w:highlight w:val="none"/>
        </w:rPr>
        <w:t>均设有三档风速开关，回水支管上设电动两通阀，它们与室内温度控制器组成独立的控制单元自成系统，电动二通阀采用双位式常闭型弹簧复位。</w:t>
      </w:r>
    </w:p>
    <w:p>
      <w:pPr>
        <w:pStyle w:val="217"/>
        <w:rPr>
          <w:color w:val="auto"/>
          <w:highlight w:val="none"/>
        </w:rPr>
      </w:pPr>
      <w:r>
        <w:rPr>
          <w:color w:val="auto"/>
          <w:highlight w:val="none"/>
        </w:rPr>
        <w:t>3.</w:t>
      </w:r>
      <w:r>
        <w:rPr>
          <w:rFonts w:hint="eastAsia"/>
          <w:color w:val="auto"/>
          <w:highlight w:val="none"/>
        </w:rPr>
        <w:t>空气处理机组</w:t>
      </w:r>
    </w:p>
    <w:p>
      <w:pPr>
        <w:pStyle w:val="217"/>
        <w:rPr>
          <w:color w:val="auto"/>
          <w:highlight w:val="none"/>
        </w:rPr>
      </w:pPr>
      <w:r>
        <w:rPr>
          <w:rFonts w:hint="eastAsia"/>
          <w:color w:val="auto"/>
          <w:highlight w:val="none"/>
        </w:rPr>
        <w:t>温度调节冷冻水回水管上设电动二通调节阀，由房间温度或回风温度控制通过盘管的水量，电动二通阀的理想流量特性为等百分比特性、常闭型。室外新风、室内回风、送风温度显示，要求新风阀、回风阀要求封闭性良好。过滤器压力感测：当压力降超过设定值时报警。风机：开、关及其状态显示，手</w:t>
      </w:r>
      <w:r>
        <w:rPr>
          <w:color w:val="auto"/>
          <w:highlight w:val="none"/>
        </w:rPr>
        <w:t>/</w:t>
      </w:r>
      <w:r>
        <w:rPr>
          <w:rFonts w:hint="eastAsia"/>
          <w:color w:val="auto"/>
          <w:highlight w:val="none"/>
        </w:rPr>
        <w:t>自动状态显示，风机跳闸报警。消防要求：消防联动报警，接受消防报警时的关闭指令。</w:t>
      </w:r>
    </w:p>
    <w:p>
      <w:pPr>
        <w:pStyle w:val="217"/>
        <w:rPr>
          <w:color w:val="auto"/>
          <w:highlight w:val="none"/>
        </w:rPr>
      </w:pPr>
      <w:r>
        <w:rPr>
          <w:color w:val="auto"/>
          <w:highlight w:val="none"/>
        </w:rPr>
        <w:t>4.</w:t>
      </w:r>
      <w:r>
        <w:rPr>
          <w:rFonts w:hint="eastAsia"/>
          <w:color w:val="auto"/>
          <w:highlight w:val="none"/>
        </w:rPr>
        <w:t>中央制冷（冷却）系统应进行电气联锁启停</w:t>
      </w:r>
    </w:p>
    <w:p>
      <w:pPr>
        <w:pStyle w:val="217"/>
        <w:rPr>
          <w:color w:val="auto"/>
          <w:highlight w:val="none"/>
        </w:rPr>
      </w:pPr>
      <w:r>
        <w:rPr>
          <w:rFonts w:hint="eastAsia"/>
          <w:color w:val="auto"/>
          <w:highlight w:val="none"/>
        </w:rPr>
        <w:t>其启动顺序应符合设计要求。冷水系统采用冷量来控制冷水机组及其对应的水泵、冷却塔的运行台数</w:t>
      </w:r>
      <w:r>
        <w:rPr>
          <w:color w:val="auto"/>
          <w:highlight w:val="none"/>
        </w:rPr>
        <w:t>;</w:t>
      </w:r>
      <w:r>
        <w:rPr>
          <w:rFonts w:hint="eastAsia"/>
          <w:color w:val="auto"/>
          <w:highlight w:val="none"/>
        </w:rPr>
        <w:t>冷却塔风机的运行则由冷却水回水温度控制，当冷却塔供水温度低于</w:t>
      </w:r>
      <w:r>
        <w:rPr>
          <w:color w:val="auto"/>
          <w:highlight w:val="none"/>
        </w:rPr>
        <w:t>18</w:t>
      </w:r>
      <w:r>
        <w:rPr>
          <w:rFonts w:hint="eastAsia"/>
          <w:color w:val="auto"/>
          <w:highlight w:val="none"/>
        </w:rPr>
        <w:t>℃时，冷却塔风机停止运行并注意主机的低温保护。纳入</w:t>
      </w:r>
      <w:r>
        <w:rPr>
          <w:color w:val="auto"/>
          <w:highlight w:val="none"/>
        </w:rPr>
        <w:t>DDC</w:t>
      </w:r>
      <w:r>
        <w:rPr>
          <w:rFonts w:hint="eastAsia"/>
          <w:color w:val="auto"/>
          <w:highlight w:val="none"/>
        </w:rPr>
        <w:t>系统的空调、通风设备不仅能在控制中心启停，要求还能就地启停并能切断电源进行检修。</w:t>
      </w:r>
    </w:p>
    <w:p>
      <w:pPr>
        <w:pStyle w:val="217"/>
        <w:rPr>
          <w:color w:val="auto"/>
          <w:highlight w:val="none"/>
        </w:rPr>
      </w:pPr>
      <w:r>
        <w:rPr>
          <w:color w:val="auto"/>
          <w:highlight w:val="none"/>
        </w:rPr>
        <w:t>5.</w:t>
      </w:r>
      <w:r>
        <w:rPr>
          <w:rFonts w:hint="eastAsia"/>
          <w:color w:val="auto"/>
          <w:highlight w:val="none"/>
        </w:rPr>
        <w:t>设备监控内容</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）检测内容：制冷机组冷却水出、入口温度；制冷机组冷冻水出、入口温度；冷冻水供、回水总管温度；冷冻回水总管流量；冷却水回水总管温度；外部环境温度等。</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）控制内容：制冷主机的启停控制；冷却水泵节能控制；冷冻水泵节能控制；冷却塔风机启停控制；制冷主机冷冻水出口阀门控制；制冷主机冷却出口阀门控制；冷却塔入口，出口处阀门控制等。</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）控制模式：系统采用分区域控制和集中管理模式，在制冷机房中的设备就近提供相应控制柜（箱）进行控制，各个控制柜（箱）通过</w:t>
      </w:r>
      <w:r>
        <w:rPr>
          <w:color w:val="auto"/>
          <w:highlight w:val="none"/>
        </w:rPr>
        <w:t>RS485</w:t>
      </w:r>
      <w:r>
        <w:rPr>
          <w:rFonts w:hint="eastAsia"/>
          <w:color w:val="auto"/>
          <w:highlight w:val="none"/>
        </w:rPr>
        <w:t>总线与模糊控制柜进行通讯，在模糊控制柜上实现集中控制和管理，同时模糊控制柜提供</w:t>
      </w:r>
      <w:r>
        <w:rPr>
          <w:color w:val="auto"/>
          <w:highlight w:val="none"/>
        </w:rPr>
        <w:t>OPC</w:t>
      </w:r>
      <w:r>
        <w:rPr>
          <w:rFonts w:hint="eastAsia"/>
          <w:color w:val="auto"/>
          <w:highlight w:val="none"/>
        </w:rPr>
        <w:t>接口，可与第三方管理系统实现集成，实现集中控制和管理，同时模糊控制柜提供</w:t>
      </w:r>
      <w:r>
        <w:rPr>
          <w:color w:val="auto"/>
          <w:highlight w:val="none"/>
        </w:rPr>
        <w:t>OPC</w:t>
      </w:r>
      <w:r>
        <w:rPr>
          <w:rFonts w:hint="eastAsia"/>
          <w:color w:val="auto"/>
          <w:highlight w:val="none"/>
        </w:rPr>
        <w:t>接口，可与第三方管理系统实现集成。</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）控制设备包括：空调机组、冷水机组、风机、冷却水泵、冷却塔、气柜、给水泵及消防水泵等都预留</w:t>
      </w:r>
      <w:r>
        <w:rPr>
          <w:color w:val="auto"/>
          <w:highlight w:val="none"/>
        </w:rPr>
        <w:t>BA</w:t>
      </w:r>
      <w:r>
        <w:rPr>
          <w:rFonts w:hint="eastAsia"/>
          <w:color w:val="auto"/>
          <w:highlight w:val="none"/>
        </w:rPr>
        <w:t>监测控制接口。</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）中央空调控制系统</w:t>
      </w:r>
      <w:r>
        <w:rPr>
          <w:color w:val="auto"/>
          <w:highlight w:val="none"/>
        </w:rPr>
        <w:t>:</w:t>
      </w:r>
      <w:r>
        <w:rPr>
          <w:rFonts w:hint="eastAsia"/>
          <w:color w:val="auto"/>
          <w:highlight w:val="none"/>
        </w:rPr>
        <w:t>由厂商配套，并预留开放通信接口，供</w:t>
      </w:r>
      <w:r>
        <w:rPr>
          <w:color w:val="auto"/>
          <w:highlight w:val="none"/>
        </w:rPr>
        <w:t>BA</w:t>
      </w:r>
      <w:r>
        <w:rPr>
          <w:rFonts w:hint="eastAsia"/>
          <w:color w:val="auto"/>
          <w:highlight w:val="none"/>
        </w:rPr>
        <w:t>系统采集。</w:t>
      </w:r>
    </w:p>
    <w:p>
      <w:pPr>
        <w:pStyle w:val="217"/>
        <w:rPr>
          <w:color w:val="auto"/>
          <w:highlight w:val="none"/>
        </w:rPr>
      </w:pPr>
      <w:r>
        <w:rPr>
          <w:rFonts w:hint="eastAsia"/>
          <w:color w:val="auto"/>
          <w:highlight w:val="none"/>
        </w:rPr>
        <w:t>中央空调控制系统含控制器、通信模块及布线等，且冷冻泵需自带变频控制柜、冷却泵自带控制柜，冷却塔自带控制箱。</w:t>
      </w:r>
    </w:p>
    <w:p>
      <w:pPr>
        <w:pStyle w:val="113"/>
        <w:spacing w:before="120" w:after="120"/>
        <w:outlineLvl w:val="2"/>
        <w:rPr>
          <w:color w:val="auto"/>
          <w:highlight w:val="none"/>
        </w:rPr>
      </w:pPr>
      <w:bookmarkStart w:id="8011" w:name="_Toc66634480"/>
      <w:bookmarkStart w:id="8012" w:name="_Toc66890475"/>
      <w:bookmarkStart w:id="8013" w:name="_Toc505345793"/>
      <w:bookmarkStart w:id="8014" w:name="_Toc69114221"/>
      <w:r>
        <w:rPr>
          <w:color w:val="auto"/>
          <w:highlight w:val="none"/>
        </w:rPr>
        <w:t xml:space="preserve">5.5 </w:t>
      </w:r>
      <w:r>
        <w:rPr>
          <w:rFonts w:hint="eastAsia"/>
          <w:color w:val="auto"/>
          <w:highlight w:val="none"/>
        </w:rPr>
        <w:t>通风自动控制系统设计</w:t>
      </w:r>
      <w:bookmarkEnd w:id="8011"/>
      <w:bookmarkEnd w:id="8012"/>
      <w:bookmarkEnd w:id="8013"/>
      <w:bookmarkEnd w:id="8014"/>
    </w:p>
    <w:p>
      <w:pPr>
        <w:pStyle w:val="217"/>
        <w:rPr>
          <w:color w:val="auto"/>
          <w:highlight w:val="none"/>
        </w:rPr>
      </w:pPr>
      <w:r>
        <w:rPr>
          <w:color w:val="auto"/>
          <w:highlight w:val="none"/>
        </w:rPr>
        <w:t>1.</w:t>
      </w:r>
      <w:r>
        <w:rPr>
          <w:rFonts w:hint="eastAsia"/>
          <w:color w:val="auto"/>
          <w:highlight w:val="none"/>
        </w:rPr>
        <w:t>风机</w:t>
      </w:r>
    </w:p>
    <w:p>
      <w:pPr>
        <w:pStyle w:val="217"/>
        <w:rPr>
          <w:color w:val="auto"/>
          <w:highlight w:val="none"/>
        </w:rPr>
      </w:pPr>
      <w:r>
        <w:rPr>
          <w:rFonts w:hint="eastAsia"/>
          <w:color w:val="auto"/>
          <w:highlight w:val="none"/>
        </w:rPr>
        <w:t>开、关及其状态显示，手</w:t>
      </w:r>
      <w:r>
        <w:rPr>
          <w:color w:val="auto"/>
          <w:highlight w:val="none"/>
        </w:rPr>
        <w:t>/</w:t>
      </w:r>
      <w:r>
        <w:rPr>
          <w:rFonts w:hint="eastAsia"/>
          <w:color w:val="auto"/>
          <w:highlight w:val="none"/>
        </w:rPr>
        <w:t>自动状态显示，风机跳闸报警；消防要求：消防联动报警，接受消防时的关闭指令。</w:t>
      </w:r>
    </w:p>
    <w:p>
      <w:pPr>
        <w:pStyle w:val="217"/>
        <w:rPr>
          <w:color w:val="auto"/>
          <w:highlight w:val="none"/>
        </w:rPr>
      </w:pPr>
      <w:r>
        <w:rPr>
          <w:color w:val="auto"/>
          <w:highlight w:val="none"/>
        </w:rPr>
        <w:t>2.</w:t>
      </w:r>
      <w:r>
        <w:rPr>
          <w:rFonts w:hint="eastAsia"/>
          <w:color w:val="auto"/>
          <w:highlight w:val="none"/>
        </w:rPr>
        <w:t>排烟风机</w:t>
      </w:r>
    </w:p>
    <w:p>
      <w:pPr>
        <w:pStyle w:val="217"/>
        <w:rPr>
          <w:color w:val="auto"/>
          <w:highlight w:val="none"/>
        </w:rPr>
      </w:pPr>
      <w:r>
        <w:rPr>
          <w:rFonts w:hint="eastAsia"/>
          <w:color w:val="auto"/>
          <w:highlight w:val="none"/>
        </w:rPr>
        <w:t>开、关及其状态显示，手</w:t>
      </w:r>
      <w:r>
        <w:rPr>
          <w:color w:val="auto"/>
          <w:highlight w:val="none"/>
        </w:rPr>
        <w:t>/</w:t>
      </w:r>
      <w:r>
        <w:rPr>
          <w:rFonts w:hint="eastAsia"/>
          <w:color w:val="auto"/>
          <w:highlight w:val="none"/>
        </w:rPr>
        <w:t>自动状态显示，风机联动风阀（</w:t>
      </w:r>
      <w:r>
        <w:rPr>
          <w:color w:val="auto"/>
          <w:highlight w:val="none"/>
        </w:rPr>
        <w:t>280</w:t>
      </w:r>
      <w:r>
        <w:rPr>
          <w:rFonts w:hint="eastAsia"/>
          <w:color w:val="auto"/>
          <w:highlight w:val="none"/>
        </w:rPr>
        <w:t>℃防火阀或排烟防火阀）开、关状态显示，风机跳闸报警。补风机：开、关及其状态显示，联动排烟风机开或关，风机跳闸报警。消防要求：消防联动报警，接受消防指令。电梯机房：机房设置温度探测，排风开启仍达不到设置温度时，开启分体式空调器降温。</w:t>
      </w:r>
    </w:p>
    <w:p>
      <w:pPr>
        <w:pStyle w:val="217"/>
        <w:rPr>
          <w:color w:val="auto"/>
          <w:highlight w:val="none"/>
        </w:rPr>
      </w:pPr>
      <w:r>
        <w:rPr>
          <w:color w:val="auto"/>
          <w:highlight w:val="none"/>
        </w:rPr>
        <w:t>3.</w:t>
      </w:r>
      <w:r>
        <w:rPr>
          <w:rFonts w:hint="eastAsia"/>
          <w:color w:val="auto"/>
          <w:highlight w:val="none"/>
        </w:rPr>
        <w:t>防排烟系统</w:t>
      </w:r>
    </w:p>
    <w:p>
      <w:pPr>
        <w:pStyle w:val="217"/>
        <w:rPr>
          <w:color w:val="auto"/>
          <w:highlight w:val="none"/>
        </w:rPr>
      </w:pPr>
      <w:r>
        <w:rPr>
          <w:rFonts w:hint="eastAsia"/>
          <w:color w:val="auto"/>
          <w:highlight w:val="none"/>
        </w:rPr>
        <w:t>本项目所以防排烟楼梯间地上部分采用自然排烟，地下防烟楼梯间设机械加压送风系统，风机设置在风机房或屋顶上。楼梯间前室除可采用自然排烟的之外采用机械加压系统，合理前室均采用机械加压送风系统。</w:t>
      </w:r>
    </w:p>
    <w:p>
      <w:pPr>
        <w:pStyle w:val="217"/>
        <w:rPr>
          <w:color w:val="auto"/>
          <w:highlight w:val="none"/>
        </w:rPr>
      </w:pPr>
      <w:r>
        <w:rPr>
          <w:color w:val="auto"/>
          <w:highlight w:val="none"/>
        </w:rPr>
        <w:t>4.</w:t>
      </w:r>
      <w:r>
        <w:rPr>
          <w:rFonts w:hint="eastAsia"/>
          <w:color w:val="auto"/>
          <w:highlight w:val="none"/>
        </w:rPr>
        <w:t>所有排风兼排烟风机、加压风机、加压送风口及防排烟，根据烟感信号，由消防控制室发出指令远控，也可就地手控，并有风机运行信号及风口，防排烟阀及</w:t>
      </w:r>
      <w:r>
        <w:rPr>
          <w:color w:val="auto"/>
          <w:highlight w:val="none"/>
        </w:rPr>
        <w:t>280</w:t>
      </w:r>
      <w:r>
        <w:rPr>
          <w:rFonts w:hint="eastAsia"/>
          <w:color w:val="auto"/>
          <w:highlight w:val="none"/>
        </w:rPr>
        <w:t>℃防火阀的信号反馈。</w:t>
      </w:r>
    </w:p>
    <w:p>
      <w:pPr>
        <w:pStyle w:val="217"/>
        <w:rPr>
          <w:color w:val="auto"/>
          <w:highlight w:val="none"/>
        </w:rPr>
      </w:pPr>
      <w:r>
        <w:rPr>
          <w:color w:val="auto"/>
          <w:highlight w:val="none"/>
        </w:rPr>
        <w:t>5.</w:t>
      </w:r>
      <w:r>
        <w:rPr>
          <w:rFonts w:hint="eastAsia"/>
          <w:color w:val="auto"/>
          <w:highlight w:val="none"/>
        </w:rPr>
        <w:t>所有加压送风机应直接与火灾报警信号联锁，即火灾报警信号启动后相应的加压送风机立即启动。所有排烟风机均采用消防风机。其入口设</w:t>
      </w:r>
      <w:r>
        <w:rPr>
          <w:color w:val="auto"/>
          <w:highlight w:val="none"/>
        </w:rPr>
        <w:t>280</w:t>
      </w:r>
      <w:r>
        <w:rPr>
          <w:rFonts w:hint="eastAsia"/>
          <w:color w:val="auto"/>
          <w:highlight w:val="none"/>
        </w:rPr>
        <w:t>℃的排烟防火阀与风机联动，当烟气温度达到</w:t>
      </w:r>
      <w:r>
        <w:rPr>
          <w:color w:val="auto"/>
          <w:highlight w:val="none"/>
        </w:rPr>
        <w:t>280</w:t>
      </w:r>
      <w:r>
        <w:rPr>
          <w:rFonts w:hint="eastAsia"/>
          <w:color w:val="auto"/>
          <w:highlight w:val="none"/>
        </w:rPr>
        <w:t>℃时，关阀门风机停。排烟防火阀应符合现行国家标准《排烟防火阀的实验方法》</w:t>
      </w:r>
      <w:r>
        <w:rPr>
          <w:color w:val="auto"/>
          <w:highlight w:val="none"/>
        </w:rPr>
        <w:t>GB15931</w:t>
      </w:r>
      <w:r>
        <w:rPr>
          <w:rFonts w:hint="eastAsia"/>
          <w:color w:val="auto"/>
          <w:highlight w:val="none"/>
        </w:rPr>
        <w:t>的有关规定；防火阀应符合现行国家标准《防火阀的试验方法》</w:t>
      </w:r>
      <w:r>
        <w:rPr>
          <w:color w:val="auto"/>
          <w:highlight w:val="none"/>
        </w:rPr>
        <w:t>GB15930</w:t>
      </w:r>
      <w:r>
        <w:rPr>
          <w:rFonts w:hint="eastAsia"/>
          <w:color w:val="auto"/>
          <w:highlight w:val="none"/>
        </w:rPr>
        <w:t>的有关规定。</w:t>
      </w:r>
    </w:p>
    <w:p>
      <w:pPr>
        <w:pStyle w:val="217"/>
        <w:rPr>
          <w:color w:val="auto"/>
          <w:highlight w:val="none"/>
        </w:rPr>
      </w:pPr>
      <w:r>
        <w:rPr>
          <w:rFonts w:hint="eastAsia"/>
          <w:color w:val="auto"/>
          <w:highlight w:val="none"/>
        </w:rPr>
        <w:t>节能设计、环保设计、绿色建筑设计按设计要求。其它未提到的技术要求均按设计要求实行。</w:t>
      </w:r>
    </w:p>
    <w:p>
      <w:pPr>
        <w:rPr>
          <w:color w:val="auto"/>
          <w:highlight w:val="none"/>
        </w:rPr>
      </w:pPr>
    </w:p>
    <w:p>
      <w:pPr>
        <w:pStyle w:val="188"/>
        <w:spacing w:before="120" w:after="120"/>
        <w:outlineLvl w:val="1"/>
        <w:rPr>
          <w:color w:val="auto"/>
          <w:highlight w:val="none"/>
        </w:rPr>
      </w:pPr>
      <w:bookmarkStart w:id="8015" w:name="_Toc66634481"/>
      <w:bookmarkStart w:id="8016" w:name="_Toc505345794"/>
      <w:bookmarkStart w:id="8017" w:name="_Toc69114222"/>
      <w:bookmarkStart w:id="8018" w:name="_Toc66890476"/>
      <w:r>
        <w:rPr>
          <w:rFonts w:hint="eastAsia"/>
          <w:color w:val="auto"/>
          <w:highlight w:val="none"/>
        </w:rPr>
        <w:t>第</w:t>
      </w:r>
      <w:r>
        <w:rPr>
          <w:color w:val="auto"/>
          <w:highlight w:val="none"/>
        </w:rPr>
        <w:t>6</w:t>
      </w:r>
      <w:r>
        <w:rPr>
          <w:rFonts w:hint="eastAsia"/>
          <w:color w:val="auto"/>
          <w:highlight w:val="none"/>
        </w:rPr>
        <w:t>章</w:t>
      </w:r>
      <w:r>
        <w:rPr>
          <w:color w:val="auto"/>
          <w:highlight w:val="none"/>
        </w:rPr>
        <w:t xml:space="preserve">  </w:t>
      </w:r>
      <w:r>
        <w:rPr>
          <w:rFonts w:hint="eastAsia"/>
          <w:color w:val="auto"/>
          <w:highlight w:val="none"/>
        </w:rPr>
        <w:t>暖通工程主要材料、设备技术要求</w:t>
      </w:r>
      <w:bookmarkEnd w:id="8015"/>
      <w:bookmarkEnd w:id="8016"/>
      <w:bookmarkEnd w:id="8017"/>
      <w:bookmarkEnd w:id="8018"/>
    </w:p>
    <w:tbl>
      <w:tblPr>
        <w:tblStyle w:val="43"/>
        <w:tblW w:w="9322" w:type="dxa"/>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0"/>
        <w:gridCol w:w="1323"/>
        <w:gridCol w:w="72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70" w:type="dxa"/>
            <w:noWrap w:val="0"/>
            <w:vAlign w:val="center"/>
          </w:tcPr>
          <w:p>
            <w:pPr>
              <w:rPr>
                <w:color w:val="auto"/>
                <w:highlight w:val="none"/>
              </w:rPr>
            </w:pPr>
            <w:r>
              <w:rPr>
                <w:rFonts w:hint="eastAsia"/>
                <w:color w:val="auto"/>
                <w:highlight w:val="none"/>
              </w:rPr>
              <w:t>序号</w:t>
            </w:r>
          </w:p>
        </w:tc>
        <w:tc>
          <w:tcPr>
            <w:tcW w:w="1323" w:type="dxa"/>
            <w:noWrap w:val="0"/>
            <w:vAlign w:val="center"/>
          </w:tcPr>
          <w:p>
            <w:pPr>
              <w:rPr>
                <w:color w:val="auto"/>
                <w:highlight w:val="none"/>
              </w:rPr>
            </w:pPr>
            <w:r>
              <w:rPr>
                <w:rFonts w:hint="eastAsia"/>
                <w:color w:val="auto"/>
                <w:highlight w:val="none"/>
              </w:rPr>
              <w:t>产品名称</w:t>
            </w:r>
          </w:p>
        </w:tc>
        <w:tc>
          <w:tcPr>
            <w:tcW w:w="7229" w:type="dxa"/>
            <w:noWrap w:val="0"/>
            <w:vAlign w:val="center"/>
          </w:tcPr>
          <w:p>
            <w:pPr>
              <w:rPr>
                <w:color w:val="auto"/>
                <w:highlight w:val="none"/>
              </w:rPr>
            </w:pPr>
            <w:r>
              <w:rPr>
                <w:rFonts w:hint="eastAsia"/>
                <w:color w:val="auto"/>
                <w:highlight w:val="none"/>
              </w:rPr>
              <w:t>产品技术要求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70" w:type="dxa"/>
            <w:noWrap w:val="0"/>
            <w:vAlign w:val="center"/>
          </w:tcPr>
          <w:p>
            <w:pPr>
              <w:rPr>
                <w:color w:val="auto"/>
                <w:highlight w:val="none"/>
              </w:rPr>
            </w:pPr>
            <w:r>
              <w:rPr>
                <w:color w:val="auto"/>
                <w:highlight w:val="none"/>
              </w:rPr>
              <w:t>1.</w:t>
            </w:r>
          </w:p>
        </w:tc>
        <w:tc>
          <w:tcPr>
            <w:tcW w:w="1323" w:type="dxa"/>
            <w:noWrap w:val="0"/>
            <w:vAlign w:val="center"/>
          </w:tcPr>
          <w:p>
            <w:pPr>
              <w:rPr>
                <w:color w:val="auto"/>
                <w:highlight w:val="none"/>
              </w:rPr>
            </w:pPr>
            <w:r>
              <w:rPr>
                <w:rFonts w:hint="eastAsia"/>
                <w:color w:val="auto"/>
                <w:highlight w:val="none"/>
              </w:rPr>
              <w:t>冷水机组</w:t>
            </w:r>
          </w:p>
        </w:tc>
        <w:tc>
          <w:tcPr>
            <w:tcW w:w="722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）注册资本不得少于</w:t>
            </w:r>
            <w:r>
              <w:rPr>
                <w:color w:val="auto"/>
                <w:highlight w:val="none"/>
              </w:rPr>
              <w:t>2000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2</w:t>
            </w:r>
            <w:r>
              <w:rPr>
                <w:rFonts w:hint="eastAsia"/>
                <w:color w:val="auto"/>
                <w:highlight w:val="none"/>
              </w:rPr>
              <w:t>）设备商必须通过</w:t>
            </w:r>
            <w:r>
              <w:rPr>
                <w:color w:val="auto"/>
                <w:highlight w:val="none"/>
              </w:rPr>
              <w:t>ISO9001:2000</w:t>
            </w:r>
            <w:r>
              <w:rPr>
                <w:rFonts w:hint="eastAsia"/>
                <w:color w:val="auto"/>
                <w:highlight w:val="none"/>
              </w:rPr>
              <w:t>系列质量体系认证、</w:t>
            </w:r>
            <w:r>
              <w:rPr>
                <w:color w:val="auto"/>
                <w:highlight w:val="none"/>
              </w:rPr>
              <w:t>ISO14001</w:t>
            </w:r>
            <w:r>
              <w:rPr>
                <w:rFonts w:hint="eastAsia"/>
                <w:color w:val="auto"/>
                <w:highlight w:val="none"/>
              </w:rPr>
              <w:t>系列环境体系认证和全国工业产品生产许可证。</w:t>
            </w:r>
          </w:p>
          <w:p>
            <w:pPr>
              <w:rPr>
                <w:color w:val="auto"/>
                <w:highlight w:val="none"/>
              </w:rPr>
            </w:pPr>
            <w:r>
              <w:rPr>
                <w:rFonts w:hint="eastAsia"/>
                <w:color w:val="auto"/>
                <w:highlight w:val="none"/>
              </w:rPr>
              <w:t>（</w:t>
            </w:r>
            <w:r>
              <w:rPr>
                <w:color w:val="auto"/>
                <w:highlight w:val="none"/>
              </w:rPr>
              <w:t>3</w:t>
            </w:r>
            <w:r>
              <w:rPr>
                <w:rFonts w:hint="eastAsia"/>
                <w:color w:val="auto"/>
                <w:highlight w:val="none"/>
              </w:rPr>
              <w:t>）设备商必须在深圳地区设有长期固定的售后服务及维修机构。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）机组相关参数、外形尺寸需满足设计要求。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）机组应为超低噪声类型，机组满负荷运行噪声≤</w:t>
            </w:r>
            <w:r>
              <w:rPr>
                <w:color w:val="auto"/>
                <w:highlight w:val="none"/>
              </w:rPr>
              <w:t xml:space="preserve"> 90 dB</w:t>
            </w:r>
            <w:r>
              <w:rPr>
                <w:rFonts w:hint="eastAsia"/>
                <w:color w:val="auto"/>
                <w:highlight w:val="none"/>
              </w:rPr>
              <w:t>（</w:t>
            </w:r>
            <w:r>
              <w:rPr>
                <w:color w:val="auto"/>
                <w:highlight w:val="none"/>
              </w:rPr>
              <w:t>A</w:t>
            </w:r>
            <w:r>
              <w:rPr>
                <w:rFonts w:hint="eastAsia"/>
                <w:color w:val="auto"/>
                <w:highlight w:val="none"/>
              </w:rPr>
              <w:t>）（距主机</w:t>
            </w:r>
            <w:r>
              <w:rPr>
                <w:color w:val="auto"/>
                <w:highlight w:val="none"/>
              </w:rPr>
              <w:t>1</w:t>
            </w:r>
            <w:r>
              <w:rPr>
                <w:rFonts w:hint="eastAsia"/>
                <w:color w:val="auto"/>
                <w:highlight w:val="none"/>
              </w:rPr>
              <w:t>米处）。应提供权威机构的噪声检测结果。</w:t>
            </w:r>
          </w:p>
          <w:p>
            <w:pPr>
              <w:rPr>
                <w:color w:val="auto"/>
                <w:highlight w:val="none"/>
              </w:rPr>
            </w:pPr>
            <w:r>
              <w:rPr>
                <w:rFonts w:hint="eastAsia"/>
                <w:color w:val="auto"/>
                <w:highlight w:val="none"/>
              </w:rPr>
              <w:t>（</w:t>
            </w:r>
            <w:r>
              <w:rPr>
                <w:color w:val="auto"/>
                <w:highlight w:val="none"/>
              </w:rPr>
              <w:t>3</w:t>
            </w:r>
            <w:r>
              <w:rPr>
                <w:rFonts w:hint="eastAsia"/>
                <w:color w:val="auto"/>
                <w:highlight w:val="none"/>
              </w:rPr>
              <w:t>）机组设计寿命不低于</w:t>
            </w:r>
            <w:r>
              <w:rPr>
                <w:color w:val="auto"/>
                <w:highlight w:val="none"/>
              </w:rPr>
              <w:t>25</w:t>
            </w:r>
            <w:r>
              <w:rPr>
                <w:rFonts w:hint="eastAsia"/>
                <w:color w:val="auto"/>
                <w:highlight w:val="none"/>
              </w:rPr>
              <w:t>年。</w:t>
            </w:r>
          </w:p>
          <w:p>
            <w:pPr>
              <w:rPr>
                <w:color w:val="auto"/>
                <w:highlight w:val="none"/>
              </w:rPr>
            </w:pPr>
            <w:r>
              <w:rPr>
                <w:rFonts w:hint="eastAsia"/>
                <w:color w:val="auto"/>
                <w:highlight w:val="none"/>
              </w:rPr>
              <w:t>（</w:t>
            </w:r>
            <w:r>
              <w:rPr>
                <w:color w:val="auto"/>
                <w:highlight w:val="none"/>
              </w:rPr>
              <w:t>4</w:t>
            </w:r>
            <w:r>
              <w:rPr>
                <w:rFonts w:hint="eastAsia"/>
                <w:color w:val="auto"/>
                <w:highlight w:val="none"/>
              </w:rPr>
              <w:t>）机组生产标准及整机性能：</w:t>
            </w:r>
          </w:p>
          <w:p>
            <w:pPr>
              <w:rPr>
                <w:color w:val="auto"/>
                <w:highlight w:val="none"/>
              </w:rPr>
            </w:pPr>
            <w:r>
              <w:rPr>
                <w:color w:val="auto"/>
                <w:highlight w:val="none"/>
              </w:rPr>
              <w:t>1</w:t>
            </w:r>
            <w:r>
              <w:rPr>
                <w:rFonts w:hint="eastAsia"/>
                <w:color w:val="auto"/>
                <w:highlight w:val="none"/>
              </w:rPr>
              <w:t>）机组须符合国家标准</w:t>
            </w:r>
            <w:r>
              <w:rPr>
                <w:color w:val="auto"/>
                <w:highlight w:val="none"/>
              </w:rPr>
              <w:t>GB/T18430.1-2007</w:t>
            </w:r>
            <w:r>
              <w:rPr>
                <w:rFonts w:hint="eastAsia"/>
                <w:color w:val="auto"/>
                <w:highlight w:val="none"/>
              </w:rPr>
              <w:t>等相关标准规范要求。</w:t>
            </w:r>
          </w:p>
          <w:p>
            <w:pPr>
              <w:rPr>
                <w:color w:val="auto"/>
                <w:highlight w:val="none"/>
              </w:rPr>
            </w:pPr>
            <w:r>
              <w:rPr>
                <w:color w:val="auto"/>
                <w:highlight w:val="none"/>
              </w:rPr>
              <w:t>2</w:t>
            </w:r>
            <w:r>
              <w:rPr>
                <w:rFonts w:hint="eastAsia"/>
                <w:color w:val="auto"/>
                <w:highlight w:val="none"/>
              </w:rPr>
              <w:t>）机组的机械结构特性应完全符合冷水机组的标准。</w:t>
            </w:r>
          </w:p>
          <w:p>
            <w:pPr>
              <w:rPr>
                <w:color w:val="auto"/>
                <w:highlight w:val="none"/>
              </w:rPr>
            </w:pPr>
            <w:r>
              <w:rPr>
                <w:color w:val="auto"/>
                <w:highlight w:val="none"/>
              </w:rPr>
              <w:t>3</w:t>
            </w:r>
            <w:r>
              <w:rPr>
                <w:rFonts w:hint="eastAsia"/>
                <w:color w:val="auto"/>
                <w:highlight w:val="none"/>
              </w:rPr>
              <w:t>）机组制冷</w:t>
            </w:r>
            <w:r>
              <w:rPr>
                <w:color w:val="auto"/>
                <w:highlight w:val="none"/>
              </w:rPr>
              <w:t>/</w:t>
            </w:r>
            <w:r>
              <w:rPr>
                <w:rFonts w:hint="eastAsia"/>
                <w:color w:val="auto"/>
                <w:highlight w:val="none"/>
              </w:rPr>
              <w:t>热量能实现自动调节，且在部分负荷运行时应具有较高的</w:t>
            </w:r>
            <w:r>
              <w:rPr>
                <w:color w:val="auto"/>
                <w:highlight w:val="none"/>
              </w:rPr>
              <w:t>IPLV(C.O.P)</w:t>
            </w:r>
            <w:r>
              <w:rPr>
                <w:rFonts w:hint="eastAsia"/>
                <w:color w:val="auto"/>
                <w:highlight w:val="none"/>
              </w:rPr>
              <w:t>值。</w:t>
            </w:r>
          </w:p>
          <w:p>
            <w:pPr>
              <w:rPr>
                <w:color w:val="auto"/>
                <w:highlight w:val="none"/>
              </w:rPr>
            </w:pPr>
            <w:r>
              <w:rPr>
                <w:color w:val="auto"/>
                <w:highlight w:val="none"/>
              </w:rPr>
              <w:t>4</w:t>
            </w:r>
            <w:r>
              <w:rPr>
                <w:rFonts w:hint="eastAsia"/>
                <w:color w:val="auto"/>
                <w:highlight w:val="none"/>
              </w:rPr>
              <w:t>）机组能自动跟踪蒸发器冷冻水出口温度，依据蒸发器冷冻水出口温度调整工质蒸发温度，实现温度跟随，保证系统效率。</w:t>
            </w:r>
          </w:p>
          <w:p>
            <w:pPr>
              <w:rPr>
                <w:color w:val="auto"/>
                <w:highlight w:val="none"/>
              </w:rPr>
            </w:pPr>
            <w:r>
              <w:rPr>
                <w:color w:val="auto"/>
                <w:highlight w:val="none"/>
              </w:rPr>
              <w:t>5</w:t>
            </w:r>
            <w:r>
              <w:rPr>
                <w:rFonts w:hint="eastAsia"/>
                <w:color w:val="auto"/>
                <w:highlight w:val="none"/>
              </w:rPr>
              <w:t>）必须采取有效措施避免喘振，以保证机组在低峰负荷时的安全可靠运行。</w:t>
            </w:r>
          </w:p>
          <w:p>
            <w:pPr>
              <w:rPr>
                <w:color w:val="auto"/>
                <w:highlight w:val="none"/>
              </w:rPr>
            </w:pPr>
            <w:r>
              <w:rPr>
                <w:color w:val="auto"/>
                <w:highlight w:val="none"/>
              </w:rPr>
              <w:t>6</w:t>
            </w:r>
            <w:r>
              <w:rPr>
                <w:rFonts w:hint="eastAsia"/>
                <w:color w:val="auto"/>
                <w:highlight w:val="none"/>
              </w:rPr>
              <w:t>）机型的部分负荷耗电量及部分负荷性能系数</w:t>
            </w:r>
            <w:r>
              <w:rPr>
                <w:color w:val="auto"/>
                <w:highlight w:val="none"/>
              </w:rPr>
              <w:t>NPLV</w:t>
            </w:r>
            <w:r>
              <w:rPr>
                <w:rFonts w:hint="eastAsia"/>
                <w:color w:val="auto"/>
                <w:highlight w:val="none"/>
              </w:rPr>
              <w:t>值的电脑数据，须绘制机组整个负荷调节范围内的</w:t>
            </w:r>
            <w:r>
              <w:rPr>
                <w:color w:val="auto"/>
                <w:highlight w:val="none"/>
              </w:rPr>
              <w:t>COP</w:t>
            </w:r>
            <w:r>
              <w:rPr>
                <w:rFonts w:hint="eastAsia"/>
                <w:color w:val="auto"/>
                <w:highlight w:val="none"/>
              </w:rPr>
              <w:t>、耗电比及电机输入功率</w:t>
            </w:r>
            <w:r>
              <w:rPr>
                <w:color w:val="auto"/>
                <w:highlight w:val="none"/>
              </w:rPr>
              <w:t>3</w:t>
            </w:r>
            <w:r>
              <w:rPr>
                <w:rFonts w:hint="eastAsia"/>
                <w:color w:val="auto"/>
                <w:highlight w:val="none"/>
              </w:rPr>
              <w:t>条曲线图，并说明部分负荷的控制方法</w:t>
            </w:r>
          </w:p>
          <w:p>
            <w:pPr>
              <w:rPr>
                <w:color w:val="auto"/>
                <w:highlight w:val="none"/>
              </w:rPr>
            </w:pPr>
            <w:r>
              <w:rPr>
                <w:color w:val="auto"/>
                <w:highlight w:val="none"/>
              </w:rPr>
              <w:t>7</w:t>
            </w:r>
            <w:r>
              <w:rPr>
                <w:rFonts w:hint="eastAsia"/>
                <w:color w:val="auto"/>
                <w:highlight w:val="none"/>
              </w:rPr>
              <w:t>）需提供机型的部分负荷耗电量及部分负荷性能系数</w:t>
            </w:r>
            <w:r>
              <w:rPr>
                <w:color w:val="auto"/>
                <w:highlight w:val="none"/>
              </w:rPr>
              <w:t>NPLV</w:t>
            </w:r>
            <w:r>
              <w:rPr>
                <w:rFonts w:hint="eastAsia"/>
                <w:color w:val="auto"/>
                <w:highlight w:val="none"/>
              </w:rPr>
              <w:t>值的电脑数据，须绘制机组整个负荷调节范围内的</w:t>
            </w:r>
            <w:r>
              <w:rPr>
                <w:color w:val="auto"/>
                <w:highlight w:val="none"/>
              </w:rPr>
              <w:t>COP</w:t>
            </w:r>
            <w:r>
              <w:rPr>
                <w:rFonts w:hint="eastAsia"/>
                <w:color w:val="auto"/>
                <w:highlight w:val="none"/>
              </w:rPr>
              <w:t>、耗电比及电机输入功率</w:t>
            </w:r>
            <w:r>
              <w:rPr>
                <w:color w:val="auto"/>
                <w:highlight w:val="none"/>
              </w:rPr>
              <w:t>3</w:t>
            </w:r>
            <w:r>
              <w:rPr>
                <w:rFonts w:hint="eastAsia"/>
                <w:color w:val="auto"/>
                <w:highlight w:val="none"/>
              </w:rPr>
              <w:t>条曲线图，并说明部分负荷的控制方法。</w:t>
            </w:r>
          </w:p>
          <w:p>
            <w:pPr>
              <w:rPr>
                <w:color w:val="auto"/>
                <w:highlight w:val="none"/>
              </w:rPr>
            </w:pPr>
            <w:r>
              <w:rPr>
                <w:color w:val="auto"/>
                <w:highlight w:val="none"/>
              </w:rPr>
              <w:t>8</w:t>
            </w:r>
            <w:r>
              <w:rPr>
                <w:rFonts w:hint="eastAsia"/>
                <w:color w:val="auto"/>
                <w:highlight w:val="none"/>
              </w:rPr>
              <w:t>）提供的设备选型书至少应包含下列内容：</w:t>
            </w:r>
            <w:r>
              <w:rPr>
                <w:color w:val="auto"/>
                <w:highlight w:val="none"/>
              </w:rPr>
              <w:t>A</w:t>
            </w:r>
            <w:r>
              <w:rPr>
                <w:rFonts w:hint="eastAsia"/>
                <w:color w:val="auto"/>
                <w:highlight w:val="none"/>
              </w:rPr>
              <w:t>生产厂家、原产地；</w:t>
            </w:r>
            <w:r>
              <w:rPr>
                <w:color w:val="auto"/>
                <w:highlight w:val="none"/>
              </w:rPr>
              <w:t>B</w:t>
            </w:r>
            <w:r>
              <w:rPr>
                <w:rFonts w:hint="eastAsia"/>
                <w:color w:val="auto"/>
                <w:highlight w:val="none"/>
              </w:rPr>
              <w:t>类型、型号；</w:t>
            </w:r>
            <w:r>
              <w:rPr>
                <w:color w:val="auto"/>
                <w:highlight w:val="none"/>
              </w:rPr>
              <w:t>C</w:t>
            </w:r>
            <w:r>
              <w:rPr>
                <w:rFonts w:hint="eastAsia"/>
                <w:color w:val="auto"/>
                <w:highlight w:val="none"/>
              </w:rPr>
              <w:t>制冷量（设计制冷工况）；</w:t>
            </w:r>
            <w:r>
              <w:rPr>
                <w:color w:val="auto"/>
                <w:highlight w:val="none"/>
              </w:rPr>
              <w:t>D</w:t>
            </w:r>
            <w:r>
              <w:rPr>
                <w:rFonts w:hint="eastAsia"/>
                <w:color w:val="auto"/>
                <w:highlight w:val="none"/>
              </w:rPr>
              <w:t>制冷剂；</w:t>
            </w:r>
            <w:r>
              <w:rPr>
                <w:color w:val="auto"/>
                <w:highlight w:val="none"/>
              </w:rPr>
              <w:t>E</w:t>
            </w:r>
            <w:r>
              <w:rPr>
                <w:rFonts w:hint="eastAsia"/>
                <w:color w:val="auto"/>
                <w:highlight w:val="none"/>
              </w:rPr>
              <w:t>蒸发器（污垢系数、进出水温度、水流量、水压降、接管尺寸、工作承压）；</w:t>
            </w:r>
            <w:r>
              <w:rPr>
                <w:color w:val="auto"/>
                <w:highlight w:val="none"/>
              </w:rPr>
              <w:t>F</w:t>
            </w:r>
            <w:r>
              <w:rPr>
                <w:rFonts w:hint="eastAsia"/>
                <w:color w:val="auto"/>
                <w:highlight w:val="none"/>
              </w:rPr>
              <w:t>冷凝器（冷凝风机及电机数量、电机输入功率、电机输出功率、冷凝风机风量、冷凝风机转速、铝翅片厚度、铝翅片间距、铜管管径、铜管壁厚、铜管排数）；</w:t>
            </w:r>
            <w:r>
              <w:rPr>
                <w:color w:val="auto"/>
                <w:highlight w:val="none"/>
              </w:rPr>
              <w:t>H</w:t>
            </w:r>
            <w:r>
              <w:rPr>
                <w:rFonts w:hint="eastAsia"/>
                <w:color w:val="auto"/>
                <w:highlight w:val="none"/>
              </w:rPr>
              <w:t>电机生产厂家、型号、技术参数；</w:t>
            </w:r>
            <w:r>
              <w:rPr>
                <w:color w:val="auto"/>
                <w:highlight w:val="none"/>
              </w:rPr>
              <w:t>I</w:t>
            </w:r>
            <w:r>
              <w:rPr>
                <w:rFonts w:hint="eastAsia"/>
                <w:color w:val="auto"/>
                <w:highlight w:val="none"/>
              </w:rPr>
              <w:t>冷冻水泵（扬程、转速、水泵主要部件材料）；</w:t>
            </w:r>
            <w:r>
              <w:rPr>
                <w:color w:val="auto"/>
                <w:highlight w:val="none"/>
              </w:rPr>
              <w:t>J</w:t>
            </w:r>
            <w:r>
              <w:rPr>
                <w:rFonts w:hint="eastAsia"/>
                <w:color w:val="auto"/>
                <w:highlight w:val="none"/>
              </w:rPr>
              <w:t>压缩机生产厂家、型号；</w:t>
            </w:r>
            <w:r>
              <w:rPr>
                <w:color w:val="auto"/>
                <w:highlight w:val="none"/>
              </w:rPr>
              <w:t>K</w:t>
            </w:r>
            <w:r>
              <w:rPr>
                <w:rFonts w:hint="eastAsia"/>
                <w:color w:val="auto"/>
                <w:highlight w:val="none"/>
              </w:rPr>
              <w:t>启动方式；</w:t>
            </w:r>
            <w:r>
              <w:rPr>
                <w:color w:val="auto"/>
                <w:highlight w:val="none"/>
              </w:rPr>
              <w:t>L</w:t>
            </w:r>
            <w:r>
              <w:rPr>
                <w:rFonts w:hint="eastAsia"/>
                <w:color w:val="auto"/>
                <w:highlight w:val="none"/>
              </w:rPr>
              <w:t>噪音水平；</w:t>
            </w:r>
            <w:r>
              <w:rPr>
                <w:color w:val="auto"/>
                <w:highlight w:val="none"/>
              </w:rPr>
              <w:t>M</w:t>
            </w:r>
            <w:r>
              <w:rPr>
                <w:rFonts w:hint="eastAsia"/>
                <w:color w:val="auto"/>
                <w:highlight w:val="none"/>
              </w:rPr>
              <w:t>机组的能量调节范围；</w:t>
            </w:r>
            <w:r>
              <w:rPr>
                <w:color w:val="auto"/>
                <w:highlight w:val="none"/>
              </w:rPr>
              <w:t>N</w:t>
            </w:r>
            <w:r>
              <w:rPr>
                <w:rFonts w:hint="eastAsia"/>
                <w:color w:val="auto"/>
                <w:highlight w:val="none"/>
              </w:rPr>
              <w:t>机组尺寸、运输重量、运行重量；</w:t>
            </w:r>
            <w:r>
              <w:rPr>
                <w:color w:val="auto"/>
                <w:highlight w:val="none"/>
              </w:rPr>
              <w:t>O</w:t>
            </w:r>
            <w:r>
              <w:rPr>
                <w:rFonts w:hint="eastAsia"/>
                <w:color w:val="auto"/>
                <w:highlight w:val="none"/>
              </w:rPr>
              <w:t>安装底脚尺寸。</w:t>
            </w:r>
          </w:p>
          <w:p>
            <w:pPr>
              <w:rPr>
                <w:color w:val="auto"/>
                <w:highlight w:val="none"/>
              </w:rPr>
            </w:pPr>
            <w:r>
              <w:rPr>
                <w:color w:val="auto"/>
                <w:highlight w:val="none"/>
              </w:rPr>
              <w:t>9</w:t>
            </w:r>
            <w:r>
              <w:rPr>
                <w:rFonts w:hint="eastAsia"/>
                <w:color w:val="auto"/>
                <w:highlight w:val="none"/>
              </w:rPr>
              <w:t>）机组在性能及可靠性等方面应能满足本工程空调主机可能出现使用频率不高的情况。</w:t>
            </w:r>
          </w:p>
          <w:p>
            <w:pPr>
              <w:rPr>
                <w:color w:val="auto"/>
                <w:highlight w:val="none"/>
              </w:rPr>
            </w:pPr>
            <w:r>
              <w:rPr>
                <w:rFonts w:hint="eastAsia"/>
                <w:color w:val="auto"/>
                <w:highlight w:val="none"/>
              </w:rPr>
              <w:t>（</w:t>
            </w:r>
            <w:r>
              <w:rPr>
                <w:color w:val="auto"/>
                <w:highlight w:val="none"/>
              </w:rPr>
              <w:t>5</w:t>
            </w:r>
            <w:r>
              <w:rPr>
                <w:rFonts w:hint="eastAsia"/>
                <w:color w:val="auto"/>
                <w:highlight w:val="none"/>
              </w:rPr>
              <w:t>）机组主要部件技术要求：</w:t>
            </w:r>
          </w:p>
          <w:p>
            <w:pPr>
              <w:rPr>
                <w:color w:val="auto"/>
                <w:highlight w:val="none"/>
              </w:rPr>
            </w:pPr>
            <w:r>
              <w:rPr>
                <w:color w:val="auto"/>
                <w:highlight w:val="none"/>
              </w:rPr>
              <w:t>1</w:t>
            </w:r>
            <w:r>
              <w:rPr>
                <w:rFonts w:hint="eastAsia"/>
                <w:color w:val="auto"/>
                <w:highlight w:val="none"/>
              </w:rPr>
              <w:t>）采用国际知名品牌螺杆式压缩机或全封闭涡旋压缩机。压缩机电机防护等级不得低于</w:t>
            </w:r>
            <w:r>
              <w:rPr>
                <w:color w:val="auto"/>
                <w:highlight w:val="none"/>
              </w:rPr>
              <w:t>IP55</w:t>
            </w:r>
            <w:r>
              <w:rPr>
                <w:rFonts w:hint="eastAsia"/>
                <w:color w:val="auto"/>
                <w:highlight w:val="none"/>
              </w:rPr>
              <w:t>，绝缘等级不得低于</w:t>
            </w:r>
            <w:r>
              <w:rPr>
                <w:color w:val="auto"/>
                <w:highlight w:val="none"/>
              </w:rPr>
              <w:t>F</w:t>
            </w:r>
            <w:r>
              <w:rPr>
                <w:rFonts w:hint="eastAsia"/>
                <w:color w:val="auto"/>
                <w:highlight w:val="none"/>
              </w:rPr>
              <w:t>级。压缩机须采取隔声降噪措施。投标人应提供电机的功率因数。</w:t>
            </w:r>
          </w:p>
          <w:p>
            <w:pPr>
              <w:rPr>
                <w:color w:val="auto"/>
                <w:highlight w:val="none"/>
              </w:rPr>
            </w:pPr>
            <w:r>
              <w:rPr>
                <w:color w:val="auto"/>
                <w:highlight w:val="none"/>
              </w:rPr>
              <w:t>2</w:t>
            </w:r>
            <w:r>
              <w:rPr>
                <w:rFonts w:hint="eastAsia"/>
                <w:color w:val="auto"/>
                <w:highlight w:val="none"/>
              </w:rPr>
              <w:t>）蒸发器、冷凝器及进出水管</w:t>
            </w:r>
          </w:p>
          <w:p>
            <w:pPr>
              <w:rPr>
                <w:color w:val="auto"/>
                <w:highlight w:val="none"/>
              </w:rPr>
            </w:pPr>
            <w:r>
              <w:rPr>
                <w:rFonts w:hint="eastAsia"/>
                <w:color w:val="auto"/>
                <w:highlight w:val="none"/>
              </w:rPr>
              <w:t>①冷凝器采用优质紫铜管和优质铝箔制作。冷水机组和热泵机组铝箔均采用亲水铝箔，货到现场，机组铝翅片不允许有“倒片”的现象。铝翅片应采用高效翅片型式。铜管与铝翅片通过整体机械胀管连接而成，铜管与翅片间应紧密结合，以减少接触热阻。</w:t>
            </w:r>
          </w:p>
          <w:p>
            <w:pPr>
              <w:rPr>
                <w:color w:val="auto"/>
                <w:highlight w:val="none"/>
              </w:rPr>
            </w:pPr>
            <w:r>
              <w:rPr>
                <w:rFonts w:hint="eastAsia"/>
                <w:color w:val="auto"/>
                <w:highlight w:val="none"/>
              </w:rPr>
              <w:t>②蒸发器污垢系数≤</w:t>
            </w:r>
            <w:r>
              <w:rPr>
                <w:color w:val="auto"/>
                <w:highlight w:val="none"/>
              </w:rPr>
              <w:t>0.086 m2</w:t>
            </w:r>
            <w:r>
              <w:rPr>
                <w:rFonts w:hint="eastAsia"/>
                <w:color w:val="auto"/>
                <w:highlight w:val="none"/>
              </w:rPr>
              <w:t>·℃</w:t>
            </w:r>
            <w:r>
              <w:rPr>
                <w:color w:val="auto"/>
                <w:highlight w:val="none"/>
              </w:rPr>
              <w:t>/kW</w:t>
            </w:r>
            <w:r>
              <w:rPr>
                <w:rFonts w:hint="eastAsia"/>
                <w:color w:val="auto"/>
                <w:highlight w:val="none"/>
              </w:rPr>
              <w:t>。</w:t>
            </w:r>
          </w:p>
          <w:p>
            <w:pPr>
              <w:rPr>
                <w:color w:val="auto"/>
                <w:highlight w:val="none"/>
              </w:rPr>
            </w:pPr>
            <w:r>
              <w:rPr>
                <w:rFonts w:hint="eastAsia"/>
                <w:color w:val="auto"/>
                <w:highlight w:val="none"/>
              </w:rPr>
              <w:t>③蒸发器及其它需要保温的部件均须采用满足消防要求的优质难燃级或不燃级发泡橡塑材料保温，保温层经济保冷厚度必须符合国家标准且保证机组运行过程中在保温层表面无凝结水产生。</w:t>
            </w:r>
          </w:p>
          <w:p>
            <w:pPr>
              <w:rPr>
                <w:color w:val="auto"/>
                <w:highlight w:val="none"/>
              </w:rPr>
            </w:pPr>
            <w:r>
              <w:rPr>
                <w:rFonts w:hint="eastAsia"/>
                <w:color w:val="auto"/>
                <w:highlight w:val="none"/>
              </w:rPr>
              <w:t>④冷冻水进出水管带中国标准法兰或卡槽。蒸发器接管应按施工图示方向。</w:t>
            </w:r>
          </w:p>
          <w:p>
            <w:pPr>
              <w:rPr>
                <w:color w:val="auto"/>
                <w:highlight w:val="none"/>
              </w:rPr>
            </w:pPr>
            <w:r>
              <w:rPr>
                <w:color w:val="auto"/>
                <w:highlight w:val="none"/>
              </w:rPr>
              <w:t>3</w:t>
            </w:r>
            <w:r>
              <w:rPr>
                <w:rFonts w:hint="eastAsia"/>
                <w:color w:val="auto"/>
                <w:highlight w:val="none"/>
              </w:rPr>
              <w:t>）冷媒及润滑</w:t>
            </w:r>
          </w:p>
          <w:p>
            <w:pPr>
              <w:rPr>
                <w:color w:val="auto"/>
                <w:highlight w:val="none"/>
              </w:rPr>
            </w:pPr>
            <w:r>
              <w:rPr>
                <w:rFonts w:hint="eastAsia"/>
                <w:color w:val="auto"/>
                <w:highlight w:val="none"/>
              </w:rPr>
              <w:t>①须为每台机组充注所需制冷剂和润滑油。制冷剂和润滑油须采用进口品牌的优质产品（提供生产厂家检测报告）。制冷剂要求：</w:t>
            </w:r>
            <w:r>
              <w:rPr>
                <w:color w:val="auto"/>
                <w:highlight w:val="none"/>
              </w:rPr>
              <w:t>R134a</w:t>
            </w:r>
            <w:r>
              <w:rPr>
                <w:rFonts w:hint="eastAsia"/>
                <w:color w:val="auto"/>
                <w:highlight w:val="none"/>
              </w:rPr>
              <w:t>或</w:t>
            </w:r>
            <w:r>
              <w:rPr>
                <w:color w:val="auto"/>
                <w:highlight w:val="none"/>
              </w:rPr>
              <w:t>R407C</w:t>
            </w:r>
            <w:r>
              <w:rPr>
                <w:rFonts w:hint="eastAsia"/>
                <w:color w:val="auto"/>
                <w:highlight w:val="none"/>
              </w:rPr>
              <w:t>、</w:t>
            </w:r>
            <w:r>
              <w:rPr>
                <w:color w:val="auto"/>
                <w:highlight w:val="none"/>
              </w:rPr>
              <w:t>R410A</w:t>
            </w:r>
            <w:r>
              <w:rPr>
                <w:rFonts w:hint="eastAsia"/>
                <w:color w:val="auto"/>
                <w:highlight w:val="none"/>
              </w:rPr>
              <w:t>。</w:t>
            </w:r>
          </w:p>
          <w:p>
            <w:pPr>
              <w:rPr>
                <w:color w:val="auto"/>
                <w:highlight w:val="none"/>
              </w:rPr>
            </w:pPr>
            <w:r>
              <w:rPr>
                <w:rFonts w:hint="eastAsia"/>
                <w:color w:val="auto"/>
                <w:highlight w:val="none"/>
              </w:rPr>
              <w:t>②机组应配置冷媒单向止回隔离阀，以便机组维修时，将冷媒收回冷凝器储存。</w:t>
            </w:r>
          </w:p>
          <w:p>
            <w:pPr>
              <w:rPr>
                <w:color w:val="auto"/>
                <w:highlight w:val="none"/>
              </w:rPr>
            </w:pPr>
            <w:r>
              <w:rPr>
                <w:rFonts w:hint="eastAsia"/>
                <w:color w:val="auto"/>
                <w:highlight w:val="none"/>
              </w:rPr>
              <w:t>③机组年制冷剂泄漏率：≤</w:t>
            </w:r>
            <w:r>
              <w:rPr>
                <w:color w:val="auto"/>
                <w:highlight w:val="none"/>
              </w:rPr>
              <w:t>0.5%</w:t>
            </w:r>
            <w:r>
              <w:rPr>
                <w:rFonts w:hint="eastAsia"/>
                <w:color w:val="auto"/>
                <w:highlight w:val="none"/>
              </w:rPr>
              <w:t>。</w:t>
            </w:r>
          </w:p>
          <w:p>
            <w:pPr>
              <w:rPr>
                <w:color w:val="auto"/>
                <w:highlight w:val="none"/>
              </w:rPr>
            </w:pPr>
            <w:r>
              <w:rPr>
                <w:rFonts w:hint="eastAsia"/>
                <w:color w:val="auto"/>
                <w:highlight w:val="none"/>
              </w:rPr>
              <w:t>④机组应配有应急备用油缸或采取其它措施，保证在机组启动前、运行期间、突然停电以及逐渐停止阶段润滑系统均能正常供油。如主机发热部件的冷却采用冷冻水冷却方式，该部分冷冻水管道安装及保温由卖方负责。</w:t>
            </w:r>
          </w:p>
          <w:p>
            <w:pPr>
              <w:rPr>
                <w:color w:val="auto"/>
                <w:highlight w:val="none"/>
              </w:rPr>
            </w:pPr>
            <w:r>
              <w:rPr>
                <w:rFonts w:hint="eastAsia"/>
                <w:color w:val="auto"/>
                <w:highlight w:val="none"/>
              </w:rPr>
              <w:t>⑤机组支架底座：机组结构支架和底座须为原厂制造，应能抵受强台风的吹袭。机组所有外露或与潮湿空气接触的金属构件，必须采用有效的防腐蚀的措施。构件组装需采用不锈钢或经认可的防锈处理的金属螺栓及螺帽。</w:t>
            </w:r>
          </w:p>
          <w:p>
            <w:pPr>
              <w:rPr>
                <w:color w:val="auto"/>
                <w:highlight w:val="none"/>
              </w:rPr>
            </w:pPr>
            <w:r>
              <w:rPr>
                <w:rFonts w:hint="eastAsia"/>
                <w:color w:val="auto"/>
                <w:highlight w:val="none"/>
              </w:rPr>
              <w:t>⑥电动机：电动机应采用高效低噪的进口品牌产品，电机须符合我国有关电机技术及安全标准要求。电动机应为全天候式专供室外使用、全封闭低噪声高效率专用电动机，绝缘等级不低于</w:t>
            </w:r>
            <w:r>
              <w:rPr>
                <w:color w:val="auto"/>
                <w:highlight w:val="none"/>
              </w:rPr>
              <w:t>F</w:t>
            </w:r>
            <w:r>
              <w:rPr>
                <w:rFonts w:hint="eastAsia"/>
                <w:color w:val="auto"/>
                <w:highlight w:val="none"/>
              </w:rPr>
              <w:t>级，防护等级不低于</w:t>
            </w:r>
            <w:r>
              <w:rPr>
                <w:color w:val="auto"/>
                <w:highlight w:val="none"/>
              </w:rPr>
              <w:t>IP55</w:t>
            </w:r>
            <w:r>
              <w:rPr>
                <w:rFonts w:hint="eastAsia"/>
                <w:color w:val="auto"/>
                <w:highlight w:val="none"/>
              </w:rPr>
              <w:t>。须提供有效的质量检验报告。</w:t>
            </w:r>
          </w:p>
          <w:p>
            <w:pPr>
              <w:rPr>
                <w:color w:val="auto"/>
                <w:highlight w:val="none"/>
              </w:rPr>
            </w:pPr>
            <w:r>
              <w:rPr>
                <w:rFonts w:hint="eastAsia"/>
                <w:color w:val="auto"/>
                <w:highlight w:val="none"/>
              </w:rPr>
              <w:t>⑦风机</w:t>
            </w:r>
          </w:p>
          <w:p>
            <w:pPr>
              <w:rPr>
                <w:color w:val="auto"/>
                <w:highlight w:val="none"/>
              </w:rPr>
            </w:pPr>
            <w:r>
              <w:rPr>
                <w:color w:val="auto"/>
                <w:highlight w:val="none"/>
              </w:rPr>
              <w:t>a.</w:t>
            </w:r>
            <w:r>
              <w:rPr>
                <w:rFonts w:hint="eastAsia"/>
                <w:color w:val="auto"/>
                <w:highlight w:val="none"/>
              </w:rPr>
              <w:t>冷凝器冷却系统由多台风机组成时，机组能根据制冷负荷变化控制风机停止和运行的台数。风机电动机绕组内部应安装有过热保护开关。</w:t>
            </w:r>
          </w:p>
          <w:p>
            <w:pPr>
              <w:rPr>
                <w:color w:val="auto"/>
                <w:highlight w:val="none"/>
              </w:rPr>
            </w:pPr>
            <w:r>
              <w:rPr>
                <w:color w:val="auto"/>
                <w:highlight w:val="none"/>
              </w:rPr>
              <w:t>b.</w:t>
            </w:r>
            <w:r>
              <w:rPr>
                <w:rFonts w:hint="eastAsia"/>
                <w:color w:val="auto"/>
                <w:highlight w:val="none"/>
              </w:rPr>
              <w:t>风机应为高效低噪低转速的进口品牌产品，风机生产厂家至少需具有五年以上生产同类型的风机经验。风机叶轮及轮毂采用精密模压工艺分别一次成型，叶轮采用铝合金或镀锌钢板制作，并采用高效率、高强度叶轮结构，并在制造厂内进行静平衡和动平衡试验测试合格。须保证所选风机工况点接近最高效率点（需提供风机性能曲线图以表示所选取风机的工作点）。叶轮应经动、静平衡试验进行校正。风机表面应作防腐处理，漆层应牢固、色泽均匀，无起泡、缩皱和剥落现象。风机应为高效率低噪声产品，每台风机须附有详细标明厂家的名称、设备的型号和编号及有关的技术数据等资料的标志铬牌。风机在正常使用情况下寿命至少为</w:t>
            </w:r>
            <w:r>
              <w:rPr>
                <w:color w:val="auto"/>
                <w:highlight w:val="none"/>
              </w:rPr>
              <w:t>15</w:t>
            </w:r>
            <w:r>
              <w:rPr>
                <w:rFonts w:hint="eastAsia"/>
                <w:color w:val="auto"/>
                <w:highlight w:val="none"/>
              </w:rPr>
              <w:t>年，且须提供有效的质量检验报告。</w:t>
            </w:r>
          </w:p>
          <w:p>
            <w:pPr>
              <w:rPr>
                <w:color w:val="auto"/>
                <w:highlight w:val="none"/>
              </w:rPr>
            </w:pPr>
            <w:r>
              <w:rPr>
                <w:color w:val="auto"/>
                <w:highlight w:val="none"/>
              </w:rPr>
              <w:t>c.</w:t>
            </w:r>
            <w:r>
              <w:rPr>
                <w:rFonts w:hint="eastAsia"/>
                <w:color w:val="auto"/>
                <w:highlight w:val="none"/>
              </w:rPr>
              <w:t>冷凝风机的轴承应为进口优质轴承。轴承的额定寿命应不小于</w:t>
            </w:r>
            <w:r>
              <w:rPr>
                <w:color w:val="auto"/>
                <w:highlight w:val="none"/>
              </w:rPr>
              <w:t>10</w:t>
            </w:r>
            <w:r>
              <w:rPr>
                <w:rFonts w:hint="eastAsia"/>
                <w:color w:val="auto"/>
                <w:highlight w:val="none"/>
              </w:rPr>
              <w:t>年。</w:t>
            </w:r>
          </w:p>
          <w:p>
            <w:pPr>
              <w:rPr>
                <w:color w:val="auto"/>
                <w:highlight w:val="none"/>
              </w:rPr>
            </w:pPr>
            <w:r>
              <w:rPr>
                <w:rFonts w:hint="eastAsia"/>
                <w:color w:val="auto"/>
                <w:highlight w:val="none"/>
              </w:rPr>
              <w:t>（</w:t>
            </w:r>
            <w:r>
              <w:rPr>
                <w:color w:val="auto"/>
                <w:highlight w:val="none"/>
              </w:rPr>
              <w:t>6</w:t>
            </w:r>
            <w:r>
              <w:rPr>
                <w:rFonts w:hint="eastAsia"/>
                <w:color w:val="auto"/>
                <w:highlight w:val="none"/>
              </w:rPr>
              <w:t>）机组配电及自控</w:t>
            </w:r>
          </w:p>
          <w:p>
            <w:pPr>
              <w:rPr>
                <w:color w:val="auto"/>
                <w:highlight w:val="none"/>
              </w:rPr>
            </w:pPr>
            <w:r>
              <w:rPr>
                <w:color w:val="auto"/>
                <w:highlight w:val="none"/>
              </w:rPr>
              <w:t>1</w:t>
            </w:r>
            <w:r>
              <w:rPr>
                <w:rFonts w:hint="eastAsia"/>
                <w:color w:val="auto"/>
                <w:highlight w:val="none"/>
              </w:rPr>
              <w:t>）带动力启动配电柜（启动配电柜须随主机从产地一同发运），采用闭式星</w:t>
            </w:r>
            <w:r>
              <w:rPr>
                <w:color w:val="auto"/>
                <w:highlight w:val="none"/>
              </w:rPr>
              <w:t>/</w:t>
            </w:r>
            <w:r>
              <w:rPr>
                <w:rFonts w:hint="eastAsia"/>
                <w:color w:val="auto"/>
                <w:highlight w:val="none"/>
              </w:rPr>
              <w:t>三角启动或降压启动，启动配电柜主要电气元器件应采用国际知名品牌（参考品牌：</w:t>
            </w:r>
            <w:r>
              <w:rPr>
                <w:color w:val="auto"/>
                <w:highlight w:val="none"/>
              </w:rPr>
              <w:t>ABB</w:t>
            </w:r>
            <w:r>
              <w:rPr>
                <w:rFonts w:hint="eastAsia"/>
                <w:color w:val="auto"/>
                <w:highlight w:val="none"/>
              </w:rPr>
              <w:t>、</w:t>
            </w:r>
            <w:r>
              <w:rPr>
                <w:color w:val="auto"/>
                <w:highlight w:val="none"/>
              </w:rPr>
              <w:t>GE</w:t>
            </w:r>
            <w:r>
              <w:rPr>
                <w:rFonts w:hint="eastAsia"/>
                <w:color w:val="auto"/>
                <w:highlight w:val="none"/>
              </w:rPr>
              <w:t>、施耐德、</w:t>
            </w:r>
            <w:r>
              <w:rPr>
                <w:color w:val="auto"/>
                <w:highlight w:val="none"/>
              </w:rPr>
              <w:t>MOELLER</w:t>
            </w:r>
            <w:r>
              <w:rPr>
                <w:rFonts w:hint="eastAsia"/>
                <w:color w:val="auto"/>
                <w:highlight w:val="none"/>
              </w:rPr>
              <w:t>），并提供清单列明其品牌及产地。电气控制系统应具有抑制电磁干扰、抗电磁干扰的性能。投标人应负责机组启动配电柜与主机之间的电源电线及控制线的采购接驳安装、并负责设备调试至正常运行所需的人工、材料等一切费用及有关服务。</w:t>
            </w:r>
          </w:p>
          <w:p>
            <w:pPr>
              <w:rPr>
                <w:color w:val="auto"/>
                <w:highlight w:val="none"/>
              </w:rPr>
            </w:pPr>
            <w:r>
              <w:rPr>
                <w:color w:val="auto"/>
                <w:highlight w:val="none"/>
              </w:rPr>
              <w:t>2</w:t>
            </w:r>
            <w:r>
              <w:rPr>
                <w:rFonts w:hint="eastAsia"/>
                <w:color w:val="auto"/>
                <w:highlight w:val="none"/>
              </w:rPr>
              <w:t>）每台机组自带本机的微机控制系统和人机界面，对本机进行智能控制和手动控制。控制中心应采用电脑控制，液晶中文显示，参数采用国际标准计量单位，采用触摸键等操作。其主要电气元器件应采用国际知名品牌，并提供清单列明其品牌及产地。</w:t>
            </w:r>
          </w:p>
          <w:p>
            <w:pPr>
              <w:rPr>
                <w:color w:val="auto"/>
                <w:highlight w:val="none"/>
              </w:rPr>
            </w:pPr>
            <w:r>
              <w:rPr>
                <w:color w:val="auto"/>
                <w:highlight w:val="none"/>
              </w:rPr>
              <w:t>3</w:t>
            </w:r>
            <w:r>
              <w:rPr>
                <w:rFonts w:hint="eastAsia"/>
                <w:color w:val="auto"/>
                <w:highlight w:val="none"/>
              </w:rPr>
              <w:t>）在冷水机组控制箱中，应设有远程</w:t>
            </w:r>
            <w:r>
              <w:rPr>
                <w:color w:val="auto"/>
                <w:highlight w:val="none"/>
              </w:rPr>
              <w:t>/</w:t>
            </w:r>
            <w:r>
              <w:rPr>
                <w:rFonts w:hint="eastAsia"/>
                <w:color w:val="auto"/>
                <w:highlight w:val="none"/>
              </w:rPr>
              <w:t>就地控制旋柄开关，在机组触摸屏显示远程</w:t>
            </w:r>
            <w:r>
              <w:rPr>
                <w:color w:val="auto"/>
                <w:highlight w:val="none"/>
              </w:rPr>
              <w:t>/</w:t>
            </w:r>
            <w:r>
              <w:rPr>
                <w:rFonts w:hint="eastAsia"/>
                <w:color w:val="auto"/>
                <w:highlight w:val="none"/>
              </w:rPr>
              <w:t>就地控制状态。机组的启停可通过简单的面板操作以及远程控制实现，其中远程控制可通过硬件和软件任一种方式实现。</w:t>
            </w:r>
          </w:p>
          <w:p>
            <w:pPr>
              <w:rPr>
                <w:color w:val="auto"/>
                <w:highlight w:val="none"/>
              </w:rPr>
            </w:pPr>
            <w:r>
              <w:rPr>
                <w:color w:val="auto"/>
                <w:highlight w:val="none"/>
              </w:rPr>
              <w:t>4</w:t>
            </w:r>
            <w:r>
              <w:rPr>
                <w:rFonts w:hint="eastAsia"/>
                <w:color w:val="auto"/>
                <w:highlight w:val="none"/>
              </w:rPr>
              <w:t>）冷冻水出口温度可以在控制屏幕上设置，也可以通过远程控制设定，机组按设定温度控制并显示。</w:t>
            </w:r>
          </w:p>
          <w:p>
            <w:pPr>
              <w:rPr>
                <w:color w:val="auto"/>
                <w:highlight w:val="none"/>
              </w:rPr>
            </w:pPr>
            <w:r>
              <w:rPr>
                <w:color w:val="auto"/>
                <w:highlight w:val="none"/>
              </w:rPr>
              <w:t>5</w:t>
            </w:r>
            <w:r>
              <w:rPr>
                <w:rFonts w:hint="eastAsia"/>
                <w:color w:val="auto"/>
                <w:highlight w:val="none"/>
              </w:rPr>
              <w:t>）机组基本控制内容：冷冻水温度设定、显示及控制；机组能量显示及控制；冷凝压力显示及控制；蒸发温度、蒸发压力显示及控制；电机缺相保护、三相不平衡保护、电机过载保护；故障报警、显示、记录与故障信号输出功能；显示和控制冷凝风机的运行状况等。</w:t>
            </w:r>
          </w:p>
          <w:p>
            <w:pPr>
              <w:rPr>
                <w:color w:val="auto"/>
                <w:highlight w:val="none"/>
              </w:rPr>
            </w:pPr>
            <w:r>
              <w:rPr>
                <w:color w:val="auto"/>
                <w:highlight w:val="none"/>
              </w:rPr>
              <w:t>6</w:t>
            </w:r>
            <w:r>
              <w:rPr>
                <w:rFonts w:hint="eastAsia"/>
                <w:color w:val="auto"/>
                <w:highlight w:val="none"/>
              </w:rPr>
              <w:t>）机组控制箱需提供机组运行状态、故障状态、电源状态和机组开关状态的无源干接点或接线端子。干接点应避免引入高电位，配线及端子排应与柜内其他线路及端子排分开、单独设置。启动配电柜的防护等级为</w:t>
            </w:r>
            <w:r>
              <w:rPr>
                <w:color w:val="auto"/>
                <w:highlight w:val="none"/>
              </w:rPr>
              <w:t>IP54</w:t>
            </w:r>
            <w:r>
              <w:rPr>
                <w:rFonts w:hint="eastAsia"/>
                <w:color w:val="auto"/>
                <w:highlight w:val="none"/>
              </w:rPr>
              <w:t>以上。</w:t>
            </w:r>
          </w:p>
          <w:p>
            <w:pPr>
              <w:rPr>
                <w:color w:val="auto"/>
                <w:highlight w:val="none"/>
              </w:rPr>
            </w:pPr>
            <w:r>
              <w:rPr>
                <w:rFonts w:hint="eastAsia"/>
                <w:color w:val="auto"/>
                <w:highlight w:val="none"/>
              </w:rPr>
              <w:t>（</w:t>
            </w:r>
            <w:r>
              <w:rPr>
                <w:color w:val="auto"/>
                <w:highlight w:val="none"/>
              </w:rPr>
              <w:t>7</w:t>
            </w:r>
            <w:r>
              <w:rPr>
                <w:rFonts w:hint="eastAsia"/>
                <w:color w:val="auto"/>
                <w:highlight w:val="none"/>
              </w:rPr>
              <w:t>）安全保护功能要求</w:t>
            </w:r>
          </w:p>
          <w:p>
            <w:pPr>
              <w:rPr>
                <w:color w:val="auto"/>
                <w:highlight w:val="none"/>
              </w:rPr>
            </w:pPr>
            <w:r>
              <w:rPr>
                <w:color w:val="auto"/>
                <w:highlight w:val="none"/>
              </w:rPr>
              <w:t>1</w:t>
            </w:r>
            <w:r>
              <w:rPr>
                <w:rFonts w:hint="eastAsia"/>
                <w:color w:val="auto"/>
                <w:highlight w:val="none"/>
              </w:rPr>
              <w:t>）电动机电流过载保护；电源缺相保护；电压过低或过高保护；漏电接地保护；电源突然中断停机保护。</w:t>
            </w:r>
          </w:p>
          <w:p>
            <w:pPr>
              <w:rPr>
                <w:color w:val="auto"/>
                <w:highlight w:val="none"/>
              </w:rPr>
            </w:pPr>
            <w:r>
              <w:rPr>
                <w:color w:val="auto"/>
                <w:highlight w:val="none"/>
              </w:rPr>
              <w:t>2</w:t>
            </w:r>
            <w:r>
              <w:rPr>
                <w:rFonts w:hint="eastAsia"/>
                <w:color w:val="auto"/>
                <w:highlight w:val="none"/>
              </w:rPr>
              <w:t>）冷凝压力、蒸发压力的压力保护；冷冻水、油槽、油封（开式电机）的温度保护；缺水保护。</w:t>
            </w:r>
          </w:p>
          <w:p>
            <w:pPr>
              <w:rPr>
                <w:color w:val="auto"/>
                <w:highlight w:val="none"/>
              </w:rPr>
            </w:pPr>
            <w:r>
              <w:rPr>
                <w:color w:val="auto"/>
                <w:highlight w:val="none"/>
              </w:rPr>
              <w:t>3</w:t>
            </w:r>
            <w:r>
              <w:rPr>
                <w:rFonts w:hint="eastAsia"/>
                <w:color w:val="auto"/>
                <w:highlight w:val="none"/>
              </w:rPr>
              <w:t>）冷水机组须具有低温保护装置。</w:t>
            </w:r>
          </w:p>
          <w:p>
            <w:pPr>
              <w:rPr>
                <w:color w:val="auto"/>
                <w:highlight w:val="none"/>
              </w:rPr>
            </w:pPr>
            <w:r>
              <w:rPr>
                <w:color w:val="auto"/>
                <w:highlight w:val="none"/>
              </w:rPr>
              <w:t>4</w:t>
            </w:r>
            <w:r>
              <w:rPr>
                <w:rFonts w:hint="eastAsia"/>
                <w:color w:val="auto"/>
                <w:highlight w:val="none"/>
              </w:rPr>
              <w:t>）防止循环重新启动保护。</w:t>
            </w:r>
          </w:p>
          <w:p>
            <w:pPr>
              <w:rPr>
                <w:color w:val="auto"/>
                <w:highlight w:val="none"/>
              </w:rPr>
            </w:pPr>
            <w:r>
              <w:rPr>
                <w:color w:val="auto"/>
                <w:highlight w:val="none"/>
              </w:rPr>
              <w:t>5</w:t>
            </w:r>
            <w:r>
              <w:rPr>
                <w:rFonts w:hint="eastAsia"/>
                <w:color w:val="auto"/>
                <w:highlight w:val="none"/>
              </w:rPr>
              <w:t>）负荷过小保护。</w:t>
            </w:r>
          </w:p>
          <w:p>
            <w:pPr>
              <w:rPr>
                <w:color w:val="auto"/>
                <w:highlight w:val="none"/>
              </w:rPr>
            </w:pPr>
            <w:r>
              <w:rPr>
                <w:rFonts w:hint="eastAsia"/>
                <w:color w:val="auto"/>
                <w:highlight w:val="none"/>
              </w:rPr>
              <w:t>（</w:t>
            </w:r>
            <w:r>
              <w:rPr>
                <w:color w:val="auto"/>
                <w:highlight w:val="none"/>
              </w:rPr>
              <w:t>8</w:t>
            </w:r>
            <w:r>
              <w:rPr>
                <w:rFonts w:hint="eastAsia"/>
                <w:color w:val="auto"/>
                <w:highlight w:val="none"/>
              </w:rPr>
              <w:t>）附件及备品备件</w:t>
            </w:r>
          </w:p>
          <w:p>
            <w:pPr>
              <w:rPr>
                <w:color w:val="auto"/>
                <w:highlight w:val="none"/>
              </w:rPr>
            </w:pPr>
            <w:r>
              <w:rPr>
                <w:color w:val="auto"/>
                <w:highlight w:val="none"/>
              </w:rPr>
              <w:t>1</w:t>
            </w:r>
            <w:r>
              <w:rPr>
                <w:rFonts w:hint="eastAsia"/>
                <w:color w:val="auto"/>
                <w:highlight w:val="none"/>
              </w:rPr>
              <w:t>）对于每台机组，投标人必须提供如下附件：</w:t>
            </w:r>
            <w:r>
              <w:rPr>
                <w:color w:val="auto"/>
                <w:highlight w:val="none"/>
              </w:rPr>
              <w:t>A</w:t>
            </w:r>
            <w:r>
              <w:rPr>
                <w:rFonts w:hint="eastAsia"/>
                <w:color w:val="auto"/>
                <w:highlight w:val="none"/>
              </w:rPr>
              <w:t>．与机组配套的弹簧减振器</w:t>
            </w:r>
            <w:r>
              <w:rPr>
                <w:color w:val="auto"/>
                <w:highlight w:val="none"/>
              </w:rPr>
              <w:t>1</w:t>
            </w:r>
            <w:r>
              <w:rPr>
                <w:rFonts w:hint="eastAsia"/>
                <w:color w:val="auto"/>
                <w:highlight w:val="none"/>
              </w:rPr>
              <w:t>套。</w:t>
            </w:r>
            <w:r>
              <w:rPr>
                <w:color w:val="auto"/>
                <w:highlight w:val="none"/>
              </w:rPr>
              <w:t>B</w:t>
            </w:r>
            <w:r>
              <w:rPr>
                <w:rFonts w:hint="eastAsia"/>
                <w:color w:val="auto"/>
                <w:highlight w:val="none"/>
              </w:rPr>
              <w:t>．与机组配套的水流开关或压差开关</w:t>
            </w:r>
            <w:r>
              <w:rPr>
                <w:color w:val="auto"/>
                <w:highlight w:val="none"/>
              </w:rPr>
              <w:t>2</w:t>
            </w:r>
            <w:r>
              <w:rPr>
                <w:rFonts w:hint="eastAsia"/>
                <w:color w:val="auto"/>
                <w:highlight w:val="none"/>
              </w:rPr>
              <w:t>只等。</w:t>
            </w:r>
          </w:p>
          <w:p>
            <w:pPr>
              <w:rPr>
                <w:color w:val="auto"/>
                <w:highlight w:val="none"/>
              </w:rPr>
            </w:pPr>
            <w:r>
              <w:rPr>
                <w:color w:val="auto"/>
                <w:highlight w:val="none"/>
              </w:rPr>
              <w:t>2</w:t>
            </w:r>
            <w:r>
              <w:rPr>
                <w:rFonts w:hint="eastAsia"/>
                <w:color w:val="auto"/>
                <w:highlight w:val="none"/>
              </w:rPr>
              <w:t>）质保期内，投标人须免费提供备品备件。</w:t>
            </w:r>
          </w:p>
          <w:p>
            <w:pPr>
              <w:rPr>
                <w:color w:val="auto"/>
                <w:highlight w:val="none"/>
              </w:rPr>
            </w:pPr>
            <w:r>
              <w:rPr>
                <w:color w:val="auto"/>
                <w:highlight w:val="none"/>
              </w:rPr>
              <w:t>3</w:t>
            </w:r>
            <w:r>
              <w:rPr>
                <w:rFonts w:hint="eastAsia"/>
                <w:color w:val="auto"/>
                <w:highlight w:val="none"/>
              </w:rPr>
              <w:t>）投标人需提供所供设备质保期满后</w:t>
            </w:r>
            <w:r>
              <w:rPr>
                <w:color w:val="auto"/>
                <w:highlight w:val="none"/>
              </w:rPr>
              <w:t>3</w:t>
            </w:r>
            <w:r>
              <w:rPr>
                <w:rFonts w:hint="eastAsia"/>
                <w:color w:val="auto"/>
                <w:highlight w:val="none"/>
              </w:rPr>
              <w:t>年内所需的备品备件清单（含名称、规格、单价、生产厂家及产地）。</w:t>
            </w:r>
          </w:p>
          <w:p>
            <w:pPr>
              <w:rPr>
                <w:color w:val="auto"/>
                <w:highlight w:val="none"/>
              </w:rPr>
            </w:pPr>
            <w:r>
              <w:rPr>
                <w:color w:val="auto"/>
                <w:highlight w:val="none"/>
              </w:rPr>
              <w:t>4</w:t>
            </w:r>
            <w:r>
              <w:rPr>
                <w:rFonts w:hint="eastAsia"/>
                <w:color w:val="auto"/>
                <w:highlight w:val="none"/>
              </w:rPr>
              <w:t>）如所供设备需要专用工具，应配备专用工具</w:t>
            </w:r>
            <w:r>
              <w:rPr>
                <w:color w:val="auto"/>
                <w:highlight w:val="none"/>
              </w:rPr>
              <w:t>1</w:t>
            </w:r>
            <w:r>
              <w:rPr>
                <w:rFonts w:hint="eastAsia"/>
                <w:color w:val="auto"/>
                <w:highlight w:val="none"/>
              </w:rPr>
              <w:t>套，并提供专用工具清单</w:t>
            </w:r>
            <w:r>
              <w:rPr>
                <w:color w:val="auto"/>
                <w:highlight w:val="none"/>
              </w:rPr>
              <w:t>1</w:t>
            </w:r>
            <w:r>
              <w:rPr>
                <w:rFonts w:hint="eastAsia"/>
                <w:color w:val="auto"/>
                <w:highlight w:val="none"/>
              </w:rPr>
              <w:t>份，标明单价，其价格计入投标总价。</w:t>
            </w:r>
          </w:p>
          <w:p>
            <w:pP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70" w:type="dxa"/>
            <w:noWrap w:val="0"/>
            <w:vAlign w:val="center"/>
          </w:tcPr>
          <w:p>
            <w:pPr>
              <w:rPr>
                <w:color w:val="auto"/>
                <w:highlight w:val="none"/>
              </w:rPr>
            </w:pPr>
            <w:r>
              <w:rPr>
                <w:color w:val="auto"/>
                <w:highlight w:val="none"/>
              </w:rPr>
              <w:t>2.</w:t>
            </w:r>
          </w:p>
        </w:tc>
        <w:tc>
          <w:tcPr>
            <w:tcW w:w="1323" w:type="dxa"/>
            <w:noWrap w:val="0"/>
            <w:vAlign w:val="center"/>
          </w:tcPr>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r>
              <w:rPr>
                <w:rFonts w:hint="eastAsia"/>
                <w:color w:val="auto"/>
                <w:highlight w:val="none"/>
              </w:rPr>
              <w:t>空调处理机</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r>
              <w:rPr>
                <w:rFonts w:hint="eastAsia"/>
                <w:color w:val="auto"/>
                <w:highlight w:val="none"/>
              </w:rPr>
              <w:t>空调处理机</w:t>
            </w:r>
          </w:p>
        </w:tc>
        <w:tc>
          <w:tcPr>
            <w:tcW w:w="722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）注册资本不得少于</w:t>
            </w:r>
            <w:r>
              <w:rPr>
                <w:color w:val="auto"/>
                <w:highlight w:val="none"/>
              </w:rPr>
              <w:t>2000</w:t>
            </w:r>
            <w:r>
              <w:rPr>
                <w:rFonts w:hint="eastAsia"/>
                <w:color w:val="auto"/>
                <w:highlight w:val="none"/>
              </w:rPr>
              <w:t>万人民币</w:t>
            </w:r>
            <w:r>
              <w:rPr>
                <w:color w:val="auto"/>
                <w:highlight w:val="none"/>
              </w:rPr>
              <w:t>,</w:t>
            </w:r>
            <w:r>
              <w:rPr>
                <w:rFonts w:hint="eastAsia"/>
                <w:color w:val="auto"/>
                <w:highlight w:val="none"/>
              </w:rPr>
              <w:t>有能力独立生产本工程所需全部设备的空调末端设备专业生产厂；必须具有</w:t>
            </w:r>
            <w:r>
              <w:rPr>
                <w:color w:val="auto"/>
                <w:highlight w:val="none"/>
              </w:rPr>
              <w:t>5</w:t>
            </w:r>
            <w:r>
              <w:rPr>
                <w:rFonts w:hint="eastAsia"/>
                <w:color w:val="auto"/>
                <w:highlight w:val="none"/>
              </w:rPr>
              <w:t>年以上生产同类型设备的历史；</w:t>
            </w:r>
          </w:p>
          <w:p>
            <w:pPr>
              <w:rPr>
                <w:color w:val="auto"/>
                <w:highlight w:val="none"/>
              </w:rPr>
            </w:pPr>
            <w:r>
              <w:rPr>
                <w:rFonts w:hint="eastAsia"/>
                <w:color w:val="auto"/>
                <w:highlight w:val="none"/>
              </w:rPr>
              <w:t>（</w:t>
            </w:r>
            <w:r>
              <w:rPr>
                <w:color w:val="auto"/>
                <w:highlight w:val="none"/>
              </w:rPr>
              <w:t>2</w:t>
            </w:r>
            <w:r>
              <w:rPr>
                <w:rFonts w:hint="eastAsia"/>
                <w:color w:val="auto"/>
                <w:highlight w:val="none"/>
              </w:rPr>
              <w:t>）设备商必须通过</w:t>
            </w:r>
            <w:r>
              <w:rPr>
                <w:color w:val="auto"/>
                <w:highlight w:val="none"/>
              </w:rPr>
              <w:t>ISO9001:2000</w:t>
            </w:r>
            <w:r>
              <w:rPr>
                <w:rFonts w:hint="eastAsia"/>
                <w:color w:val="auto"/>
                <w:highlight w:val="none"/>
              </w:rPr>
              <w:t>系列质量体系认证、</w:t>
            </w:r>
            <w:r>
              <w:rPr>
                <w:color w:val="auto"/>
                <w:highlight w:val="none"/>
              </w:rPr>
              <w:t>ISO14001</w:t>
            </w:r>
            <w:r>
              <w:rPr>
                <w:rFonts w:hint="eastAsia"/>
                <w:color w:val="auto"/>
                <w:highlight w:val="none"/>
              </w:rPr>
              <w:t>（</w:t>
            </w:r>
            <w:r>
              <w:rPr>
                <w:color w:val="auto"/>
                <w:highlight w:val="none"/>
              </w:rPr>
              <w:t>1996</w:t>
            </w:r>
            <w:r>
              <w:rPr>
                <w:rFonts w:hint="eastAsia"/>
                <w:color w:val="auto"/>
                <w:highlight w:val="none"/>
              </w:rPr>
              <w:t>）环境管理体系认证及全国工业产品生产许可证；</w:t>
            </w:r>
          </w:p>
          <w:p>
            <w:pPr>
              <w:rPr>
                <w:color w:val="auto"/>
                <w:highlight w:val="none"/>
              </w:rPr>
            </w:pPr>
            <w:r>
              <w:rPr>
                <w:rFonts w:hint="eastAsia"/>
                <w:color w:val="auto"/>
                <w:highlight w:val="none"/>
              </w:rPr>
              <w:t>（</w:t>
            </w:r>
            <w:r>
              <w:rPr>
                <w:color w:val="auto"/>
                <w:highlight w:val="none"/>
              </w:rPr>
              <w:t>3</w:t>
            </w:r>
            <w:r>
              <w:rPr>
                <w:rFonts w:hint="eastAsia"/>
                <w:color w:val="auto"/>
                <w:highlight w:val="none"/>
              </w:rPr>
              <w:t>）设备商必须在深圳地区设有长期固定的售后服务及维修机构；</w:t>
            </w:r>
          </w:p>
          <w:p>
            <w:pPr>
              <w:rPr>
                <w:color w:val="auto"/>
                <w:highlight w:val="none"/>
              </w:rPr>
            </w:pPr>
            <w:r>
              <w:rPr>
                <w:rFonts w:hint="eastAsia"/>
                <w:color w:val="auto"/>
                <w:highlight w:val="none"/>
              </w:rPr>
              <w:t>（</w:t>
            </w:r>
            <w:r>
              <w:rPr>
                <w:color w:val="auto"/>
                <w:highlight w:val="none"/>
              </w:rPr>
              <w:t>4</w:t>
            </w:r>
            <w:r>
              <w:rPr>
                <w:rFonts w:hint="eastAsia"/>
                <w:color w:val="auto"/>
                <w:highlight w:val="none"/>
              </w:rPr>
              <w:t>）生产销售过单机</w:t>
            </w:r>
            <w:r>
              <w:rPr>
                <w:color w:val="auto"/>
                <w:highlight w:val="none"/>
              </w:rPr>
              <w:t>50000m3/h</w:t>
            </w:r>
            <w:r>
              <w:rPr>
                <w:rFonts w:hint="eastAsia"/>
                <w:color w:val="auto"/>
                <w:highlight w:val="none"/>
              </w:rPr>
              <w:t>以上组合式空调机组。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）应根据现场情况确定制造外型尺寸、水管、风管具体接管位置。</w:t>
            </w:r>
          </w:p>
          <w:p>
            <w:pPr>
              <w:rPr>
                <w:color w:val="auto"/>
                <w:highlight w:val="none"/>
              </w:rPr>
            </w:pPr>
            <w:r>
              <w:rPr>
                <w:rFonts w:hint="eastAsia"/>
                <w:color w:val="auto"/>
                <w:highlight w:val="none"/>
              </w:rPr>
              <w:t>（</w:t>
            </w:r>
            <w:r>
              <w:rPr>
                <w:color w:val="auto"/>
                <w:highlight w:val="none"/>
              </w:rPr>
              <w:t>2</w:t>
            </w:r>
            <w:r>
              <w:rPr>
                <w:rFonts w:hint="eastAsia"/>
                <w:color w:val="auto"/>
                <w:highlight w:val="none"/>
              </w:rPr>
              <w:t>）设备供应商负责设备到施工现场的拼装调试和指导安装。</w:t>
            </w:r>
          </w:p>
          <w:p>
            <w:pPr>
              <w:rPr>
                <w:color w:val="auto"/>
                <w:highlight w:val="none"/>
              </w:rPr>
            </w:pPr>
            <w:r>
              <w:rPr>
                <w:rFonts w:hint="eastAsia"/>
                <w:color w:val="auto"/>
                <w:highlight w:val="none"/>
              </w:rPr>
              <w:t>（</w:t>
            </w:r>
            <w:r>
              <w:rPr>
                <w:color w:val="auto"/>
                <w:highlight w:val="none"/>
              </w:rPr>
              <w:t>3</w:t>
            </w:r>
            <w:r>
              <w:rPr>
                <w:rFonts w:hint="eastAsia"/>
                <w:color w:val="auto"/>
                <w:highlight w:val="none"/>
              </w:rPr>
              <w:t>）设备供应商应提供的设备计算、设计技术性能资料：</w:t>
            </w:r>
          </w:p>
          <w:p>
            <w:pPr>
              <w:rPr>
                <w:color w:val="auto"/>
                <w:highlight w:val="none"/>
              </w:rPr>
            </w:pPr>
            <w:r>
              <w:rPr>
                <w:color w:val="auto"/>
                <w:highlight w:val="none"/>
              </w:rPr>
              <w:t>1</w:t>
            </w:r>
            <w:r>
              <w:rPr>
                <w:rFonts w:hint="eastAsia"/>
                <w:color w:val="auto"/>
                <w:highlight w:val="none"/>
              </w:rPr>
              <w:t>）空调机组的设计方案、产品特点（包括风机选型资料、机组构造示意图、箱体结构强度设计资料等）；</w:t>
            </w:r>
          </w:p>
          <w:p>
            <w:pPr>
              <w:rPr>
                <w:color w:val="auto"/>
                <w:highlight w:val="none"/>
              </w:rPr>
            </w:pPr>
            <w:r>
              <w:rPr>
                <w:color w:val="auto"/>
                <w:highlight w:val="none"/>
              </w:rPr>
              <w:t>2</w:t>
            </w:r>
            <w:r>
              <w:rPr>
                <w:rFonts w:hint="eastAsia"/>
                <w:color w:val="auto"/>
                <w:highlight w:val="none"/>
              </w:rPr>
              <w:t>）完整的产品设计图纸</w:t>
            </w:r>
          </w:p>
          <w:p>
            <w:pPr>
              <w:rPr>
                <w:color w:val="auto"/>
                <w:highlight w:val="none"/>
              </w:rPr>
            </w:pPr>
            <w:r>
              <w:rPr>
                <w:color w:val="auto"/>
                <w:highlight w:val="none"/>
              </w:rPr>
              <w:t>3</w:t>
            </w:r>
            <w:r>
              <w:rPr>
                <w:rFonts w:hint="eastAsia"/>
                <w:color w:val="auto"/>
                <w:highlight w:val="none"/>
              </w:rPr>
              <w:t>）权威的表冷器热工性能、风机性能和噪音的电脑选型计算结果。</w:t>
            </w:r>
          </w:p>
          <w:p>
            <w:pPr>
              <w:rPr>
                <w:color w:val="auto"/>
                <w:highlight w:val="none"/>
              </w:rPr>
            </w:pPr>
            <w:r>
              <w:rPr>
                <w:rFonts w:hint="eastAsia"/>
                <w:color w:val="auto"/>
                <w:highlight w:val="none"/>
              </w:rPr>
              <w:t>（</w:t>
            </w:r>
            <w:r>
              <w:rPr>
                <w:color w:val="auto"/>
                <w:highlight w:val="none"/>
              </w:rPr>
              <w:t>4</w:t>
            </w:r>
            <w:r>
              <w:rPr>
                <w:rFonts w:hint="eastAsia"/>
                <w:color w:val="auto"/>
                <w:highlight w:val="none"/>
              </w:rPr>
              <w:t>）原材料及零部件质量要求</w:t>
            </w:r>
          </w:p>
          <w:p>
            <w:pPr>
              <w:rPr>
                <w:color w:val="auto"/>
                <w:highlight w:val="none"/>
              </w:rPr>
            </w:pPr>
            <w:r>
              <w:rPr>
                <w:color w:val="auto"/>
                <w:highlight w:val="none"/>
              </w:rPr>
              <w:t>1</w:t>
            </w:r>
            <w:r>
              <w:rPr>
                <w:rFonts w:hint="eastAsia"/>
                <w:color w:val="auto"/>
                <w:highlight w:val="none"/>
              </w:rPr>
              <w:t>）机组内配置的风机、电机、过滤器、表冷器以及其他零部件应符合国家有关标准的规定。</w:t>
            </w:r>
          </w:p>
          <w:p>
            <w:pPr>
              <w:rPr>
                <w:color w:val="auto"/>
                <w:highlight w:val="none"/>
              </w:rPr>
            </w:pPr>
            <w:r>
              <w:rPr>
                <w:color w:val="auto"/>
                <w:highlight w:val="none"/>
              </w:rPr>
              <w:t>2</w:t>
            </w:r>
            <w:r>
              <w:rPr>
                <w:rFonts w:hint="eastAsia"/>
                <w:color w:val="auto"/>
                <w:highlight w:val="none"/>
              </w:rPr>
              <w:t>）机组所采用的钢板、铜管、铝箔等材料应符合有关标准规定，并提供这些材料的检测报告。</w:t>
            </w:r>
          </w:p>
          <w:p>
            <w:pPr>
              <w:rPr>
                <w:color w:val="auto"/>
                <w:highlight w:val="none"/>
              </w:rPr>
            </w:pPr>
            <w:r>
              <w:rPr>
                <w:color w:val="auto"/>
                <w:highlight w:val="none"/>
              </w:rPr>
              <w:t>3</w:t>
            </w:r>
            <w:r>
              <w:rPr>
                <w:rFonts w:hint="eastAsia"/>
                <w:color w:val="auto"/>
                <w:highlight w:val="none"/>
              </w:rPr>
              <w:t>）机组箱体采用的保温、隔声材料应无毒、无腐蚀、无异味，具有非燃或难燃、不易吸水等特性，并提供这些材料的检测报告。</w:t>
            </w:r>
          </w:p>
          <w:p>
            <w:pPr>
              <w:rPr>
                <w:color w:val="auto"/>
                <w:highlight w:val="none"/>
              </w:rPr>
            </w:pPr>
            <w:r>
              <w:rPr>
                <w:color w:val="auto"/>
                <w:highlight w:val="none"/>
              </w:rPr>
              <w:t>4</w:t>
            </w:r>
            <w:r>
              <w:rPr>
                <w:rFonts w:hint="eastAsia"/>
                <w:color w:val="auto"/>
                <w:highlight w:val="none"/>
              </w:rPr>
              <w:t>）除了过滤器、轴承、密封圈及转动部件可能在正常寿命期间更换外，其余的材料和部件应在正常情况下运行不少于</w:t>
            </w:r>
            <w:r>
              <w:rPr>
                <w:color w:val="auto"/>
                <w:highlight w:val="none"/>
              </w:rPr>
              <w:t>15</w:t>
            </w:r>
            <w:r>
              <w:rPr>
                <w:rFonts w:hint="eastAsia"/>
                <w:color w:val="auto"/>
                <w:highlight w:val="none"/>
              </w:rPr>
              <w:t>年。厂家还应提供主要部件使用年限。</w:t>
            </w:r>
          </w:p>
          <w:p>
            <w:pPr>
              <w:rPr>
                <w:color w:val="auto"/>
                <w:highlight w:val="none"/>
              </w:rPr>
            </w:pPr>
            <w:r>
              <w:rPr>
                <w:rFonts w:hint="eastAsia"/>
                <w:color w:val="auto"/>
                <w:highlight w:val="none"/>
              </w:rPr>
              <w:t>（</w:t>
            </w:r>
            <w:r>
              <w:rPr>
                <w:color w:val="auto"/>
                <w:highlight w:val="none"/>
              </w:rPr>
              <w:t>5</w:t>
            </w:r>
            <w:r>
              <w:rPr>
                <w:rFonts w:hint="eastAsia"/>
                <w:color w:val="auto"/>
                <w:highlight w:val="none"/>
              </w:rPr>
              <w:t>）整机性能要求</w:t>
            </w:r>
          </w:p>
          <w:p>
            <w:pPr>
              <w:rPr>
                <w:color w:val="auto"/>
                <w:highlight w:val="none"/>
              </w:rPr>
            </w:pPr>
            <w:r>
              <w:rPr>
                <w:color w:val="auto"/>
                <w:highlight w:val="none"/>
              </w:rPr>
              <w:t>1</w:t>
            </w:r>
            <w:r>
              <w:rPr>
                <w:rFonts w:hint="eastAsia"/>
                <w:color w:val="auto"/>
                <w:highlight w:val="none"/>
              </w:rPr>
              <w:t>）风量和风压：风量投标值不得低于招标值（设计值）的</w:t>
            </w:r>
            <w:r>
              <w:rPr>
                <w:color w:val="auto"/>
                <w:highlight w:val="none"/>
              </w:rPr>
              <w:t>97%</w:t>
            </w:r>
            <w:r>
              <w:rPr>
                <w:rFonts w:hint="eastAsia"/>
                <w:color w:val="auto"/>
                <w:highlight w:val="none"/>
              </w:rPr>
              <w:t>，风量投标值不得高于招标值（设计值）的</w:t>
            </w:r>
            <w:r>
              <w:rPr>
                <w:color w:val="auto"/>
                <w:highlight w:val="none"/>
              </w:rPr>
              <w:t>110%</w:t>
            </w:r>
            <w:r>
              <w:rPr>
                <w:rFonts w:hint="eastAsia"/>
                <w:color w:val="auto"/>
                <w:highlight w:val="none"/>
              </w:rPr>
              <w:t>。风量、风压实测值不得低于投标值的</w:t>
            </w:r>
            <w:r>
              <w:rPr>
                <w:color w:val="auto"/>
                <w:highlight w:val="none"/>
              </w:rPr>
              <w:t>95%</w:t>
            </w:r>
            <w:r>
              <w:rPr>
                <w:rFonts w:hint="eastAsia"/>
                <w:color w:val="auto"/>
                <w:highlight w:val="none"/>
              </w:rPr>
              <w:t>，风量、风压实测值不得高于投标值的</w:t>
            </w:r>
            <w:r>
              <w:rPr>
                <w:color w:val="auto"/>
                <w:highlight w:val="none"/>
              </w:rPr>
              <w:t>115%</w:t>
            </w:r>
            <w:r>
              <w:rPr>
                <w:rFonts w:hint="eastAsia"/>
                <w:color w:val="auto"/>
                <w:highlight w:val="none"/>
              </w:rPr>
              <w:t>。</w:t>
            </w:r>
          </w:p>
          <w:p>
            <w:pPr>
              <w:rPr>
                <w:color w:val="auto"/>
                <w:highlight w:val="none"/>
              </w:rPr>
            </w:pPr>
            <w:r>
              <w:rPr>
                <w:color w:val="auto"/>
                <w:highlight w:val="none"/>
              </w:rPr>
              <w:t>2</w:t>
            </w:r>
            <w:r>
              <w:rPr>
                <w:rFonts w:hint="eastAsia"/>
                <w:color w:val="auto"/>
                <w:highlight w:val="none"/>
              </w:rPr>
              <w:t>）漏风量：机组内静压保存</w:t>
            </w:r>
            <w:r>
              <w:rPr>
                <w:color w:val="auto"/>
                <w:highlight w:val="none"/>
              </w:rPr>
              <w:t>700Pa</w:t>
            </w:r>
            <w:r>
              <w:rPr>
                <w:rFonts w:hint="eastAsia"/>
                <w:color w:val="auto"/>
                <w:highlight w:val="none"/>
              </w:rPr>
              <w:t>时，机组漏风量不大于</w:t>
            </w:r>
            <w:r>
              <w:rPr>
                <w:color w:val="auto"/>
                <w:highlight w:val="none"/>
              </w:rPr>
              <w:t>1%</w:t>
            </w:r>
            <w:r>
              <w:rPr>
                <w:rFonts w:hint="eastAsia"/>
                <w:color w:val="auto"/>
                <w:highlight w:val="none"/>
              </w:rPr>
              <w:t>。</w:t>
            </w:r>
          </w:p>
          <w:p>
            <w:pPr>
              <w:rPr>
                <w:color w:val="auto"/>
                <w:highlight w:val="none"/>
              </w:rPr>
            </w:pPr>
            <w:r>
              <w:rPr>
                <w:color w:val="auto"/>
                <w:highlight w:val="none"/>
              </w:rPr>
              <w:t>3</w:t>
            </w:r>
            <w:r>
              <w:rPr>
                <w:rFonts w:hint="eastAsia"/>
                <w:color w:val="auto"/>
                <w:highlight w:val="none"/>
              </w:rPr>
              <w:t>）供冷量：投标值不得低于招标值（设计值）的</w:t>
            </w:r>
            <w:r>
              <w:rPr>
                <w:color w:val="auto"/>
                <w:highlight w:val="none"/>
              </w:rPr>
              <w:t>97%</w:t>
            </w:r>
            <w:r>
              <w:rPr>
                <w:rFonts w:hint="eastAsia"/>
                <w:color w:val="auto"/>
                <w:highlight w:val="none"/>
              </w:rPr>
              <w:t>，实测值不得低于投标值的</w:t>
            </w:r>
            <w:r>
              <w:rPr>
                <w:color w:val="auto"/>
                <w:highlight w:val="none"/>
              </w:rPr>
              <w:t>95%</w:t>
            </w:r>
            <w:r>
              <w:rPr>
                <w:rFonts w:hint="eastAsia"/>
                <w:color w:val="auto"/>
                <w:highlight w:val="none"/>
              </w:rPr>
              <w:t>，投标值不得高于招标值（设计值）的</w:t>
            </w:r>
            <w:r>
              <w:rPr>
                <w:color w:val="auto"/>
                <w:highlight w:val="none"/>
              </w:rPr>
              <w:t>110%</w:t>
            </w:r>
            <w:r>
              <w:rPr>
                <w:rFonts w:hint="eastAsia"/>
                <w:color w:val="auto"/>
                <w:highlight w:val="none"/>
              </w:rPr>
              <w:t>，实测值不得低于投标值的</w:t>
            </w:r>
            <w:r>
              <w:rPr>
                <w:color w:val="auto"/>
                <w:highlight w:val="none"/>
              </w:rPr>
              <w:t>97%</w:t>
            </w:r>
            <w:r>
              <w:rPr>
                <w:rFonts w:hint="eastAsia"/>
                <w:color w:val="auto"/>
                <w:highlight w:val="none"/>
              </w:rPr>
              <w:t>。</w:t>
            </w:r>
          </w:p>
          <w:p>
            <w:pPr>
              <w:rPr>
                <w:color w:val="auto"/>
                <w:highlight w:val="none"/>
              </w:rPr>
            </w:pPr>
            <w:r>
              <w:rPr>
                <w:color w:val="auto"/>
                <w:highlight w:val="none"/>
              </w:rPr>
              <w:t>4</w:t>
            </w:r>
            <w:r>
              <w:rPr>
                <w:rFonts w:hint="eastAsia"/>
                <w:color w:val="auto"/>
                <w:highlight w:val="none"/>
              </w:rPr>
              <w:t>）机组噪声：满足</w:t>
            </w:r>
            <w:r>
              <w:rPr>
                <w:color w:val="auto"/>
                <w:highlight w:val="none"/>
              </w:rPr>
              <w:t>JB/T9066-1999</w:t>
            </w:r>
            <w:r>
              <w:rPr>
                <w:rFonts w:hint="eastAsia"/>
                <w:color w:val="auto"/>
                <w:highlight w:val="none"/>
              </w:rPr>
              <w:t>和</w:t>
            </w:r>
            <w:r>
              <w:rPr>
                <w:color w:val="auto"/>
                <w:highlight w:val="none"/>
              </w:rPr>
              <w:t>GB/T14294-2008</w:t>
            </w:r>
            <w:r>
              <w:rPr>
                <w:rFonts w:hint="eastAsia"/>
                <w:color w:val="auto"/>
                <w:highlight w:val="none"/>
              </w:rPr>
              <w:t>要求。</w:t>
            </w:r>
          </w:p>
          <w:p>
            <w:pPr>
              <w:rPr>
                <w:color w:val="auto"/>
                <w:highlight w:val="none"/>
              </w:rPr>
            </w:pPr>
            <w:r>
              <w:rPr>
                <w:color w:val="auto"/>
                <w:highlight w:val="none"/>
              </w:rPr>
              <w:t>5</w:t>
            </w:r>
            <w:r>
              <w:rPr>
                <w:rFonts w:hint="eastAsia"/>
                <w:color w:val="auto"/>
                <w:highlight w:val="none"/>
              </w:rPr>
              <w:t>）机组振动：风机转速大于</w:t>
            </w:r>
            <w:r>
              <w:rPr>
                <w:color w:val="auto"/>
                <w:highlight w:val="none"/>
              </w:rPr>
              <w:t>800rpm</w:t>
            </w:r>
            <w:r>
              <w:rPr>
                <w:rFonts w:hint="eastAsia"/>
                <w:color w:val="auto"/>
                <w:highlight w:val="none"/>
              </w:rPr>
              <w:t>时，振动速度不大于</w:t>
            </w:r>
            <w:r>
              <w:rPr>
                <w:color w:val="auto"/>
                <w:highlight w:val="none"/>
              </w:rPr>
              <w:t>4mm/s</w:t>
            </w:r>
            <w:r>
              <w:rPr>
                <w:rFonts w:hint="eastAsia"/>
                <w:color w:val="auto"/>
                <w:highlight w:val="none"/>
              </w:rPr>
              <w:t>；风机转速小于等于</w:t>
            </w:r>
            <w:r>
              <w:rPr>
                <w:color w:val="auto"/>
                <w:highlight w:val="none"/>
              </w:rPr>
              <w:t>800rpm</w:t>
            </w:r>
            <w:r>
              <w:rPr>
                <w:rFonts w:hint="eastAsia"/>
                <w:color w:val="auto"/>
                <w:highlight w:val="none"/>
              </w:rPr>
              <w:t>时，振动速度不大于</w:t>
            </w:r>
            <w:r>
              <w:rPr>
                <w:color w:val="auto"/>
                <w:highlight w:val="none"/>
              </w:rPr>
              <w:t>3mm/s</w:t>
            </w:r>
            <w:r>
              <w:rPr>
                <w:rFonts w:hint="eastAsia"/>
                <w:color w:val="auto"/>
                <w:highlight w:val="none"/>
              </w:rPr>
              <w:t>。</w:t>
            </w:r>
          </w:p>
          <w:p>
            <w:pPr>
              <w:rPr>
                <w:color w:val="auto"/>
                <w:highlight w:val="none"/>
              </w:rPr>
            </w:pPr>
            <w:r>
              <w:rPr>
                <w:color w:val="auto"/>
                <w:highlight w:val="none"/>
              </w:rPr>
              <w:t>6</w:t>
            </w:r>
            <w:r>
              <w:rPr>
                <w:rFonts w:hint="eastAsia"/>
                <w:color w:val="auto"/>
                <w:highlight w:val="none"/>
              </w:rPr>
              <w:t>）断面风速均匀度：不小于</w:t>
            </w:r>
            <w:r>
              <w:rPr>
                <w:color w:val="auto"/>
                <w:highlight w:val="none"/>
              </w:rPr>
              <w:t>80%</w:t>
            </w:r>
            <w:r>
              <w:rPr>
                <w:rFonts w:hint="eastAsia"/>
                <w:color w:val="auto"/>
                <w:highlight w:val="none"/>
              </w:rPr>
              <w:t>。</w:t>
            </w:r>
          </w:p>
          <w:p>
            <w:pPr>
              <w:rPr>
                <w:color w:val="auto"/>
                <w:highlight w:val="none"/>
              </w:rPr>
            </w:pPr>
            <w:r>
              <w:rPr>
                <w:color w:val="auto"/>
                <w:highlight w:val="none"/>
              </w:rPr>
              <w:t>7</w:t>
            </w:r>
            <w:r>
              <w:rPr>
                <w:rFonts w:hint="eastAsia"/>
                <w:color w:val="auto"/>
                <w:highlight w:val="none"/>
              </w:rPr>
              <w:t>）机组外形尺寸不超过设计图纸所规定的尺寸。</w:t>
            </w:r>
          </w:p>
          <w:p>
            <w:pPr>
              <w:rPr>
                <w:color w:val="auto"/>
                <w:highlight w:val="none"/>
              </w:rPr>
            </w:pPr>
            <w:r>
              <w:rPr>
                <w:color w:val="auto"/>
                <w:highlight w:val="none"/>
              </w:rPr>
              <w:t>8</w:t>
            </w:r>
            <w:r>
              <w:rPr>
                <w:rFonts w:hint="eastAsia"/>
                <w:color w:val="auto"/>
                <w:highlight w:val="none"/>
              </w:rPr>
              <w:t>）厂家应负责将机组内所有用电设备的电源线引至箱体外合适位置的接线盒或配电箱上。</w:t>
            </w:r>
          </w:p>
          <w:p>
            <w:pPr>
              <w:rPr>
                <w:color w:val="auto"/>
                <w:highlight w:val="none"/>
              </w:rPr>
            </w:pPr>
            <w:r>
              <w:rPr>
                <w:color w:val="auto"/>
                <w:highlight w:val="none"/>
              </w:rPr>
              <w:t>9</w:t>
            </w:r>
            <w:r>
              <w:rPr>
                <w:rFonts w:hint="eastAsia"/>
                <w:color w:val="auto"/>
                <w:highlight w:val="none"/>
              </w:rPr>
              <w:t>）整机性能参数为负偏差的设备数量不允许超过总数量的</w:t>
            </w:r>
            <w:r>
              <w:rPr>
                <w:color w:val="auto"/>
                <w:highlight w:val="none"/>
              </w:rPr>
              <w:t>50</w:t>
            </w:r>
            <w:r>
              <w:rPr>
                <w:rFonts w:hint="eastAsia"/>
                <w:color w:val="auto"/>
                <w:highlight w:val="none"/>
              </w:rPr>
              <w:t>％。</w:t>
            </w:r>
          </w:p>
          <w:p>
            <w:pPr>
              <w:rPr>
                <w:color w:val="auto"/>
                <w:highlight w:val="none"/>
              </w:rPr>
            </w:pPr>
            <w:r>
              <w:rPr>
                <w:color w:val="auto"/>
                <w:highlight w:val="none"/>
              </w:rPr>
              <w:t>10</w:t>
            </w:r>
            <w:r>
              <w:rPr>
                <w:rFonts w:hint="eastAsia"/>
                <w:color w:val="auto"/>
                <w:highlight w:val="none"/>
              </w:rPr>
              <w:t>）当空调机组的风量采用变频控制，厂家提供的设备配置、结构等需最优地满足变频控制要求。</w:t>
            </w:r>
          </w:p>
          <w:p>
            <w:pPr>
              <w:rPr>
                <w:color w:val="auto"/>
                <w:highlight w:val="none"/>
              </w:rPr>
            </w:pPr>
            <w:r>
              <w:rPr>
                <w:rFonts w:hint="eastAsia"/>
                <w:color w:val="auto"/>
                <w:highlight w:val="none"/>
              </w:rPr>
              <w:t>（</w:t>
            </w:r>
            <w:r>
              <w:rPr>
                <w:color w:val="auto"/>
                <w:highlight w:val="none"/>
              </w:rPr>
              <w:t>6</w:t>
            </w:r>
            <w:r>
              <w:rPr>
                <w:rFonts w:hint="eastAsia"/>
                <w:color w:val="auto"/>
                <w:highlight w:val="none"/>
              </w:rPr>
              <w:t>）机组主要部分技术要求：</w:t>
            </w:r>
          </w:p>
          <w:p>
            <w:pPr>
              <w:rPr>
                <w:color w:val="auto"/>
                <w:highlight w:val="none"/>
              </w:rPr>
            </w:pPr>
            <w:r>
              <w:rPr>
                <w:color w:val="auto"/>
                <w:highlight w:val="none"/>
              </w:rPr>
              <w:t>1</w:t>
            </w:r>
            <w:r>
              <w:rPr>
                <w:rFonts w:hint="eastAsia"/>
                <w:color w:val="auto"/>
                <w:highlight w:val="none"/>
              </w:rPr>
              <w:t>）机组骨架、箱板：</w:t>
            </w:r>
          </w:p>
          <w:p>
            <w:pPr>
              <w:rPr>
                <w:color w:val="auto"/>
                <w:highlight w:val="none"/>
              </w:rPr>
            </w:pPr>
            <w:r>
              <w:rPr>
                <w:rFonts w:hint="eastAsia"/>
                <w:color w:val="auto"/>
                <w:highlight w:val="none"/>
              </w:rPr>
              <w:t>①骨架：框架为无焊接连接，可以完全拆卸。机组必须有至少</w:t>
            </w:r>
            <w:r>
              <w:rPr>
                <w:color w:val="auto"/>
                <w:highlight w:val="none"/>
              </w:rPr>
              <w:t>100mm</w:t>
            </w:r>
            <w:r>
              <w:rPr>
                <w:rFonts w:hint="eastAsia"/>
                <w:color w:val="auto"/>
                <w:highlight w:val="none"/>
              </w:rPr>
              <w:t>高钢制基座。</w:t>
            </w:r>
          </w:p>
          <w:p>
            <w:pPr>
              <w:rPr>
                <w:color w:val="auto"/>
                <w:highlight w:val="none"/>
              </w:rPr>
            </w:pPr>
            <w:r>
              <w:rPr>
                <w:rFonts w:hint="eastAsia"/>
                <w:color w:val="auto"/>
                <w:highlight w:val="none"/>
              </w:rPr>
              <w:t>②箱板：所有的面板可以完全拆卸而不会影响到结构强度和其他段位的箱体。面板内壁采用</w:t>
            </w:r>
            <w:r>
              <w:rPr>
                <w:color w:val="auto"/>
                <w:highlight w:val="none"/>
              </w:rPr>
              <w:t>0.8mm</w:t>
            </w:r>
            <w:r>
              <w:rPr>
                <w:rFonts w:hint="eastAsia"/>
                <w:color w:val="auto"/>
                <w:highlight w:val="none"/>
              </w:rPr>
              <w:t>厚的热浸镀锌钢板，面板外壁采用</w:t>
            </w:r>
            <w:r>
              <w:rPr>
                <w:color w:val="auto"/>
                <w:highlight w:val="none"/>
              </w:rPr>
              <w:t>1.0mm</w:t>
            </w:r>
            <w:r>
              <w:rPr>
                <w:rFonts w:hint="eastAsia"/>
                <w:color w:val="auto"/>
                <w:highlight w:val="none"/>
              </w:rPr>
              <w:t>厚的静电喷涂镀锌钢板或彩钢板。面板的强度必须保证在机组运行时的挠度不大于面板尺寸的</w:t>
            </w:r>
            <w:r>
              <w:rPr>
                <w:color w:val="auto"/>
                <w:highlight w:val="none"/>
              </w:rPr>
              <w:t>1/120,</w:t>
            </w:r>
            <w:r>
              <w:rPr>
                <w:rFonts w:hint="eastAsia"/>
                <w:color w:val="auto"/>
                <w:highlight w:val="none"/>
              </w:rPr>
              <w:t>箱体的设计承压能力不小于风机全压的</w:t>
            </w:r>
            <w:r>
              <w:rPr>
                <w:color w:val="auto"/>
                <w:highlight w:val="none"/>
              </w:rPr>
              <w:t>1.5</w:t>
            </w:r>
            <w:r>
              <w:rPr>
                <w:rFonts w:hint="eastAsia"/>
                <w:color w:val="auto"/>
                <w:highlight w:val="none"/>
              </w:rPr>
              <w:t>倍。面板厚度不低于</w:t>
            </w:r>
            <w:r>
              <w:rPr>
                <w:color w:val="auto"/>
                <w:highlight w:val="none"/>
              </w:rPr>
              <w:t>45mm</w:t>
            </w:r>
            <w:r>
              <w:rPr>
                <w:rFonts w:hint="eastAsia"/>
                <w:color w:val="auto"/>
                <w:highlight w:val="none"/>
              </w:rPr>
              <w:t>，隔热性能良好。保证机组运行过程中在保温层表面无凝结水产生。</w:t>
            </w:r>
          </w:p>
          <w:p>
            <w:pPr>
              <w:rPr>
                <w:color w:val="auto"/>
                <w:highlight w:val="none"/>
              </w:rPr>
            </w:pPr>
            <w:r>
              <w:rPr>
                <w:rFonts w:hint="eastAsia"/>
                <w:color w:val="auto"/>
                <w:highlight w:val="none"/>
              </w:rPr>
              <w:t>③内表面：机组内部表面必须是光滑平整，无边角无凹槽，避免产生湍流。所有连接件和槽缝都必须用防腐抑菌不含硅的密封胶进行密封，并清除所有残留。</w:t>
            </w:r>
          </w:p>
          <w:p>
            <w:pPr>
              <w:rPr>
                <w:color w:val="auto"/>
                <w:highlight w:val="none"/>
              </w:rPr>
            </w:pPr>
            <w:r>
              <w:rPr>
                <w:rFonts w:hint="eastAsia"/>
                <w:color w:val="auto"/>
                <w:highlight w:val="none"/>
              </w:rPr>
              <w:t>④保温材料：保温材料必须妥善地进行安装和保护以避免材料颗粒进入处理空气。保温材料具有保温和消声两重功能并必须用闭孔材料完全密封。</w:t>
            </w:r>
          </w:p>
          <w:p>
            <w:pPr>
              <w:rPr>
                <w:color w:val="auto"/>
                <w:highlight w:val="none"/>
              </w:rPr>
            </w:pPr>
            <w:r>
              <w:rPr>
                <w:rFonts w:hint="eastAsia"/>
                <w:color w:val="auto"/>
                <w:highlight w:val="none"/>
              </w:rPr>
              <w:t>⑤传感器套管为工业电缆密封接头，并做好套管的密封和盖子以杜绝冷桥。电缆套管为工业电缆密封接头，并做好套管的密封和盖子以杜绝冷桥。</w:t>
            </w:r>
          </w:p>
          <w:p>
            <w:pPr>
              <w:rPr>
                <w:color w:val="auto"/>
                <w:highlight w:val="none"/>
              </w:rPr>
            </w:pPr>
            <w:r>
              <w:rPr>
                <w:rFonts w:hint="eastAsia"/>
                <w:color w:val="auto"/>
                <w:highlight w:val="none"/>
              </w:rPr>
              <w:t>⑥装配：面板采用螺栓连接，连接件必须防腐蚀。每个部分提供检修板或检修门，结构必须与面板结构相同。</w:t>
            </w:r>
          </w:p>
          <w:p>
            <w:pPr>
              <w:rPr>
                <w:color w:val="auto"/>
                <w:highlight w:val="none"/>
              </w:rPr>
            </w:pPr>
            <w:r>
              <w:rPr>
                <w:color w:val="auto"/>
                <w:highlight w:val="none"/>
              </w:rPr>
              <w:t>2</w:t>
            </w:r>
            <w:r>
              <w:rPr>
                <w:rFonts w:hint="eastAsia"/>
                <w:color w:val="auto"/>
                <w:highlight w:val="none"/>
              </w:rPr>
              <w:t>）电机：</w:t>
            </w:r>
          </w:p>
          <w:p>
            <w:pPr>
              <w:rPr>
                <w:color w:val="auto"/>
                <w:highlight w:val="none"/>
              </w:rPr>
            </w:pPr>
            <w:r>
              <w:rPr>
                <w:rFonts w:hint="eastAsia"/>
                <w:color w:val="auto"/>
                <w:highlight w:val="none"/>
              </w:rPr>
              <w:t>①采用名优品牌</w:t>
            </w:r>
            <w:r>
              <w:rPr>
                <w:color w:val="auto"/>
                <w:highlight w:val="none"/>
              </w:rPr>
              <w:t>(</w:t>
            </w:r>
            <w:r>
              <w:rPr>
                <w:rFonts w:hint="eastAsia"/>
                <w:color w:val="auto"/>
                <w:highlight w:val="none"/>
              </w:rPr>
              <w:t>西门子、</w:t>
            </w:r>
            <w:r>
              <w:rPr>
                <w:color w:val="auto"/>
                <w:highlight w:val="none"/>
              </w:rPr>
              <w:t>ABB</w:t>
            </w:r>
            <w:r>
              <w:rPr>
                <w:rFonts w:hint="eastAsia"/>
                <w:color w:val="auto"/>
                <w:highlight w:val="none"/>
              </w:rPr>
              <w:t>、东元</w:t>
            </w:r>
            <w:r>
              <w:rPr>
                <w:color w:val="auto"/>
                <w:highlight w:val="none"/>
              </w:rPr>
              <w:t>)</w:t>
            </w:r>
            <w:r>
              <w:rPr>
                <w:rFonts w:hint="eastAsia"/>
                <w:color w:val="auto"/>
                <w:highlight w:val="none"/>
              </w:rPr>
              <w:t>，如采用进口产品，应按原产地所在国有关标准制造并提供所采用的标准名称及版本号，同时应符合我国有关电机技术及安全标准要求。</w:t>
            </w:r>
          </w:p>
          <w:p>
            <w:pPr>
              <w:rPr>
                <w:color w:val="auto"/>
                <w:highlight w:val="none"/>
              </w:rPr>
            </w:pPr>
            <w:r>
              <w:rPr>
                <w:rFonts w:hint="eastAsia"/>
                <w:color w:val="auto"/>
                <w:highlight w:val="none"/>
              </w:rPr>
              <w:t>②电动机应为耐湿热型的风冷全封闭异步电动机，不低于二级能效，绝缘等级不低于</w:t>
            </w:r>
            <w:r>
              <w:rPr>
                <w:color w:val="auto"/>
                <w:highlight w:val="none"/>
              </w:rPr>
              <w:t>F</w:t>
            </w:r>
            <w:r>
              <w:rPr>
                <w:rFonts w:hint="eastAsia"/>
                <w:color w:val="auto"/>
                <w:highlight w:val="none"/>
              </w:rPr>
              <w:t>级，防护等级不低于</w:t>
            </w:r>
            <w:r>
              <w:rPr>
                <w:color w:val="auto"/>
                <w:highlight w:val="none"/>
              </w:rPr>
              <w:t>IP54</w:t>
            </w:r>
            <w:r>
              <w:rPr>
                <w:rFonts w:hint="eastAsia"/>
                <w:color w:val="auto"/>
                <w:highlight w:val="none"/>
              </w:rPr>
              <w:t>，电机转速不应超过</w:t>
            </w:r>
            <w:r>
              <w:rPr>
                <w:color w:val="auto"/>
                <w:highlight w:val="none"/>
              </w:rPr>
              <w:t>1500rpm</w:t>
            </w:r>
            <w:r>
              <w:rPr>
                <w:rFonts w:hint="eastAsia"/>
                <w:color w:val="auto"/>
                <w:highlight w:val="none"/>
              </w:rPr>
              <w:t>，电机应方便安装、调整。</w:t>
            </w:r>
          </w:p>
          <w:p>
            <w:pPr>
              <w:rPr>
                <w:color w:val="auto"/>
                <w:highlight w:val="none"/>
              </w:rPr>
            </w:pPr>
            <w:r>
              <w:rPr>
                <w:rFonts w:hint="eastAsia"/>
                <w:color w:val="auto"/>
                <w:highlight w:val="none"/>
              </w:rPr>
              <w:t>③电机功率不得超过设计功率的</w:t>
            </w:r>
            <w:r>
              <w:rPr>
                <w:color w:val="auto"/>
                <w:highlight w:val="none"/>
              </w:rPr>
              <w:t>110%</w:t>
            </w:r>
            <w:r>
              <w:rPr>
                <w:rFonts w:hint="eastAsia"/>
                <w:color w:val="auto"/>
                <w:highlight w:val="none"/>
              </w:rPr>
              <w:t>。</w:t>
            </w:r>
          </w:p>
          <w:p>
            <w:pPr>
              <w:rPr>
                <w:color w:val="auto"/>
                <w:highlight w:val="none"/>
              </w:rPr>
            </w:pPr>
            <w:r>
              <w:rPr>
                <w:rFonts w:hint="eastAsia"/>
                <w:color w:val="auto"/>
                <w:highlight w:val="none"/>
              </w:rPr>
              <w:t>④电动机应能在温度≤</w:t>
            </w:r>
            <w:r>
              <w:rPr>
                <w:color w:val="auto"/>
                <w:highlight w:val="none"/>
              </w:rPr>
              <w:t>40</w:t>
            </w:r>
            <w:r>
              <w:rPr>
                <w:rFonts w:hint="eastAsia"/>
                <w:color w:val="auto"/>
                <w:highlight w:val="none"/>
              </w:rPr>
              <w:t>℃，相对湿度≤</w:t>
            </w:r>
            <w:r>
              <w:rPr>
                <w:color w:val="auto"/>
                <w:highlight w:val="none"/>
              </w:rPr>
              <w:t>90%</w:t>
            </w:r>
            <w:r>
              <w:rPr>
                <w:rFonts w:hint="eastAsia"/>
                <w:color w:val="auto"/>
                <w:highlight w:val="none"/>
              </w:rPr>
              <w:t>的环境中存储和连续运行，电动机应按原产地所在国有关标准制造并提供应所采用的制造标准，同时应符合我国有关电机安全标准要求。</w:t>
            </w:r>
          </w:p>
          <w:p>
            <w:pPr>
              <w:rPr>
                <w:color w:val="auto"/>
                <w:highlight w:val="none"/>
              </w:rPr>
            </w:pPr>
            <w:r>
              <w:rPr>
                <w:rFonts w:hint="eastAsia"/>
                <w:color w:val="auto"/>
                <w:highlight w:val="none"/>
              </w:rPr>
              <w:t>⑤电机应方便安装、调整，与风机组成的机架应有双向调节功能（电机可前后、左右调节）。</w:t>
            </w:r>
          </w:p>
          <w:p>
            <w:pPr>
              <w:rPr>
                <w:color w:val="auto"/>
                <w:highlight w:val="none"/>
              </w:rPr>
            </w:pPr>
            <w:r>
              <w:rPr>
                <w:rFonts w:hint="eastAsia"/>
                <w:color w:val="auto"/>
                <w:highlight w:val="none"/>
              </w:rPr>
              <w:t>⑥采用变频器启动的空调机组，其所选风机必须采用变频电机，具有优良的变频控制特性，抗过载能力强，所能达到的静压比例高，运行稳定，调节精度高，效率高。</w:t>
            </w:r>
          </w:p>
          <w:p>
            <w:pPr>
              <w:rPr>
                <w:color w:val="auto"/>
                <w:highlight w:val="none"/>
              </w:rPr>
            </w:pPr>
          </w:p>
          <w:p>
            <w:pPr>
              <w:rPr>
                <w:color w:val="auto"/>
                <w:highlight w:val="none"/>
              </w:rPr>
            </w:pPr>
            <w:r>
              <w:rPr>
                <w:color w:val="auto"/>
                <w:highlight w:val="none"/>
              </w:rPr>
              <w:t>3</w:t>
            </w:r>
            <w:r>
              <w:rPr>
                <w:rFonts w:hint="eastAsia"/>
                <w:color w:val="auto"/>
                <w:highlight w:val="none"/>
              </w:rPr>
              <w:t>）风机：</w:t>
            </w:r>
          </w:p>
          <w:p>
            <w:pPr>
              <w:rPr>
                <w:color w:val="auto"/>
                <w:highlight w:val="none"/>
              </w:rPr>
            </w:pPr>
            <w:r>
              <w:rPr>
                <w:rFonts w:hint="eastAsia"/>
                <w:color w:val="auto"/>
                <w:highlight w:val="none"/>
              </w:rPr>
              <w:t>①采用具有</w:t>
            </w:r>
            <w:r>
              <w:rPr>
                <w:color w:val="auto"/>
                <w:highlight w:val="none"/>
              </w:rPr>
              <w:t>AMCA</w:t>
            </w:r>
            <w:r>
              <w:rPr>
                <w:rFonts w:hint="eastAsia"/>
                <w:color w:val="auto"/>
                <w:highlight w:val="none"/>
              </w:rPr>
              <w:t>认证的优质产品。</w:t>
            </w:r>
          </w:p>
          <w:p>
            <w:pPr>
              <w:rPr>
                <w:color w:val="auto"/>
                <w:highlight w:val="none"/>
              </w:rPr>
            </w:pPr>
            <w:r>
              <w:rPr>
                <w:rFonts w:hint="eastAsia"/>
                <w:color w:val="auto"/>
                <w:highlight w:val="none"/>
              </w:rPr>
              <w:t>②风机叶轮采用铝合金或镀锌钢板制作，采用高效率、高强度叶轮结构，并在制造厂内进行静平衡和动平衡试验测试合格。</w:t>
            </w:r>
          </w:p>
          <w:p>
            <w:pPr>
              <w:rPr>
                <w:color w:val="auto"/>
                <w:highlight w:val="none"/>
              </w:rPr>
            </w:pPr>
            <w:r>
              <w:rPr>
                <w:rFonts w:hint="eastAsia"/>
                <w:color w:val="auto"/>
                <w:highlight w:val="none"/>
              </w:rPr>
              <w:t>③所有风机采用皮带传动。</w:t>
            </w:r>
          </w:p>
          <w:p>
            <w:pPr>
              <w:rPr>
                <w:color w:val="auto"/>
                <w:highlight w:val="none"/>
              </w:rPr>
            </w:pPr>
            <w:r>
              <w:rPr>
                <w:rFonts w:hint="eastAsia"/>
                <w:color w:val="auto"/>
                <w:highlight w:val="none"/>
              </w:rPr>
              <w:t>④风机应按原产地所在国有关标准制造并提供所采用的标准名称及版本号。</w:t>
            </w:r>
          </w:p>
          <w:p>
            <w:pPr>
              <w:rPr>
                <w:color w:val="auto"/>
                <w:highlight w:val="none"/>
              </w:rPr>
            </w:pPr>
            <w:r>
              <w:rPr>
                <w:rFonts w:hint="eastAsia"/>
                <w:color w:val="auto"/>
                <w:highlight w:val="none"/>
              </w:rPr>
              <w:t>⑤应提供风机的电脑选型资料和性能曲线图（详细要求见风机选型资料），并保证所选工况点接近最高效率点。</w:t>
            </w:r>
          </w:p>
          <w:p>
            <w:pPr>
              <w:rPr>
                <w:color w:val="auto"/>
                <w:highlight w:val="none"/>
              </w:rPr>
            </w:pPr>
            <w:r>
              <w:rPr>
                <w:rFonts w:hint="eastAsia"/>
                <w:color w:val="auto"/>
                <w:highlight w:val="none"/>
              </w:rPr>
              <w:t>⑥风机出口应设柔性短管，其材质应满足消防要求，并提供材料的检测报告。</w:t>
            </w:r>
          </w:p>
          <w:p>
            <w:pPr>
              <w:rPr>
                <w:color w:val="auto"/>
                <w:highlight w:val="none"/>
              </w:rPr>
            </w:pPr>
            <w:r>
              <w:rPr>
                <w:rFonts w:hint="eastAsia"/>
                <w:color w:val="auto"/>
                <w:highlight w:val="none"/>
              </w:rPr>
              <w:t>⑦风机出风口方向应符合设计施工图纸的要求。</w:t>
            </w:r>
          </w:p>
          <w:p>
            <w:pPr>
              <w:rPr>
                <w:color w:val="auto"/>
                <w:highlight w:val="none"/>
              </w:rPr>
            </w:pPr>
            <w:r>
              <w:rPr>
                <w:rFonts w:hint="eastAsia"/>
                <w:color w:val="auto"/>
                <w:highlight w:val="none"/>
              </w:rPr>
              <w:t>⑧风机应设有为满足下列要求而设计的弹簧隔振装置：风机转速：</w:t>
            </w:r>
            <w:r>
              <w:rPr>
                <w:color w:val="auto"/>
                <w:highlight w:val="none"/>
              </w:rPr>
              <w:t>n</w:t>
            </w:r>
            <w:r>
              <w:rPr>
                <w:rFonts w:hint="eastAsia"/>
                <w:color w:val="auto"/>
                <w:highlight w:val="none"/>
              </w:rPr>
              <w:t>≤</w:t>
            </w:r>
            <w:r>
              <w:rPr>
                <w:color w:val="auto"/>
                <w:highlight w:val="none"/>
              </w:rPr>
              <w:t>450rpm</w:t>
            </w:r>
            <w:r>
              <w:rPr>
                <w:rFonts w:hint="eastAsia"/>
                <w:color w:val="auto"/>
                <w:highlight w:val="none"/>
              </w:rPr>
              <w:t>，减振效率：</w:t>
            </w:r>
            <w:r>
              <w:rPr>
                <w:color w:val="auto"/>
                <w:highlight w:val="none"/>
              </w:rPr>
              <w:t>80%</w:t>
            </w:r>
            <w:r>
              <w:rPr>
                <w:rFonts w:hint="eastAsia"/>
                <w:color w:val="auto"/>
                <w:highlight w:val="none"/>
              </w:rPr>
              <w:t>；风机转速：</w:t>
            </w:r>
            <w:r>
              <w:rPr>
                <w:color w:val="auto"/>
                <w:highlight w:val="none"/>
              </w:rPr>
              <w:t>450 rpm</w:t>
            </w:r>
            <w:r>
              <w:rPr>
                <w:rFonts w:hint="eastAsia"/>
                <w:color w:val="auto"/>
                <w:highlight w:val="none"/>
              </w:rPr>
              <w:t>≤</w:t>
            </w:r>
            <w:r>
              <w:rPr>
                <w:color w:val="auto"/>
                <w:highlight w:val="none"/>
              </w:rPr>
              <w:t>n</w:t>
            </w:r>
            <w:r>
              <w:rPr>
                <w:rFonts w:hint="eastAsia"/>
                <w:color w:val="auto"/>
                <w:highlight w:val="none"/>
              </w:rPr>
              <w:t>≤</w:t>
            </w:r>
            <w:r>
              <w:rPr>
                <w:color w:val="auto"/>
                <w:highlight w:val="none"/>
              </w:rPr>
              <w:t>850 rpm</w:t>
            </w:r>
            <w:r>
              <w:rPr>
                <w:rFonts w:hint="eastAsia"/>
                <w:color w:val="auto"/>
                <w:highlight w:val="none"/>
              </w:rPr>
              <w:t>，减振效率：</w:t>
            </w:r>
            <w:r>
              <w:rPr>
                <w:color w:val="auto"/>
                <w:highlight w:val="none"/>
              </w:rPr>
              <w:t>85%</w:t>
            </w:r>
            <w:r>
              <w:rPr>
                <w:rFonts w:hint="eastAsia"/>
                <w:color w:val="auto"/>
                <w:highlight w:val="none"/>
              </w:rPr>
              <w:t>；风机转速：</w:t>
            </w:r>
            <w:r>
              <w:rPr>
                <w:color w:val="auto"/>
                <w:highlight w:val="none"/>
              </w:rPr>
              <w:t>n</w:t>
            </w:r>
            <w:r>
              <w:rPr>
                <w:rFonts w:hint="eastAsia"/>
                <w:color w:val="auto"/>
                <w:highlight w:val="none"/>
              </w:rPr>
              <w:t>≥</w:t>
            </w:r>
            <w:r>
              <w:rPr>
                <w:color w:val="auto"/>
                <w:highlight w:val="none"/>
              </w:rPr>
              <w:t>850 rpm</w:t>
            </w:r>
            <w:r>
              <w:rPr>
                <w:rFonts w:hint="eastAsia"/>
                <w:color w:val="auto"/>
                <w:highlight w:val="none"/>
              </w:rPr>
              <w:t>，减振效率：</w:t>
            </w:r>
            <w:r>
              <w:rPr>
                <w:color w:val="auto"/>
                <w:highlight w:val="none"/>
              </w:rPr>
              <w:t>90%</w:t>
            </w:r>
            <w:r>
              <w:rPr>
                <w:rFonts w:hint="eastAsia"/>
                <w:color w:val="auto"/>
                <w:highlight w:val="none"/>
              </w:rPr>
              <w:t>。</w:t>
            </w:r>
          </w:p>
          <w:p>
            <w:pPr>
              <w:rPr>
                <w:color w:val="auto"/>
                <w:highlight w:val="none"/>
              </w:rPr>
            </w:pPr>
            <w:r>
              <w:rPr>
                <w:color w:val="auto"/>
                <w:highlight w:val="none"/>
              </w:rPr>
              <w:t>4</w:t>
            </w:r>
            <w:r>
              <w:rPr>
                <w:rFonts w:hint="eastAsia"/>
                <w:color w:val="auto"/>
                <w:highlight w:val="none"/>
              </w:rPr>
              <w:t>）风机出口软连接：采用聚酰胺耐火材料，可以有效地防止撕裂和刺穿，可以在</w:t>
            </w:r>
            <w:r>
              <w:rPr>
                <w:color w:val="auto"/>
                <w:highlight w:val="none"/>
              </w:rPr>
              <w:t>280</w:t>
            </w:r>
            <w:r>
              <w:rPr>
                <w:rFonts w:hint="eastAsia"/>
                <w:color w:val="auto"/>
                <w:highlight w:val="none"/>
              </w:rPr>
              <w:t>度高温环境下使用，并在燃烧时不得释放烟气。</w:t>
            </w:r>
          </w:p>
          <w:p>
            <w:pPr>
              <w:rPr>
                <w:color w:val="auto"/>
                <w:highlight w:val="none"/>
              </w:rPr>
            </w:pPr>
            <w:r>
              <w:rPr>
                <w:color w:val="auto"/>
                <w:highlight w:val="none"/>
              </w:rPr>
              <w:t>5</w:t>
            </w:r>
            <w:r>
              <w:rPr>
                <w:rFonts w:hint="eastAsia"/>
                <w:color w:val="auto"/>
                <w:highlight w:val="none"/>
              </w:rPr>
              <w:t>）机组表冷器</w:t>
            </w:r>
          </w:p>
          <w:p>
            <w:pPr>
              <w:rPr>
                <w:color w:val="auto"/>
                <w:highlight w:val="none"/>
              </w:rPr>
            </w:pPr>
            <w:r>
              <w:rPr>
                <w:rFonts w:hint="eastAsia"/>
                <w:color w:val="auto"/>
                <w:highlight w:val="none"/>
              </w:rPr>
              <w:t>①铜管采用优质紫铜管。</w:t>
            </w:r>
          </w:p>
          <w:p>
            <w:pPr>
              <w:rPr>
                <w:color w:val="auto"/>
                <w:highlight w:val="none"/>
              </w:rPr>
            </w:pPr>
            <w:r>
              <w:rPr>
                <w:rFonts w:hint="eastAsia"/>
                <w:color w:val="auto"/>
                <w:highlight w:val="none"/>
              </w:rPr>
              <w:t>②翅片采用国产优质铝箔制作。应采用高效翅片型式。</w:t>
            </w:r>
          </w:p>
          <w:p>
            <w:pPr>
              <w:rPr>
                <w:color w:val="auto"/>
                <w:highlight w:val="none"/>
              </w:rPr>
            </w:pPr>
            <w:r>
              <w:rPr>
                <w:rFonts w:hint="eastAsia"/>
                <w:color w:val="auto"/>
                <w:highlight w:val="none"/>
              </w:rPr>
              <w:t>③进出集水管应采用壁厚δ≥</w:t>
            </w:r>
            <w:r>
              <w:rPr>
                <w:color w:val="auto"/>
                <w:highlight w:val="none"/>
              </w:rPr>
              <w:t>3mm</w:t>
            </w:r>
            <w:r>
              <w:rPr>
                <w:rFonts w:hint="eastAsia"/>
                <w:color w:val="auto"/>
                <w:highlight w:val="none"/>
              </w:rPr>
              <w:t>的无缝钢管，顶端设排气阀，底部设排水阀或旋塞。</w:t>
            </w:r>
          </w:p>
          <w:p>
            <w:pPr>
              <w:rPr>
                <w:color w:val="auto"/>
                <w:highlight w:val="none"/>
              </w:rPr>
            </w:pPr>
            <w:r>
              <w:rPr>
                <w:rFonts w:hint="eastAsia"/>
                <w:color w:val="auto"/>
                <w:highlight w:val="none"/>
              </w:rPr>
              <w:t>④盘管采用铜管串铝翅片通过整体机械胀管连接而成，铜管与翅片间应紧密结合，以减少接触热阻。</w:t>
            </w:r>
          </w:p>
          <w:p>
            <w:pPr>
              <w:rPr>
                <w:color w:val="auto"/>
                <w:highlight w:val="none"/>
              </w:rPr>
            </w:pPr>
            <w:r>
              <w:rPr>
                <w:rFonts w:hint="eastAsia"/>
                <w:color w:val="auto"/>
                <w:highlight w:val="none"/>
              </w:rPr>
              <w:t>⑤凝结水盘采用不锈钢制作，水盘应加工成带有一定的坡度保证水盘内无积水。水盘底部采用</w:t>
            </w:r>
            <w:r>
              <w:rPr>
                <w:color w:val="auto"/>
                <w:highlight w:val="none"/>
              </w:rPr>
              <w:t>PE</w:t>
            </w:r>
            <w:r>
              <w:rPr>
                <w:rFonts w:hint="eastAsia"/>
                <w:color w:val="auto"/>
                <w:highlight w:val="none"/>
              </w:rPr>
              <w:t>或橡塑板材保温。</w:t>
            </w:r>
          </w:p>
          <w:p>
            <w:pPr>
              <w:rPr>
                <w:color w:val="auto"/>
                <w:highlight w:val="none"/>
              </w:rPr>
            </w:pPr>
            <w:r>
              <w:rPr>
                <w:rFonts w:hint="eastAsia"/>
                <w:color w:val="auto"/>
                <w:highlight w:val="none"/>
              </w:rPr>
              <w:t>⑥盘管及凝结水盘整体应带活动导轨，以方便维护、清洗。</w:t>
            </w:r>
          </w:p>
          <w:p>
            <w:pPr>
              <w:rPr>
                <w:color w:val="auto"/>
                <w:highlight w:val="none"/>
              </w:rPr>
            </w:pPr>
            <w:r>
              <w:rPr>
                <w:rFonts w:hint="eastAsia"/>
                <w:color w:val="auto"/>
                <w:highlight w:val="none"/>
              </w:rPr>
              <w:t>⑦盘管应经气压或水压试验合格，满足规定的工作压力要求。（附报告）</w:t>
            </w:r>
          </w:p>
          <w:p>
            <w:pPr>
              <w:rPr>
                <w:color w:val="auto"/>
                <w:highlight w:val="none"/>
              </w:rPr>
            </w:pPr>
            <w:r>
              <w:rPr>
                <w:rFonts w:hint="eastAsia"/>
                <w:color w:val="auto"/>
                <w:highlight w:val="none"/>
              </w:rPr>
              <w:t>⑧水管接口方向应符合设计施工图纸的要求，如采用法兰连接，每个接口应配带国标法兰。</w:t>
            </w:r>
          </w:p>
          <w:p>
            <w:pPr>
              <w:rPr>
                <w:color w:val="auto"/>
                <w:highlight w:val="none"/>
              </w:rPr>
            </w:pPr>
            <w:r>
              <w:rPr>
                <w:rFonts w:hint="eastAsia"/>
                <w:color w:val="auto"/>
                <w:highlight w:val="none"/>
              </w:rPr>
              <w:t>⑨表冷器水阻不得超过</w:t>
            </w:r>
            <w:r>
              <w:rPr>
                <w:color w:val="auto"/>
                <w:highlight w:val="none"/>
              </w:rPr>
              <w:t>60kPa</w:t>
            </w:r>
            <w:r>
              <w:rPr>
                <w:rFonts w:hint="eastAsia"/>
                <w:color w:val="auto"/>
                <w:highlight w:val="none"/>
              </w:rPr>
              <w:t>。</w:t>
            </w:r>
          </w:p>
          <w:p>
            <w:pPr>
              <w:rPr>
                <w:color w:val="auto"/>
                <w:highlight w:val="none"/>
              </w:rPr>
            </w:pPr>
            <w:r>
              <w:rPr>
                <w:rFonts w:hint="eastAsia"/>
                <w:color w:val="auto"/>
                <w:highlight w:val="none"/>
              </w:rPr>
              <w:t>⑩表冷器盘管应满足招标要求的技术参数，在设计时应考虑一定的安全系数，应提供每种盘管的设计计算书（详细要求见表冷器设计计算书）。</w:t>
            </w:r>
          </w:p>
          <w:p>
            <w:pPr>
              <w:rPr>
                <w:color w:val="auto"/>
                <w:highlight w:val="none"/>
              </w:rPr>
            </w:pPr>
            <w:r>
              <w:rPr>
                <w:rFonts w:ascii="Cambria Math" w:hAnsi="Cambria Math" w:cs="Cambria Math"/>
                <w:color w:val="auto"/>
                <w:highlight w:val="none"/>
              </w:rPr>
              <w:t>⑪</w:t>
            </w:r>
            <w:r>
              <w:rPr>
                <w:rFonts w:hint="eastAsia"/>
                <w:color w:val="auto"/>
                <w:highlight w:val="none"/>
              </w:rPr>
              <w:t>通过盘管的迎面风速超过</w:t>
            </w:r>
            <w:r>
              <w:rPr>
                <w:color w:val="auto"/>
                <w:highlight w:val="none"/>
              </w:rPr>
              <w:t>2.5m/s</w:t>
            </w:r>
            <w:r>
              <w:rPr>
                <w:rFonts w:hint="eastAsia"/>
                <w:color w:val="auto"/>
                <w:highlight w:val="none"/>
              </w:rPr>
              <w:t>时，应设挡水板，挡水板应采用玻璃钢或铝合金材料制作。</w:t>
            </w:r>
          </w:p>
          <w:p>
            <w:pPr>
              <w:rPr>
                <w:color w:val="auto"/>
                <w:highlight w:val="none"/>
              </w:rPr>
            </w:pPr>
            <w:r>
              <w:rPr>
                <w:color w:val="auto"/>
                <w:highlight w:val="none"/>
              </w:rPr>
              <w:t>6</w:t>
            </w:r>
            <w:r>
              <w:rPr>
                <w:rFonts w:hint="eastAsia"/>
                <w:color w:val="auto"/>
                <w:highlight w:val="none"/>
              </w:rPr>
              <w:t>）空调机组过滤器：</w:t>
            </w:r>
          </w:p>
          <w:p>
            <w:pPr>
              <w:rPr>
                <w:color w:val="auto"/>
                <w:highlight w:val="none"/>
              </w:rPr>
            </w:pPr>
            <w:r>
              <w:rPr>
                <w:rFonts w:hint="eastAsia"/>
                <w:color w:val="auto"/>
                <w:highlight w:val="none"/>
              </w:rPr>
              <w:t>①采用国产名牌产品。</w:t>
            </w:r>
          </w:p>
          <w:p>
            <w:pPr>
              <w:rPr>
                <w:color w:val="auto"/>
                <w:highlight w:val="none"/>
              </w:rPr>
            </w:pPr>
            <w:r>
              <w:rPr>
                <w:rFonts w:hint="eastAsia"/>
                <w:color w:val="auto"/>
                <w:highlight w:val="none"/>
              </w:rPr>
              <w:t>②过滤器材料应为非燃或难燃性，并便于采用简单的方法清洗和循环使用。过滤效率应符合</w:t>
            </w:r>
            <w:r>
              <w:rPr>
                <w:color w:val="auto"/>
                <w:highlight w:val="none"/>
              </w:rPr>
              <w:t>GB/T14295-2008</w:t>
            </w:r>
            <w:r>
              <w:rPr>
                <w:rFonts w:hint="eastAsia"/>
                <w:color w:val="auto"/>
                <w:highlight w:val="none"/>
              </w:rPr>
              <w:t>的要求，过滤效率级别不低于粗效。</w:t>
            </w:r>
          </w:p>
          <w:p>
            <w:pPr>
              <w:rPr>
                <w:color w:val="auto"/>
                <w:highlight w:val="none"/>
              </w:rPr>
            </w:pPr>
            <w:r>
              <w:rPr>
                <w:rFonts w:hint="eastAsia"/>
                <w:color w:val="auto"/>
                <w:highlight w:val="none"/>
              </w:rPr>
              <w:t>③在设计风量下，通过过滤器的迎面风速应不超过过滤器制造厂商建议的风速（小于</w:t>
            </w:r>
            <w:r>
              <w:rPr>
                <w:color w:val="auto"/>
                <w:highlight w:val="none"/>
              </w:rPr>
              <w:t>2.5m/s</w:t>
            </w:r>
            <w:r>
              <w:rPr>
                <w:rFonts w:hint="eastAsia"/>
                <w:color w:val="auto"/>
                <w:highlight w:val="none"/>
              </w:rPr>
              <w:t>）。过滤段的进风断面风速均匀度应大于</w:t>
            </w:r>
            <w:r>
              <w:rPr>
                <w:color w:val="auto"/>
                <w:highlight w:val="none"/>
              </w:rPr>
              <w:t>80%</w:t>
            </w:r>
            <w:r>
              <w:rPr>
                <w:rFonts w:hint="eastAsia"/>
                <w:color w:val="auto"/>
                <w:highlight w:val="none"/>
              </w:rPr>
              <w:t>。</w:t>
            </w:r>
          </w:p>
          <w:p>
            <w:pPr>
              <w:rPr>
                <w:color w:val="auto"/>
                <w:highlight w:val="none"/>
              </w:rPr>
            </w:pPr>
            <w:r>
              <w:rPr>
                <w:rFonts w:hint="eastAsia"/>
                <w:color w:val="auto"/>
                <w:highlight w:val="none"/>
              </w:rPr>
              <w:t>④应设检修门以方便过滤器的检修、更换，检修门的设置可在过滤器附近或在其他方便清洗更换过滤器的位置上。</w:t>
            </w:r>
          </w:p>
          <w:p>
            <w:pPr>
              <w:rPr>
                <w:color w:val="auto"/>
                <w:highlight w:val="none"/>
              </w:rPr>
            </w:pPr>
            <w:r>
              <w:rPr>
                <w:rFonts w:hint="eastAsia"/>
                <w:color w:val="auto"/>
                <w:highlight w:val="none"/>
              </w:rPr>
              <w:t>⑤过滤器前后各设置</w:t>
            </w:r>
            <w:r>
              <w:rPr>
                <w:color w:val="auto"/>
                <w:highlight w:val="none"/>
              </w:rPr>
              <w:t>1</w:t>
            </w:r>
            <w:r>
              <w:rPr>
                <w:rFonts w:hint="eastAsia"/>
                <w:color w:val="auto"/>
                <w:highlight w:val="none"/>
              </w:rPr>
              <w:t>个风压测试接口。</w:t>
            </w:r>
          </w:p>
          <w:p>
            <w:pPr>
              <w:rPr>
                <w:color w:val="auto"/>
                <w:highlight w:val="none"/>
              </w:rPr>
            </w:pPr>
            <w:r>
              <w:rPr>
                <w:color w:val="auto"/>
                <w:highlight w:val="none"/>
              </w:rPr>
              <w:t>7</w:t>
            </w:r>
            <w:r>
              <w:rPr>
                <w:rFonts w:hint="eastAsia"/>
                <w:color w:val="auto"/>
                <w:highlight w:val="none"/>
              </w:rPr>
              <w:t>）轴承：</w:t>
            </w:r>
          </w:p>
          <w:p>
            <w:pPr>
              <w:rPr>
                <w:color w:val="auto"/>
                <w:highlight w:val="none"/>
              </w:rPr>
            </w:pPr>
            <w:r>
              <w:rPr>
                <w:rFonts w:hint="eastAsia"/>
                <w:color w:val="auto"/>
                <w:highlight w:val="none"/>
              </w:rPr>
              <w:t>①采用原装进口名牌产品。</w:t>
            </w:r>
          </w:p>
          <w:p>
            <w:pPr>
              <w:rPr>
                <w:color w:val="auto"/>
                <w:highlight w:val="none"/>
              </w:rPr>
            </w:pPr>
            <w:r>
              <w:rPr>
                <w:rFonts w:hint="eastAsia"/>
                <w:color w:val="auto"/>
                <w:highlight w:val="none"/>
              </w:rPr>
              <w:t>②采用油膜自封免维护形式。</w:t>
            </w:r>
          </w:p>
          <w:p>
            <w:pPr>
              <w:rPr>
                <w:color w:val="auto"/>
                <w:highlight w:val="none"/>
              </w:rPr>
            </w:pPr>
            <w:r>
              <w:rPr>
                <w:color w:val="auto"/>
                <w:highlight w:val="none"/>
              </w:rPr>
              <w:t>8</w:t>
            </w:r>
            <w:r>
              <w:rPr>
                <w:rFonts w:hint="eastAsia"/>
                <w:color w:val="auto"/>
                <w:highlight w:val="none"/>
              </w:rPr>
              <w:t>）皮带轮及皮带：皮带轮为欧式锥套装配式皮带轮，并经动静平衡测试。皮带选用进口优质皮带。</w:t>
            </w:r>
          </w:p>
          <w:p>
            <w:pPr>
              <w:rPr>
                <w:color w:val="auto"/>
                <w:highlight w:val="none"/>
              </w:rPr>
            </w:pPr>
            <w:r>
              <w:rPr>
                <w:color w:val="auto"/>
                <w:highlight w:val="none"/>
              </w:rPr>
              <w:t>9</w:t>
            </w:r>
            <w:r>
              <w:rPr>
                <w:rFonts w:hint="eastAsia"/>
                <w:color w:val="auto"/>
                <w:highlight w:val="none"/>
              </w:rPr>
              <w:t>）基座：机组的减振支、吊架和基座，强度应满足机组重量支承及隔振要求。基座应进行防腐处理，使用年限不低于十五年。</w:t>
            </w:r>
          </w:p>
          <w:p>
            <w:pP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70" w:type="dxa"/>
            <w:noWrap w:val="0"/>
            <w:vAlign w:val="center"/>
          </w:tcPr>
          <w:p>
            <w:pPr>
              <w:rPr>
                <w:color w:val="auto"/>
                <w:highlight w:val="none"/>
              </w:rPr>
            </w:pPr>
            <w:r>
              <w:rPr>
                <w:color w:val="auto"/>
                <w:highlight w:val="none"/>
              </w:rPr>
              <w:t>3.</w:t>
            </w:r>
          </w:p>
        </w:tc>
        <w:tc>
          <w:tcPr>
            <w:tcW w:w="1323" w:type="dxa"/>
            <w:noWrap w:val="0"/>
            <w:vAlign w:val="center"/>
          </w:tcPr>
          <w:p>
            <w:pPr>
              <w:rPr>
                <w:color w:val="auto"/>
                <w:highlight w:val="none"/>
              </w:rPr>
            </w:pPr>
            <w:r>
              <w:rPr>
                <w:rFonts w:hint="eastAsia"/>
                <w:color w:val="auto"/>
                <w:highlight w:val="none"/>
              </w:rPr>
              <w:t>空调机组、风机盘管、新风机组、恒温恒湿机</w:t>
            </w:r>
          </w:p>
        </w:tc>
        <w:tc>
          <w:tcPr>
            <w:tcW w:w="722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）注册资金</w:t>
            </w:r>
            <w:r>
              <w:rPr>
                <w:color w:val="auto"/>
                <w:highlight w:val="none"/>
              </w:rPr>
              <w:t xml:space="preserve">2000 </w:t>
            </w:r>
            <w:r>
              <w:rPr>
                <w:rFonts w:hint="eastAsia"/>
                <w:color w:val="auto"/>
                <w:highlight w:val="none"/>
              </w:rPr>
              <w:t>万元及以上；具有</w:t>
            </w:r>
            <w:r>
              <w:rPr>
                <w:color w:val="auto"/>
                <w:highlight w:val="none"/>
              </w:rPr>
              <w:t>5</w:t>
            </w:r>
            <w:r>
              <w:rPr>
                <w:rFonts w:hint="eastAsia"/>
                <w:color w:val="auto"/>
                <w:highlight w:val="none"/>
              </w:rPr>
              <w:t>年以上生产同类型设备的历史；</w:t>
            </w:r>
          </w:p>
          <w:p>
            <w:pPr>
              <w:rPr>
                <w:color w:val="auto"/>
                <w:highlight w:val="none"/>
              </w:rPr>
            </w:pPr>
            <w:r>
              <w:rPr>
                <w:rFonts w:hint="eastAsia"/>
                <w:color w:val="auto"/>
                <w:highlight w:val="none"/>
              </w:rPr>
              <w:t>（</w:t>
            </w:r>
            <w:r>
              <w:rPr>
                <w:color w:val="auto"/>
                <w:highlight w:val="none"/>
              </w:rPr>
              <w:t>2</w:t>
            </w:r>
            <w:r>
              <w:rPr>
                <w:rFonts w:hint="eastAsia"/>
                <w:color w:val="auto"/>
                <w:highlight w:val="none"/>
              </w:rPr>
              <w:t>）设备商必须通过</w:t>
            </w:r>
            <w:r>
              <w:rPr>
                <w:color w:val="auto"/>
                <w:highlight w:val="none"/>
              </w:rPr>
              <w:t>ISO9001:2000</w:t>
            </w:r>
            <w:r>
              <w:rPr>
                <w:rFonts w:hint="eastAsia"/>
                <w:color w:val="auto"/>
                <w:highlight w:val="none"/>
              </w:rPr>
              <w:t>系列质量体系认证、</w:t>
            </w:r>
            <w:r>
              <w:rPr>
                <w:color w:val="auto"/>
                <w:highlight w:val="none"/>
              </w:rPr>
              <w:t>ISO14001</w:t>
            </w:r>
            <w:r>
              <w:rPr>
                <w:rFonts w:hint="eastAsia"/>
                <w:color w:val="auto"/>
                <w:highlight w:val="none"/>
              </w:rPr>
              <w:t>环境管理体系认证及全国工业产品生产许可证</w:t>
            </w:r>
          </w:p>
          <w:p>
            <w:pPr>
              <w:rPr>
                <w:color w:val="auto"/>
                <w:highlight w:val="none"/>
              </w:rPr>
            </w:pPr>
            <w:r>
              <w:rPr>
                <w:rFonts w:hint="eastAsia"/>
                <w:color w:val="auto"/>
                <w:highlight w:val="none"/>
              </w:rPr>
              <w:t>（</w:t>
            </w:r>
            <w:r>
              <w:rPr>
                <w:color w:val="auto"/>
                <w:highlight w:val="none"/>
              </w:rPr>
              <w:t>3</w:t>
            </w:r>
            <w:r>
              <w:rPr>
                <w:rFonts w:hint="eastAsia"/>
                <w:color w:val="auto"/>
                <w:highlight w:val="none"/>
              </w:rPr>
              <w:t>）必须在深圳地区设有长期固定的售后服务及维修机构；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）原材料及零部件质量要求</w:t>
            </w:r>
          </w:p>
          <w:p>
            <w:pPr>
              <w:rPr>
                <w:color w:val="auto"/>
                <w:highlight w:val="none"/>
              </w:rPr>
            </w:pPr>
            <w:r>
              <w:rPr>
                <w:color w:val="auto"/>
                <w:highlight w:val="none"/>
              </w:rPr>
              <w:t>1</w:t>
            </w:r>
            <w:r>
              <w:rPr>
                <w:rFonts w:hint="eastAsia"/>
                <w:color w:val="auto"/>
                <w:highlight w:val="none"/>
              </w:rPr>
              <w:t>）机组内配置的风机、电机、表冷器以及其他零部件应符合国家有关标准的规定。</w:t>
            </w:r>
          </w:p>
          <w:p>
            <w:pPr>
              <w:rPr>
                <w:color w:val="auto"/>
                <w:highlight w:val="none"/>
              </w:rPr>
            </w:pPr>
            <w:r>
              <w:rPr>
                <w:color w:val="auto"/>
                <w:highlight w:val="none"/>
              </w:rPr>
              <w:t>2</w:t>
            </w:r>
            <w:r>
              <w:rPr>
                <w:rFonts w:hint="eastAsia"/>
                <w:color w:val="auto"/>
                <w:highlight w:val="none"/>
              </w:rPr>
              <w:t>）机组所采用的钢板、型材、管材等应符合有关标准规定。</w:t>
            </w:r>
          </w:p>
          <w:p>
            <w:pPr>
              <w:rPr>
                <w:color w:val="auto"/>
                <w:highlight w:val="none"/>
              </w:rPr>
            </w:pPr>
            <w:r>
              <w:rPr>
                <w:color w:val="auto"/>
                <w:highlight w:val="none"/>
              </w:rPr>
              <w:t>3</w:t>
            </w:r>
            <w:r>
              <w:rPr>
                <w:rFonts w:hint="eastAsia"/>
                <w:color w:val="auto"/>
                <w:highlight w:val="none"/>
              </w:rPr>
              <w:t>）采用的保温、隔声材料应无毒、无腐蚀、无异味，并具有非燃或难燃、不易吸水等特性。须提供这些材料的相应检测报告。</w:t>
            </w:r>
          </w:p>
          <w:p>
            <w:pPr>
              <w:rPr>
                <w:color w:val="auto"/>
                <w:highlight w:val="none"/>
              </w:rPr>
            </w:pPr>
            <w:r>
              <w:rPr>
                <w:color w:val="auto"/>
                <w:highlight w:val="none"/>
              </w:rPr>
              <w:t>4</w:t>
            </w:r>
            <w:r>
              <w:rPr>
                <w:rFonts w:hint="eastAsia"/>
                <w:color w:val="auto"/>
                <w:highlight w:val="none"/>
              </w:rPr>
              <w:t>）除了轴承、密封圈及转动部件可能在正常寿命期间更换外，其余的材料和部件应在正常情况下运行不少于</w:t>
            </w:r>
            <w:r>
              <w:rPr>
                <w:color w:val="auto"/>
                <w:highlight w:val="none"/>
              </w:rPr>
              <w:t>15</w:t>
            </w:r>
            <w:r>
              <w:rPr>
                <w:rFonts w:hint="eastAsia"/>
                <w:color w:val="auto"/>
                <w:highlight w:val="none"/>
              </w:rPr>
              <w:t>年。厂家还应提供主要部件使用年限</w:t>
            </w:r>
          </w:p>
          <w:p>
            <w:pPr>
              <w:rPr>
                <w:color w:val="auto"/>
                <w:highlight w:val="none"/>
              </w:rPr>
            </w:pPr>
            <w:r>
              <w:rPr>
                <w:rFonts w:hint="eastAsia"/>
                <w:color w:val="auto"/>
                <w:highlight w:val="none"/>
              </w:rPr>
              <w:t>（</w:t>
            </w:r>
            <w:r>
              <w:rPr>
                <w:color w:val="auto"/>
                <w:highlight w:val="none"/>
              </w:rPr>
              <w:t>2</w:t>
            </w:r>
            <w:r>
              <w:rPr>
                <w:rFonts w:hint="eastAsia"/>
                <w:color w:val="auto"/>
                <w:highlight w:val="none"/>
              </w:rPr>
              <w:t>）整机性能要求</w:t>
            </w:r>
          </w:p>
          <w:p>
            <w:pPr>
              <w:rPr>
                <w:color w:val="auto"/>
                <w:highlight w:val="none"/>
              </w:rPr>
            </w:pPr>
            <w:r>
              <w:rPr>
                <w:color w:val="auto"/>
                <w:highlight w:val="none"/>
              </w:rPr>
              <w:t>1</w:t>
            </w:r>
            <w:r>
              <w:rPr>
                <w:rFonts w:hint="eastAsia"/>
                <w:color w:val="auto"/>
                <w:highlight w:val="none"/>
              </w:rPr>
              <w:t>）风量和风压：风量投标值不得低于招标值（设计值）的</w:t>
            </w:r>
            <w:r>
              <w:rPr>
                <w:color w:val="auto"/>
                <w:highlight w:val="none"/>
              </w:rPr>
              <w:t>97%</w:t>
            </w:r>
            <w:r>
              <w:rPr>
                <w:rFonts w:hint="eastAsia"/>
                <w:color w:val="auto"/>
                <w:highlight w:val="none"/>
              </w:rPr>
              <w:t>，风量投标值不得高于招标值（设计值）的</w:t>
            </w:r>
            <w:r>
              <w:rPr>
                <w:color w:val="auto"/>
                <w:highlight w:val="none"/>
              </w:rPr>
              <w:t>110%</w:t>
            </w:r>
            <w:r>
              <w:rPr>
                <w:rFonts w:hint="eastAsia"/>
                <w:color w:val="auto"/>
                <w:highlight w:val="none"/>
              </w:rPr>
              <w:t>。风量、风压实测值不得低于投标值的</w:t>
            </w:r>
            <w:r>
              <w:rPr>
                <w:color w:val="auto"/>
                <w:highlight w:val="none"/>
              </w:rPr>
              <w:t>95%</w:t>
            </w:r>
            <w:r>
              <w:rPr>
                <w:rFonts w:hint="eastAsia"/>
                <w:color w:val="auto"/>
                <w:highlight w:val="none"/>
              </w:rPr>
              <w:t>，风量、风压实测值不得高于投标值的</w:t>
            </w:r>
            <w:r>
              <w:rPr>
                <w:color w:val="auto"/>
                <w:highlight w:val="none"/>
              </w:rPr>
              <w:t>115%</w:t>
            </w:r>
            <w:r>
              <w:rPr>
                <w:rFonts w:hint="eastAsia"/>
                <w:color w:val="auto"/>
                <w:highlight w:val="none"/>
              </w:rPr>
              <w:t>。</w:t>
            </w:r>
          </w:p>
          <w:p>
            <w:pPr>
              <w:rPr>
                <w:color w:val="auto"/>
                <w:highlight w:val="none"/>
              </w:rPr>
            </w:pPr>
            <w:r>
              <w:rPr>
                <w:color w:val="auto"/>
                <w:highlight w:val="none"/>
              </w:rPr>
              <w:t>2</w:t>
            </w:r>
            <w:r>
              <w:rPr>
                <w:rFonts w:hint="eastAsia"/>
                <w:color w:val="auto"/>
                <w:highlight w:val="none"/>
              </w:rPr>
              <w:t>）供冷量：投标值不得低于招标值（设计值）的</w:t>
            </w:r>
            <w:r>
              <w:rPr>
                <w:color w:val="auto"/>
                <w:highlight w:val="none"/>
              </w:rPr>
              <w:t>97%</w:t>
            </w:r>
            <w:r>
              <w:rPr>
                <w:rFonts w:hint="eastAsia"/>
                <w:color w:val="auto"/>
                <w:highlight w:val="none"/>
              </w:rPr>
              <w:t>，实测值不得低于投标值的</w:t>
            </w:r>
            <w:r>
              <w:rPr>
                <w:color w:val="auto"/>
                <w:highlight w:val="none"/>
              </w:rPr>
              <w:t>95%</w:t>
            </w:r>
            <w:r>
              <w:rPr>
                <w:rFonts w:hint="eastAsia"/>
                <w:color w:val="auto"/>
                <w:highlight w:val="none"/>
              </w:rPr>
              <w:t>，投标值不得高于招标值（设计值）的</w:t>
            </w:r>
            <w:r>
              <w:rPr>
                <w:color w:val="auto"/>
                <w:highlight w:val="none"/>
              </w:rPr>
              <w:t>110%</w:t>
            </w:r>
            <w:r>
              <w:rPr>
                <w:rFonts w:hint="eastAsia"/>
                <w:color w:val="auto"/>
                <w:highlight w:val="none"/>
              </w:rPr>
              <w:t>，实测值不得低于投标值的</w:t>
            </w:r>
            <w:r>
              <w:rPr>
                <w:color w:val="auto"/>
                <w:highlight w:val="none"/>
              </w:rPr>
              <w:t>97%</w:t>
            </w:r>
            <w:r>
              <w:rPr>
                <w:rFonts w:hint="eastAsia"/>
                <w:color w:val="auto"/>
                <w:highlight w:val="none"/>
              </w:rPr>
              <w:t>。</w:t>
            </w:r>
          </w:p>
          <w:p>
            <w:pPr>
              <w:rPr>
                <w:color w:val="auto"/>
                <w:highlight w:val="none"/>
              </w:rPr>
            </w:pPr>
            <w:r>
              <w:rPr>
                <w:color w:val="auto"/>
                <w:highlight w:val="none"/>
              </w:rPr>
              <w:t>3</w:t>
            </w:r>
            <w:r>
              <w:rPr>
                <w:rFonts w:hint="eastAsia"/>
                <w:color w:val="auto"/>
                <w:highlight w:val="none"/>
              </w:rPr>
              <w:t>）噪声：满足</w:t>
            </w:r>
            <w:r>
              <w:rPr>
                <w:color w:val="auto"/>
                <w:highlight w:val="none"/>
              </w:rPr>
              <w:t>GB/T19232-2003</w:t>
            </w:r>
            <w:r>
              <w:rPr>
                <w:rFonts w:hint="eastAsia"/>
                <w:color w:val="auto"/>
                <w:highlight w:val="none"/>
              </w:rPr>
              <w:t>要求。</w:t>
            </w:r>
          </w:p>
          <w:p>
            <w:pPr>
              <w:rPr>
                <w:color w:val="auto"/>
                <w:highlight w:val="none"/>
              </w:rPr>
            </w:pPr>
            <w:r>
              <w:rPr>
                <w:color w:val="auto"/>
                <w:highlight w:val="none"/>
              </w:rPr>
              <w:t>4</w:t>
            </w:r>
            <w:r>
              <w:rPr>
                <w:rFonts w:hint="eastAsia"/>
                <w:color w:val="auto"/>
                <w:highlight w:val="none"/>
              </w:rPr>
              <w:t>）整机性能参数值为负偏差的设备数量不允许超过总数量的</w:t>
            </w:r>
            <w:r>
              <w:rPr>
                <w:color w:val="auto"/>
                <w:highlight w:val="none"/>
              </w:rPr>
              <w:t>50</w:t>
            </w:r>
            <w:r>
              <w:rPr>
                <w:rFonts w:hint="eastAsia"/>
                <w:color w:val="auto"/>
                <w:highlight w:val="none"/>
              </w:rPr>
              <w:t>％。</w:t>
            </w:r>
          </w:p>
          <w:p>
            <w:pPr>
              <w:rPr>
                <w:color w:val="auto"/>
                <w:highlight w:val="none"/>
              </w:rPr>
            </w:pPr>
            <w:r>
              <w:rPr>
                <w:rFonts w:hint="eastAsia"/>
                <w:color w:val="auto"/>
                <w:highlight w:val="none"/>
              </w:rPr>
              <w:t>（</w:t>
            </w:r>
            <w:r>
              <w:rPr>
                <w:color w:val="auto"/>
                <w:highlight w:val="none"/>
              </w:rPr>
              <w:t>3</w:t>
            </w:r>
            <w:r>
              <w:rPr>
                <w:rFonts w:hint="eastAsia"/>
                <w:color w:val="auto"/>
                <w:highlight w:val="none"/>
              </w:rPr>
              <w:t>）风机</w:t>
            </w:r>
          </w:p>
          <w:p>
            <w:pPr>
              <w:rPr>
                <w:color w:val="auto"/>
                <w:highlight w:val="none"/>
              </w:rPr>
            </w:pPr>
            <w:r>
              <w:rPr>
                <w:color w:val="auto"/>
                <w:highlight w:val="none"/>
              </w:rPr>
              <w:t>1</w:t>
            </w:r>
            <w:r>
              <w:rPr>
                <w:rFonts w:hint="eastAsia"/>
                <w:color w:val="auto"/>
                <w:highlight w:val="none"/>
              </w:rPr>
              <w:t>）采用国产名牌产品或进口产品。</w:t>
            </w:r>
          </w:p>
          <w:p>
            <w:pPr>
              <w:rPr>
                <w:color w:val="auto"/>
                <w:highlight w:val="none"/>
              </w:rPr>
            </w:pPr>
            <w:r>
              <w:rPr>
                <w:color w:val="auto"/>
                <w:highlight w:val="none"/>
              </w:rPr>
              <w:t>2</w:t>
            </w:r>
            <w:r>
              <w:rPr>
                <w:rFonts w:hint="eastAsia"/>
                <w:color w:val="auto"/>
                <w:highlight w:val="none"/>
              </w:rPr>
              <w:t>）采用双进风、离心式前曲叶片型风机，叶轮采用铝合金或镀锌钢板制作。</w:t>
            </w:r>
          </w:p>
          <w:p>
            <w:pPr>
              <w:rPr>
                <w:color w:val="auto"/>
                <w:highlight w:val="none"/>
              </w:rPr>
            </w:pPr>
            <w:r>
              <w:rPr>
                <w:color w:val="auto"/>
                <w:highlight w:val="none"/>
              </w:rPr>
              <w:t>3</w:t>
            </w:r>
            <w:r>
              <w:rPr>
                <w:rFonts w:hint="eastAsia"/>
                <w:color w:val="auto"/>
                <w:highlight w:val="none"/>
              </w:rPr>
              <w:t>）采用的风机应满足三档调速的要求。</w:t>
            </w:r>
          </w:p>
          <w:p>
            <w:pPr>
              <w:rPr>
                <w:color w:val="auto"/>
                <w:highlight w:val="none"/>
              </w:rPr>
            </w:pPr>
            <w:r>
              <w:rPr>
                <w:color w:val="auto"/>
                <w:highlight w:val="none"/>
              </w:rPr>
              <w:t>4</w:t>
            </w:r>
            <w:r>
              <w:rPr>
                <w:rFonts w:hint="eastAsia"/>
                <w:color w:val="auto"/>
                <w:highlight w:val="none"/>
              </w:rPr>
              <w:t>）风机叶轮和轴需在制造厂内进行静平衡和动平衡试验（提供测试报告）。</w:t>
            </w:r>
          </w:p>
          <w:p>
            <w:pPr>
              <w:rPr>
                <w:color w:val="auto"/>
                <w:highlight w:val="none"/>
              </w:rPr>
            </w:pPr>
            <w:r>
              <w:rPr>
                <w:rFonts w:hint="eastAsia"/>
                <w:color w:val="auto"/>
                <w:highlight w:val="none"/>
              </w:rPr>
              <w:t>（</w:t>
            </w:r>
            <w:r>
              <w:rPr>
                <w:color w:val="auto"/>
                <w:highlight w:val="none"/>
              </w:rPr>
              <w:t>4</w:t>
            </w:r>
            <w:r>
              <w:rPr>
                <w:rFonts w:hint="eastAsia"/>
                <w:color w:val="auto"/>
                <w:highlight w:val="none"/>
              </w:rPr>
              <w:t>）电机</w:t>
            </w:r>
          </w:p>
          <w:p>
            <w:pPr>
              <w:rPr>
                <w:color w:val="auto"/>
                <w:highlight w:val="none"/>
              </w:rPr>
            </w:pPr>
            <w:r>
              <w:rPr>
                <w:color w:val="auto"/>
                <w:highlight w:val="none"/>
              </w:rPr>
              <w:t>1</w:t>
            </w:r>
            <w:r>
              <w:rPr>
                <w:rFonts w:hint="eastAsia"/>
                <w:color w:val="auto"/>
                <w:highlight w:val="none"/>
              </w:rPr>
              <w:t>）采用名牌合资产品或进口产品，如采用进口产品，应按原产地所在国有关标准制造并提供所采用的标准名称及版本号，同时应符合我国有关电机技术及安全标准要求。</w:t>
            </w:r>
          </w:p>
          <w:p>
            <w:pPr>
              <w:rPr>
                <w:color w:val="auto"/>
                <w:highlight w:val="none"/>
              </w:rPr>
            </w:pPr>
            <w:r>
              <w:rPr>
                <w:color w:val="auto"/>
                <w:highlight w:val="none"/>
              </w:rPr>
              <w:t>2</w:t>
            </w:r>
            <w:r>
              <w:rPr>
                <w:rFonts w:hint="eastAsia"/>
                <w:color w:val="auto"/>
                <w:highlight w:val="none"/>
              </w:rPr>
              <w:t>）采用电容式电机，应满足三档调速的要求。</w:t>
            </w:r>
          </w:p>
          <w:p>
            <w:pPr>
              <w:rPr>
                <w:color w:val="auto"/>
                <w:highlight w:val="none"/>
              </w:rPr>
            </w:pPr>
            <w:r>
              <w:rPr>
                <w:color w:val="auto"/>
                <w:highlight w:val="none"/>
              </w:rPr>
              <w:t>3</w:t>
            </w:r>
            <w:r>
              <w:rPr>
                <w:rFonts w:hint="eastAsia"/>
                <w:color w:val="auto"/>
                <w:highlight w:val="none"/>
              </w:rPr>
              <w:t>）应能在温度≤</w:t>
            </w:r>
            <w:r>
              <w:rPr>
                <w:color w:val="auto"/>
                <w:highlight w:val="none"/>
              </w:rPr>
              <w:t>40</w:t>
            </w:r>
            <w:r>
              <w:rPr>
                <w:rFonts w:hint="eastAsia"/>
                <w:color w:val="auto"/>
                <w:highlight w:val="none"/>
              </w:rPr>
              <w:t>℃，相对湿度≤</w:t>
            </w:r>
            <w:r>
              <w:rPr>
                <w:color w:val="auto"/>
                <w:highlight w:val="none"/>
              </w:rPr>
              <w:t>90%</w:t>
            </w:r>
            <w:r>
              <w:rPr>
                <w:rFonts w:hint="eastAsia"/>
                <w:color w:val="auto"/>
                <w:highlight w:val="none"/>
              </w:rPr>
              <w:t>的环境中存储和连续运行。</w:t>
            </w:r>
          </w:p>
          <w:p>
            <w:pPr>
              <w:rPr>
                <w:color w:val="auto"/>
                <w:highlight w:val="none"/>
              </w:rPr>
            </w:pPr>
            <w:r>
              <w:rPr>
                <w:color w:val="auto"/>
                <w:highlight w:val="none"/>
              </w:rPr>
              <w:t>4</w:t>
            </w:r>
            <w:r>
              <w:rPr>
                <w:rFonts w:hint="eastAsia"/>
                <w:color w:val="auto"/>
                <w:highlight w:val="none"/>
              </w:rPr>
              <w:t>）电机轴承采用国产名牌产品，选用油膜自封免维护形式。</w:t>
            </w:r>
          </w:p>
          <w:p>
            <w:pPr>
              <w:rPr>
                <w:color w:val="auto"/>
                <w:highlight w:val="none"/>
              </w:rPr>
            </w:pPr>
            <w:r>
              <w:rPr>
                <w:rFonts w:hint="eastAsia"/>
                <w:color w:val="auto"/>
                <w:highlight w:val="none"/>
              </w:rPr>
              <w:t>（</w:t>
            </w:r>
            <w:r>
              <w:rPr>
                <w:color w:val="auto"/>
                <w:highlight w:val="none"/>
              </w:rPr>
              <w:t>5</w:t>
            </w:r>
            <w:r>
              <w:rPr>
                <w:rFonts w:hint="eastAsia"/>
                <w:color w:val="auto"/>
                <w:highlight w:val="none"/>
              </w:rPr>
              <w:t>）表冷器</w:t>
            </w:r>
          </w:p>
          <w:p>
            <w:pPr>
              <w:rPr>
                <w:color w:val="auto"/>
                <w:highlight w:val="none"/>
              </w:rPr>
            </w:pPr>
            <w:r>
              <w:rPr>
                <w:color w:val="auto"/>
                <w:highlight w:val="none"/>
              </w:rPr>
              <w:t>1</w:t>
            </w:r>
            <w:r>
              <w:rPr>
                <w:rFonts w:hint="eastAsia"/>
                <w:color w:val="auto"/>
                <w:highlight w:val="none"/>
              </w:rPr>
              <w:t>）铜管采用优质品牌紫铜管。</w:t>
            </w:r>
          </w:p>
          <w:p>
            <w:pPr>
              <w:rPr>
                <w:color w:val="auto"/>
                <w:highlight w:val="none"/>
              </w:rPr>
            </w:pPr>
            <w:r>
              <w:rPr>
                <w:color w:val="auto"/>
                <w:highlight w:val="none"/>
              </w:rPr>
              <w:t>2</w:t>
            </w:r>
            <w:r>
              <w:rPr>
                <w:rFonts w:hint="eastAsia"/>
                <w:color w:val="auto"/>
                <w:highlight w:val="none"/>
              </w:rPr>
              <w:t>）翅片采用国产优质亲水铝箔制作。应采用高效翅片型式。</w:t>
            </w:r>
          </w:p>
          <w:p>
            <w:pPr>
              <w:rPr>
                <w:color w:val="auto"/>
                <w:highlight w:val="none"/>
              </w:rPr>
            </w:pPr>
            <w:r>
              <w:rPr>
                <w:color w:val="auto"/>
                <w:highlight w:val="none"/>
              </w:rPr>
              <w:t>3</w:t>
            </w:r>
            <w:r>
              <w:rPr>
                <w:rFonts w:hint="eastAsia"/>
                <w:color w:val="auto"/>
                <w:highlight w:val="none"/>
              </w:rPr>
              <w:t>）盘管管路顶端应设排气阀。</w:t>
            </w:r>
          </w:p>
          <w:p>
            <w:pPr>
              <w:rPr>
                <w:color w:val="auto"/>
                <w:highlight w:val="none"/>
              </w:rPr>
            </w:pPr>
            <w:r>
              <w:rPr>
                <w:color w:val="auto"/>
                <w:highlight w:val="none"/>
              </w:rPr>
              <w:t>4</w:t>
            </w:r>
            <w:r>
              <w:rPr>
                <w:rFonts w:hint="eastAsia"/>
                <w:color w:val="auto"/>
                <w:highlight w:val="none"/>
              </w:rPr>
              <w:t>）盘管采用铜管串铝翅片通过整体机械胀管连接而成，铜管与翅片间应紧密结合，以减少接触热阻。</w:t>
            </w:r>
          </w:p>
          <w:p>
            <w:pPr>
              <w:rPr>
                <w:color w:val="auto"/>
                <w:highlight w:val="none"/>
              </w:rPr>
            </w:pPr>
            <w:r>
              <w:rPr>
                <w:color w:val="auto"/>
                <w:highlight w:val="none"/>
              </w:rPr>
              <w:t>5</w:t>
            </w:r>
            <w:r>
              <w:rPr>
                <w:rFonts w:hint="eastAsia"/>
                <w:color w:val="auto"/>
                <w:highlight w:val="none"/>
              </w:rPr>
              <w:t>）盘管排数应不少于</w:t>
            </w:r>
            <w:r>
              <w:rPr>
                <w:color w:val="auto"/>
                <w:highlight w:val="none"/>
              </w:rPr>
              <w:t>3</w:t>
            </w:r>
            <w:r>
              <w:rPr>
                <w:rFonts w:hint="eastAsia"/>
                <w:color w:val="auto"/>
                <w:highlight w:val="none"/>
              </w:rPr>
              <w:t>排（含</w:t>
            </w:r>
            <w:r>
              <w:rPr>
                <w:color w:val="auto"/>
                <w:highlight w:val="none"/>
              </w:rPr>
              <w:t>3</w:t>
            </w:r>
            <w:r>
              <w:rPr>
                <w:rFonts w:hint="eastAsia"/>
                <w:color w:val="auto"/>
                <w:highlight w:val="none"/>
              </w:rPr>
              <w:t>排）。</w:t>
            </w:r>
          </w:p>
          <w:p>
            <w:pPr>
              <w:rPr>
                <w:color w:val="auto"/>
                <w:highlight w:val="none"/>
              </w:rPr>
            </w:pPr>
            <w:r>
              <w:rPr>
                <w:color w:val="auto"/>
                <w:highlight w:val="none"/>
              </w:rPr>
              <w:t>6</w:t>
            </w:r>
            <w:r>
              <w:rPr>
                <w:rFonts w:hint="eastAsia"/>
                <w:color w:val="auto"/>
                <w:highlight w:val="none"/>
              </w:rPr>
              <w:t>）盘管应经气压或水压试验合格，满足规定的工作压力要求。（附报告）</w:t>
            </w:r>
          </w:p>
          <w:p>
            <w:pPr>
              <w:rPr>
                <w:color w:val="auto"/>
                <w:highlight w:val="none"/>
              </w:rPr>
            </w:pPr>
            <w:r>
              <w:rPr>
                <w:color w:val="auto"/>
                <w:highlight w:val="none"/>
              </w:rPr>
              <w:t>7</w:t>
            </w:r>
            <w:r>
              <w:rPr>
                <w:rFonts w:hint="eastAsia"/>
                <w:color w:val="auto"/>
                <w:highlight w:val="none"/>
              </w:rPr>
              <w:t>）水管接口方向应符合设计施工图纸的要求。</w:t>
            </w:r>
          </w:p>
          <w:p>
            <w:pPr>
              <w:rPr>
                <w:color w:val="auto"/>
                <w:highlight w:val="none"/>
              </w:rPr>
            </w:pPr>
            <w:r>
              <w:rPr>
                <w:color w:val="auto"/>
                <w:highlight w:val="none"/>
              </w:rPr>
              <w:t>8</w:t>
            </w:r>
            <w:r>
              <w:rPr>
                <w:rFonts w:hint="eastAsia"/>
                <w:color w:val="auto"/>
                <w:highlight w:val="none"/>
              </w:rPr>
              <w:t>）表冷器盘管应满足招标要求的技术参数，在设计时应考虑一定的安全系数，应提供每种盘管的设计计算书。</w:t>
            </w:r>
          </w:p>
          <w:p>
            <w:pPr>
              <w:rPr>
                <w:color w:val="auto"/>
                <w:highlight w:val="none"/>
              </w:rPr>
            </w:pPr>
            <w:r>
              <w:rPr>
                <w:rFonts w:hint="eastAsia"/>
                <w:color w:val="auto"/>
                <w:highlight w:val="none"/>
              </w:rPr>
              <w:t>（</w:t>
            </w:r>
            <w:r>
              <w:rPr>
                <w:color w:val="auto"/>
                <w:highlight w:val="none"/>
              </w:rPr>
              <w:t>6</w:t>
            </w:r>
            <w:r>
              <w:rPr>
                <w:rFonts w:hint="eastAsia"/>
                <w:color w:val="auto"/>
                <w:highlight w:val="none"/>
              </w:rPr>
              <w:t>）机壳</w:t>
            </w:r>
          </w:p>
          <w:p>
            <w:pPr>
              <w:rPr>
                <w:color w:val="auto"/>
                <w:highlight w:val="none"/>
              </w:rPr>
            </w:pPr>
            <w:r>
              <w:rPr>
                <w:rFonts w:hint="eastAsia"/>
                <w:color w:val="auto"/>
                <w:highlight w:val="none"/>
              </w:rPr>
              <w:t>机壳采用δ≥</w:t>
            </w:r>
            <w:r>
              <w:rPr>
                <w:color w:val="auto"/>
                <w:highlight w:val="none"/>
              </w:rPr>
              <w:t>1.0mm</w:t>
            </w:r>
            <w:r>
              <w:rPr>
                <w:rFonts w:hint="eastAsia"/>
                <w:color w:val="auto"/>
                <w:highlight w:val="none"/>
              </w:rPr>
              <w:t>优质镀锌板，并贴绝热材料保温。</w:t>
            </w:r>
          </w:p>
          <w:p>
            <w:pPr>
              <w:rPr>
                <w:color w:val="auto"/>
                <w:highlight w:val="none"/>
              </w:rPr>
            </w:pPr>
            <w:r>
              <w:rPr>
                <w:rFonts w:hint="eastAsia"/>
                <w:color w:val="auto"/>
                <w:highlight w:val="none"/>
              </w:rPr>
              <w:t>（</w:t>
            </w:r>
            <w:r>
              <w:rPr>
                <w:color w:val="auto"/>
                <w:highlight w:val="none"/>
              </w:rPr>
              <w:t>7</w:t>
            </w:r>
            <w:r>
              <w:rPr>
                <w:rFonts w:hint="eastAsia"/>
                <w:color w:val="auto"/>
                <w:highlight w:val="none"/>
              </w:rPr>
              <w:t>）凝结水盘</w:t>
            </w:r>
          </w:p>
          <w:p>
            <w:pPr>
              <w:rPr>
                <w:color w:val="auto"/>
                <w:highlight w:val="none"/>
              </w:rPr>
            </w:pPr>
            <w:r>
              <w:rPr>
                <w:rFonts w:hint="eastAsia"/>
                <w:color w:val="auto"/>
                <w:highlight w:val="none"/>
              </w:rPr>
              <w:t>凝结水盘采用采用加长型凝结水盘，用钢板一次整体冲压成型，并进行防腐和保温；水盘底部采用</w:t>
            </w:r>
            <w:r>
              <w:rPr>
                <w:color w:val="auto"/>
                <w:highlight w:val="none"/>
              </w:rPr>
              <w:t>PE</w:t>
            </w:r>
            <w:r>
              <w:rPr>
                <w:rFonts w:hint="eastAsia"/>
                <w:color w:val="auto"/>
                <w:highlight w:val="none"/>
              </w:rPr>
              <w:t>或橡塑板材保温；采用的保温、隔声材料应无毒、无腐蚀、无异味，并具有非燃或难燃、不易吸水等特性。须提供这些材料的相应检测报告。</w:t>
            </w:r>
          </w:p>
          <w:p>
            <w:pP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70" w:type="dxa"/>
            <w:noWrap w:val="0"/>
            <w:vAlign w:val="center"/>
          </w:tcPr>
          <w:p>
            <w:pPr>
              <w:rPr>
                <w:color w:val="auto"/>
                <w:highlight w:val="none"/>
              </w:rPr>
            </w:pPr>
            <w:r>
              <w:rPr>
                <w:color w:val="auto"/>
                <w:highlight w:val="none"/>
              </w:rPr>
              <w:t>4.</w:t>
            </w:r>
          </w:p>
        </w:tc>
        <w:tc>
          <w:tcPr>
            <w:tcW w:w="1323" w:type="dxa"/>
            <w:noWrap w:val="0"/>
            <w:vAlign w:val="center"/>
          </w:tcPr>
          <w:p>
            <w:pPr>
              <w:rPr>
                <w:color w:val="auto"/>
                <w:highlight w:val="none"/>
              </w:rPr>
            </w:pPr>
            <w:r>
              <w:rPr>
                <w:rFonts w:hint="eastAsia"/>
                <w:color w:val="auto"/>
                <w:highlight w:val="none"/>
              </w:rPr>
              <w:t>风机、</w:t>
            </w:r>
          </w:p>
          <w:p>
            <w:pPr>
              <w:rPr>
                <w:color w:val="auto"/>
                <w:highlight w:val="none"/>
              </w:rPr>
            </w:pPr>
            <w:r>
              <w:rPr>
                <w:rFonts w:hint="eastAsia"/>
                <w:color w:val="auto"/>
                <w:highlight w:val="none"/>
              </w:rPr>
              <w:t>低噪音风机箱、</w:t>
            </w:r>
          </w:p>
          <w:p>
            <w:pPr>
              <w:rPr>
                <w:color w:val="auto"/>
                <w:highlight w:val="none"/>
              </w:rPr>
            </w:pPr>
            <w:r>
              <w:rPr>
                <w:rFonts w:hint="eastAsia"/>
                <w:color w:val="auto"/>
                <w:highlight w:val="none"/>
              </w:rPr>
              <w:t>低噪音排烟风机箱、</w:t>
            </w:r>
          </w:p>
          <w:p>
            <w:pPr>
              <w:rPr>
                <w:color w:val="auto"/>
                <w:highlight w:val="none"/>
              </w:rPr>
            </w:pPr>
            <w:r>
              <w:rPr>
                <w:rFonts w:hint="eastAsia"/>
                <w:color w:val="auto"/>
                <w:highlight w:val="none"/>
              </w:rPr>
              <w:t>轴流风机、</w:t>
            </w:r>
          </w:p>
          <w:p>
            <w:pPr>
              <w:rPr>
                <w:color w:val="auto"/>
                <w:highlight w:val="none"/>
              </w:rPr>
            </w:pPr>
            <w:r>
              <w:rPr>
                <w:rFonts w:hint="eastAsia"/>
                <w:color w:val="auto"/>
                <w:highlight w:val="none"/>
              </w:rPr>
              <w:t>低噪音混流风机、</w:t>
            </w:r>
          </w:p>
          <w:p>
            <w:pPr>
              <w:rPr>
                <w:color w:val="auto"/>
                <w:highlight w:val="none"/>
              </w:rPr>
            </w:pPr>
            <w:r>
              <w:rPr>
                <w:rFonts w:hint="eastAsia"/>
                <w:color w:val="auto"/>
                <w:highlight w:val="none"/>
              </w:rPr>
              <w:t>轴流高温排烟风机</w:t>
            </w:r>
          </w:p>
        </w:tc>
        <w:tc>
          <w:tcPr>
            <w:tcW w:w="722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color w:val="auto"/>
                <w:highlight w:val="none"/>
              </w:rPr>
              <w:t>1</w:t>
            </w:r>
            <w:r>
              <w:rPr>
                <w:rFonts w:hint="eastAsia"/>
                <w:color w:val="auto"/>
                <w:highlight w:val="none"/>
              </w:rPr>
              <w:t>）注册资本不得少于</w:t>
            </w:r>
            <w:r>
              <w:rPr>
                <w:color w:val="auto"/>
                <w:highlight w:val="none"/>
              </w:rPr>
              <w:t>1000</w:t>
            </w:r>
            <w:r>
              <w:rPr>
                <w:rFonts w:hint="eastAsia"/>
                <w:color w:val="auto"/>
                <w:highlight w:val="none"/>
              </w:rPr>
              <w:t>万人民币</w:t>
            </w:r>
          </w:p>
          <w:p>
            <w:pPr>
              <w:rPr>
                <w:color w:val="auto"/>
                <w:highlight w:val="none"/>
              </w:rPr>
            </w:pPr>
            <w:r>
              <w:rPr>
                <w:color w:val="auto"/>
                <w:highlight w:val="none"/>
              </w:rPr>
              <w:t>2</w:t>
            </w:r>
            <w:r>
              <w:rPr>
                <w:rFonts w:hint="eastAsia"/>
                <w:color w:val="auto"/>
                <w:highlight w:val="none"/>
              </w:rPr>
              <w:t>）设备商必须通过</w:t>
            </w:r>
            <w:r>
              <w:rPr>
                <w:color w:val="auto"/>
                <w:highlight w:val="none"/>
              </w:rPr>
              <w:t>ISO9001:2000</w:t>
            </w:r>
            <w:r>
              <w:rPr>
                <w:rFonts w:hint="eastAsia"/>
                <w:color w:val="auto"/>
                <w:highlight w:val="none"/>
              </w:rPr>
              <w:t>系列质量体系认证；</w:t>
            </w:r>
          </w:p>
          <w:p>
            <w:pPr>
              <w:rPr>
                <w:color w:val="auto"/>
                <w:highlight w:val="none"/>
              </w:rPr>
            </w:pPr>
            <w:r>
              <w:rPr>
                <w:color w:val="auto"/>
                <w:highlight w:val="none"/>
              </w:rPr>
              <w:t>3</w:t>
            </w:r>
            <w:r>
              <w:rPr>
                <w:rFonts w:hint="eastAsia"/>
                <w:color w:val="auto"/>
                <w:highlight w:val="none"/>
              </w:rPr>
              <w:t>）设备商必须在深圳地区设有长期固定的售后服务及维修机构；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）采用合资进口产品，并提供产品的国家级检测部门检测报告</w:t>
            </w:r>
            <w:r>
              <w:rPr>
                <w:color w:val="auto"/>
                <w:highlight w:val="none"/>
              </w:rPr>
              <w:t>,</w:t>
            </w:r>
            <w:r>
              <w:rPr>
                <w:rFonts w:hint="eastAsia"/>
                <w:color w:val="auto"/>
                <w:highlight w:val="none"/>
              </w:rPr>
              <w:t>风机应具有</w:t>
            </w:r>
            <w:r>
              <w:rPr>
                <w:color w:val="auto"/>
                <w:highlight w:val="none"/>
              </w:rPr>
              <w:t xml:space="preserve">AMCA </w:t>
            </w:r>
            <w:r>
              <w:rPr>
                <w:rFonts w:hint="eastAsia"/>
                <w:color w:val="auto"/>
                <w:highlight w:val="none"/>
              </w:rPr>
              <w:t>认证或采用与其标准接近的其它先进工业国家的标准生产；</w:t>
            </w:r>
          </w:p>
          <w:p>
            <w:pPr>
              <w:rPr>
                <w:color w:val="auto"/>
                <w:highlight w:val="none"/>
              </w:rPr>
            </w:pPr>
            <w:r>
              <w:rPr>
                <w:rFonts w:hint="eastAsia"/>
                <w:color w:val="auto"/>
                <w:highlight w:val="none"/>
              </w:rPr>
              <w:t>（</w:t>
            </w:r>
            <w:r>
              <w:rPr>
                <w:color w:val="auto"/>
                <w:highlight w:val="none"/>
              </w:rPr>
              <w:t>2</w:t>
            </w:r>
            <w:r>
              <w:rPr>
                <w:rFonts w:hint="eastAsia"/>
                <w:color w:val="auto"/>
                <w:highlight w:val="none"/>
              </w:rPr>
              <w:t>）符合设计及有关规范、标准要求；</w:t>
            </w:r>
          </w:p>
          <w:p>
            <w:pPr>
              <w:rPr>
                <w:color w:val="auto"/>
                <w:highlight w:val="none"/>
              </w:rPr>
            </w:pPr>
            <w:r>
              <w:rPr>
                <w:color w:val="auto"/>
                <w:highlight w:val="none"/>
              </w:rPr>
              <w:t>1</w:t>
            </w:r>
            <w:r>
              <w:rPr>
                <w:rFonts w:hint="eastAsia"/>
                <w:color w:val="auto"/>
                <w:highlight w:val="none"/>
              </w:rPr>
              <w:t>）每台风机须附有详细标明厂家的名称、设备的型号和编号及有关的技术数据等资料的标志铭牌；</w:t>
            </w:r>
          </w:p>
          <w:p>
            <w:pPr>
              <w:rPr>
                <w:color w:val="auto"/>
                <w:highlight w:val="none"/>
              </w:rPr>
            </w:pPr>
            <w:r>
              <w:rPr>
                <w:color w:val="auto"/>
                <w:highlight w:val="none"/>
              </w:rPr>
              <w:t>2</w:t>
            </w:r>
            <w:r>
              <w:rPr>
                <w:rFonts w:hint="eastAsia"/>
                <w:color w:val="auto"/>
                <w:highlight w:val="none"/>
              </w:rPr>
              <w:t>）提供风机示意图和</w:t>
            </w:r>
            <w:r>
              <w:rPr>
                <w:color w:val="auto"/>
                <w:highlight w:val="none"/>
              </w:rPr>
              <w:t>/</w:t>
            </w:r>
            <w:r>
              <w:rPr>
                <w:rFonts w:hint="eastAsia"/>
                <w:color w:val="auto"/>
                <w:highlight w:val="none"/>
              </w:rPr>
              <w:t>或参数表中应明确标示种类、型号、尺寸、安装方位及性能。</w:t>
            </w:r>
          </w:p>
          <w:p>
            <w:pPr>
              <w:rPr>
                <w:color w:val="auto"/>
                <w:highlight w:val="none"/>
              </w:rPr>
            </w:pPr>
            <w:r>
              <w:rPr>
                <w:color w:val="auto"/>
                <w:highlight w:val="none"/>
              </w:rPr>
              <w:t>3</w:t>
            </w:r>
            <w:r>
              <w:rPr>
                <w:rFonts w:hint="eastAsia"/>
                <w:color w:val="auto"/>
                <w:highlight w:val="none"/>
              </w:rPr>
              <w:t>）提供风机及其附件的完整样本及制造图、标明运行工况点的全风量性能曲线、噪音频谱特性。</w:t>
            </w:r>
          </w:p>
          <w:p>
            <w:pPr>
              <w:rPr>
                <w:color w:val="auto"/>
                <w:highlight w:val="none"/>
              </w:rPr>
            </w:pPr>
            <w:r>
              <w:rPr>
                <w:color w:val="auto"/>
                <w:highlight w:val="none"/>
              </w:rPr>
              <w:t>4</w:t>
            </w:r>
            <w:r>
              <w:rPr>
                <w:rFonts w:hint="eastAsia"/>
                <w:color w:val="auto"/>
                <w:highlight w:val="none"/>
              </w:rPr>
              <w:t>）风机所配用的电机应为名优品牌，不低于二级能效，供电条件为：</w:t>
            </w:r>
            <w:r>
              <w:rPr>
                <w:color w:val="auto"/>
                <w:highlight w:val="none"/>
              </w:rPr>
              <w:t>3</w:t>
            </w:r>
            <w:r>
              <w:rPr>
                <w:rFonts w:hint="eastAsia"/>
                <w:color w:val="auto"/>
                <w:highlight w:val="none"/>
              </w:rPr>
              <w:t>Φ</w:t>
            </w:r>
            <w:r>
              <w:rPr>
                <w:color w:val="auto"/>
                <w:highlight w:val="none"/>
              </w:rPr>
              <w:t>/380V/50HZ</w:t>
            </w:r>
            <w:r>
              <w:rPr>
                <w:rFonts w:hint="eastAsia"/>
                <w:color w:val="auto"/>
                <w:highlight w:val="none"/>
              </w:rPr>
              <w:t>或</w:t>
            </w:r>
            <w:r>
              <w:rPr>
                <w:color w:val="auto"/>
                <w:highlight w:val="none"/>
              </w:rPr>
              <w:t>1</w:t>
            </w:r>
            <w:r>
              <w:rPr>
                <w:rFonts w:hint="eastAsia"/>
                <w:color w:val="auto"/>
                <w:highlight w:val="none"/>
              </w:rPr>
              <w:t>Φ</w:t>
            </w:r>
            <w:r>
              <w:rPr>
                <w:color w:val="auto"/>
                <w:highlight w:val="none"/>
              </w:rPr>
              <w:t>/220V/50HZ</w:t>
            </w:r>
            <w:r>
              <w:rPr>
                <w:rFonts w:hint="eastAsia"/>
                <w:color w:val="auto"/>
                <w:highlight w:val="none"/>
              </w:rPr>
              <w:t>，允许电压偏差</w:t>
            </w:r>
            <w:r>
              <w:rPr>
                <w:color w:val="auto"/>
                <w:highlight w:val="none"/>
              </w:rPr>
              <w:t>:+6%</w:t>
            </w:r>
            <w:r>
              <w:rPr>
                <w:rFonts w:hint="eastAsia"/>
                <w:color w:val="auto"/>
                <w:highlight w:val="none"/>
              </w:rPr>
              <w:t>，转速：≤</w:t>
            </w:r>
            <w:r>
              <w:rPr>
                <w:color w:val="auto"/>
                <w:highlight w:val="none"/>
              </w:rPr>
              <w:t>1480rpm</w:t>
            </w:r>
            <w:r>
              <w:rPr>
                <w:rFonts w:hint="eastAsia"/>
                <w:color w:val="auto"/>
                <w:highlight w:val="none"/>
              </w:rPr>
              <w:t>，绝缘等级：</w:t>
            </w:r>
            <w:r>
              <w:rPr>
                <w:color w:val="auto"/>
                <w:highlight w:val="none"/>
              </w:rPr>
              <w:t>F</w:t>
            </w:r>
            <w:r>
              <w:rPr>
                <w:rFonts w:hint="eastAsia"/>
                <w:color w:val="auto"/>
                <w:highlight w:val="none"/>
              </w:rPr>
              <w:t>级</w:t>
            </w:r>
            <w:r>
              <w:rPr>
                <w:color w:val="auto"/>
                <w:highlight w:val="none"/>
              </w:rPr>
              <w:t xml:space="preserve">, </w:t>
            </w:r>
            <w:r>
              <w:rPr>
                <w:rFonts w:hint="eastAsia"/>
                <w:color w:val="auto"/>
                <w:highlight w:val="none"/>
              </w:rPr>
              <w:t>防护等级：</w:t>
            </w:r>
            <w:r>
              <w:rPr>
                <w:color w:val="auto"/>
                <w:highlight w:val="none"/>
              </w:rPr>
              <w:t>IP55</w:t>
            </w:r>
            <w:r>
              <w:rPr>
                <w:rFonts w:hint="eastAsia"/>
                <w:color w:val="auto"/>
                <w:highlight w:val="none"/>
              </w:rPr>
              <w:t>。</w:t>
            </w:r>
          </w:p>
          <w:p>
            <w:pPr>
              <w:rPr>
                <w:color w:val="auto"/>
                <w:highlight w:val="none"/>
              </w:rPr>
            </w:pPr>
            <w:r>
              <w:rPr>
                <w:color w:val="auto"/>
                <w:highlight w:val="none"/>
              </w:rPr>
              <w:t>5</w:t>
            </w:r>
            <w:r>
              <w:rPr>
                <w:rFonts w:hint="eastAsia"/>
                <w:color w:val="auto"/>
                <w:highlight w:val="none"/>
              </w:rPr>
              <w:t>）风机及传动装置应具有良好的接地措施以避免静电累积。</w:t>
            </w:r>
          </w:p>
          <w:p>
            <w:pPr>
              <w:rPr>
                <w:color w:val="auto"/>
                <w:highlight w:val="none"/>
              </w:rPr>
            </w:pPr>
            <w:r>
              <w:rPr>
                <w:rFonts w:hint="eastAsia"/>
                <w:color w:val="auto"/>
                <w:highlight w:val="none"/>
              </w:rPr>
              <w:t>（</w:t>
            </w:r>
            <w:r>
              <w:rPr>
                <w:color w:val="auto"/>
                <w:highlight w:val="none"/>
              </w:rPr>
              <w:t>3</w:t>
            </w:r>
            <w:r>
              <w:rPr>
                <w:rFonts w:hint="eastAsia"/>
                <w:color w:val="auto"/>
                <w:highlight w:val="none"/>
              </w:rPr>
              <w:t>）工艺要求：</w:t>
            </w:r>
          </w:p>
          <w:p>
            <w:pPr>
              <w:rPr>
                <w:color w:val="auto"/>
                <w:highlight w:val="none"/>
              </w:rPr>
            </w:pPr>
            <w:r>
              <w:rPr>
                <w:color w:val="auto"/>
                <w:highlight w:val="none"/>
              </w:rPr>
              <w:t>1</w:t>
            </w:r>
            <w:r>
              <w:rPr>
                <w:rFonts w:hint="eastAsia"/>
                <w:color w:val="auto"/>
                <w:highlight w:val="none"/>
              </w:rPr>
              <w:t>）轴流（混流）风机：</w:t>
            </w:r>
          </w:p>
          <w:p>
            <w:pPr>
              <w:rPr>
                <w:color w:val="auto"/>
                <w:highlight w:val="none"/>
              </w:rPr>
            </w:pPr>
            <w:r>
              <w:rPr>
                <w:rFonts w:hint="eastAsia"/>
                <w:color w:val="auto"/>
                <w:highlight w:val="none"/>
              </w:rPr>
              <w:t>①安装方式、外形尺寸和基本参数详设计图纸。</w:t>
            </w:r>
          </w:p>
          <w:p>
            <w:pPr>
              <w:rPr>
                <w:color w:val="auto"/>
                <w:highlight w:val="none"/>
              </w:rPr>
            </w:pPr>
            <w:r>
              <w:rPr>
                <w:rFonts w:hint="eastAsia"/>
                <w:color w:val="auto"/>
                <w:highlight w:val="none"/>
              </w:rPr>
              <w:t>②消防风机应有消防部门认证。</w:t>
            </w:r>
          </w:p>
          <w:p>
            <w:pPr>
              <w:rPr>
                <w:color w:val="auto"/>
                <w:highlight w:val="none"/>
              </w:rPr>
            </w:pPr>
            <w:r>
              <w:rPr>
                <w:rFonts w:hint="eastAsia"/>
                <w:color w:val="auto"/>
                <w:highlight w:val="none"/>
              </w:rPr>
              <w:t>③风机出口最大风速不超过</w:t>
            </w:r>
            <w:r>
              <w:rPr>
                <w:color w:val="auto"/>
                <w:highlight w:val="none"/>
              </w:rPr>
              <w:t>15m/s</w:t>
            </w:r>
            <w:r>
              <w:rPr>
                <w:rFonts w:hint="eastAsia"/>
                <w:color w:val="auto"/>
                <w:highlight w:val="none"/>
              </w:rPr>
              <w:t>。</w:t>
            </w:r>
          </w:p>
          <w:p>
            <w:pPr>
              <w:rPr>
                <w:color w:val="auto"/>
                <w:highlight w:val="none"/>
              </w:rPr>
            </w:pPr>
            <w:r>
              <w:rPr>
                <w:rFonts w:hint="eastAsia"/>
                <w:color w:val="auto"/>
                <w:highlight w:val="none"/>
              </w:rPr>
              <w:t>④机壳应有至少</w:t>
            </w:r>
            <w:r>
              <w:rPr>
                <w:color w:val="auto"/>
                <w:highlight w:val="none"/>
              </w:rPr>
              <w:t>60</w:t>
            </w:r>
            <w:r>
              <w:rPr>
                <w:rFonts w:hint="eastAsia"/>
                <w:color w:val="auto"/>
                <w:highlight w:val="none"/>
              </w:rPr>
              <w:t>微米厚的烤漆或热镀锌。应使叶片边缘与机壳间的缝隙最小且各处保持均匀。筒身应靠整体翻出</w:t>
            </w:r>
            <w:r>
              <w:rPr>
                <w:color w:val="auto"/>
                <w:highlight w:val="none"/>
              </w:rPr>
              <w:t>90</w:t>
            </w:r>
            <w:r>
              <w:rPr>
                <w:rFonts w:hint="eastAsia"/>
                <w:color w:val="auto"/>
                <w:highlight w:val="none"/>
              </w:rPr>
              <w:t>度的法兰边来保证其圆度。</w:t>
            </w:r>
          </w:p>
          <w:p>
            <w:pPr>
              <w:rPr>
                <w:color w:val="auto"/>
                <w:highlight w:val="none"/>
              </w:rPr>
            </w:pPr>
            <w:r>
              <w:rPr>
                <w:rFonts w:hint="eastAsia"/>
                <w:color w:val="auto"/>
                <w:highlight w:val="none"/>
              </w:rPr>
              <w:t>⑤风机电机的底座及支架应特别的锁紧及固定以保证安全可靠。可以调节控制电机轴在壳体的中心</w:t>
            </w:r>
            <w:r>
              <w:rPr>
                <w:color w:val="auto"/>
                <w:highlight w:val="none"/>
              </w:rPr>
              <w:t>—</w:t>
            </w:r>
            <w:r>
              <w:rPr>
                <w:rFonts w:hint="eastAsia"/>
                <w:color w:val="auto"/>
                <w:highlight w:val="none"/>
              </w:rPr>
              <w:t>即使叶片边缘与筒身保持均匀的间隙。为考虑使用的调整，应在不变机壳及风管结构的前提下，适当考虑电机的加大。</w:t>
            </w:r>
          </w:p>
          <w:p>
            <w:pPr>
              <w:rPr>
                <w:color w:val="auto"/>
                <w:highlight w:val="none"/>
              </w:rPr>
            </w:pPr>
            <w:r>
              <w:rPr>
                <w:rFonts w:hint="eastAsia"/>
                <w:color w:val="auto"/>
                <w:highlight w:val="none"/>
              </w:rPr>
              <w:t>⑥风机应在厂内全部组装好安装支架（吊装或座装）及进、出口配套法兰。</w:t>
            </w:r>
          </w:p>
          <w:p>
            <w:pPr>
              <w:rPr>
                <w:color w:val="auto"/>
                <w:highlight w:val="none"/>
              </w:rPr>
            </w:pPr>
            <w:r>
              <w:rPr>
                <w:rFonts w:hint="eastAsia"/>
                <w:color w:val="auto"/>
                <w:highlight w:val="none"/>
              </w:rPr>
              <w:t>⑦叶轮应采用铝合金或铸铝等金属材料制作，叶片及轮毂采用精密模压工艺分别一次成型，叶轮应经动、静平衡试验进行校正。防排烟轴流风机可采用钢制叶片。</w:t>
            </w:r>
          </w:p>
          <w:p>
            <w:pPr>
              <w:rPr>
                <w:color w:val="auto"/>
                <w:highlight w:val="none"/>
              </w:rPr>
            </w:pPr>
            <w:r>
              <w:rPr>
                <w:rFonts w:hint="eastAsia"/>
                <w:color w:val="auto"/>
                <w:highlight w:val="none"/>
              </w:rPr>
              <w:t>⑧叶片与筒身间的运转间隙，普通风机应不大于叶轮直径的</w:t>
            </w:r>
            <w:r>
              <w:rPr>
                <w:color w:val="auto"/>
                <w:highlight w:val="none"/>
              </w:rPr>
              <w:t>1%</w:t>
            </w:r>
            <w:r>
              <w:rPr>
                <w:rFonts w:hint="eastAsia"/>
                <w:color w:val="auto"/>
                <w:highlight w:val="none"/>
              </w:rPr>
              <w:t>；高温时由于机械膨胀系数与常温不同，其间隙应不大于</w:t>
            </w:r>
            <w:r>
              <w:rPr>
                <w:color w:val="auto"/>
                <w:highlight w:val="none"/>
              </w:rPr>
              <w:t>2%</w:t>
            </w:r>
            <w:r>
              <w:rPr>
                <w:rFonts w:hint="eastAsia"/>
                <w:color w:val="auto"/>
                <w:highlight w:val="none"/>
              </w:rPr>
              <w:t>。风机制造商应提供叶片与机壳均匀间隙装配的试验模型。</w:t>
            </w:r>
          </w:p>
          <w:p>
            <w:pPr>
              <w:rPr>
                <w:color w:val="auto"/>
                <w:highlight w:val="none"/>
              </w:rPr>
            </w:pPr>
            <w:r>
              <w:rPr>
                <w:rFonts w:hint="eastAsia"/>
                <w:color w:val="auto"/>
                <w:highlight w:val="none"/>
              </w:rPr>
              <w:t>⑨叶片应靠键与键槽牢固地固定在驱动轴上。轴向应靠通过锥套式连接结构将叶片缩紧在驱动轴相应的位置。</w:t>
            </w:r>
          </w:p>
          <w:p>
            <w:pPr>
              <w:rPr>
                <w:color w:val="auto"/>
                <w:highlight w:val="none"/>
              </w:rPr>
            </w:pPr>
            <w:r>
              <w:rPr>
                <w:rFonts w:hint="eastAsia"/>
                <w:color w:val="auto"/>
                <w:highlight w:val="none"/>
              </w:rPr>
              <w:t>⑩电机包括内部及延伸外部接线盒应至少提供</w:t>
            </w:r>
            <w:r>
              <w:rPr>
                <w:color w:val="auto"/>
                <w:highlight w:val="none"/>
              </w:rPr>
              <w:t>IP 55</w:t>
            </w:r>
            <w:r>
              <w:rPr>
                <w:rFonts w:hint="eastAsia"/>
                <w:color w:val="auto"/>
                <w:highlight w:val="none"/>
              </w:rPr>
              <w:t>的保护等级。</w:t>
            </w:r>
          </w:p>
          <w:p>
            <w:pPr>
              <w:rPr>
                <w:color w:val="auto"/>
                <w:highlight w:val="none"/>
              </w:rPr>
            </w:pPr>
          </w:p>
          <w:p>
            <w:pPr>
              <w:rPr>
                <w:color w:val="auto"/>
                <w:highlight w:val="none"/>
              </w:rPr>
            </w:pPr>
            <w:r>
              <w:rPr>
                <w:color w:val="auto"/>
                <w:highlight w:val="none"/>
              </w:rPr>
              <w:t>2</w:t>
            </w:r>
            <w:r>
              <w:rPr>
                <w:rFonts w:hint="eastAsia"/>
                <w:color w:val="auto"/>
                <w:highlight w:val="none"/>
              </w:rPr>
              <w:t>）低噪音离心风机箱：</w:t>
            </w:r>
          </w:p>
          <w:p>
            <w:pPr>
              <w:rPr>
                <w:color w:val="auto"/>
                <w:highlight w:val="none"/>
              </w:rPr>
            </w:pPr>
            <w:r>
              <w:rPr>
                <w:rFonts w:hint="eastAsia"/>
                <w:color w:val="auto"/>
                <w:highlight w:val="none"/>
              </w:rPr>
              <w:t>①离心风机的综合效率应大于</w:t>
            </w:r>
            <w:r>
              <w:rPr>
                <w:color w:val="auto"/>
                <w:highlight w:val="none"/>
              </w:rPr>
              <w:t>60%</w:t>
            </w:r>
            <w:r>
              <w:rPr>
                <w:rFonts w:hint="eastAsia"/>
                <w:color w:val="auto"/>
                <w:highlight w:val="none"/>
              </w:rPr>
              <w:t>。</w:t>
            </w:r>
          </w:p>
          <w:p>
            <w:pPr>
              <w:rPr>
                <w:color w:val="auto"/>
                <w:highlight w:val="none"/>
              </w:rPr>
            </w:pPr>
            <w:r>
              <w:rPr>
                <w:rFonts w:hint="eastAsia"/>
                <w:color w:val="auto"/>
                <w:highlight w:val="none"/>
              </w:rPr>
              <w:t>②消防排烟离心风机应有消防部门认证。</w:t>
            </w:r>
          </w:p>
          <w:p>
            <w:pPr>
              <w:rPr>
                <w:color w:val="auto"/>
                <w:highlight w:val="none"/>
              </w:rPr>
            </w:pPr>
            <w:r>
              <w:rPr>
                <w:rFonts w:hint="eastAsia"/>
                <w:color w:val="auto"/>
                <w:highlight w:val="none"/>
              </w:rPr>
              <w:t>③离心风机安装方式、外形尺寸和基本参数按设计图纸要求。</w:t>
            </w:r>
          </w:p>
          <w:p>
            <w:pPr>
              <w:rPr>
                <w:color w:val="auto"/>
                <w:highlight w:val="none"/>
              </w:rPr>
            </w:pPr>
            <w:r>
              <w:rPr>
                <w:rFonts w:hint="eastAsia"/>
                <w:color w:val="auto"/>
                <w:highlight w:val="none"/>
              </w:rPr>
              <w:t>④箱式离心风机的静压</w:t>
            </w:r>
            <w:r>
              <w:rPr>
                <w:color w:val="auto"/>
                <w:highlight w:val="none"/>
              </w:rPr>
              <w:t>/</w:t>
            </w:r>
            <w:r>
              <w:rPr>
                <w:rFonts w:hint="eastAsia"/>
                <w:color w:val="auto"/>
                <w:highlight w:val="none"/>
              </w:rPr>
              <w:t>全压比不小于</w:t>
            </w:r>
            <w:r>
              <w:rPr>
                <w:color w:val="auto"/>
                <w:highlight w:val="none"/>
              </w:rPr>
              <w:t>0.7</w:t>
            </w:r>
            <w:r>
              <w:rPr>
                <w:rFonts w:hint="eastAsia"/>
                <w:color w:val="auto"/>
                <w:highlight w:val="none"/>
              </w:rPr>
              <w:t>，且出口最大风速不超过</w:t>
            </w:r>
            <w:r>
              <w:rPr>
                <w:color w:val="auto"/>
                <w:highlight w:val="none"/>
              </w:rPr>
              <w:t>15m/s</w:t>
            </w:r>
            <w:r>
              <w:rPr>
                <w:rFonts w:hint="eastAsia"/>
                <w:color w:val="auto"/>
                <w:highlight w:val="none"/>
              </w:rPr>
              <w:t>。</w:t>
            </w:r>
          </w:p>
          <w:p>
            <w:pPr>
              <w:rPr>
                <w:color w:val="auto"/>
                <w:highlight w:val="none"/>
              </w:rPr>
            </w:pPr>
            <w:r>
              <w:rPr>
                <w:rFonts w:hint="eastAsia"/>
                <w:color w:val="auto"/>
                <w:highlight w:val="none"/>
              </w:rPr>
              <w:t>⑤低噪音离心式风机箱：</w:t>
            </w:r>
          </w:p>
          <w:p>
            <w:pPr>
              <w:rPr>
                <w:color w:val="auto"/>
                <w:highlight w:val="none"/>
              </w:rPr>
            </w:pPr>
            <w:r>
              <w:rPr>
                <w:rFonts w:hint="eastAsia"/>
                <w:color w:val="auto"/>
                <w:highlight w:val="none"/>
              </w:rPr>
              <w:t>机箱骨架为高强度铝形材，并采取防腐蚀处理。外板应是不小于</w:t>
            </w:r>
            <w:r>
              <w:rPr>
                <w:color w:val="auto"/>
                <w:highlight w:val="none"/>
              </w:rPr>
              <w:t>1.0mm</w:t>
            </w:r>
            <w:r>
              <w:rPr>
                <w:rFonts w:hint="eastAsia"/>
                <w:color w:val="auto"/>
                <w:highlight w:val="none"/>
              </w:rPr>
              <w:t>镀锌或彩色钢板，中间为</w:t>
            </w:r>
            <w:r>
              <w:rPr>
                <w:color w:val="auto"/>
                <w:highlight w:val="none"/>
              </w:rPr>
              <w:t>25mm</w:t>
            </w:r>
            <w:r>
              <w:rPr>
                <w:rFonts w:hint="eastAsia"/>
                <w:color w:val="auto"/>
                <w:highlight w:val="none"/>
              </w:rPr>
              <w:t>的发泡层或为</w:t>
            </w:r>
            <w:r>
              <w:rPr>
                <w:color w:val="auto"/>
                <w:highlight w:val="none"/>
              </w:rPr>
              <w:t>30mm</w:t>
            </w:r>
            <w:r>
              <w:rPr>
                <w:rFonts w:hint="eastAsia"/>
                <w:color w:val="auto"/>
                <w:highlight w:val="none"/>
              </w:rPr>
              <w:t>吸音专用玻璃棉吸音板，内板应是不小于</w:t>
            </w:r>
            <w:r>
              <w:rPr>
                <w:color w:val="auto"/>
                <w:highlight w:val="none"/>
              </w:rPr>
              <w:t>0.5mm</w:t>
            </w:r>
            <w:r>
              <w:rPr>
                <w:rFonts w:hint="eastAsia"/>
                <w:color w:val="auto"/>
                <w:highlight w:val="none"/>
              </w:rPr>
              <w:t>穿孔率不小于</w:t>
            </w:r>
            <w:r>
              <w:rPr>
                <w:color w:val="auto"/>
                <w:highlight w:val="none"/>
              </w:rPr>
              <w:t>30%</w:t>
            </w:r>
            <w:r>
              <w:rPr>
                <w:rFonts w:hint="eastAsia"/>
                <w:color w:val="auto"/>
                <w:highlight w:val="none"/>
              </w:rPr>
              <w:t>的穿孔镀锌钢板（内板在只作通风用途时用镀锌穿孔板，用于排烟时采用镀锌板）。机箱应是板式结构组合而成。为维修或服务，其结构应可以较快及较容易地拆散及组装。不可以用焊接的机箱；仅用于通风时，电机安装在箱体内，用于排烟时，电机应置于箱体外。</w:t>
            </w:r>
          </w:p>
          <w:p>
            <w:pPr>
              <w:rPr>
                <w:color w:val="auto"/>
                <w:highlight w:val="none"/>
              </w:rPr>
            </w:pPr>
            <w:r>
              <w:rPr>
                <w:rFonts w:hint="eastAsia"/>
                <w:color w:val="auto"/>
                <w:highlight w:val="none"/>
              </w:rPr>
              <w:t>⑥风机及电机技术要求：</w:t>
            </w:r>
          </w:p>
          <w:p>
            <w:pPr>
              <w:rPr>
                <w:color w:val="auto"/>
                <w:highlight w:val="none"/>
              </w:rPr>
            </w:pPr>
            <w:r>
              <w:rPr>
                <w:color w:val="auto"/>
                <w:highlight w:val="none"/>
              </w:rPr>
              <w:t>a.</w:t>
            </w:r>
            <w:r>
              <w:rPr>
                <w:rFonts w:hint="eastAsia"/>
                <w:color w:val="auto"/>
                <w:highlight w:val="none"/>
              </w:rPr>
              <w:t>风机应是双进双宽（</w:t>
            </w:r>
            <w:r>
              <w:rPr>
                <w:color w:val="auto"/>
                <w:highlight w:val="none"/>
              </w:rPr>
              <w:t>DIDW</w:t>
            </w:r>
            <w:r>
              <w:rPr>
                <w:rFonts w:hint="eastAsia"/>
                <w:color w:val="auto"/>
                <w:highlight w:val="none"/>
              </w:rPr>
              <w:t>）、前弯或后倾叶片的离心风机。</w:t>
            </w:r>
          </w:p>
          <w:p>
            <w:pPr>
              <w:rPr>
                <w:color w:val="auto"/>
                <w:highlight w:val="none"/>
              </w:rPr>
            </w:pPr>
            <w:r>
              <w:rPr>
                <w:color w:val="auto"/>
                <w:highlight w:val="none"/>
              </w:rPr>
              <w:t>b.</w:t>
            </w:r>
            <w:r>
              <w:rPr>
                <w:rFonts w:hint="eastAsia"/>
                <w:color w:val="auto"/>
                <w:highlight w:val="none"/>
              </w:rPr>
              <w:t>风机蜗壳及边板应有不小于</w:t>
            </w:r>
            <w:r>
              <w:rPr>
                <w:color w:val="auto"/>
                <w:highlight w:val="none"/>
              </w:rPr>
              <w:t>0.6</w:t>
            </w:r>
            <w:r>
              <w:rPr>
                <w:rFonts w:hint="eastAsia"/>
                <w:color w:val="auto"/>
                <w:highlight w:val="none"/>
              </w:rPr>
              <w:t>微米厚度的烤漆层除非其材质为镀锌钢板、不锈钢板或铝质等。</w:t>
            </w:r>
          </w:p>
          <w:p>
            <w:pPr>
              <w:rPr>
                <w:color w:val="auto"/>
                <w:highlight w:val="none"/>
              </w:rPr>
            </w:pPr>
            <w:r>
              <w:rPr>
                <w:color w:val="auto"/>
                <w:highlight w:val="none"/>
              </w:rPr>
              <w:t>c.</w:t>
            </w:r>
            <w:r>
              <w:rPr>
                <w:rFonts w:hint="eastAsia"/>
                <w:color w:val="auto"/>
                <w:highlight w:val="none"/>
              </w:rPr>
              <w:t>风机壳体应有适当的厚度以避免产生振动及噪声。风机蜗壳应与边板连续咬口啮合或焊接。叶轮及进口导风环应为流线型设计及结构，制造商应标出最好的特性及效率。</w:t>
            </w:r>
          </w:p>
          <w:p>
            <w:pPr>
              <w:rPr>
                <w:color w:val="auto"/>
                <w:highlight w:val="none"/>
              </w:rPr>
            </w:pPr>
            <w:r>
              <w:rPr>
                <w:color w:val="auto"/>
                <w:highlight w:val="none"/>
              </w:rPr>
              <w:t>d.</w:t>
            </w:r>
            <w:r>
              <w:rPr>
                <w:rFonts w:hint="eastAsia"/>
                <w:color w:val="auto"/>
                <w:highlight w:val="none"/>
              </w:rPr>
              <w:t>风机轴的尺寸应可以满足最大的转速运行极限，且安全运行范围为不超过临界转速的</w:t>
            </w:r>
            <w:r>
              <w:rPr>
                <w:color w:val="auto"/>
                <w:highlight w:val="none"/>
              </w:rPr>
              <w:t>75%</w:t>
            </w:r>
            <w:r>
              <w:rPr>
                <w:rFonts w:hint="eastAsia"/>
                <w:color w:val="auto"/>
                <w:highlight w:val="none"/>
              </w:rPr>
              <w:t>。任何在制造商提供的样本上未列出的非标准产品的应用，其临界转速及细节的计算应征得制造商的核准。</w:t>
            </w:r>
          </w:p>
          <w:p>
            <w:pPr>
              <w:rPr>
                <w:color w:val="auto"/>
                <w:highlight w:val="none"/>
              </w:rPr>
            </w:pPr>
            <w:r>
              <w:rPr>
                <w:color w:val="auto"/>
                <w:highlight w:val="none"/>
              </w:rPr>
              <w:t>e.</w:t>
            </w:r>
            <w:r>
              <w:rPr>
                <w:rFonts w:hint="eastAsia"/>
                <w:color w:val="auto"/>
                <w:highlight w:val="none"/>
              </w:rPr>
              <w:t>轴承应采用进口品牌产品，并配有标准润滑油注入口；轴承应是自对心调整型锥套轴承。轴承应是自润滑密封免维护型球轴承。轴承寿命基于</w:t>
            </w:r>
            <w:r>
              <w:rPr>
                <w:color w:val="auto"/>
                <w:highlight w:val="none"/>
              </w:rPr>
              <w:t>ISO 281</w:t>
            </w:r>
            <w:r>
              <w:rPr>
                <w:rFonts w:hint="eastAsia"/>
                <w:color w:val="auto"/>
                <w:highlight w:val="none"/>
              </w:rPr>
              <w:t>的</w:t>
            </w:r>
            <w:r>
              <w:rPr>
                <w:color w:val="auto"/>
                <w:highlight w:val="none"/>
              </w:rPr>
              <w:t>L10</w:t>
            </w:r>
            <w:r>
              <w:rPr>
                <w:rFonts w:hint="eastAsia"/>
                <w:color w:val="auto"/>
                <w:highlight w:val="none"/>
              </w:rPr>
              <w:t>标准，其寿命应不小于</w:t>
            </w:r>
            <w:r>
              <w:rPr>
                <w:color w:val="auto"/>
                <w:highlight w:val="none"/>
              </w:rPr>
              <w:t>75,000</w:t>
            </w:r>
            <w:r>
              <w:rPr>
                <w:rFonts w:hint="eastAsia"/>
                <w:color w:val="auto"/>
                <w:highlight w:val="none"/>
              </w:rPr>
              <w:t>小时。应提交轴承寿命计算书。</w:t>
            </w:r>
          </w:p>
          <w:p>
            <w:pPr>
              <w:rPr>
                <w:color w:val="auto"/>
                <w:highlight w:val="none"/>
              </w:rPr>
            </w:pPr>
            <w:r>
              <w:rPr>
                <w:color w:val="auto"/>
                <w:highlight w:val="none"/>
              </w:rPr>
              <w:t>f.</w:t>
            </w:r>
            <w:r>
              <w:rPr>
                <w:rFonts w:hint="eastAsia"/>
                <w:color w:val="auto"/>
                <w:highlight w:val="none"/>
              </w:rPr>
              <w:t>电机安装功率应不小于吸收功率（轴功率）的</w:t>
            </w:r>
            <w:r>
              <w:rPr>
                <w:color w:val="auto"/>
                <w:highlight w:val="none"/>
              </w:rPr>
              <w:t>130%</w:t>
            </w:r>
            <w:r>
              <w:rPr>
                <w:rFonts w:hint="eastAsia"/>
                <w:color w:val="auto"/>
                <w:highlight w:val="none"/>
              </w:rPr>
              <w:t>，且应有足够的启动力矩使风机可以顺利地启动及连续运行。电机与风机的传动转速比≤</w:t>
            </w:r>
            <w:r>
              <w:rPr>
                <w:color w:val="auto"/>
                <w:highlight w:val="none"/>
              </w:rPr>
              <w:t>1.75</w:t>
            </w:r>
            <w:r>
              <w:rPr>
                <w:rFonts w:hint="eastAsia"/>
                <w:color w:val="auto"/>
                <w:highlight w:val="none"/>
              </w:rPr>
              <w:t>。</w:t>
            </w:r>
          </w:p>
          <w:p>
            <w:pPr>
              <w:rPr>
                <w:color w:val="auto"/>
                <w:highlight w:val="none"/>
              </w:rPr>
            </w:pPr>
            <w:r>
              <w:rPr>
                <w:color w:val="auto"/>
                <w:highlight w:val="none"/>
              </w:rPr>
              <w:t>g.</w:t>
            </w:r>
            <w:r>
              <w:rPr>
                <w:rFonts w:hint="eastAsia"/>
                <w:color w:val="auto"/>
                <w:highlight w:val="none"/>
              </w:rPr>
              <w:t>皮带及带轮应至少能承载电机功率的</w:t>
            </w:r>
            <w:r>
              <w:rPr>
                <w:color w:val="auto"/>
                <w:highlight w:val="none"/>
              </w:rPr>
              <w:t>150%</w:t>
            </w:r>
            <w:r>
              <w:rPr>
                <w:rFonts w:hint="eastAsia"/>
                <w:color w:val="auto"/>
                <w:highlight w:val="none"/>
              </w:rPr>
              <w:t>。</w:t>
            </w:r>
          </w:p>
          <w:p>
            <w:pPr>
              <w:rPr>
                <w:color w:val="auto"/>
                <w:highlight w:val="none"/>
              </w:rPr>
            </w:pPr>
            <w:r>
              <w:rPr>
                <w:color w:val="auto"/>
                <w:highlight w:val="none"/>
              </w:rPr>
              <w:t>h.</w:t>
            </w:r>
            <w:r>
              <w:rPr>
                <w:rFonts w:hint="eastAsia"/>
                <w:color w:val="auto"/>
                <w:highlight w:val="none"/>
              </w:rPr>
              <w:t>离心风机和驱动电机安装在共同机架上，机架应有双向调节功能（电机壳前后左右调节）；该共同机架底部与箱体之间应设置减振机构。</w:t>
            </w:r>
          </w:p>
          <w:p>
            <w:pPr>
              <w:rPr>
                <w:color w:val="auto"/>
                <w:highlight w:val="none"/>
              </w:rPr>
            </w:pPr>
            <w:r>
              <w:rPr>
                <w:rFonts w:hint="eastAsia"/>
                <w:color w:val="auto"/>
                <w:highlight w:val="none"/>
              </w:rPr>
              <w:t>⑦减振机构：机组内减振采用阻尼弹簧或尼龙减振，各减振点经严格选型计算，保证减振效率</w:t>
            </w:r>
            <w:r>
              <w:rPr>
                <w:color w:val="auto"/>
                <w:highlight w:val="none"/>
              </w:rPr>
              <w:t>95%</w:t>
            </w:r>
            <w:r>
              <w:rPr>
                <w:rFonts w:hint="eastAsia"/>
                <w:color w:val="auto"/>
                <w:highlight w:val="none"/>
              </w:rPr>
              <w:t>以上。当采用弹簧减振器时，应设置防止高频失效措施。</w:t>
            </w:r>
          </w:p>
          <w:p>
            <w:pPr>
              <w:rPr>
                <w:color w:val="auto"/>
                <w:highlight w:val="none"/>
              </w:rPr>
            </w:pPr>
            <w:r>
              <w:rPr>
                <w:rFonts w:hint="eastAsia"/>
                <w:color w:val="auto"/>
                <w:highlight w:val="none"/>
              </w:rPr>
              <w:t>⑧风机出口软连接：采用进口工程专用涂胶玻璃纤维帆布，符合消防要求，且在潮湿环境下可保证较长寿命。</w:t>
            </w:r>
          </w:p>
          <w:p>
            <w:pPr>
              <w:rPr>
                <w:color w:val="auto"/>
                <w:highlight w:val="none"/>
              </w:rPr>
            </w:pPr>
            <w:r>
              <w:rPr>
                <w:rFonts w:hint="eastAsia"/>
                <w:color w:val="auto"/>
                <w:highlight w:val="none"/>
              </w:rPr>
              <w:t>（</w:t>
            </w:r>
            <w:r>
              <w:rPr>
                <w:color w:val="auto"/>
                <w:highlight w:val="none"/>
              </w:rPr>
              <w:t>4</w:t>
            </w:r>
            <w:r>
              <w:rPr>
                <w:rFonts w:hint="eastAsia"/>
                <w:color w:val="auto"/>
                <w:highlight w:val="none"/>
              </w:rPr>
              <w:t>）风机须有原厂配备用于现场安装的减震装置。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70" w:type="dxa"/>
            <w:noWrap w:val="0"/>
            <w:vAlign w:val="center"/>
          </w:tcPr>
          <w:p>
            <w:pPr>
              <w:rPr>
                <w:color w:val="auto"/>
                <w:highlight w:val="none"/>
              </w:rPr>
            </w:pPr>
            <w:r>
              <w:rPr>
                <w:color w:val="auto"/>
                <w:highlight w:val="none"/>
              </w:rPr>
              <w:t>5.</w:t>
            </w:r>
          </w:p>
        </w:tc>
        <w:tc>
          <w:tcPr>
            <w:tcW w:w="1323" w:type="dxa"/>
            <w:noWrap w:val="0"/>
            <w:vAlign w:val="center"/>
          </w:tcPr>
          <w:p>
            <w:pPr>
              <w:rPr>
                <w:color w:val="auto"/>
                <w:highlight w:val="none"/>
              </w:rPr>
            </w:pPr>
          </w:p>
          <w:p>
            <w:pPr>
              <w:rPr>
                <w:color w:val="auto"/>
                <w:highlight w:val="none"/>
              </w:rPr>
            </w:pPr>
            <w:r>
              <w:rPr>
                <w:rFonts w:hint="eastAsia"/>
                <w:color w:val="auto"/>
                <w:highlight w:val="none"/>
              </w:rPr>
              <w:t>冷冻水泵、冷却水泵</w:t>
            </w:r>
          </w:p>
          <w:p>
            <w:pPr>
              <w:rPr>
                <w:color w:val="auto"/>
                <w:highlight w:val="none"/>
              </w:rPr>
            </w:pPr>
            <w:r>
              <w:rPr>
                <w:rFonts w:hint="eastAsia"/>
                <w:color w:val="auto"/>
                <w:highlight w:val="none"/>
              </w:rPr>
              <w:t>空调水泵</w:t>
            </w:r>
          </w:p>
        </w:tc>
        <w:tc>
          <w:tcPr>
            <w:tcW w:w="722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）设备商必须通过</w:t>
            </w:r>
            <w:r>
              <w:rPr>
                <w:color w:val="auto"/>
                <w:highlight w:val="none"/>
              </w:rPr>
              <w:t>ISO9001:2000</w:t>
            </w:r>
            <w:r>
              <w:rPr>
                <w:rFonts w:hint="eastAsia"/>
                <w:color w:val="auto"/>
                <w:highlight w:val="none"/>
              </w:rPr>
              <w:t>系列质量体系认证；并提供证书复印件；</w:t>
            </w:r>
          </w:p>
          <w:p>
            <w:pPr>
              <w:rPr>
                <w:color w:val="auto"/>
                <w:highlight w:val="none"/>
              </w:rPr>
            </w:pPr>
            <w:r>
              <w:rPr>
                <w:rFonts w:hint="eastAsia"/>
                <w:color w:val="auto"/>
                <w:highlight w:val="none"/>
              </w:rPr>
              <w:t>（</w:t>
            </w:r>
            <w:r>
              <w:rPr>
                <w:color w:val="auto"/>
                <w:highlight w:val="none"/>
              </w:rPr>
              <w:t>2</w:t>
            </w:r>
            <w:r>
              <w:rPr>
                <w:rFonts w:hint="eastAsia"/>
                <w:color w:val="auto"/>
                <w:highlight w:val="none"/>
              </w:rPr>
              <w:t>）设备商必须在深圳地区设有长期固定的售后服务及维修机构；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）名优品牌；必须符合国家节能产品标准。</w:t>
            </w:r>
          </w:p>
          <w:p>
            <w:pPr>
              <w:rPr>
                <w:color w:val="auto"/>
                <w:highlight w:val="none"/>
              </w:rPr>
            </w:pPr>
            <w:r>
              <w:rPr>
                <w:rFonts w:hint="eastAsia"/>
                <w:color w:val="auto"/>
                <w:highlight w:val="none"/>
              </w:rPr>
              <w:t>（</w:t>
            </w:r>
            <w:r>
              <w:rPr>
                <w:color w:val="auto"/>
                <w:highlight w:val="none"/>
              </w:rPr>
              <w:t>2</w:t>
            </w:r>
            <w:r>
              <w:rPr>
                <w:rFonts w:hint="eastAsia"/>
                <w:color w:val="auto"/>
                <w:highlight w:val="none"/>
              </w:rPr>
              <w:t>）符合设计及有关规范、标准要求。</w:t>
            </w:r>
          </w:p>
          <w:p>
            <w:pPr>
              <w:rPr>
                <w:color w:val="auto"/>
                <w:highlight w:val="none"/>
              </w:rPr>
            </w:pPr>
            <w:r>
              <w:rPr>
                <w:rFonts w:hint="eastAsia"/>
                <w:color w:val="auto"/>
                <w:highlight w:val="none"/>
              </w:rPr>
              <w:t>（</w:t>
            </w:r>
            <w:r>
              <w:rPr>
                <w:color w:val="auto"/>
                <w:highlight w:val="none"/>
              </w:rPr>
              <w:t>3</w:t>
            </w:r>
            <w:r>
              <w:rPr>
                <w:rFonts w:hint="eastAsia"/>
                <w:color w:val="auto"/>
                <w:highlight w:val="none"/>
              </w:rPr>
              <w:t>）允许介质温度</w:t>
            </w:r>
            <w:r>
              <w:rPr>
                <w:color w:val="auto"/>
                <w:highlight w:val="none"/>
              </w:rPr>
              <w:t>-20</w:t>
            </w:r>
            <w:r>
              <w:rPr>
                <w:rFonts w:hint="eastAsia"/>
                <w:color w:val="auto"/>
                <w:highlight w:val="none"/>
              </w:rPr>
              <w:t>℃</w:t>
            </w:r>
            <w:r>
              <w:rPr>
                <w:color w:val="auto"/>
                <w:highlight w:val="none"/>
              </w:rPr>
              <w:t>~+140</w:t>
            </w:r>
            <w:r>
              <w:rPr>
                <w:rFonts w:hint="eastAsia"/>
                <w:color w:val="auto"/>
                <w:highlight w:val="none"/>
              </w:rPr>
              <w:t>℃，电源要求</w:t>
            </w:r>
            <w:r>
              <w:rPr>
                <w:color w:val="auto"/>
                <w:highlight w:val="none"/>
              </w:rPr>
              <w:t>3</w:t>
            </w:r>
            <w:r>
              <w:rPr>
                <w:rFonts w:hint="eastAsia"/>
                <w:color w:val="auto"/>
                <w:highlight w:val="none"/>
              </w:rPr>
              <w:t>相</w:t>
            </w:r>
            <w:r>
              <w:rPr>
                <w:color w:val="auto"/>
                <w:highlight w:val="none"/>
              </w:rPr>
              <w:t>380V</w:t>
            </w:r>
            <w:r>
              <w:rPr>
                <w:rFonts w:hint="eastAsia"/>
                <w:color w:val="auto"/>
                <w:highlight w:val="none"/>
              </w:rPr>
              <w:t>，</w:t>
            </w:r>
          </w:p>
          <w:p>
            <w:pPr>
              <w:rPr>
                <w:color w:val="auto"/>
                <w:highlight w:val="none"/>
              </w:rPr>
            </w:pPr>
            <w:r>
              <w:rPr>
                <w:rFonts w:hint="eastAsia"/>
                <w:color w:val="auto"/>
                <w:highlight w:val="none"/>
              </w:rPr>
              <w:t>（</w:t>
            </w:r>
            <w:r>
              <w:rPr>
                <w:color w:val="auto"/>
                <w:highlight w:val="none"/>
              </w:rPr>
              <w:t>4</w:t>
            </w:r>
            <w:r>
              <w:rPr>
                <w:rFonts w:hint="eastAsia"/>
                <w:color w:val="auto"/>
                <w:highlight w:val="none"/>
              </w:rPr>
              <w:t>）整机出厂，并注明电机的品牌和产地。所有外露的水泵转轴、联轴器、水泵转动部分须加上可拆卸的镀锌钢板保护罩。</w:t>
            </w:r>
          </w:p>
          <w:p>
            <w:pPr>
              <w:rPr>
                <w:color w:val="auto"/>
                <w:highlight w:val="none"/>
              </w:rPr>
            </w:pPr>
            <w:r>
              <w:rPr>
                <w:rFonts w:hint="eastAsia"/>
                <w:color w:val="auto"/>
                <w:highlight w:val="none"/>
              </w:rPr>
              <w:t>（</w:t>
            </w:r>
            <w:r>
              <w:rPr>
                <w:color w:val="auto"/>
                <w:highlight w:val="none"/>
              </w:rPr>
              <w:t>5</w:t>
            </w:r>
            <w:r>
              <w:rPr>
                <w:rFonts w:hint="eastAsia"/>
                <w:color w:val="auto"/>
                <w:highlight w:val="none"/>
              </w:rPr>
              <w:t>）水泵电机采用名优品牌</w:t>
            </w:r>
            <w:r>
              <w:rPr>
                <w:color w:val="auto"/>
                <w:highlight w:val="none"/>
              </w:rPr>
              <w:t>(</w:t>
            </w:r>
            <w:r>
              <w:rPr>
                <w:rFonts w:hint="eastAsia"/>
                <w:color w:val="auto"/>
                <w:highlight w:val="none"/>
              </w:rPr>
              <w:t>西门子、</w:t>
            </w:r>
            <w:r>
              <w:rPr>
                <w:color w:val="auto"/>
                <w:highlight w:val="none"/>
              </w:rPr>
              <w:t>ABB</w:t>
            </w:r>
            <w:r>
              <w:rPr>
                <w:rFonts w:hint="eastAsia"/>
                <w:color w:val="auto"/>
                <w:highlight w:val="none"/>
              </w:rPr>
              <w:t>、东元</w:t>
            </w:r>
            <w:r>
              <w:rPr>
                <w:color w:val="auto"/>
                <w:highlight w:val="none"/>
              </w:rPr>
              <w:t>)</w:t>
            </w:r>
            <w:r>
              <w:rPr>
                <w:rFonts w:hint="eastAsia"/>
                <w:color w:val="auto"/>
                <w:highlight w:val="none"/>
              </w:rPr>
              <w:t>，不低于二级能效，防护等级为</w:t>
            </w:r>
            <w:r>
              <w:rPr>
                <w:color w:val="auto"/>
                <w:highlight w:val="none"/>
              </w:rPr>
              <w:t>IP55</w:t>
            </w:r>
            <w:r>
              <w:rPr>
                <w:rFonts w:hint="eastAsia"/>
                <w:color w:val="auto"/>
                <w:highlight w:val="none"/>
              </w:rPr>
              <w:t>，全部水泵电机绝缘等级为</w:t>
            </w:r>
            <w:r>
              <w:rPr>
                <w:color w:val="auto"/>
                <w:highlight w:val="none"/>
              </w:rPr>
              <w:t>F</w:t>
            </w:r>
            <w:r>
              <w:rPr>
                <w:rFonts w:hint="eastAsia"/>
                <w:color w:val="auto"/>
                <w:highlight w:val="none"/>
              </w:rPr>
              <w:t>。</w:t>
            </w:r>
            <w:r>
              <w:rPr>
                <w:color w:val="auto"/>
                <w:highlight w:val="none"/>
              </w:rPr>
              <w:t xml:space="preserve"> </w:t>
            </w:r>
            <w:r>
              <w:rPr>
                <w:rFonts w:hint="eastAsia"/>
                <w:color w:val="auto"/>
                <w:highlight w:val="none"/>
              </w:rPr>
              <w:t>转速：≤</w:t>
            </w:r>
            <w:r>
              <w:rPr>
                <w:color w:val="auto"/>
                <w:highlight w:val="none"/>
              </w:rPr>
              <w:t>1480rpm</w:t>
            </w:r>
            <w:r>
              <w:rPr>
                <w:rFonts w:hint="eastAsia"/>
                <w:color w:val="auto"/>
                <w:highlight w:val="none"/>
              </w:rPr>
              <w:t>。</w:t>
            </w:r>
            <w:r>
              <w:rPr>
                <w:color w:val="auto"/>
                <w:highlight w:val="none"/>
              </w:rPr>
              <w:t xml:space="preserve"> </w:t>
            </w:r>
            <w:r>
              <w:rPr>
                <w:rFonts w:hint="eastAsia"/>
                <w:color w:val="auto"/>
                <w:highlight w:val="none"/>
              </w:rPr>
              <w:t>电压</w:t>
            </w:r>
            <w:r>
              <w:rPr>
                <w:color w:val="auto"/>
                <w:highlight w:val="none"/>
              </w:rPr>
              <w:t>:3</w:t>
            </w:r>
            <w:r>
              <w:rPr>
                <w:rFonts w:hint="eastAsia"/>
                <w:color w:val="auto"/>
                <w:highlight w:val="none"/>
              </w:rPr>
              <w:t>Φ</w:t>
            </w:r>
            <w:r>
              <w:rPr>
                <w:color w:val="auto"/>
                <w:highlight w:val="none"/>
              </w:rPr>
              <w:t>/380V/50HZ</w:t>
            </w:r>
            <w:r>
              <w:rPr>
                <w:rFonts w:hint="eastAsia"/>
                <w:color w:val="auto"/>
                <w:highlight w:val="none"/>
              </w:rPr>
              <w:t>，允许电压偏差</w:t>
            </w:r>
            <w:r>
              <w:rPr>
                <w:color w:val="auto"/>
                <w:highlight w:val="none"/>
              </w:rPr>
              <w:t>:</w:t>
            </w:r>
            <w:r>
              <w:rPr>
                <w:rFonts w:hint="eastAsia"/>
                <w:color w:val="auto"/>
                <w:highlight w:val="none"/>
              </w:rPr>
              <w:t>±</w:t>
            </w:r>
            <w:r>
              <w:rPr>
                <w:color w:val="auto"/>
                <w:highlight w:val="none"/>
              </w:rPr>
              <w:t>10%</w:t>
            </w:r>
            <w:r>
              <w:rPr>
                <w:rFonts w:hint="eastAsia"/>
                <w:color w:val="auto"/>
                <w:highlight w:val="none"/>
              </w:rPr>
              <w:t>，频率±</w:t>
            </w:r>
            <w:r>
              <w:rPr>
                <w:color w:val="auto"/>
                <w:highlight w:val="none"/>
              </w:rPr>
              <w:t>5%</w:t>
            </w:r>
            <w:r>
              <w:rPr>
                <w:rFonts w:hint="eastAsia"/>
                <w:color w:val="auto"/>
                <w:highlight w:val="none"/>
              </w:rPr>
              <w:t>。</w:t>
            </w:r>
          </w:p>
          <w:p>
            <w:pPr>
              <w:rPr>
                <w:color w:val="auto"/>
                <w:highlight w:val="none"/>
              </w:rPr>
            </w:pPr>
            <w:r>
              <w:rPr>
                <w:rFonts w:hint="eastAsia"/>
                <w:color w:val="auto"/>
                <w:highlight w:val="none"/>
              </w:rPr>
              <w:t>（</w:t>
            </w:r>
            <w:r>
              <w:rPr>
                <w:color w:val="auto"/>
                <w:highlight w:val="none"/>
              </w:rPr>
              <w:t>6</w:t>
            </w:r>
            <w:r>
              <w:rPr>
                <w:rFonts w:hint="eastAsia"/>
                <w:color w:val="auto"/>
                <w:highlight w:val="none"/>
              </w:rPr>
              <w:t>）供货厂家须通过质量认证体系，所供水泵的扬程、流量、转速、轴功率、噪音、效率，还同时应满足图纸设计要求。</w:t>
            </w:r>
          </w:p>
          <w:p>
            <w:pPr>
              <w:rPr>
                <w:color w:val="auto"/>
                <w:highlight w:val="none"/>
              </w:rPr>
            </w:pPr>
            <w:r>
              <w:rPr>
                <w:rFonts w:hint="eastAsia"/>
                <w:color w:val="auto"/>
                <w:highlight w:val="none"/>
              </w:rPr>
              <w:t>（</w:t>
            </w:r>
            <w:r>
              <w:rPr>
                <w:color w:val="auto"/>
                <w:highlight w:val="none"/>
              </w:rPr>
              <w:t>7</w:t>
            </w:r>
            <w:r>
              <w:rPr>
                <w:rFonts w:hint="eastAsia"/>
                <w:color w:val="auto"/>
                <w:highlight w:val="none"/>
              </w:rPr>
              <w:t>）供货厂家须提供所供产品的国家级检测中心的检测合格报告。</w:t>
            </w:r>
          </w:p>
          <w:p>
            <w:pPr>
              <w:rPr>
                <w:color w:val="auto"/>
                <w:highlight w:val="none"/>
              </w:rPr>
            </w:pPr>
            <w:r>
              <w:rPr>
                <w:rFonts w:hint="eastAsia"/>
                <w:color w:val="auto"/>
                <w:highlight w:val="none"/>
              </w:rPr>
              <w:t>（</w:t>
            </w:r>
            <w:r>
              <w:rPr>
                <w:color w:val="auto"/>
                <w:highlight w:val="none"/>
              </w:rPr>
              <w:t>8</w:t>
            </w:r>
            <w:r>
              <w:rPr>
                <w:rFonts w:hint="eastAsia"/>
                <w:color w:val="auto"/>
                <w:highlight w:val="none"/>
              </w:rPr>
              <w:t>）水泵（包括电机）主体使用寿命≥</w:t>
            </w:r>
            <w:r>
              <w:rPr>
                <w:color w:val="auto"/>
                <w:highlight w:val="none"/>
              </w:rPr>
              <w:t>15</w:t>
            </w:r>
            <w:r>
              <w:rPr>
                <w:rFonts w:hint="eastAsia"/>
                <w:color w:val="auto"/>
                <w:highlight w:val="none"/>
              </w:rPr>
              <w:t>年。</w:t>
            </w:r>
          </w:p>
          <w:p>
            <w:pPr>
              <w:rPr>
                <w:color w:val="auto"/>
                <w:highlight w:val="none"/>
              </w:rPr>
            </w:pPr>
            <w:r>
              <w:rPr>
                <w:rFonts w:hint="eastAsia"/>
                <w:color w:val="auto"/>
                <w:highlight w:val="none"/>
              </w:rPr>
              <w:t>（</w:t>
            </w:r>
            <w:r>
              <w:rPr>
                <w:color w:val="auto"/>
                <w:highlight w:val="none"/>
              </w:rPr>
              <w:t>9</w:t>
            </w:r>
            <w:r>
              <w:rPr>
                <w:rFonts w:hint="eastAsia"/>
                <w:color w:val="auto"/>
                <w:highlight w:val="none"/>
              </w:rPr>
              <w:t>）主要技术要求：</w:t>
            </w:r>
          </w:p>
          <w:p>
            <w:pPr>
              <w:rPr>
                <w:color w:val="auto"/>
                <w:highlight w:val="none"/>
              </w:rPr>
            </w:pPr>
            <w:r>
              <w:rPr>
                <w:color w:val="auto"/>
                <w:highlight w:val="none"/>
              </w:rPr>
              <w:t>1</w:t>
            </w:r>
            <w:r>
              <w:rPr>
                <w:rFonts w:hint="eastAsia"/>
                <w:color w:val="auto"/>
                <w:highlight w:val="none"/>
              </w:rPr>
              <w:t>）驱动轴：由优质不锈钢制成；</w:t>
            </w:r>
          </w:p>
          <w:p>
            <w:pPr>
              <w:rPr>
                <w:color w:val="auto"/>
                <w:highlight w:val="none"/>
              </w:rPr>
            </w:pPr>
            <w:r>
              <w:rPr>
                <w:color w:val="auto"/>
                <w:highlight w:val="none"/>
              </w:rPr>
              <w:t>2</w:t>
            </w:r>
            <w:r>
              <w:rPr>
                <w:rFonts w:hint="eastAsia"/>
                <w:color w:val="auto"/>
                <w:highlight w:val="none"/>
              </w:rPr>
              <w:t>）外壳：采用优质铸铁制造，应设有排水及排气孔。有整体铸造支脚。</w:t>
            </w:r>
          </w:p>
          <w:p>
            <w:pPr>
              <w:rPr>
                <w:color w:val="auto"/>
                <w:highlight w:val="none"/>
              </w:rPr>
            </w:pPr>
            <w:r>
              <w:rPr>
                <w:color w:val="auto"/>
                <w:highlight w:val="none"/>
              </w:rPr>
              <w:t>3</w:t>
            </w:r>
            <w:r>
              <w:rPr>
                <w:rFonts w:hint="eastAsia"/>
                <w:color w:val="auto"/>
                <w:highlight w:val="none"/>
              </w:rPr>
              <w:t>）叶轮：精密铸造青铜合金或不锈钢叶轮叶轮表面经过抛光处理或由精密树脂铸造；</w:t>
            </w:r>
          </w:p>
          <w:p>
            <w:pPr>
              <w:rPr>
                <w:color w:val="auto"/>
                <w:highlight w:val="none"/>
              </w:rPr>
            </w:pPr>
            <w:r>
              <w:rPr>
                <w:color w:val="auto"/>
                <w:highlight w:val="none"/>
              </w:rPr>
              <w:t>4</w:t>
            </w:r>
            <w:r>
              <w:rPr>
                <w:rFonts w:hint="eastAsia"/>
                <w:color w:val="auto"/>
                <w:highlight w:val="none"/>
              </w:rPr>
              <w:t>）轴承：采用重型油脂润滑球形轴承，可更换时不能影响管路连接。轴承寿命≥</w:t>
            </w:r>
            <w:r>
              <w:rPr>
                <w:color w:val="auto"/>
                <w:highlight w:val="none"/>
              </w:rPr>
              <w:t>3</w:t>
            </w:r>
            <w:r>
              <w:rPr>
                <w:rFonts w:hint="eastAsia"/>
                <w:color w:val="auto"/>
                <w:highlight w:val="none"/>
              </w:rPr>
              <w:t>万小时；轴封采用碳－陶瓷机械密封，自动冲洗机械密封或更优方式。轴套采用可替换式，由未经硬化处理的优质不锈钢制造，材质为</w:t>
            </w:r>
            <w:r>
              <w:rPr>
                <w:color w:val="auto"/>
                <w:highlight w:val="none"/>
              </w:rPr>
              <w:t>316</w:t>
            </w:r>
            <w:r>
              <w:rPr>
                <w:rFonts w:hint="eastAsia"/>
                <w:color w:val="auto"/>
                <w:highlight w:val="none"/>
              </w:rPr>
              <w:t>或者以上，与机械轴封配合使用。</w:t>
            </w:r>
          </w:p>
          <w:p>
            <w:pPr>
              <w:rPr>
                <w:color w:val="auto"/>
                <w:highlight w:val="none"/>
              </w:rPr>
            </w:pPr>
            <w:r>
              <w:rPr>
                <w:rFonts w:hint="eastAsia"/>
                <w:color w:val="auto"/>
                <w:highlight w:val="none"/>
              </w:rPr>
              <w:t>铝青铜砂型铸件规格</w:t>
            </w:r>
          </w:p>
          <w:p>
            <w:pPr>
              <w:rPr>
                <w:color w:val="auto"/>
                <w:highlight w:val="none"/>
              </w:rPr>
            </w:pPr>
            <w:r>
              <w:rPr>
                <w:color w:val="auto"/>
                <w:highlight w:val="none"/>
              </w:rPr>
              <w:t>5</w:t>
            </w:r>
            <w:r>
              <w:rPr>
                <w:rFonts w:hint="eastAsia"/>
                <w:color w:val="auto"/>
                <w:highlight w:val="none"/>
              </w:rPr>
              <w:t>）泵和电动机选用全金属自动对位弹性联接器，在拆除叶轮时不会影响电动机的安装；联接器上应带防护罩。</w:t>
            </w:r>
          </w:p>
          <w:p>
            <w:pPr>
              <w:rPr>
                <w:color w:val="auto"/>
                <w:highlight w:val="none"/>
              </w:rPr>
            </w:pPr>
            <w:r>
              <w:rPr>
                <w:color w:val="auto"/>
                <w:highlight w:val="none"/>
              </w:rPr>
              <w:t>6</w:t>
            </w:r>
            <w:r>
              <w:rPr>
                <w:rFonts w:hint="eastAsia"/>
                <w:color w:val="auto"/>
                <w:highlight w:val="none"/>
              </w:rPr>
              <w:t>）底座：底座采用铸铁或钢结构，钢底座采用钢板焊接或槽钢制作并配有标准的排水槽和灌浆孔。铸铁底座应有接流框和排水沟以及灌浆口。</w:t>
            </w:r>
          </w:p>
          <w:p>
            <w:pPr>
              <w:rPr>
                <w:color w:val="auto"/>
                <w:highlight w:val="none"/>
              </w:rPr>
            </w:pPr>
            <w:r>
              <w:rPr>
                <w:color w:val="auto"/>
                <w:highlight w:val="none"/>
              </w:rPr>
              <w:t>7</w:t>
            </w:r>
            <w:r>
              <w:rPr>
                <w:rFonts w:hint="eastAsia"/>
                <w:color w:val="auto"/>
                <w:highlight w:val="none"/>
              </w:rPr>
              <w:t>）减震：须有原厂配备用于现场安装的减震装置。</w:t>
            </w:r>
          </w:p>
          <w:p>
            <w:pP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70" w:type="dxa"/>
            <w:noWrap w:val="0"/>
            <w:vAlign w:val="center"/>
          </w:tcPr>
          <w:p>
            <w:pPr>
              <w:rPr>
                <w:color w:val="auto"/>
                <w:highlight w:val="none"/>
              </w:rPr>
            </w:pPr>
            <w:r>
              <w:rPr>
                <w:color w:val="auto"/>
                <w:highlight w:val="none"/>
              </w:rPr>
              <w:t>6.</w:t>
            </w:r>
          </w:p>
        </w:tc>
        <w:tc>
          <w:tcPr>
            <w:tcW w:w="1323" w:type="dxa"/>
            <w:noWrap w:val="0"/>
            <w:vAlign w:val="center"/>
          </w:tcPr>
          <w:p>
            <w:pPr>
              <w:rPr>
                <w:color w:val="auto"/>
                <w:highlight w:val="none"/>
              </w:rPr>
            </w:pPr>
            <w:r>
              <w:rPr>
                <w:rFonts w:hint="eastAsia"/>
                <w:color w:val="auto"/>
                <w:highlight w:val="none"/>
              </w:rPr>
              <w:t>水阀门（包含球阀、手动蝶阀、</w:t>
            </w:r>
            <w:r>
              <w:rPr>
                <w:color w:val="auto"/>
                <w:highlight w:val="none"/>
              </w:rPr>
              <w:t>Y</w:t>
            </w:r>
            <w:r>
              <w:rPr>
                <w:rFonts w:hint="eastAsia"/>
                <w:color w:val="auto"/>
                <w:highlight w:val="none"/>
              </w:rPr>
              <w:t>型过滤器、法兰止回阀）</w:t>
            </w:r>
          </w:p>
          <w:p>
            <w:pPr>
              <w:rPr>
                <w:color w:val="auto"/>
                <w:highlight w:val="none"/>
              </w:rPr>
            </w:pPr>
          </w:p>
        </w:tc>
        <w:tc>
          <w:tcPr>
            <w:tcW w:w="722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）注册资本不得少于</w:t>
            </w:r>
            <w:r>
              <w:rPr>
                <w:color w:val="auto"/>
                <w:highlight w:val="none"/>
              </w:rPr>
              <w:t>1000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2</w:t>
            </w:r>
            <w:r>
              <w:rPr>
                <w:rFonts w:hint="eastAsia"/>
                <w:color w:val="auto"/>
                <w:highlight w:val="none"/>
              </w:rPr>
              <w:t>）设备商必须通过</w:t>
            </w:r>
            <w:r>
              <w:rPr>
                <w:color w:val="auto"/>
                <w:highlight w:val="none"/>
              </w:rPr>
              <w:t>ISO9001:2000</w:t>
            </w:r>
            <w:r>
              <w:rPr>
                <w:rFonts w:hint="eastAsia"/>
                <w:color w:val="auto"/>
                <w:highlight w:val="none"/>
              </w:rPr>
              <w:t>系列质量体系认证和</w:t>
            </w:r>
            <w:r>
              <w:rPr>
                <w:color w:val="auto"/>
                <w:highlight w:val="none"/>
              </w:rPr>
              <w:t>ISO14001:2000</w:t>
            </w:r>
            <w:r>
              <w:rPr>
                <w:rFonts w:hint="eastAsia"/>
                <w:color w:val="auto"/>
                <w:highlight w:val="none"/>
              </w:rPr>
              <w:t>系列环境体系认证；提供证书复印件；</w:t>
            </w:r>
          </w:p>
          <w:p>
            <w:pPr>
              <w:rPr>
                <w:color w:val="auto"/>
                <w:highlight w:val="none"/>
              </w:rPr>
            </w:pPr>
            <w:r>
              <w:rPr>
                <w:rFonts w:hint="eastAsia"/>
                <w:color w:val="auto"/>
                <w:highlight w:val="none"/>
              </w:rPr>
              <w:t>（</w:t>
            </w:r>
            <w:r>
              <w:rPr>
                <w:color w:val="auto"/>
                <w:highlight w:val="none"/>
              </w:rPr>
              <w:t>3</w:t>
            </w:r>
            <w:r>
              <w:rPr>
                <w:rFonts w:hint="eastAsia"/>
                <w:color w:val="auto"/>
                <w:highlight w:val="none"/>
              </w:rPr>
              <w:t>）设备商必须在深圳地区设有长期固定的售后服务及维修机构；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）阀门型号、规格、耐压强度和严密性试验结果符合设计及有关规范、标准要求；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）外观良好、无锈斑；阀门的铭牌应符合现行国家标准《通用阀门标志》（</w:t>
            </w:r>
            <w:r>
              <w:rPr>
                <w:color w:val="auto"/>
                <w:highlight w:val="none"/>
              </w:rPr>
              <w:t>GB12220</w:t>
            </w:r>
            <w:r>
              <w:rPr>
                <w:rFonts w:hint="eastAsia"/>
                <w:color w:val="auto"/>
                <w:highlight w:val="none"/>
              </w:rPr>
              <w:t>）的规定；</w:t>
            </w:r>
          </w:p>
          <w:p>
            <w:pPr>
              <w:rPr>
                <w:color w:val="auto"/>
                <w:highlight w:val="none"/>
              </w:rPr>
            </w:pPr>
            <w:r>
              <w:rPr>
                <w:rFonts w:hint="eastAsia"/>
                <w:color w:val="auto"/>
                <w:highlight w:val="none"/>
              </w:rPr>
              <w:t>（</w:t>
            </w:r>
            <w:r>
              <w:rPr>
                <w:color w:val="auto"/>
                <w:highlight w:val="none"/>
              </w:rPr>
              <w:t>3</w:t>
            </w:r>
            <w:r>
              <w:rPr>
                <w:rFonts w:hint="eastAsia"/>
                <w:color w:val="auto"/>
                <w:highlight w:val="none"/>
              </w:rPr>
              <w:t>）启闭灵活、关闭严密性好；</w:t>
            </w:r>
          </w:p>
          <w:p>
            <w:pPr>
              <w:rPr>
                <w:color w:val="auto"/>
                <w:highlight w:val="none"/>
              </w:rPr>
            </w:pPr>
            <w:r>
              <w:rPr>
                <w:rFonts w:hint="eastAsia"/>
                <w:color w:val="auto"/>
                <w:highlight w:val="none"/>
              </w:rPr>
              <w:t>（</w:t>
            </w:r>
            <w:r>
              <w:rPr>
                <w:color w:val="auto"/>
                <w:highlight w:val="none"/>
              </w:rPr>
              <w:t>4</w:t>
            </w:r>
            <w:r>
              <w:rPr>
                <w:rFonts w:hint="eastAsia"/>
                <w:color w:val="auto"/>
                <w:highlight w:val="none"/>
              </w:rPr>
              <w:t>）阀杆与阀体结合部位不渗漏，采用优质橡胶密封材料。严禁使用再生橡胶。具有较好的抗老化和耐磨性；</w:t>
            </w:r>
          </w:p>
          <w:p>
            <w:pPr>
              <w:rPr>
                <w:color w:val="auto"/>
                <w:highlight w:val="none"/>
              </w:rPr>
            </w:pPr>
            <w:r>
              <w:rPr>
                <w:rFonts w:hint="eastAsia"/>
                <w:color w:val="auto"/>
                <w:highlight w:val="none"/>
              </w:rPr>
              <w:t>（</w:t>
            </w:r>
            <w:r>
              <w:rPr>
                <w:color w:val="auto"/>
                <w:highlight w:val="none"/>
              </w:rPr>
              <w:t>5</w:t>
            </w:r>
            <w:r>
              <w:rPr>
                <w:rFonts w:hint="eastAsia"/>
                <w:color w:val="auto"/>
                <w:highlight w:val="none"/>
              </w:rPr>
              <w:t>）钢制阀门应符合：</w:t>
            </w:r>
          </w:p>
          <w:p>
            <w:pPr>
              <w:rPr>
                <w:color w:val="auto"/>
                <w:highlight w:val="none"/>
              </w:rPr>
            </w:pPr>
            <w:r>
              <w:rPr>
                <w:color w:val="auto"/>
                <w:highlight w:val="none"/>
              </w:rPr>
              <w:t>1</w:t>
            </w:r>
            <w:r>
              <w:rPr>
                <w:rFonts w:hint="eastAsia"/>
                <w:color w:val="auto"/>
                <w:highlight w:val="none"/>
              </w:rPr>
              <w:t>）阀体、阀盖采用优质球墨铸铁材料，机械加工精度高。</w:t>
            </w:r>
          </w:p>
          <w:p>
            <w:pPr>
              <w:rPr>
                <w:color w:val="auto"/>
                <w:highlight w:val="none"/>
              </w:rPr>
            </w:pPr>
            <w:r>
              <w:rPr>
                <w:color w:val="auto"/>
                <w:highlight w:val="none"/>
              </w:rPr>
              <w:t>2</w:t>
            </w:r>
            <w:r>
              <w:rPr>
                <w:rFonts w:hint="eastAsia"/>
                <w:color w:val="auto"/>
                <w:highlight w:val="none"/>
              </w:rPr>
              <w:t>）阀干采用不锈钢材料。</w:t>
            </w:r>
          </w:p>
          <w:p>
            <w:pPr>
              <w:rPr>
                <w:color w:val="auto"/>
                <w:highlight w:val="none"/>
              </w:rPr>
            </w:pPr>
            <w:r>
              <w:rPr>
                <w:color w:val="auto"/>
                <w:highlight w:val="none"/>
              </w:rPr>
              <w:t>3</w:t>
            </w:r>
            <w:r>
              <w:rPr>
                <w:rFonts w:hint="eastAsia"/>
                <w:color w:val="auto"/>
                <w:highlight w:val="none"/>
              </w:rPr>
              <w:t>）阀芯、阀板应采用优质球墨铸铁或不锈钢材料。</w:t>
            </w:r>
          </w:p>
          <w:p>
            <w:pPr>
              <w:rPr>
                <w:color w:val="auto"/>
                <w:highlight w:val="none"/>
              </w:rPr>
            </w:pPr>
            <w:r>
              <w:rPr>
                <w:color w:val="auto"/>
                <w:highlight w:val="none"/>
              </w:rPr>
              <w:t>4</w:t>
            </w:r>
            <w:r>
              <w:rPr>
                <w:rFonts w:hint="eastAsia"/>
                <w:color w:val="auto"/>
                <w:highlight w:val="none"/>
              </w:rPr>
              <w:t>）﹤</w:t>
            </w:r>
            <w:r>
              <w:rPr>
                <w:color w:val="auto"/>
                <w:highlight w:val="none"/>
              </w:rPr>
              <w:t>DN100</w:t>
            </w:r>
            <w:r>
              <w:rPr>
                <w:rFonts w:hint="eastAsia"/>
                <w:color w:val="auto"/>
                <w:highlight w:val="none"/>
              </w:rPr>
              <w:t>采用手柄式，≧</w:t>
            </w:r>
            <w:r>
              <w:rPr>
                <w:color w:val="auto"/>
                <w:highlight w:val="none"/>
              </w:rPr>
              <w:t>DN100</w:t>
            </w:r>
            <w:r>
              <w:rPr>
                <w:rFonts w:hint="eastAsia"/>
                <w:color w:val="auto"/>
                <w:highlight w:val="none"/>
              </w:rPr>
              <w:t>采用涡轮式。</w:t>
            </w:r>
          </w:p>
          <w:p>
            <w:pPr>
              <w:rPr>
                <w:color w:val="auto"/>
                <w:highlight w:val="none"/>
              </w:rPr>
            </w:pPr>
            <w:r>
              <w:rPr>
                <w:color w:val="auto"/>
                <w:highlight w:val="none"/>
              </w:rPr>
              <w:t>5</w:t>
            </w:r>
            <w:r>
              <w:rPr>
                <w:rFonts w:hint="eastAsia"/>
                <w:color w:val="auto"/>
                <w:highlight w:val="none"/>
              </w:rPr>
              <w:t>）阀体表面采用尼龙</w:t>
            </w:r>
            <w:r>
              <w:rPr>
                <w:color w:val="auto"/>
                <w:highlight w:val="none"/>
              </w:rPr>
              <w:t>11</w:t>
            </w:r>
            <w:r>
              <w:rPr>
                <w:rFonts w:hint="eastAsia"/>
                <w:color w:val="auto"/>
                <w:highlight w:val="none"/>
              </w:rPr>
              <w:t>耐腐涂料喷涂，或采用环氧树脂及其它优质防腐涂料喷涂，以保证具有较强的抗锈蚀性。</w:t>
            </w:r>
          </w:p>
          <w:p>
            <w:pP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70" w:type="dxa"/>
            <w:noWrap w:val="0"/>
            <w:vAlign w:val="center"/>
          </w:tcPr>
          <w:p>
            <w:pPr>
              <w:rPr>
                <w:color w:val="auto"/>
                <w:highlight w:val="none"/>
              </w:rPr>
            </w:pPr>
            <w:r>
              <w:rPr>
                <w:color w:val="auto"/>
                <w:highlight w:val="none"/>
              </w:rPr>
              <w:t>7.</w:t>
            </w:r>
          </w:p>
        </w:tc>
        <w:tc>
          <w:tcPr>
            <w:tcW w:w="1323" w:type="dxa"/>
            <w:noWrap w:val="0"/>
            <w:vAlign w:val="center"/>
          </w:tcPr>
          <w:p>
            <w:pPr>
              <w:rPr>
                <w:color w:val="auto"/>
                <w:highlight w:val="none"/>
              </w:rPr>
            </w:pPr>
            <w:r>
              <w:rPr>
                <w:rFonts w:hint="eastAsia"/>
                <w:color w:val="auto"/>
                <w:highlight w:val="none"/>
              </w:rPr>
              <w:t>电动蝶阀</w:t>
            </w:r>
          </w:p>
        </w:tc>
        <w:tc>
          <w:tcPr>
            <w:tcW w:w="722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）注册资本不得少于</w:t>
            </w:r>
            <w:r>
              <w:rPr>
                <w:color w:val="auto"/>
                <w:highlight w:val="none"/>
              </w:rPr>
              <w:t>1000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2</w:t>
            </w:r>
            <w:r>
              <w:rPr>
                <w:rFonts w:hint="eastAsia"/>
                <w:color w:val="auto"/>
                <w:highlight w:val="none"/>
              </w:rPr>
              <w:t>）设备商必须通过</w:t>
            </w:r>
            <w:r>
              <w:rPr>
                <w:color w:val="auto"/>
                <w:highlight w:val="none"/>
              </w:rPr>
              <w:t>ISO9001:2000</w:t>
            </w:r>
            <w:r>
              <w:rPr>
                <w:rFonts w:hint="eastAsia"/>
                <w:color w:val="auto"/>
                <w:highlight w:val="none"/>
              </w:rPr>
              <w:t>系列质量体系认证和</w:t>
            </w:r>
            <w:r>
              <w:rPr>
                <w:color w:val="auto"/>
                <w:highlight w:val="none"/>
              </w:rPr>
              <w:t>ISO14001:2000</w:t>
            </w:r>
            <w:r>
              <w:rPr>
                <w:rFonts w:hint="eastAsia"/>
                <w:color w:val="auto"/>
                <w:highlight w:val="none"/>
              </w:rPr>
              <w:t>系列环境体系认证；</w:t>
            </w:r>
          </w:p>
          <w:p>
            <w:pPr>
              <w:rPr>
                <w:color w:val="auto"/>
                <w:highlight w:val="none"/>
              </w:rPr>
            </w:pPr>
            <w:r>
              <w:rPr>
                <w:rFonts w:hint="eastAsia"/>
                <w:color w:val="auto"/>
                <w:highlight w:val="none"/>
              </w:rPr>
              <w:t>（</w:t>
            </w:r>
            <w:r>
              <w:rPr>
                <w:color w:val="auto"/>
                <w:highlight w:val="none"/>
              </w:rPr>
              <w:t>3</w:t>
            </w:r>
            <w:r>
              <w:rPr>
                <w:rFonts w:hint="eastAsia"/>
                <w:color w:val="auto"/>
                <w:highlight w:val="none"/>
              </w:rPr>
              <w:t>）设备商必须在深圳地区设有长期固定的售后服务及维修机构；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）现场工作电源：</w:t>
            </w:r>
            <w:r>
              <w:rPr>
                <w:color w:val="auto"/>
                <w:highlight w:val="none"/>
              </w:rPr>
              <w:t>220VAC</w:t>
            </w:r>
            <w:r>
              <w:rPr>
                <w:rFonts w:hint="eastAsia"/>
                <w:color w:val="auto"/>
                <w:highlight w:val="none"/>
              </w:rPr>
              <w:t>，</w:t>
            </w:r>
            <w:r>
              <w:rPr>
                <w:color w:val="auto"/>
                <w:highlight w:val="none"/>
              </w:rPr>
              <w:t>50Hz</w:t>
            </w:r>
          </w:p>
          <w:p>
            <w:pPr>
              <w:rPr>
                <w:color w:val="auto"/>
                <w:highlight w:val="none"/>
              </w:rPr>
            </w:pPr>
            <w:r>
              <w:rPr>
                <w:rFonts w:hint="eastAsia"/>
                <w:color w:val="auto"/>
                <w:highlight w:val="none"/>
              </w:rPr>
              <w:t>（</w:t>
            </w:r>
            <w:r>
              <w:rPr>
                <w:color w:val="auto"/>
                <w:highlight w:val="none"/>
              </w:rPr>
              <w:t>2</w:t>
            </w:r>
            <w:r>
              <w:rPr>
                <w:rFonts w:hint="eastAsia"/>
                <w:color w:val="auto"/>
                <w:highlight w:val="none"/>
              </w:rPr>
              <w:t>）工作压力：</w:t>
            </w:r>
            <w:r>
              <w:rPr>
                <w:color w:val="auto"/>
                <w:highlight w:val="none"/>
              </w:rPr>
              <w:t>1.6MPa</w:t>
            </w:r>
          </w:p>
          <w:p>
            <w:pPr>
              <w:rPr>
                <w:color w:val="auto"/>
                <w:highlight w:val="none"/>
              </w:rPr>
            </w:pPr>
            <w:r>
              <w:rPr>
                <w:rFonts w:hint="eastAsia"/>
                <w:color w:val="auto"/>
                <w:highlight w:val="none"/>
              </w:rPr>
              <w:t>（</w:t>
            </w:r>
            <w:r>
              <w:rPr>
                <w:color w:val="auto"/>
                <w:highlight w:val="none"/>
              </w:rPr>
              <w:t>3</w:t>
            </w:r>
            <w:r>
              <w:rPr>
                <w:rFonts w:hint="eastAsia"/>
                <w:color w:val="auto"/>
                <w:highlight w:val="none"/>
              </w:rPr>
              <w:t>）工作介质：水，工作温度：</w:t>
            </w:r>
            <w:r>
              <w:rPr>
                <w:color w:val="auto"/>
                <w:highlight w:val="none"/>
              </w:rPr>
              <w:t>2-800</w:t>
            </w:r>
            <w:r>
              <w:rPr>
                <w:rFonts w:hint="eastAsia"/>
                <w:color w:val="auto"/>
                <w:highlight w:val="none"/>
              </w:rPr>
              <w:t>℃</w:t>
            </w:r>
          </w:p>
          <w:p>
            <w:pPr>
              <w:rPr>
                <w:color w:val="auto"/>
                <w:highlight w:val="none"/>
              </w:rPr>
            </w:pPr>
            <w:r>
              <w:rPr>
                <w:rFonts w:hint="eastAsia"/>
                <w:color w:val="auto"/>
                <w:highlight w:val="none"/>
              </w:rPr>
              <w:t>（</w:t>
            </w:r>
            <w:r>
              <w:rPr>
                <w:color w:val="auto"/>
                <w:highlight w:val="none"/>
              </w:rPr>
              <w:t>4</w:t>
            </w:r>
            <w:r>
              <w:rPr>
                <w:rFonts w:hint="eastAsia"/>
                <w:color w:val="auto"/>
                <w:highlight w:val="none"/>
              </w:rPr>
              <w:t>）具备阀门开关状态显示装置</w:t>
            </w:r>
          </w:p>
          <w:p>
            <w:pPr>
              <w:rPr>
                <w:color w:val="auto"/>
                <w:highlight w:val="none"/>
              </w:rPr>
            </w:pPr>
            <w:r>
              <w:rPr>
                <w:rFonts w:hint="eastAsia"/>
                <w:color w:val="auto"/>
                <w:highlight w:val="none"/>
              </w:rPr>
              <w:t>（</w:t>
            </w:r>
            <w:r>
              <w:rPr>
                <w:color w:val="auto"/>
                <w:highlight w:val="none"/>
              </w:rPr>
              <w:t>5</w:t>
            </w:r>
            <w:r>
              <w:rPr>
                <w:rFonts w:hint="eastAsia"/>
                <w:color w:val="auto"/>
                <w:highlight w:val="none"/>
              </w:rPr>
              <w:t>）具有手动开关</w:t>
            </w:r>
          </w:p>
          <w:p>
            <w:pPr>
              <w:rPr>
                <w:color w:val="auto"/>
                <w:highlight w:val="none"/>
              </w:rPr>
            </w:pPr>
            <w:r>
              <w:rPr>
                <w:rFonts w:hint="eastAsia"/>
                <w:color w:val="auto"/>
                <w:highlight w:val="none"/>
              </w:rPr>
              <w:t>（</w:t>
            </w:r>
            <w:r>
              <w:rPr>
                <w:color w:val="auto"/>
                <w:highlight w:val="none"/>
              </w:rPr>
              <w:t>6</w:t>
            </w:r>
            <w:r>
              <w:rPr>
                <w:rFonts w:hint="eastAsia"/>
                <w:color w:val="auto"/>
                <w:highlight w:val="none"/>
              </w:rPr>
              <w:t>）具有过载保护</w:t>
            </w:r>
          </w:p>
          <w:p>
            <w:pPr>
              <w:rPr>
                <w:color w:val="auto"/>
                <w:highlight w:val="none"/>
              </w:rPr>
            </w:pPr>
            <w:r>
              <w:rPr>
                <w:rFonts w:hint="eastAsia"/>
                <w:color w:val="auto"/>
                <w:highlight w:val="none"/>
              </w:rPr>
              <w:t>（</w:t>
            </w:r>
            <w:r>
              <w:rPr>
                <w:color w:val="auto"/>
                <w:highlight w:val="none"/>
              </w:rPr>
              <w:t>7</w:t>
            </w:r>
            <w:r>
              <w:rPr>
                <w:rFonts w:hint="eastAsia"/>
                <w:color w:val="auto"/>
                <w:highlight w:val="none"/>
              </w:rPr>
              <w:t>）具有防腐蚀及防生锈措施，并应注明</w:t>
            </w:r>
          </w:p>
          <w:p>
            <w:pPr>
              <w:rPr>
                <w:color w:val="auto"/>
                <w:highlight w:val="none"/>
              </w:rPr>
            </w:pPr>
            <w:r>
              <w:rPr>
                <w:rFonts w:hint="eastAsia"/>
                <w:color w:val="auto"/>
                <w:highlight w:val="none"/>
              </w:rPr>
              <w:t>（</w:t>
            </w:r>
            <w:r>
              <w:rPr>
                <w:color w:val="auto"/>
                <w:highlight w:val="none"/>
              </w:rPr>
              <w:t>8</w:t>
            </w:r>
            <w:r>
              <w:rPr>
                <w:rFonts w:hint="eastAsia"/>
                <w:color w:val="auto"/>
                <w:highlight w:val="none"/>
              </w:rPr>
              <w:t>）材料：阀体：铸铁；阀板：不锈钢或铝青铜合金材料；</w:t>
            </w:r>
          </w:p>
          <w:p>
            <w:pPr>
              <w:rPr>
                <w:color w:val="auto"/>
                <w:highlight w:val="none"/>
              </w:rPr>
            </w:pPr>
            <w:r>
              <w:rPr>
                <w:rFonts w:hint="eastAsia"/>
                <w:color w:val="auto"/>
                <w:highlight w:val="none"/>
              </w:rPr>
              <w:t>（</w:t>
            </w:r>
            <w:r>
              <w:rPr>
                <w:color w:val="auto"/>
                <w:highlight w:val="none"/>
              </w:rPr>
              <w:t>9</w:t>
            </w:r>
            <w:r>
              <w:rPr>
                <w:rFonts w:hint="eastAsia"/>
                <w:color w:val="auto"/>
                <w:highlight w:val="none"/>
              </w:rPr>
              <w:t>）阀杆：不锈钢；密封：三元乙丙橡胶</w:t>
            </w:r>
          </w:p>
          <w:p>
            <w:pPr>
              <w:rPr>
                <w:color w:val="auto"/>
                <w:highlight w:val="none"/>
              </w:rPr>
            </w:pPr>
            <w:r>
              <w:rPr>
                <w:rFonts w:hint="eastAsia"/>
                <w:color w:val="auto"/>
                <w:highlight w:val="none"/>
              </w:rPr>
              <w:t>（</w:t>
            </w:r>
            <w:r>
              <w:rPr>
                <w:color w:val="auto"/>
                <w:highlight w:val="none"/>
              </w:rPr>
              <w:t>10</w:t>
            </w:r>
            <w:r>
              <w:rPr>
                <w:rFonts w:hint="eastAsia"/>
                <w:color w:val="auto"/>
                <w:highlight w:val="none"/>
              </w:rPr>
              <w:t>）控制信号：开</w:t>
            </w:r>
            <w:r>
              <w:rPr>
                <w:color w:val="auto"/>
                <w:highlight w:val="none"/>
              </w:rPr>
              <w:t>/</w:t>
            </w:r>
            <w:r>
              <w:rPr>
                <w:rFonts w:hint="eastAsia"/>
                <w:color w:val="auto"/>
                <w:highlight w:val="none"/>
              </w:rPr>
              <w:t>关</w:t>
            </w:r>
          </w:p>
          <w:p>
            <w:pPr>
              <w:rPr>
                <w:color w:val="auto"/>
                <w:highlight w:val="none"/>
              </w:rPr>
            </w:pPr>
            <w:r>
              <w:rPr>
                <w:rFonts w:hint="eastAsia"/>
                <w:color w:val="auto"/>
                <w:highlight w:val="none"/>
              </w:rPr>
              <w:t>（</w:t>
            </w:r>
            <w:r>
              <w:rPr>
                <w:color w:val="auto"/>
                <w:highlight w:val="none"/>
              </w:rPr>
              <w:t>11</w:t>
            </w:r>
            <w:r>
              <w:rPr>
                <w:rFonts w:hint="eastAsia"/>
                <w:color w:val="auto"/>
                <w:highlight w:val="none"/>
              </w:rPr>
              <w:t>）泄漏率：</w:t>
            </w:r>
            <w:r>
              <w:rPr>
                <w:color w:val="auto"/>
                <w:highlight w:val="none"/>
              </w:rPr>
              <w:t>0</w:t>
            </w:r>
          </w:p>
          <w:p>
            <w:pPr>
              <w:rPr>
                <w:color w:val="auto"/>
                <w:highlight w:val="none"/>
              </w:rPr>
            </w:pPr>
            <w:r>
              <w:rPr>
                <w:rFonts w:hint="eastAsia"/>
                <w:color w:val="auto"/>
                <w:highlight w:val="none"/>
              </w:rPr>
              <w:t>（</w:t>
            </w:r>
            <w:r>
              <w:rPr>
                <w:color w:val="auto"/>
                <w:highlight w:val="none"/>
              </w:rPr>
              <w:t>12</w:t>
            </w:r>
            <w:r>
              <w:rPr>
                <w:rFonts w:hint="eastAsia"/>
                <w:color w:val="auto"/>
                <w:highlight w:val="none"/>
              </w:rPr>
              <w:t>）连接方式：对夹式或法兰连接</w:t>
            </w:r>
          </w:p>
          <w:p>
            <w:pPr>
              <w:rPr>
                <w:color w:val="auto"/>
                <w:highlight w:val="none"/>
              </w:rPr>
            </w:pPr>
            <w:r>
              <w:rPr>
                <w:rFonts w:hint="eastAsia"/>
                <w:color w:val="auto"/>
                <w:highlight w:val="none"/>
              </w:rPr>
              <w:t>（</w:t>
            </w:r>
            <w:r>
              <w:rPr>
                <w:color w:val="auto"/>
                <w:highlight w:val="none"/>
              </w:rPr>
              <w:t>13</w:t>
            </w:r>
            <w:r>
              <w:rPr>
                <w:rFonts w:hint="eastAsia"/>
                <w:color w:val="auto"/>
                <w:highlight w:val="none"/>
              </w:rPr>
              <w:t>）阀门全行程时间：≤</w:t>
            </w:r>
            <w:r>
              <w:rPr>
                <w:color w:val="auto"/>
                <w:highlight w:val="none"/>
              </w:rPr>
              <w:t>130s</w:t>
            </w:r>
            <w:r>
              <w:rPr>
                <w:rFonts w:hint="eastAsia"/>
                <w:color w:val="auto"/>
                <w:highlight w:val="none"/>
              </w:rPr>
              <w:t>（除去非正常钮矩配置外，均能达到）</w:t>
            </w:r>
          </w:p>
          <w:p>
            <w:pPr>
              <w:rPr>
                <w:color w:val="auto"/>
                <w:highlight w:val="none"/>
              </w:rPr>
            </w:pPr>
            <w:r>
              <w:rPr>
                <w:rFonts w:hint="eastAsia"/>
                <w:color w:val="auto"/>
                <w:highlight w:val="none"/>
              </w:rPr>
              <w:t>（</w:t>
            </w:r>
            <w:r>
              <w:rPr>
                <w:color w:val="auto"/>
                <w:highlight w:val="none"/>
              </w:rPr>
              <w:t>14</w:t>
            </w:r>
            <w:r>
              <w:rPr>
                <w:rFonts w:hint="eastAsia"/>
                <w:color w:val="auto"/>
                <w:highlight w:val="none"/>
              </w:rPr>
              <w:t>）驱动器防护等级：≥</w:t>
            </w:r>
            <w:r>
              <w:rPr>
                <w:color w:val="auto"/>
                <w:highlight w:val="none"/>
              </w:rPr>
              <w:t>IP45(</w:t>
            </w:r>
            <w:r>
              <w:rPr>
                <w:rFonts w:hint="eastAsia"/>
                <w:color w:val="auto"/>
                <w:highlight w:val="none"/>
              </w:rPr>
              <w:t>安装于室内</w:t>
            </w:r>
            <w:r>
              <w:rPr>
                <w:color w:val="auto"/>
                <w:highlight w:val="none"/>
              </w:rPr>
              <w:t xml:space="preserve">),  </w:t>
            </w:r>
            <w:r>
              <w:rPr>
                <w:rFonts w:hint="eastAsia"/>
                <w:color w:val="auto"/>
                <w:highlight w:val="none"/>
              </w:rPr>
              <w:t>≥</w:t>
            </w:r>
            <w:r>
              <w:rPr>
                <w:color w:val="auto"/>
                <w:highlight w:val="none"/>
              </w:rPr>
              <w:t>IP65(</w:t>
            </w:r>
            <w:r>
              <w:rPr>
                <w:rFonts w:hint="eastAsia"/>
                <w:color w:val="auto"/>
                <w:highlight w:val="none"/>
              </w:rPr>
              <w:t>安装于室外</w:t>
            </w:r>
            <w:r>
              <w:rPr>
                <w:color w:val="auto"/>
                <w:highlight w:val="none"/>
              </w:rPr>
              <w:t>)</w:t>
            </w:r>
            <w:r>
              <w:rPr>
                <w:rFonts w:hint="eastAsia"/>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70" w:type="dxa"/>
            <w:noWrap w:val="0"/>
            <w:vAlign w:val="center"/>
          </w:tcPr>
          <w:p>
            <w:pPr>
              <w:rPr>
                <w:color w:val="auto"/>
                <w:highlight w:val="none"/>
              </w:rPr>
            </w:pPr>
            <w:r>
              <w:rPr>
                <w:color w:val="auto"/>
                <w:highlight w:val="none"/>
              </w:rPr>
              <w:t>8.</w:t>
            </w:r>
          </w:p>
        </w:tc>
        <w:tc>
          <w:tcPr>
            <w:tcW w:w="1323" w:type="dxa"/>
            <w:noWrap w:val="0"/>
            <w:vAlign w:val="center"/>
          </w:tcPr>
          <w:p>
            <w:pPr>
              <w:rPr>
                <w:color w:val="auto"/>
                <w:highlight w:val="none"/>
              </w:rPr>
            </w:pPr>
            <w:r>
              <w:rPr>
                <w:rFonts w:hint="eastAsia"/>
                <w:color w:val="auto"/>
                <w:highlight w:val="none"/>
              </w:rPr>
              <w:t>压差旁通控制阀</w:t>
            </w:r>
          </w:p>
        </w:tc>
        <w:tc>
          <w:tcPr>
            <w:tcW w:w="722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）注册资本不得少于</w:t>
            </w:r>
            <w:r>
              <w:rPr>
                <w:color w:val="auto"/>
                <w:highlight w:val="none"/>
              </w:rPr>
              <w:t>1000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2</w:t>
            </w:r>
            <w:r>
              <w:rPr>
                <w:rFonts w:hint="eastAsia"/>
                <w:color w:val="auto"/>
                <w:highlight w:val="none"/>
              </w:rPr>
              <w:t>）设备商必须通过</w:t>
            </w:r>
            <w:r>
              <w:rPr>
                <w:color w:val="auto"/>
                <w:highlight w:val="none"/>
              </w:rPr>
              <w:t>ISO9001:2000</w:t>
            </w:r>
            <w:r>
              <w:rPr>
                <w:rFonts w:hint="eastAsia"/>
                <w:color w:val="auto"/>
                <w:highlight w:val="none"/>
              </w:rPr>
              <w:t>系列质量体系认证和</w:t>
            </w:r>
            <w:r>
              <w:rPr>
                <w:color w:val="auto"/>
                <w:highlight w:val="none"/>
              </w:rPr>
              <w:t>ISO14001:2000</w:t>
            </w:r>
            <w:r>
              <w:rPr>
                <w:rFonts w:hint="eastAsia"/>
                <w:color w:val="auto"/>
                <w:highlight w:val="none"/>
              </w:rPr>
              <w:t>系列环境体系认证；</w:t>
            </w:r>
          </w:p>
          <w:p>
            <w:pPr>
              <w:rPr>
                <w:color w:val="auto"/>
                <w:highlight w:val="none"/>
              </w:rPr>
            </w:pPr>
            <w:r>
              <w:rPr>
                <w:rFonts w:hint="eastAsia"/>
                <w:color w:val="auto"/>
                <w:highlight w:val="none"/>
              </w:rPr>
              <w:t>（</w:t>
            </w:r>
            <w:r>
              <w:rPr>
                <w:color w:val="auto"/>
                <w:highlight w:val="none"/>
              </w:rPr>
              <w:t>3</w:t>
            </w:r>
            <w:r>
              <w:rPr>
                <w:rFonts w:hint="eastAsia"/>
                <w:color w:val="auto"/>
                <w:highlight w:val="none"/>
              </w:rPr>
              <w:t>）设备商必须在深圳地区设有长期固定的售后服务及维修机构；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）具备位置反馈功能</w:t>
            </w:r>
          </w:p>
          <w:p>
            <w:pPr>
              <w:rPr>
                <w:color w:val="auto"/>
                <w:highlight w:val="none"/>
              </w:rPr>
            </w:pPr>
            <w:r>
              <w:rPr>
                <w:rFonts w:hint="eastAsia"/>
                <w:color w:val="auto"/>
                <w:highlight w:val="none"/>
              </w:rPr>
              <w:t>（</w:t>
            </w:r>
            <w:r>
              <w:rPr>
                <w:color w:val="auto"/>
                <w:highlight w:val="none"/>
              </w:rPr>
              <w:t>2</w:t>
            </w:r>
            <w:r>
              <w:rPr>
                <w:rFonts w:hint="eastAsia"/>
                <w:color w:val="auto"/>
                <w:highlight w:val="none"/>
              </w:rPr>
              <w:t>）具备手动开关</w:t>
            </w:r>
          </w:p>
          <w:p>
            <w:pPr>
              <w:rPr>
                <w:color w:val="auto"/>
                <w:highlight w:val="none"/>
              </w:rPr>
            </w:pPr>
            <w:r>
              <w:rPr>
                <w:rFonts w:hint="eastAsia"/>
                <w:color w:val="auto"/>
                <w:highlight w:val="none"/>
              </w:rPr>
              <w:t>（</w:t>
            </w:r>
            <w:r>
              <w:rPr>
                <w:color w:val="auto"/>
                <w:highlight w:val="none"/>
              </w:rPr>
              <w:t>3</w:t>
            </w:r>
            <w:r>
              <w:rPr>
                <w:rFonts w:hint="eastAsia"/>
                <w:color w:val="auto"/>
                <w:highlight w:val="none"/>
              </w:rPr>
              <w:t>）关断压差：≥</w:t>
            </w:r>
            <w:r>
              <w:rPr>
                <w:color w:val="auto"/>
                <w:highlight w:val="none"/>
              </w:rPr>
              <w:t>1.2bar</w:t>
            </w:r>
          </w:p>
          <w:p>
            <w:pPr>
              <w:rPr>
                <w:color w:val="auto"/>
                <w:highlight w:val="none"/>
              </w:rPr>
            </w:pPr>
            <w:r>
              <w:rPr>
                <w:rFonts w:hint="eastAsia"/>
                <w:color w:val="auto"/>
                <w:highlight w:val="none"/>
              </w:rPr>
              <w:t>（</w:t>
            </w:r>
            <w:r>
              <w:rPr>
                <w:color w:val="auto"/>
                <w:highlight w:val="none"/>
              </w:rPr>
              <w:t>4</w:t>
            </w:r>
            <w:r>
              <w:rPr>
                <w:rFonts w:hint="eastAsia"/>
                <w:color w:val="auto"/>
                <w:highlight w:val="none"/>
              </w:rPr>
              <w:t>）控制信号：</w:t>
            </w:r>
            <w:r>
              <w:rPr>
                <w:color w:val="auto"/>
                <w:highlight w:val="none"/>
              </w:rPr>
              <w:t>0-10VDC</w:t>
            </w:r>
          </w:p>
          <w:p>
            <w:pPr>
              <w:rPr>
                <w:color w:val="auto"/>
                <w:highlight w:val="none"/>
              </w:rPr>
            </w:pPr>
            <w:r>
              <w:rPr>
                <w:rFonts w:hint="eastAsia"/>
                <w:color w:val="auto"/>
                <w:highlight w:val="none"/>
              </w:rPr>
              <w:t>（</w:t>
            </w:r>
            <w:r>
              <w:rPr>
                <w:color w:val="auto"/>
                <w:highlight w:val="none"/>
              </w:rPr>
              <w:t>5</w:t>
            </w:r>
            <w:r>
              <w:rPr>
                <w:rFonts w:hint="eastAsia"/>
                <w:color w:val="auto"/>
                <w:highlight w:val="none"/>
              </w:rPr>
              <w:t>）泄漏率：≤</w:t>
            </w:r>
            <w:r>
              <w:rPr>
                <w:color w:val="auto"/>
                <w:highlight w:val="none"/>
              </w:rPr>
              <w:t>0.1Kvs</w:t>
            </w:r>
          </w:p>
          <w:p>
            <w:pPr>
              <w:rPr>
                <w:color w:val="auto"/>
                <w:highlight w:val="none"/>
              </w:rPr>
            </w:pPr>
            <w:r>
              <w:rPr>
                <w:rFonts w:hint="eastAsia"/>
                <w:color w:val="auto"/>
                <w:highlight w:val="none"/>
              </w:rPr>
              <w:t>（</w:t>
            </w:r>
            <w:r>
              <w:rPr>
                <w:color w:val="auto"/>
                <w:highlight w:val="none"/>
              </w:rPr>
              <w:t>6</w:t>
            </w:r>
            <w:r>
              <w:rPr>
                <w:rFonts w:hint="eastAsia"/>
                <w:color w:val="auto"/>
                <w:highlight w:val="none"/>
              </w:rPr>
              <w:t>）阀门全行程时间：≤</w:t>
            </w:r>
            <w:r>
              <w:rPr>
                <w:color w:val="auto"/>
                <w:highlight w:val="none"/>
              </w:rPr>
              <w:t>120</w:t>
            </w:r>
            <w:r>
              <w:rPr>
                <w:rFonts w:hint="eastAsia"/>
                <w:color w:val="auto"/>
                <w:highlight w:val="none"/>
              </w:rPr>
              <w:t>秒</w:t>
            </w:r>
          </w:p>
          <w:p>
            <w:pPr>
              <w:rPr>
                <w:color w:val="auto"/>
                <w:highlight w:val="none"/>
              </w:rPr>
            </w:pPr>
            <w:r>
              <w:rPr>
                <w:rFonts w:hint="eastAsia"/>
                <w:color w:val="auto"/>
                <w:highlight w:val="none"/>
              </w:rPr>
              <w:t>（</w:t>
            </w:r>
            <w:r>
              <w:rPr>
                <w:color w:val="auto"/>
                <w:highlight w:val="none"/>
              </w:rPr>
              <w:t>7</w:t>
            </w:r>
            <w:r>
              <w:rPr>
                <w:rFonts w:hint="eastAsia"/>
                <w:color w:val="auto"/>
                <w:highlight w:val="none"/>
              </w:rPr>
              <w:t>）阀型：上下垂直运动的截止阀型</w:t>
            </w:r>
          </w:p>
          <w:p>
            <w:pPr>
              <w:rPr>
                <w:color w:val="auto"/>
                <w:highlight w:val="none"/>
              </w:rPr>
            </w:pPr>
            <w:r>
              <w:rPr>
                <w:rFonts w:hint="eastAsia"/>
                <w:color w:val="auto"/>
                <w:highlight w:val="none"/>
              </w:rPr>
              <w:t>（</w:t>
            </w:r>
            <w:r>
              <w:rPr>
                <w:color w:val="auto"/>
                <w:highlight w:val="none"/>
              </w:rPr>
              <w:t>8</w:t>
            </w:r>
            <w:r>
              <w:rPr>
                <w:rFonts w:hint="eastAsia"/>
                <w:color w:val="auto"/>
                <w:highlight w:val="none"/>
              </w:rPr>
              <w:t>）材料：阀体：≤</w:t>
            </w:r>
            <w:r>
              <w:rPr>
                <w:color w:val="auto"/>
                <w:highlight w:val="none"/>
              </w:rPr>
              <w:t>DN50</w:t>
            </w:r>
            <w:r>
              <w:rPr>
                <w:rFonts w:hint="eastAsia"/>
                <w:color w:val="auto"/>
                <w:highlight w:val="none"/>
              </w:rPr>
              <w:t>铜；</w:t>
            </w:r>
            <w:r>
              <w:rPr>
                <w:color w:val="auto"/>
                <w:highlight w:val="none"/>
              </w:rPr>
              <w:t>&gt; DN50</w:t>
            </w:r>
            <w:r>
              <w:rPr>
                <w:rFonts w:hint="eastAsia"/>
                <w:color w:val="auto"/>
                <w:highlight w:val="none"/>
              </w:rPr>
              <w:t>铸铁或球墨铸铁；阀杆：不锈钢；阀芯：铜或不锈钢；密封：三元乙丙橡胶</w:t>
            </w:r>
          </w:p>
          <w:p>
            <w:pPr>
              <w:rPr>
                <w:color w:val="auto"/>
                <w:highlight w:val="none"/>
              </w:rPr>
            </w:pPr>
            <w:r>
              <w:rPr>
                <w:rFonts w:hint="eastAsia"/>
                <w:color w:val="auto"/>
                <w:highlight w:val="none"/>
              </w:rPr>
              <w:t>（</w:t>
            </w:r>
            <w:r>
              <w:rPr>
                <w:color w:val="auto"/>
                <w:highlight w:val="none"/>
              </w:rPr>
              <w:t>9</w:t>
            </w:r>
            <w:r>
              <w:rPr>
                <w:rFonts w:hint="eastAsia"/>
                <w:color w:val="auto"/>
                <w:highlight w:val="none"/>
              </w:rPr>
              <w:t>）连接方式：≤</w:t>
            </w:r>
            <w:r>
              <w:rPr>
                <w:color w:val="auto"/>
                <w:highlight w:val="none"/>
              </w:rPr>
              <w:t>DN50</w:t>
            </w:r>
            <w:r>
              <w:rPr>
                <w:rFonts w:hint="eastAsia"/>
                <w:color w:val="auto"/>
                <w:highlight w:val="none"/>
              </w:rPr>
              <w:t>丝扣连接；</w:t>
            </w:r>
            <w:r>
              <w:rPr>
                <w:color w:val="auto"/>
                <w:highlight w:val="none"/>
              </w:rPr>
              <w:t xml:space="preserve"> &gt;DN50</w:t>
            </w:r>
            <w:r>
              <w:rPr>
                <w:rFonts w:hint="eastAsia"/>
                <w:color w:val="auto"/>
                <w:highlight w:val="none"/>
              </w:rPr>
              <w:t>法兰连接</w:t>
            </w:r>
          </w:p>
          <w:p>
            <w:pP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70" w:type="dxa"/>
            <w:noWrap w:val="0"/>
            <w:vAlign w:val="center"/>
          </w:tcPr>
          <w:p>
            <w:pPr>
              <w:rPr>
                <w:color w:val="auto"/>
                <w:highlight w:val="none"/>
              </w:rPr>
            </w:pPr>
            <w:r>
              <w:rPr>
                <w:color w:val="auto"/>
                <w:highlight w:val="none"/>
              </w:rPr>
              <w:t>9.</w:t>
            </w:r>
          </w:p>
        </w:tc>
        <w:tc>
          <w:tcPr>
            <w:tcW w:w="1323" w:type="dxa"/>
            <w:noWrap w:val="0"/>
            <w:vAlign w:val="center"/>
          </w:tcPr>
          <w:p>
            <w:pPr>
              <w:rPr>
                <w:color w:val="auto"/>
                <w:highlight w:val="none"/>
              </w:rPr>
            </w:pPr>
            <w:r>
              <w:rPr>
                <w:rFonts w:hint="eastAsia"/>
                <w:color w:val="auto"/>
                <w:highlight w:val="none"/>
              </w:rPr>
              <w:t>电动比例积分调节阀</w:t>
            </w:r>
          </w:p>
        </w:tc>
        <w:tc>
          <w:tcPr>
            <w:tcW w:w="722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）注册资本不得少于</w:t>
            </w:r>
            <w:r>
              <w:rPr>
                <w:color w:val="auto"/>
                <w:highlight w:val="none"/>
              </w:rPr>
              <w:t>1000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2</w:t>
            </w:r>
            <w:r>
              <w:rPr>
                <w:rFonts w:hint="eastAsia"/>
                <w:color w:val="auto"/>
                <w:highlight w:val="none"/>
              </w:rPr>
              <w:t>）设备商必须通过</w:t>
            </w:r>
            <w:r>
              <w:rPr>
                <w:color w:val="auto"/>
                <w:highlight w:val="none"/>
              </w:rPr>
              <w:t>ISO9001:2000</w:t>
            </w:r>
            <w:r>
              <w:rPr>
                <w:rFonts w:hint="eastAsia"/>
                <w:color w:val="auto"/>
                <w:highlight w:val="none"/>
              </w:rPr>
              <w:t>系列质量体系认证和</w:t>
            </w:r>
            <w:r>
              <w:rPr>
                <w:color w:val="auto"/>
                <w:highlight w:val="none"/>
              </w:rPr>
              <w:t>ISO14001:2000</w:t>
            </w:r>
            <w:r>
              <w:rPr>
                <w:rFonts w:hint="eastAsia"/>
                <w:color w:val="auto"/>
                <w:highlight w:val="none"/>
              </w:rPr>
              <w:t>系列环境体系认证；</w:t>
            </w:r>
          </w:p>
          <w:p>
            <w:pPr>
              <w:rPr>
                <w:color w:val="auto"/>
                <w:highlight w:val="none"/>
              </w:rPr>
            </w:pPr>
            <w:r>
              <w:rPr>
                <w:rFonts w:hint="eastAsia"/>
                <w:color w:val="auto"/>
                <w:highlight w:val="none"/>
              </w:rPr>
              <w:t>（</w:t>
            </w:r>
            <w:r>
              <w:rPr>
                <w:color w:val="auto"/>
                <w:highlight w:val="none"/>
              </w:rPr>
              <w:t>3</w:t>
            </w:r>
            <w:r>
              <w:rPr>
                <w:rFonts w:hint="eastAsia"/>
                <w:color w:val="auto"/>
                <w:highlight w:val="none"/>
              </w:rPr>
              <w:t>）设备商必须在深圳地区设有长期固定的售后服务及维修机构；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）具备位置反馈功能</w:t>
            </w:r>
          </w:p>
          <w:p>
            <w:pPr>
              <w:rPr>
                <w:color w:val="auto"/>
                <w:highlight w:val="none"/>
              </w:rPr>
            </w:pPr>
            <w:r>
              <w:rPr>
                <w:rFonts w:hint="eastAsia"/>
                <w:color w:val="auto"/>
                <w:highlight w:val="none"/>
              </w:rPr>
              <w:t>（</w:t>
            </w:r>
            <w:r>
              <w:rPr>
                <w:color w:val="auto"/>
                <w:highlight w:val="none"/>
              </w:rPr>
              <w:t>2</w:t>
            </w:r>
            <w:r>
              <w:rPr>
                <w:rFonts w:hint="eastAsia"/>
                <w:color w:val="auto"/>
                <w:highlight w:val="none"/>
              </w:rPr>
              <w:t>）具备手动开关</w:t>
            </w:r>
          </w:p>
          <w:p>
            <w:pPr>
              <w:rPr>
                <w:color w:val="auto"/>
                <w:highlight w:val="none"/>
              </w:rPr>
            </w:pPr>
            <w:r>
              <w:rPr>
                <w:rFonts w:hint="eastAsia"/>
                <w:color w:val="auto"/>
                <w:highlight w:val="none"/>
              </w:rPr>
              <w:t>（</w:t>
            </w:r>
            <w:r>
              <w:rPr>
                <w:color w:val="auto"/>
                <w:highlight w:val="none"/>
              </w:rPr>
              <w:t>3</w:t>
            </w:r>
            <w:r>
              <w:rPr>
                <w:rFonts w:hint="eastAsia"/>
                <w:color w:val="auto"/>
                <w:highlight w:val="none"/>
              </w:rPr>
              <w:t>）工作压力：</w:t>
            </w:r>
            <w:r>
              <w:rPr>
                <w:color w:val="auto"/>
                <w:highlight w:val="none"/>
              </w:rPr>
              <w:t>1.6MPa</w:t>
            </w:r>
          </w:p>
          <w:p>
            <w:pPr>
              <w:rPr>
                <w:color w:val="auto"/>
                <w:highlight w:val="none"/>
              </w:rPr>
            </w:pPr>
            <w:r>
              <w:rPr>
                <w:rFonts w:hint="eastAsia"/>
                <w:color w:val="auto"/>
                <w:highlight w:val="none"/>
              </w:rPr>
              <w:t>（</w:t>
            </w:r>
            <w:r>
              <w:rPr>
                <w:color w:val="auto"/>
                <w:highlight w:val="none"/>
              </w:rPr>
              <w:t>4</w:t>
            </w:r>
            <w:r>
              <w:rPr>
                <w:rFonts w:hint="eastAsia"/>
                <w:color w:val="auto"/>
                <w:highlight w:val="none"/>
              </w:rPr>
              <w:t>）控制信号：</w:t>
            </w:r>
            <w:r>
              <w:rPr>
                <w:color w:val="auto"/>
                <w:highlight w:val="none"/>
              </w:rPr>
              <w:t>0-10VDC</w:t>
            </w:r>
          </w:p>
          <w:p>
            <w:pPr>
              <w:rPr>
                <w:color w:val="auto"/>
                <w:highlight w:val="none"/>
              </w:rPr>
            </w:pPr>
            <w:r>
              <w:rPr>
                <w:rFonts w:hint="eastAsia"/>
                <w:color w:val="auto"/>
                <w:highlight w:val="none"/>
              </w:rPr>
              <w:t>（</w:t>
            </w:r>
            <w:r>
              <w:rPr>
                <w:color w:val="auto"/>
                <w:highlight w:val="none"/>
              </w:rPr>
              <w:t>5</w:t>
            </w:r>
            <w:r>
              <w:rPr>
                <w:rFonts w:hint="eastAsia"/>
                <w:color w:val="auto"/>
                <w:highlight w:val="none"/>
              </w:rPr>
              <w:t>）泄漏率：≤</w:t>
            </w:r>
            <w:r>
              <w:rPr>
                <w:color w:val="auto"/>
                <w:highlight w:val="none"/>
              </w:rPr>
              <w:t>0.1Kvs</w:t>
            </w:r>
          </w:p>
          <w:p>
            <w:pPr>
              <w:rPr>
                <w:color w:val="auto"/>
                <w:highlight w:val="none"/>
              </w:rPr>
            </w:pPr>
            <w:r>
              <w:rPr>
                <w:rFonts w:hint="eastAsia"/>
                <w:color w:val="auto"/>
                <w:highlight w:val="none"/>
              </w:rPr>
              <w:t>（</w:t>
            </w:r>
            <w:r>
              <w:rPr>
                <w:color w:val="auto"/>
                <w:highlight w:val="none"/>
              </w:rPr>
              <w:t>6</w:t>
            </w:r>
            <w:r>
              <w:rPr>
                <w:rFonts w:hint="eastAsia"/>
                <w:color w:val="auto"/>
                <w:highlight w:val="none"/>
              </w:rPr>
              <w:t>）阀门全行程时间：≤</w:t>
            </w:r>
            <w:r>
              <w:rPr>
                <w:color w:val="auto"/>
                <w:highlight w:val="none"/>
              </w:rPr>
              <w:t>120</w:t>
            </w:r>
            <w:r>
              <w:rPr>
                <w:rFonts w:hint="eastAsia"/>
                <w:color w:val="auto"/>
                <w:highlight w:val="none"/>
              </w:rPr>
              <w:t>秒</w:t>
            </w:r>
          </w:p>
          <w:p>
            <w:pPr>
              <w:rPr>
                <w:color w:val="auto"/>
                <w:highlight w:val="none"/>
              </w:rPr>
            </w:pPr>
            <w:r>
              <w:rPr>
                <w:rFonts w:hint="eastAsia"/>
                <w:color w:val="auto"/>
                <w:highlight w:val="none"/>
              </w:rPr>
              <w:t>（</w:t>
            </w:r>
            <w:r>
              <w:rPr>
                <w:color w:val="auto"/>
                <w:highlight w:val="none"/>
              </w:rPr>
              <w:t>7</w:t>
            </w:r>
            <w:r>
              <w:rPr>
                <w:rFonts w:hint="eastAsia"/>
                <w:color w:val="auto"/>
                <w:highlight w:val="none"/>
              </w:rPr>
              <w:t>）阀型：上下垂直运动的截止阀型</w:t>
            </w:r>
          </w:p>
          <w:p>
            <w:pPr>
              <w:rPr>
                <w:color w:val="auto"/>
                <w:highlight w:val="none"/>
              </w:rPr>
            </w:pPr>
            <w:r>
              <w:rPr>
                <w:rFonts w:hint="eastAsia"/>
                <w:color w:val="auto"/>
                <w:highlight w:val="none"/>
              </w:rPr>
              <w:t>（</w:t>
            </w:r>
            <w:r>
              <w:rPr>
                <w:color w:val="auto"/>
                <w:highlight w:val="none"/>
              </w:rPr>
              <w:t>8</w:t>
            </w:r>
            <w:r>
              <w:rPr>
                <w:rFonts w:hint="eastAsia"/>
                <w:color w:val="auto"/>
                <w:highlight w:val="none"/>
              </w:rPr>
              <w:t>）材料：阀体：≤</w:t>
            </w:r>
            <w:r>
              <w:rPr>
                <w:color w:val="auto"/>
                <w:highlight w:val="none"/>
              </w:rPr>
              <w:t>DN50</w:t>
            </w:r>
            <w:r>
              <w:rPr>
                <w:rFonts w:hint="eastAsia"/>
                <w:color w:val="auto"/>
                <w:highlight w:val="none"/>
              </w:rPr>
              <w:t>铜，</w:t>
            </w:r>
            <w:r>
              <w:rPr>
                <w:color w:val="auto"/>
                <w:highlight w:val="none"/>
              </w:rPr>
              <w:t>&gt; DN50</w:t>
            </w:r>
            <w:r>
              <w:rPr>
                <w:rFonts w:hint="eastAsia"/>
                <w:color w:val="auto"/>
                <w:highlight w:val="none"/>
              </w:rPr>
              <w:t>铸铁或球墨铸铁；阀杆：不锈钢；阀芯：铜或不锈钢；密封：三元乙丙橡胶</w:t>
            </w:r>
          </w:p>
          <w:p>
            <w:pPr>
              <w:rPr>
                <w:color w:val="auto"/>
                <w:highlight w:val="none"/>
              </w:rPr>
            </w:pPr>
            <w:r>
              <w:rPr>
                <w:rFonts w:hint="eastAsia"/>
                <w:color w:val="auto"/>
                <w:highlight w:val="none"/>
              </w:rPr>
              <w:t>（</w:t>
            </w:r>
            <w:r>
              <w:rPr>
                <w:color w:val="auto"/>
                <w:highlight w:val="none"/>
              </w:rPr>
              <w:t>9</w:t>
            </w:r>
            <w:r>
              <w:rPr>
                <w:rFonts w:hint="eastAsia"/>
                <w:color w:val="auto"/>
                <w:highlight w:val="none"/>
              </w:rPr>
              <w:t>）连接方式：≤</w:t>
            </w:r>
            <w:r>
              <w:rPr>
                <w:color w:val="auto"/>
                <w:highlight w:val="none"/>
              </w:rPr>
              <w:t>DN50</w:t>
            </w:r>
            <w:r>
              <w:rPr>
                <w:rFonts w:hint="eastAsia"/>
                <w:color w:val="auto"/>
                <w:highlight w:val="none"/>
              </w:rPr>
              <w:t>丝扣连接；</w:t>
            </w:r>
            <w:r>
              <w:rPr>
                <w:color w:val="auto"/>
                <w:highlight w:val="none"/>
              </w:rPr>
              <w:t xml:space="preserve"> &gt;DN50</w:t>
            </w:r>
            <w:r>
              <w:rPr>
                <w:rFonts w:hint="eastAsia"/>
                <w:color w:val="auto"/>
                <w:highlight w:val="none"/>
              </w:rPr>
              <w:t>法兰连接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70" w:type="dxa"/>
            <w:noWrap w:val="0"/>
            <w:vAlign w:val="center"/>
          </w:tcPr>
          <w:p>
            <w:pPr>
              <w:rPr>
                <w:color w:val="auto"/>
                <w:highlight w:val="none"/>
              </w:rPr>
            </w:pPr>
            <w:r>
              <w:rPr>
                <w:color w:val="auto"/>
                <w:highlight w:val="none"/>
              </w:rPr>
              <w:t>10.</w:t>
            </w:r>
          </w:p>
        </w:tc>
        <w:tc>
          <w:tcPr>
            <w:tcW w:w="1323" w:type="dxa"/>
            <w:noWrap w:val="0"/>
            <w:vAlign w:val="center"/>
          </w:tcPr>
          <w:p>
            <w:pPr>
              <w:rPr>
                <w:color w:val="auto"/>
                <w:highlight w:val="none"/>
              </w:rPr>
            </w:pPr>
            <w:r>
              <w:rPr>
                <w:rFonts w:hint="eastAsia"/>
                <w:color w:val="auto"/>
                <w:highlight w:val="none"/>
              </w:rPr>
              <w:t>分水器、集水器膨胀罐</w:t>
            </w:r>
          </w:p>
        </w:tc>
        <w:tc>
          <w:tcPr>
            <w:tcW w:w="7229" w:type="dxa"/>
            <w:noWrap w:val="0"/>
            <w:vAlign w:val="top"/>
          </w:tcPr>
          <w:p>
            <w:pPr>
              <w:rPr>
                <w:color w:val="auto"/>
                <w:highlight w:val="none"/>
              </w:rPr>
            </w:pPr>
            <w:r>
              <w:rPr>
                <w:color w:val="auto"/>
                <w:highlight w:val="none"/>
              </w:rPr>
              <w:t>1.</w:t>
            </w:r>
            <w:r>
              <w:rPr>
                <w:rFonts w:hint="eastAsia"/>
                <w:color w:val="auto"/>
                <w:highlight w:val="none"/>
              </w:rPr>
              <w:t>符合设计和有关规范、标准的规定；</w:t>
            </w:r>
          </w:p>
          <w:p>
            <w:pPr>
              <w:rPr>
                <w:color w:val="auto"/>
                <w:highlight w:val="none"/>
              </w:rPr>
            </w:pPr>
            <w:r>
              <w:rPr>
                <w:color w:val="auto"/>
                <w:highlight w:val="none"/>
              </w:rPr>
              <w:t>2.</w:t>
            </w:r>
            <w:r>
              <w:rPr>
                <w:rFonts w:hint="eastAsia"/>
                <w:color w:val="auto"/>
                <w:highlight w:val="none"/>
              </w:rPr>
              <w:t>分水器、集水器由压力容器厂按照国标</w:t>
            </w:r>
            <w:r>
              <w:rPr>
                <w:color w:val="auto"/>
                <w:highlight w:val="none"/>
              </w:rPr>
              <w:t>05K232</w:t>
            </w:r>
            <w:r>
              <w:rPr>
                <w:rFonts w:hint="eastAsia"/>
                <w:color w:val="auto"/>
                <w:highlight w:val="none"/>
              </w:rPr>
              <w:t>制作；膨胀水箱采用不锈钢材质制作；</w:t>
            </w:r>
          </w:p>
          <w:p>
            <w:pPr>
              <w:rPr>
                <w:color w:val="auto"/>
                <w:highlight w:val="none"/>
              </w:rPr>
            </w:pPr>
            <w:r>
              <w:rPr>
                <w:color w:val="auto"/>
                <w:highlight w:val="none"/>
              </w:rPr>
              <w:t>3.</w:t>
            </w:r>
            <w:r>
              <w:rPr>
                <w:rFonts w:hint="eastAsia"/>
                <w:color w:val="auto"/>
                <w:highlight w:val="none"/>
              </w:rPr>
              <w:t>水箱应按有关规定配备必要的配套设施，如人孔、进水口、出水口、液位计等；</w:t>
            </w:r>
          </w:p>
          <w:p>
            <w:pPr>
              <w:rPr>
                <w:color w:val="auto"/>
                <w:highlight w:val="none"/>
              </w:rPr>
            </w:pPr>
            <w:r>
              <w:rPr>
                <w:color w:val="auto"/>
                <w:highlight w:val="none"/>
              </w:rPr>
              <w:t>4.</w:t>
            </w:r>
            <w:r>
              <w:rPr>
                <w:rFonts w:hint="eastAsia"/>
                <w:color w:val="auto"/>
                <w:highlight w:val="none"/>
              </w:rPr>
              <w:t>水箱、分水器、集水器的满水试验或水压试验必须符合设计要求。</w:t>
            </w:r>
          </w:p>
          <w:p>
            <w:pPr>
              <w:rPr>
                <w:color w:val="auto"/>
                <w:highlight w:val="none"/>
              </w:rPr>
            </w:pPr>
            <w:r>
              <w:rPr>
                <w:color w:val="auto"/>
                <w:highlight w:val="none"/>
              </w:rPr>
              <w:t>5.</w:t>
            </w:r>
            <w:r>
              <w:rPr>
                <w:rFonts w:hint="eastAsia"/>
                <w:color w:val="auto"/>
                <w:highlight w:val="none"/>
              </w:rPr>
              <w:t>产品要求承压不小于</w:t>
            </w:r>
            <w:r>
              <w:rPr>
                <w:color w:val="auto"/>
                <w:highlight w:val="none"/>
              </w:rPr>
              <w:t>1.6Mpa</w:t>
            </w:r>
            <w:r>
              <w:rPr>
                <w:rFonts w:hint="eastAsia"/>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70" w:type="dxa"/>
            <w:noWrap w:val="0"/>
            <w:vAlign w:val="center"/>
          </w:tcPr>
          <w:p>
            <w:pPr>
              <w:rPr>
                <w:color w:val="auto"/>
                <w:highlight w:val="none"/>
              </w:rPr>
            </w:pPr>
            <w:r>
              <w:rPr>
                <w:color w:val="auto"/>
                <w:highlight w:val="none"/>
              </w:rPr>
              <w:t>11.</w:t>
            </w:r>
          </w:p>
        </w:tc>
        <w:tc>
          <w:tcPr>
            <w:tcW w:w="1323" w:type="dxa"/>
            <w:noWrap w:val="0"/>
            <w:vAlign w:val="center"/>
          </w:tcPr>
          <w:p>
            <w:pPr>
              <w:rPr>
                <w:color w:val="auto"/>
                <w:highlight w:val="none"/>
              </w:rPr>
            </w:pPr>
            <w:r>
              <w:rPr>
                <w:rFonts w:hint="eastAsia"/>
                <w:color w:val="auto"/>
                <w:highlight w:val="none"/>
              </w:rPr>
              <w:t>球形喷口</w:t>
            </w:r>
          </w:p>
        </w:tc>
        <w:tc>
          <w:tcPr>
            <w:tcW w:w="722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）国内知名品牌，注册资本不得少于</w:t>
            </w:r>
            <w:r>
              <w:rPr>
                <w:color w:val="auto"/>
                <w:highlight w:val="none"/>
              </w:rPr>
              <w:t>1000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2</w:t>
            </w:r>
            <w:r>
              <w:rPr>
                <w:rFonts w:hint="eastAsia"/>
                <w:color w:val="auto"/>
                <w:highlight w:val="none"/>
              </w:rPr>
              <w:t>）设备商必须通过</w:t>
            </w:r>
            <w:r>
              <w:rPr>
                <w:color w:val="auto"/>
                <w:highlight w:val="none"/>
              </w:rPr>
              <w:t>ISO9001:2000</w:t>
            </w:r>
            <w:r>
              <w:rPr>
                <w:rFonts w:hint="eastAsia"/>
                <w:color w:val="auto"/>
                <w:highlight w:val="none"/>
              </w:rPr>
              <w:t>系列质量体系认证；</w:t>
            </w:r>
          </w:p>
          <w:p>
            <w:pPr>
              <w:rPr>
                <w:color w:val="auto"/>
                <w:highlight w:val="none"/>
              </w:rPr>
            </w:pPr>
            <w:r>
              <w:rPr>
                <w:rFonts w:hint="eastAsia"/>
                <w:color w:val="auto"/>
                <w:highlight w:val="none"/>
              </w:rPr>
              <w:t>（</w:t>
            </w:r>
            <w:r>
              <w:rPr>
                <w:color w:val="auto"/>
                <w:highlight w:val="none"/>
              </w:rPr>
              <w:t>3</w:t>
            </w:r>
            <w:r>
              <w:rPr>
                <w:rFonts w:hint="eastAsia"/>
                <w:color w:val="auto"/>
                <w:highlight w:val="none"/>
              </w:rPr>
              <w:t>）设备商必须在深圳地区设有长期固定的售后服务及维修机构；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）制造商须说明其样本上的技术参数的来源，并提供由国家有关权威机构出具的检测报告，以证明其参数真实有效，其产品能满足本项目招标要求。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）喷口采用可调式喷口型式。</w:t>
            </w:r>
          </w:p>
          <w:p>
            <w:pPr>
              <w:rPr>
                <w:color w:val="auto"/>
                <w:highlight w:val="none"/>
              </w:rPr>
            </w:pPr>
            <w:r>
              <w:rPr>
                <w:rFonts w:hint="eastAsia"/>
                <w:color w:val="auto"/>
                <w:highlight w:val="none"/>
              </w:rPr>
              <w:t>（</w:t>
            </w:r>
            <w:r>
              <w:rPr>
                <w:color w:val="auto"/>
                <w:highlight w:val="none"/>
              </w:rPr>
              <w:t>3</w:t>
            </w:r>
            <w:r>
              <w:rPr>
                <w:rFonts w:hint="eastAsia"/>
                <w:color w:val="auto"/>
                <w:highlight w:val="none"/>
              </w:rPr>
              <w:t>）送风喷嘴采用以厚度不小于</w:t>
            </w:r>
            <w:r>
              <w:rPr>
                <w:color w:val="auto"/>
                <w:highlight w:val="none"/>
              </w:rPr>
              <w:t>2mm</w:t>
            </w:r>
            <w:r>
              <w:rPr>
                <w:rFonts w:hint="eastAsia"/>
                <w:color w:val="auto"/>
                <w:highlight w:val="none"/>
              </w:rPr>
              <w:t>的铝质材料深拉成型的球型中空双层结构，外壳为球形，内胆为符合空气动力学原理的抛物线形状，以实现射程远、噪声和阻力低、射流诱导比高、室内空气混合性好、工作区域温度均匀以及在高湿地区避免风口表面结露等技术要求。</w:t>
            </w:r>
          </w:p>
          <w:p>
            <w:pPr>
              <w:rPr>
                <w:color w:val="auto"/>
                <w:highlight w:val="none"/>
              </w:rPr>
            </w:pPr>
            <w:r>
              <w:rPr>
                <w:rFonts w:hint="eastAsia"/>
                <w:color w:val="auto"/>
                <w:highlight w:val="none"/>
              </w:rPr>
              <w:t>（</w:t>
            </w:r>
            <w:r>
              <w:rPr>
                <w:color w:val="auto"/>
                <w:highlight w:val="none"/>
              </w:rPr>
              <w:t>4</w:t>
            </w:r>
            <w:r>
              <w:rPr>
                <w:rFonts w:hint="eastAsia"/>
                <w:color w:val="auto"/>
                <w:highlight w:val="none"/>
              </w:rPr>
              <w:t>）喷嘴内外表面光滑圆润，无凹凸和起楞，可在±</w:t>
            </w:r>
            <w:r>
              <w:rPr>
                <w:color w:val="auto"/>
                <w:highlight w:val="none"/>
              </w:rPr>
              <w:t>30</w:t>
            </w:r>
            <w:r>
              <w:rPr>
                <w:rFonts w:hint="eastAsia"/>
                <w:color w:val="auto"/>
                <w:highlight w:val="none"/>
              </w:rPr>
              <w:t>°范围内上下任意调节。调节时既要使球体可轻松自由转动，又要保证球体与密封圈之间有一定的摩擦力，以防止已调节好送风角度的喷嘴因气流扰动或振动而随意改变位置。</w:t>
            </w:r>
          </w:p>
          <w:p>
            <w:pPr>
              <w:rPr>
                <w:color w:val="auto"/>
                <w:highlight w:val="none"/>
              </w:rPr>
            </w:pPr>
            <w:r>
              <w:rPr>
                <w:rFonts w:hint="eastAsia"/>
                <w:color w:val="auto"/>
                <w:highlight w:val="none"/>
              </w:rPr>
              <w:t>（</w:t>
            </w:r>
            <w:r>
              <w:rPr>
                <w:color w:val="auto"/>
                <w:highlight w:val="none"/>
              </w:rPr>
              <w:t>5</w:t>
            </w:r>
            <w:r>
              <w:rPr>
                <w:rFonts w:hint="eastAsia"/>
                <w:color w:val="auto"/>
                <w:highlight w:val="none"/>
              </w:rPr>
              <w:t>）喷嘴外部接管采用镀锌冷轧钢板或其它耐腐蚀金属材料卷制</w:t>
            </w:r>
            <w:r>
              <w:rPr>
                <w:color w:val="auto"/>
                <w:highlight w:val="none"/>
              </w:rPr>
              <w:t>,</w:t>
            </w:r>
            <w:r>
              <w:rPr>
                <w:rFonts w:hint="eastAsia"/>
                <w:color w:val="auto"/>
                <w:highlight w:val="none"/>
              </w:rPr>
              <w:t>板材厚度不得小于</w:t>
            </w:r>
            <w:r>
              <w:rPr>
                <w:color w:val="auto"/>
                <w:highlight w:val="none"/>
              </w:rPr>
              <w:t>1.2mm</w:t>
            </w:r>
            <w:r>
              <w:rPr>
                <w:rFonts w:hint="eastAsia"/>
                <w:color w:val="auto"/>
                <w:highlight w:val="none"/>
              </w:rPr>
              <w:t>。</w:t>
            </w:r>
          </w:p>
          <w:p>
            <w:pPr>
              <w:rPr>
                <w:color w:val="auto"/>
                <w:highlight w:val="none"/>
              </w:rPr>
            </w:pPr>
            <w:r>
              <w:rPr>
                <w:rFonts w:hint="eastAsia"/>
                <w:color w:val="auto"/>
                <w:highlight w:val="none"/>
              </w:rPr>
              <w:t>（</w:t>
            </w:r>
            <w:r>
              <w:rPr>
                <w:color w:val="auto"/>
                <w:highlight w:val="none"/>
              </w:rPr>
              <w:t>6</w:t>
            </w:r>
            <w:r>
              <w:rPr>
                <w:rFonts w:hint="eastAsia"/>
                <w:color w:val="auto"/>
                <w:highlight w:val="none"/>
              </w:rPr>
              <w:t>）喷嘴与接管间设塑料或其他非金属密封圈，以使球体转动时能停留在一定的位置并避免因漏风引起的啸叫声。</w:t>
            </w:r>
          </w:p>
          <w:p>
            <w:pPr>
              <w:rPr>
                <w:color w:val="auto"/>
                <w:highlight w:val="none"/>
              </w:rPr>
            </w:pPr>
            <w:r>
              <w:rPr>
                <w:rFonts w:hint="eastAsia"/>
                <w:color w:val="auto"/>
                <w:highlight w:val="none"/>
              </w:rPr>
              <w:t>（</w:t>
            </w:r>
            <w:r>
              <w:rPr>
                <w:color w:val="auto"/>
                <w:highlight w:val="none"/>
              </w:rPr>
              <w:t>7</w:t>
            </w:r>
            <w:r>
              <w:rPr>
                <w:rFonts w:hint="eastAsia"/>
                <w:color w:val="auto"/>
                <w:highlight w:val="none"/>
              </w:rPr>
              <w:t>）喷嘴外须配有可方便拆卸的装饰圈，以满足装饰美观的要求。装饰圈采用铝质材料压制而成，用卡口旋转方式固定。</w:t>
            </w:r>
          </w:p>
          <w:p>
            <w:pPr>
              <w:rPr>
                <w:color w:val="auto"/>
                <w:highlight w:val="none"/>
              </w:rPr>
            </w:pPr>
            <w:r>
              <w:rPr>
                <w:rFonts w:hint="eastAsia"/>
                <w:color w:val="auto"/>
                <w:highlight w:val="none"/>
              </w:rPr>
              <w:t>（</w:t>
            </w:r>
            <w:r>
              <w:rPr>
                <w:color w:val="auto"/>
                <w:highlight w:val="none"/>
              </w:rPr>
              <w:t>8</w:t>
            </w:r>
            <w:r>
              <w:rPr>
                <w:rFonts w:hint="eastAsia"/>
                <w:color w:val="auto"/>
                <w:highlight w:val="none"/>
              </w:rPr>
              <w:t>）喷口与风管、墙面等处连接的法兰应具有足够的强度，以防喷口安装后变形或脱落。</w:t>
            </w:r>
          </w:p>
          <w:p>
            <w:pPr>
              <w:rPr>
                <w:color w:val="auto"/>
                <w:highlight w:val="none"/>
              </w:rPr>
            </w:pPr>
            <w:r>
              <w:rPr>
                <w:rFonts w:hint="eastAsia"/>
                <w:color w:val="auto"/>
                <w:highlight w:val="none"/>
              </w:rPr>
              <w:t>（</w:t>
            </w:r>
            <w:r>
              <w:rPr>
                <w:color w:val="auto"/>
                <w:highlight w:val="none"/>
              </w:rPr>
              <w:t>9</w:t>
            </w:r>
            <w:r>
              <w:rPr>
                <w:rFonts w:hint="eastAsia"/>
                <w:color w:val="auto"/>
                <w:highlight w:val="none"/>
              </w:rPr>
              <w:t>）喷口在规定的安装高度、送风量和送风温差条件下，射程必须达到规定的送风距离，风口再生噪音不得超过</w:t>
            </w:r>
            <w:r>
              <w:rPr>
                <w:color w:val="auto"/>
                <w:highlight w:val="none"/>
              </w:rPr>
              <w:t>45dB</w:t>
            </w:r>
            <w:r>
              <w:rPr>
                <w:rFonts w:hint="eastAsia"/>
                <w:color w:val="auto"/>
                <w:highlight w:val="none"/>
              </w:rPr>
              <w:t>（</w:t>
            </w:r>
            <w:r>
              <w:rPr>
                <w:color w:val="auto"/>
                <w:highlight w:val="none"/>
              </w:rPr>
              <w:t>A</w:t>
            </w:r>
            <w:r>
              <w:rPr>
                <w:rFonts w:hint="eastAsia"/>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70" w:type="dxa"/>
            <w:noWrap w:val="0"/>
            <w:vAlign w:val="center"/>
          </w:tcPr>
          <w:p>
            <w:pPr>
              <w:rPr>
                <w:color w:val="auto"/>
                <w:highlight w:val="none"/>
              </w:rPr>
            </w:pPr>
            <w:r>
              <w:rPr>
                <w:color w:val="auto"/>
                <w:highlight w:val="none"/>
              </w:rPr>
              <w:t>12.</w:t>
            </w:r>
          </w:p>
        </w:tc>
        <w:tc>
          <w:tcPr>
            <w:tcW w:w="1323" w:type="dxa"/>
            <w:noWrap w:val="0"/>
            <w:vAlign w:val="center"/>
          </w:tcPr>
          <w:p>
            <w:pPr>
              <w:rPr>
                <w:color w:val="auto"/>
                <w:highlight w:val="none"/>
              </w:rPr>
            </w:pPr>
            <w:r>
              <w:rPr>
                <w:rFonts w:hint="eastAsia"/>
                <w:color w:val="auto"/>
                <w:highlight w:val="none"/>
              </w:rPr>
              <w:t>阶梯旋流风口</w:t>
            </w:r>
          </w:p>
        </w:tc>
        <w:tc>
          <w:tcPr>
            <w:tcW w:w="722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）国内知名品牌，注册资本不得少于</w:t>
            </w:r>
            <w:r>
              <w:rPr>
                <w:color w:val="auto"/>
                <w:highlight w:val="none"/>
              </w:rPr>
              <w:t>1000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2</w:t>
            </w:r>
            <w:r>
              <w:rPr>
                <w:rFonts w:hint="eastAsia"/>
                <w:color w:val="auto"/>
                <w:highlight w:val="none"/>
              </w:rPr>
              <w:t>）设备商必须通过</w:t>
            </w:r>
            <w:r>
              <w:rPr>
                <w:color w:val="auto"/>
                <w:highlight w:val="none"/>
              </w:rPr>
              <w:t>ISO9001:2000</w:t>
            </w:r>
            <w:r>
              <w:rPr>
                <w:rFonts w:hint="eastAsia"/>
                <w:color w:val="auto"/>
                <w:highlight w:val="none"/>
              </w:rPr>
              <w:t>系列质量体系认证；</w:t>
            </w:r>
          </w:p>
          <w:p>
            <w:pPr>
              <w:rPr>
                <w:color w:val="auto"/>
                <w:highlight w:val="none"/>
              </w:rPr>
            </w:pPr>
            <w:r>
              <w:rPr>
                <w:rFonts w:hint="eastAsia"/>
                <w:color w:val="auto"/>
                <w:highlight w:val="none"/>
              </w:rPr>
              <w:t>（</w:t>
            </w:r>
            <w:r>
              <w:rPr>
                <w:color w:val="auto"/>
                <w:highlight w:val="none"/>
              </w:rPr>
              <w:t>3</w:t>
            </w:r>
            <w:r>
              <w:rPr>
                <w:rFonts w:hint="eastAsia"/>
                <w:color w:val="auto"/>
                <w:highlight w:val="none"/>
              </w:rPr>
              <w:t>）设备商必须在深圳地区设有长期固定的售后服务及维修机构；</w:t>
            </w:r>
          </w:p>
          <w:p>
            <w:pPr>
              <w:rPr>
                <w:color w:val="auto"/>
                <w:highlight w:val="none"/>
              </w:rPr>
            </w:pPr>
            <w:r>
              <w:rPr>
                <w:rFonts w:hint="eastAsia"/>
                <w:color w:val="auto"/>
                <w:highlight w:val="none"/>
              </w:rPr>
              <w:t>（</w:t>
            </w:r>
            <w:r>
              <w:rPr>
                <w:color w:val="auto"/>
                <w:highlight w:val="none"/>
              </w:rPr>
              <w:t>4</w:t>
            </w:r>
            <w:r>
              <w:rPr>
                <w:rFonts w:hint="eastAsia"/>
                <w:color w:val="auto"/>
                <w:highlight w:val="none"/>
              </w:rPr>
              <w:t>）产品必须是成熟定型产品，具有</w:t>
            </w:r>
            <w:r>
              <w:rPr>
                <w:color w:val="auto"/>
                <w:highlight w:val="none"/>
              </w:rPr>
              <w:t>10</w:t>
            </w:r>
            <w:r>
              <w:rPr>
                <w:rFonts w:hint="eastAsia"/>
                <w:color w:val="auto"/>
                <w:highlight w:val="none"/>
              </w:rPr>
              <w:t>年以上的生产、应用经验；</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）必须提供国家级空调设备检验机构的检测报告；</w:t>
            </w:r>
          </w:p>
          <w:p>
            <w:pPr>
              <w:rPr>
                <w:color w:val="auto"/>
                <w:highlight w:val="none"/>
              </w:rPr>
            </w:pPr>
            <w:r>
              <w:rPr>
                <w:rFonts w:hint="eastAsia"/>
                <w:color w:val="auto"/>
                <w:highlight w:val="none"/>
              </w:rPr>
              <w:t>（</w:t>
            </w:r>
            <w:r>
              <w:rPr>
                <w:color w:val="auto"/>
                <w:highlight w:val="none"/>
              </w:rPr>
              <w:t>2</w:t>
            </w:r>
            <w:r>
              <w:rPr>
                <w:rFonts w:hint="eastAsia"/>
                <w:color w:val="auto"/>
                <w:highlight w:val="none"/>
              </w:rPr>
              <w:t>）风口面板由钢板一次冲压成型，不允许有任何焊接点，</w:t>
            </w:r>
            <w:r>
              <w:rPr>
                <w:color w:val="auto"/>
                <w:highlight w:val="none"/>
              </w:rPr>
              <w:t xml:space="preserve"> </w:t>
            </w:r>
            <w:r>
              <w:rPr>
                <w:rFonts w:hint="eastAsia"/>
                <w:color w:val="auto"/>
                <w:highlight w:val="none"/>
              </w:rPr>
              <w:t>表面经粉末涂漆处理；</w:t>
            </w:r>
          </w:p>
          <w:p>
            <w:pPr>
              <w:rPr>
                <w:color w:val="auto"/>
                <w:highlight w:val="none"/>
              </w:rPr>
            </w:pPr>
            <w:r>
              <w:rPr>
                <w:rFonts w:hint="eastAsia"/>
                <w:color w:val="auto"/>
                <w:highlight w:val="none"/>
              </w:rPr>
              <w:t>（</w:t>
            </w:r>
            <w:r>
              <w:rPr>
                <w:color w:val="auto"/>
                <w:highlight w:val="none"/>
              </w:rPr>
              <w:t>3</w:t>
            </w:r>
            <w:r>
              <w:rPr>
                <w:rFonts w:hint="eastAsia"/>
                <w:color w:val="auto"/>
                <w:highlight w:val="none"/>
              </w:rPr>
              <w:t>）风口面板由四部分出风槽组成，叶片为固定式，各部分间相互成</w:t>
            </w:r>
            <w:r>
              <w:rPr>
                <w:color w:val="auto"/>
                <w:highlight w:val="none"/>
              </w:rPr>
              <w:t>90</w:t>
            </w:r>
            <w:r>
              <w:rPr>
                <w:rFonts w:hint="eastAsia"/>
                <w:color w:val="auto"/>
                <w:highlight w:val="none"/>
              </w:rPr>
              <w:t>度角，形成旋流出风效果；</w:t>
            </w:r>
          </w:p>
          <w:p>
            <w:pPr>
              <w:rPr>
                <w:color w:val="auto"/>
                <w:highlight w:val="none"/>
              </w:rPr>
            </w:pPr>
            <w:r>
              <w:rPr>
                <w:rFonts w:hint="eastAsia"/>
                <w:color w:val="auto"/>
                <w:highlight w:val="none"/>
              </w:rPr>
              <w:t>（</w:t>
            </w:r>
            <w:r>
              <w:rPr>
                <w:color w:val="auto"/>
                <w:highlight w:val="none"/>
              </w:rPr>
              <w:t>4</w:t>
            </w:r>
            <w:r>
              <w:rPr>
                <w:rFonts w:hint="eastAsia"/>
                <w:color w:val="auto"/>
                <w:highlight w:val="none"/>
              </w:rPr>
              <w:t>）风口面板通过中心的螺栓进行固定，螺栓头由装饰帽进行遮盖；</w:t>
            </w:r>
          </w:p>
          <w:p>
            <w:pPr>
              <w:rPr>
                <w:color w:val="auto"/>
                <w:highlight w:val="none"/>
              </w:rPr>
            </w:pPr>
            <w:r>
              <w:rPr>
                <w:rFonts w:hint="eastAsia"/>
                <w:color w:val="auto"/>
                <w:highlight w:val="none"/>
              </w:rPr>
              <w:t>（</w:t>
            </w:r>
            <w:r>
              <w:rPr>
                <w:color w:val="auto"/>
                <w:highlight w:val="none"/>
              </w:rPr>
              <w:t>5</w:t>
            </w:r>
            <w:r>
              <w:rPr>
                <w:rFonts w:hint="eastAsia"/>
                <w:color w:val="auto"/>
                <w:highlight w:val="none"/>
              </w:rPr>
              <w:t>）风口后部须配带有穿孔板式的均流板；</w:t>
            </w:r>
          </w:p>
          <w:p>
            <w:pPr>
              <w:rPr>
                <w:color w:val="auto"/>
                <w:highlight w:val="none"/>
              </w:rPr>
            </w:pPr>
            <w:r>
              <w:rPr>
                <w:rFonts w:hint="eastAsia"/>
                <w:color w:val="auto"/>
                <w:highlight w:val="none"/>
              </w:rPr>
              <w:t>（</w:t>
            </w:r>
            <w:r>
              <w:rPr>
                <w:color w:val="auto"/>
                <w:highlight w:val="none"/>
              </w:rPr>
              <w:t>6</w:t>
            </w:r>
            <w:r>
              <w:rPr>
                <w:rFonts w:hint="eastAsia"/>
                <w:color w:val="auto"/>
                <w:highlight w:val="none"/>
              </w:rPr>
              <w:t>）必须根据设计要求提供详细的气流组织计算书；</w:t>
            </w:r>
          </w:p>
          <w:p>
            <w:pPr>
              <w:rPr>
                <w:color w:val="auto"/>
                <w:highlight w:val="none"/>
              </w:rPr>
            </w:pPr>
            <w:r>
              <w:rPr>
                <w:rFonts w:hint="eastAsia"/>
                <w:color w:val="auto"/>
                <w:highlight w:val="none"/>
              </w:rPr>
              <w:t>（</w:t>
            </w:r>
            <w:r>
              <w:rPr>
                <w:color w:val="auto"/>
                <w:highlight w:val="none"/>
              </w:rPr>
              <w:t>7</w:t>
            </w:r>
            <w:r>
              <w:rPr>
                <w:rFonts w:hint="eastAsia"/>
                <w:color w:val="auto"/>
                <w:highlight w:val="none"/>
              </w:rPr>
              <w:t>）风口的出风气流必须保证与阶梯的立面保持贴附，以避免对人体脚踝处的吹风感，并提供相应的气流测试数据；</w:t>
            </w:r>
          </w:p>
          <w:p>
            <w:pPr>
              <w:rPr>
                <w:color w:val="auto"/>
                <w:highlight w:val="none"/>
              </w:rPr>
            </w:pPr>
            <w:r>
              <w:rPr>
                <w:rFonts w:hint="eastAsia"/>
                <w:color w:val="auto"/>
                <w:highlight w:val="none"/>
              </w:rPr>
              <w:t>（</w:t>
            </w:r>
            <w:r>
              <w:rPr>
                <w:color w:val="auto"/>
                <w:highlight w:val="none"/>
              </w:rPr>
              <w:t>8</w:t>
            </w:r>
            <w:r>
              <w:rPr>
                <w:rFonts w:hint="eastAsia"/>
                <w:color w:val="auto"/>
                <w:highlight w:val="none"/>
              </w:rPr>
              <w:t>）生产厂家要有先进的气流组织模拟演示实验室，可根据实际要求进行气流组织的效果模拟，以达到最佳的空调效果。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70" w:type="dxa"/>
            <w:noWrap w:val="0"/>
            <w:vAlign w:val="center"/>
          </w:tcPr>
          <w:p>
            <w:pPr>
              <w:rPr>
                <w:color w:val="auto"/>
                <w:highlight w:val="none"/>
              </w:rPr>
            </w:pPr>
            <w:r>
              <w:rPr>
                <w:color w:val="auto"/>
                <w:highlight w:val="none"/>
              </w:rPr>
              <w:t>13.</w:t>
            </w:r>
          </w:p>
        </w:tc>
        <w:tc>
          <w:tcPr>
            <w:tcW w:w="1323" w:type="dxa"/>
            <w:noWrap w:val="0"/>
            <w:vAlign w:val="center"/>
          </w:tcPr>
          <w:p>
            <w:pPr>
              <w:rPr>
                <w:color w:val="auto"/>
                <w:highlight w:val="none"/>
              </w:rPr>
            </w:pPr>
            <w:r>
              <w:rPr>
                <w:rFonts w:hint="eastAsia"/>
                <w:color w:val="auto"/>
                <w:highlight w:val="none"/>
              </w:rPr>
              <w:t>旋流风口</w:t>
            </w:r>
          </w:p>
        </w:tc>
        <w:tc>
          <w:tcPr>
            <w:tcW w:w="722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）国内知名品牌，注册资本不得少于</w:t>
            </w:r>
            <w:r>
              <w:rPr>
                <w:color w:val="auto"/>
                <w:highlight w:val="none"/>
              </w:rPr>
              <w:t>1000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2</w:t>
            </w:r>
            <w:r>
              <w:rPr>
                <w:rFonts w:hint="eastAsia"/>
                <w:color w:val="auto"/>
                <w:highlight w:val="none"/>
              </w:rPr>
              <w:t>）设备商必须通过</w:t>
            </w:r>
            <w:r>
              <w:rPr>
                <w:color w:val="auto"/>
                <w:highlight w:val="none"/>
              </w:rPr>
              <w:t>ISO9001:2000</w:t>
            </w:r>
            <w:r>
              <w:rPr>
                <w:rFonts w:hint="eastAsia"/>
                <w:color w:val="auto"/>
                <w:highlight w:val="none"/>
              </w:rPr>
              <w:t>系列质量体系认证；</w:t>
            </w:r>
          </w:p>
          <w:p>
            <w:pPr>
              <w:rPr>
                <w:color w:val="auto"/>
                <w:highlight w:val="none"/>
              </w:rPr>
            </w:pPr>
            <w:r>
              <w:rPr>
                <w:rFonts w:hint="eastAsia"/>
                <w:color w:val="auto"/>
                <w:highlight w:val="none"/>
              </w:rPr>
              <w:t>（</w:t>
            </w:r>
            <w:r>
              <w:rPr>
                <w:color w:val="auto"/>
                <w:highlight w:val="none"/>
              </w:rPr>
              <w:t>3</w:t>
            </w:r>
            <w:r>
              <w:rPr>
                <w:rFonts w:hint="eastAsia"/>
                <w:color w:val="auto"/>
                <w:highlight w:val="none"/>
              </w:rPr>
              <w:t>）设备商必须在深圳地区设有长期固定的售后服务及维修机构；</w:t>
            </w:r>
          </w:p>
          <w:p>
            <w:pPr>
              <w:rPr>
                <w:color w:val="auto"/>
                <w:highlight w:val="none"/>
              </w:rPr>
            </w:pPr>
            <w:r>
              <w:rPr>
                <w:rFonts w:hint="eastAsia"/>
                <w:color w:val="auto"/>
                <w:highlight w:val="none"/>
              </w:rPr>
              <w:t>（</w:t>
            </w:r>
            <w:r>
              <w:rPr>
                <w:color w:val="auto"/>
                <w:highlight w:val="none"/>
              </w:rPr>
              <w:t>4</w:t>
            </w:r>
            <w:r>
              <w:rPr>
                <w:rFonts w:hint="eastAsia"/>
                <w:color w:val="auto"/>
                <w:highlight w:val="none"/>
              </w:rPr>
              <w:t>）产品必须是成熟定型产品，具有</w:t>
            </w:r>
            <w:r>
              <w:rPr>
                <w:color w:val="auto"/>
                <w:highlight w:val="none"/>
              </w:rPr>
              <w:t>10</w:t>
            </w:r>
            <w:r>
              <w:rPr>
                <w:rFonts w:hint="eastAsia"/>
                <w:color w:val="auto"/>
                <w:highlight w:val="none"/>
              </w:rPr>
              <w:t>年以上的生产、应用经验；</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）旋流风口采用可调式风口，可通过调节叶片的送风角度满足不同高度的送风需求，根据叶片的不同状态，可送出横向、斜向或垂直方向的旋转气流。</w:t>
            </w:r>
          </w:p>
          <w:p>
            <w:pPr>
              <w:rPr>
                <w:color w:val="auto"/>
                <w:highlight w:val="none"/>
              </w:rPr>
            </w:pPr>
            <w:r>
              <w:rPr>
                <w:rFonts w:hint="eastAsia"/>
                <w:color w:val="auto"/>
                <w:highlight w:val="none"/>
              </w:rPr>
              <w:t>（</w:t>
            </w:r>
            <w:r>
              <w:rPr>
                <w:color w:val="auto"/>
                <w:highlight w:val="none"/>
              </w:rPr>
              <w:t>2</w:t>
            </w:r>
            <w:r>
              <w:rPr>
                <w:rFonts w:hint="eastAsia"/>
                <w:color w:val="auto"/>
                <w:highlight w:val="none"/>
              </w:rPr>
              <w:t>）旋流风口散流圈为厚度不小于</w:t>
            </w:r>
            <w:r>
              <w:rPr>
                <w:color w:val="auto"/>
                <w:highlight w:val="none"/>
              </w:rPr>
              <w:t>2mm</w:t>
            </w:r>
            <w:r>
              <w:rPr>
                <w:rFonts w:hint="eastAsia"/>
                <w:color w:val="auto"/>
                <w:highlight w:val="none"/>
              </w:rPr>
              <w:t>的铝质材料深拉成型，外部接管采用镀锌冷轧钢板卷制</w:t>
            </w:r>
            <w:r>
              <w:rPr>
                <w:color w:val="auto"/>
                <w:highlight w:val="none"/>
              </w:rPr>
              <w:t>,</w:t>
            </w:r>
            <w:r>
              <w:rPr>
                <w:rFonts w:hint="eastAsia"/>
                <w:color w:val="auto"/>
                <w:highlight w:val="none"/>
              </w:rPr>
              <w:t>板材厚度不得小于</w:t>
            </w:r>
            <w:r>
              <w:rPr>
                <w:color w:val="auto"/>
                <w:highlight w:val="none"/>
              </w:rPr>
              <w:t>1.2mm</w:t>
            </w:r>
            <w:r>
              <w:rPr>
                <w:rFonts w:hint="eastAsia"/>
                <w:color w:val="auto"/>
                <w:highlight w:val="none"/>
              </w:rPr>
              <w:t>。</w:t>
            </w:r>
          </w:p>
          <w:p>
            <w:pPr>
              <w:rPr>
                <w:color w:val="auto"/>
                <w:highlight w:val="none"/>
              </w:rPr>
            </w:pPr>
            <w:r>
              <w:rPr>
                <w:rFonts w:hint="eastAsia"/>
                <w:color w:val="auto"/>
                <w:highlight w:val="none"/>
              </w:rPr>
              <w:t>（</w:t>
            </w:r>
            <w:r>
              <w:rPr>
                <w:color w:val="auto"/>
                <w:highlight w:val="none"/>
              </w:rPr>
              <w:t>3</w:t>
            </w:r>
            <w:r>
              <w:rPr>
                <w:rFonts w:hint="eastAsia"/>
                <w:color w:val="auto"/>
                <w:highlight w:val="none"/>
              </w:rPr>
              <w:t>）旋流风口内外表面应光滑圆润，无凹凸和起楞，正面风口装有双层可调节式叶片，可通过人工调节叶片的位置来改变送风气流的扩散角度。</w:t>
            </w:r>
          </w:p>
          <w:p>
            <w:pPr>
              <w:rPr>
                <w:color w:val="auto"/>
                <w:highlight w:val="none"/>
              </w:rPr>
            </w:pPr>
            <w:r>
              <w:rPr>
                <w:rFonts w:hint="eastAsia"/>
                <w:color w:val="auto"/>
                <w:highlight w:val="none"/>
              </w:rPr>
              <w:t>（</w:t>
            </w:r>
            <w:r>
              <w:rPr>
                <w:color w:val="auto"/>
                <w:highlight w:val="none"/>
              </w:rPr>
              <w:t>4</w:t>
            </w:r>
            <w:r>
              <w:rPr>
                <w:rFonts w:hint="eastAsia"/>
                <w:color w:val="auto"/>
                <w:highlight w:val="none"/>
              </w:rPr>
              <w:t>）旋流风口叶片的调节位置，能够在可调节范围内任意点固定，以防止已调节好送风角度的叶片因气流扰动或振动而改变位置。</w:t>
            </w:r>
          </w:p>
          <w:p>
            <w:pPr>
              <w:rPr>
                <w:color w:val="auto"/>
                <w:highlight w:val="none"/>
              </w:rPr>
            </w:pPr>
            <w:r>
              <w:rPr>
                <w:rFonts w:hint="eastAsia"/>
                <w:color w:val="auto"/>
                <w:highlight w:val="none"/>
              </w:rPr>
              <w:t>（</w:t>
            </w:r>
            <w:r>
              <w:rPr>
                <w:color w:val="auto"/>
                <w:highlight w:val="none"/>
              </w:rPr>
              <w:t>5</w:t>
            </w:r>
            <w:r>
              <w:rPr>
                <w:rFonts w:hint="eastAsia"/>
                <w:color w:val="auto"/>
                <w:highlight w:val="none"/>
              </w:rPr>
              <w:t>）旋流风口在规定的安装高度、送风量和送风温差条件下，必须达到规定的送风深度，风口再生噪音不得超过</w:t>
            </w:r>
            <w:r>
              <w:rPr>
                <w:color w:val="auto"/>
                <w:highlight w:val="none"/>
              </w:rPr>
              <w:t>45dB</w:t>
            </w:r>
            <w:r>
              <w:rPr>
                <w:rFonts w:hint="eastAsia"/>
                <w:color w:val="auto"/>
                <w:highlight w:val="none"/>
              </w:rPr>
              <w:t>（</w:t>
            </w:r>
            <w:r>
              <w:rPr>
                <w:color w:val="auto"/>
                <w:highlight w:val="none"/>
              </w:rPr>
              <w:t>A</w:t>
            </w:r>
            <w:r>
              <w:rPr>
                <w:rFonts w:hint="eastAsia"/>
                <w:color w:val="auto"/>
                <w:highlight w:val="none"/>
              </w:rPr>
              <w:t>）。</w:t>
            </w:r>
          </w:p>
          <w:p>
            <w:pPr>
              <w:rPr>
                <w:color w:val="auto"/>
                <w:highlight w:val="none"/>
              </w:rPr>
            </w:pPr>
            <w:r>
              <w:rPr>
                <w:rFonts w:hint="eastAsia"/>
                <w:color w:val="auto"/>
                <w:highlight w:val="none"/>
              </w:rPr>
              <w:t>（</w:t>
            </w:r>
            <w:r>
              <w:rPr>
                <w:color w:val="auto"/>
                <w:highlight w:val="none"/>
              </w:rPr>
              <w:t>6</w:t>
            </w:r>
            <w:r>
              <w:rPr>
                <w:rFonts w:hint="eastAsia"/>
                <w:color w:val="auto"/>
                <w:highlight w:val="none"/>
              </w:rPr>
              <w:t>）旋流风口配电动执行器，调节导风叶片角度。执行器为连续调节型，执行机构档次不低于</w:t>
            </w:r>
            <w:r>
              <w:rPr>
                <w:color w:val="auto"/>
                <w:highlight w:val="none"/>
              </w:rPr>
              <w:t>SIEMENS</w:t>
            </w:r>
            <w:r>
              <w:rPr>
                <w:rFonts w:hint="eastAsia"/>
                <w:color w:val="auto"/>
                <w:highlight w:val="none"/>
              </w:rPr>
              <w:t>、</w:t>
            </w:r>
            <w:r>
              <w:rPr>
                <w:color w:val="auto"/>
                <w:highlight w:val="none"/>
              </w:rPr>
              <w:t>JOHNSON</w:t>
            </w:r>
            <w:r>
              <w:rPr>
                <w:rFonts w:hint="eastAsia"/>
                <w:color w:val="auto"/>
                <w:highlight w:val="none"/>
              </w:rPr>
              <w:t>、</w:t>
            </w:r>
            <w:r>
              <w:rPr>
                <w:color w:val="auto"/>
                <w:highlight w:val="none"/>
              </w:rPr>
              <w:t>HONYWELL</w:t>
            </w:r>
            <w:r>
              <w:rPr>
                <w:rFonts w:hint="eastAsia"/>
                <w:color w:val="auto"/>
                <w:highlight w:val="none"/>
              </w:rPr>
              <w:t>等国际知名品牌。</w:t>
            </w:r>
          </w:p>
          <w:p>
            <w:pP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70" w:type="dxa"/>
            <w:noWrap w:val="0"/>
            <w:vAlign w:val="center"/>
          </w:tcPr>
          <w:p>
            <w:pPr>
              <w:rPr>
                <w:color w:val="auto"/>
                <w:highlight w:val="none"/>
              </w:rPr>
            </w:pPr>
            <w:r>
              <w:rPr>
                <w:color w:val="auto"/>
                <w:highlight w:val="none"/>
              </w:rPr>
              <w:t>14.</w:t>
            </w:r>
          </w:p>
        </w:tc>
        <w:tc>
          <w:tcPr>
            <w:tcW w:w="1323" w:type="dxa"/>
            <w:noWrap w:val="0"/>
            <w:vAlign w:val="center"/>
          </w:tcPr>
          <w:p>
            <w:pPr>
              <w:rPr>
                <w:color w:val="auto"/>
                <w:highlight w:val="none"/>
              </w:rPr>
            </w:pPr>
            <w:r>
              <w:rPr>
                <w:rFonts w:hint="eastAsia"/>
                <w:color w:val="auto"/>
                <w:highlight w:val="none"/>
              </w:rPr>
              <w:t>空气热回收装置、热回收式</w:t>
            </w:r>
          </w:p>
          <w:p>
            <w:pPr>
              <w:rPr>
                <w:color w:val="auto"/>
                <w:highlight w:val="none"/>
              </w:rPr>
            </w:pPr>
            <w:r>
              <w:rPr>
                <w:rFonts w:hint="eastAsia"/>
                <w:color w:val="auto"/>
                <w:highlight w:val="none"/>
              </w:rPr>
              <w:t>新风换气机</w:t>
            </w:r>
          </w:p>
        </w:tc>
        <w:tc>
          <w:tcPr>
            <w:tcW w:w="722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）注册资本不得少于</w:t>
            </w:r>
            <w:r>
              <w:rPr>
                <w:color w:val="auto"/>
                <w:highlight w:val="none"/>
              </w:rPr>
              <w:t>2000</w:t>
            </w:r>
            <w:r>
              <w:rPr>
                <w:rFonts w:hint="eastAsia"/>
                <w:color w:val="auto"/>
                <w:highlight w:val="none"/>
              </w:rPr>
              <w:t>万人民币</w:t>
            </w:r>
            <w:r>
              <w:rPr>
                <w:color w:val="auto"/>
                <w:highlight w:val="none"/>
              </w:rPr>
              <w:t>,</w:t>
            </w:r>
            <w:r>
              <w:rPr>
                <w:rFonts w:hint="eastAsia"/>
                <w:color w:val="auto"/>
                <w:highlight w:val="none"/>
              </w:rPr>
              <w:t>必须具有</w:t>
            </w:r>
            <w:r>
              <w:rPr>
                <w:color w:val="auto"/>
                <w:highlight w:val="none"/>
              </w:rPr>
              <w:t>5</w:t>
            </w:r>
            <w:r>
              <w:rPr>
                <w:rFonts w:hint="eastAsia"/>
                <w:color w:val="auto"/>
                <w:highlight w:val="none"/>
              </w:rPr>
              <w:t>年以上生产同类型设备的历史；</w:t>
            </w:r>
          </w:p>
          <w:p>
            <w:pPr>
              <w:rPr>
                <w:color w:val="auto"/>
                <w:highlight w:val="none"/>
              </w:rPr>
            </w:pPr>
            <w:r>
              <w:rPr>
                <w:rFonts w:hint="eastAsia"/>
                <w:color w:val="auto"/>
                <w:highlight w:val="none"/>
              </w:rPr>
              <w:t>（</w:t>
            </w:r>
            <w:r>
              <w:rPr>
                <w:color w:val="auto"/>
                <w:highlight w:val="none"/>
              </w:rPr>
              <w:t>2</w:t>
            </w:r>
            <w:r>
              <w:rPr>
                <w:rFonts w:hint="eastAsia"/>
                <w:color w:val="auto"/>
                <w:highlight w:val="none"/>
              </w:rPr>
              <w:t>）设备商必须通过</w:t>
            </w:r>
            <w:r>
              <w:rPr>
                <w:color w:val="auto"/>
                <w:highlight w:val="none"/>
              </w:rPr>
              <w:t>ISO9001:2000</w:t>
            </w:r>
            <w:r>
              <w:rPr>
                <w:rFonts w:hint="eastAsia"/>
                <w:color w:val="auto"/>
                <w:highlight w:val="none"/>
              </w:rPr>
              <w:t>系列质量体系认证、</w:t>
            </w:r>
            <w:r>
              <w:rPr>
                <w:color w:val="auto"/>
                <w:highlight w:val="none"/>
              </w:rPr>
              <w:t>ISO14001</w:t>
            </w:r>
            <w:r>
              <w:rPr>
                <w:rFonts w:hint="eastAsia"/>
                <w:color w:val="auto"/>
                <w:highlight w:val="none"/>
              </w:rPr>
              <w:t>环境管理体系认证；</w:t>
            </w:r>
          </w:p>
          <w:p>
            <w:pPr>
              <w:rPr>
                <w:color w:val="auto"/>
                <w:highlight w:val="none"/>
              </w:rPr>
            </w:pPr>
            <w:r>
              <w:rPr>
                <w:rFonts w:hint="eastAsia"/>
                <w:color w:val="auto"/>
                <w:highlight w:val="none"/>
              </w:rPr>
              <w:t>（</w:t>
            </w:r>
            <w:r>
              <w:rPr>
                <w:color w:val="auto"/>
                <w:highlight w:val="none"/>
              </w:rPr>
              <w:t>3</w:t>
            </w:r>
            <w:r>
              <w:rPr>
                <w:rFonts w:hint="eastAsia"/>
                <w:color w:val="auto"/>
                <w:highlight w:val="none"/>
              </w:rPr>
              <w:t>）设备商必须在深圳地区设有长期固定的售后服务及维修机构；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）整机</w:t>
            </w:r>
          </w:p>
          <w:p>
            <w:pPr>
              <w:rPr>
                <w:color w:val="auto"/>
                <w:highlight w:val="none"/>
              </w:rPr>
            </w:pPr>
            <w:r>
              <w:rPr>
                <w:color w:val="auto"/>
                <w:highlight w:val="none"/>
              </w:rPr>
              <w:t>1</w:t>
            </w:r>
            <w:r>
              <w:rPr>
                <w:rFonts w:hint="eastAsia"/>
                <w:color w:val="auto"/>
                <w:highlight w:val="none"/>
              </w:rPr>
              <w:t>）新风换气机的热交换回收效率要达到</w:t>
            </w:r>
            <w:r>
              <w:rPr>
                <w:color w:val="auto"/>
                <w:highlight w:val="none"/>
              </w:rPr>
              <w:t>60%</w:t>
            </w:r>
            <w:r>
              <w:rPr>
                <w:rFonts w:hint="eastAsia"/>
                <w:color w:val="auto"/>
                <w:highlight w:val="none"/>
              </w:rPr>
              <w:t>以上。</w:t>
            </w:r>
          </w:p>
          <w:p>
            <w:pPr>
              <w:rPr>
                <w:color w:val="auto"/>
                <w:highlight w:val="none"/>
              </w:rPr>
            </w:pPr>
            <w:r>
              <w:rPr>
                <w:color w:val="auto"/>
                <w:highlight w:val="none"/>
              </w:rPr>
              <w:t>2</w:t>
            </w:r>
            <w:r>
              <w:rPr>
                <w:rFonts w:hint="eastAsia"/>
                <w:color w:val="auto"/>
                <w:highlight w:val="none"/>
              </w:rPr>
              <w:t>）机组噪声：满足</w:t>
            </w:r>
            <w:r>
              <w:rPr>
                <w:color w:val="auto"/>
                <w:highlight w:val="none"/>
              </w:rPr>
              <w:t>JB/T9066-1999</w:t>
            </w:r>
            <w:r>
              <w:rPr>
                <w:rFonts w:hint="eastAsia"/>
                <w:color w:val="auto"/>
                <w:highlight w:val="none"/>
              </w:rPr>
              <w:t>和</w:t>
            </w:r>
            <w:r>
              <w:rPr>
                <w:color w:val="auto"/>
                <w:highlight w:val="none"/>
              </w:rPr>
              <w:t>GB/T14294-2008</w:t>
            </w:r>
            <w:r>
              <w:rPr>
                <w:rFonts w:hint="eastAsia"/>
                <w:color w:val="auto"/>
                <w:highlight w:val="none"/>
              </w:rPr>
              <w:t>要求。</w:t>
            </w:r>
          </w:p>
          <w:p>
            <w:pPr>
              <w:rPr>
                <w:color w:val="auto"/>
                <w:highlight w:val="none"/>
              </w:rPr>
            </w:pPr>
            <w:r>
              <w:rPr>
                <w:color w:val="auto"/>
                <w:highlight w:val="none"/>
              </w:rPr>
              <w:t>3</w:t>
            </w:r>
            <w:r>
              <w:rPr>
                <w:rFonts w:hint="eastAsia"/>
                <w:color w:val="auto"/>
                <w:highlight w:val="none"/>
              </w:rPr>
              <w:t>）机组振动：风机转速大于</w:t>
            </w:r>
            <w:r>
              <w:rPr>
                <w:color w:val="auto"/>
                <w:highlight w:val="none"/>
              </w:rPr>
              <w:t>800rpm</w:t>
            </w:r>
            <w:r>
              <w:rPr>
                <w:rFonts w:hint="eastAsia"/>
                <w:color w:val="auto"/>
                <w:highlight w:val="none"/>
              </w:rPr>
              <w:t>时，振动速度不大于</w:t>
            </w:r>
            <w:r>
              <w:rPr>
                <w:color w:val="auto"/>
                <w:highlight w:val="none"/>
              </w:rPr>
              <w:t>4mm/s</w:t>
            </w:r>
            <w:r>
              <w:rPr>
                <w:rFonts w:hint="eastAsia"/>
                <w:color w:val="auto"/>
                <w:highlight w:val="none"/>
              </w:rPr>
              <w:t>；风机转速小于等于</w:t>
            </w:r>
            <w:r>
              <w:rPr>
                <w:color w:val="auto"/>
                <w:highlight w:val="none"/>
              </w:rPr>
              <w:t>800rpm</w:t>
            </w:r>
            <w:r>
              <w:rPr>
                <w:rFonts w:hint="eastAsia"/>
                <w:color w:val="auto"/>
                <w:highlight w:val="none"/>
              </w:rPr>
              <w:t>时，振动速度不大于</w:t>
            </w:r>
            <w:r>
              <w:rPr>
                <w:color w:val="auto"/>
                <w:highlight w:val="none"/>
              </w:rPr>
              <w:t>3mm/s</w:t>
            </w:r>
            <w:r>
              <w:rPr>
                <w:rFonts w:hint="eastAsia"/>
                <w:color w:val="auto"/>
                <w:highlight w:val="none"/>
              </w:rPr>
              <w:t>。</w:t>
            </w:r>
          </w:p>
          <w:p>
            <w:pPr>
              <w:rPr>
                <w:color w:val="auto"/>
                <w:highlight w:val="none"/>
              </w:rPr>
            </w:pPr>
            <w:r>
              <w:rPr>
                <w:color w:val="auto"/>
                <w:highlight w:val="none"/>
              </w:rPr>
              <w:t>4</w:t>
            </w:r>
            <w:r>
              <w:rPr>
                <w:rFonts w:hint="eastAsia"/>
                <w:color w:val="auto"/>
                <w:highlight w:val="none"/>
              </w:rPr>
              <w:t>）断面风速均匀度：不小于</w:t>
            </w:r>
            <w:r>
              <w:rPr>
                <w:color w:val="auto"/>
                <w:highlight w:val="none"/>
              </w:rPr>
              <w:t>80%</w:t>
            </w:r>
            <w:r>
              <w:rPr>
                <w:rFonts w:hint="eastAsia"/>
                <w:color w:val="auto"/>
                <w:highlight w:val="none"/>
              </w:rPr>
              <w:t>。</w:t>
            </w:r>
          </w:p>
          <w:p>
            <w:pPr>
              <w:rPr>
                <w:color w:val="auto"/>
                <w:highlight w:val="none"/>
              </w:rPr>
            </w:pPr>
            <w:r>
              <w:rPr>
                <w:color w:val="auto"/>
                <w:highlight w:val="none"/>
              </w:rPr>
              <w:t>5</w:t>
            </w:r>
            <w:r>
              <w:rPr>
                <w:rFonts w:hint="eastAsia"/>
                <w:color w:val="auto"/>
                <w:highlight w:val="none"/>
              </w:rPr>
              <w:t>）机组外形尺寸不超过设计图纸所规定的尺寸。</w:t>
            </w:r>
          </w:p>
          <w:p>
            <w:pPr>
              <w:rPr>
                <w:color w:val="auto"/>
                <w:highlight w:val="none"/>
              </w:rPr>
            </w:pPr>
            <w:r>
              <w:rPr>
                <w:color w:val="auto"/>
                <w:highlight w:val="none"/>
              </w:rPr>
              <w:t>6</w:t>
            </w:r>
            <w:r>
              <w:rPr>
                <w:rFonts w:hint="eastAsia"/>
                <w:color w:val="auto"/>
                <w:highlight w:val="none"/>
              </w:rPr>
              <w:t>）当机组的风量采用变频控制，厂家提供的设备配置、结构等需最优地满足变频控制要求。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）机组主要部分技术要求：</w:t>
            </w:r>
          </w:p>
          <w:p>
            <w:pPr>
              <w:rPr>
                <w:color w:val="auto"/>
                <w:highlight w:val="none"/>
              </w:rPr>
            </w:pPr>
            <w:r>
              <w:rPr>
                <w:color w:val="auto"/>
                <w:highlight w:val="none"/>
              </w:rPr>
              <w:t>1</w:t>
            </w:r>
            <w:r>
              <w:rPr>
                <w:rFonts w:hint="eastAsia"/>
                <w:color w:val="auto"/>
                <w:highlight w:val="none"/>
              </w:rPr>
              <w:t>）全热新风换气机机壳表面经过喷塑处理，加工精密，避免新风和回风相互串气；材料具有厚度小、透湿率高、气密性好、抗撕裂和耐老化等特点；热交换器和机器采用一次成型导轨连接，便于拆卸和维修，并采用柔性密封料，同时确保新风与污风彻底隔离，避免了新风的二次污染；风机电机须采用国内知名品牌，且具有高效低噪等特点；机壳必须采用阻燃型橡塑材料做保温处理，保温层厚度不得小于</w:t>
            </w:r>
            <w:r>
              <w:rPr>
                <w:color w:val="auto"/>
                <w:highlight w:val="none"/>
              </w:rPr>
              <w:t>10mm</w:t>
            </w:r>
            <w:r>
              <w:rPr>
                <w:rFonts w:hint="eastAsia"/>
                <w:color w:val="auto"/>
                <w:highlight w:val="none"/>
              </w:rPr>
              <w:t>；为便于安装和维修，设备的两侧需设有活门；具有有效的放漏水设计，设备的底面板为一个整体接水盘，接水盘底部设有泄水接口。</w:t>
            </w:r>
          </w:p>
          <w:p>
            <w:pPr>
              <w:rPr>
                <w:color w:val="auto"/>
                <w:highlight w:val="none"/>
              </w:rPr>
            </w:pPr>
            <w:r>
              <w:rPr>
                <w:color w:val="auto"/>
                <w:highlight w:val="none"/>
              </w:rPr>
              <w:t>2</w:t>
            </w:r>
            <w:r>
              <w:rPr>
                <w:rFonts w:hint="eastAsia"/>
                <w:color w:val="auto"/>
                <w:highlight w:val="none"/>
              </w:rPr>
              <w:t>）全热新风换气机需内置双向粗效空气过滤器，且便于清洁维护。需配备与出风口规格相适应的风管消声器。</w:t>
            </w:r>
          </w:p>
          <w:p>
            <w:pPr>
              <w:rPr>
                <w:color w:val="auto"/>
                <w:highlight w:val="none"/>
              </w:rPr>
            </w:pPr>
            <w:r>
              <w:rPr>
                <w:color w:val="auto"/>
                <w:highlight w:val="none"/>
              </w:rPr>
              <w:t>3</w:t>
            </w:r>
            <w:r>
              <w:rPr>
                <w:rFonts w:hint="eastAsia"/>
                <w:color w:val="auto"/>
                <w:highlight w:val="none"/>
              </w:rPr>
              <w:t>）全热新风换气机应通过集中控制系统远程控制；机组须预留干接点接口，以满足楼宇集中控制的要求。</w:t>
            </w:r>
          </w:p>
          <w:p>
            <w:pPr>
              <w:rPr>
                <w:color w:val="auto"/>
                <w:highlight w:val="none"/>
              </w:rPr>
            </w:pPr>
            <w:r>
              <w:rPr>
                <w:color w:val="auto"/>
                <w:highlight w:val="none"/>
              </w:rPr>
              <w:t>4</w:t>
            </w:r>
            <w:r>
              <w:rPr>
                <w:rFonts w:hint="eastAsia"/>
                <w:color w:val="auto"/>
                <w:highlight w:val="none"/>
              </w:rPr>
              <w:t>）基座：机组的减振支、吊架和基座，强度应满足机组重量支承及隔振要求。基座应进行防腐处理，使用年限不低于十五年。</w:t>
            </w:r>
          </w:p>
          <w:p>
            <w:pP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70" w:type="dxa"/>
            <w:noWrap w:val="0"/>
            <w:vAlign w:val="center"/>
          </w:tcPr>
          <w:p>
            <w:pPr>
              <w:rPr>
                <w:color w:val="auto"/>
                <w:highlight w:val="none"/>
              </w:rPr>
            </w:pPr>
            <w:r>
              <w:rPr>
                <w:color w:val="auto"/>
                <w:highlight w:val="none"/>
              </w:rPr>
              <w:t>15.</w:t>
            </w:r>
          </w:p>
        </w:tc>
        <w:tc>
          <w:tcPr>
            <w:tcW w:w="1323" w:type="dxa"/>
            <w:noWrap w:val="0"/>
            <w:vAlign w:val="center"/>
          </w:tcPr>
          <w:p>
            <w:pPr>
              <w:rPr>
                <w:color w:val="auto"/>
                <w:highlight w:val="none"/>
              </w:rPr>
            </w:pPr>
            <w:r>
              <w:rPr>
                <w:rFonts w:hint="eastAsia"/>
                <w:color w:val="auto"/>
                <w:highlight w:val="none"/>
              </w:rPr>
              <w:t>排风扇</w:t>
            </w:r>
          </w:p>
        </w:tc>
        <w:tc>
          <w:tcPr>
            <w:tcW w:w="722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）注册资金</w:t>
            </w:r>
            <w:r>
              <w:rPr>
                <w:color w:val="auto"/>
                <w:highlight w:val="none"/>
              </w:rPr>
              <w:t xml:space="preserve">500 </w:t>
            </w:r>
            <w:r>
              <w:rPr>
                <w:rFonts w:hint="eastAsia"/>
                <w:color w:val="auto"/>
                <w:highlight w:val="none"/>
              </w:rPr>
              <w:t>万元及以上；</w:t>
            </w:r>
          </w:p>
          <w:p>
            <w:pPr>
              <w:rPr>
                <w:color w:val="auto"/>
                <w:highlight w:val="none"/>
              </w:rPr>
            </w:pPr>
            <w:r>
              <w:rPr>
                <w:rFonts w:hint="eastAsia"/>
                <w:color w:val="auto"/>
                <w:highlight w:val="none"/>
              </w:rPr>
              <w:t>（</w:t>
            </w:r>
            <w:r>
              <w:rPr>
                <w:color w:val="auto"/>
                <w:highlight w:val="none"/>
              </w:rPr>
              <w:t>2</w:t>
            </w:r>
            <w:r>
              <w:rPr>
                <w:rFonts w:hint="eastAsia"/>
                <w:color w:val="auto"/>
                <w:highlight w:val="none"/>
              </w:rPr>
              <w:t>）设备商必须通过</w:t>
            </w:r>
            <w:r>
              <w:rPr>
                <w:color w:val="auto"/>
                <w:highlight w:val="none"/>
              </w:rPr>
              <w:t>ISO9001:2000</w:t>
            </w:r>
            <w:r>
              <w:rPr>
                <w:rFonts w:hint="eastAsia"/>
                <w:color w:val="auto"/>
                <w:highlight w:val="none"/>
              </w:rPr>
              <w:t>系列质量体系认证、</w:t>
            </w:r>
            <w:r>
              <w:rPr>
                <w:color w:val="auto"/>
                <w:highlight w:val="none"/>
              </w:rPr>
              <w:t>ISO14001</w:t>
            </w:r>
            <w:r>
              <w:rPr>
                <w:rFonts w:hint="eastAsia"/>
                <w:color w:val="auto"/>
                <w:highlight w:val="none"/>
              </w:rPr>
              <w:t>环境管理体系认证及全国工业产品生产许可证</w:t>
            </w:r>
          </w:p>
          <w:p>
            <w:pPr>
              <w:rPr>
                <w:color w:val="auto"/>
                <w:highlight w:val="none"/>
              </w:rPr>
            </w:pPr>
            <w:r>
              <w:rPr>
                <w:rFonts w:hint="eastAsia"/>
                <w:color w:val="auto"/>
                <w:highlight w:val="none"/>
              </w:rPr>
              <w:t>（</w:t>
            </w:r>
            <w:r>
              <w:rPr>
                <w:color w:val="auto"/>
                <w:highlight w:val="none"/>
              </w:rPr>
              <w:t>3</w:t>
            </w:r>
            <w:r>
              <w:rPr>
                <w:rFonts w:hint="eastAsia"/>
                <w:color w:val="auto"/>
                <w:highlight w:val="none"/>
              </w:rPr>
              <w:t>）必须在深圳地区设有长期固定的售后服务及维修机构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）符合国家或行业的生产技术标准；符合设计及有关规范要求。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）电机：电机转轴采用高精度镜面加工，能持久润滑，永不生锈，难以磨损。应采用合理的电机结构，散热快，能延缓产品材料老化，确保长久的使用寿命。</w:t>
            </w:r>
          </w:p>
          <w:p>
            <w:pPr>
              <w:rPr>
                <w:color w:val="auto"/>
                <w:highlight w:val="none"/>
              </w:rPr>
            </w:pPr>
            <w:r>
              <w:rPr>
                <w:rFonts w:hint="eastAsia"/>
                <w:color w:val="auto"/>
                <w:highlight w:val="none"/>
              </w:rPr>
              <w:t>（</w:t>
            </w:r>
            <w:r>
              <w:rPr>
                <w:color w:val="auto"/>
                <w:highlight w:val="none"/>
              </w:rPr>
              <w:t>3</w:t>
            </w:r>
            <w:r>
              <w:rPr>
                <w:rFonts w:hint="eastAsia"/>
                <w:color w:val="auto"/>
                <w:highlight w:val="none"/>
              </w:rPr>
              <w:t>）选择低噪声、产品质量稳定的产品，产品噪声要求在</w:t>
            </w:r>
            <w:r>
              <w:rPr>
                <w:color w:val="auto"/>
                <w:highlight w:val="none"/>
              </w:rPr>
              <w:t>40</w:t>
            </w:r>
            <w:r>
              <w:rPr>
                <w:rFonts w:hint="eastAsia"/>
                <w:color w:val="auto"/>
                <w:highlight w:val="none"/>
              </w:rPr>
              <w:t>～</w:t>
            </w:r>
            <w:r>
              <w:rPr>
                <w:color w:val="auto"/>
                <w:highlight w:val="none"/>
              </w:rPr>
              <w:t>45dB</w:t>
            </w:r>
            <w:r>
              <w:rPr>
                <w:rFonts w:hint="eastAsia"/>
                <w:color w:val="auto"/>
                <w:highlight w:val="none"/>
              </w:rPr>
              <w:t>（</w:t>
            </w:r>
            <w:r>
              <w:rPr>
                <w:color w:val="auto"/>
                <w:highlight w:val="none"/>
              </w:rPr>
              <w:t>A</w:t>
            </w:r>
            <w:r>
              <w:rPr>
                <w:rFonts w:hint="eastAsia"/>
                <w:color w:val="auto"/>
                <w:highlight w:val="none"/>
              </w:rPr>
              <w:t>）。</w:t>
            </w:r>
          </w:p>
          <w:p>
            <w:pPr>
              <w:rPr>
                <w:color w:val="auto"/>
                <w:highlight w:val="none"/>
              </w:rPr>
            </w:pPr>
            <w:r>
              <w:rPr>
                <w:rFonts w:hint="eastAsia"/>
                <w:color w:val="auto"/>
                <w:highlight w:val="none"/>
              </w:rPr>
              <w:t>（</w:t>
            </w:r>
            <w:r>
              <w:rPr>
                <w:color w:val="auto"/>
                <w:highlight w:val="none"/>
              </w:rPr>
              <w:t>4</w:t>
            </w:r>
            <w:r>
              <w:rPr>
                <w:rFonts w:hint="eastAsia"/>
                <w:color w:val="auto"/>
                <w:highlight w:val="none"/>
              </w:rPr>
              <w:t>）全金属或塑料外壳及叶轮。外表美观，富有装饰感。拆装方便，易于清理。</w:t>
            </w:r>
          </w:p>
          <w:p>
            <w:pPr>
              <w:rPr>
                <w:color w:val="auto"/>
                <w:highlight w:val="none"/>
              </w:rPr>
            </w:pPr>
            <w:r>
              <w:rPr>
                <w:rFonts w:hint="eastAsia"/>
                <w:color w:val="auto"/>
                <w:highlight w:val="none"/>
              </w:rPr>
              <w:t>（</w:t>
            </w:r>
            <w:r>
              <w:rPr>
                <w:color w:val="auto"/>
                <w:highlight w:val="none"/>
              </w:rPr>
              <w:t>5</w:t>
            </w:r>
            <w:r>
              <w:rPr>
                <w:rFonts w:hint="eastAsia"/>
                <w:color w:val="auto"/>
                <w:highlight w:val="none"/>
              </w:rPr>
              <w:t>）应选择采用滚珠轴承的排气扇。排气扇应设有止回阀。带超温保护。</w:t>
            </w:r>
          </w:p>
          <w:p>
            <w:pP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70" w:type="dxa"/>
            <w:noWrap w:val="0"/>
            <w:vAlign w:val="center"/>
          </w:tcPr>
          <w:p>
            <w:pPr>
              <w:rPr>
                <w:color w:val="auto"/>
                <w:highlight w:val="none"/>
              </w:rPr>
            </w:pPr>
            <w:r>
              <w:rPr>
                <w:color w:val="auto"/>
                <w:highlight w:val="none"/>
              </w:rPr>
              <w:t>16.</w:t>
            </w:r>
          </w:p>
        </w:tc>
        <w:tc>
          <w:tcPr>
            <w:tcW w:w="1323" w:type="dxa"/>
            <w:noWrap w:val="0"/>
            <w:vAlign w:val="center"/>
          </w:tcPr>
          <w:p>
            <w:pPr>
              <w:rPr>
                <w:color w:val="auto"/>
                <w:highlight w:val="none"/>
              </w:rPr>
            </w:pPr>
            <w:r>
              <w:rPr>
                <w:rFonts w:hint="eastAsia"/>
                <w:color w:val="auto"/>
                <w:highlight w:val="none"/>
              </w:rPr>
              <w:t>镀锌钢管</w:t>
            </w:r>
          </w:p>
        </w:tc>
        <w:tc>
          <w:tcPr>
            <w:tcW w:w="722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）制造商注册资本：不少于</w:t>
            </w:r>
            <w:r>
              <w:rPr>
                <w:color w:val="auto"/>
                <w:highlight w:val="none"/>
              </w:rPr>
              <w:t>2000</w:t>
            </w:r>
            <w:r>
              <w:rPr>
                <w:rFonts w:hint="eastAsia"/>
                <w:color w:val="auto"/>
                <w:highlight w:val="none"/>
              </w:rPr>
              <w:t>万元人民币。</w:t>
            </w:r>
          </w:p>
          <w:p>
            <w:pPr>
              <w:rPr>
                <w:color w:val="auto"/>
                <w:highlight w:val="none"/>
              </w:rPr>
            </w:pPr>
            <w:r>
              <w:rPr>
                <w:rFonts w:hint="eastAsia"/>
                <w:color w:val="auto"/>
                <w:highlight w:val="none"/>
              </w:rPr>
              <w:t>（</w:t>
            </w:r>
            <w:r>
              <w:rPr>
                <w:color w:val="auto"/>
                <w:highlight w:val="none"/>
              </w:rPr>
              <w:t>2</w:t>
            </w:r>
            <w:r>
              <w:rPr>
                <w:rFonts w:hint="eastAsia"/>
                <w:color w:val="auto"/>
                <w:highlight w:val="none"/>
              </w:rPr>
              <w:t>）制造商应通过</w:t>
            </w:r>
            <w:r>
              <w:rPr>
                <w:color w:val="auto"/>
                <w:highlight w:val="none"/>
              </w:rPr>
              <w:t>ISO9001</w:t>
            </w:r>
            <w:r>
              <w:rPr>
                <w:rFonts w:hint="eastAsia"/>
                <w:color w:val="auto"/>
                <w:highlight w:val="none"/>
              </w:rPr>
              <w:t>：</w:t>
            </w:r>
            <w:r>
              <w:rPr>
                <w:color w:val="auto"/>
                <w:highlight w:val="none"/>
              </w:rPr>
              <w:t>2000</w:t>
            </w:r>
            <w:r>
              <w:rPr>
                <w:rFonts w:hint="eastAsia"/>
                <w:color w:val="auto"/>
                <w:highlight w:val="none"/>
              </w:rPr>
              <w:t>质量管理体系认证。</w:t>
            </w:r>
          </w:p>
          <w:p>
            <w:pPr>
              <w:rPr>
                <w:color w:val="auto"/>
                <w:highlight w:val="none"/>
              </w:rPr>
            </w:pPr>
            <w:r>
              <w:rPr>
                <w:rFonts w:hint="eastAsia"/>
                <w:color w:val="auto"/>
                <w:highlight w:val="none"/>
              </w:rPr>
              <w:t>（</w:t>
            </w:r>
            <w:r>
              <w:rPr>
                <w:color w:val="auto"/>
                <w:highlight w:val="none"/>
              </w:rPr>
              <w:t>3</w:t>
            </w:r>
            <w:r>
              <w:rPr>
                <w:rFonts w:hint="eastAsia"/>
                <w:color w:val="auto"/>
                <w:highlight w:val="none"/>
              </w:rPr>
              <w:t>）产品应为省级以上名牌产品，或省级以上著名商标，或国家免检产品。</w:t>
            </w:r>
          </w:p>
          <w:p>
            <w:pPr>
              <w:rPr>
                <w:color w:val="auto"/>
                <w:highlight w:val="none"/>
              </w:rPr>
            </w:pPr>
            <w:r>
              <w:rPr>
                <w:rFonts w:hint="eastAsia"/>
                <w:color w:val="auto"/>
                <w:highlight w:val="none"/>
              </w:rPr>
              <w:t>（</w:t>
            </w:r>
            <w:r>
              <w:rPr>
                <w:color w:val="auto"/>
                <w:highlight w:val="none"/>
              </w:rPr>
              <w:t>4</w:t>
            </w:r>
            <w:r>
              <w:rPr>
                <w:rFonts w:hint="eastAsia"/>
                <w:color w:val="auto"/>
                <w:highlight w:val="none"/>
              </w:rPr>
              <w:t>）制造商在深圳地区设有完善的售后服务机构。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）管材应符合</w:t>
            </w:r>
            <w:r>
              <w:rPr>
                <w:color w:val="auto"/>
                <w:highlight w:val="none"/>
              </w:rPr>
              <w:t>GB/T3091—2008</w:t>
            </w:r>
            <w:r>
              <w:rPr>
                <w:rFonts w:hint="eastAsia"/>
                <w:color w:val="auto"/>
                <w:highlight w:val="none"/>
              </w:rPr>
              <w:t>《低压流体输送用镀锌焊接钢管》的要求。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）管材的压力等级应符合设计要求。</w:t>
            </w:r>
          </w:p>
          <w:p>
            <w:pPr>
              <w:rPr>
                <w:color w:val="auto"/>
                <w:highlight w:val="none"/>
              </w:rPr>
            </w:pPr>
            <w:r>
              <w:rPr>
                <w:rFonts w:hint="eastAsia"/>
                <w:color w:val="auto"/>
                <w:highlight w:val="none"/>
              </w:rPr>
              <w:t>（</w:t>
            </w:r>
            <w:r>
              <w:rPr>
                <w:color w:val="auto"/>
                <w:highlight w:val="none"/>
              </w:rPr>
              <w:t>3</w:t>
            </w:r>
            <w:r>
              <w:rPr>
                <w:rFonts w:hint="eastAsia"/>
                <w:color w:val="auto"/>
                <w:highlight w:val="none"/>
              </w:rPr>
              <w:t>）管材经热浸镀锌方式在钢管内外表面镀上完整的镀锌层。</w:t>
            </w:r>
          </w:p>
          <w:p>
            <w:pPr>
              <w:rPr>
                <w:color w:val="auto"/>
                <w:highlight w:val="none"/>
              </w:rPr>
            </w:pPr>
            <w:r>
              <w:rPr>
                <w:rFonts w:hint="eastAsia"/>
                <w:color w:val="auto"/>
                <w:highlight w:val="none"/>
              </w:rPr>
              <w:t>（</w:t>
            </w:r>
            <w:r>
              <w:rPr>
                <w:color w:val="auto"/>
                <w:highlight w:val="none"/>
              </w:rPr>
              <w:t>4</w:t>
            </w:r>
            <w:r>
              <w:rPr>
                <w:rFonts w:hint="eastAsia"/>
                <w:color w:val="auto"/>
                <w:highlight w:val="none"/>
              </w:rPr>
              <w:t>）连接方式：</w:t>
            </w:r>
          </w:p>
          <w:p>
            <w:pPr>
              <w:rPr>
                <w:color w:val="auto"/>
                <w:highlight w:val="none"/>
              </w:rPr>
            </w:pPr>
            <w:r>
              <w:rPr>
                <w:color w:val="auto"/>
                <w:highlight w:val="none"/>
              </w:rPr>
              <w:t>1</w:t>
            </w:r>
            <w:r>
              <w:rPr>
                <w:rFonts w:hint="eastAsia"/>
                <w:color w:val="auto"/>
                <w:highlight w:val="none"/>
              </w:rPr>
              <w:t>）管径</w:t>
            </w:r>
            <w:r>
              <w:rPr>
                <w:color w:val="auto"/>
                <w:highlight w:val="none"/>
              </w:rPr>
              <w:t>&lt;DN100</w:t>
            </w:r>
            <w:r>
              <w:rPr>
                <w:rFonts w:hint="eastAsia"/>
                <w:color w:val="auto"/>
                <w:highlight w:val="none"/>
              </w:rPr>
              <w:t>采用螺纹连接，</w:t>
            </w:r>
          </w:p>
          <w:p>
            <w:pPr>
              <w:rPr>
                <w:color w:val="auto"/>
                <w:highlight w:val="none"/>
              </w:rPr>
            </w:pPr>
            <w:r>
              <w:rPr>
                <w:color w:val="auto"/>
                <w:highlight w:val="none"/>
              </w:rPr>
              <w:t>2</w:t>
            </w:r>
            <w:r>
              <w:rPr>
                <w:rFonts w:hint="eastAsia"/>
                <w:color w:val="auto"/>
                <w:highlight w:val="none"/>
              </w:rPr>
              <w:t>）管径≥</w:t>
            </w:r>
            <w:r>
              <w:rPr>
                <w:color w:val="auto"/>
                <w:highlight w:val="none"/>
              </w:rPr>
              <w:t>DN100</w:t>
            </w:r>
            <w:r>
              <w:rPr>
                <w:rFonts w:hint="eastAsia"/>
                <w:color w:val="auto"/>
                <w:highlight w:val="none"/>
              </w:rPr>
              <w:t>采用卡箍连接。</w:t>
            </w:r>
          </w:p>
          <w:p>
            <w:pPr>
              <w:rPr>
                <w:color w:val="auto"/>
                <w:highlight w:val="none"/>
              </w:rPr>
            </w:pPr>
            <w:r>
              <w:rPr>
                <w:rFonts w:hint="eastAsia"/>
                <w:color w:val="auto"/>
                <w:highlight w:val="none"/>
              </w:rPr>
              <w:t>（</w:t>
            </w:r>
            <w:r>
              <w:rPr>
                <w:color w:val="auto"/>
                <w:highlight w:val="none"/>
              </w:rPr>
              <w:t>5</w:t>
            </w:r>
            <w:r>
              <w:rPr>
                <w:rFonts w:hint="eastAsia"/>
                <w:color w:val="auto"/>
                <w:highlight w:val="none"/>
              </w:rPr>
              <w:t>）管件根据设计压力要求选用热镀锌的可锻铸铁、球墨铸铁或</w:t>
            </w:r>
          </w:p>
          <w:p>
            <w:pPr>
              <w:rPr>
                <w:color w:val="auto"/>
                <w:highlight w:val="none"/>
              </w:rPr>
            </w:pPr>
            <w:r>
              <w:rPr>
                <w:rFonts w:hint="eastAsia"/>
                <w:color w:val="auto"/>
                <w:highlight w:val="none"/>
              </w:rPr>
              <w:t>无缝钢管件。</w:t>
            </w:r>
          </w:p>
          <w:p>
            <w:pP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70" w:type="dxa"/>
            <w:noWrap w:val="0"/>
            <w:vAlign w:val="center"/>
          </w:tcPr>
          <w:p>
            <w:pPr>
              <w:rPr>
                <w:color w:val="auto"/>
                <w:highlight w:val="none"/>
              </w:rPr>
            </w:pPr>
            <w:r>
              <w:rPr>
                <w:color w:val="auto"/>
                <w:highlight w:val="none"/>
              </w:rPr>
              <w:t>17.</w:t>
            </w:r>
          </w:p>
        </w:tc>
        <w:tc>
          <w:tcPr>
            <w:tcW w:w="1323" w:type="dxa"/>
            <w:noWrap w:val="0"/>
            <w:vAlign w:val="center"/>
          </w:tcPr>
          <w:p>
            <w:pPr>
              <w:rPr>
                <w:color w:val="auto"/>
                <w:highlight w:val="none"/>
              </w:rPr>
            </w:pPr>
            <w:r>
              <w:rPr>
                <w:rFonts w:hint="eastAsia"/>
                <w:color w:val="auto"/>
                <w:highlight w:val="none"/>
              </w:rPr>
              <w:t>焊接钢管、无缝钢管、螺旋电焊钢管</w:t>
            </w:r>
          </w:p>
        </w:tc>
        <w:tc>
          <w:tcPr>
            <w:tcW w:w="722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）注册资本不得少于</w:t>
            </w:r>
            <w:r>
              <w:rPr>
                <w:color w:val="auto"/>
                <w:highlight w:val="none"/>
              </w:rPr>
              <w:t>10000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2</w:t>
            </w:r>
            <w:r>
              <w:rPr>
                <w:rFonts w:hint="eastAsia"/>
                <w:color w:val="auto"/>
                <w:highlight w:val="none"/>
              </w:rPr>
              <w:t>）设备商必须通过</w:t>
            </w:r>
            <w:r>
              <w:rPr>
                <w:color w:val="auto"/>
                <w:highlight w:val="none"/>
              </w:rPr>
              <w:t>ISO9001:2000</w:t>
            </w:r>
            <w:r>
              <w:rPr>
                <w:rFonts w:hint="eastAsia"/>
                <w:color w:val="auto"/>
                <w:highlight w:val="none"/>
              </w:rPr>
              <w:t>系列质量体系认证；</w:t>
            </w:r>
          </w:p>
          <w:p>
            <w:pPr>
              <w:rPr>
                <w:color w:val="auto"/>
                <w:highlight w:val="none"/>
              </w:rPr>
            </w:pPr>
            <w:r>
              <w:rPr>
                <w:rFonts w:hint="eastAsia"/>
                <w:color w:val="auto"/>
                <w:highlight w:val="none"/>
              </w:rPr>
              <w:t>（</w:t>
            </w:r>
            <w:r>
              <w:rPr>
                <w:color w:val="auto"/>
                <w:highlight w:val="none"/>
              </w:rPr>
              <w:t>3</w:t>
            </w:r>
            <w:r>
              <w:rPr>
                <w:rFonts w:hint="eastAsia"/>
                <w:color w:val="auto"/>
                <w:highlight w:val="none"/>
              </w:rPr>
              <w:t>）设备商必须在深圳地区设有长期固定的售后服务及维修机构；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）产品的材质、规格应根据设计要求选用，质量符合要求，有出厂合格证；</w:t>
            </w:r>
          </w:p>
          <w:p>
            <w:pPr>
              <w:rPr>
                <w:color w:val="auto"/>
                <w:highlight w:val="none"/>
              </w:rPr>
            </w:pPr>
            <w:r>
              <w:rPr>
                <w:rFonts w:hint="eastAsia"/>
                <w:color w:val="auto"/>
                <w:highlight w:val="none"/>
              </w:rPr>
              <w:t>（</w:t>
            </w:r>
            <w:r>
              <w:rPr>
                <w:color w:val="auto"/>
                <w:highlight w:val="none"/>
              </w:rPr>
              <w:t>2</w:t>
            </w:r>
            <w:r>
              <w:rPr>
                <w:rFonts w:hint="eastAsia"/>
                <w:color w:val="auto"/>
                <w:highlight w:val="none"/>
              </w:rPr>
              <w:t>）公称压力大于各系统设计要求的试验压力；</w:t>
            </w:r>
          </w:p>
          <w:p>
            <w:pPr>
              <w:rPr>
                <w:color w:val="auto"/>
                <w:highlight w:val="none"/>
              </w:rPr>
            </w:pPr>
            <w:r>
              <w:rPr>
                <w:rFonts w:hint="eastAsia"/>
                <w:color w:val="auto"/>
                <w:highlight w:val="none"/>
              </w:rPr>
              <w:t>（</w:t>
            </w:r>
            <w:r>
              <w:rPr>
                <w:color w:val="auto"/>
                <w:highlight w:val="none"/>
              </w:rPr>
              <w:t>3</w:t>
            </w:r>
            <w:r>
              <w:rPr>
                <w:rFonts w:hint="eastAsia"/>
                <w:color w:val="auto"/>
                <w:highlight w:val="none"/>
              </w:rPr>
              <w:t>）焊接钢管的管材和管件规格、压力等级、加工质量等，应符合现行的国家《</w:t>
            </w:r>
            <w:r>
              <w:rPr>
                <w:color w:val="auto"/>
                <w:highlight w:val="none"/>
              </w:rPr>
              <w:t>GB/T3092-2008</w:t>
            </w:r>
            <w:r>
              <w:rPr>
                <w:rFonts w:hint="eastAsia"/>
                <w:color w:val="auto"/>
                <w:highlight w:val="none"/>
              </w:rPr>
              <w:t>》标准或行业生产技术标准。表面无裂纹、缩孔、夹渣、折叠、重皮等缺陷，不得有超过壁厚负偏差锈蚀或凹陷；</w:t>
            </w:r>
          </w:p>
          <w:p>
            <w:pPr>
              <w:rPr>
                <w:color w:val="auto"/>
                <w:highlight w:val="none"/>
              </w:rPr>
            </w:pPr>
            <w:r>
              <w:rPr>
                <w:rFonts w:hint="eastAsia"/>
                <w:color w:val="auto"/>
                <w:highlight w:val="none"/>
              </w:rPr>
              <w:t>（</w:t>
            </w:r>
            <w:r>
              <w:rPr>
                <w:color w:val="auto"/>
                <w:highlight w:val="none"/>
              </w:rPr>
              <w:t>4</w:t>
            </w:r>
            <w:r>
              <w:rPr>
                <w:rFonts w:hint="eastAsia"/>
                <w:color w:val="auto"/>
                <w:highlight w:val="none"/>
              </w:rPr>
              <w:t>）无缝钢管所用钢材的牌号及化学成分符合</w:t>
            </w:r>
            <w:r>
              <w:rPr>
                <w:color w:val="auto"/>
                <w:highlight w:val="none"/>
              </w:rPr>
              <w:t>GB/T699</w:t>
            </w:r>
            <w:r>
              <w:rPr>
                <w:rFonts w:hint="eastAsia"/>
                <w:color w:val="auto"/>
                <w:highlight w:val="none"/>
              </w:rPr>
              <w:t>、</w:t>
            </w:r>
            <w:r>
              <w:rPr>
                <w:color w:val="auto"/>
                <w:highlight w:val="none"/>
              </w:rPr>
              <w:t>GB/T1591</w:t>
            </w:r>
            <w:r>
              <w:rPr>
                <w:rFonts w:hint="eastAsia"/>
                <w:color w:val="auto"/>
                <w:highlight w:val="none"/>
              </w:rPr>
              <w:t>的规定。化学成分的偏差符合</w:t>
            </w:r>
            <w:r>
              <w:rPr>
                <w:color w:val="auto"/>
                <w:highlight w:val="none"/>
              </w:rPr>
              <w:t>GB/T222-2006</w:t>
            </w:r>
            <w:r>
              <w:rPr>
                <w:rFonts w:hint="eastAsia"/>
                <w:color w:val="auto"/>
                <w:highlight w:val="none"/>
              </w:rPr>
              <w:t>表</w:t>
            </w:r>
            <w:r>
              <w:rPr>
                <w:color w:val="auto"/>
                <w:highlight w:val="none"/>
              </w:rPr>
              <w:t>1</w:t>
            </w:r>
            <w:r>
              <w:rPr>
                <w:rFonts w:hint="eastAsia"/>
                <w:color w:val="auto"/>
                <w:highlight w:val="none"/>
              </w:rPr>
              <w:t>、表</w:t>
            </w:r>
            <w:r>
              <w:rPr>
                <w:color w:val="auto"/>
                <w:highlight w:val="none"/>
              </w:rPr>
              <w:t>2</w:t>
            </w:r>
            <w:r>
              <w:rPr>
                <w:rFonts w:hint="eastAsia"/>
                <w:color w:val="auto"/>
                <w:highlight w:val="none"/>
              </w:rPr>
              <w:t>的规定。外径、壁厚符合</w:t>
            </w:r>
            <w:r>
              <w:rPr>
                <w:color w:val="auto"/>
                <w:highlight w:val="none"/>
              </w:rPr>
              <w:t>GB/T1739</w:t>
            </w:r>
            <w:r>
              <w:rPr>
                <w:rFonts w:hint="eastAsia"/>
                <w:color w:val="auto"/>
                <w:highlight w:val="none"/>
              </w:rPr>
              <w:t>的规定。</w:t>
            </w:r>
          </w:p>
          <w:p>
            <w:pP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70" w:type="dxa"/>
            <w:noWrap w:val="0"/>
            <w:vAlign w:val="center"/>
          </w:tcPr>
          <w:p>
            <w:pPr>
              <w:rPr>
                <w:color w:val="auto"/>
                <w:highlight w:val="none"/>
              </w:rPr>
            </w:pPr>
            <w:r>
              <w:rPr>
                <w:color w:val="auto"/>
                <w:highlight w:val="none"/>
              </w:rPr>
              <w:t>18.</w:t>
            </w:r>
          </w:p>
        </w:tc>
        <w:tc>
          <w:tcPr>
            <w:tcW w:w="1323" w:type="dxa"/>
            <w:noWrap w:val="0"/>
            <w:vAlign w:val="center"/>
          </w:tcPr>
          <w:p>
            <w:pPr>
              <w:rPr>
                <w:color w:val="auto"/>
                <w:highlight w:val="none"/>
              </w:rPr>
            </w:pPr>
            <w:r>
              <w:rPr>
                <w:rFonts w:hint="eastAsia"/>
                <w:color w:val="auto"/>
                <w:highlight w:val="none"/>
              </w:rPr>
              <w:t>镀锌钢板</w:t>
            </w:r>
          </w:p>
        </w:tc>
        <w:tc>
          <w:tcPr>
            <w:tcW w:w="722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）注册资本不得少于</w:t>
            </w:r>
            <w:r>
              <w:rPr>
                <w:color w:val="auto"/>
                <w:highlight w:val="none"/>
              </w:rPr>
              <w:t>3000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2</w:t>
            </w:r>
            <w:r>
              <w:rPr>
                <w:rFonts w:hint="eastAsia"/>
                <w:color w:val="auto"/>
                <w:highlight w:val="none"/>
              </w:rPr>
              <w:t>）设备商必须通过</w:t>
            </w:r>
            <w:r>
              <w:rPr>
                <w:color w:val="auto"/>
                <w:highlight w:val="none"/>
              </w:rPr>
              <w:t>ISO9001:2000</w:t>
            </w:r>
            <w:r>
              <w:rPr>
                <w:rFonts w:hint="eastAsia"/>
                <w:color w:val="auto"/>
                <w:highlight w:val="none"/>
              </w:rPr>
              <w:t>系列质量体系认证；</w:t>
            </w:r>
          </w:p>
          <w:p>
            <w:pPr>
              <w:rPr>
                <w:color w:val="auto"/>
                <w:highlight w:val="none"/>
              </w:rPr>
            </w:pPr>
            <w:r>
              <w:rPr>
                <w:rFonts w:hint="eastAsia"/>
                <w:color w:val="auto"/>
                <w:highlight w:val="none"/>
              </w:rPr>
              <w:t>（</w:t>
            </w:r>
            <w:r>
              <w:rPr>
                <w:color w:val="auto"/>
                <w:highlight w:val="none"/>
              </w:rPr>
              <w:t>3</w:t>
            </w:r>
            <w:r>
              <w:rPr>
                <w:rFonts w:hint="eastAsia"/>
                <w:color w:val="auto"/>
                <w:highlight w:val="none"/>
              </w:rPr>
              <w:t>）设备商必须在深圳地区设有长期固定的售后服务及维修机构；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）材料品种、规格、性能与厚度等应符合设计和现行国家有关产品标准的规定；当设计无规定时，钢板或镀锌钢板的厚度应按《通风与空调工程施工质量验收规范》（</w:t>
            </w:r>
            <w:r>
              <w:rPr>
                <w:color w:val="auto"/>
                <w:highlight w:val="none"/>
              </w:rPr>
              <w:t>GB50243-2002</w:t>
            </w:r>
            <w:r>
              <w:rPr>
                <w:rFonts w:hint="eastAsia"/>
                <w:color w:val="auto"/>
                <w:highlight w:val="none"/>
              </w:rPr>
              <w:t>）执行；生产制作严格按照（通风管道技术规程）等国家有关规范标准进行。</w:t>
            </w:r>
          </w:p>
          <w:p>
            <w:pPr>
              <w:rPr>
                <w:color w:val="auto"/>
                <w:highlight w:val="none"/>
              </w:rPr>
            </w:pPr>
            <w:r>
              <w:rPr>
                <w:rFonts w:hint="eastAsia"/>
                <w:color w:val="auto"/>
                <w:highlight w:val="none"/>
              </w:rPr>
              <w:t>（</w:t>
            </w:r>
            <w:r>
              <w:rPr>
                <w:color w:val="auto"/>
                <w:highlight w:val="none"/>
              </w:rPr>
              <w:t>2</w:t>
            </w:r>
            <w:r>
              <w:rPr>
                <w:rFonts w:hint="eastAsia"/>
                <w:color w:val="auto"/>
                <w:highlight w:val="none"/>
              </w:rPr>
              <w:t>）应符合质量要求，有出厂合格证明书或质量鉴定文件；</w:t>
            </w:r>
          </w:p>
          <w:p>
            <w:pPr>
              <w:rPr>
                <w:color w:val="auto"/>
                <w:highlight w:val="none"/>
              </w:rPr>
            </w:pPr>
            <w:r>
              <w:rPr>
                <w:rFonts w:hint="eastAsia"/>
                <w:color w:val="auto"/>
                <w:highlight w:val="none"/>
              </w:rPr>
              <w:t>对普通薄钢板，应板材表面平整，厚度均匀，有紧密的氧化层薄膜；表面不得有裂纹、结疤和锈斑；</w:t>
            </w:r>
          </w:p>
          <w:p>
            <w:pPr>
              <w:rPr>
                <w:color w:val="auto"/>
                <w:highlight w:val="none"/>
              </w:rPr>
            </w:pPr>
            <w:r>
              <w:rPr>
                <w:rFonts w:hint="eastAsia"/>
                <w:color w:val="auto"/>
                <w:highlight w:val="none"/>
              </w:rPr>
              <w:t>（</w:t>
            </w:r>
            <w:r>
              <w:rPr>
                <w:color w:val="auto"/>
                <w:highlight w:val="none"/>
              </w:rPr>
              <w:t>3</w:t>
            </w:r>
            <w:r>
              <w:rPr>
                <w:rFonts w:hint="eastAsia"/>
                <w:color w:val="auto"/>
                <w:highlight w:val="none"/>
              </w:rPr>
              <w:t>）对镀锌薄钢板，镀锌层应均匀，有结晶花纹；锌层应无泛白、麻点、起皮、脱落等缺陷。</w:t>
            </w:r>
          </w:p>
          <w:p>
            <w:pPr>
              <w:rPr>
                <w:color w:val="auto"/>
                <w:highlight w:val="none"/>
              </w:rPr>
            </w:pPr>
            <w:r>
              <w:rPr>
                <w:rFonts w:hint="eastAsia"/>
                <w:color w:val="auto"/>
                <w:highlight w:val="none"/>
              </w:rPr>
              <w:t>（</w:t>
            </w:r>
            <w:r>
              <w:rPr>
                <w:color w:val="auto"/>
                <w:highlight w:val="none"/>
              </w:rPr>
              <w:t>4</w:t>
            </w:r>
            <w:r>
              <w:rPr>
                <w:rFonts w:hint="eastAsia"/>
                <w:color w:val="auto"/>
                <w:highlight w:val="none"/>
              </w:rPr>
              <w:t>）若采用机制风管，需提供风管产品的变形量及漏风量检验报告，要求性能优于国家规定值。</w:t>
            </w:r>
          </w:p>
          <w:p>
            <w:pPr>
              <w:rPr>
                <w:color w:val="auto"/>
                <w:highlight w:val="none"/>
              </w:rPr>
            </w:pPr>
            <w:r>
              <w:rPr>
                <w:rFonts w:hint="eastAsia"/>
                <w:color w:val="auto"/>
                <w:highlight w:val="none"/>
              </w:rPr>
              <w:t>（</w:t>
            </w:r>
            <w:r>
              <w:rPr>
                <w:color w:val="auto"/>
                <w:highlight w:val="none"/>
              </w:rPr>
              <w:t>5</w:t>
            </w:r>
            <w:r>
              <w:rPr>
                <w:rFonts w:hint="eastAsia"/>
                <w:color w:val="auto"/>
                <w:highlight w:val="none"/>
              </w:rPr>
              <w:t>）材质符合国家环保要求。</w:t>
            </w:r>
          </w:p>
          <w:p>
            <w:pP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70" w:type="dxa"/>
            <w:noWrap w:val="0"/>
            <w:vAlign w:val="center"/>
          </w:tcPr>
          <w:p>
            <w:pPr>
              <w:rPr>
                <w:color w:val="auto"/>
                <w:highlight w:val="none"/>
              </w:rPr>
            </w:pPr>
            <w:r>
              <w:rPr>
                <w:color w:val="auto"/>
                <w:highlight w:val="none"/>
              </w:rPr>
              <w:t>19.</w:t>
            </w:r>
          </w:p>
        </w:tc>
        <w:tc>
          <w:tcPr>
            <w:tcW w:w="1323" w:type="dxa"/>
            <w:noWrap w:val="0"/>
            <w:vAlign w:val="center"/>
          </w:tcPr>
          <w:p>
            <w:pPr>
              <w:rPr>
                <w:color w:val="auto"/>
                <w:highlight w:val="none"/>
              </w:rPr>
            </w:pPr>
            <w:r>
              <w:rPr>
                <w:rFonts w:hint="eastAsia"/>
                <w:color w:val="auto"/>
                <w:highlight w:val="none"/>
              </w:rPr>
              <w:t>风管软接</w:t>
            </w:r>
          </w:p>
        </w:tc>
        <w:tc>
          <w:tcPr>
            <w:tcW w:w="722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）设备商必须通过</w:t>
            </w:r>
            <w:r>
              <w:rPr>
                <w:color w:val="auto"/>
                <w:highlight w:val="none"/>
              </w:rPr>
              <w:t>ISO9001:2000</w:t>
            </w:r>
            <w:r>
              <w:rPr>
                <w:rFonts w:hint="eastAsia"/>
                <w:color w:val="auto"/>
                <w:highlight w:val="none"/>
              </w:rPr>
              <w:t>系列质量体系认证；并提供证书复印件；</w:t>
            </w:r>
          </w:p>
          <w:p>
            <w:pPr>
              <w:rPr>
                <w:color w:val="auto"/>
                <w:highlight w:val="none"/>
              </w:rPr>
            </w:pPr>
            <w:r>
              <w:rPr>
                <w:rFonts w:hint="eastAsia"/>
                <w:color w:val="auto"/>
                <w:highlight w:val="none"/>
              </w:rPr>
              <w:t>（</w:t>
            </w:r>
            <w:r>
              <w:rPr>
                <w:color w:val="auto"/>
                <w:highlight w:val="none"/>
              </w:rPr>
              <w:t>2</w:t>
            </w:r>
            <w:r>
              <w:rPr>
                <w:rFonts w:hint="eastAsia"/>
                <w:color w:val="auto"/>
                <w:highlight w:val="none"/>
              </w:rPr>
              <w:t>）设备商必须在深圳地区设有长期固定的售后服务及维修机构；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）应符合设计和有关规范的要求；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）应选用具有防腐、防潮、不透气、不易霉变的柔性材料，并符合要求的气密性标准，燃烧等级达到国标</w:t>
            </w:r>
            <w:r>
              <w:rPr>
                <w:color w:val="auto"/>
                <w:highlight w:val="none"/>
              </w:rPr>
              <w:t>B</w:t>
            </w:r>
            <w:r>
              <w:rPr>
                <w:rFonts w:hint="eastAsia"/>
                <w:color w:val="auto"/>
                <w:highlight w:val="none"/>
              </w:rPr>
              <w:t>级；适用于指定的风压和气温条件；有防止结露的措施；</w:t>
            </w:r>
          </w:p>
          <w:p>
            <w:pPr>
              <w:rPr>
                <w:color w:val="auto"/>
                <w:highlight w:val="none"/>
              </w:rPr>
            </w:pPr>
            <w:r>
              <w:rPr>
                <w:rFonts w:hint="eastAsia"/>
                <w:color w:val="auto"/>
                <w:highlight w:val="none"/>
              </w:rPr>
              <w:t>（</w:t>
            </w:r>
            <w:r>
              <w:rPr>
                <w:color w:val="auto"/>
                <w:highlight w:val="none"/>
              </w:rPr>
              <w:t>3</w:t>
            </w:r>
            <w:r>
              <w:rPr>
                <w:rFonts w:hint="eastAsia"/>
                <w:color w:val="auto"/>
                <w:highlight w:val="none"/>
              </w:rPr>
              <w:t>）长度一般为</w:t>
            </w:r>
            <w:r>
              <w:rPr>
                <w:color w:val="auto"/>
                <w:highlight w:val="none"/>
              </w:rPr>
              <w:t>150~250mm</w:t>
            </w:r>
            <w:r>
              <w:rPr>
                <w:rFonts w:hint="eastAsia"/>
                <w:color w:val="auto"/>
                <w:highlight w:val="none"/>
              </w:rPr>
              <w:t>，其接合缝应牢固、严密，并不得作为异径管使用；</w:t>
            </w:r>
          </w:p>
          <w:p>
            <w:pPr>
              <w:rPr>
                <w:color w:val="auto"/>
                <w:highlight w:val="none"/>
              </w:rPr>
            </w:pPr>
            <w:r>
              <w:rPr>
                <w:rFonts w:hint="eastAsia"/>
                <w:color w:val="auto"/>
                <w:highlight w:val="none"/>
              </w:rPr>
              <w:t>（</w:t>
            </w:r>
            <w:r>
              <w:rPr>
                <w:color w:val="auto"/>
                <w:highlight w:val="none"/>
              </w:rPr>
              <w:t>4</w:t>
            </w:r>
            <w:r>
              <w:rPr>
                <w:rFonts w:hint="eastAsia"/>
                <w:color w:val="auto"/>
                <w:highlight w:val="none"/>
              </w:rPr>
              <w:t>）设于沉降缝的软性短管，其长度应大于沉降缝的宽度。</w:t>
            </w:r>
          </w:p>
          <w:p>
            <w:pPr>
              <w:rPr>
                <w:color w:val="auto"/>
                <w:highlight w:val="none"/>
              </w:rPr>
            </w:pPr>
            <w:r>
              <w:rPr>
                <w:rFonts w:hint="eastAsia"/>
                <w:color w:val="auto"/>
                <w:highlight w:val="none"/>
              </w:rPr>
              <w:t>（</w:t>
            </w:r>
            <w:r>
              <w:rPr>
                <w:color w:val="auto"/>
                <w:highlight w:val="none"/>
              </w:rPr>
              <w:t>5</w:t>
            </w:r>
            <w:r>
              <w:rPr>
                <w:rFonts w:hint="eastAsia"/>
                <w:color w:val="auto"/>
                <w:highlight w:val="none"/>
              </w:rPr>
              <w:t>）风机出口软连接：采用进口工程专用涂胶玻璃纤维帆布，符合消防要求，且在潮湿环境下可保证较长寿命。</w:t>
            </w:r>
          </w:p>
          <w:p>
            <w:pP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70" w:type="dxa"/>
            <w:noWrap w:val="0"/>
            <w:vAlign w:val="center"/>
          </w:tcPr>
          <w:p>
            <w:pPr>
              <w:rPr>
                <w:color w:val="auto"/>
                <w:highlight w:val="none"/>
              </w:rPr>
            </w:pPr>
            <w:r>
              <w:rPr>
                <w:color w:val="auto"/>
                <w:highlight w:val="none"/>
              </w:rPr>
              <w:t>20.</w:t>
            </w:r>
          </w:p>
        </w:tc>
        <w:tc>
          <w:tcPr>
            <w:tcW w:w="1323" w:type="dxa"/>
            <w:noWrap w:val="0"/>
            <w:vAlign w:val="center"/>
          </w:tcPr>
          <w:p>
            <w:pPr>
              <w:rPr>
                <w:color w:val="auto"/>
                <w:highlight w:val="none"/>
              </w:rPr>
            </w:pPr>
            <w:r>
              <w:rPr>
                <w:rFonts w:hint="eastAsia"/>
                <w:color w:val="auto"/>
                <w:highlight w:val="none"/>
              </w:rPr>
              <w:t>不锈钢软头、不锈钢波纹补偿器</w:t>
            </w:r>
          </w:p>
        </w:tc>
        <w:tc>
          <w:tcPr>
            <w:tcW w:w="722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）注册资本不得少于</w:t>
            </w:r>
            <w:r>
              <w:rPr>
                <w:color w:val="auto"/>
                <w:highlight w:val="none"/>
              </w:rPr>
              <w:t>1000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2</w:t>
            </w:r>
            <w:r>
              <w:rPr>
                <w:rFonts w:hint="eastAsia"/>
                <w:color w:val="auto"/>
                <w:highlight w:val="none"/>
              </w:rPr>
              <w:t>）设备商必须通过</w:t>
            </w:r>
            <w:r>
              <w:rPr>
                <w:color w:val="auto"/>
                <w:highlight w:val="none"/>
              </w:rPr>
              <w:t>ISO9001:2000</w:t>
            </w:r>
            <w:r>
              <w:rPr>
                <w:rFonts w:hint="eastAsia"/>
                <w:color w:val="auto"/>
                <w:highlight w:val="none"/>
              </w:rPr>
              <w:t>系列质量体系认证；</w:t>
            </w:r>
          </w:p>
          <w:p>
            <w:pPr>
              <w:rPr>
                <w:color w:val="auto"/>
                <w:highlight w:val="none"/>
              </w:rPr>
            </w:pPr>
            <w:r>
              <w:rPr>
                <w:rFonts w:hint="eastAsia"/>
                <w:color w:val="auto"/>
                <w:highlight w:val="none"/>
              </w:rPr>
              <w:t>（</w:t>
            </w:r>
            <w:r>
              <w:rPr>
                <w:color w:val="auto"/>
                <w:highlight w:val="none"/>
              </w:rPr>
              <w:t>3</w:t>
            </w:r>
            <w:r>
              <w:rPr>
                <w:rFonts w:hint="eastAsia"/>
                <w:color w:val="auto"/>
                <w:highlight w:val="none"/>
              </w:rPr>
              <w:t>）设备商必须在深圳地区设有长期固定的售后服务及维修机构；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）符合设计及有关规范、标准要求；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）公称压力大于各系统设计要求的试验压力；</w:t>
            </w:r>
          </w:p>
          <w:p>
            <w:pPr>
              <w:rPr>
                <w:color w:val="auto"/>
                <w:highlight w:val="none"/>
              </w:rPr>
            </w:pPr>
            <w:r>
              <w:rPr>
                <w:rFonts w:hint="eastAsia"/>
                <w:color w:val="auto"/>
                <w:highlight w:val="none"/>
              </w:rPr>
              <w:t>（</w:t>
            </w:r>
            <w:r>
              <w:rPr>
                <w:color w:val="auto"/>
                <w:highlight w:val="none"/>
              </w:rPr>
              <w:t>3</w:t>
            </w:r>
            <w:r>
              <w:rPr>
                <w:rFonts w:hint="eastAsia"/>
                <w:color w:val="auto"/>
                <w:highlight w:val="none"/>
              </w:rPr>
              <w:t>）使用温度</w:t>
            </w:r>
            <w:r>
              <w:rPr>
                <w:color w:val="auto"/>
                <w:highlight w:val="none"/>
              </w:rPr>
              <w:t>-20</w:t>
            </w:r>
            <w:r>
              <w:rPr>
                <w:rFonts w:hint="eastAsia"/>
                <w:color w:val="auto"/>
                <w:highlight w:val="none"/>
              </w:rPr>
              <w:t>℃</w:t>
            </w:r>
            <w:r>
              <w:rPr>
                <w:color w:val="auto"/>
                <w:highlight w:val="none"/>
              </w:rPr>
              <w:t>~250</w:t>
            </w:r>
            <w:r>
              <w:rPr>
                <w:rFonts w:hint="eastAsia"/>
                <w:color w:val="auto"/>
                <w:highlight w:val="none"/>
              </w:rPr>
              <w:t>℃；</w:t>
            </w:r>
          </w:p>
          <w:p>
            <w:pPr>
              <w:rPr>
                <w:color w:val="auto"/>
                <w:highlight w:val="none"/>
              </w:rPr>
            </w:pPr>
            <w:r>
              <w:rPr>
                <w:rFonts w:hint="eastAsia"/>
                <w:color w:val="auto"/>
                <w:highlight w:val="none"/>
              </w:rPr>
              <w:t>（</w:t>
            </w:r>
            <w:r>
              <w:rPr>
                <w:color w:val="auto"/>
                <w:highlight w:val="none"/>
              </w:rPr>
              <w:t>4</w:t>
            </w:r>
            <w:r>
              <w:rPr>
                <w:rFonts w:hint="eastAsia"/>
                <w:color w:val="auto"/>
                <w:highlight w:val="none"/>
              </w:rPr>
              <w:t>）波纹管加金属编织网套，管体及网套材质应为不锈钢</w:t>
            </w:r>
            <w:r>
              <w:rPr>
                <w:color w:val="auto"/>
                <w:highlight w:val="none"/>
              </w:rPr>
              <w:t>304</w:t>
            </w:r>
            <w:r>
              <w:rPr>
                <w:rFonts w:hint="eastAsia"/>
                <w:color w:val="auto"/>
                <w:highlight w:val="none"/>
              </w:rPr>
              <w:t>。</w:t>
            </w:r>
          </w:p>
          <w:p>
            <w:pP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70" w:type="dxa"/>
            <w:noWrap w:val="0"/>
            <w:vAlign w:val="center"/>
          </w:tcPr>
          <w:p>
            <w:pPr>
              <w:rPr>
                <w:color w:val="auto"/>
                <w:highlight w:val="none"/>
              </w:rPr>
            </w:pPr>
            <w:r>
              <w:rPr>
                <w:color w:val="auto"/>
                <w:highlight w:val="none"/>
              </w:rPr>
              <w:t>21.</w:t>
            </w:r>
          </w:p>
        </w:tc>
        <w:tc>
          <w:tcPr>
            <w:tcW w:w="1323" w:type="dxa"/>
            <w:noWrap w:val="0"/>
            <w:vAlign w:val="center"/>
          </w:tcPr>
          <w:p>
            <w:pPr>
              <w:rPr>
                <w:color w:val="auto"/>
                <w:highlight w:val="none"/>
              </w:rPr>
            </w:pPr>
            <w:r>
              <w:rPr>
                <w:rFonts w:hint="eastAsia"/>
                <w:color w:val="auto"/>
                <w:highlight w:val="none"/>
              </w:rPr>
              <w:t>风阀、</w:t>
            </w:r>
          </w:p>
          <w:p>
            <w:pPr>
              <w:rPr>
                <w:color w:val="auto"/>
                <w:highlight w:val="none"/>
              </w:rPr>
            </w:pPr>
            <w:r>
              <w:rPr>
                <w:rFonts w:hint="eastAsia"/>
                <w:color w:val="auto"/>
                <w:highlight w:val="none"/>
              </w:rPr>
              <w:t>防火阀（常开）、</w:t>
            </w:r>
          </w:p>
          <w:p>
            <w:pPr>
              <w:rPr>
                <w:color w:val="auto"/>
                <w:highlight w:val="none"/>
              </w:rPr>
            </w:pPr>
            <w:r>
              <w:rPr>
                <w:rFonts w:hint="eastAsia"/>
                <w:color w:val="auto"/>
                <w:highlight w:val="none"/>
              </w:rPr>
              <w:t>防火阀（常闭）、</w:t>
            </w:r>
          </w:p>
          <w:p>
            <w:pPr>
              <w:rPr>
                <w:color w:val="auto"/>
                <w:highlight w:val="none"/>
              </w:rPr>
            </w:pPr>
            <w:r>
              <w:rPr>
                <w:rFonts w:hint="eastAsia"/>
                <w:color w:val="auto"/>
                <w:highlight w:val="none"/>
              </w:rPr>
              <w:t>电动防火阀、</w:t>
            </w:r>
          </w:p>
          <w:p>
            <w:pPr>
              <w:rPr>
                <w:color w:val="auto"/>
                <w:highlight w:val="none"/>
              </w:rPr>
            </w:pPr>
            <w:r>
              <w:rPr>
                <w:rFonts w:hint="eastAsia"/>
                <w:color w:val="auto"/>
                <w:highlight w:val="none"/>
              </w:rPr>
              <w:t>自动复位防火阀、</w:t>
            </w:r>
          </w:p>
          <w:p>
            <w:pPr>
              <w:rPr>
                <w:color w:val="auto"/>
                <w:highlight w:val="none"/>
              </w:rPr>
            </w:pPr>
            <w:r>
              <w:rPr>
                <w:rFonts w:hint="eastAsia"/>
                <w:color w:val="auto"/>
                <w:highlight w:val="none"/>
              </w:rPr>
              <w:t>防火调节阀、</w:t>
            </w:r>
          </w:p>
          <w:p>
            <w:pPr>
              <w:rPr>
                <w:color w:val="auto"/>
                <w:highlight w:val="none"/>
              </w:rPr>
            </w:pPr>
            <w:r>
              <w:rPr>
                <w:rFonts w:hint="eastAsia"/>
                <w:color w:val="auto"/>
                <w:highlight w:val="none"/>
              </w:rPr>
              <w:t>手动风量调节阀、</w:t>
            </w:r>
          </w:p>
          <w:p>
            <w:pPr>
              <w:rPr>
                <w:color w:val="auto"/>
                <w:highlight w:val="none"/>
              </w:rPr>
            </w:pPr>
            <w:r>
              <w:rPr>
                <w:rFonts w:hint="eastAsia"/>
                <w:color w:val="auto"/>
                <w:highlight w:val="none"/>
              </w:rPr>
              <w:t>电动风量调节阀、</w:t>
            </w:r>
          </w:p>
          <w:p>
            <w:pPr>
              <w:rPr>
                <w:color w:val="auto"/>
                <w:highlight w:val="none"/>
              </w:rPr>
            </w:pPr>
            <w:r>
              <w:rPr>
                <w:rFonts w:hint="eastAsia"/>
                <w:color w:val="auto"/>
                <w:highlight w:val="none"/>
              </w:rPr>
              <w:t>风管止回阀、</w:t>
            </w:r>
          </w:p>
          <w:p>
            <w:pPr>
              <w:rPr>
                <w:color w:val="auto"/>
                <w:highlight w:val="none"/>
              </w:rPr>
            </w:pPr>
            <w:r>
              <w:rPr>
                <w:rFonts w:hint="eastAsia"/>
                <w:color w:val="auto"/>
                <w:highlight w:val="none"/>
              </w:rPr>
              <w:t>自重式风管止回阀</w:t>
            </w:r>
          </w:p>
        </w:tc>
        <w:tc>
          <w:tcPr>
            <w:tcW w:w="722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）注册资本不得少于</w:t>
            </w:r>
            <w:r>
              <w:rPr>
                <w:color w:val="auto"/>
                <w:highlight w:val="none"/>
              </w:rPr>
              <w:t>500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2</w:t>
            </w:r>
            <w:r>
              <w:rPr>
                <w:rFonts w:hint="eastAsia"/>
                <w:color w:val="auto"/>
                <w:highlight w:val="none"/>
              </w:rPr>
              <w:t>）设备商必须通过</w:t>
            </w:r>
            <w:r>
              <w:rPr>
                <w:color w:val="auto"/>
                <w:highlight w:val="none"/>
              </w:rPr>
              <w:t>ISO9001:2000</w:t>
            </w:r>
            <w:r>
              <w:rPr>
                <w:rFonts w:hint="eastAsia"/>
                <w:color w:val="auto"/>
                <w:highlight w:val="none"/>
              </w:rPr>
              <w:t>系列质量体系认证；</w:t>
            </w:r>
          </w:p>
          <w:p>
            <w:pPr>
              <w:rPr>
                <w:color w:val="auto"/>
                <w:highlight w:val="none"/>
              </w:rPr>
            </w:pPr>
            <w:r>
              <w:rPr>
                <w:rFonts w:hint="eastAsia"/>
                <w:color w:val="auto"/>
                <w:highlight w:val="none"/>
              </w:rPr>
              <w:t>（</w:t>
            </w:r>
            <w:r>
              <w:rPr>
                <w:color w:val="auto"/>
                <w:highlight w:val="none"/>
              </w:rPr>
              <w:t>3</w:t>
            </w:r>
            <w:r>
              <w:rPr>
                <w:rFonts w:hint="eastAsia"/>
                <w:color w:val="auto"/>
                <w:highlight w:val="none"/>
              </w:rPr>
              <w:t>）设备商必须在深圳地区设有长期固定的售后服务及维修机构；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）阀门型号、规格、耐压强度和严密性试验结果符合设计及有关规范、标准要求；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）阀门应制作牢固，叶片启闭应灵活，并标明阀门启闭方向和调节角度；</w:t>
            </w:r>
          </w:p>
          <w:p>
            <w:pPr>
              <w:rPr>
                <w:color w:val="auto"/>
                <w:highlight w:val="none"/>
              </w:rPr>
            </w:pPr>
            <w:r>
              <w:rPr>
                <w:rFonts w:hint="eastAsia"/>
                <w:color w:val="auto"/>
                <w:highlight w:val="none"/>
              </w:rPr>
              <w:t>（</w:t>
            </w:r>
            <w:r>
              <w:rPr>
                <w:color w:val="auto"/>
                <w:highlight w:val="none"/>
              </w:rPr>
              <w:t>3</w:t>
            </w:r>
            <w:r>
              <w:rPr>
                <w:rFonts w:hint="eastAsia"/>
                <w:color w:val="auto"/>
                <w:highlight w:val="none"/>
              </w:rPr>
              <w:t>采用优质钢板制作，外框板厚不小于</w:t>
            </w:r>
            <w:r>
              <w:rPr>
                <w:color w:val="auto"/>
                <w:highlight w:val="none"/>
              </w:rPr>
              <w:t>2mm</w:t>
            </w:r>
            <w:r>
              <w:rPr>
                <w:rFonts w:hint="eastAsia"/>
                <w:color w:val="auto"/>
                <w:highlight w:val="none"/>
              </w:rPr>
              <w:t>，叶片板厚不小于</w:t>
            </w:r>
            <w:r>
              <w:rPr>
                <w:color w:val="auto"/>
                <w:highlight w:val="none"/>
              </w:rPr>
              <w:t>1.5mm</w:t>
            </w:r>
            <w:r>
              <w:rPr>
                <w:rFonts w:hint="eastAsia"/>
                <w:color w:val="auto"/>
                <w:highlight w:val="none"/>
              </w:rPr>
              <w:t>；</w:t>
            </w:r>
          </w:p>
          <w:p>
            <w:pPr>
              <w:rPr>
                <w:color w:val="auto"/>
                <w:highlight w:val="none"/>
              </w:rPr>
            </w:pPr>
            <w:r>
              <w:rPr>
                <w:rFonts w:hint="eastAsia"/>
                <w:color w:val="auto"/>
                <w:highlight w:val="none"/>
              </w:rPr>
              <w:t>（</w:t>
            </w:r>
            <w:r>
              <w:rPr>
                <w:color w:val="auto"/>
                <w:highlight w:val="none"/>
              </w:rPr>
              <w:t>4</w:t>
            </w:r>
            <w:r>
              <w:rPr>
                <w:rFonts w:hint="eastAsia"/>
                <w:color w:val="auto"/>
                <w:highlight w:val="none"/>
              </w:rPr>
              <w:t>）多叶阀叶片应能贴合，间距均匀，搭接一致。轴与轴之间的距离偏差应小于</w:t>
            </w:r>
            <w:r>
              <w:rPr>
                <w:color w:val="auto"/>
                <w:highlight w:val="none"/>
              </w:rPr>
              <w:t>2mm</w:t>
            </w:r>
            <w:r>
              <w:rPr>
                <w:rFonts w:hint="eastAsia"/>
                <w:color w:val="auto"/>
                <w:highlight w:val="none"/>
              </w:rPr>
              <w:t>；</w:t>
            </w:r>
          </w:p>
          <w:p>
            <w:pPr>
              <w:rPr>
                <w:color w:val="auto"/>
                <w:highlight w:val="none"/>
              </w:rPr>
            </w:pPr>
            <w:r>
              <w:rPr>
                <w:rFonts w:hint="eastAsia"/>
                <w:color w:val="auto"/>
                <w:highlight w:val="none"/>
              </w:rPr>
              <w:t>（</w:t>
            </w:r>
            <w:r>
              <w:rPr>
                <w:color w:val="auto"/>
                <w:highlight w:val="none"/>
              </w:rPr>
              <w:t>5</w:t>
            </w:r>
            <w:r>
              <w:rPr>
                <w:rFonts w:hint="eastAsia"/>
                <w:color w:val="auto"/>
                <w:highlight w:val="none"/>
              </w:rPr>
              <w:t>）截面大于</w:t>
            </w:r>
            <w:r>
              <w:rPr>
                <w:color w:val="auto"/>
                <w:highlight w:val="none"/>
              </w:rPr>
              <w:t>1.2</w:t>
            </w:r>
            <w:r>
              <w:rPr>
                <w:rFonts w:hint="eastAsia"/>
                <w:color w:val="auto"/>
                <w:highlight w:val="none"/>
              </w:rPr>
              <w:t>平方米的风阀应实施分组调节；</w:t>
            </w:r>
          </w:p>
          <w:p>
            <w:pPr>
              <w:rPr>
                <w:color w:val="auto"/>
                <w:highlight w:val="none"/>
              </w:rPr>
            </w:pPr>
            <w:r>
              <w:rPr>
                <w:rFonts w:hint="eastAsia"/>
                <w:color w:val="auto"/>
                <w:highlight w:val="none"/>
              </w:rPr>
              <w:t>（</w:t>
            </w:r>
            <w:r>
              <w:rPr>
                <w:color w:val="auto"/>
                <w:highlight w:val="none"/>
              </w:rPr>
              <w:t>6</w:t>
            </w:r>
            <w:r>
              <w:rPr>
                <w:rFonts w:hint="eastAsia"/>
                <w:color w:val="auto"/>
                <w:highlight w:val="none"/>
              </w:rPr>
              <w:t>）风量调节阀、风管防火阀：提供产品检验合格证，风管防火阀提供国家消防部门产品认证。提供在不同的阻力、风速（</w:t>
            </w:r>
            <w:r>
              <w:rPr>
                <w:color w:val="auto"/>
                <w:highlight w:val="none"/>
              </w:rPr>
              <w:t>5m/s</w:t>
            </w:r>
            <w:r>
              <w:rPr>
                <w:rFonts w:hint="eastAsia"/>
                <w:color w:val="auto"/>
                <w:highlight w:val="none"/>
              </w:rPr>
              <w:t>、</w:t>
            </w:r>
            <w:r>
              <w:rPr>
                <w:color w:val="auto"/>
                <w:highlight w:val="none"/>
              </w:rPr>
              <w:t>8 m/s</w:t>
            </w:r>
            <w:r>
              <w:rPr>
                <w:rFonts w:hint="eastAsia"/>
                <w:color w:val="auto"/>
                <w:highlight w:val="none"/>
              </w:rPr>
              <w:t>、</w:t>
            </w:r>
            <w:r>
              <w:rPr>
                <w:color w:val="auto"/>
                <w:highlight w:val="none"/>
              </w:rPr>
              <w:t>10m/s</w:t>
            </w:r>
            <w:r>
              <w:rPr>
                <w:rFonts w:hint="eastAsia"/>
                <w:color w:val="auto"/>
                <w:highlight w:val="none"/>
              </w:rPr>
              <w:t>）下的噪声值及每平方米漏风量的检测报告，检测数据须符合设计要求。输出关闭信号，联锁风柜或风机。手动调节阀门开启角度。全开时阻力系数＜</w:t>
            </w:r>
            <w:r>
              <w:rPr>
                <w:color w:val="auto"/>
                <w:highlight w:val="none"/>
              </w:rPr>
              <w:t>0.4</w:t>
            </w:r>
            <w:r>
              <w:rPr>
                <w:rFonts w:hint="eastAsia"/>
                <w:color w:val="auto"/>
                <w:highlight w:val="none"/>
              </w:rPr>
              <w:t>。耐火时间不低于</w:t>
            </w:r>
            <w:r>
              <w:rPr>
                <w:color w:val="auto"/>
                <w:highlight w:val="none"/>
              </w:rPr>
              <w:t>1.5h</w:t>
            </w:r>
            <w:r>
              <w:rPr>
                <w:rFonts w:hint="eastAsia"/>
                <w:color w:val="auto"/>
                <w:highlight w:val="none"/>
              </w:rPr>
              <w:t>。</w:t>
            </w:r>
          </w:p>
          <w:p>
            <w:pPr>
              <w:rPr>
                <w:color w:val="auto"/>
                <w:highlight w:val="none"/>
              </w:rPr>
            </w:pPr>
            <w:r>
              <w:rPr>
                <w:rFonts w:hint="eastAsia"/>
                <w:color w:val="auto"/>
                <w:highlight w:val="none"/>
              </w:rPr>
              <w:t>（</w:t>
            </w:r>
            <w:r>
              <w:rPr>
                <w:color w:val="auto"/>
                <w:highlight w:val="none"/>
              </w:rPr>
              <w:t>7</w:t>
            </w:r>
            <w:r>
              <w:rPr>
                <w:rFonts w:hint="eastAsia"/>
                <w:color w:val="auto"/>
                <w:highlight w:val="none"/>
              </w:rPr>
              <w:t>）止回阀的阀轴灵活，阀板关闭严密，转轴、铰链应采用不易锈蚀的材料制作，阀片的强度应保证在最大负荷压力下不弯曲变形。要求密闭性能好、结构牢固且采用弹簧闭合式方式。提供在不同的阻力、风速（</w:t>
            </w:r>
            <w:r>
              <w:rPr>
                <w:color w:val="auto"/>
                <w:highlight w:val="none"/>
              </w:rPr>
              <w:t>5m/s</w:t>
            </w:r>
            <w:r>
              <w:rPr>
                <w:rFonts w:hint="eastAsia"/>
                <w:color w:val="auto"/>
                <w:highlight w:val="none"/>
              </w:rPr>
              <w:t>、</w:t>
            </w:r>
            <w:r>
              <w:rPr>
                <w:color w:val="auto"/>
                <w:highlight w:val="none"/>
              </w:rPr>
              <w:t>8m/s</w:t>
            </w:r>
            <w:r>
              <w:rPr>
                <w:rFonts w:hint="eastAsia"/>
                <w:color w:val="auto"/>
                <w:highlight w:val="none"/>
              </w:rPr>
              <w:t>）下的噪声值及每平方米漏风量的检测报告，检测数据须符合设计要求。</w:t>
            </w:r>
          </w:p>
          <w:p>
            <w:pPr>
              <w:rPr>
                <w:color w:val="auto"/>
                <w:highlight w:val="none"/>
              </w:rPr>
            </w:pPr>
            <w:r>
              <w:rPr>
                <w:rFonts w:hint="eastAsia"/>
                <w:color w:val="auto"/>
                <w:highlight w:val="none"/>
              </w:rPr>
              <w:t>（</w:t>
            </w:r>
            <w:r>
              <w:rPr>
                <w:color w:val="auto"/>
                <w:highlight w:val="none"/>
              </w:rPr>
              <w:t>8</w:t>
            </w:r>
            <w:r>
              <w:rPr>
                <w:rFonts w:hint="eastAsia"/>
                <w:color w:val="auto"/>
                <w:highlight w:val="none"/>
              </w:rPr>
              <w:t>）电动或气动调节风阀的执行机构及联动装置的动作应可靠，其调节范围及指示角度应与阀板开启角度相一致。电动启闭阀、电动调节阀执行机构及联动装置动作可靠，调节范围为</w:t>
            </w:r>
            <w:r>
              <w:rPr>
                <w:color w:val="auto"/>
                <w:highlight w:val="none"/>
              </w:rPr>
              <w:t>0%</w:t>
            </w:r>
            <w:r>
              <w:rPr>
                <w:rFonts w:hint="eastAsia"/>
                <w:color w:val="auto"/>
                <w:highlight w:val="none"/>
              </w:rPr>
              <w:t>～</w:t>
            </w:r>
            <w:r>
              <w:rPr>
                <w:color w:val="auto"/>
                <w:highlight w:val="none"/>
              </w:rPr>
              <w:t>100%</w:t>
            </w:r>
            <w:r>
              <w:rPr>
                <w:rFonts w:hint="eastAsia"/>
                <w:color w:val="auto"/>
                <w:highlight w:val="none"/>
              </w:rPr>
              <w:t>模拟调节；调节指示角度与阀板开启角度一致；接受</w:t>
            </w:r>
            <w:r>
              <w:rPr>
                <w:color w:val="auto"/>
                <w:highlight w:val="none"/>
              </w:rPr>
              <w:t>BA</w:t>
            </w:r>
            <w:r>
              <w:rPr>
                <w:rFonts w:hint="eastAsia"/>
                <w:color w:val="auto"/>
                <w:highlight w:val="none"/>
              </w:rPr>
              <w:t>系统</w:t>
            </w:r>
            <w:r>
              <w:rPr>
                <w:color w:val="auto"/>
                <w:highlight w:val="none"/>
              </w:rPr>
              <w:t>0</w:t>
            </w:r>
            <w:r>
              <w:rPr>
                <w:rFonts w:hint="eastAsia"/>
                <w:color w:val="auto"/>
                <w:highlight w:val="none"/>
              </w:rPr>
              <w:t>～</w:t>
            </w:r>
            <w:r>
              <w:rPr>
                <w:color w:val="auto"/>
                <w:highlight w:val="none"/>
              </w:rPr>
              <w:t>10V</w:t>
            </w:r>
            <w:r>
              <w:rPr>
                <w:rFonts w:hint="eastAsia"/>
                <w:color w:val="auto"/>
                <w:highlight w:val="none"/>
              </w:rPr>
              <w:t>或</w:t>
            </w:r>
            <w:r>
              <w:rPr>
                <w:color w:val="auto"/>
                <w:highlight w:val="none"/>
              </w:rPr>
              <w:t>4</w:t>
            </w:r>
            <w:r>
              <w:rPr>
                <w:rFonts w:hint="eastAsia"/>
                <w:color w:val="auto"/>
                <w:highlight w:val="none"/>
              </w:rPr>
              <w:t>～</w:t>
            </w:r>
            <w:r>
              <w:rPr>
                <w:color w:val="auto"/>
                <w:highlight w:val="none"/>
              </w:rPr>
              <w:t xml:space="preserve">20mA </w:t>
            </w:r>
            <w:r>
              <w:rPr>
                <w:rFonts w:hint="eastAsia"/>
                <w:color w:val="auto"/>
                <w:highlight w:val="none"/>
              </w:rPr>
              <w:t>的模拟控制信号。执行机构扭矩自行计算。阀门全开时阻力系数＜</w:t>
            </w:r>
            <w:r>
              <w:rPr>
                <w:color w:val="auto"/>
                <w:highlight w:val="none"/>
              </w:rPr>
              <w:t>0.4</w:t>
            </w:r>
            <w:r>
              <w:rPr>
                <w:rFonts w:hint="eastAsia"/>
                <w:color w:val="auto"/>
                <w:highlight w:val="none"/>
              </w:rPr>
              <w:t>。耐火时间不低于</w:t>
            </w:r>
            <w:r>
              <w:rPr>
                <w:color w:val="auto"/>
                <w:highlight w:val="none"/>
              </w:rPr>
              <w:t>1.5h</w:t>
            </w:r>
            <w:r>
              <w:rPr>
                <w:rFonts w:hint="eastAsia"/>
                <w:color w:val="auto"/>
                <w:highlight w:val="none"/>
              </w:rPr>
              <w:t>。电动风阀均采用气密性风阀，气密性要求为：风阀前后压差≥</w:t>
            </w:r>
            <w:r>
              <w:rPr>
                <w:color w:val="auto"/>
                <w:highlight w:val="none"/>
              </w:rPr>
              <w:t>300Pa</w:t>
            </w:r>
            <w:r>
              <w:rPr>
                <w:rFonts w:hint="eastAsia"/>
                <w:color w:val="auto"/>
                <w:highlight w:val="none"/>
              </w:rPr>
              <w:t>时，漏风量≤</w:t>
            </w:r>
            <w:r>
              <w:rPr>
                <w:color w:val="auto"/>
                <w:highlight w:val="none"/>
              </w:rPr>
              <w:t>220m</w:t>
            </w:r>
            <w:r>
              <w:rPr>
                <w:rFonts w:hint="eastAsia"/>
                <w:color w:val="auto"/>
                <w:highlight w:val="none"/>
              </w:rPr>
              <w:t>³</w:t>
            </w:r>
            <w:r>
              <w:rPr>
                <w:color w:val="auto"/>
                <w:highlight w:val="none"/>
              </w:rPr>
              <w:t>/</w:t>
            </w:r>
            <w:r>
              <w:rPr>
                <w:rFonts w:hint="eastAsia"/>
                <w:color w:val="auto"/>
                <w:highlight w:val="none"/>
              </w:rPr>
              <w:t>（</w:t>
            </w:r>
            <w:r>
              <w:rPr>
                <w:color w:val="auto"/>
                <w:highlight w:val="none"/>
              </w:rPr>
              <w:t>m</w:t>
            </w:r>
            <w:r>
              <w:rPr>
                <w:rFonts w:hint="eastAsia"/>
                <w:color w:val="auto"/>
                <w:highlight w:val="none"/>
              </w:rPr>
              <w:t>²</w:t>
            </w:r>
            <w:r>
              <w:rPr>
                <w:color w:val="auto"/>
                <w:highlight w:val="none"/>
              </w:rPr>
              <w:t>.h</w:t>
            </w:r>
            <w:r>
              <w:rPr>
                <w:rFonts w:hint="eastAsia"/>
                <w:color w:val="auto"/>
                <w:highlight w:val="none"/>
              </w:rPr>
              <w:t>）。</w:t>
            </w:r>
          </w:p>
          <w:p>
            <w:pPr>
              <w:rPr>
                <w:color w:val="auto"/>
                <w:highlight w:val="none"/>
              </w:rPr>
            </w:pPr>
            <w:r>
              <w:rPr>
                <w:rFonts w:hint="eastAsia"/>
                <w:color w:val="auto"/>
                <w:highlight w:val="none"/>
              </w:rPr>
              <w:t>（</w:t>
            </w:r>
            <w:r>
              <w:rPr>
                <w:color w:val="auto"/>
                <w:highlight w:val="none"/>
              </w:rPr>
              <w:t>9</w:t>
            </w:r>
            <w:r>
              <w:rPr>
                <w:rFonts w:hint="eastAsia"/>
                <w:color w:val="auto"/>
                <w:highlight w:val="none"/>
              </w:rPr>
              <w:t>）若连续型调节的风阀执行机构档次不低于</w:t>
            </w:r>
            <w:r>
              <w:rPr>
                <w:color w:val="auto"/>
                <w:highlight w:val="none"/>
              </w:rPr>
              <w:t>SIEMENS</w:t>
            </w:r>
            <w:r>
              <w:rPr>
                <w:rFonts w:hint="eastAsia"/>
                <w:color w:val="auto"/>
                <w:highlight w:val="none"/>
              </w:rPr>
              <w:t>、</w:t>
            </w:r>
            <w:r>
              <w:rPr>
                <w:color w:val="auto"/>
                <w:highlight w:val="none"/>
              </w:rPr>
              <w:t>JOHNSON</w:t>
            </w:r>
            <w:r>
              <w:rPr>
                <w:rFonts w:hint="eastAsia"/>
                <w:color w:val="auto"/>
                <w:highlight w:val="none"/>
              </w:rPr>
              <w:t>、</w:t>
            </w:r>
            <w:r>
              <w:rPr>
                <w:color w:val="auto"/>
                <w:highlight w:val="none"/>
              </w:rPr>
              <w:t>HONYWEL</w:t>
            </w:r>
            <w:r>
              <w:rPr>
                <w:rFonts w:hint="eastAsia"/>
                <w:color w:val="auto"/>
                <w:highlight w:val="none"/>
              </w:rPr>
              <w:t>、</w:t>
            </w:r>
            <w:r>
              <w:rPr>
                <w:color w:val="auto"/>
                <w:highlight w:val="none"/>
              </w:rPr>
              <w:t>BELIMO</w:t>
            </w:r>
            <w:r>
              <w:rPr>
                <w:rFonts w:hint="eastAsia"/>
                <w:color w:val="auto"/>
                <w:highlight w:val="none"/>
              </w:rPr>
              <w:t>等国际知名品牌。</w:t>
            </w:r>
          </w:p>
          <w:p>
            <w:pP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70" w:type="dxa"/>
            <w:noWrap w:val="0"/>
            <w:vAlign w:val="center"/>
          </w:tcPr>
          <w:p>
            <w:pPr>
              <w:rPr>
                <w:color w:val="auto"/>
                <w:highlight w:val="none"/>
              </w:rPr>
            </w:pPr>
            <w:r>
              <w:rPr>
                <w:color w:val="auto"/>
                <w:highlight w:val="none"/>
              </w:rPr>
              <w:t>22.</w:t>
            </w:r>
          </w:p>
        </w:tc>
        <w:tc>
          <w:tcPr>
            <w:tcW w:w="1323" w:type="dxa"/>
            <w:noWrap w:val="0"/>
            <w:vAlign w:val="center"/>
          </w:tcPr>
          <w:p>
            <w:pPr>
              <w:rPr>
                <w:color w:val="auto"/>
                <w:highlight w:val="none"/>
              </w:rPr>
            </w:pPr>
            <w:r>
              <w:rPr>
                <w:rFonts w:hint="eastAsia"/>
                <w:color w:val="auto"/>
                <w:highlight w:val="none"/>
              </w:rPr>
              <w:t>分体式冷暖空调机组</w:t>
            </w:r>
          </w:p>
        </w:tc>
        <w:tc>
          <w:tcPr>
            <w:tcW w:w="722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）注册资本不得少于</w:t>
            </w:r>
            <w:r>
              <w:rPr>
                <w:color w:val="auto"/>
                <w:highlight w:val="none"/>
              </w:rPr>
              <w:t>5000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2</w:t>
            </w:r>
            <w:r>
              <w:rPr>
                <w:rFonts w:hint="eastAsia"/>
                <w:color w:val="auto"/>
                <w:highlight w:val="none"/>
              </w:rPr>
              <w:t>）设备商必须通过</w:t>
            </w:r>
            <w:r>
              <w:rPr>
                <w:color w:val="auto"/>
                <w:highlight w:val="none"/>
              </w:rPr>
              <w:t>ISO9001:2000</w:t>
            </w:r>
            <w:r>
              <w:rPr>
                <w:rFonts w:hint="eastAsia"/>
                <w:color w:val="auto"/>
                <w:highlight w:val="none"/>
              </w:rPr>
              <w:t>系列质量体系认证；</w:t>
            </w:r>
          </w:p>
          <w:p>
            <w:pPr>
              <w:rPr>
                <w:color w:val="auto"/>
                <w:highlight w:val="none"/>
              </w:rPr>
            </w:pPr>
            <w:r>
              <w:rPr>
                <w:rFonts w:hint="eastAsia"/>
                <w:color w:val="auto"/>
                <w:highlight w:val="none"/>
              </w:rPr>
              <w:t>（</w:t>
            </w:r>
            <w:r>
              <w:rPr>
                <w:color w:val="auto"/>
                <w:highlight w:val="none"/>
              </w:rPr>
              <w:t>3</w:t>
            </w:r>
            <w:r>
              <w:rPr>
                <w:rFonts w:hint="eastAsia"/>
                <w:color w:val="auto"/>
                <w:highlight w:val="none"/>
              </w:rPr>
              <w:t>）设备商必须在深圳地区设有长期固定的售后服务及维修机构；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）机组在运行时所产生的噪音应满足设计噪音标准且必须低于当地环保处所订出的限制；</w:t>
            </w:r>
          </w:p>
          <w:p>
            <w:pPr>
              <w:rPr>
                <w:color w:val="auto"/>
                <w:highlight w:val="none"/>
              </w:rPr>
            </w:pPr>
            <w:r>
              <w:rPr>
                <w:rFonts w:hint="eastAsia"/>
                <w:color w:val="auto"/>
                <w:highlight w:val="none"/>
              </w:rPr>
              <w:t>（</w:t>
            </w:r>
            <w:r>
              <w:rPr>
                <w:color w:val="auto"/>
                <w:highlight w:val="none"/>
              </w:rPr>
              <w:t>2</w:t>
            </w:r>
            <w:r>
              <w:rPr>
                <w:rFonts w:hint="eastAsia"/>
                <w:color w:val="auto"/>
                <w:highlight w:val="none"/>
              </w:rPr>
              <w:t>）每台机组须附有原厂的标志牌，标明厂家的名称、设备的编号、型号及有关的技术数据；</w:t>
            </w:r>
          </w:p>
          <w:p>
            <w:pPr>
              <w:rPr>
                <w:color w:val="auto"/>
                <w:highlight w:val="none"/>
              </w:rPr>
            </w:pPr>
            <w:r>
              <w:rPr>
                <w:rFonts w:hint="eastAsia"/>
                <w:color w:val="auto"/>
                <w:highlight w:val="none"/>
              </w:rPr>
              <w:t>（</w:t>
            </w:r>
            <w:r>
              <w:rPr>
                <w:color w:val="auto"/>
                <w:highlight w:val="none"/>
              </w:rPr>
              <w:t>3</w:t>
            </w:r>
            <w:r>
              <w:rPr>
                <w:rFonts w:hint="eastAsia"/>
                <w:color w:val="auto"/>
                <w:highlight w:val="none"/>
              </w:rPr>
              <w:t>）每台机组配有由原厂提供的温度及速度控制板和遥控感应装置；</w:t>
            </w:r>
          </w:p>
          <w:p>
            <w:pPr>
              <w:rPr>
                <w:color w:val="auto"/>
                <w:highlight w:val="none"/>
              </w:rPr>
            </w:pPr>
            <w:r>
              <w:rPr>
                <w:rFonts w:hint="eastAsia"/>
                <w:color w:val="auto"/>
                <w:highlight w:val="none"/>
              </w:rPr>
              <w:t>（</w:t>
            </w:r>
            <w:r>
              <w:rPr>
                <w:color w:val="auto"/>
                <w:highlight w:val="none"/>
              </w:rPr>
              <w:t>4</w:t>
            </w:r>
            <w:r>
              <w:rPr>
                <w:rFonts w:hint="eastAsia"/>
                <w:color w:val="auto"/>
                <w:highlight w:val="none"/>
              </w:rPr>
              <w:t>）制冷系统各部分不应有制冷剂泄露，其实测制冷量不小于名义制冷量的</w:t>
            </w:r>
            <w:r>
              <w:rPr>
                <w:color w:val="auto"/>
                <w:highlight w:val="none"/>
              </w:rPr>
              <w:t>92%</w:t>
            </w:r>
            <w:r>
              <w:rPr>
                <w:rFonts w:hint="eastAsia"/>
                <w:color w:val="auto"/>
                <w:highlight w:val="none"/>
              </w:rPr>
              <w:t>，实测制冷消耗功不大于名义制冷消耗功率的</w:t>
            </w:r>
            <w:r>
              <w:rPr>
                <w:color w:val="auto"/>
                <w:highlight w:val="none"/>
              </w:rPr>
              <w:t>110%</w:t>
            </w:r>
            <w:r>
              <w:rPr>
                <w:rFonts w:hint="eastAsia"/>
                <w:color w:val="auto"/>
                <w:highlight w:val="none"/>
              </w:rPr>
              <w:t>；</w:t>
            </w:r>
          </w:p>
          <w:p>
            <w:pPr>
              <w:rPr>
                <w:color w:val="auto"/>
                <w:highlight w:val="none"/>
              </w:rPr>
            </w:pPr>
            <w:r>
              <w:rPr>
                <w:rFonts w:hint="eastAsia"/>
                <w:color w:val="auto"/>
                <w:highlight w:val="none"/>
              </w:rPr>
              <w:t>（</w:t>
            </w:r>
            <w:r>
              <w:rPr>
                <w:color w:val="auto"/>
                <w:highlight w:val="none"/>
              </w:rPr>
              <w:t>5</w:t>
            </w:r>
            <w:r>
              <w:rPr>
                <w:rFonts w:hint="eastAsia"/>
                <w:color w:val="auto"/>
                <w:highlight w:val="none"/>
              </w:rPr>
              <w:t>）分体空调机组能效比满足最新国家节能规范的要求，效能比不低于</w:t>
            </w:r>
            <w:r>
              <w:rPr>
                <w:color w:val="auto"/>
                <w:highlight w:val="none"/>
              </w:rPr>
              <w:t>2</w:t>
            </w:r>
            <w:r>
              <w:rPr>
                <w:rFonts w:hint="eastAsia"/>
                <w:color w:val="auto"/>
                <w:highlight w:val="none"/>
              </w:rPr>
              <w:t>级。</w:t>
            </w:r>
          </w:p>
          <w:p>
            <w:pPr>
              <w:rPr>
                <w:color w:val="auto"/>
                <w:highlight w:val="none"/>
              </w:rPr>
            </w:pPr>
            <w:r>
              <w:rPr>
                <w:rFonts w:hint="eastAsia"/>
                <w:color w:val="auto"/>
                <w:highlight w:val="none"/>
              </w:rPr>
              <w:t>（</w:t>
            </w:r>
            <w:r>
              <w:rPr>
                <w:color w:val="auto"/>
                <w:highlight w:val="none"/>
              </w:rPr>
              <w:t>6</w:t>
            </w:r>
            <w:r>
              <w:rPr>
                <w:rFonts w:hint="eastAsia"/>
                <w:color w:val="auto"/>
                <w:highlight w:val="none"/>
              </w:rPr>
              <w:t>）冷暖型。</w:t>
            </w:r>
          </w:p>
          <w:p>
            <w:pP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70" w:type="dxa"/>
            <w:noWrap w:val="0"/>
            <w:vAlign w:val="center"/>
          </w:tcPr>
          <w:p>
            <w:pPr>
              <w:rPr>
                <w:color w:val="auto"/>
                <w:highlight w:val="none"/>
              </w:rPr>
            </w:pPr>
            <w:r>
              <w:rPr>
                <w:color w:val="auto"/>
                <w:highlight w:val="none"/>
              </w:rPr>
              <w:t>23.</w:t>
            </w:r>
          </w:p>
        </w:tc>
        <w:tc>
          <w:tcPr>
            <w:tcW w:w="1323" w:type="dxa"/>
            <w:noWrap w:val="0"/>
            <w:vAlign w:val="center"/>
          </w:tcPr>
          <w:p>
            <w:pPr>
              <w:rPr>
                <w:color w:val="auto"/>
                <w:highlight w:val="none"/>
              </w:rPr>
            </w:pPr>
          </w:p>
          <w:p>
            <w:pPr>
              <w:rPr>
                <w:color w:val="auto"/>
                <w:highlight w:val="none"/>
              </w:rPr>
            </w:pPr>
          </w:p>
          <w:p>
            <w:pPr>
              <w:rPr>
                <w:color w:val="auto"/>
                <w:highlight w:val="none"/>
              </w:rPr>
            </w:pPr>
            <w:r>
              <w:rPr>
                <w:rFonts w:hint="eastAsia"/>
                <w:color w:val="auto"/>
                <w:highlight w:val="none"/>
              </w:rPr>
              <w:t>消声器</w:t>
            </w:r>
          </w:p>
          <w:p>
            <w:pPr>
              <w:rPr>
                <w:color w:val="auto"/>
                <w:highlight w:val="none"/>
              </w:rPr>
            </w:pPr>
            <w:r>
              <w:rPr>
                <w:rFonts w:hint="eastAsia"/>
                <w:color w:val="auto"/>
                <w:highlight w:val="none"/>
              </w:rPr>
              <w:t>静压箱</w:t>
            </w:r>
          </w:p>
        </w:tc>
        <w:tc>
          <w:tcPr>
            <w:tcW w:w="722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）注册资本不得少于</w:t>
            </w:r>
            <w:r>
              <w:rPr>
                <w:color w:val="auto"/>
                <w:highlight w:val="none"/>
              </w:rPr>
              <w:t>500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2</w:t>
            </w:r>
            <w:r>
              <w:rPr>
                <w:rFonts w:hint="eastAsia"/>
                <w:color w:val="auto"/>
                <w:highlight w:val="none"/>
              </w:rPr>
              <w:t>）设备商必须通过</w:t>
            </w:r>
            <w:r>
              <w:rPr>
                <w:color w:val="auto"/>
                <w:highlight w:val="none"/>
              </w:rPr>
              <w:t>ISO9001:2000</w:t>
            </w:r>
            <w:r>
              <w:rPr>
                <w:rFonts w:hint="eastAsia"/>
                <w:color w:val="auto"/>
                <w:highlight w:val="none"/>
              </w:rPr>
              <w:t>系列质量体系认证；</w:t>
            </w:r>
          </w:p>
          <w:p>
            <w:pPr>
              <w:rPr>
                <w:color w:val="auto"/>
                <w:highlight w:val="none"/>
              </w:rPr>
            </w:pPr>
            <w:r>
              <w:rPr>
                <w:rFonts w:hint="eastAsia"/>
                <w:color w:val="auto"/>
                <w:highlight w:val="none"/>
              </w:rPr>
              <w:t>（</w:t>
            </w:r>
            <w:r>
              <w:rPr>
                <w:color w:val="auto"/>
                <w:highlight w:val="none"/>
              </w:rPr>
              <w:t>3</w:t>
            </w:r>
            <w:r>
              <w:rPr>
                <w:rFonts w:hint="eastAsia"/>
                <w:color w:val="auto"/>
                <w:highlight w:val="none"/>
              </w:rPr>
              <w:t>）设备商必须在深圳地区设有长期固定的售后服务及维修机构；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）每个消声设备须附有详细标明厂家的名称、设备的型号和标号及正常的气流方向指示的标志铭牌；</w:t>
            </w:r>
          </w:p>
          <w:p>
            <w:pPr>
              <w:rPr>
                <w:color w:val="auto"/>
                <w:highlight w:val="none"/>
              </w:rPr>
            </w:pPr>
            <w:r>
              <w:rPr>
                <w:rFonts w:hint="eastAsia"/>
                <w:color w:val="auto"/>
                <w:highlight w:val="none"/>
              </w:rPr>
              <w:t>（</w:t>
            </w:r>
            <w:r>
              <w:rPr>
                <w:color w:val="auto"/>
                <w:highlight w:val="none"/>
              </w:rPr>
              <w:t>2</w:t>
            </w:r>
            <w:r>
              <w:rPr>
                <w:rFonts w:hint="eastAsia"/>
                <w:color w:val="auto"/>
                <w:highlight w:val="none"/>
              </w:rPr>
              <w:t>）所有消声设备应有不可燃的材料制成并能满足当地消防局的要求；</w:t>
            </w:r>
          </w:p>
          <w:p>
            <w:pPr>
              <w:rPr>
                <w:color w:val="auto"/>
                <w:highlight w:val="none"/>
              </w:rPr>
            </w:pPr>
            <w:r>
              <w:rPr>
                <w:rFonts w:hint="eastAsia"/>
                <w:color w:val="auto"/>
                <w:highlight w:val="none"/>
              </w:rPr>
              <w:t>（</w:t>
            </w:r>
            <w:r>
              <w:rPr>
                <w:color w:val="auto"/>
                <w:highlight w:val="none"/>
              </w:rPr>
              <w:t>3</w:t>
            </w:r>
            <w:r>
              <w:rPr>
                <w:rFonts w:hint="eastAsia"/>
                <w:color w:val="auto"/>
                <w:highlight w:val="none"/>
              </w:rPr>
              <w:t>）内外壳采用优质镀锌钢板制作，外壳厚度不小于</w:t>
            </w:r>
            <w:r>
              <w:rPr>
                <w:color w:val="auto"/>
                <w:highlight w:val="none"/>
              </w:rPr>
              <w:t>1.2mm</w:t>
            </w:r>
            <w:r>
              <w:rPr>
                <w:rFonts w:hint="eastAsia"/>
                <w:color w:val="auto"/>
                <w:highlight w:val="none"/>
              </w:rPr>
              <w:t>；内衬镀锌穿孔板厚度不小于</w:t>
            </w:r>
            <w:r>
              <w:rPr>
                <w:color w:val="auto"/>
                <w:highlight w:val="none"/>
              </w:rPr>
              <w:t>0.75 mm</w:t>
            </w:r>
            <w:r>
              <w:rPr>
                <w:rFonts w:hint="eastAsia"/>
                <w:color w:val="auto"/>
                <w:highlight w:val="none"/>
              </w:rPr>
              <w:t>，穿孔孔径和穿孔率应符合设计要求。内外表面应平整，孔眼排列均匀，不得有毛刺；</w:t>
            </w:r>
          </w:p>
          <w:p>
            <w:pPr>
              <w:rPr>
                <w:color w:val="auto"/>
                <w:highlight w:val="none"/>
              </w:rPr>
            </w:pPr>
            <w:r>
              <w:rPr>
                <w:rFonts w:hint="eastAsia"/>
                <w:color w:val="auto"/>
                <w:highlight w:val="none"/>
              </w:rPr>
              <w:t>（</w:t>
            </w:r>
            <w:r>
              <w:rPr>
                <w:color w:val="auto"/>
                <w:highlight w:val="none"/>
              </w:rPr>
              <w:t>4</w:t>
            </w:r>
            <w:r>
              <w:rPr>
                <w:rFonts w:hint="eastAsia"/>
                <w:color w:val="auto"/>
                <w:highlight w:val="none"/>
              </w:rPr>
              <w:t>）所选用的消声材料应符合设计规定的防火、防腐、防潮及卫生要求；填充的消声材料应按规定的密度均匀铺设，有防止下沉的措施，覆面层应均匀拉紧并有保护措施；</w:t>
            </w:r>
          </w:p>
          <w:p>
            <w:pPr>
              <w:rPr>
                <w:color w:val="auto"/>
                <w:highlight w:val="none"/>
              </w:rPr>
            </w:pPr>
            <w:r>
              <w:rPr>
                <w:rFonts w:hint="eastAsia"/>
                <w:color w:val="auto"/>
                <w:highlight w:val="none"/>
              </w:rPr>
              <w:t>（</w:t>
            </w:r>
            <w:r>
              <w:rPr>
                <w:color w:val="auto"/>
                <w:highlight w:val="none"/>
              </w:rPr>
              <w:t>5</w:t>
            </w:r>
            <w:r>
              <w:rPr>
                <w:rFonts w:hint="eastAsia"/>
                <w:color w:val="auto"/>
                <w:highlight w:val="none"/>
              </w:rPr>
              <w:t>）具有足够的整体强度，不变形、不漏风。</w:t>
            </w:r>
          </w:p>
          <w:p>
            <w:pPr>
              <w:rPr>
                <w:color w:val="auto"/>
                <w:highlight w:val="none"/>
              </w:rPr>
            </w:pPr>
            <w:r>
              <w:rPr>
                <w:rFonts w:hint="eastAsia"/>
                <w:color w:val="auto"/>
                <w:highlight w:val="none"/>
              </w:rPr>
              <w:t>（</w:t>
            </w:r>
            <w:r>
              <w:rPr>
                <w:color w:val="auto"/>
                <w:highlight w:val="none"/>
              </w:rPr>
              <w:t>6</w:t>
            </w:r>
            <w:r>
              <w:rPr>
                <w:rFonts w:hint="eastAsia"/>
                <w:color w:val="auto"/>
                <w:highlight w:val="none"/>
              </w:rPr>
              <w:t>）镀锌金属板的切割面和焊接点均须涂上高锌漆料；</w:t>
            </w:r>
          </w:p>
          <w:p>
            <w:pPr>
              <w:rPr>
                <w:color w:val="auto"/>
                <w:highlight w:val="none"/>
              </w:rPr>
            </w:pPr>
            <w:r>
              <w:rPr>
                <w:rFonts w:hint="eastAsia"/>
                <w:color w:val="auto"/>
                <w:highlight w:val="none"/>
              </w:rPr>
              <w:t>（</w:t>
            </w:r>
            <w:r>
              <w:rPr>
                <w:color w:val="auto"/>
                <w:highlight w:val="none"/>
              </w:rPr>
              <w:t>7</w:t>
            </w:r>
            <w:r>
              <w:rPr>
                <w:rFonts w:hint="eastAsia"/>
                <w:color w:val="auto"/>
                <w:highlight w:val="none"/>
              </w:rPr>
              <w:t>）应用于室外的消声器须完全防风雨及经过防腐蚀处理。</w:t>
            </w:r>
          </w:p>
          <w:p>
            <w:pP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70" w:type="dxa"/>
            <w:noWrap w:val="0"/>
            <w:vAlign w:val="center"/>
          </w:tcPr>
          <w:p>
            <w:pPr>
              <w:rPr>
                <w:color w:val="auto"/>
                <w:highlight w:val="none"/>
              </w:rPr>
            </w:pPr>
            <w:r>
              <w:rPr>
                <w:color w:val="auto"/>
                <w:highlight w:val="none"/>
              </w:rPr>
              <w:t>24.</w:t>
            </w:r>
          </w:p>
        </w:tc>
        <w:tc>
          <w:tcPr>
            <w:tcW w:w="1323" w:type="dxa"/>
            <w:noWrap w:val="0"/>
            <w:vAlign w:val="center"/>
          </w:tcPr>
          <w:p>
            <w:pPr>
              <w:rPr>
                <w:color w:val="auto"/>
                <w:highlight w:val="none"/>
              </w:rPr>
            </w:pPr>
            <w:r>
              <w:rPr>
                <w:rFonts w:hint="eastAsia"/>
                <w:color w:val="auto"/>
                <w:highlight w:val="none"/>
              </w:rPr>
              <w:t>温度、压力仪表</w:t>
            </w:r>
          </w:p>
        </w:tc>
        <w:tc>
          <w:tcPr>
            <w:tcW w:w="7229" w:type="dxa"/>
            <w:noWrap w:val="0"/>
            <w:vAlign w:val="top"/>
          </w:tcPr>
          <w:p>
            <w:pPr>
              <w:rPr>
                <w:color w:val="auto"/>
                <w:highlight w:val="none"/>
              </w:rPr>
            </w:pPr>
            <w:r>
              <w:rPr>
                <w:color w:val="auto"/>
                <w:highlight w:val="none"/>
              </w:rPr>
              <w:t>1.</w:t>
            </w:r>
            <w:r>
              <w:rPr>
                <w:rFonts w:hint="eastAsia"/>
                <w:color w:val="auto"/>
                <w:highlight w:val="none"/>
              </w:rPr>
              <w:t>国产名优品牌；</w:t>
            </w:r>
          </w:p>
          <w:p>
            <w:pPr>
              <w:rPr>
                <w:color w:val="auto"/>
                <w:highlight w:val="none"/>
              </w:rPr>
            </w:pPr>
            <w:r>
              <w:rPr>
                <w:color w:val="auto"/>
                <w:highlight w:val="none"/>
              </w:rPr>
              <w:t>2.</w:t>
            </w:r>
            <w:r>
              <w:rPr>
                <w:rFonts w:hint="eastAsia"/>
                <w:color w:val="auto"/>
                <w:highlight w:val="none"/>
              </w:rPr>
              <w:t>符合设计及有关规范、标准要求；</w:t>
            </w:r>
          </w:p>
          <w:p>
            <w:pPr>
              <w:rPr>
                <w:color w:val="auto"/>
                <w:highlight w:val="none"/>
              </w:rPr>
            </w:pPr>
            <w:r>
              <w:rPr>
                <w:color w:val="auto"/>
                <w:highlight w:val="none"/>
              </w:rPr>
              <w:t>3.</w:t>
            </w:r>
            <w:r>
              <w:rPr>
                <w:rFonts w:hint="eastAsia"/>
                <w:color w:val="auto"/>
                <w:highlight w:val="none"/>
              </w:rPr>
              <w:t>温度计应采用适当长度、探温刻度符合系统操作要求及以红色读数显示的水银温度计。直身型不锈钢外壳连玻璃面板，并配有不锈钢管道温度探测井；</w:t>
            </w:r>
          </w:p>
          <w:p>
            <w:pPr>
              <w:rPr>
                <w:color w:val="auto"/>
                <w:highlight w:val="none"/>
              </w:rPr>
            </w:pPr>
            <w:r>
              <w:rPr>
                <w:color w:val="auto"/>
                <w:highlight w:val="none"/>
              </w:rPr>
              <w:t>4.</w:t>
            </w:r>
            <w:r>
              <w:rPr>
                <w:rFonts w:hint="eastAsia"/>
                <w:color w:val="auto"/>
                <w:highlight w:val="none"/>
              </w:rPr>
              <w:t>压力仪表应采用直径</w:t>
            </w:r>
            <w:r>
              <w:rPr>
                <w:color w:val="auto"/>
                <w:highlight w:val="none"/>
              </w:rPr>
              <w:t>100</w:t>
            </w:r>
            <w:r>
              <w:rPr>
                <w:rFonts w:hint="eastAsia"/>
                <w:color w:val="auto"/>
                <w:highlight w:val="none"/>
              </w:rPr>
              <w:t>毫米配以黑色铁外壳、外带镀铬铜环合厚玻璃面板、青铜弹簧感应器、精密的移动和测微调节。须同时提供适合有关系统工作压力的脉冲缓冲器、钢管配件及铜制针状球型截止阀；</w:t>
            </w:r>
          </w:p>
          <w:p>
            <w:pP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70" w:type="dxa"/>
            <w:noWrap w:val="0"/>
            <w:vAlign w:val="center"/>
          </w:tcPr>
          <w:p>
            <w:pPr>
              <w:rPr>
                <w:color w:val="auto"/>
                <w:highlight w:val="none"/>
              </w:rPr>
            </w:pPr>
            <w:r>
              <w:rPr>
                <w:color w:val="auto"/>
                <w:highlight w:val="none"/>
              </w:rPr>
              <w:t>25.</w:t>
            </w:r>
          </w:p>
        </w:tc>
        <w:tc>
          <w:tcPr>
            <w:tcW w:w="1323" w:type="dxa"/>
            <w:noWrap w:val="0"/>
            <w:vAlign w:val="center"/>
          </w:tcPr>
          <w:p>
            <w:pPr>
              <w:rPr>
                <w:color w:val="auto"/>
                <w:highlight w:val="none"/>
              </w:rPr>
            </w:pPr>
            <w:r>
              <w:rPr>
                <w:rFonts w:hint="eastAsia"/>
                <w:color w:val="auto"/>
                <w:highlight w:val="none"/>
              </w:rPr>
              <w:t>风口</w:t>
            </w:r>
          </w:p>
        </w:tc>
        <w:tc>
          <w:tcPr>
            <w:tcW w:w="722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）国内知名品牌，注册资本不得少于</w:t>
            </w:r>
            <w:r>
              <w:rPr>
                <w:color w:val="auto"/>
                <w:highlight w:val="none"/>
              </w:rPr>
              <w:t>500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2</w:t>
            </w:r>
            <w:r>
              <w:rPr>
                <w:rFonts w:hint="eastAsia"/>
                <w:color w:val="auto"/>
                <w:highlight w:val="none"/>
              </w:rPr>
              <w:t>）设备商必须通过</w:t>
            </w:r>
            <w:r>
              <w:rPr>
                <w:color w:val="auto"/>
                <w:highlight w:val="none"/>
              </w:rPr>
              <w:t>ISO9001:2000</w:t>
            </w:r>
            <w:r>
              <w:rPr>
                <w:rFonts w:hint="eastAsia"/>
                <w:color w:val="auto"/>
                <w:highlight w:val="none"/>
              </w:rPr>
              <w:t>系列质量体系认证；</w:t>
            </w:r>
          </w:p>
          <w:p>
            <w:pPr>
              <w:rPr>
                <w:color w:val="auto"/>
                <w:highlight w:val="none"/>
              </w:rPr>
            </w:pPr>
            <w:r>
              <w:rPr>
                <w:rFonts w:hint="eastAsia"/>
                <w:color w:val="auto"/>
                <w:highlight w:val="none"/>
              </w:rPr>
              <w:t>（</w:t>
            </w:r>
            <w:r>
              <w:rPr>
                <w:color w:val="auto"/>
                <w:highlight w:val="none"/>
              </w:rPr>
              <w:t>3</w:t>
            </w:r>
            <w:r>
              <w:rPr>
                <w:rFonts w:hint="eastAsia"/>
                <w:color w:val="auto"/>
                <w:highlight w:val="none"/>
              </w:rPr>
              <w:t>）设备商必须在深圳地区设有长期固定的售后服务及维修机构；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）各种形式的风口尺寸应符合设计要求；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）均采用铝合金材料，表面烤漆处理，颜色与精装饰风格一致；风口产品应选用防腐性能好，易成型的材料制造，采用铝型材时，应符合</w:t>
            </w:r>
            <w:r>
              <w:rPr>
                <w:color w:val="auto"/>
                <w:highlight w:val="none"/>
              </w:rPr>
              <w:t>GB5237-2004</w:t>
            </w:r>
            <w:r>
              <w:rPr>
                <w:rFonts w:hint="eastAsia"/>
                <w:color w:val="auto"/>
                <w:highlight w:val="none"/>
              </w:rPr>
              <w:t>《</w:t>
            </w:r>
            <w:r>
              <w:rPr>
                <w:color w:val="auto"/>
                <w:highlight w:val="none"/>
              </w:rPr>
              <w:t>&lt;</w:t>
            </w:r>
            <w:r>
              <w:rPr>
                <w:rFonts w:hint="eastAsia"/>
                <w:color w:val="auto"/>
                <w:highlight w:val="none"/>
              </w:rPr>
              <w:t>铝合金建筑型材</w:t>
            </w:r>
            <w:r>
              <w:rPr>
                <w:color w:val="auto"/>
                <w:highlight w:val="none"/>
              </w:rPr>
              <w:t>&gt;</w:t>
            </w:r>
            <w:r>
              <w:rPr>
                <w:rFonts w:hint="eastAsia"/>
                <w:color w:val="auto"/>
                <w:highlight w:val="none"/>
              </w:rPr>
              <w:t>实施指南》的规定；</w:t>
            </w:r>
          </w:p>
          <w:p>
            <w:pPr>
              <w:rPr>
                <w:color w:val="auto"/>
                <w:highlight w:val="none"/>
              </w:rPr>
            </w:pPr>
            <w:r>
              <w:rPr>
                <w:rFonts w:hint="eastAsia"/>
                <w:color w:val="auto"/>
                <w:highlight w:val="none"/>
              </w:rPr>
              <w:t>（</w:t>
            </w:r>
            <w:r>
              <w:rPr>
                <w:color w:val="auto"/>
                <w:highlight w:val="none"/>
              </w:rPr>
              <w:t>3</w:t>
            </w:r>
            <w:r>
              <w:rPr>
                <w:rFonts w:hint="eastAsia"/>
                <w:color w:val="auto"/>
                <w:highlight w:val="none"/>
              </w:rPr>
              <w:t>）各类风口的外框及导风叶片的材料厚度不得小于</w:t>
            </w:r>
            <w:r>
              <w:rPr>
                <w:color w:val="auto"/>
                <w:highlight w:val="none"/>
              </w:rPr>
              <w:t>1.0mm</w:t>
            </w:r>
            <w:r>
              <w:rPr>
                <w:rFonts w:hint="eastAsia"/>
                <w:color w:val="auto"/>
                <w:highlight w:val="none"/>
              </w:rPr>
              <w:t>，装饰面拼接严密平整，焊接牢固，焊点光滑。风口的转动调节部分应灵活，叶片应平直，同边框不得碰擦，定位后应无松动现象；</w:t>
            </w:r>
          </w:p>
          <w:p>
            <w:pPr>
              <w:rPr>
                <w:color w:val="auto"/>
                <w:highlight w:val="none"/>
              </w:rPr>
            </w:pPr>
            <w:r>
              <w:rPr>
                <w:rFonts w:hint="eastAsia"/>
                <w:color w:val="auto"/>
                <w:highlight w:val="none"/>
              </w:rPr>
              <w:t>（</w:t>
            </w:r>
            <w:r>
              <w:rPr>
                <w:color w:val="auto"/>
                <w:highlight w:val="none"/>
              </w:rPr>
              <w:t>4</w:t>
            </w:r>
            <w:r>
              <w:rPr>
                <w:rFonts w:hint="eastAsia"/>
                <w:color w:val="auto"/>
                <w:highlight w:val="none"/>
              </w:rPr>
              <w:t>）百叶式风口的叶片间距应均匀；双层百叶风口上、下两层叶片应互相垂直，且自带调节阀；</w:t>
            </w:r>
          </w:p>
          <w:p>
            <w:pPr>
              <w:rPr>
                <w:color w:val="auto"/>
                <w:highlight w:val="none"/>
              </w:rPr>
            </w:pPr>
            <w:r>
              <w:rPr>
                <w:rFonts w:hint="eastAsia"/>
                <w:color w:val="auto"/>
                <w:highlight w:val="none"/>
              </w:rPr>
              <w:t>（</w:t>
            </w:r>
            <w:r>
              <w:rPr>
                <w:color w:val="auto"/>
                <w:highlight w:val="none"/>
              </w:rPr>
              <w:t>5</w:t>
            </w:r>
            <w:r>
              <w:rPr>
                <w:rFonts w:hint="eastAsia"/>
                <w:color w:val="auto"/>
                <w:highlight w:val="none"/>
              </w:rPr>
              <w:t>）散流器的扩散环和调节环应同轴，径向间距分布应均匀；</w:t>
            </w:r>
          </w:p>
          <w:p>
            <w:pPr>
              <w:rPr>
                <w:color w:val="auto"/>
                <w:highlight w:val="none"/>
              </w:rPr>
            </w:pPr>
            <w:r>
              <w:rPr>
                <w:rFonts w:hint="eastAsia"/>
                <w:color w:val="auto"/>
                <w:highlight w:val="none"/>
              </w:rPr>
              <w:t>（</w:t>
            </w:r>
            <w:r>
              <w:rPr>
                <w:color w:val="auto"/>
                <w:highlight w:val="none"/>
              </w:rPr>
              <w:t>6</w:t>
            </w:r>
            <w:r>
              <w:rPr>
                <w:rFonts w:hint="eastAsia"/>
                <w:color w:val="auto"/>
                <w:highlight w:val="none"/>
              </w:rPr>
              <w:t>）门铰式单层百叶回风口应自带</w:t>
            </w:r>
            <w:r>
              <w:rPr>
                <w:color w:val="auto"/>
                <w:highlight w:val="none"/>
              </w:rPr>
              <w:t>NF</w:t>
            </w:r>
            <w:r>
              <w:rPr>
                <w:rFonts w:hint="eastAsia"/>
                <w:color w:val="auto"/>
                <w:highlight w:val="none"/>
              </w:rPr>
              <w:t>尼龙双层过滤网，叶芯与外框用门铰连接，安装后可任意打开叶芯组件，更换风口过滤器。</w:t>
            </w:r>
          </w:p>
          <w:p>
            <w:pPr>
              <w:rPr>
                <w:color w:val="auto"/>
                <w:highlight w:val="none"/>
              </w:rPr>
            </w:pPr>
            <w:r>
              <w:rPr>
                <w:rFonts w:hint="eastAsia"/>
                <w:color w:val="auto"/>
                <w:highlight w:val="none"/>
              </w:rPr>
              <w:t>（</w:t>
            </w:r>
            <w:r>
              <w:rPr>
                <w:color w:val="auto"/>
                <w:highlight w:val="none"/>
              </w:rPr>
              <w:t>7</w:t>
            </w:r>
            <w:r>
              <w:rPr>
                <w:rFonts w:hint="eastAsia"/>
                <w:color w:val="auto"/>
                <w:highlight w:val="none"/>
              </w:rPr>
              <w:t>）防雨单层百叶风口应带镀锌铁丝网，采用直径φ</w:t>
            </w:r>
            <w:r>
              <w:rPr>
                <w:color w:val="auto"/>
                <w:highlight w:val="none"/>
              </w:rPr>
              <w:t>2mm</w:t>
            </w:r>
            <w:r>
              <w:rPr>
                <w:rFonts w:hint="eastAsia"/>
                <w:color w:val="auto"/>
                <w:highlight w:val="none"/>
              </w:rPr>
              <w:t>，网孔为</w:t>
            </w:r>
            <w:r>
              <w:rPr>
                <w:color w:val="auto"/>
                <w:highlight w:val="none"/>
              </w:rPr>
              <w:t>20 mm</w:t>
            </w:r>
            <w:r>
              <w:rPr>
                <w:rFonts w:hint="eastAsia"/>
                <w:color w:val="auto"/>
                <w:highlight w:val="none"/>
              </w:rPr>
              <w:t>。</w:t>
            </w:r>
          </w:p>
          <w:p>
            <w:pP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70" w:type="dxa"/>
            <w:noWrap w:val="0"/>
            <w:vAlign w:val="center"/>
          </w:tcPr>
          <w:p>
            <w:pPr>
              <w:rPr>
                <w:color w:val="auto"/>
                <w:highlight w:val="none"/>
              </w:rPr>
            </w:pPr>
            <w:r>
              <w:rPr>
                <w:color w:val="auto"/>
                <w:highlight w:val="none"/>
              </w:rPr>
              <w:t>26.</w:t>
            </w:r>
          </w:p>
        </w:tc>
        <w:tc>
          <w:tcPr>
            <w:tcW w:w="1323" w:type="dxa"/>
            <w:noWrap w:val="0"/>
            <w:vAlign w:val="center"/>
          </w:tcPr>
          <w:p>
            <w:pPr>
              <w:rPr>
                <w:color w:val="auto"/>
                <w:highlight w:val="none"/>
              </w:rPr>
            </w:pPr>
            <w:r>
              <w:rPr>
                <w:rFonts w:hint="eastAsia"/>
                <w:color w:val="auto"/>
                <w:highlight w:val="none"/>
              </w:rPr>
              <w:t>玻璃棉保温材料</w:t>
            </w:r>
          </w:p>
        </w:tc>
        <w:tc>
          <w:tcPr>
            <w:tcW w:w="722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）国内知名品牌，注册资本不得少于</w:t>
            </w:r>
            <w:r>
              <w:rPr>
                <w:color w:val="auto"/>
                <w:highlight w:val="none"/>
              </w:rPr>
              <w:t>1000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2</w:t>
            </w:r>
            <w:r>
              <w:rPr>
                <w:rFonts w:hint="eastAsia"/>
                <w:color w:val="auto"/>
                <w:highlight w:val="none"/>
              </w:rPr>
              <w:t>）设备商必须通过</w:t>
            </w:r>
            <w:r>
              <w:rPr>
                <w:color w:val="auto"/>
                <w:highlight w:val="none"/>
              </w:rPr>
              <w:t>ISO9001:2000</w:t>
            </w:r>
            <w:r>
              <w:rPr>
                <w:rFonts w:hint="eastAsia"/>
                <w:color w:val="auto"/>
                <w:highlight w:val="none"/>
              </w:rPr>
              <w:t>系列质量体系认证；</w:t>
            </w:r>
          </w:p>
          <w:p>
            <w:pPr>
              <w:rPr>
                <w:color w:val="auto"/>
                <w:highlight w:val="none"/>
              </w:rPr>
            </w:pPr>
            <w:r>
              <w:rPr>
                <w:rFonts w:hint="eastAsia"/>
                <w:color w:val="auto"/>
                <w:highlight w:val="none"/>
              </w:rPr>
              <w:t>（</w:t>
            </w:r>
            <w:r>
              <w:rPr>
                <w:color w:val="auto"/>
                <w:highlight w:val="none"/>
              </w:rPr>
              <w:t>3</w:t>
            </w:r>
            <w:r>
              <w:rPr>
                <w:rFonts w:hint="eastAsia"/>
                <w:color w:val="auto"/>
                <w:highlight w:val="none"/>
              </w:rPr>
              <w:t>）设备商必须在深圳地区设有长期固定的售后服务及维修机构；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）符合设计要求及有关规范、标准要求。</w:t>
            </w:r>
          </w:p>
          <w:p>
            <w:pPr>
              <w:rPr>
                <w:color w:val="auto"/>
                <w:highlight w:val="none"/>
              </w:rPr>
            </w:pPr>
            <w:r>
              <w:rPr>
                <w:rFonts w:hint="eastAsia"/>
                <w:color w:val="auto"/>
                <w:highlight w:val="none"/>
              </w:rPr>
              <w:t>（</w:t>
            </w:r>
            <w:r>
              <w:rPr>
                <w:color w:val="auto"/>
                <w:highlight w:val="none"/>
              </w:rPr>
              <w:t>2</w:t>
            </w:r>
            <w:r>
              <w:rPr>
                <w:rFonts w:hint="eastAsia"/>
                <w:color w:val="auto"/>
                <w:highlight w:val="none"/>
              </w:rPr>
              <w:t>）风管采用带加强型贴面的玻璃棉板。</w:t>
            </w:r>
          </w:p>
          <w:p>
            <w:pPr>
              <w:rPr>
                <w:color w:val="auto"/>
                <w:highlight w:val="none"/>
              </w:rPr>
            </w:pPr>
            <w:r>
              <w:rPr>
                <w:rFonts w:hint="eastAsia"/>
                <w:color w:val="auto"/>
                <w:highlight w:val="none"/>
              </w:rPr>
              <w:t>（</w:t>
            </w:r>
            <w:r>
              <w:rPr>
                <w:color w:val="auto"/>
                <w:highlight w:val="none"/>
              </w:rPr>
              <w:t>3</w:t>
            </w:r>
            <w:r>
              <w:rPr>
                <w:rFonts w:hint="eastAsia"/>
                <w:color w:val="auto"/>
                <w:highlight w:val="none"/>
              </w:rPr>
              <w:t>）带加强型贴面的玻璃棉板应符合</w:t>
            </w:r>
            <w:r>
              <w:rPr>
                <w:color w:val="auto"/>
                <w:highlight w:val="none"/>
              </w:rPr>
              <w:t>GB5464-2010 A</w:t>
            </w:r>
            <w:r>
              <w:rPr>
                <w:rFonts w:hint="eastAsia"/>
                <w:color w:val="auto"/>
                <w:highlight w:val="none"/>
              </w:rPr>
              <w:t>级不燃性标准，导热系数≤</w:t>
            </w:r>
            <w:r>
              <w:rPr>
                <w:color w:val="auto"/>
                <w:highlight w:val="none"/>
              </w:rPr>
              <w:t xml:space="preserve">0.033W/m </w:t>
            </w:r>
            <w:r>
              <w:rPr>
                <w:rFonts w:hint="eastAsia"/>
                <w:color w:val="auto"/>
                <w:highlight w:val="none"/>
              </w:rPr>
              <w:t>℃，</w:t>
            </w:r>
            <w:r>
              <w:rPr>
                <w:color w:val="auto"/>
                <w:highlight w:val="none"/>
              </w:rPr>
              <w:t>r</w:t>
            </w:r>
            <w:r>
              <w:rPr>
                <w:rFonts w:hint="eastAsia"/>
                <w:color w:val="auto"/>
                <w:highlight w:val="none"/>
              </w:rPr>
              <w:t>≥</w:t>
            </w:r>
            <w:r>
              <w:rPr>
                <w:color w:val="auto"/>
                <w:highlight w:val="none"/>
              </w:rPr>
              <w:t xml:space="preserve">48kg/m3 </w:t>
            </w:r>
            <w:r>
              <w:rPr>
                <w:rFonts w:hint="eastAsia"/>
                <w:color w:val="auto"/>
                <w:highlight w:val="none"/>
              </w:rPr>
              <w:t>，吸湿性≤</w:t>
            </w:r>
            <w:r>
              <w:rPr>
                <w:color w:val="auto"/>
                <w:highlight w:val="none"/>
              </w:rPr>
              <w:t>3%</w:t>
            </w:r>
            <w:r>
              <w:rPr>
                <w:rFonts w:hint="eastAsia"/>
                <w:color w:val="auto"/>
                <w:highlight w:val="none"/>
              </w:rPr>
              <w:t>（在温度</w:t>
            </w:r>
            <w:r>
              <w:rPr>
                <w:color w:val="auto"/>
                <w:highlight w:val="none"/>
              </w:rPr>
              <w:t>49</w:t>
            </w:r>
            <w:r>
              <w:rPr>
                <w:rFonts w:hint="eastAsia"/>
                <w:color w:val="auto"/>
                <w:highlight w:val="none"/>
              </w:rPr>
              <w:t>℃，相对湿度</w:t>
            </w:r>
            <w:r>
              <w:rPr>
                <w:color w:val="auto"/>
                <w:highlight w:val="none"/>
              </w:rPr>
              <w:t>95%</w:t>
            </w:r>
            <w:r>
              <w:rPr>
                <w:rFonts w:hint="eastAsia"/>
                <w:color w:val="auto"/>
                <w:highlight w:val="none"/>
              </w:rPr>
              <w:t>条件下），湿气透过率最大不超过</w:t>
            </w:r>
            <w:r>
              <w:rPr>
                <w:color w:val="auto"/>
                <w:highlight w:val="none"/>
              </w:rPr>
              <w:t>9.75</w:t>
            </w:r>
            <w:r>
              <w:rPr>
                <w:rFonts w:hint="eastAsia"/>
                <w:color w:val="auto"/>
                <w:highlight w:val="none"/>
              </w:rPr>
              <w:t>×</w:t>
            </w:r>
            <w:r>
              <w:rPr>
                <w:color w:val="auto"/>
                <w:highlight w:val="none"/>
              </w:rPr>
              <w:t>10-5g/24h.m2,</w:t>
            </w:r>
            <w:r>
              <w:rPr>
                <w:rFonts w:hint="eastAsia"/>
                <w:color w:val="auto"/>
                <w:highlight w:val="none"/>
              </w:rPr>
              <w:t>防潮贴面，并且有良好的机械性和抗冲击性能。</w:t>
            </w:r>
          </w:p>
          <w:p>
            <w:pPr>
              <w:rPr>
                <w:color w:val="auto"/>
                <w:highlight w:val="none"/>
              </w:rPr>
            </w:pPr>
            <w:r>
              <w:rPr>
                <w:rFonts w:hint="eastAsia"/>
                <w:color w:val="auto"/>
                <w:highlight w:val="none"/>
              </w:rPr>
              <w:t>（</w:t>
            </w:r>
            <w:r>
              <w:rPr>
                <w:color w:val="auto"/>
                <w:highlight w:val="none"/>
              </w:rPr>
              <w:t>4</w:t>
            </w:r>
            <w:r>
              <w:rPr>
                <w:rFonts w:hint="eastAsia"/>
                <w:color w:val="auto"/>
                <w:highlight w:val="none"/>
              </w:rPr>
              <w:t>）所用胶带为原厂配置的不燃性环保铝箔粘胶，宽度为</w:t>
            </w:r>
            <w:r>
              <w:rPr>
                <w:color w:val="auto"/>
                <w:highlight w:val="none"/>
              </w:rPr>
              <w:t>50mm</w:t>
            </w:r>
            <w:r>
              <w:rPr>
                <w:rFonts w:hint="eastAsia"/>
                <w:color w:val="auto"/>
                <w:highlight w:val="none"/>
              </w:rPr>
              <w:t>。按设计要求实施。</w:t>
            </w:r>
          </w:p>
          <w:p>
            <w:pP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70" w:type="dxa"/>
            <w:noWrap w:val="0"/>
            <w:vAlign w:val="center"/>
          </w:tcPr>
          <w:p>
            <w:pPr>
              <w:rPr>
                <w:color w:val="auto"/>
                <w:highlight w:val="none"/>
              </w:rPr>
            </w:pPr>
            <w:r>
              <w:rPr>
                <w:color w:val="auto"/>
                <w:highlight w:val="none"/>
              </w:rPr>
              <w:t>27.</w:t>
            </w:r>
          </w:p>
        </w:tc>
        <w:tc>
          <w:tcPr>
            <w:tcW w:w="1323" w:type="dxa"/>
            <w:noWrap w:val="0"/>
            <w:vAlign w:val="center"/>
          </w:tcPr>
          <w:p>
            <w:pPr>
              <w:rPr>
                <w:color w:val="auto"/>
                <w:highlight w:val="none"/>
              </w:rPr>
            </w:pPr>
            <w:r>
              <w:rPr>
                <w:rFonts w:hint="eastAsia"/>
                <w:color w:val="auto"/>
                <w:highlight w:val="none"/>
              </w:rPr>
              <w:t>橡塑保温材料</w:t>
            </w:r>
          </w:p>
        </w:tc>
        <w:tc>
          <w:tcPr>
            <w:tcW w:w="722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）国内知名品牌，注册资本不得少于</w:t>
            </w:r>
            <w:r>
              <w:rPr>
                <w:color w:val="auto"/>
                <w:highlight w:val="none"/>
              </w:rPr>
              <w:t>1000</w:t>
            </w:r>
            <w:r>
              <w:rPr>
                <w:rFonts w:hint="eastAsia"/>
                <w:color w:val="auto"/>
                <w:highlight w:val="none"/>
              </w:rPr>
              <w:t>万</w:t>
            </w:r>
            <w:r>
              <w:rPr>
                <w:color w:val="auto"/>
                <w:highlight w:val="none"/>
              </w:rPr>
              <w:t xml:space="preserve"> </w:t>
            </w:r>
            <w:r>
              <w:rPr>
                <w:rFonts w:hint="eastAsia"/>
                <w:color w:val="auto"/>
                <w:highlight w:val="none"/>
              </w:rPr>
              <w:t>；</w:t>
            </w:r>
          </w:p>
          <w:p>
            <w:pPr>
              <w:rPr>
                <w:color w:val="auto"/>
                <w:highlight w:val="none"/>
              </w:rPr>
            </w:pPr>
            <w:r>
              <w:rPr>
                <w:rFonts w:hint="eastAsia"/>
                <w:color w:val="auto"/>
                <w:highlight w:val="none"/>
              </w:rPr>
              <w:t>（</w:t>
            </w:r>
            <w:r>
              <w:rPr>
                <w:color w:val="auto"/>
                <w:highlight w:val="none"/>
              </w:rPr>
              <w:t>2</w:t>
            </w:r>
            <w:r>
              <w:rPr>
                <w:rFonts w:hint="eastAsia"/>
                <w:color w:val="auto"/>
                <w:highlight w:val="none"/>
              </w:rPr>
              <w:t>）设备商必须通过</w:t>
            </w:r>
            <w:r>
              <w:rPr>
                <w:color w:val="auto"/>
                <w:highlight w:val="none"/>
              </w:rPr>
              <w:t>ISO9001:2000</w:t>
            </w:r>
            <w:r>
              <w:rPr>
                <w:rFonts w:hint="eastAsia"/>
                <w:color w:val="auto"/>
                <w:highlight w:val="none"/>
              </w:rPr>
              <w:t>系列质量体系认证；</w:t>
            </w:r>
          </w:p>
          <w:p>
            <w:pPr>
              <w:rPr>
                <w:color w:val="auto"/>
                <w:highlight w:val="none"/>
              </w:rPr>
            </w:pPr>
            <w:r>
              <w:rPr>
                <w:rFonts w:hint="eastAsia"/>
                <w:color w:val="auto"/>
                <w:highlight w:val="none"/>
              </w:rPr>
              <w:t>（</w:t>
            </w:r>
            <w:r>
              <w:rPr>
                <w:color w:val="auto"/>
                <w:highlight w:val="none"/>
              </w:rPr>
              <w:t>3</w:t>
            </w:r>
            <w:r>
              <w:rPr>
                <w:rFonts w:hint="eastAsia"/>
                <w:color w:val="auto"/>
                <w:highlight w:val="none"/>
              </w:rPr>
              <w:t>）设备商必须在深圳地区设有长期固定的售后服务及维修机构；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）产品通过商标注册，提供所供产品的国家防火建筑材料质量监督检测中心的型式检验合格报告。</w:t>
            </w:r>
          </w:p>
          <w:p>
            <w:pPr>
              <w:rPr>
                <w:color w:val="auto"/>
                <w:highlight w:val="none"/>
              </w:rPr>
            </w:pPr>
            <w:r>
              <w:rPr>
                <w:rFonts w:hint="eastAsia"/>
                <w:color w:val="auto"/>
                <w:highlight w:val="none"/>
              </w:rPr>
              <w:t>（</w:t>
            </w:r>
            <w:r>
              <w:rPr>
                <w:color w:val="auto"/>
                <w:highlight w:val="none"/>
              </w:rPr>
              <w:t>2</w:t>
            </w:r>
            <w:r>
              <w:rPr>
                <w:rFonts w:hint="eastAsia"/>
                <w:color w:val="auto"/>
                <w:highlight w:val="none"/>
              </w:rPr>
              <w:t>）橡塑表面自带铝箔，发泡材料必须不含石棉物质，应具有高倍率、闭孔型独立微气泡结构；柔性好、不吸水、高弹性、耐老化、耐低温、防水，化学性能稳定，粘接、热合、分切等加工性能尤为优良；应符合</w:t>
            </w:r>
            <w:r>
              <w:rPr>
                <w:color w:val="auto"/>
                <w:highlight w:val="none"/>
              </w:rPr>
              <w:t>GB/T 17794-2008</w:t>
            </w:r>
            <w:r>
              <w:rPr>
                <w:rFonts w:hint="eastAsia"/>
                <w:color w:val="auto"/>
                <w:highlight w:val="none"/>
              </w:rPr>
              <w:t>《柔性泡沫橡塑绝热制品》的规定。</w:t>
            </w:r>
          </w:p>
          <w:p>
            <w:pPr>
              <w:rPr>
                <w:color w:val="auto"/>
                <w:highlight w:val="none"/>
              </w:rPr>
            </w:pPr>
            <w:r>
              <w:rPr>
                <w:rFonts w:hint="eastAsia"/>
                <w:color w:val="auto"/>
                <w:highlight w:val="none"/>
              </w:rPr>
              <w:t>（</w:t>
            </w:r>
            <w:r>
              <w:rPr>
                <w:color w:val="auto"/>
                <w:highlight w:val="none"/>
              </w:rPr>
              <w:t>3</w:t>
            </w:r>
            <w:r>
              <w:rPr>
                <w:rFonts w:hint="eastAsia"/>
                <w:color w:val="auto"/>
                <w:highlight w:val="none"/>
              </w:rPr>
              <w:t>）所用胶水、胶带为原厂配置的不燃性环保胶水、胶带。</w:t>
            </w:r>
          </w:p>
          <w:p>
            <w:pPr>
              <w:rPr>
                <w:color w:val="auto"/>
                <w:highlight w:val="none"/>
              </w:rPr>
            </w:pPr>
            <w:r>
              <w:rPr>
                <w:rFonts w:hint="eastAsia"/>
                <w:color w:val="auto"/>
                <w:highlight w:val="none"/>
              </w:rPr>
              <w:t>（</w:t>
            </w:r>
            <w:r>
              <w:rPr>
                <w:color w:val="auto"/>
                <w:highlight w:val="none"/>
              </w:rPr>
              <w:t>4</w:t>
            </w:r>
            <w:r>
              <w:rPr>
                <w:rFonts w:hint="eastAsia"/>
                <w:color w:val="auto"/>
                <w:highlight w:val="none"/>
              </w:rPr>
              <w:t>）不生霉、对管道无腐蚀性。</w:t>
            </w:r>
          </w:p>
          <w:p>
            <w:pP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70" w:type="dxa"/>
            <w:noWrap w:val="0"/>
            <w:vAlign w:val="center"/>
          </w:tcPr>
          <w:p>
            <w:pPr>
              <w:rPr>
                <w:color w:val="auto"/>
                <w:highlight w:val="none"/>
              </w:rPr>
            </w:pPr>
            <w:r>
              <w:rPr>
                <w:color w:val="auto"/>
                <w:highlight w:val="none"/>
              </w:rPr>
              <w:t>28.</w:t>
            </w:r>
          </w:p>
        </w:tc>
        <w:tc>
          <w:tcPr>
            <w:tcW w:w="1323" w:type="dxa"/>
            <w:noWrap w:val="0"/>
            <w:vAlign w:val="center"/>
          </w:tcPr>
          <w:p>
            <w:pPr>
              <w:rPr>
                <w:color w:val="auto"/>
                <w:highlight w:val="none"/>
              </w:rPr>
            </w:pPr>
            <w:r>
              <w:rPr>
                <w:rFonts w:hint="eastAsia"/>
                <w:color w:val="auto"/>
                <w:highlight w:val="none"/>
              </w:rPr>
              <w:t>冷却塔</w:t>
            </w:r>
          </w:p>
        </w:tc>
        <w:tc>
          <w:tcPr>
            <w:tcW w:w="7229" w:type="dxa"/>
            <w:noWrap w:val="0"/>
            <w:vAlign w:val="top"/>
          </w:tcPr>
          <w:p>
            <w:pPr>
              <w:rPr>
                <w:color w:val="auto"/>
                <w:highlight w:val="none"/>
              </w:rPr>
            </w:pPr>
            <w:r>
              <w:rPr>
                <w:color w:val="auto"/>
                <w:highlight w:val="none"/>
              </w:rPr>
              <w:t>1.</w:t>
            </w:r>
            <w:r>
              <w:rPr>
                <w:rFonts w:hint="eastAsia"/>
                <w:color w:val="auto"/>
                <w:highlight w:val="none"/>
              </w:rPr>
              <w:t>商务要求：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）注册资本不得少于</w:t>
            </w:r>
            <w:r>
              <w:rPr>
                <w:color w:val="auto"/>
                <w:highlight w:val="none"/>
              </w:rPr>
              <w:t>500</w:t>
            </w:r>
            <w:r>
              <w:rPr>
                <w:rFonts w:hint="eastAsia"/>
                <w:color w:val="auto"/>
                <w:highlight w:val="none"/>
              </w:rPr>
              <w:t>万人民币</w:t>
            </w:r>
          </w:p>
          <w:p>
            <w:pPr>
              <w:rPr>
                <w:color w:val="auto"/>
                <w:highlight w:val="none"/>
              </w:rPr>
            </w:pPr>
            <w:r>
              <w:rPr>
                <w:rFonts w:hint="eastAsia"/>
                <w:color w:val="auto"/>
                <w:highlight w:val="none"/>
              </w:rPr>
              <w:t>（</w:t>
            </w:r>
            <w:r>
              <w:rPr>
                <w:color w:val="auto"/>
                <w:highlight w:val="none"/>
              </w:rPr>
              <w:t>2</w:t>
            </w:r>
            <w:r>
              <w:rPr>
                <w:rFonts w:hint="eastAsia"/>
                <w:color w:val="auto"/>
                <w:highlight w:val="none"/>
              </w:rPr>
              <w:t>）设备商必须通过</w:t>
            </w:r>
            <w:r>
              <w:rPr>
                <w:color w:val="auto"/>
                <w:highlight w:val="none"/>
              </w:rPr>
              <w:t>ISO9001:2000</w:t>
            </w:r>
            <w:r>
              <w:rPr>
                <w:rFonts w:hint="eastAsia"/>
                <w:color w:val="auto"/>
                <w:highlight w:val="none"/>
              </w:rPr>
              <w:t>系列质量体系认证；</w:t>
            </w:r>
          </w:p>
          <w:p>
            <w:pPr>
              <w:rPr>
                <w:color w:val="auto"/>
                <w:highlight w:val="none"/>
              </w:rPr>
            </w:pPr>
            <w:r>
              <w:rPr>
                <w:rFonts w:hint="eastAsia"/>
                <w:color w:val="auto"/>
                <w:highlight w:val="none"/>
              </w:rPr>
              <w:t>（</w:t>
            </w:r>
            <w:r>
              <w:rPr>
                <w:color w:val="auto"/>
                <w:highlight w:val="none"/>
              </w:rPr>
              <w:t>3</w:t>
            </w:r>
            <w:r>
              <w:rPr>
                <w:rFonts w:hint="eastAsia"/>
                <w:color w:val="auto"/>
                <w:highlight w:val="none"/>
              </w:rPr>
              <w:t>）设备商必须在深圳地区设有长期固定的售后服务及维修机构；</w:t>
            </w:r>
          </w:p>
          <w:p>
            <w:pPr>
              <w:rPr>
                <w:color w:val="auto"/>
                <w:highlight w:val="none"/>
              </w:rPr>
            </w:pPr>
          </w:p>
          <w:p>
            <w:pPr>
              <w:rPr>
                <w:color w:val="auto"/>
                <w:highlight w:val="none"/>
              </w:rPr>
            </w:pPr>
            <w:r>
              <w:rPr>
                <w:color w:val="auto"/>
                <w:highlight w:val="none"/>
              </w:rPr>
              <w:t>2.</w:t>
            </w:r>
            <w:r>
              <w:rPr>
                <w:rFonts w:hint="eastAsia"/>
                <w:color w:val="auto"/>
                <w:highlight w:val="none"/>
              </w:rPr>
              <w:t>技术要求</w:t>
            </w:r>
          </w:p>
          <w:p>
            <w:pPr>
              <w:rPr>
                <w:color w:val="auto"/>
                <w:highlight w:val="none"/>
              </w:rPr>
            </w:pPr>
            <w:r>
              <w:rPr>
                <w:rFonts w:hint="eastAsia"/>
                <w:color w:val="auto"/>
                <w:highlight w:val="none"/>
              </w:rPr>
              <w:t>（</w:t>
            </w:r>
            <w:r>
              <w:rPr>
                <w:color w:val="auto"/>
                <w:highlight w:val="none"/>
              </w:rPr>
              <w:t>1</w:t>
            </w:r>
            <w:r>
              <w:rPr>
                <w:rFonts w:hint="eastAsia"/>
                <w:color w:val="auto"/>
                <w:highlight w:val="none"/>
              </w:rPr>
              <w:t>）采用合资进口产品，并提供产品的国家级检测部门检测报告</w:t>
            </w:r>
            <w:r>
              <w:rPr>
                <w:color w:val="auto"/>
                <w:highlight w:val="none"/>
              </w:rPr>
              <w:t>,</w:t>
            </w:r>
            <w:r>
              <w:rPr>
                <w:rFonts w:hint="eastAsia"/>
                <w:color w:val="auto"/>
                <w:highlight w:val="none"/>
              </w:rPr>
              <w:t>风机应具有</w:t>
            </w:r>
            <w:r>
              <w:rPr>
                <w:color w:val="auto"/>
                <w:highlight w:val="none"/>
              </w:rPr>
              <w:t xml:space="preserve">AMCA </w:t>
            </w:r>
            <w:r>
              <w:rPr>
                <w:rFonts w:hint="eastAsia"/>
                <w:color w:val="auto"/>
                <w:highlight w:val="none"/>
              </w:rPr>
              <w:t>认证或采用与其标准接近的其它先进工业国家的标准生产；</w:t>
            </w:r>
          </w:p>
          <w:p>
            <w:pPr>
              <w:rPr>
                <w:color w:val="auto"/>
                <w:highlight w:val="none"/>
              </w:rPr>
            </w:pPr>
            <w:r>
              <w:rPr>
                <w:rFonts w:hint="eastAsia"/>
                <w:color w:val="auto"/>
                <w:highlight w:val="none"/>
              </w:rPr>
              <w:t>（</w:t>
            </w:r>
            <w:r>
              <w:rPr>
                <w:color w:val="auto"/>
                <w:highlight w:val="none"/>
              </w:rPr>
              <w:t>2</w:t>
            </w:r>
            <w:r>
              <w:rPr>
                <w:rFonts w:hint="eastAsia"/>
                <w:color w:val="auto"/>
                <w:highlight w:val="none"/>
              </w:rPr>
              <w:t>）符合设计及有关规范、标准要求；</w:t>
            </w:r>
          </w:p>
          <w:p>
            <w:pPr>
              <w:rPr>
                <w:color w:val="auto"/>
                <w:highlight w:val="none"/>
              </w:rPr>
            </w:pPr>
            <w:r>
              <w:rPr>
                <w:color w:val="auto"/>
                <w:highlight w:val="none"/>
              </w:rPr>
              <w:t>1</w:t>
            </w:r>
            <w:r>
              <w:rPr>
                <w:rFonts w:hint="eastAsia"/>
                <w:color w:val="auto"/>
                <w:highlight w:val="none"/>
              </w:rPr>
              <w:t>）每台风机须附有详细标明厂家的名称、设备的型号和编号及有关的技术数据等资料的标志铭牌；</w:t>
            </w:r>
          </w:p>
          <w:p>
            <w:pPr>
              <w:rPr>
                <w:color w:val="auto"/>
                <w:highlight w:val="none"/>
              </w:rPr>
            </w:pPr>
            <w:r>
              <w:rPr>
                <w:color w:val="auto"/>
                <w:highlight w:val="none"/>
              </w:rPr>
              <w:t>2</w:t>
            </w:r>
            <w:r>
              <w:rPr>
                <w:rFonts w:hint="eastAsia"/>
                <w:color w:val="auto"/>
                <w:highlight w:val="none"/>
              </w:rPr>
              <w:t>）提供风机示意图和</w:t>
            </w:r>
            <w:r>
              <w:rPr>
                <w:color w:val="auto"/>
                <w:highlight w:val="none"/>
              </w:rPr>
              <w:t>/</w:t>
            </w:r>
            <w:r>
              <w:rPr>
                <w:rFonts w:hint="eastAsia"/>
                <w:color w:val="auto"/>
                <w:highlight w:val="none"/>
              </w:rPr>
              <w:t>或参数表中应明确标示种类、型号、尺寸、安装方位及性能。</w:t>
            </w:r>
          </w:p>
          <w:p>
            <w:pPr>
              <w:rPr>
                <w:color w:val="auto"/>
                <w:highlight w:val="none"/>
              </w:rPr>
            </w:pPr>
            <w:r>
              <w:rPr>
                <w:color w:val="auto"/>
                <w:highlight w:val="none"/>
              </w:rPr>
              <w:t>3</w:t>
            </w:r>
            <w:r>
              <w:rPr>
                <w:rFonts w:hint="eastAsia"/>
                <w:color w:val="auto"/>
                <w:highlight w:val="none"/>
              </w:rPr>
              <w:t>）提供风机及其附件的完整样本及制造图、标明运行工况点的全风量性能曲线、噪音频谱特性。</w:t>
            </w:r>
          </w:p>
          <w:p>
            <w:pPr>
              <w:rPr>
                <w:color w:val="auto"/>
                <w:highlight w:val="none"/>
              </w:rPr>
            </w:pPr>
            <w:r>
              <w:rPr>
                <w:color w:val="auto"/>
                <w:highlight w:val="none"/>
              </w:rPr>
              <w:t>4</w:t>
            </w:r>
            <w:r>
              <w:rPr>
                <w:rFonts w:hint="eastAsia"/>
                <w:color w:val="auto"/>
                <w:highlight w:val="none"/>
              </w:rPr>
              <w:t>）风机所配用的电机应为名优品牌，不低于二级能效，供电条件为：</w:t>
            </w:r>
            <w:r>
              <w:rPr>
                <w:color w:val="auto"/>
                <w:highlight w:val="none"/>
              </w:rPr>
              <w:t>3</w:t>
            </w:r>
            <w:r>
              <w:rPr>
                <w:rFonts w:hint="eastAsia"/>
                <w:color w:val="auto"/>
                <w:highlight w:val="none"/>
              </w:rPr>
              <w:t>Φ</w:t>
            </w:r>
            <w:r>
              <w:rPr>
                <w:color w:val="auto"/>
                <w:highlight w:val="none"/>
              </w:rPr>
              <w:t>/380V/50HZ</w:t>
            </w:r>
            <w:r>
              <w:rPr>
                <w:rFonts w:hint="eastAsia"/>
                <w:color w:val="auto"/>
                <w:highlight w:val="none"/>
              </w:rPr>
              <w:t>或</w:t>
            </w:r>
            <w:r>
              <w:rPr>
                <w:color w:val="auto"/>
                <w:highlight w:val="none"/>
              </w:rPr>
              <w:t>1</w:t>
            </w:r>
            <w:r>
              <w:rPr>
                <w:rFonts w:hint="eastAsia"/>
                <w:color w:val="auto"/>
                <w:highlight w:val="none"/>
              </w:rPr>
              <w:t>Φ</w:t>
            </w:r>
            <w:r>
              <w:rPr>
                <w:color w:val="auto"/>
                <w:highlight w:val="none"/>
              </w:rPr>
              <w:t>/220V/50HZ</w:t>
            </w:r>
            <w:r>
              <w:rPr>
                <w:rFonts w:hint="eastAsia"/>
                <w:color w:val="auto"/>
                <w:highlight w:val="none"/>
              </w:rPr>
              <w:t>，允许电压偏差：</w:t>
            </w:r>
            <w:r>
              <w:rPr>
                <w:color w:val="auto"/>
                <w:highlight w:val="none"/>
              </w:rPr>
              <w:t>+6%</w:t>
            </w:r>
            <w:r>
              <w:rPr>
                <w:rFonts w:hint="eastAsia"/>
                <w:color w:val="auto"/>
                <w:highlight w:val="none"/>
              </w:rPr>
              <w:t>，转速：≤</w:t>
            </w:r>
            <w:r>
              <w:rPr>
                <w:color w:val="auto"/>
                <w:highlight w:val="none"/>
              </w:rPr>
              <w:t>1480rpm</w:t>
            </w:r>
            <w:r>
              <w:rPr>
                <w:rFonts w:hint="eastAsia"/>
                <w:color w:val="auto"/>
                <w:highlight w:val="none"/>
              </w:rPr>
              <w:t>，绝缘等级：</w:t>
            </w:r>
            <w:r>
              <w:rPr>
                <w:color w:val="auto"/>
                <w:highlight w:val="none"/>
              </w:rPr>
              <w:t>F</w:t>
            </w:r>
            <w:r>
              <w:rPr>
                <w:rFonts w:hint="eastAsia"/>
                <w:color w:val="auto"/>
                <w:highlight w:val="none"/>
              </w:rPr>
              <w:t>级</w:t>
            </w:r>
            <w:r>
              <w:rPr>
                <w:color w:val="auto"/>
                <w:highlight w:val="none"/>
              </w:rPr>
              <w:t xml:space="preserve">, </w:t>
            </w:r>
            <w:r>
              <w:rPr>
                <w:rFonts w:hint="eastAsia"/>
                <w:color w:val="auto"/>
                <w:highlight w:val="none"/>
              </w:rPr>
              <w:t>防护等级：</w:t>
            </w:r>
            <w:r>
              <w:rPr>
                <w:color w:val="auto"/>
                <w:highlight w:val="none"/>
              </w:rPr>
              <w:t>IP55</w:t>
            </w:r>
            <w:r>
              <w:rPr>
                <w:rFonts w:hint="eastAsia"/>
                <w:color w:val="auto"/>
                <w:highlight w:val="none"/>
              </w:rPr>
              <w:t>。</w:t>
            </w:r>
          </w:p>
          <w:p>
            <w:pPr>
              <w:rPr>
                <w:color w:val="auto"/>
                <w:highlight w:val="none"/>
              </w:rPr>
            </w:pPr>
            <w:r>
              <w:rPr>
                <w:color w:val="auto"/>
                <w:highlight w:val="none"/>
              </w:rPr>
              <w:t>5</w:t>
            </w:r>
            <w:r>
              <w:rPr>
                <w:rFonts w:hint="eastAsia"/>
                <w:color w:val="auto"/>
                <w:highlight w:val="none"/>
              </w:rPr>
              <w:t>）风机及传动装置应具有良好的接地措施以避免静电累积。</w:t>
            </w:r>
          </w:p>
          <w:p>
            <w:pPr>
              <w:rPr>
                <w:color w:val="auto"/>
                <w:highlight w:val="none"/>
              </w:rPr>
            </w:pPr>
          </w:p>
        </w:tc>
      </w:tr>
    </w:tbl>
    <w:p>
      <w:pPr>
        <w:rPr>
          <w:color w:val="auto"/>
          <w:highlight w:val="none"/>
        </w:rPr>
      </w:pPr>
      <w:r>
        <w:rPr>
          <w:rFonts w:hint="eastAsia"/>
          <w:color w:val="auto"/>
          <w:highlight w:val="none"/>
        </w:rPr>
        <w:t>说明：</w:t>
      </w:r>
    </w:p>
    <w:p>
      <w:pPr>
        <w:rPr>
          <w:color w:val="auto"/>
          <w:highlight w:val="none"/>
        </w:rPr>
      </w:pPr>
      <w:r>
        <w:rPr>
          <w:color w:val="auto"/>
          <w:highlight w:val="none"/>
        </w:rPr>
        <w:t>1</w:t>
      </w:r>
      <w:r>
        <w:rPr>
          <w:rFonts w:hint="eastAsia"/>
          <w:color w:val="auto"/>
          <w:highlight w:val="none"/>
        </w:rPr>
        <w:t>、上表中技术要求中某些产品规格与品牌不符的应以品牌为准。产品的技术要求以设计图纸要求为准。</w:t>
      </w:r>
    </w:p>
    <w:p>
      <w:pPr>
        <w:rPr>
          <w:color w:val="auto"/>
          <w:highlight w:val="none"/>
        </w:rPr>
      </w:pPr>
      <w:r>
        <w:rPr>
          <w:color w:val="auto"/>
          <w:highlight w:val="none"/>
        </w:rPr>
        <w:t>2</w:t>
      </w:r>
      <w:r>
        <w:rPr>
          <w:rFonts w:hint="eastAsia"/>
          <w:color w:val="auto"/>
          <w:highlight w:val="none"/>
        </w:rPr>
        <w:t>、上表中材料设备须从现行的发包人材料设备参考品牌库中选择。</w:t>
      </w:r>
    </w:p>
    <w:p>
      <w:pPr>
        <w:widowControl/>
        <w:jc w:val="left"/>
        <w:rPr>
          <w:rFonts w:ascii="Times New Roman" w:hAnsi="Times New Roman"/>
          <w:color w:val="auto"/>
          <w:sz w:val="44"/>
          <w:szCs w:val="24"/>
          <w:highlight w:val="none"/>
        </w:rPr>
      </w:pPr>
      <w:bookmarkStart w:id="8019" w:name="_Toc505345795"/>
      <w:r>
        <w:rPr>
          <w:color w:val="auto"/>
          <w:highlight w:val="none"/>
        </w:rPr>
        <w:br w:type="page"/>
      </w:r>
    </w:p>
    <w:p>
      <w:pPr>
        <w:widowControl/>
        <w:jc w:val="left"/>
        <w:rPr>
          <w:color w:val="auto"/>
          <w:highlight w:val="none"/>
        </w:rPr>
      </w:pPr>
    </w:p>
    <w:p>
      <w:pPr>
        <w:widowControl/>
        <w:jc w:val="left"/>
        <w:rPr>
          <w:color w:val="auto"/>
          <w:highlight w:val="none"/>
        </w:rPr>
      </w:pPr>
    </w:p>
    <w:p>
      <w:pPr>
        <w:widowControl/>
        <w:jc w:val="left"/>
        <w:rPr>
          <w:color w:val="auto"/>
          <w:highlight w:val="none"/>
        </w:rPr>
      </w:pPr>
    </w:p>
    <w:p>
      <w:pPr>
        <w:widowControl/>
        <w:jc w:val="left"/>
        <w:rPr>
          <w:color w:val="auto"/>
          <w:highlight w:val="none"/>
        </w:rPr>
      </w:pPr>
    </w:p>
    <w:p>
      <w:pPr>
        <w:widowControl/>
        <w:jc w:val="left"/>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2"/>
        <w:outlineLvl w:val="0"/>
        <w:rPr>
          <w:color w:val="auto"/>
          <w:highlight w:val="none"/>
        </w:rPr>
      </w:pPr>
      <w:bookmarkStart w:id="8020" w:name="_Toc66890477"/>
      <w:bookmarkStart w:id="8021" w:name="_Toc66634482"/>
      <w:bookmarkStart w:id="8022" w:name="_Toc69114223"/>
      <w:r>
        <w:rPr>
          <w:rFonts w:hint="eastAsia"/>
          <w:color w:val="auto"/>
          <w:highlight w:val="none"/>
        </w:rPr>
        <w:t>第六部分</w:t>
      </w:r>
      <w:r>
        <w:rPr>
          <w:color w:val="auto"/>
          <w:highlight w:val="none"/>
        </w:rPr>
        <w:t xml:space="preserve">  </w:t>
      </w:r>
      <w:r>
        <w:rPr>
          <w:rFonts w:hint="eastAsia"/>
          <w:color w:val="auto"/>
          <w:highlight w:val="none"/>
        </w:rPr>
        <w:t>消防工程技术要求</w:t>
      </w:r>
      <w:bookmarkEnd w:id="8019"/>
      <w:bookmarkEnd w:id="8020"/>
      <w:bookmarkEnd w:id="8021"/>
      <w:bookmarkEnd w:id="8022"/>
    </w:p>
    <w:p>
      <w:pPr>
        <w:widowControl/>
        <w:jc w:val="left"/>
        <w:rPr>
          <w:rFonts w:ascii="黑体" w:hAnsi="黑体" w:eastAsia="黑体"/>
          <w:b/>
          <w:color w:val="auto"/>
          <w:sz w:val="32"/>
          <w:szCs w:val="32"/>
          <w:highlight w:val="none"/>
        </w:rPr>
      </w:pPr>
      <w:bookmarkStart w:id="8023" w:name="_Toc505345796"/>
      <w:r>
        <w:rPr>
          <w:color w:val="auto"/>
          <w:highlight w:val="none"/>
        </w:rPr>
        <w:br w:type="page"/>
      </w:r>
    </w:p>
    <w:p>
      <w:pPr>
        <w:pStyle w:val="188"/>
        <w:spacing w:before="120" w:after="120"/>
        <w:outlineLvl w:val="1"/>
        <w:rPr>
          <w:color w:val="auto"/>
          <w:highlight w:val="none"/>
        </w:rPr>
      </w:pPr>
      <w:bookmarkStart w:id="8024" w:name="_Toc66890478"/>
      <w:bookmarkStart w:id="8025" w:name="_Toc69114224"/>
      <w:bookmarkStart w:id="8026" w:name="_Toc66634483"/>
      <w:r>
        <w:rPr>
          <w:rFonts w:hint="eastAsia"/>
          <w:color w:val="auto"/>
          <w:highlight w:val="none"/>
        </w:rPr>
        <w:t>第</w:t>
      </w:r>
      <w:r>
        <w:rPr>
          <w:color w:val="auto"/>
          <w:highlight w:val="none"/>
        </w:rPr>
        <w:t>1</w:t>
      </w:r>
      <w:r>
        <w:rPr>
          <w:rFonts w:hint="eastAsia"/>
          <w:color w:val="auto"/>
          <w:highlight w:val="none"/>
        </w:rPr>
        <w:t>章</w:t>
      </w:r>
      <w:r>
        <w:rPr>
          <w:color w:val="auto"/>
          <w:highlight w:val="none"/>
        </w:rPr>
        <w:t xml:space="preserve">  </w:t>
      </w:r>
      <w:r>
        <w:rPr>
          <w:rFonts w:hint="eastAsia"/>
          <w:color w:val="auto"/>
          <w:highlight w:val="none"/>
        </w:rPr>
        <w:t>消防系统</w:t>
      </w:r>
      <w:bookmarkEnd w:id="8023"/>
      <w:bookmarkEnd w:id="8024"/>
      <w:bookmarkEnd w:id="8025"/>
      <w:bookmarkEnd w:id="8026"/>
    </w:p>
    <w:p>
      <w:pPr>
        <w:pStyle w:val="113"/>
        <w:spacing w:before="120" w:after="120"/>
        <w:outlineLvl w:val="2"/>
        <w:rPr>
          <w:color w:val="auto"/>
          <w:highlight w:val="none"/>
        </w:rPr>
      </w:pPr>
      <w:bookmarkStart w:id="8027" w:name="_Toc505345797"/>
      <w:bookmarkStart w:id="8028" w:name="_Toc66634484"/>
      <w:bookmarkStart w:id="8029" w:name="_Toc69114225"/>
      <w:bookmarkStart w:id="8030" w:name="_Toc66890479"/>
      <w:r>
        <w:rPr>
          <w:color w:val="auto"/>
          <w:highlight w:val="none"/>
        </w:rPr>
        <w:t xml:space="preserve">1.1 </w:t>
      </w:r>
      <w:r>
        <w:rPr>
          <w:rFonts w:hint="eastAsia"/>
          <w:color w:val="auto"/>
          <w:highlight w:val="none"/>
        </w:rPr>
        <w:t>消防水系统</w:t>
      </w:r>
      <w:bookmarkEnd w:id="8027"/>
      <w:bookmarkEnd w:id="8028"/>
      <w:bookmarkEnd w:id="8029"/>
      <w:bookmarkEnd w:id="8030"/>
    </w:p>
    <w:p>
      <w:pPr>
        <w:pStyle w:val="172"/>
        <w:rPr>
          <w:color w:val="auto"/>
          <w:highlight w:val="none"/>
        </w:rPr>
      </w:pPr>
      <w:r>
        <w:rPr>
          <w:color w:val="auto"/>
          <w:highlight w:val="none"/>
        </w:rPr>
        <w:t xml:space="preserve">1.1.1 </w:t>
      </w:r>
      <w:r>
        <w:rPr>
          <w:rFonts w:hint="eastAsia"/>
          <w:color w:val="auto"/>
          <w:highlight w:val="none"/>
        </w:rPr>
        <w:t>设计简介</w:t>
      </w:r>
    </w:p>
    <w:p>
      <w:pPr>
        <w:pStyle w:val="217"/>
        <w:rPr>
          <w:color w:val="auto"/>
          <w:highlight w:val="none"/>
        </w:rPr>
      </w:pPr>
      <w:r>
        <w:rPr>
          <w:color w:val="auto"/>
          <w:highlight w:val="none"/>
        </w:rPr>
        <w:t>1.</w:t>
      </w:r>
      <w:r>
        <w:rPr>
          <w:rFonts w:hint="eastAsia"/>
          <w:color w:val="auto"/>
          <w:highlight w:val="none"/>
        </w:rPr>
        <w:t>本标段内建筑属一类建筑，消防电源的负荷等级为一级。电源为采用双路独立</w:t>
      </w:r>
      <w:r>
        <w:rPr>
          <w:color w:val="auto"/>
          <w:highlight w:val="none"/>
        </w:rPr>
        <w:t>10 kV</w:t>
      </w:r>
      <w:r>
        <w:rPr>
          <w:rFonts w:hint="eastAsia"/>
          <w:color w:val="auto"/>
          <w:highlight w:val="none"/>
        </w:rPr>
        <w:t>电源供电，互为备用。并设置一台自备自启动柴油发电机。火警系统配置</w:t>
      </w:r>
      <w:r>
        <w:rPr>
          <w:color w:val="auto"/>
          <w:highlight w:val="none"/>
        </w:rPr>
        <w:t>UPS</w:t>
      </w:r>
      <w:r>
        <w:rPr>
          <w:rFonts w:hint="eastAsia"/>
          <w:color w:val="auto"/>
          <w:highlight w:val="none"/>
        </w:rPr>
        <w:t>电源。</w:t>
      </w:r>
    </w:p>
    <w:p>
      <w:pPr>
        <w:pStyle w:val="217"/>
        <w:rPr>
          <w:color w:val="auto"/>
          <w:highlight w:val="none"/>
        </w:rPr>
      </w:pPr>
      <w:r>
        <w:rPr>
          <w:color w:val="auto"/>
          <w:highlight w:val="none"/>
        </w:rPr>
        <w:t>2.</w:t>
      </w:r>
      <w:r>
        <w:rPr>
          <w:rFonts w:hint="eastAsia"/>
          <w:color w:val="auto"/>
          <w:highlight w:val="none"/>
        </w:rPr>
        <w:t>消防控制室、消防水泵房、防烟和排烟风机房的消防用电设备及消防电梯、应急照明（按防火分区）等的配电，在其配电线路的最末一级配电箱处设置自动切换装置。</w:t>
      </w:r>
    </w:p>
    <w:p>
      <w:pPr>
        <w:pStyle w:val="217"/>
        <w:rPr>
          <w:color w:val="auto"/>
          <w:highlight w:val="none"/>
        </w:rPr>
      </w:pPr>
      <w:r>
        <w:rPr>
          <w:color w:val="auto"/>
          <w:highlight w:val="none"/>
        </w:rPr>
        <w:t>3.</w:t>
      </w:r>
      <w:r>
        <w:rPr>
          <w:rFonts w:hint="eastAsia"/>
          <w:color w:val="auto"/>
          <w:highlight w:val="none"/>
        </w:rPr>
        <w:t>设置控制中心型报警系统，设计采用分布智能型火灾自动报警系统，各报警主机之间联网，从而实现跨控制器联动。</w:t>
      </w:r>
    </w:p>
    <w:p>
      <w:pPr>
        <w:pStyle w:val="172"/>
        <w:rPr>
          <w:color w:val="auto"/>
          <w:highlight w:val="none"/>
        </w:rPr>
      </w:pPr>
      <w:r>
        <w:rPr>
          <w:color w:val="auto"/>
          <w:highlight w:val="none"/>
        </w:rPr>
        <w:t xml:space="preserve">1.1.2 </w:t>
      </w:r>
      <w:r>
        <w:rPr>
          <w:rFonts w:hint="eastAsia"/>
          <w:color w:val="auto"/>
          <w:highlight w:val="none"/>
        </w:rPr>
        <w:t>技术要求</w:t>
      </w:r>
    </w:p>
    <w:p>
      <w:pPr>
        <w:pStyle w:val="119"/>
        <w:rPr>
          <w:color w:val="auto"/>
          <w:highlight w:val="none"/>
        </w:rPr>
      </w:pPr>
      <w:r>
        <w:rPr>
          <w:color w:val="auto"/>
          <w:highlight w:val="none"/>
        </w:rPr>
        <w:t xml:space="preserve">1.1.2.1 </w:t>
      </w:r>
      <w:r>
        <w:rPr>
          <w:rFonts w:hint="eastAsia"/>
          <w:color w:val="auto"/>
          <w:highlight w:val="none"/>
        </w:rPr>
        <w:t>阀门与配件</w:t>
      </w:r>
    </w:p>
    <w:p>
      <w:pPr>
        <w:pStyle w:val="217"/>
        <w:rPr>
          <w:color w:val="auto"/>
          <w:highlight w:val="none"/>
        </w:rPr>
      </w:pPr>
      <w:r>
        <w:rPr>
          <w:rFonts w:hint="eastAsia"/>
          <w:color w:val="auto"/>
          <w:highlight w:val="none"/>
        </w:rPr>
        <w:t>本节说明阀门与配件在管道工程的规格、安装及调试所需的各项技术要求。</w:t>
      </w:r>
    </w:p>
    <w:p>
      <w:pPr>
        <w:pStyle w:val="217"/>
        <w:rPr>
          <w:color w:val="auto"/>
          <w:highlight w:val="none"/>
        </w:rPr>
      </w:pPr>
      <w:r>
        <w:rPr>
          <w:color w:val="auto"/>
          <w:highlight w:val="none"/>
        </w:rPr>
        <w:t>1.</w:t>
      </w:r>
      <w:r>
        <w:rPr>
          <w:rFonts w:hint="eastAsia"/>
          <w:color w:val="auto"/>
          <w:highlight w:val="none"/>
        </w:rPr>
        <w:t>基本规定</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）所有送抵工地的阀门均应是蔟新的，并有标示以利辨别其等级。</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）在运送、储存及安装阀门与配件的过程中须给予适当的保护，以防异物进入系统内。</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）阀门的设置要提供足够的维修间距，并应在进行测试压力情况下无渗漏现象。</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）所有阀门的制造厂名或牌子、编号及保证能达到工作压力等技术参数，须铸于阀体或阀盖上。所有阀门应有明显的启闭标志。除特别用途之外，同一品种阀门应由同一供应商提供。</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）阀门应配合各系统的工作压力。闸阀、蝶阀及球阀应适合受压力情况下进行维修。不论安装于任何系统，阀门的额定工作压力不能小于</w:t>
      </w:r>
      <w:r>
        <w:rPr>
          <w:color w:val="auto"/>
          <w:highlight w:val="none"/>
        </w:rPr>
        <w:t>1MPa</w:t>
      </w:r>
      <w:r>
        <w:rPr>
          <w:rFonts w:hint="eastAsia"/>
          <w:color w:val="auto"/>
          <w:highlight w:val="none"/>
        </w:rPr>
        <w:t>。其他更高要求按系统需要而定。当系统工作压力不大于</w:t>
      </w:r>
      <w:r>
        <w:rPr>
          <w:color w:val="auto"/>
          <w:highlight w:val="none"/>
        </w:rPr>
        <w:t>1.4Mpa</w:t>
      </w:r>
      <w:r>
        <w:rPr>
          <w:rFonts w:hint="eastAsia"/>
          <w:color w:val="auto"/>
          <w:highlight w:val="none"/>
        </w:rPr>
        <w:t>时</w:t>
      </w:r>
      <w:r>
        <w:rPr>
          <w:color w:val="auto"/>
          <w:highlight w:val="none"/>
        </w:rPr>
        <w:t>,</w:t>
      </w:r>
      <w:r>
        <w:rPr>
          <w:rFonts w:hint="eastAsia"/>
          <w:color w:val="auto"/>
          <w:highlight w:val="none"/>
        </w:rPr>
        <w:t>所提供的阀门其额定工作压力必须大于系统工作压力最小</w:t>
      </w:r>
      <w:r>
        <w:rPr>
          <w:color w:val="auto"/>
          <w:highlight w:val="none"/>
        </w:rPr>
        <w:t>0.2MPa</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）阀门的接驳：按管道接口的要求提供阀门，直径须与管径相同；</w:t>
      </w:r>
    </w:p>
    <w:p>
      <w:pPr>
        <w:pStyle w:val="217"/>
        <w:rPr>
          <w:color w:val="auto"/>
          <w:highlight w:val="none"/>
        </w:rPr>
      </w:pPr>
      <w:r>
        <w:rPr>
          <w:color w:val="auto"/>
          <w:highlight w:val="none"/>
        </w:rPr>
        <w:t>2.</w:t>
      </w:r>
      <w:r>
        <w:rPr>
          <w:rFonts w:hint="eastAsia"/>
          <w:color w:val="auto"/>
          <w:highlight w:val="none"/>
        </w:rPr>
        <w:t>安装</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）阀门安装前应按规范要求作强度和严密性试验。安装在主干管上起切断作用的闭路阀门，应逐个作强度和严密性试验。</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）阀门的强度和严密性试验，应符合以下规定：阀门的强度试验压力为公称压力的</w:t>
      </w:r>
      <w:r>
        <w:rPr>
          <w:color w:val="auto"/>
          <w:highlight w:val="none"/>
        </w:rPr>
        <w:t>1.5</w:t>
      </w:r>
      <w:r>
        <w:rPr>
          <w:rFonts w:hint="eastAsia"/>
          <w:color w:val="auto"/>
          <w:highlight w:val="none"/>
        </w:rPr>
        <w:t>倍；严密性试验压力为公称压力的</w:t>
      </w:r>
      <w:r>
        <w:rPr>
          <w:color w:val="auto"/>
          <w:highlight w:val="none"/>
        </w:rPr>
        <w:t>1.1</w:t>
      </w:r>
      <w:r>
        <w:rPr>
          <w:rFonts w:hint="eastAsia"/>
          <w:color w:val="auto"/>
          <w:highlight w:val="none"/>
        </w:rPr>
        <w:t>倍；试验压力在试验持续时间内应保持不变，且壳体填料及阀瓣密封面无渗漏。阀门试压的试验持续时间应按</w:t>
      </w:r>
      <w:r>
        <w:rPr>
          <w:color w:val="auto"/>
          <w:highlight w:val="none"/>
        </w:rPr>
        <w:t>GB50242-2002</w:t>
      </w:r>
      <w:r>
        <w:rPr>
          <w:rFonts w:hint="eastAsia"/>
          <w:color w:val="auto"/>
          <w:highlight w:val="none"/>
        </w:rPr>
        <w:t>执行。</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）阀门的设置要有足够的维修间距。安装阀门须使阀杆向上或水平，但不可向下。</w:t>
      </w:r>
    </w:p>
    <w:p>
      <w:pPr>
        <w:pStyle w:val="119"/>
        <w:rPr>
          <w:color w:val="auto"/>
          <w:highlight w:val="none"/>
        </w:rPr>
      </w:pPr>
      <w:r>
        <w:rPr>
          <w:color w:val="auto"/>
          <w:highlight w:val="none"/>
        </w:rPr>
        <w:t xml:space="preserve">1.1.2.2 </w:t>
      </w:r>
      <w:r>
        <w:rPr>
          <w:rFonts w:hint="eastAsia"/>
          <w:color w:val="auto"/>
          <w:highlight w:val="none"/>
        </w:rPr>
        <w:t>水泵</w:t>
      </w:r>
    </w:p>
    <w:p>
      <w:pPr>
        <w:pStyle w:val="217"/>
        <w:rPr>
          <w:color w:val="auto"/>
          <w:highlight w:val="none"/>
        </w:rPr>
      </w:pPr>
      <w:r>
        <w:rPr>
          <w:rFonts w:hint="eastAsia"/>
          <w:color w:val="auto"/>
          <w:highlight w:val="none"/>
        </w:rPr>
        <w:t>本节说明有关水泵安装所需的各项技术要求。</w:t>
      </w:r>
    </w:p>
    <w:p>
      <w:pPr>
        <w:pStyle w:val="217"/>
        <w:rPr>
          <w:color w:val="auto"/>
          <w:highlight w:val="none"/>
        </w:rPr>
      </w:pPr>
      <w:r>
        <w:rPr>
          <w:color w:val="auto"/>
          <w:highlight w:val="none"/>
        </w:rPr>
        <w:t>1.</w:t>
      </w:r>
      <w:r>
        <w:rPr>
          <w:rFonts w:hint="eastAsia"/>
          <w:color w:val="auto"/>
          <w:highlight w:val="none"/>
        </w:rPr>
        <w:t>基本规定</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）承包人须按设计提供的设备表内所标注的技术参数、数量及类别提供合适的水泵。承包人还应按工程实际核对设计提供的技术参数，并把核对后的技术参数及时返馈给业主</w:t>
      </w:r>
      <w:r>
        <w:rPr>
          <w:color w:val="auto"/>
          <w:highlight w:val="none"/>
        </w:rPr>
        <w:t>/</w:t>
      </w:r>
      <w:r>
        <w:rPr>
          <w:rFonts w:hint="eastAsia"/>
          <w:color w:val="auto"/>
          <w:highlight w:val="none"/>
        </w:rPr>
        <w:t>监理工程师。</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）承包人在安装前应仔细阅读设备的安装说明。在储存及安装时采取正确地保护措施，以避免水泵因碰撞及锈蚀而受到损坏。所有受损坏的设备将不被接受。</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）每台水泵应附有原厂的标签，详细列明设备系列、型号、编号、制造商名称、技术参数及生产日期等资料。并应有完整的、中文标识的原厂产品说明书、操作及维护说明书。</w:t>
      </w:r>
    </w:p>
    <w:p>
      <w:pPr>
        <w:pStyle w:val="217"/>
        <w:rPr>
          <w:color w:val="auto"/>
          <w:highlight w:val="none"/>
        </w:rPr>
      </w:pPr>
      <w:r>
        <w:rPr>
          <w:color w:val="auto"/>
          <w:highlight w:val="none"/>
        </w:rPr>
        <w:t>2.</w:t>
      </w:r>
      <w:r>
        <w:rPr>
          <w:rFonts w:hint="eastAsia"/>
          <w:color w:val="auto"/>
          <w:highlight w:val="none"/>
        </w:rPr>
        <w:t>安装要求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）每台水泵应配备排气阀、排水阀、旋塞和压力表。压力表直径为</w:t>
      </w:r>
      <w:r>
        <w:rPr>
          <w:color w:val="auto"/>
          <w:highlight w:val="none"/>
        </w:rPr>
        <w:t>100</w:t>
      </w:r>
      <w:r>
        <w:rPr>
          <w:rFonts w:hint="eastAsia"/>
          <w:color w:val="auto"/>
          <w:highlight w:val="none"/>
        </w:rPr>
        <w:t>毫米，其构造应为黑色搪瓷铁壳、带有厚玻璃的螺纹镀铬铜环、青铜弹簧管、精密机件和测微调整，并装设有脉动缓冲器、铜管配件和针状点球型阻断开关。适用于不小于</w:t>
      </w:r>
      <w:r>
        <w:rPr>
          <w:color w:val="auto"/>
          <w:highlight w:val="none"/>
        </w:rPr>
        <w:t>1Mpa</w:t>
      </w:r>
      <w:r>
        <w:rPr>
          <w:rFonts w:hint="eastAsia"/>
          <w:color w:val="auto"/>
          <w:highlight w:val="none"/>
        </w:rPr>
        <w:t>的工作压力。</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）混凝土基座和台座由总承包人负责建造，但承包人应于建造前提供技术详图和台架框架资料给业主</w:t>
      </w:r>
      <w:r>
        <w:rPr>
          <w:color w:val="auto"/>
          <w:highlight w:val="none"/>
        </w:rPr>
        <w:t>/</w:t>
      </w:r>
      <w:r>
        <w:rPr>
          <w:rFonts w:hint="eastAsia"/>
          <w:color w:val="auto"/>
          <w:highlight w:val="none"/>
        </w:rPr>
        <w:t>监理工程师审批，经审批后提供给总承包人。</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）基座高度应根据水泵生产商按强度和质量要求而建议的数据，并配合水泵吸水管接驳储水池出水口的高度。但基座高度不得少于</w:t>
      </w:r>
      <w:r>
        <w:rPr>
          <w:color w:val="auto"/>
          <w:highlight w:val="none"/>
        </w:rPr>
        <w:t>150</w:t>
      </w:r>
      <w:r>
        <w:rPr>
          <w:rFonts w:hint="eastAsia"/>
          <w:color w:val="auto"/>
          <w:highlight w:val="none"/>
        </w:rPr>
        <w:t>毫米。</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）水泵压盖密封的滴漏应用漏斗接载，并用聚氯乙烯管排放至最近的地漏或排水沟。</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）连接水泵入</w:t>
      </w:r>
      <w:r>
        <w:rPr>
          <w:color w:val="auto"/>
          <w:highlight w:val="none"/>
        </w:rPr>
        <w:t>/</w:t>
      </w:r>
      <w:r>
        <w:rPr>
          <w:rFonts w:hint="eastAsia"/>
          <w:color w:val="auto"/>
          <w:highlight w:val="none"/>
        </w:rPr>
        <w:t>出口处，需安装长半径渐缩管。在邻近水泵的管道上需安装支架，以防泵壳承受重量。</w:t>
      </w:r>
    </w:p>
    <w:p>
      <w:pPr>
        <w:pStyle w:val="217"/>
        <w:rPr>
          <w:color w:val="auto"/>
          <w:highlight w:val="none"/>
        </w:rPr>
      </w:pPr>
      <w:r>
        <w:rPr>
          <w:color w:val="auto"/>
          <w:highlight w:val="none"/>
        </w:rPr>
        <w:t>3.</w:t>
      </w:r>
      <w:r>
        <w:rPr>
          <w:rFonts w:hint="eastAsia"/>
          <w:color w:val="auto"/>
          <w:highlight w:val="none"/>
        </w:rPr>
        <w:t>测试</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）水泵安装完成后进行调试工作，此工作须有水泵供应商、业主、监理等有关人员在场时方可进行。</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）水泵应按实际操作条件进行测试以验证其功能符合本工程要求。检查所有线路的接驳及导电性能。测试所有继电器及逻辑控制的性能。</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）过量的震动或噪音须即时进行整改，或更换损坏部件并重新测试。</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）联同自动控制供应商代表测试自动控制系统，作出必要的调整以保证提供正确的控制系统。</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）水泵和电机之间须进行直线测试，以检查轴心有否偏移。</w:t>
      </w:r>
    </w:p>
    <w:p>
      <w:pPr>
        <w:pStyle w:val="113"/>
        <w:spacing w:before="120" w:after="120"/>
        <w:outlineLvl w:val="2"/>
        <w:rPr>
          <w:color w:val="auto"/>
          <w:highlight w:val="none"/>
        </w:rPr>
      </w:pPr>
      <w:bookmarkStart w:id="8031" w:name="_Toc505345798"/>
      <w:bookmarkStart w:id="8032" w:name="_Toc66890480"/>
      <w:bookmarkStart w:id="8033" w:name="_Toc66634485"/>
      <w:bookmarkStart w:id="8034" w:name="_Toc69114226"/>
      <w:r>
        <w:rPr>
          <w:color w:val="auto"/>
          <w:highlight w:val="none"/>
        </w:rPr>
        <w:t xml:space="preserve">1.2 </w:t>
      </w:r>
      <w:r>
        <w:rPr>
          <w:rFonts w:hint="eastAsia"/>
          <w:color w:val="auto"/>
          <w:highlight w:val="none"/>
        </w:rPr>
        <w:t>气体灭火系统</w:t>
      </w:r>
      <w:bookmarkEnd w:id="8031"/>
      <w:bookmarkEnd w:id="8032"/>
      <w:bookmarkEnd w:id="8033"/>
      <w:bookmarkEnd w:id="8034"/>
    </w:p>
    <w:p>
      <w:pPr>
        <w:pStyle w:val="172"/>
        <w:rPr>
          <w:color w:val="auto"/>
          <w:highlight w:val="none"/>
        </w:rPr>
      </w:pPr>
      <w:r>
        <w:rPr>
          <w:color w:val="auto"/>
          <w:highlight w:val="none"/>
        </w:rPr>
        <w:t xml:space="preserve">1.2.1 </w:t>
      </w:r>
      <w:r>
        <w:rPr>
          <w:rFonts w:hint="eastAsia"/>
          <w:color w:val="auto"/>
          <w:highlight w:val="none"/>
        </w:rPr>
        <w:t>一般要求</w:t>
      </w:r>
    </w:p>
    <w:p>
      <w:pPr>
        <w:pStyle w:val="217"/>
        <w:rPr>
          <w:color w:val="auto"/>
          <w:highlight w:val="none"/>
        </w:rPr>
      </w:pPr>
      <w:r>
        <w:rPr>
          <w:rFonts w:hint="eastAsia"/>
          <w:color w:val="auto"/>
          <w:highlight w:val="none"/>
        </w:rPr>
        <w:t>承包人按设计图纸及相关现行规范要求完成本工程气体灭火系统的设计、供货、施工安装、调试、试运行、成品保护、工程验收交付使用及质保期技术服务工作，并按上述顺序提交所需的资料。</w:t>
      </w:r>
    </w:p>
    <w:p>
      <w:pPr>
        <w:pStyle w:val="172"/>
        <w:rPr>
          <w:color w:val="auto"/>
          <w:highlight w:val="none"/>
        </w:rPr>
      </w:pPr>
      <w:r>
        <w:rPr>
          <w:color w:val="auto"/>
          <w:highlight w:val="none"/>
        </w:rPr>
        <w:t xml:space="preserve">1.2.2 </w:t>
      </w:r>
      <w:r>
        <w:rPr>
          <w:rFonts w:hint="eastAsia"/>
          <w:color w:val="auto"/>
          <w:highlight w:val="none"/>
        </w:rPr>
        <w:t>产品要求</w:t>
      </w:r>
    </w:p>
    <w:p>
      <w:pPr>
        <w:pStyle w:val="217"/>
        <w:rPr>
          <w:color w:val="auto"/>
          <w:highlight w:val="none"/>
        </w:rPr>
      </w:pPr>
      <w:r>
        <w:rPr>
          <w:color w:val="auto"/>
          <w:highlight w:val="none"/>
        </w:rPr>
        <w:t>1.</w:t>
      </w:r>
      <w:r>
        <w:rPr>
          <w:rFonts w:hint="eastAsia"/>
          <w:color w:val="auto"/>
          <w:highlight w:val="none"/>
        </w:rPr>
        <w:t>业主保留对投标人的供货能力及质量受到置疑时，将投标人供货改为甲供的权</w:t>
      </w:r>
    </w:p>
    <w:p>
      <w:pPr>
        <w:pStyle w:val="217"/>
        <w:rPr>
          <w:color w:val="auto"/>
          <w:highlight w:val="none"/>
        </w:rPr>
      </w:pPr>
      <w:r>
        <w:rPr>
          <w:color w:val="auto"/>
          <w:highlight w:val="none"/>
        </w:rPr>
        <w:t>2.</w:t>
      </w:r>
      <w:r>
        <w:rPr>
          <w:rFonts w:hint="eastAsia"/>
          <w:color w:val="auto"/>
          <w:highlight w:val="none"/>
        </w:rPr>
        <w:t>投标人投标产品设备应负责通过深圳市公安消防局的消防产品审批。</w:t>
      </w:r>
    </w:p>
    <w:p>
      <w:pPr>
        <w:pStyle w:val="217"/>
        <w:rPr>
          <w:color w:val="auto"/>
          <w:highlight w:val="none"/>
        </w:rPr>
      </w:pPr>
      <w:r>
        <w:rPr>
          <w:color w:val="auto"/>
          <w:highlight w:val="none"/>
        </w:rPr>
        <w:t>3.</w:t>
      </w:r>
      <w:r>
        <w:rPr>
          <w:rFonts w:hint="eastAsia"/>
          <w:color w:val="auto"/>
          <w:highlight w:val="none"/>
        </w:rPr>
        <w:t>投标人应按照设计材料设备清单及工期计划组织供货，提出供货计划。</w:t>
      </w:r>
    </w:p>
    <w:p>
      <w:pPr>
        <w:pStyle w:val="217"/>
        <w:rPr>
          <w:color w:val="auto"/>
          <w:highlight w:val="none"/>
        </w:rPr>
      </w:pPr>
      <w:r>
        <w:rPr>
          <w:color w:val="auto"/>
          <w:highlight w:val="none"/>
        </w:rPr>
        <w:t>4.</w:t>
      </w:r>
      <w:r>
        <w:rPr>
          <w:rFonts w:hint="eastAsia"/>
          <w:color w:val="auto"/>
          <w:highlight w:val="none"/>
        </w:rPr>
        <w:t>投标人提供产品的生产厂家须通过</w:t>
      </w:r>
      <w:r>
        <w:rPr>
          <w:color w:val="auto"/>
          <w:highlight w:val="none"/>
        </w:rPr>
        <w:t>GB/T19001-2008</w:t>
      </w:r>
      <w:r>
        <w:rPr>
          <w:rFonts w:hint="eastAsia"/>
          <w:color w:val="auto"/>
          <w:highlight w:val="none"/>
        </w:rPr>
        <w:t>质量管理体系认证，且有相应的消防产品生产许可证和质量认可证。所有材料、设备、产品等无论国产、进口须为无瑕的全新产品，其型号、规格、技术参数须符合设计规范要求或合同规定，产品质量应符合国家现行有关标准或技术规程，且有产品出厂合格证或质量证明书等。进口产品同时应有原产地证明书。</w:t>
      </w:r>
    </w:p>
    <w:p>
      <w:pPr>
        <w:pStyle w:val="217"/>
        <w:rPr>
          <w:color w:val="auto"/>
          <w:highlight w:val="none"/>
        </w:rPr>
      </w:pPr>
      <w:r>
        <w:rPr>
          <w:color w:val="auto"/>
          <w:highlight w:val="none"/>
        </w:rPr>
        <w:t>5.</w:t>
      </w:r>
      <w:r>
        <w:rPr>
          <w:rFonts w:hint="eastAsia"/>
          <w:color w:val="auto"/>
          <w:highlight w:val="none"/>
        </w:rPr>
        <w:t>气体灭火系统由容器、容器阀、单向阀、选择阀、驱动装置、集流管、连接管、喷嘴、信号反馈装置、安全泄压装置、检漏装置等部件组成。其中容器阀、单向阀、选择阀、驱动装置、喷嘴除有产品出厂合格证或质量证明书外，还应有国家质量监督检验测试中心出具的检验报告。</w:t>
      </w:r>
    </w:p>
    <w:p>
      <w:pPr>
        <w:pStyle w:val="217"/>
        <w:rPr>
          <w:color w:val="auto"/>
          <w:highlight w:val="none"/>
        </w:rPr>
      </w:pPr>
      <w:r>
        <w:rPr>
          <w:color w:val="auto"/>
          <w:highlight w:val="none"/>
        </w:rPr>
        <w:t>6.</w:t>
      </w:r>
      <w:r>
        <w:rPr>
          <w:rFonts w:hint="eastAsia"/>
          <w:color w:val="auto"/>
          <w:highlight w:val="none"/>
        </w:rPr>
        <w:t>投标人应提供投标产品的样本、图片资料、检验证明资料等。</w:t>
      </w:r>
    </w:p>
    <w:p>
      <w:pPr>
        <w:pStyle w:val="217"/>
        <w:rPr>
          <w:color w:val="auto"/>
          <w:highlight w:val="none"/>
        </w:rPr>
      </w:pPr>
      <w:r>
        <w:rPr>
          <w:color w:val="auto"/>
          <w:highlight w:val="none"/>
        </w:rPr>
        <w:t>7.</w:t>
      </w:r>
      <w:r>
        <w:rPr>
          <w:rFonts w:hint="eastAsia"/>
          <w:color w:val="auto"/>
          <w:highlight w:val="none"/>
        </w:rPr>
        <w:t>包装和运输</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）投标人按合同要求进行包装，包装应充分考虑到深圳地区自然条件和仓储条件，如因包装不适合而导致设备部件损坏等损失，责任由投标人负责。</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）投标人应按设备部件类别及工序要求分开装箱，按时供货至</w:t>
      </w:r>
      <w:r>
        <w:rPr>
          <w:rFonts w:hint="eastAsia"/>
          <w:color w:val="auto"/>
          <w:highlight w:val="none"/>
          <w:u w:val="single"/>
        </w:rPr>
        <w:t xml:space="preserve"> </w:t>
      </w:r>
      <w:r>
        <w:rPr>
          <w:color w:val="auto"/>
          <w:highlight w:val="none"/>
          <w:u w:val="single"/>
        </w:rPr>
        <w:t xml:space="preserve">        </w:t>
      </w:r>
      <w:r>
        <w:rPr>
          <w:rFonts w:hint="eastAsia"/>
          <w:color w:val="auto"/>
          <w:highlight w:val="none"/>
        </w:rPr>
        <w:t>建设项目工地，并负责保管。</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）投标人可自由选择适当的运输方式，由于运输方式不当而造成货物在运输过程中的任何损失由投标人负责。</w:t>
      </w:r>
    </w:p>
    <w:p>
      <w:pPr>
        <w:pStyle w:val="217"/>
        <w:rPr>
          <w:color w:val="auto"/>
          <w:highlight w:val="none"/>
        </w:rPr>
      </w:pPr>
      <w:r>
        <w:rPr>
          <w:color w:val="auto"/>
          <w:highlight w:val="none"/>
        </w:rPr>
        <w:t>8.</w:t>
      </w:r>
      <w:r>
        <w:rPr>
          <w:rFonts w:hint="eastAsia"/>
          <w:color w:val="auto"/>
          <w:highlight w:val="none"/>
        </w:rPr>
        <w:t>投标人所供材料设备到达施工现场必须经买卖双方在场进行开箱检验。若为进口材料设备必须依法商检合格。业主保留每次到货后封样送检的权利。业主有权要求投标人无偿按国家标准试验方法进行检测，若送检结果不合要求，处理办法见合同条款。</w:t>
      </w:r>
    </w:p>
    <w:p>
      <w:pPr>
        <w:pStyle w:val="172"/>
        <w:rPr>
          <w:color w:val="auto"/>
          <w:highlight w:val="none"/>
        </w:rPr>
      </w:pPr>
      <w:r>
        <w:rPr>
          <w:color w:val="auto"/>
          <w:highlight w:val="none"/>
        </w:rPr>
        <w:t xml:space="preserve">1.2.3 </w:t>
      </w:r>
      <w:r>
        <w:rPr>
          <w:rFonts w:hint="eastAsia"/>
          <w:color w:val="auto"/>
          <w:highlight w:val="none"/>
        </w:rPr>
        <w:t>施工安装</w:t>
      </w:r>
    </w:p>
    <w:p>
      <w:pPr>
        <w:pStyle w:val="217"/>
        <w:rPr>
          <w:color w:val="auto"/>
          <w:highlight w:val="none"/>
        </w:rPr>
      </w:pPr>
      <w:r>
        <w:rPr>
          <w:rFonts w:hint="eastAsia"/>
          <w:color w:val="auto"/>
          <w:highlight w:val="none"/>
        </w:rPr>
        <w:t>投标人在投标书中须提供气体灭火系统工程施工组织设计，针对招标提出的质量、进度、投资、安全等方面的要求给出有效的安排及解决措施。具体内容至少应包括：</w:t>
      </w:r>
    </w:p>
    <w:p>
      <w:pPr>
        <w:pStyle w:val="217"/>
        <w:rPr>
          <w:color w:val="auto"/>
          <w:highlight w:val="none"/>
        </w:rPr>
      </w:pPr>
      <w:r>
        <w:rPr>
          <w:color w:val="auto"/>
          <w:highlight w:val="none"/>
        </w:rPr>
        <w:t>1.</w:t>
      </w:r>
      <w:r>
        <w:rPr>
          <w:rFonts w:hint="eastAsia"/>
          <w:color w:val="auto"/>
          <w:highlight w:val="none"/>
        </w:rPr>
        <w:t>拟参加本工程的组织机构图，参与本项目施工、调试的主要人员名单、简历、职务、曾参与的工程项目等。</w:t>
      </w:r>
    </w:p>
    <w:p>
      <w:pPr>
        <w:pStyle w:val="217"/>
        <w:rPr>
          <w:color w:val="auto"/>
          <w:highlight w:val="none"/>
        </w:rPr>
      </w:pPr>
      <w:r>
        <w:rPr>
          <w:color w:val="auto"/>
          <w:highlight w:val="none"/>
        </w:rPr>
        <w:t>2.</w:t>
      </w:r>
      <w:r>
        <w:rPr>
          <w:rFonts w:hint="eastAsia"/>
          <w:color w:val="auto"/>
          <w:highlight w:val="none"/>
        </w:rPr>
        <w:t>气体灭火系统工程施工管理体系，质量目标及质量保证措施。</w:t>
      </w:r>
    </w:p>
    <w:p>
      <w:pPr>
        <w:pStyle w:val="217"/>
        <w:rPr>
          <w:color w:val="auto"/>
          <w:highlight w:val="none"/>
        </w:rPr>
      </w:pPr>
      <w:r>
        <w:rPr>
          <w:color w:val="auto"/>
          <w:highlight w:val="none"/>
        </w:rPr>
        <w:t>3.</w:t>
      </w:r>
      <w:r>
        <w:rPr>
          <w:rFonts w:hint="eastAsia"/>
          <w:color w:val="auto"/>
          <w:highlight w:val="none"/>
        </w:rPr>
        <w:t>气体灭火系统工程施工方案及技术措施。</w:t>
      </w:r>
    </w:p>
    <w:p>
      <w:pPr>
        <w:pStyle w:val="217"/>
        <w:rPr>
          <w:color w:val="auto"/>
          <w:highlight w:val="none"/>
        </w:rPr>
      </w:pPr>
      <w:r>
        <w:rPr>
          <w:color w:val="auto"/>
          <w:highlight w:val="none"/>
        </w:rPr>
        <w:t>4.</w:t>
      </w:r>
      <w:r>
        <w:rPr>
          <w:rFonts w:hint="eastAsia"/>
          <w:color w:val="auto"/>
          <w:highlight w:val="none"/>
        </w:rPr>
        <w:t>气体灭火系统施工进度计划及工期保证措施，包括劳动力计划、施工机具计划、物质供应计划。</w:t>
      </w:r>
    </w:p>
    <w:p>
      <w:pPr>
        <w:pStyle w:val="217"/>
        <w:rPr>
          <w:color w:val="auto"/>
          <w:highlight w:val="none"/>
        </w:rPr>
      </w:pPr>
      <w:r>
        <w:rPr>
          <w:color w:val="auto"/>
          <w:highlight w:val="none"/>
        </w:rPr>
        <w:t>5.</w:t>
      </w:r>
      <w:r>
        <w:rPr>
          <w:rFonts w:hint="eastAsia"/>
          <w:color w:val="auto"/>
          <w:highlight w:val="none"/>
        </w:rPr>
        <w:t>灭火系统工程文明施工、安全生产以及保证安全施工的措施。</w:t>
      </w:r>
    </w:p>
    <w:p>
      <w:pPr>
        <w:pStyle w:val="217"/>
        <w:rPr>
          <w:color w:val="auto"/>
          <w:highlight w:val="none"/>
        </w:rPr>
      </w:pPr>
      <w:r>
        <w:rPr>
          <w:color w:val="auto"/>
          <w:highlight w:val="none"/>
        </w:rPr>
        <w:t>6.</w:t>
      </w:r>
      <w:r>
        <w:rPr>
          <w:rFonts w:hint="eastAsia"/>
          <w:color w:val="auto"/>
          <w:highlight w:val="none"/>
        </w:rPr>
        <w:t>气体灭火系统工程设备、材料采购、成品保护及保管计划。</w:t>
      </w:r>
    </w:p>
    <w:p>
      <w:pPr>
        <w:pStyle w:val="217"/>
        <w:rPr>
          <w:color w:val="auto"/>
          <w:highlight w:val="none"/>
        </w:rPr>
      </w:pPr>
      <w:r>
        <w:rPr>
          <w:color w:val="auto"/>
          <w:highlight w:val="none"/>
        </w:rPr>
        <w:t>7.</w:t>
      </w:r>
      <w:r>
        <w:rPr>
          <w:rFonts w:hint="eastAsia"/>
          <w:color w:val="auto"/>
          <w:highlight w:val="none"/>
        </w:rPr>
        <w:t>气体灭火系统工程维修保养计划。</w:t>
      </w:r>
    </w:p>
    <w:p>
      <w:pPr>
        <w:pStyle w:val="217"/>
        <w:rPr>
          <w:color w:val="auto"/>
          <w:highlight w:val="none"/>
        </w:rPr>
      </w:pPr>
      <w:r>
        <w:rPr>
          <w:color w:val="auto"/>
          <w:highlight w:val="none"/>
        </w:rPr>
        <w:t>8.</w:t>
      </w:r>
      <w:r>
        <w:rPr>
          <w:rFonts w:hint="eastAsia"/>
          <w:color w:val="auto"/>
          <w:highlight w:val="none"/>
        </w:rPr>
        <w:t>气体灭火系统工程承包人与总承包人，相关分包单位的配合计划。</w:t>
      </w:r>
    </w:p>
    <w:p>
      <w:pPr>
        <w:pStyle w:val="172"/>
        <w:rPr>
          <w:color w:val="auto"/>
          <w:highlight w:val="none"/>
        </w:rPr>
      </w:pPr>
      <w:r>
        <w:rPr>
          <w:color w:val="auto"/>
          <w:highlight w:val="none"/>
        </w:rPr>
        <w:t xml:space="preserve">1.2.4 </w:t>
      </w:r>
      <w:r>
        <w:rPr>
          <w:rFonts w:hint="eastAsia"/>
          <w:color w:val="auto"/>
          <w:highlight w:val="none"/>
        </w:rPr>
        <w:t>工程验收</w:t>
      </w:r>
    </w:p>
    <w:p>
      <w:pPr>
        <w:pStyle w:val="217"/>
        <w:rPr>
          <w:color w:val="auto"/>
          <w:highlight w:val="none"/>
        </w:rPr>
      </w:pPr>
      <w:r>
        <w:rPr>
          <w:color w:val="auto"/>
          <w:highlight w:val="none"/>
        </w:rPr>
        <w:t>1.</w:t>
      </w:r>
      <w:r>
        <w:rPr>
          <w:rFonts w:hint="eastAsia"/>
          <w:color w:val="auto"/>
          <w:highlight w:val="none"/>
        </w:rPr>
        <w:t>总承包人负责在工期要求时间内通过深圳公安消防局的验收。</w:t>
      </w:r>
    </w:p>
    <w:p>
      <w:pPr>
        <w:pStyle w:val="217"/>
        <w:rPr>
          <w:color w:val="auto"/>
          <w:highlight w:val="none"/>
        </w:rPr>
      </w:pPr>
      <w:r>
        <w:rPr>
          <w:color w:val="auto"/>
          <w:highlight w:val="none"/>
        </w:rPr>
        <w:t>2.</w:t>
      </w:r>
      <w:r>
        <w:rPr>
          <w:rFonts w:hint="eastAsia"/>
          <w:color w:val="auto"/>
          <w:highlight w:val="none"/>
        </w:rPr>
        <w:t>总承包人应在工程竣工时提交竣工文件，包括：所需竣工图（包括电子文件）；原材料、零配件出厂合格证和检验报告；承包人提供的设备产品鉴定书、出厂合格证等；系统调试等有关原始记录；监理工程师发出的指令及工程变更通知书。</w:t>
      </w:r>
    </w:p>
    <w:p>
      <w:pPr>
        <w:pStyle w:val="217"/>
        <w:rPr>
          <w:color w:val="auto"/>
          <w:highlight w:val="none"/>
        </w:rPr>
      </w:pPr>
      <w:r>
        <w:rPr>
          <w:color w:val="auto"/>
          <w:highlight w:val="none"/>
        </w:rPr>
        <w:t>3.</w:t>
      </w:r>
      <w:r>
        <w:rPr>
          <w:rFonts w:hint="eastAsia"/>
          <w:color w:val="auto"/>
          <w:highlight w:val="none"/>
        </w:rPr>
        <w:t>竣工文件要求原件。</w:t>
      </w:r>
    </w:p>
    <w:p>
      <w:pPr>
        <w:pStyle w:val="217"/>
        <w:rPr>
          <w:color w:val="auto"/>
          <w:highlight w:val="none"/>
        </w:rPr>
      </w:pPr>
      <w:r>
        <w:rPr>
          <w:color w:val="auto"/>
          <w:highlight w:val="none"/>
        </w:rPr>
        <w:t>4.</w:t>
      </w:r>
      <w:r>
        <w:rPr>
          <w:rFonts w:hint="eastAsia"/>
          <w:color w:val="auto"/>
          <w:highlight w:val="none"/>
        </w:rPr>
        <w:t>监理工程师在收到以上资料后，与业主、承包人共同对本工程按《气体灭火系统施工及验收规范》（</w:t>
      </w:r>
      <w:r>
        <w:rPr>
          <w:color w:val="auto"/>
          <w:highlight w:val="none"/>
        </w:rPr>
        <w:t>GB50263-2007</w:t>
      </w:r>
      <w:r>
        <w:rPr>
          <w:rFonts w:hint="eastAsia"/>
          <w:color w:val="auto"/>
          <w:highlight w:val="none"/>
        </w:rPr>
        <w:t>）进行分项工程预验收。</w:t>
      </w:r>
    </w:p>
    <w:p>
      <w:pPr>
        <w:pStyle w:val="217"/>
        <w:rPr>
          <w:color w:val="auto"/>
          <w:highlight w:val="none"/>
        </w:rPr>
      </w:pPr>
      <w:r>
        <w:rPr>
          <w:color w:val="auto"/>
          <w:highlight w:val="none"/>
        </w:rPr>
        <w:t>5.</w:t>
      </w:r>
      <w:r>
        <w:rPr>
          <w:rFonts w:hint="eastAsia"/>
          <w:color w:val="auto"/>
          <w:highlight w:val="none"/>
        </w:rPr>
        <w:t>经预验收再次整改后，向相关消防主管部门申报验收并合格通过后，办理相关验收文件，该文件是本工程竣工文件的组成部分。</w:t>
      </w:r>
    </w:p>
    <w:p>
      <w:pPr>
        <w:pStyle w:val="172"/>
        <w:rPr>
          <w:color w:val="auto"/>
          <w:highlight w:val="none"/>
        </w:rPr>
      </w:pPr>
      <w:r>
        <w:rPr>
          <w:color w:val="auto"/>
          <w:highlight w:val="none"/>
        </w:rPr>
        <w:t xml:space="preserve">1.2.5 </w:t>
      </w:r>
      <w:r>
        <w:rPr>
          <w:rFonts w:hint="eastAsia"/>
          <w:color w:val="auto"/>
          <w:highlight w:val="none"/>
        </w:rPr>
        <w:t>技术服务条件</w:t>
      </w:r>
    </w:p>
    <w:p>
      <w:pPr>
        <w:pStyle w:val="217"/>
        <w:rPr>
          <w:color w:val="auto"/>
          <w:highlight w:val="none"/>
        </w:rPr>
      </w:pPr>
      <w:r>
        <w:rPr>
          <w:color w:val="auto"/>
          <w:highlight w:val="none"/>
        </w:rPr>
        <w:t>1.</w:t>
      </w:r>
      <w:r>
        <w:rPr>
          <w:rFonts w:hint="eastAsia"/>
          <w:color w:val="auto"/>
          <w:highlight w:val="none"/>
        </w:rPr>
        <w:t>投标人应提出本工程项目管理计划，描述如何满足技术规范和用户需求书中的全部要求。</w:t>
      </w:r>
    </w:p>
    <w:p>
      <w:pPr>
        <w:pStyle w:val="217"/>
        <w:rPr>
          <w:color w:val="auto"/>
          <w:highlight w:val="none"/>
        </w:rPr>
      </w:pPr>
      <w:r>
        <w:rPr>
          <w:color w:val="auto"/>
          <w:highlight w:val="none"/>
        </w:rPr>
        <w:t>2.</w:t>
      </w:r>
      <w:r>
        <w:rPr>
          <w:rFonts w:hint="eastAsia"/>
          <w:color w:val="auto"/>
          <w:highlight w:val="none"/>
        </w:rPr>
        <w:t>投标人应明确并固定服务于本工程竣工前的技术人员组成，如若更换须招标人</w:t>
      </w:r>
      <w:r>
        <w:rPr>
          <w:rFonts w:hint="eastAsia"/>
          <w:color w:val="auto"/>
          <w:highlight w:val="none"/>
          <w:lang w:eastAsia="zh-CN"/>
        </w:rPr>
        <w:t>书面</w:t>
      </w:r>
      <w:r>
        <w:rPr>
          <w:rFonts w:hint="eastAsia"/>
          <w:color w:val="auto"/>
          <w:highlight w:val="none"/>
        </w:rPr>
        <w:t>同意。</w:t>
      </w:r>
    </w:p>
    <w:p>
      <w:pPr>
        <w:pStyle w:val="217"/>
        <w:rPr>
          <w:color w:val="auto"/>
          <w:highlight w:val="none"/>
        </w:rPr>
      </w:pPr>
      <w:r>
        <w:rPr>
          <w:color w:val="auto"/>
          <w:highlight w:val="none"/>
        </w:rPr>
        <w:t>3.</w:t>
      </w:r>
      <w:r>
        <w:rPr>
          <w:rFonts w:hint="eastAsia"/>
          <w:color w:val="auto"/>
          <w:highlight w:val="none"/>
        </w:rPr>
        <w:t>质保期服务。投标人应提供长期有效的售后服务。投标人应提供广东省境内售后服务队伍名称、资质、人员配备、联系地址、电话等详细资料，并提供在保修期的维修保养计划书。</w:t>
      </w:r>
    </w:p>
    <w:p>
      <w:pPr>
        <w:pStyle w:val="217"/>
        <w:rPr>
          <w:color w:val="auto"/>
          <w:highlight w:val="none"/>
        </w:rPr>
      </w:pPr>
      <w:r>
        <w:rPr>
          <w:color w:val="auto"/>
          <w:highlight w:val="none"/>
        </w:rPr>
        <w:t>4.</w:t>
      </w:r>
      <w:r>
        <w:rPr>
          <w:rFonts w:hint="eastAsia"/>
          <w:color w:val="auto"/>
          <w:highlight w:val="none"/>
        </w:rPr>
        <w:t>技术培训。投标人应负责对业主的技术人员和操作维修人员免费进行培训，并提供安装使用、维修说明书。所有培训应以中文进行。卖方应在投标书中提出详细培训计划，包括培训项目、培训人数、培训时间等，供业主批准。</w:t>
      </w:r>
    </w:p>
    <w:p>
      <w:pPr>
        <w:pStyle w:val="113"/>
        <w:spacing w:before="120" w:after="120"/>
        <w:outlineLvl w:val="2"/>
        <w:rPr>
          <w:color w:val="auto"/>
          <w:highlight w:val="none"/>
        </w:rPr>
      </w:pPr>
      <w:r>
        <w:rPr>
          <w:color w:val="auto"/>
          <w:highlight w:val="none"/>
        </w:rPr>
        <w:br w:type="page"/>
      </w:r>
      <w:bookmarkStart w:id="8035" w:name="_Toc505345799"/>
      <w:bookmarkStart w:id="8036" w:name="_Toc69114227"/>
      <w:bookmarkStart w:id="8037" w:name="_Toc66634486"/>
      <w:bookmarkStart w:id="8038" w:name="_Toc66890481"/>
      <w:r>
        <w:rPr>
          <w:color w:val="auto"/>
          <w:highlight w:val="none"/>
        </w:rPr>
        <w:t xml:space="preserve">1.3 </w:t>
      </w:r>
      <w:r>
        <w:rPr>
          <w:rFonts w:hint="eastAsia"/>
          <w:color w:val="auto"/>
          <w:highlight w:val="none"/>
        </w:rPr>
        <w:t>消防工程主要材料、设备技术要求</w:t>
      </w:r>
      <w:bookmarkEnd w:id="8035"/>
      <w:bookmarkEnd w:id="8036"/>
      <w:bookmarkEnd w:id="8037"/>
      <w:bookmarkEnd w:id="8038"/>
    </w:p>
    <w:tbl>
      <w:tblPr>
        <w:tblStyle w:val="43"/>
        <w:tblW w:w="911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052"/>
        <w:gridCol w:w="50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9119" w:type="dxa"/>
            <w:gridSpan w:val="2"/>
            <w:tcBorders>
              <w:top w:val="single" w:color="auto" w:sz="12" w:space="0"/>
            </w:tcBorders>
            <w:noWrap w:val="0"/>
            <w:vAlign w:val="center"/>
          </w:tcPr>
          <w:p>
            <w:pPr>
              <w:rPr>
                <w:color w:val="auto"/>
                <w:highlight w:val="none"/>
              </w:rPr>
            </w:pPr>
            <w:r>
              <w:rPr>
                <w:rFonts w:hint="eastAsia"/>
                <w:color w:val="auto"/>
                <w:highlight w:val="none"/>
              </w:rPr>
              <w:t>消防工程材料、设备产品名称、产品技术要求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19" w:type="dxa"/>
            <w:gridSpan w:val="2"/>
            <w:noWrap w:val="0"/>
            <w:vAlign w:val="center"/>
          </w:tcPr>
          <w:p>
            <w:pPr>
              <w:rPr>
                <w:color w:val="auto"/>
                <w:highlight w:val="none"/>
              </w:rPr>
            </w:pPr>
            <w:r>
              <w:rPr>
                <w:color w:val="auto"/>
                <w:highlight w:val="none"/>
              </w:rPr>
              <w:t>1</w:t>
            </w:r>
            <w:r>
              <w:rPr>
                <w:rFonts w:hint="eastAsia"/>
                <w:color w:val="auto"/>
                <w:highlight w:val="none"/>
              </w:rPr>
              <w:t>、热镀锌钢管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19" w:type="dxa"/>
            <w:gridSpan w:val="2"/>
            <w:noWrap w:val="0"/>
            <w:vAlign w:val="top"/>
          </w:tcPr>
          <w:p>
            <w:pPr>
              <w:rPr>
                <w:color w:val="auto"/>
                <w:highlight w:val="none"/>
              </w:rPr>
            </w:pPr>
            <w:r>
              <w:rPr>
                <w:rFonts w:hint="eastAsia"/>
                <w:color w:val="auto"/>
                <w:highlight w:val="none"/>
              </w:rPr>
              <w:t>一、商务要求：</w:t>
            </w:r>
          </w:p>
          <w:p>
            <w:pPr>
              <w:rPr>
                <w:color w:val="auto"/>
                <w:highlight w:val="none"/>
              </w:rPr>
            </w:pPr>
            <w:r>
              <w:rPr>
                <w:color w:val="auto"/>
                <w:highlight w:val="none"/>
              </w:rPr>
              <w:t>1.</w:t>
            </w:r>
            <w:r>
              <w:rPr>
                <w:rFonts w:hint="eastAsia"/>
                <w:color w:val="auto"/>
                <w:highlight w:val="none"/>
              </w:rPr>
              <w:t>制造商注册资本：不少于</w:t>
            </w:r>
            <w:r>
              <w:rPr>
                <w:color w:val="auto"/>
                <w:highlight w:val="none"/>
              </w:rPr>
              <w:t>2000</w:t>
            </w:r>
            <w:r>
              <w:rPr>
                <w:rFonts w:hint="eastAsia"/>
                <w:color w:val="auto"/>
                <w:highlight w:val="none"/>
              </w:rPr>
              <w:t>万元人民币。</w:t>
            </w:r>
          </w:p>
          <w:p>
            <w:pPr>
              <w:rPr>
                <w:color w:val="auto"/>
                <w:highlight w:val="none"/>
              </w:rPr>
            </w:pPr>
            <w:r>
              <w:rPr>
                <w:color w:val="auto"/>
                <w:highlight w:val="none"/>
              </w:rPr>
              <w:t>2.</w:t>
            </w:r>
            <w:r>
              <w:rPr>
                <w:rFonts w:hint="eastAsia"/>
                <w:color w:val="auto"/>
                <w:highlight w:val="none"/>
              </w:rPr>
              <w:t>制造商应通过</w:t>
            </w:r>
            <w:r>
              <w:rPr>
                <w:color w:val="auto"/>
                <w:highlight w:val="none"/>
              </w:rPr>
              <w:t>GB/T19001-2008</w:t>
            </w:r>
            <w:r>
              <w:rPr>
                <w:rFonts w:hint="eastAsia"/>
                <w:color w:val="auto"/>
                <w:highlight w:val="none"/>
              </w:rPr>
              <w:t>质量管理体系认证。</w:t>
            </w:r>
          </w:p>
          <w:p>
            <w:pPr>
              <w:rPr>
                <w:color w:val="auto"/>
                <w:highlight w:val="none"/>
              </w:rPr>
            </w:pPr>
            <w:r>
              <w:rPr>
                <w:color w:val="auto"/>
                <w:highlight w:val="none"/>
              </w:rPr>
              <w:t>3.</w:t>
            </w:r>
            <w:r>
              <w:rPr>
                <w:rFonts w:hint="eastAsia"/>
                <w:color w:val="auto"/>
                <w:highlight w:val="none"/>
              </w:rPr>
              <w:t>产品应为省级以上名牌产品，或省级以上著名商标，或国家免检产品。</w:t>
            </w:r>
          </w:p>
          <w:p>
            <w:pPr>
              <w:rPr>
                <w:color w:val="auto"/>
                <w:highlight w:val="none"/>
              </w:rPr>
            </w:pPr>
            <w:r>
              <w:rPr>
                <w:color w:val="auto"/>
                <w:highlight w:val="none"/>
              </w:rPr>
              <w:t>4.</w:t>
            </w:r>
            <w:r>
              <w:rPr>
                <w:rFonts w:hint="eastAsia"/>
                <w:color w:val="auto"/>
                <w:highlight w:val="none"/>
              </w:rPr>
              <w:t>制造商在深圳地区设有完善的售后服务机构。</w:t>
            </w:r>
          </w:p>
          <w:p>
            <w:pPr>
              <w:rPr>
                <w:color w:val="auto"/>
                <w:highlight w:val="none"/>
              </w:rPr>
            </w:pPr>
            <w:r>
              <w:rPr>
                <w:rFonts w:hint="eastAsia"/>
                <w:color w:val="auto"/>
                <w:highlight w:val="none"/>
              </w:rPr>
              <w:t>二、技术要求：</w:t>
            </w:r>
          </w:p>
          <w:p>
            <w:pPr>
              <w:rPr>
                <w:color w:val="auto"/>
                <w:highlight w:val="none"/>
              </w:rPr>
            </w:pPr>
            <w:r>
              <w:rPr>
                <w:color w:val="auto"/>
                <w:highlight w:val="none"/>
              </w:rPr>
              <w:t>1.</w:t>
            </w:r>
            <w:r>
              <w:rPr>
                <w:rFonts w:hint="eastAsia"/>
                <w:color w:val="auto"/>
                <w:highlight w:val="none"/>
              </w:rPr>
              <w:t>管材应符合</w:t>
            </w:r>
            <w:r>
              <w:rPr>
                <w:color w:val="auto"/>
                <w:highlight w:val="none"/>
              </w:rPr>
              <w:t>GB/T3091—2015</w:t>
            </w:r>
            <w:r>
              <w:rPr>
                <w:rFonts w:hint="eastAsia"/>
                <w:color w:val="auto"/>
                <w:highlight w:val="none"/>
              </w:rPr>
              <w:t>《低压流体输送用镀锌焊接钢管》的要求。</w:t>
            </w:r>
          </w:p>
          <w:p>
            <w:pPr>
              <w:rPr>
                <w:color w:val="auto"/>
                <w:highlight w:val="none"/>
              </w:rPr>
            </w:pPr>
            <w:r>
              <w:rPr>
                <w:color w:val="auto"/>
                <w:highlight w:val="none"/>
              </w:rPr>
              <w:t>2.</w:t>
            </w:r>
            <w:r>
              <w:rPr>
                <w:rFonts w:hint="eastAsia"/>
                <w:color w:val="auto"/>
                <w:highlight w:val="none"/>
              </w:rPr>
              <w:t>管材的压力等级应符合设计要求。</w:t>
            </w:r>
          </w:p>
          <w:p>
            <w:pPr>
              <w:rPr>
                <w:color w:val="auto"/>
                <w:highlight w:val="none"/>
              </w:rPr>
            </w:pPr>
            <w:r>
              <w:rPr>
                <w:color w:val="auto"/>
                <w:highlight w:val="none"/>
              </w:rPr>
              <w:t>3.</w:t>
            </w:r>
            <w:r>
              <w:rPr>
                <w:rFonts w:hint="eastAsia"/>
                <w:color w:val="auto"/>
                <w:highlight w:val="none"/>
              </w:rPr>
              <w:t>管材经热浸镀锌方式在钢管内外表面镀上完整的镀锌层。</w:t>
            </w:r>
          </w:p>
          <w:p>
            <w:pPr>
              <w:rPr>
                <w:color w:val="auto"/>
                <w:highlight w:val="none"/>
              </w:rPr>
            </w:pPr>
            <w:r>
              <w:rPr>
                <w:color w:val="auto"/>
                <w:highlight w:val="none"/>
              </w:rPr>
              <w:t>4.</w:t>
            </w:r>
            <w:r>
              <w:rPr>
                <w:rFonts w:hint="eastAsia"/>
                <w:color w:val="auto"/>
                <w:highlight w:val="none"/>
              </w:rPr>
              <w:t>连接方式：</w:t>
            </w:r>
          </w:p>
          <w:p>
            <w:pPr>
              <w:rPr>
                <w:color w:val="auto"/>
                <w:highlight w:val="none"/>
              </w:rPr>
            </w:pPr>
            <w:r>
              <w:rPr>
                <w:rFonts w:hint="eastAsia"/>
                <w:color w:val="auto"/>
                <w:highlight w:val="none"/>
              </w:rPr>
              <w:t>⑴管径</w:t>
            </w:r>
            <w:r>
              <w:rPr>
                <w:color w:val="auto"/>
                <w:highlight w:val="none"/>
              </w:rPr>
              <w:t>&lt;DN100</w:t>
            </w:r>
            <w:r>
              <w:rPr>
                <w:rFonts w:hint="eastAsia"/>
                <w:color w:val="auto"/>
                <w:highlight w:val="none"/>
              </w:rPr>
              <w:t>采用螺纹连接，</w:t>
            </w:r>
          </w:p>
          <w:p>
            <w:pPr>
              <w:rPr>
                <w:color w:val="auto"/>
                <w:highlight w:val="none"/>
              </w:rPr>
            </w:pPr>
            <w:r>
              <w:rPr>
                <w:rFonts w:hint="eastAsia"/>
                <w:color w:val="auto"/>
                <w:highlight w:val="none"/>
              </w:rPr>
              <w:t>⑵管径≥</w:t>
            </w:r>
            <w:r>
              <w:rPr>
                <w:color w:val="auto"/>
                <w:highlight w:val="none"/>
              </w:rPr>
              <w:t>DN100</w:t>
            </w:r>
            <w:r>
              <w:rPr>
                <w:rFonts w:hint="eastAsia"/>
                <w:color w:val="auto"/>
                <w:highlight w:val="none"/>
              </w:rPr>
              <w:t>采用卡箍连接。</w:t>
            </w:r>
          </w:p>
          <w:p>
            <w:pPr>
              <w:rPr>
                <w:color w:val="auto"/>
                <w:highlight w:val="none"/>
              </w:rPr>
            </w:pPr>
            <w:r>
              <w:rPr>
                <w:color w:val="auto"/>
                <w:highlight w:val="none"/>
              </w:rPr>
              <w:t>5.</w:t>
            </w:r>
            <w:r>
              <w:rPr>
                <w:rFonts w:hint="eastAsia"/>
                <w:color w:val="auto"/>
                <w:highlight w:val="none"/>
              </w:rPr>
              <w:t>管件根据设计压力要求选用热镀锌的可锻铸铁、球墨铸铁或无缝钢管件。</w:t>
            </w:r>
          </w:p>
          <w:p>
            <w:pPr>
              <w:rPr>
                <w:color w:val="auto"/>
                <w:highlight w:val="none"/>
              </w:rPr>
            </w:pPr>
            <w:r>
              <w:rPr>
                <w:color w:val="auto"/>
                <w:highlight w:val="none"/>
              </w:rPr>
              <w:t>6.</w:t>
            </w:r>
            <w:r>
              <w:rPr>
                <w:rFonts w:hint="eastAsia"/>
                <w:color w:val="auto"/>
                <w:highlight w:val="none"/>
              </w:rPr>
              <w:t>镀锌层重量应达到国标（</w:t>
            </w:r>
            <w:r>
              <w:rPr>
                <w:color w:val="auto"/>
                <w:highlight w:val="none"/>
              </w:rPr>
              <w:t>500g / m2</w:t>
            </w:r>
            <w:r>
              <w:rPr>
                <w:rFonts w:hint="eastAsia"/>
                <w:color w:val="auto"/>
                <w:highlight w:val="none"/>
              </w:rPr>
              <w:t>）的要求，并要求送检时进行检测。（镀锌层重量在重大项目上要求）。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19" w:type="dxa"/>
            <w:gridSpan w:val="2"/>
            <w:noWrap w:val="0"/>
            <w:vAlign w:val="center"/>
          </w:tcPr>
          <w:p>
            <w:pPr>
              <w:rPr>
                <w:color w:val="auto"/>
                <w:highlight w:val="none"/>
              </w:rPr>
            </w:pPr>
            <w:r>
              <w:rPr>
                <w:color w:val="auto"/>
                <w:highlight w:val="none"/>
              </w:rPr>
              <w:t>2</w:t>
            </w:r>
            <w:r>
              <w:rPr>
                <w:rFonts w:hint="eastAsia"/>
                <w:color w:val="auto"/>
                <w:highlight w:val="none"/>
              </w:rPr>
              <w:t>、沟槽式连接件</w:t>
            </w:r>
            <w:r>
              <w:rPr>
                <w:color w:val="auto"/>
                <w:highlight w:val="none"/>
              </w:rPr>
              <w:t>(</w:t>
            </w:r>
            <w:r>
              <w:rPr>
                <w:rFonts w:hint="eastAsia"/>
                <w:color w:val="auto"/>
                <w:highlight w:val="none"/>
              </w:rPr>
              <w:t>卡箍</w:t>
            </w: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19" w:type="dxa"/>
            <w:gridSpan w:val="2"/>
            <w:noWrap w:val="0"/>
            <w:vAlign w:val="top"/>
          </w:tcPr>
          <w:p>
            <w:pPr>
              <w:rPr>
                <w:color w:val="auto"/>
                <w:highlight w:val="none"/>
              </w:rPr>
            </w:pPr>
            <w:r>
              <w:rPr>
                <w:rFonts w:hint="eastAsia"/>
                <w:color w:val="auto"/>
                <w:highlight w:val="none"/>
              </w:rPr>
              <w:t>一、商务要求：</w:t>
            </w:r>
          </w:p>
          <w:p>
            <w:pPr>
              <w:rPr>
                <w:color w:val="auto"/>
                <w:highlight w:val="none"/>
              </w:rPr>
            </w:pPr>
            <w:r>
              <w:rPr>
                <w:color w:val="auto"/>
                <w:highlight w:val="none"/>
              </w:rPr>
              <w:t>1.</w:t>
            </w:r>
            <w:r>
              <w:rPr>
                <w:rFonts w:hint="eastAsia"/>
                <w:color w:val="auto"/>
                <w:highlight w:val="none"/>
              </w:rPr>
              <w:t>制造商应通过</w:t>
            </w:r>
            <w:r>
              <w:rPr>
                <w:color w:val="auto"/>
                <w:highlight w:val="none"/>
              </w:rPr>
              <w:t>GB/T19001-2008</w:t>
            </w:r>
            <w:r>
              <w:rPr>
                <w:rFonts w:hint="eastAsia"/>
                <w:color w:val="auto"/>
                <w:highlight w:val="none"/>
              </w:rPr>
              <w:t>质量管理体系认证。</w:t>
            </w:r>
          </w:p>
          <w:p>
            <w:pPr>
              <w:rPr>
                <w:color w:val="auto"/>
                <w:highlight w:val="none"/>
              </w:rPr>
            </w:pPr>
            <w:r>
              <w:rPr>
                <w:color w:val="auto"/>
                <w:highlight w:val="none"/>
              </w:rPr>
              <w:t>2.</w:t>
            </w:r>
            <w:r>
              <w:rPr>
                <w:rFonts w:hint="eastAsia"/>
                <w:color w:val="auto"/>
                <w:highlight w:val="none"/>
              </w:rPr>
              <w:t>制造商注册资本：不少于</w:t>
            </w:r>
            <w:r>
              <w:rPr>
                <w:color w:val="auto"/>
                <w:highlight w:val="none"/>
              </w:rPr>
              <w:t>1000</w:t>
            </w:r>
            <w:r>
              <w:rPr>
                <w:rFonts w:hint="eastAsia"/>
                <w:color w:val="auto"/>
                <w:highlight w:val="none"/>
              </w:rPr>
              <w:t>万人民币。</w:t>
            </w:r>
          </w:p>
          <w:p>
            <w:pPr>
              <w:rPr>
                <w:color w:val="auto"/>
                <w:highlight w:val="none"/>
              </w:rPr>
            </w:pPr>
            <w:r>
              <w:rPr>
                <w:color w:val="auto"/>
                <w:highlight w:val="none"/>
              </w:rPr>
              <w:t>3.</w:t>
            </w:r>
            <w:r>
              <w:rPr>
                <w:rFonts w:hint="eastAsia"/>
                <w:color w:val="auto"/>
                <w:highlight w:val="none"/>
              </w:rPr>
              <w:t>制造商在深圳地区设有完善的售后服务机构。</w:t>
            </w:r>
          </w:p>
          <w:p>
            <w:pPr>
              <w:rPr>
                <w:color w:val="auto"/>
                <w:highlight w:val="none"/>
              </w:rPr>
            </w:pPr>
            <w:r>
              <w:rPr>
                <w:color w:val="auto"/>
                <w:highlight w:val="none"/>
              </w:rPr>
              <w:t>4.</w:t>
            </w:r>
            <w:r>
              <w:rPr>
                <w:rFonts w:hint="eastAsia"/>
                <w:color w:val="auto"/>
                <w:highlight w:val="none"/>
              </w:rPr>
              <w:t>产品必须经过</w:t>
            </w:r>
            <w:r>
              <w:rPr>
                <w:color w:val="auto"/>
                <w:highlight w:val="none"/>
              </w:rPr>
              <w:t>FM</w:t>
            </w:r>
            <w:r>
              <w:rPr>
                <w:rFonts w:hint="eastAsia"/>
                <w:color w:val="auto"/>
                <w:highlight w:val="none"/>
              </w:rPr>
              <w:t>或</w:t>
            </w:r>
            <w:r>
              <w:rPr>
                <w:color w:val="auto"/>
                <w:highlight w:val="none"/>
              </w:rPr>
              <w:t>UL</w:t>
            </w:r>
            <w:r>
              <w:rPr>
                <w:rFonts w:hint="eastAsia"/>
                <w:color w:val="auto"/>
                <w:highlight w:val="none"/>
              </w:rPr>
              <w:t>认证。</w:t>
            </w:r>
          </w:p>
          <w:p>
            <w:pPr>
              <w:rPr>
                <w:color w:val="auto"/>
                <w:highlight w:val="none"/>
              </w:rPr>
            </w:pPr>
            <w:r>
              <w:rPr>
                <w:rFonts w:hint="eastAsia"/>
                <w:color w:val="auto"/>
                <w:highlight w:val="none"/>
              </w:rPr>
              <w:t>二、技术要求：</w:t>
            </w:r>
          </w:p>
          <w:p>
            <w:pPr>
              <w:rPr>
                <w:color w:val="auto"/>
                <w:highlight w:val="none"/>
              </w:rPr>
            </w:pPr>
            <w:r>
              <w:rPr>
                <w:color w:val="auto"/>
                <w:highlight w:val="none"/>
              </w:rPr>
              <w:t>1.</w:t>
            </w:r>
            <w:r>
              <w:rPr>
                <w:rFonts w:hint="eastAsia"/>
                <w:color w:val="auto"/>
                <w:highlight w:val="none"/>
              </w:rPr>
              <w:t>沟槽式接头质量应符合</w:t>
            </w:r>
            <w:r>
              <w:rPr>
                <w:color w:val="auto"/>
                <w:highlight w:val="none"/>
              </w:rPr>
              <w:t>CJ/156-2001</w:t>
            </w:r>
            <w:r>
              <w:rPr>
                <w:rFonts w:hint="eastAsia"/>
                <w:color w:val="auto"/>
                <w:highlight w:val="none"/>
              </w:rPr>
              <w:t>《沟槽式管接头》要求。</w:t>
            </w:r>
          </w:p>
          <w:p>
            <w:pPr>
              <w:rPr>
                <w:color w:val="auto"/>
                <w:highlight w:val="none"/>
              </w:rPr>
            </w:pPr>
            <w:r>
              <w:rPr>
                <w:color w:val="auto"/>
                <w:highlight w:val="none"/>
              </w:rPr>
              <w:t>2.</w:t>
            </w:r>
            <w:r>
              <w:rPr>
                <w:rFonts w:hint="eastAsia"/>
                <w:color w:val="auto"/>
                <w:highlight w:val="none"/>
              </w:rPr>
              <w:t>采用优质球墨铸铁材料，应具有不易生锈，强度高，韧性好，延伸性好，还具有较强的防震吸震性能。</w:t>
            </w:r>
          </w:p>
          <w:p>
            <w:pPr>
              <w:rPr>
                <w:color w:val="auto"/>
                <w:highlight w:val="none"/>
              </w:rPr>
            </w:pPr>
            <w:r>
              <w:rPr>
                <w:color w:val="auto"/>
                <w:highlight w:val="none"/>
              </w:rPr>
              <w:t>3.</w:t>
            </w:r>
            <w:r>
              <w:rPr>
                <w:rFonts w:hint="eastAsia"/>
                <w:color w:val="auto"/>
                <w:highlight w:val="none"/>
              </w:rPr>
              <w:t>密封材料采用优质橡胶材料，严禁使用再生橡胶。具有较好的抗老化和耐磨性。</w:t>
            </w:r>
          </w:p>
          <w:p>
            <w:pPr>
              <w:rPr>
                <w:color w:val="auto"/>
                <w:highlight w:val="none"/>
              </w:rPr>
            </w:pPr>
            <w:r>
              <w:rPr>
                <w:color w:val="auto"/>
                <w:highlight w:val="none"/>
              </w:rPr>
              <w:t>4.</w:t>
            </w:r>
            <w:r>
              <w:rPr>
                <w:rFonts w:hint="eastAsia"/>
                <w:color w:val="auto"/>
                <w:highlight w:val="none"/>
              </w:rPr>
              <w:t>符合设计及有关规范要求。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19" w:type="dxa"/>
            <w:gridSpan w:val="2"/>
            <w:noWrap w:val="0"/>
            <w:vAlign w:val="center"/>
          </w:tcPr>
          <w:p>
            <w:pPr>
              <w:rPr>
                <w:color w:val="auto"/>
                <w:highlight w:val="none"/>
              </w:rPr>
            </w:pPr>
            <w:r>
              <w:rPr>
                <w:color w:val="auto"/>
                <w:highlight w:val="none"/>
              </w:rPr>
              <w:t>3</w:t>
            </w:r>
            <w:r>
              <w:rPr>
                <w:rFonts w:hint="eastAsia"/>
                <w:color w:val="auto"/>
                <w:highlight w:val="none"/>
              </w:rPr>
              <w:t>、阀门：闸阀、蝶阀、截止阀、（消声）止回阀、减压阀、自动排气阀、多动能水力控制阀、</w:t>
            </w:r>
            <w:r>
              <w:rPr>
                <w:color w:val="auto"/>
                <w:highlight w:val="none"/>
              </w:rPr>
              <w:t>Y</w:t>
            </w:r>
            <w:r>
              <w:rPr>
                <w:rFonts w:hint="eastAsia"/>
                <w:color w:val="auto"/>
                <w:highlight w:val="none"/>
              </w:rPr>
              <w:t>型管道过滤器、倒流防止器等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19" w:type="dxa"/>
            <w:gridSpan w:val="2"/>
            <w:noWrap w:val="0"/>
            <w:vAlign w:val="top"/>
          </w:tcPr>
          <w:p>
            <w:pPr>
              <w:rPr>
                <w:color w:val="auto"/>
                <w:highlight w:val="none"/>
              </w:rPr>
            </w:pPr>
            <w:r>
              <w:rPr>
                <w:rFonts w:hint="eastAsia"/>
                <w:color w:val="auto"/>
                <w:highlight w:val="none"/>
              </w:rPr>
              <w:t>一、商务要求：</w:t>
            </w:r>
          </w:p>
          <w:p>
            <w:pPr>
              <w:rPr>
                <w:color w:val="auto"/>
                <w:highlight w:val="none"/>
              </w:rPr>
            </w:pPr>
            <w:r>
              <w:rPr>
                <w:color w:val="auto"/>
                <w:highlight w:val="none"/>
              </w:rPr>
              <w:t>1.</w:t>
            </w:r>
            <w:r>
              <w:rPr>
                <w:rFonts w:hint="eastAsia"/>
                <w:color w:val="auto"/>
                <w:highlight w:val="none"/>
              </w:rPr>
              <w:t>营业执照所示营业范围应符合要求。</w:t>
            </w:r>
          </w:p>
          <w:p>
            <w:pPr>
              <w:rPr>
                <w:color w:val="auto"/>
                <w:highlight w:val="none"/>
              </w:rPr>
            </w:pPr>
            <w:r>
              <w:rPr>
                <w:color w:val="auto"/>
                <w:highlight w:val="none"/>
              </w:rPr>
              <w:t>2.</w:t>
            </w:r>
            <w:r>
              <w:rPr>
                <w:rFonts w:hint="eastAsia"/>
                <w:color w:val="auto"/>
                <w:highlight w:val="none"/>
              </w:rPr>
              <w:t>制造商注册资本：不少于</w:t>
            </w:r>
            <w:r>
              <w:rPr>
                <w:color w:val="auto"/>
                <w:highlight w:val="none"/>
              </w:rPr>
              <w:t>3000</w:t>
            </w:r>
            <w:r>
              <w:rPr>
                <w:rFonts w:hint="eastAsia"/>
                <w:color w:val="auto"/>
                <w:highlight w:val="none"/>
              </w:rPr>
              <w:t>万人民币。</w:t>
            </w:r>
          </w:p>
          <w:p>
            <w:pPr>
              <w:rPr>
                <w:color w:val="auto"/>
                <w:highlight w:val="none"/>
              </w:rPr>
            </w:pPr>
            <w:r>
              <w:rPr>
                <w:color w:val="auto"/>
                <w:highlight w:val="none"/>
              </w:rPr>
              <w:t>3.</w:t>
            </w:r>
            <w:r>
              <w:rPr>
                <w:rFonts w:hint="eastAsia"/>
                <w:color w:val="auto"/>
                <w:highlight w:val="none"/>
              </w:rPr>
              <w:t>制造商应通过</w:t>
            </w:r>
            <w:r>
              <w:rPr>
                <w:color w:val="auto"/>
                <w:highlight w:val="none"/>
              </w:rPr>
              <w:t>GB/T19001-2008</w:t>
            </w:r>
            <w:r>
              <w:rPr>
                <w:rFonts w:hint="eastAsia"/>
                <w:color w:val="auto"/>
                <w:highlight w:val="none"/>
              </w:rPr>
              <w:t>质量管理体系认证及</w:t>
            </w:r>
            <w:r>
              <w:rPr>
                <w:color w:val="auto"/>
                <w:highlight w:val="none"/>
              </w:rPr>
              <w:t>GB/T24001-2004</w:t>
            </w:r>
            <w:r>
              <w:rPr>
                <w:rFonts w:hint="eastAsia"/>
                <w:color w:val="auto"/>
                <w:highlight w:val="none"/>
              </w:rPr>
              <w:t>环境管理体系认证。</w:t>
            </w:r>
          </w:p>
          <w:p>
            <w:pPr>
              <w:rPr>
                <w:color w:val="auto"/>
                <w:highlight w:val="none"/>
              </w:rPr>
            </w:pPr>
            <w:r>
              <w:rPr>
                <w:color w:val="auto"/>
                <w:highlight w:val="none"/>
              </w:rPr>
              <w:t>4.</w:t>
            </w:r>
            <w:r>
              <w:rPr>
                <w:rFonts w:hint="eastAsia"/>
                <w:color w:val="auto"/>
                <w:highlight w:val="none"/>
              </w:rPr>
              <w:t>制造商在深圳地区设有完善的售后服务机构。</w:t>
            </w:r>
          </w:p>
          <w:p>
            <w:pPr>
              <w:rPr>
                <w:color w:val="auto"/>
                <w:highlight w:val="none"/>
              </w:rPr>
            </w:pPr>
            <w:r>
              <w:rPr>
                <w:rFonts w:hint="eastAsia"/>
                <w:color w:val="auto"/>
                <w:highlight w:val="none"/>
              </w:rPr>
              <w:t>二、技术要求：</w:t>
            </w:r>
          </w:p>
          <w:p>
            <w:pPr>
              <w:rPr>
                <w:color w:val="auto"/>
                <w:highlight w:val="none"/>
              </w:rPr>
            </w:pPr>
            <w:r>
              <w:rPr>
                <w:color w:val="auto"/>
                <w:highlight w:val="none"/>
              </w:rPr>
              <w:t>1.</w:t>
            </w:r>
            <w:r>
              <w:rPr>
                <w:rFonts w:hint="eastAsia"/>
                <w:color w:val="auto"/>
                <w:highlight w:val="none"/>
              </w:rPr>
              <w:t>阀门选型、压力等级应符合国家有关规范及设计要求。</w:t>
            </w:r>
          </w:p>
          <w:p>
            <w:pPr>
              <w:rPr>
                <w:color w:val="auto"/>
                <w:highlight w:val="none"/>
              </w:rPr>
            </w:pPr>
            <w:r>
              <w:rPr>
                <w:color w:val="auto"/>
                <w:highlight w:val="none"/>
              </w:rPr>
              <w:t>2.</w:t>
            </w:r>
            <w:r>
              <w:rPr>
                <w:rFonts w:hint="eastAsia"/>
                <w:color w:val="auto"/>
                <w:highlight w:val="none"/>
              </w:rPr>
              <w:t>符合现行的国家或行业的生产技术标准。</w:t>
            </w:r>
          </w:p>
          <w:p>
            <w:pPr>
              <w:rPr>
                <w:color w:val="auto"/>
                <w:highlight w:val="none"/>
              </w:rPr>
            </w:pPr>
            <w:r>
              <w:rPr>
                <w:color w:val="auto"/>
                <w:highlight w:val="none"/>
              </w:rPr>
              <w:t>3.</w:t>
            </w:r>
            <w:r>
              <w:rPr>
                <w:rFonts w:hint="eastAsia"/>
                <w:color w:val="auto"/>
                <w:highlight w:val="none"/>
              </w:rPr>
              <w:t>一般情况下，口径≤</w:t>
            </w:r>
            <w:r>
              <w:rPr>
                <w:color w:val="auto"/>
                <w:highlight w:val="none"/>
              </w:rPr>
              <w:t>50</w:t>
            </w:r>
            <w:r>
              <w:rPr>
                <w:rFonts w:hint="eastAsia"/>
                <w:color w:val="auto"/>
                <w:highlight w:val="none"/>
              </w:rPr>
              <w:t>毫米的阀门采用铜阀；口径</w:t>
            </w:r>
            <w:r>
              <w:rPr>
                <w:color w:val="auto"/>
                <w:highlight w:val="none"/>
              </w:rPr>
              <w:t>&gt;50</w:t>
            </w:r>
            <w:r>
              <w:rPr>
                <w:rFonts w:hint="eastAsia"/>
                <w:color w:val="auto"/>
                <w:highlight w:val="none"/>
              </w:rPr>
              <w:t>毫米的阀门采用球墨铸铁阀。</w:t>
            </w:r>
          </w:p>
          <w:p>
            <w:pPr>
              <w:rPr>
                <w:color w:val="auto"/>
                <w:highlight w:val="none"/>
              </w:rPr>
            </w:pPr>
            <w:r>
              <w:rPr>
                <w:color w:val="auto"/>
                <w:highlight w:val="none"/>
              </w:rPr>
              <w:t>4.</w:t>
            </w:r>
            <w:r>
              <w:rPr>
                <w:rFonts w:hint="eastAsia"/>
                <w:color w:val="auto"/>
                <w:highlight w:val="none"/>
              </w:rPr>
              <w:t>弹性座封闸阀材质要求：</w:t>
            </w:r>
          </w:p>
          <w:p>
            <w:pPr>
              <w:rPr>
                <w:color w:val="auto"/>
                <w:highlight w:val="none"/>
              </w:rPr>
            </w:pPr>
            <w:r>
              <w:rPr>
                <w:rFonts w:hint="eastAsia"/>
                <w:color w:val="auto"/>
                <w:highlight w:val="none"/>
              </w:rPr>
              <w:t>①阀体、阀盖采用球墨铸铁，表面采用无毒环保的环氧树脂喷涂。</w:t>
            </w:r>
          </w:p>
          <w:p>
            <w:pPr>
              <w:rPr>
                <w:color w:val="auto"/>
                <w:highlight w:val="none"/>
              </w:rPr>
            </w:pPr>
            <w:r>
              <w:rPr>
                <w:rFonts w:hint="eastAsia"/>
                <w:color w:val="auto"/>
                <w:highlight w:val="none"/>
              </w:rPr>
              <w:t>②闸板骨架为球墨铸铁整体铸造，骨架内外表面整体包胶，包胶材质应为无毒环保的橡胶。</w:t>
            </w:r>
          </w:p>
          <w:p>
            <w:pPr>
              <w:rPr>
                <w:color w:val="auto"/>
                <w:highlight w:val="none"/>
              </w:rPr>
            </w:pPr>
            <w:r>
              <w:rPr>
                <w:rFonts w:hint="eastAsia"/>
                <w:color w:val="auto"/>
                <w:highlight w:val="none"/>
              </w:rPr>
              <w:t>③阀杆采用不锈钢材料。阀杆螺母采用铜合金，其硬度和强度均大于阀杆。</w:t>
            </w:r>
          </w:p>
          <w:p>
            <w:pPr>
              <w:rPr>
                <w:color w:val="auto"/>
                <w:highlight w:val="none"/>
              </w:rPr>
            </w:pPr>
            <w:r>
              <w:rPr>
                <w:rFonts w:hint="eastAsia"/>
                <w:color w:val="auto"/>
                <w:highlight w:val="none"/>
              </w:rPr>
              <w:t>④密封材料采用无毒环保的橡胶。</w:t>
            </w:r>
          </w:p>
          <w:p>
            <w:pPr>
              <w:rPr>
                <w:color w:val="auto"/>
                <w:highlight w:val="none"/>
              </w:rPr>
            </w:pPr>
            <w:r>
              <w:rPr>
                <w:color w:val="auto"/>
                <w:highlight w:val="none"/>
              </w:rPr>
              <w:t>5.</w:t>
            </w:r>
            <w:r>
              <w:rPr>
                <w:rFonts w:hint="eastAsia"/>
                <w:color w:val="auto"/>
                <w:highlight w:val="none"/>
              </w:rPr>
              <w:t>蝶阀材质及型式要求：</w:t>
            </w:r>
          </w:p>
          <w:p>
            <w:pPr>
              <w:rPr>
                <w:color w:val="auto"/>
                <w:highlight w:val="none"/>
              </w:rPr>
            </w:pPr>
            <w:r>
              <w:rPr>
                <w:rFonts w:hint="eastAsia"/>
                <w:color w:val="auto"/>
                <w:highlight w:val="none"/>
              </w:rPr>
              <w:t>①阀体采用球墨铸铁，表面采用无毒环保的环氧树脂喷涂。</w:t>
            </w:r>
          </w:p>
          <w:p>
            <w:pPr>
              <w:rPr>
                <w:color w:val="auto"/>
                <w:highlight w:val="none"/>
              </w:rPr>
            </w:pPr>
            <w:r>
              <w:rPr>
                <w:rFonts w:hint="eastAsia"/>
                <w:color w:val="auto"/>
                <w:highlight w:val="none"/>
              </w:rPr>
              <w:t>②蝶板采用不锈钢材料或球墨铸铁整体包胶。</w:t>
            </w:r>
          </w:p>
          <w:p>
            <w:pPr>
              <w:rPr>
                <w:color w:val="auto"/>
                <w:highlight w:val="none"/>
              </w:rPr>
            </w:pPr>
            <w:r>
              <w:rPr>
                <w:rFonts w:hint="eastAsia"/>
                <w:color w:val="auto"/>
                <w:highlight w:val="none"/>
              </w:rPr>
              <w:t>③阀轴采用不锈钢材料。</w:t>
            </w:r>
          </w:p>
          <w:p>
            <w:pPr>
              <w:rPr>
                <w:color w:val="auto"/>
                <w:highlight w:val="none"/>
              </w:rPr>
            </w:pPr>
            <w:r>
              <w:rPr>
                <w:rFonts w:hint="eastAsia"/>
                <w:color w:val="auto"/>
                <w:highlight w:val="none"/>
              </w:rPr>
              <w:t>④密封材料采用丁晴橡胶或三元乙丙橡胶。</w:t>
            </w:r>
          </w:p>
          <w:p>
            <w:pPr>
              <w:rPr>
                <w:color w:val="auto"/>
                <w:highlight w:val="none"/>
              </w:rPr>
            </w:pPr>
            <w:r>
              <w:rPr>
                <w:rFonts w:hint="eastAsia"/>
                <w:color w:val="auto"/>
                <w:highlight w:val="none"/>
              </w:rPr>
              <w:t>⑤</w:t>
            </w:r>
            <w:r>
              <w:rPr>
                <w:color w:val="auto"/>
                <w:highlight w:val="none"/>
              </w:rPr>
              <w:t>DNl00</w:t>
            </w:r>
            <w:r>
              <w:rPr>
                <w:rFonts w:hint="eastAsia"/>
                <w:color w:val="auto"/>
                <w:highlight w:val="none"/>
              </w:rPr>
              <w:t>以下采用手柄式，≥</w:t>
            </w:r>
            <w:r>
              <w:rPr>
                <w:color w:val="auto"/>
                <w:highlight w:val="none"/>
              </w:rPr>
              <w:t>DNl00</w:t>
            </w:r>
            <w:r>
              <w:rPr>
                <w:rFonts w:hint="eastAsia"/>
                <w:color w:val="auto"/>
                <w:highlight w:val="none"/>
              </w:rPr>
              <w:t>采用涡轮式。</w:t>
            </w:r>
          </w:p>
          <w:p>
            <w:pPr>
              <w:rPr>
                <w:color w:val="auto"/>
                <w:highlight w:val="none"/>
              </w:rPr>
            </w:pPr>
            <w:r>
              <w:rPr>
                <w:color w:val="auto"/>
                <w:highlight w:val="none"/>
              </w:rPr>
              <w:t>6.</w:t>
            </w:r>
            <w:r>
              <w:rPr>
                <w:rFonts w:hint="eastAsia"/>
                <w:color w:val="auto"/>
                <w:highlight w:val="none"/>
              </w:rPr>
              <w:t>橡胶板止回阀材质要求：</w:t>
            </w:r>
          </w:p>
          <w:p>
            <w:pPr>
              <w:rPr>
                <w:color w:val="auto"/>
                <w:highlight w:val="none"/>
              </w:rPr>
            </w:pPr>
            <w:r>
              <w:rPr>
                <w:rFonts w:hint="eastAsia"/>
                <w:color w:val="auto"/>
                <w:highlight w:val="none"/>
              </w:rPr>
              <w:t>①阀体、阀盖采用球墨铸铁，表面采用无毒环保的环氧树脂喷涂。</w:t>
            </w:r>
          </w:p>
          <w:p>
            <w:pPr>
              <w:rPr>
                <w:color w:val="auto"/>
                <w:highlight w:val="none"/>
              </w:rPr>
            </w:pPr>
            <w:r>
              <w:rPr>
                <w:rFonts w:hint="eastAsia"/>
                <w:color w:val="auto"/>
                <w:highlight w:val="none"/>
              </w:rPr>
              <w:t>②阀瓣采用碳钢</w:t>
            </w:r>
            <w:r>
              <w:rPr>
                <w:color w:val="auto"/>
                <w:highlight w:val="none"/>
              </w:rPr>
              <w:t>+</w:t>
            </w:r>
            <w:r>
              <w:rPr>
                <w:rFonts w:hint="eastAsia"/>
                <w:color w:val="auto"/>
                <w:highlight w:val="none"/>
              </w:rPr>
              <w:t>强化尼龙纤维</w:t>
            </w:r>
            <w:r>
              <w:rPr>
                <w:color w:val="auto"/>
                <w:highlight w:val="none"/>
              </w:rPr>
              <w:t>+NBR</w:t>
            </w:r>
            <w:r>
              <w:rPr>
                <w:rFonts w:hint="eastAsia"/>
                <w:color w:val="auto"/>
                <w:highlight w:val="none"/>
              </w:rPr>
              <w:t>橡胶一体成型，全被覆式包胶。</w:t>
            </w:r>
          </w:p>
          <w:p>
            <w:pPr>
              <w:rPr>
                <w:color w:val="auto"/>
                <w:highlight w:val="none"/>
              </w:rPr>
            </w:pPr>
            <w:r>
              <w:rPr>
                <w:color w:val="auto"/>
                <w:highlight w:val="none"/>
              </w:rPr>
              <w:t>7.</w:t>
            </w:r>
            <w:r>
              <w:rPr>
                <w:rFonts w:hint="eastAsia"/>
                <w:color w:val="auto"/>
                <w:highlight w:val="none"/>
              </w:rPr>
              <w:t>水力控制阀材质要求：</w:t>
            </w:r>
          </w:p>
          <w:p>
            <w:pPr>
              <w:rPr>
                <w:color w:val="auto"/>
                <w:highlight w:val="none"/>
              </w:rPr>
            </w:pPr>
            <w:r>
              <w:rPr>
                <w:rFonts w:hint="eastAsia"/>
                <w:color w:val="auto"/>
                <w:highlight w:val="none"/>
              </w:rPr>
              <w:t>①阀体、阀盖采用球墨铸铁，表面采用无毒环保的环氧树脂喷涂。</w:t>
            </w:r>
          </w:p>
          <w:p>
            <w:pPr>
              <w:rPr>
                <w:color w:val="auto"/>
                <w:highlight w:val="none"/>
              </w:rPr>
            </w:pPr>
            <w:r>
              <w:rPr>
                <w:rFonts w:hint="eastAsia"/>
                <w:color w:val="auto"/>
                <w:highlight w:val="none"/>
              </w:rPr>
              <w:t>②阀杆采用不锈钢材料。</w:t>
            </w:r>
          </w:p>
          <w:p>
            <w:pPr>
              <w:rPr>
                <w:color w:val="auto"/>
                <w:highlight w:val="none"/>
              </w:rPr>
            </w:pPr>
            <w:r>
              <w:rPr>
                <w:rFonts w:hint="eastAsia"/>
                <w:color w:val="auto"/>
                <w:highlight w:val="none"/>
              </w:rPr>
              <w:t>③膜片采用丁晴尼龙强化橡胶或三元乙丙尼龙强化橡胶。</w:t>
            </w:r>
          </w:p>
          <w:p>
            <w:pPr>
              <w:rPr>
                <w:color w:val="auto"/>
                <w:highlight w:val="none"/>
              </w:rPr>
            </w:pPr>
            <w:r>
              <w:rPr>
                <w:rFonts w:hint="eastAsia"/>
                <w:color w:val="auto"/>
                <w:highlight w:val="none"/>
              </w:rPr>
              <w:t>④密封材料采用无毒环保的橡胶。</w:t>
            </w:r>
          </w:p>
          <w:p>
            <w:pPr>
              <w:rPr>
                <w:color w:val="auto"/>
                <w:highlight w:val="none"/>
              </w:rPr>
            </w:pPr>
            <w:r>
              <w:rPr>
                <w:rFonts w:hint="eastAsia"/>
                <w:color w:val="auto"/>
                <w:highlight w:val="none"/>
              </w:rPr>
              <w:t>⑤弹簧、阀座、压板、阀盘采用铜合金或不锈钢。</w:t>
            </w:r>
          </w:p>
          <w:p>
            <w:pPr>
              <w:rPr>
                <w:color w:val="auto"/>
                <w:highlight w:val="none"/>
              </w:rPr>
            </w:pPr>
            <w:r>
              <w:rPr>
                <w:color w:val="auto"/>
                <w:highlight w:val="none"/>
              </w:rPr>
              <w:t>8.</w:t>
            </w:r>
            <w:r>
              <w:rPr>
                <w:rFonts w:hint="eastAsia"/>
                <w:color w:val="auto"/>
                <w:highlight w:val="none"/>
              </w:rPr>
              <w:t>铜阀材质要求：</w:t>
            </w:r>
          </w:p>
          <w:p>
            <w:pPr>
              <w:rPr>
                <w:color w:val="auto"/>
                <w:highlight w:val="none"/>
              </w:rPr>
            </w:pPr>
            <w:r>
              <w:rPr>
                <w:rFonts w:hint="eastAsia"/>
                <w:color w:val="auto"/>
                <w:highlight w:val="none"/>
              </w:rPr>
              <w:t>①阀体、阀盖、阀杆、阀瓣全部采用黄铜材质。</w:t>
            </w:r>
          </w:p>
          <w:p>
            <w:pPr>
              <w:rPr>
                <w:color w:val="auto"/>
                <w:highlight w:val="none"/>
              </w:rPr>
            </w:pPr>
            <w:r>
              <w:rPr>
                <w:rFonts w:hint="eastAsia"/>
                <w:color w:val="auto"/>
                <w:highlight w:val="none"/>
              </w:rPr>
              <w:t>②填料采用聚四氟乙烯。</w:t>
            </w:r>
          </w:p>
          <w:p>
            <w:pPr>
              <w:rPr>
                <w:color w:val="auto"/>
                <w:highlight w:val="none"/>
              </w:rPr>
            </w:pPr>
            <w:r>
              <w:rPr>
                <w:color w:val="auto"/>
                <w:highlight w:val="none"/>
              </w:rPr>
              <w:t>9.</w:t>
            </w:r>
            <w:r>
              <w:rPr>
                <w:rFonts w:hint="eastAsia"/>
                <w:color w:val="auto"/>
                <w:highlight w:val="none"/>
              </w:rPr>
              <w:t>对阀门标牌的要求：</w:t>
            </w:r>
          </w:p>
          <w:p>
            <w:pPr>
              <w:rPr>
                <w:color w:val="auto"/>
                <w:highlight w:val="none"/>
              </w:rPr>
            </w:pPr>
            <w:r>
              <w:rPr>
                <w:rFonts w:hint="eastAsia"/>
                <w:color w:val="auto"/>
                <w:highlight w:val="none"/>
              </w:rPr>
              <w:t>阀门厂应给每个阀门一个固定的编号，其编号和阀门型号、口径、公称压力、厂名、生产日期等阀门标牌内容一起固定在阀体上。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19" w:type="dxa"/>
            <w:gridSpan w:val="2"/>
            <w:noWrap w:val="0"/>
            <w:vAlign w:val="center"/>
          </w:tcPr>
          <w:p>
            <w:pPr>
              <w:rPr>
                <w:color w:val="auto"/>
                <w:highlight w:val="none"/>
              </w:rPr>
            </w:pPr>
            <w:r>
              <w:rPr>
                <w:color w:val="auto"/>
                <w:highlight w:val="none"/>
              </w:rPr>
              <w:t>4</w:t>
            </w:r>
            <w:r>
              <w:rPr>
                <w:rFonts w:hint="eastAsia"/>
                <w:color w:val="auto"/>
                <w:highlight w:val="none"/>
              </w:rPr>
              <w:t>、信号闸阀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19" w:type="dxa"/>
            <w:gridSpan w:val="2"/>
            <w:noWrap w:val="0"/>
            <w:vAlign w:val="top"/>
          </w:tcPr>
          <w:p>
            <w:pPr>
              <w:rPr>
                <w:color w:val="auto"/>
                <w:highlight w:val="none"/>
              </w:rPr>
            </w:pPr>
            <w:r>
              <w:rPr>
                <w:rFonts w:hint="eastAsia"/>
                <w:color w:val="auto"/>
                <w:highlight w:val="none"/>
              </w:rPr>
              <w:t>一、商务要求：</w:t>
            </w:r>
          </w:p>
          <w:p>
            <w:pPr>
              <w:rPr>
                <w:color w:val="auto"/>
                <w:highlight w:val="none"/>
              </w:rPr>
            </w:pPr>
            <w:r>
              <w:rPr>
                <w:color w:val="auto"/>
                <w:highlight w:val="none"/>
              </w:rPr>
              <w:t>1.</w:t>
            </w:r>
            <w:r>
              <w:rPr>
                <w:rFonts w:hint="eastAsia"/>
                <w:color w:val="auto"/>
                <w:highlight w:val="none"/>
              </w:rPr>
              <w:t>制造商应通过</w:t>
            </w:r>
            <w:r>
              <w:rPr>
                <w:color w:val="auto"/>
                <w:highlight w:val="none"/>
              </w:rPr>
              <w:t>GB/T19001-2008</w:t>
            </w:r>
            <w:r>
              <w:rPr>
                <w:rFonts w:hint="eastAsia"/>
                <w:color w:val="auto"/>
                <w:highlight w:val="none"/>
              </w:rPr>
              <w:t>质量管理体系认证及</w:t>
            </w:r>
            <w:r>
              <w:rPr>
                <w:color w:val="auto"/>
                <w:highlight w:val="none"/>
              </w:rPr>
              <w:t>GB/T24001-2004</w:t>
            </w:r>
            <w:r>
              <w:rPr>
                <w:rFonts w:hint="eastAsia"/>
                <w:color w:val="auto"/>
                <w:highlight w:val="none"/>
              </w:rPr>
              <w:t>环境管理体系认证。</w:t>
            </w:r>
          </w:p>
          <w:p>
            <w:pPr>
              <w:rPr>
                <w:color w:val="auto"/>
                <w:highlight w:val="none"/>
              </w:rPr>
            </w:pPr>
            <w:r>
              <w:rPr>
                <w:color w:val="auto"/>
                <w:highlight w:val="none"/>
              </w:rPr>
              <w:t>2.</w:t>
            </w:r>
            <w:r>
              <w:rPr>
                <w:rFonts w:hint="eastAsia"/>
                <w:color w:val="auto"/>
                <w:highlight w:val="none"/>
              </w:rPr>
              <w:t>制造商注册资本：不少于</w:t>
            </w:r>
            <w:r>
              <w:rPr>
                <w:color w:val="auto"/>
                <w:highlight w:val="none"/>
              </w:rPr>
              <w:t>1000</w:t>
            </w:r>
            <w:r>
              <w:rPr>
                <w:rFonts w:hint="eastAsia"/>
                <w:color w:val="auto"/>
                <w:highlight w:val="none"/>
              </w:rPr>
              <w:t>万人民币。</w:t>
            </w:r>
          </w:p>
          <w:p>
            <w:pPr>
              <w:rPr>
                <w:color w:val="auto"/>
                <w:highlight w:val="none"/>
              </w:rPr>
            </w:pPr>
            <w:r>
              <w:rPr>
                <w:color w:val="auto"/>
                <w:highlight w:val="none"/>
              </w:rPr>
              <w:t>3.</w:t>
            </w:r>
            <w:r>
              <w:rPr>
                <w:rFonts w:hint="eastAsia"/>
                <w:color w:val="auto"/>
                <w:highlight w:val="none"/>
              </w:rPr>
              <w:t>制造商在深圳地区设有完善的售后服务机构。</w:t>
            </w:r>
          </w:p>
          <w:p>
            <w:pPr>
              <w:rPr>
                <w:color w:val="auto"/>
                <w:highlight w:val="none"/>
              </w:rPr>
            </w:pPr>
            <w:r>
              <w:rPr>
                <w:rFonts w:hint="eastAsia"/>
                <w:color w:val="auto"/>
                <w:highlight w:val="none"/>
              </w:rPr>
              <w:t>二、技术要求：</w:t>
            </w:r>
          </w:p>
          <w:p>
            <w:pPr>
              <w:rPr>
                <w:color w:val="auto"/>
                <w:highlight w:val="none"/>
              </w:rPr>
            </w:pPr>
            <w:r>
              <w:rPr>
                <w:color w:val="auto"/>
                <w:highlight w:val="none"/>
              </w:rPr>
              <w:t>1.</w:t>
            </w:r>
            <w:r>
              <w:rPr>
                <w:rFonts w:hint="eastAsia"/>
                <w:color w:val="auto"/>
                <w:highlight w:val="none"/>
              </w:rPr>
              <w:t>产品通过国家强制性认证。</w:t>
            </w:r>
          </w:p>
          <w:p>
            <w:pPr>
              <w:rPr>
                <w:color w:val="auto"/>
                <w:highlight w:val="none"/>
              </w:rPr>
            </w:pPr>
            <w:r>
              <w:rPr>
                <w:color w:val="auto"/>
                <w:highlight w:val="none"/>
              </w:rPr>
              <w:t>2.</w:t>
            </w:r>
            <w:r>
              <w:rPr>
                <w:rFonts w:hint="eastAsia"/>
                <w:color w:val="auto"/>
                <w:highlight w:val="none"/>
              </w:rPr>
              <w:t>规格、压力等级以及连接方式应符合有关规范、标准和设计要求。</w:t>
            </w:r>
          </w:p>
          <w:p>
            <w:pPr>
              <w:rPr>
                <w:color w:val="auto"/>
                <w:highlight w:val="none"/>
              </w:rPr>
            </w:pPr>
            <w:r>
              <w:rPr>
                <w:color w:val="auto"/>
                <w:highlight w:val="none"/>
              </w:rPr>
              <w:t>3.</w:t>
            </w:r>
            <w:r>
              <w:rPr>
                <w:rFonts w:hint="eastAsia"/>
                <w:color w:val="auto"/>
                <w:highlight w:val="none"/>
              </w:rPr>
              <w:t>防护等级：</w:t>
            </w:r>
            <w:r>
              <w:rPr>
                <w:color w:val="auto"/>
                <w:highlight w:val="none"/>
              </w:rPr>
              <w:t>IP54</w:t>
            </w: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19" w:type="dxa"/>
            <w:gridSpan w:val="2"/>
            <w:noWrap w:val="0"/>
            <w:vAlign w:val="center"/>
          </w:tcPr>
          <w:p>
            <w:pPr>
              <w:rPr>
                <w:color w:val="auto"/>
                <w:highlight w:val="none"/>
              </w:rPr>
            </w:pPr>
            <w:r>
              <w:rPr>
                <w:color w:val="auto"/>
                <w:highlight w:val="none"/>
              </w:rPr>
              <w:t>5</w:t>
            </w:r>
            <w:r>
              <w:rPr>
                <w:rFonts w:hint="eastAsia"/>
                <w:color w:val="auto"/>
                <w:highlight w:val="none"/>
              </w:rPr>
              <w:t>、可曲挠橡胶接头、不锈钢软接头、不锈钢波纹补偿器、柔性防水套管、减震器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19" w:type="dxa"/>
            <w:gridSpan w:val="2"/>
            <w:noWrap w:val="0"/>
            <w:vAlign w:val="top"/>
          </w:tcPr>
          <w:p>
            <w:pPr>
              <w:rPr>
                <w:color w:val="auto"/>
                <w:highlight w:val="none"/>
              </w:rPr>
            </w:pPr>
            <w:r>
              <w:rPr>
                <w:rFonts w:hint="eastAsia"/>
                <w:color w:val="auto"/>
                <w:highlight w:val="none"/>
              </w:rPr>
              <w:t>一、商务要求：</w:t>
            </w:r>
          </w:p>
          <w:p>
            <w:pPr>
              <w:rPr>
                <w:color w:val="auto"/>
                <w:highlight w:val="none"/>
              </w:rPr>
            </w:pPr>
            <w:r>
              <w:rPr>
                <w:color w:val="auto"/>
                <w:highlight w:val="none"/>
              </w:rPr>
              <w:t>1.</w:t>
            </w:r>
            <w:r>
              <w:rPr>
                <w:rFonts w:hint="eastAsia"/>
                <w:color w:val="auto"/>
                <w:highlight w:val="none"/>
              </w:rPr>
              <w:t>制造商应通过</w:t>
            </w:r>
            <w:r>
              <w:rPr>
                <w:color w:val="auto"/>
                <w:highlight w:val="none"/>
              </w:rPr>
              <w:t>GB/T19001-2008</w:t>
            </w:r>
            <w:r>
              <w:rPr>
                <w:rFonts w:hint="eastAsia"/>
                <w:color w:val="auto"/>
                <w:highlight w:val="none"/>
              </w:rPr>
              <w:t>质量管理体系认证。</w:t>
            </w:r>
          </w:p>
          <w:p>
            <w:pPr>
              <w:rPr>
                <w:color w:val="auto"/>
                <w:highlight w:val="none"/>
              </w:rPr>
            </w:pPr>
            <w:r>
              <w:rPr>
                <w:color w:val="auto"/>
                <w:highlight w:val="none"/>
              </w:rPr>
              <w:t>2.</w:t>
            </w:r>
            <w:r>
              <w:rPr>
                <w:rFonts w:hint="eastAsia"/>
                <w:color w:val="auto"/>
                <w:highlight w:val="none"/>
              </w:rPr>
              <w:t>制造商在深圳地区设有完善的售后服务机构。</w:t>
            </w:r>
          </w:p>
          <w:p>
            <w:pPr>
              <w:rPr>
                <w:color w:val="auto"/>
                <w:highlight w:val="none"/>
              </w:rPr>
            </w:pPr>
            <w:r>
              <w:rPr>
                <w:color w:val="auto"/>
                <w:highlight w:val="none"/>
              </w:rPr>
              <w:t>3.</w:t>
            </w:r>
            <w:r>
              <w:rPr>
                <w:rFonts w:hint="eastAsia"/>
                <w:color w:val="auto"/>
                <w:highlight w:val="none"/>
              </w:rPr>
              <w:t>产品应为国内知名品牌。</w:t>
            </w:r>
          </w:p>
          <w:p>
            <w:pPr>
              <w:rPr>
                <w:color w:val="auto"/>
                <w:highlight w:val="none"/>
              </w:rPr>
            </w:pPr>
            <w:r>
              <w:rPr>
                <w:rFonts w:hint="eastAsia"/>
                <w:color w:val="auto"/>
                <w:highlight w:val="none"/>
              </w:rPr>
              <w:t>二、技术要求：</w:t>
            </w:r>
          </w:p>
          <w:p>
            <w:pPr>
              <w:rPr>
                <w:color w:val="auto"/>
                <w:highlight w:val="none"/>
              </w:rPr>
            </w:pPr>
            <w:r>
              <w:rPr>
                <w:color w:val="auto"/>
                <w:highlight w:val="none"/>
              </w:rPr>
              <w:t>1.</w:t>
            </w:r>
            <w:r>
              <w:rPr>
                <w:rFonts w:hint="eastAsia"/>
                <w:color w:val="auto"/>
                <w:highlight w:val="none"/>
              </w:rPr>
              <w:t>符合设计及有关规范要求。</w:t>
            </w:r>
          </w:p>
          <w:p>
            <w:pPr>
              <w:rPr>
                <w:color w:val="auto"/>
                <w:highlight w:val="none"/>
              </w:rPr>
            </w:pPr>
            <w:r>
              <w:rPr>
                <w:color w:val="auto"/>
                <w:highlight w:val="none"/>
              </w:rPr>
              <w:t>2.</w:t>
            </w:r>
            <w:r>
              <w:rPr>
                <w:rFonts w:hint="eastAsia"/>
                <w:color w:val="auto"/>
                <w:highlight w:val="none"/>
              </w:rPr>
              <w:t>公称压力大于各系统设计要求的试验压力。</w:t>
            </w:r>
          </w:p>
          <w:p>
            <w:pPr>
              <w:rPr>
                <w:color w:val="auto"/>
                <w:highlight w:val="none"/>
              </w:rPr>
            </w:pPr>
            <w:r>
              <w:rPr>
                <w:color w:val="auto"/>
                <w:highlight w:val="none"/>
              </w:rPr>
              <w:t>3.</w:t>
            </w:r>
            <w:r>
              <w:rPr>
                <w:rFonts w:hint="eastAsia"/>
                <w:color w:val="auto"/>
                <w:highlight w:val="none"/>
              </w:rPr>
              <w:t>不锈钢软接应符合</w:t>
            </w:r>
            <w:r>
              <w:rPr>
                <w:color w:val="auto"/>
                <w:highlight w:val="none"/>
              </w:rPr>
              <w:t>GB/T12777</w:t>
            </w:r>
            <w:r>
              <w:rPr>
                <w:rFonts w:hint="eastAsia"/>
                <w:color w:val="auto"/>
                <w:highlight w:val="none"/>
              </w:rPr>
              <w:t>－</w:t>
            </w:r>
            <w:r>
              <w:rPr>
                <w:color w:val="auto"/>
                <w:highlight w:val="none"/>
              </w:rPr>
              <w:t>2008</w:t>
            </w:r>
            <w:r>
              <w:rPr>
                <w:rFonts w:hint="eastAsia"/>
                <w:color w:val="auto"/>
                <w:highlight w:val="none"/>
              </w:rPr>
              <w:t>的规定</w:t>
            </w:r>
            <w:r>
              <w:rPr>
                <w:color w:val="auto"/>
                <w:highlight w:val="none"/>
              </w:rPr>
              <w:t>,</w:t>
            </w:r>
            <w:r>
              <w:rPr>
                <w:rFonts w:hint="eastAsia"/>
                <w:color w:val="auto"/>
                <w:highlight w:val="none"/>
              </w:rPr>
              <w:t>金属软管应符合</w:t>
            </w:r>
            <w:r>
              <w:rPr>
                <w:color w:val="auto"/>
                <w:highlight w:val="none"/>
              </w:rPr>
              <w:t>GB/T14525</w:t>
            </w:r>
            <w:r>
              <w:rPr>
                <w:rFonts w:hint="eastAsia"/>
                <w:color w:val="auto"/>
                <w:highlight w:val="none"/>
              </w:rPr>
              <w:t>－</w:t>
            </w:r>
            <w:r>
              <w:rPr>
                <w:color w:val="auto"/>
                <w:highlight w:val="none"/>
              </w:rPr>
              <w:t>2010</w:t>
            </w:r>
            <w:r>
              <w:rPr>
                <w:rFonts w:hint="eastAsia"/>
                <w:color w:val="auto"/>
                <w:highlight w:val="none"/>
              </w:rPr>
              <w:t>的规定。不锈钢软接的材料采用</w:t>
            </w:r>
            <w:r>
              <w:rPr>
                <w:color w:val="auto"/>
                <w:highlight w:val="none"/>
              </w:rPr>
              <w:t>304</w:t>
            </w:r>
            <w:r>
              <w:rPr>
                <w:rFonts w:hint="eastAsia"/>
                <w:color w:val="auto"/>
                <w:highlight w:val="none"/>
              </w:rPr>
              <w:t>不锈钢，两端接管或法兰采用低碳钢或不锈钢。</w:t>
            </w:r>
          </w:p>
          <w:p>
            <w:pPr>
              <w:rPr>
                <w:color w:val="auto"/>
                <w:highlight w:val="none"/>
              </w:rPr>
            </w:pPr>
            <w:r>
              <w:rPr>
                <w:color w:val="auto"/>
                <w:highlight w:val="none"/>
              </w:rPr>
              <w:t>4.</w:t>
            </w:r>
            <w:r>
              <w:rPr>
                <w:rFonts w:hint="eastAsia"/>
                <w:color w:val="auto"/>
                <w:highlight w:val="none"/>
              </w:rPr>
              <w:t>不锈钢柔性接头使用温度－</w:t>
            </w:r>
            <w:r>
              <w:rPr>
                <w:color w:val="auto"/>
                <w:highlight w:val="none"/>
              </w:rPr>
              <w:t>20</w:t>
            </w:r>
            <w:r>
              <w:rPr>
                <w:rFonts w:hint="eastAsia"/>
                <w:color w:val="auto"/>
                <w:highlight w:val="none"/>
              </w:rPr>
              <w:t>℃～</w:t>
            </w:r>
            <w:r>
              <w:rPr>
                <w:color w:val="auto"/>
                <w:highlight w:val="none"/>
              </w:rPr>
              <w:t>250</w:t>
            </w:r>
            <w:r>
              <w:rPr>
                <w:rFonts w:hint="eastAsia"/>
                <w:color w:val="auto"/>
                <w:highlight w:val="none"/>
              </w:rPr>
              <w:t>℃。</w:t>
            </w:r>
          </w:p>
          <w:p>
            <w:pPr>
              <w:rPr>
                <w:color w:val="auto"/>
                <w:highlight w:val="none"/>
              </w:rPr>
            </w:pPr>
            <w:r>
              <w:rPr>
                <w:color w:val="auto"/>
                <w:highlight w:val="none"/>
              </w:rPr>
              <w:t>5.</w:t>
            </w:r>
            <w:r>
              <w:rPr>
                <w:rFonts w:hint="eastAsia"/>
                <w:color w:val="auto"/>
                <w:highlight w:val="none"/>
              </w:rPr>
              <w:t>橡胶接头应符合</w:t>
            </w:r>
            <w:r>
              <w:rPr>
                <w:color w:val="auto"/>
                <w:highlight w:val="none"/>
              </w:rPr>
              <w:t>HG/T2289</w:t>
            </w:r>
            <w:r>
              <w:rPr>
                <w:rFonts w:hint="eastAsia"/>
                <w:color w:val="auto"/>
                <w:highlight w:val="none"/>
              </w:rPr>
              <w:t>－</w:t>
            </w:r>
            <w:r>
              <w:rPr>
                <w:color w:val="auto"/>
                <w:highlight w:val="none"/>
              </w:rPr>
              <w:t>2001</w:t>
            </w:r>
            <w:r>
              <w:rPr>
                <w:rFonts w:hint="eastAsia"/>
                <w:color w:val="auto"/>
                <w:highlight w:val="none"/>
              </w:rPr>
              <w:t>的规定，材料须为多层尼龙线质织物与纯天然橡胶混合经压铸定型而成。</w:t>
            </w:r>
          </w:p>
          <w:p>
            <w:pPr>
              <w:rPr>
                <w:color w:val="auto"/>
                <w:highlight w:val="none"/>
              </w:rPr>
            </w:pPr>
            <w:r>
              <w:rPr>
                <w:color w:val="auto"/>
                <w:highlight w:val="none"/>
              </w:rPr>
              <w:t>6.</w:t>
            </w:r>
            <w:r>
              <w:rPr>
                <w:rFonts w:hint="eastAsia"/>
                <w:color w:val="auto"/>
                <w:highlight w:val="none"/>
              </w:rPr>
              <w:t>橡胶接头连接用的法兰需为锻造法兰并经过双层烤漆防腐处理。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19" w:type="dxa"/>
            <w:gridSpan w:val="2"/>
            <w:noWrap w:val="0"/>
            <w:vAlign w:val="center"/>
          </w:tcPr>
          <w:p>
            <w:pPr>
              <w:rPr>
                <w:color w:val="auto"/>
                <w:highlight w:val="none"/>
              </w:rPr>
            </w:pPr>
            <w:r>
              <w:rPr>
                <w:color w:val="auto"/>
                <w:highlight w:val="none"/>
              </w:rPr>
              <w:t>6</w:t>
            </w:r>
            <w:r>
              <w:rPr>
                <w:rFonts w:hint="eastAsia"/>
                <w:color w:val="auto"/>
                <w:highlight w:val="none"/>
              </w:rPr>
              <w:t>、湿式报警阀组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19" w:type="dxa"/>
            <w:gridSpan w:val="2"/>
            <w:noWrap w:val="0"/>
            <w:vAlign w:val="top"/>
          </w:tcPr>
          <w:p>
            <w:pPr>
              <w:rPr>
                <w:color w:val="auto"/>
                <w:highlight w:val="none"/>
              </w:rPr>
            </w:pPr>
            <w:r>
              <w:rPr>
                <w:rFonts w:hint="eastAsia"/>
                <w:color w:val="auto"/>
                <w:highlight w:val="none"/>
              </w:rPr>
              <w:t>一、商务要求：</w:t>
            </w:r>
          </w:p>
          <w:p>
            <w:pPr>
              <w:rPr>
                <w:color w:val="auto"/>
                <w:highlight w:val="none"/>
              </w:rPr>
            </w:pPr>
            <w:r>
              <w:rPr>
                <w:color w:val="auto"/>
                <w:highlight w:val="none"/>
              </w:rPr>
              <w:t>1.</w:t>
            </w:r>
            <w:r>
              <w:rPr>
                <w:rFonts w:hint="eastAsia"/>
                <w:color w:val="auto"/>
                <w:highlight w:val="none"/>
              </w:rPr>
              <w:t>制造商应通过</w:t>
            </w:r>
            <w:r>
              <w:rPr>
                <w:color w:val="auto"/>
                <w:highlight w:val="none"/>
              </w:rPr>
              <w:t>GB/T19001-2008</w:t>
            </w:r>
            <w:r>
              <w:rPr>
                <w:rFonts w:hint="eastAsia"/>
                <w:color w:val="auto"/>
                <w:highlight w:val="none"/>
              </w:rPr>
              <w:t>质量管理体系认证。</w:t>
            </w:r>
          </w:p>
          <w:p>
            <w:pPr>
              <w:rPr>
                <w:color w:val="auto"/>
                <w:highlight w:val="none"/>
              </w:rPr>
            </w:pPr>
            <w:r>
              <w:rPr>
                <w:color w:val="auto"/>
                <w:highlight w:val="none"/>
              </w:rPr>
              <w:t>2.</w:t>
            </w:r>
            <w:r>
              <w:rPr>
                <w:rFonts w:hint="eastAsia"/>
                <w:color w:val="auto"/>
                <w:highlight w:val="none"/>
              </w:rPr>
              <w:t>制造商注册资本：不少于</w:t>
            </w:r>
            <w:r>
              <w:rPr>
                <w:color w:val="auto"/>
                <w:highlight w:val="none"/>
              </w:rPr>
              <w:t>3000</w:t>
            </w:r>
            <w:r>
              <w:rPr>
                <w:rFonts w:hint="eastAsia"/>
                <w:color w:val="auto"/>
                <w:highlight w:val="none"/>
              </w:rPr>
              <w:t>万人民币。</w:t>
            </w:r>
          </w:p>
          <w:p>
            <w:pPr>
              <w:rPr>
                <w:color w:val="auto"/>
                <w:highlight w:val="none"/>
              </w:rPr>
            </w:pPr>
            <w:r>
              <w:rPr>
                <w:color w:val="auto"/>
                <w:highlight w:val="none"/>
              </w:rPr>
              <w:t>3.</w:t>
            </w:r>
            <w:r>
              <w:rPr>
                <w:rFonts w:hint="eastAsia"/>
                <w:color w:val="auto"/>
                <w:highlight w:val="none"/>
              </w:rPr>
              <w:t>制造商在深圳地区设有完善的售后服务机构。</w:t>
            </w:r>
          </w:p>
          <w:p>
            <w:pPr>
              <w:rPr>
                <w:color w:val="auto"/>
                <w:highlight w:val="none"/>
              </w:rPr>
            </w:pPr>
            <w:r>
              <w:rPr>
                <w:rFonts w:hint="eastAsia"/>
                <w:color w:val="auto"/>
                <w:highlight w:val="none"/>
              </w:rPr>
              <w:t>二、技术要求：</w:t>
            </w:r>
          </w:p>
          <w:p>
            <w:pPr>
              <w:rPr>
                <w:color w:val="auto"/>
                <w:highlight w:val="none"/>
              </w:rPr>
            </w:pPr>
            <w:r>
              <w:rPr>
                <w:color w:val="auto"/>
                <w:highlight w:val="none"/>
              </w:rPr>
              <w:t>1.</w:t>
            </w:r>
            <w:r>
              <w:rPr>
                <w:rFonts w:hint="eastAsia"/>
                <w:color w:val="auto"/>
                <w:highlight w:val="none"/>
              </w:rPr>
              <w:t>产品通过国家强制性认证。</w:t>
            </w:r>
          </w:p>
          <w:p>
            <w:pPr>
              <w:rPr>
                <w:color w:val="auto"/>
                <w:highlight w:val="none"/>
              </w:rPr>
            </w:pPr>
            <w:r>
              <w:rPr>
                <w:color w:val="auto"/>
                <w:highlight w:val="none"/>
              </w:rPr>
              <w:t>2.</w:t>
            </w:r>
            <w:r>
              <w:rPr>
                <w:rFonts w:hint="eastAsia"/>
                <w:color w:val="auto"/>
                <w:highlight w:val="none"/>
              </w:rPr>
              <w:t>规格、压力等级以及连接方式应符合有关规范、标准和设计要求。</w:t>
            </w:r>
          </w:p>
          <w:p>
            <w:pPr>
              <w:rPr>
                <w:color w:val="auto"/>
                <w:highlight w:val="none"/>
              </w:rPr>
            </w:pPr>
            <w:r>
              <w:rPr>
                <w:color w:val="auto"/>
                <w:highlight w:val="none"/>
              </w:rPr>
              <w:t>3.</w:t>
            </w:r>
            <w:r>
              <w:rPr>
                <w:rFonts w:hint="eastAsia"/>
                <w:color w:val="auto"/>
                <w:highlight w:val="none"/>
              </w:rPr>
              <w:t>每个阀组应由下列部件组成：</w:t>
            </w:r>
          </w:p>
          <w:p>
            <w:pPr>
              <w:rPr>
                <w:color w:val="auto"/>
                <w:highlight w:val="none"/>
              </w:rPr>
            </w:pPr>
            <w:r>
              <w:rPr>
                <w:rFonts w:hint="eastAsia"/>
                <w:color w:val="auto"/>
                <w:highlight w:val="none"/>
              </w:rPr>
              <w:t>⑴挂锁装置的闸式截止阀</w:t>
            </w:r>
            <w:r>
              <w:rPr>
                <w:color w:val="auto"/>
                <w:highlight w:val="none"/>
              </w:rPr>
              <w:t>,</w:t>
            </w:r>
            <w:r>
              <w:rPr>
                <w:rFonts w:hint="eastAsia"/>
                <w:color w:val="auto"/>
                <w:highlight w:val="none"/>
              </w:rPr>
              <w:t>装于报警阀两端。</w:t>
            </w:r>
          </w:p>
          <w:p>
            <w:pPr>
              <w:rPr>
                <w:color w:val="auto"/>
                <w:highlight w:val="none"/>
              </w:rPr>
            </w:pPr>
            <w:r>
              <w:rPr>
                <w:rFonts w:hint="eastAsia"/>
                <w:color w:val="auto"/>
                <w:highlight w:val="none"/>
              </w:rPr>
              <w:t>⑵延时器、报警阀。</w:t>
            </w:r>
          </w:p>
          <w:p>
            <w:pPr>
              <w:rPr>
                <w:color w:val="auto"/>
                <w:highlight w:val="none"/>
              </w:rPr>
            </w:pPr>
            <w:r>
              <w:rPr>
                <w:rFonts w:hint="eastAsia"/>
                <w:color w:val="auto"/>
                <w:highlight w:val="none"/>
              </w:rPr>
              <w:t>⑶水力警铃、过滤器、压力开关等报警装置。</w:t>
            </w:r>
          </w:p>
          <w:p>
            <w:pPr>
              <w:rPr>
                <w:color w:val="auto"/>
                <w:highlight w:val="none"/>
              </w:rPr>
            </w:pPr>
            <w:r>
              <w:rPr>
                <w:rFonts w:hint="eastAsia"/>
                <w:color w:val="auto"/>
                <w:highlight w:val="none"/>
              </w:rPr>
              <w:t>⑷有试验装置。</w:t>
            </w:r>
          </w:p>
          <w:p>
            <w:pPr>
              <w:rPr>
                <w:color w:val="auto"/>
                <w:highlight w:val="none"/>
              </w:rPr>
            </w:pPr>
            <w:r>
              <w:rPr>
                <w:rFonts w:hint="eastAsia"/>
                <w:color w:val="auto"/>
                <w:highlight w:val="none"/>
              </w:rPr>
              <w:t>⑸有阀门的压力表。</w:t>
            </w:r>
          </w:p>
          <w:p>
            <w:pPr>
              <w:rPr>
                <w:color w:val="auto"/>
                <w:highlight w:val="none"/>
              </w:rPr>
            </w:pPr>
            <w:r>
              <w:rPr>
                <w:rFonts w:hint="eastAsia"/>
                <w:color w:val="auto"/>
                <w:highlight w:val="none"/>
              </w:rPr>
              <w:t>⑹有闸阀及报警阀须配设微动开关监察之用。</w:t>
            </w:r>
          </w:p>
          <w:p>
            <w:pPr>
              <w:rPr>
                <w:color w:val="auto"/>
                <w:highlight w:val="none"/>
              </w:rPr>
            </w:pPr>
            <w:r>
              <w:rPr>
                <w:rFonts w:hint="eastAsia"/>
                <w:color w:val="auto"/>
                <w:highlight w:val="none"/>
              </w:rPr>
              <w:t>其中：</w:t>
            </w:r>
          </w:p>
          <w:p>
            <w:pPr>
              <w:rPr>
                <w:color w:val="auto"/>
                <w:highlight w:val="none"/>
              </w:rPr>
            </w:pPr>
            <w:r>
              <w:rPr>
                <w:color w:val="auto"/>
                <w:highlight w:val="none"/>
              </w:rPr>
              <w:t>A</w:t>
            </w:r>
            <w:r>
              <w:rPr>
                <w:rFonts w:hint="eastAsia"/>
                <w:color w:val="auto"/>
                <w:highlight w:val="none"/>
              </w:rPr>
              <w:t>．湿式报警阀：阀体为铸铁；阀瓣为球墨铸铁，阀瓣及操作机构应动作灵活，无卡涩现象；密封用优质橡胶；除应有商标、型号、规格等标志外，尚应有水流方向的永久性标志。</w:t>
            </w:r>
          </w:p>
          <w:p>
            <w:pPr>
              <w:rPr>
                <w:color w:val="auto"/>
                <w:highlight w:val="none"/>
              </w:rPr>
            </w:pPr>
            <w:r>
              <w:rPr>
                <w:color w:val="auto"/>
                <w:highlight w:val="none"/>
              </w:rPr>
              <w:t>B</w:t>
            </w:r>
            <w:r>
              <w:rPr>
                <w:rFonts w:hint="eastAsia"/>
                <w:color w:val="auto"/>
                <w:highlight w:val="none"/>
              </w:rPr>
              <w:t>．水力警铃，外壳为铝质，采用水压驱动机械式操作，其铃锤应转动灵活无阻滞现象。</w:t>
            </w:r>
          </w:p>
          <w:p>
            <w:pPr>
              <w:rPr>
                <w:color w:val="auto"/>
                <w:highlight w:val="none"/>
              </w:rPr>
            </w:pPr>
            <w:r>
              <w:rPr>
                <w:color w:val="auto"/>
                <w:highlight w:val="none"/>
              </w:rPr>
              <w:t>C</w:t>
            </w:r>
            <w:r>
              <w:rPr>
                <w:rFonts w:hint="eastAsia"/>
                <w:color w:val="auto"/>
                <w:highlight w:val="none"/>
              </w:rPr>
              <w:t>．延时器，外壳为钢质。</w:t>
            </w:r>
          </w:p>
          <w:p>
            <w:pPr>
              <w:rPr>
                <w:color w:val="auto"/>
                <w:highlight w:val="none"/>
              </w:rPr>
            </w:pPr>
            <w:r>
              <w:rPr>
                <w:color w:val="auto"/>
                <w:highlight w:val="none"/>
              </w:rPr>
              <w:t>D</w:t>
            </w:r>
            <w:r>
              <w:rPr>
                <w:rFonts w:hint="eastAsia"/>
                <w:color w:val="auto"/>
                <w:highlight w:val="none"/>
              </w:rPr>
              <w:t>．压力开关，外壳为铝质，防水等级</w:t>
            </w:r>
            <w:r>
              <w:rPr>
                <w:color w:val="auto"/>
                <w:highlight w:val="none"/>
              </w:rPr>
              <w:t>IP54</w:t>
            </w:r>
            <w:r>
              <w:rPr>
                <w:rFonts w:hint="eastAsia"/>
                <w:color w:val="auto"/>
                <w:highlight w:val="none"/>
              </w:rPr>
              <w:t>。</w:t>
            </w:r>
          </w:p>
          <w:p>
            <w:pPr>
              <w:rPr>
                <w:color w:val="auto"/>
                <w:highlight w:val="none"/>
              </w:rPr>
            </w:pPr>
            <w:r>
              <w:rPr>
                <w:rFonts w:hint="eastAsia"/>
                <w:color w:val="auto"/>
                <w:highlight w:val="none"/>
              </w:rPr>
              <w:t>上述组件应有清晰的铭牌、安全操作指示标志和产品说明书。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19" w:type="dxa"/>
            <w:gridSpan w:val="2"/>
            <w:noWrap w:val="0"/>
            <w:vAlign w:val="center"/>
          </w:tcPr>
          <w:p>
            <w:pPr>
              <w:rPr>
                <w:color w:val="auto"/>
                <w:highlight w:val="none"/>
              </w:rPr>
            </w:pPr>
            <w:r>
              <w:rPr>
                <w:color w:val="auto"/>
                <w:highlight w:val="none"/>
              </w:rPr>
              <w:t>7</w:t>
            </w:r>
            <w:r>
              <w:rPr>
                <w:rFonts w:hint="eastAsia"/>
                <w:color w:val="auto"/>
                <w:highlight w:val="none"/>
              </w:rPr>
              <w:t>、室外消火栓、水泵接合器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19" w:type="dxa"/>
            <w:gridSpan w:val="2"/>
            <w:noWrap w:val="0"/>
            <w:vAlign w:val="top"/>
          </w:tcPr>
          <w:p>
            <w:pPr>
              <w:rPr>
                <w:color w:val="auto"/>
                <w:highlight w:val="none"/>
              </w:rPr>
            </w:pPr>
            <w:r>
              <w:rPr>
                <w:rFonts w:hint="eastAsia"/>
                <w:color w:val="auto"/>
                <w:highlight w:val="none"/>
              </w:rPr>
              <w:t>一、商务要求：</w:t>
            </w:r>
          </w:p>
          <w:p>
            <w:pPr>
              <w:rPr>
                <w:color w:val="auto"/>
                <w:highlight w:val="none"/>
              </w:rPr>
            </w:pPr>
            <w:r>
              <w:rPr>
                <w:color w:val="auto"/>
                <w:highlight w:val="none"/>
              </w:rPr>
              <w:t>1.</w:t>
            </w:r>
            <w:r>
              <w:rPr>
                <w:rFonts w:hint="eastAsia"/>
                <w:color w:val="auto"/>
                <w:highlight w:val="none"/>
              </w:rPr>
              <w:t>制造商应通过</w:t>
            </w:r>
            <w:r>
              <w:rPr>
                <w:color w:val="auto"/>
                <w:highlight w:val="none"/>
              </w:rPr>
              <w:t>GB/T19001-2008</w:t>
            </w:r>
            <w:r>
              <w:rPr>
                <w:rFonts w:hint="eastAsia"/>
                <w:color w:val="auto"/>
                <w:highlight w:val="none"/>
              </w:rPr>
              <w:t>质量管理体系认证。</w:t>
            </w:r>
          </w:p>
          <w:p>
            <w:pPr>
              <w:rPr>
                <w:color w:val="auto"/>
                <w:highlight w:val="none"/>
              </w:rPr>
            </w:pPr>
            <w:r>
              <w:rPr>
                <w:color w:val="auto"/>
                <w:highlight w:val="none"/>
              </w:rPr>
              <w:t>2.</w:t>
            </w:r>
            <w:r>
              <w:rPr>
                <w:rFonts w:hint="eastAsia"/>
                <w:color w:val="auto"/>
                <w:highlight w:val="none"/>
              </w:rPr>
              <w:t>制造商注册资本：不少于</w:t>
            </w:r>
            <w:r>
              <w:rPr>
                <w:color w:val="auto"/>
                <w:highlight w:val="none"/>
              </w:rPr>
              <w:t>3000</w:t>
            </w:r>
            <w:r>
              <w:rPr>
                <w:rFonts w:hint="eastAsia"/>
                <w:color w:val="auto"/>
                <w:highlight w:val="none"/>
              </w:rPr>
              <w:t>万人民币。</w:t>
            </w:r>
          </w:p>
          <w:p>
            <w:pPr>
              <w:rPr>
                <w:color w:val="auto"/>
                <w:highlight w:val="none"/>
              </w:rPr>
            </w:pPr>
            <w:r>
              <w:rPr>
                <w:color w:val="auto"/>
                <w:highlight w:val="none"/>
              </w:rPr>
              <w:t>3.</w:t>
            </w:r>
            <w:r>
              <w:rPr>
                <w:rFonts w:hint="eastAsia"/>
                <w:color w:val="auto"/>
                <w:highlight w:val="none"/>
              </w:rPr>
              <w:t>制造商在深圳地区设有完善的售后服务机构。</w:t>
            </w:r>
          </w:p>
          <w:p>
            <w:pPr>
              <w:rPr>
                <w:color w:val="auto"/>
                <w:highlight w:val="none"/>
              </w:rPr>
            </w:pPr>
            <w:r>
              <w:rPr>
                <w:rFonts w:hint="eastAsia"/>
                <w:color w:val="auto"/>
                <w:highlight w:val="none"/>
              </w:rPr>
              <w:t>二、技术要求：</w:t>
            </w:r>
          </w:p>
          <w:p>
            <w:pPr>
              <w:rPr>
                <w:color w:val="auto"/>
                <w:highlight w:val="none"/>
              </w:rPr>
            </w:pPr>
            <w:r>
              <w:rPr>
                <w:color w:val="auto"/>
                <w:highlight w:val="none"/>
              </w:rPr>
              <w:t>1.</w:t>
            </w:r>
            <w:r>
              <w:rPr>
                <w:rFonts w:hint="eastAsia"/>
                <w:color w:val="auto"/>
                <w:highlight w:val="none"/>
              </w:rPr>
              <w:t>产品通过国家强制性认证，并提供合格的型式检验报告。</w:t>
            </w:r>
          </w:p>
          <w:p>
            <w:pPr>
              <w:rPr>
                <w:color w:val="auto"/>
                <w:highlight w:val="none"/>
              </w:rPr>
            </w:pPr>
            <w:r>
              <w:rPr>
                <w:color w:val="auto"/>
                <w:highlight w:val="none"/>
              </w:rPr>
              <w:t>2.</w:t>
            </w:r>
            <w:r>
              <w:rPr>
                <w:rFonts w:hint="eastAsia"/>
                <w:color w:val="auto"/>
                <w:highlight w:val="none"/>
              </w:rPr>
              <w:t>符合国家或行业的生产技术标准。</w:t>
            </w:r>
          </w:p>
          <w:p>
            <w:pPr>
              <w:rPr>
                <w:color w:val="auto"/>
                <w:highlight w:val="none"/>
              </w:rPr>
            </w:pPr>
            <w:r>
              <w:rPr>
                <w:color w:val="auto"/>
                <w:highlight w:val="none"/>
              </w:rPr>
              <w:t>3.</w:t>
            </w:r>
            <w:r>
              <w:rPr>
                <w:rFonts w:hint="eastAsia"/>
                <w:color w:val="auto"/>
                <w:highlight w:val="none"/>
              </w:rPr>
              <w:t>室外消火栓符合《室外消火栓通用技术条件》</w:t>
            </w:r>
            <w:r>
              <w:rPr>
                <w:color w:val="auto"/>
                <w:highlight w:val="none"/>
              </w:rPr>
              <w:t>GB4452—2011</w:t>
            </w:r>
            <w:r>
              <w:rPr>
                <w:rFonts w:hint="eastAsia"/>
                <w:color w:val="auto"/>
                <w:highlight w:val="none"/>
              </w:rPr>
              <w:t>的要求。</w:t>
            </w:r>
          </w:p>
          <w:p>
            <w:pPr>
              <w:rPr>
                <w:color w:val="auto"/>
                <w:highlight w:val="none"/>
              </w:rPr>
            </w:pPr>
            <w:r>
              <w:rPr>
                <w:color w:val="auto"/>
                <w:highlight w:val="none"/>
              </w:rPr>
              <w:t>4.</w:t>
            </w:r>
            <w:r>
              <w:rPr>
                <w:rFonts w:hint="eastAsia"/>
                <w:color w:val="auto"/>
                <w:highlight w:val="none"/>
              </w:rPr>
              <w:t>水泵接合器产品应为双进水口、地上式，自带安全阀。</w:t>
            </w:r>
          </w:p>
          <w:p>
            <w:pPr>
              <w:rPr>
                <w:color w:val="auto"/>
                <w:highlight w:val="none"/>
              </w:rPr>
            </w:pPr>
            <w:r>
              <w:rPr>
                <w:color w:val="auto"/>
                <w:highlight w:val="none"/>
              </w:rPr>
              <w:t>5.</w:t>
            </w:r>
            <w:r>
              <w:rPr>
                <w:rFonts w:hint="eastAsia"/>
                <w:color w:val="auto"/>
                <w:highlight w:val="none"/>
              </w:rPr>
              <w:t>符合设计及有关规范要求。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19" w:type="dxa"/>
            <w:gridSpan w:val="2"/>
            <w:noWrap w:val="0"/>
            <w:vAlign w:val="center"/>
          </w:tcPr>
          <w:p>
            <w:pPr>
              <w:rPr>
                <w:color w:val="auto"/>
                <w:highlight w:val="none"/>
              </w:rPr>
            </w:pPr>
            <w:r>
              <w:rPr>
                <w:color w:val="auto"/>
                <w:highlight w:val="none"/>
              </w:rPr>
              <w:t>8</w:t>
            </w:r>
            <w:r>
              <w:rPr>
                <w:rFonts w:hint="eastAsia"/>
                <w:color w:val="auto"/>
                <w:highlight w:val="none"/>
              </w:rPr>
              <w:t>、水流指示器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19" w:type="dxa"/>
            <w:gridSpan w:val="2"/>
            <w:noWrap w:val="0"/>
            <w:vAlign w:val="top"/>
          </w:tcPr>
          <w:p>
            <w:pPr>
              <w:rPr>
                <w:color w:val="auto"/>
                <w:highlight w:val="none"/>
              </w:rPr>
            </w:pPr>
            <w:r>
              <w:rPr>
                <w:rFonts w:hint="eastAsia"/>
                <w:color w:val="auto"/>
                <w:highlight w:val="none"/>
              </w:rPr>
              <w:t>一、商务要求：</w:t>
            </w:r>
          </w:p>
          <w:p>
            <w:pPr>
              <w:rPr>
                <w:color w:val="auto"/>
                <w:highlight w:val="none"/>
              </w:rPr>
            </w:pPr>
            <w:r>
              <w:rPr>
                <w:color w:val="auto"/>
                <w:highlight w:val="none"/>
              </w:rPr>
              <w:t>1.</w:t>
            </w:r>
            <w:r>
              <w:rPr>
                <w:rFonts w:hint="eastAsia"/>
                <w:color w:val="auto"/>
                <w:highlight w:val="none"/>
              </w:rPr>
              <w:t>制造商应通过</w:t>
            </w:r>
            <w:r>
              <w:rPr>
                <w:color w:val="auto"/>
                <w:highlight w:val="none"/>
              </w:rPr>
              <w:t>GB/T19001-2008</w:t>
            </w:r>
            <w:r>
              <w:rPr>
                <w:rFonts w:hint="eastAsia"/>
                <w:color w:val="auto"/>
                <w:highlight w:val="none"/>
              </w:rPr>
              <w:t>质量管理体系认证。</w:t>
            </w:r>
          </w:p>
          <w:p>
            <w:pPr>
              <w:rPr>
                <w:color w:val="auto"/>
                <w:highlight w:val="none"/>
              </w:rPr>
            </w:pPr>
            <w:r>
              <w:rPr>
                <w:color w:val="auto"/>
                <w:highlight w:val="none"/>
              </w:rPr>
              <w:t>2.</w:t>
            </w:r>
            <w:r>
              <w:rPr>
                <w:rFonts w:hint="eastAsia"/>
                <w:color w:val="auto"/>
                <w:highlight w:val="none"/>
              </w:rPr>
              <w:t>制造商注册资本：不少于</w:t>
            </w:r>
            <w:r>
              <w:rPr>
                <w:color w:val="auto"/>
                <w:highlight w:val="none"/>
              </w:rPr>
              <w:t>3000</w:t>
            </w:r>
            <w:r>
              <w:rPr>
                <w:rFonts w:hint="eastAsia"/>
                <w:color w:val="auto"/>
                <w:highlight w:val="none"/>
              </w:rPr>
              <w:t>万人民币。</w:t>
            </w:r>
          </w:p>
          <w:p>
            <w:pPr>
              <w:rPr>
                <w:color w:val="auto"/>
                <w:highlight w:val="none"/>
              </w:rPr>
            </w:pPr>
            <w:r>
              <w:rPr>
                <w:color w:val="auto"/>
                <w:highlight w:val="none"/>
              </w:rPr>
              <w:t>3.</w:t>
            </w:r>
            <w:r>
              <w:rPr>
                <w:rFonts w:hint="eastAsia"/>
                <w:color w:val="auto"/>
                <w:highlight w:val="none"/>
              </w:rPr>
              <w:t>制造商在深圳地区设有完善的售后服务机构。</w:t>
            </w:r>
          </w:p>
          <w:p>
            <w:pPr>
              <w:rPr>
                <w:color w:val="auto"/>
                <w:highlight w:val="none"/>
              </w:rPr>
            </w:pPr>
            <w:r>
              <w:rPr>
                <w:rFonts w:hint="eastAsia"/>
                <w:color w:val="auto"/>
                <w:highlight w:val="none"/>
              </w:rPr>
              <w:t>二、技术要求：</w:t>
            </w:r>
          </w:p>
          <w:p>
            <w:pPr>
              <w:rPr>
                <w:color w:val="auto"/>
                <w:highlight w:val="none"/>
              </w:rPr>
            </w:pPr>
            <w:r>
              <w:rPr>
                <w:color w:val="auto"/>
                <w:highlight w:val="none"/>
              </w:rPr>
              <w:t>1.</w:t>
            </w:r>
            <w:r>
              <w:rPr>
                <w:rFonts w:hint="eastAsia"/>
                <w:color w:val="auto"/>
                <w:highlight w:val="none"/>
              </w:rPr>
              <w:t>产品通过国家强制性认证。</w:t>
            </w:r>
          </w:p>
          <w:p>
            <w:pPr>
              <w:rPr>
                <w:color w:val="auto"/>
                <w:highlight w:val="none"/>
              </w:rPr>
            </w:pPr>
            <w:r>
              <w:rPr>
                <w:color w:val="auto"/>
                <w:highlight w:val="none"/>
              </w:rPr>
              <w:t>2.</w:t>
            </w:r>
            <w:r>
              <w:rPr>
                <w:rFonts w:hint="eastAsia"/>
                <w:color w:val="auto"/>
                <w:highlight w:val="none"/>
              </w:rPr>
              <w:t>规格、压力等级以及连接方式应符合有关规范、标准和设计要求，并应有清晰的铭牌、安全操作指示标志和产品说明书，尚应有水流方向的永久性标志。</w:t>
            </w:r>
          </w:p>
          <w:p>
            <w:pPr>
              <w:rPr>
                <w:color w:val="auto"/>
                <w:highlight w:val="none"/>
              </w:rPr>
            </w:pPr>
            <w:r>
              <w:rPr>
                <w:color w:val="auto"/>
                <w:highlight w:val="none"/>
              </w:rPr>
              <w:t>3.</w:t>
            </w:r>
            <w:r>
              <w:rPr>
                <w:rFonts w:hint="eastAsia"/>
                <w:color w:val="auto"/>
                <w:highlight w:val="none"/>
              </w:rPr>
              <w:t>叶轮式，有一隔壁将水侧与电侧分离开，触点须适合于控制电路的工作电压与电流，其材料应为银或其他被认可的合金。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19" w:type="dxa"/>
            <w:gridSpan w:val="2"/>
            <w:noWrap w:val="0"/>
            <w:vAlign w:val="center"/>
          </w:tcPr>
          <w:p>
            <w:pPr>
              <w:rPr>
                <w:color w:val="auto"/>
                <w:highlight w:val="none"/>
              </w:rPr>
            </w:pPr>
            <w:r>
              <w:rPr>
                <w:color w:val="auto"/>
                <w:highlight w:val="none"/>
              </w:rPr>
              <w:t>9</w:t>
            </w:r>
            <w:r>
              <w:rPr>
                <w:rFonts w:hint="eastAsia"/>
                <w:color w:val="auto"/>
                <w:highlight w:val="none"/>
              </w:rPr>
              <w:t>、喷头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19" w:type="dxa"/>
            <w:gridSpan w:val="2"/>
            <w:noWrap w:val="0"/>
            <w:vAlign w:val="top"/>
          </w:tcPr>
          <w:p>
            <w:pPr>
              <w:rPr>
                <w:color w:val="auto"/>
                <w:highlight w:val="none"/>
              </w:rPr>
            </w:pPr>
            <w:r>
              <w:rPr>
                <w:rFonts w:hint="eastAsia"/>
                <w:color w:val="auto"/>
                <w:highlight w:val="none"/>
              </w:rPr>
              <w:t>一、商务要求：</w:t>
            </w:r>
          </w:p>
          <w:p>
            <w:pPr>
              <w:rPr>
                <w:color w:val="auto"/>
                <w:highlight w:val="none"/>
              </w:rPr>
            </w:pPr>
            <w:r>
              <w:rPr>
                <w:color w:val="auto"/>
                <w:highlight w:val="none"/>
              </w:rPr>
              <w:t>1.</w:t>
            </w:r>
            <w:r>
              <w:rPr>
                <w:rFonts w:hint="eastAsia"/>
                <w:color w:val="auto"/>
                <w:highlight w:val="none"/>
              </w:rPr>
              <w:t>制造商应通过</w:t>
            </w:r>
            <w:r>
              <w:rPr>
                <w:color w:val="auto"/>
                <w:highlight w:val="none"/>
              </w:rPr>
              <w:t>GB/T19001-2008</w:t>
            </w:r>
            <w:r>
              <w:rPr>
                <w:rFonts w:hint="eastAsia"/>
                <w:color w:val="auto"/>
                <w:highlight w:val="none"/>
              </w:rPr>
              <w:t>质量管理体系认证。</w:t>
            </w:r>
          </w:p>
          <w:p>
            <w:pPr>
              <w:rPr>
                <w:color w:val="auto"/>
                <w:highlight w:val="none"/>
              </w:rPr>
            </w:pPr>
            <w:r>
              <w:rPr>
                <w:color w:val="auto"/>
                <w:highlight w:val="none"/>
              </w:rPr>
              <w:t>2.</w:t>
            </w:r>
            <w:r>
              <w:rPr>
                <w:rFonts w:hint="eastAsia"/>
                <w:color w:val="auto"/>
                <w:highlight w:val="none"/>
              </w:rPr>
              <w:t>制造商注册资本：不少于</w:t>
            </w:r>
            <w:r>
              <w:rPr>
                <w:color w:val="auto"/>
                <w:highlight w:val="none"/>
              </w:rPr>
              <w:t>3000</w:t>
            </w:r>
            <w:r>
              <w:rPr>
                <w:rFonts w:hint="eastAsia"/>
                <w:color w:val="auto"/>
                <w:highlight w:val="none"/>
              </w:rPr>
              <w:t>万人民币。</w:t>
            </w:r>
          </w:p>
          <w:p>
            <w:pPr>
              <w:rPr>
                <w:color w:val="auto"/>
                <w:highlight w:val="none"/>
              </w:rPr>
            </w:pPr>
            <w:r>
              <w:rPr>
                <w:color w:val="auto"/>
                <w:highlight w:val="none"/>
              </w:rPr>
              <w:t>3.</w:t>
            </w:r>
            <w:r>
              <w:rPr>
                <w:rFonts w:hint="eastAsia"/>
                <w:color w:val="auto"/>
                <w:highlight w:val="none"/>
              </w:rPr>
              <w:t>制造商在深圳地区设有完善的售后服务机构。</w:t>
            </w:r>
          </w:p>
          <w:p>
            <w:pPr>
              <w:rPr>
                <w:color w:val="auto"/>
                <w:highlight w:val="none"/>
              </w:rPr>
            </w:pPr>
            <w:r>
              <w:rPr>
                <w:rFonts w:hint="eastAsia"/>
                <w:color w:val="auto"/>
                <w:highlight w:val="none"/>
              </w:rPr>
              <w:t>二、技术要求：</w:t>
            </w:r>
          </w:p>
          <w:p>
            <w:pPr>
              <w:rPr>
                <w:color w:val="auto"/>
                <w:highlight w:val="none"/>
              </w:rPr>
            </w:pPr>
            <w:r>
              <w:rPr>
                <w:color w:val="auto"/>
                <w:highlight w:val="none"/>
              </w:rPr>
              <w:t>1.</w:t>
            </w:r>
            <w:r>
              <w:rPr>
                <w:rFonts w:hint="eastAsia"/>
                <w:color w:val="auto"/>
                <w:highlight w:val="none"/>
              </w:rPr>
              <w:t>产品通过国家强制性认证。</w:t>
            </w:r>
          </w:p>
          <w:p>
            <w:pPr>
              <w:rPr>
                <w:color w:val="auto"/>
                <w:highlight w:val="none"/>
              </w:rPr>
            </w:pPr>
            <w:r>
              <w:rPr>
                <w:color w:val="auto"/>
                <w:highlight w:val="none"/>
              </w:rPr>
              <w:t>2.</w:t>
            </w:r>
            <w:r>
              <w:rPr>
                <w:rFonts w:hint="eastAsia"/>
                <w:color w:val="auto"/>
                <w:highlight w:val="none"/>
              </w:rPr>
              <w:t>要求是优质产品，规格应符合有关规范、标准和设计要求。</w:t>
            </w:r>
          </w:p>
          <w:p>
            <w:pPr>
              <w:rPr>
                <w:color w:val="auto"/>
                <w:highlight w:val="none"/>
              </w:rPr>
            </w:pPr>
            <w:r>
              <w:rPr>
                <w:color w:val="auto"/>
                <w:highlight w:val="none"/>
              </w:rPr>
              <w:t>3.</w:t>
            </w:r>
            <w:r>
              <w:rPr>
                <w:rFonts w:hint="eastAsia"/>
                <w:color w:val="auto"/>
                <w:highlight w:val="none"/>
              </w:rPr>
              <w:t>喷头的商标、型号、公称动作温度、制造厂及生产年月等标志应齐全。</w:t>
            </w:r>
          </w:p>
          <w:p>
            <w:pPr>
              <w:rPr>
                <w:color w:val="auto"/>
                <w:highlight w:val="none"/>
              </w:rPr>
            </w:pPr>
            <w:r>
              <w:rPr>
                <w:color w:val="auto"/>
                <w:highlight w:val="none"/>
              </w:rPr>
              <w:t>4.</w:t>
            </w:r>
            <w:r>
              <w:rPr>
                <w:rFonts w:hint="eastAsia"/>
                <w:color w:val="auto"/>
                <w:highlight w:val="none"/>
              </w:rPr>
              <w:t>喷头的金属部件应为镀铬黄铜，外观应无加工缺角和机械损伤，喷头螺纹密封面应无伤痕、毛刺、缺丝或断丝现象。</w:t>
            </w:r>
          </w:p>
          <w:p>
            <w:pPr>
              <w:rPr>
                <w:color w:val="auto"/>
                <w:highlight w:val="none"/>
              </w:rPr>
            </w:pPr>
            <w:r>
              <w:rPr>
                <w:color w:val="auto"/>
                <w:highlight w:val="none"/>
              </w:rPr>
              <w:t>5.</w:t>
            </w:r>
            <w:r>
              <w:rPr>
                <w:rFonts w:hint="eastAsia"/>
                <w:color w:val="auto"/>
                <w:highlight w:val="none"/>
              </w:rPr>
              <w:t>喷头的形式、温度等级等应符合设计及有关规范要求。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19" w:type="dxa"/>
            <w:gridSpan w:val="2"/>
            <w:noWrap w:val="0"/>
            <w:vAlign w:val="center"/>
          </w:tcPr>
          <w:p>
            <w:pPr>
              <w:rPr>
                <w:color w:val="auto"/>
                <w:highlight w:val="none"/>
              </w:rPr>
            </w:pPr>
            <w:r>
              <w:rPr>
                <w:color w:val="auto"/>
                <w:highlight w:val="none"/>
              </w:rPr>
              <w:t>10</w:t>
            </w:r>
            <w:r>
              <w:rPr>
                <w:rFonts w:hint="eastAsia"/>
                <w:color w:val="auto"/>
                <w:highlight w:val="none"/>
              </w:rPr>
              <w:t>、室内消火栓箱</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19" w:type="dxa"/>
            <w:gridSpan w:val="2"/>
            <w:noWrap w:val="0"/>
            <w:vAlign w:val="top"/>
          </w:tcPr>
          <w:p>
            <w:pPr>
              <w:rPr>
                <w:color w:val="auto"/>
                <w:highlight w:val="none"/>
              </w:rPr>
            </w:pPr>
            <w:r>
              <w:rPr>
                <w:rFonts w:hint="eastAsia"/>
                <w:color w:val="auto"/>
                <w:highlight w:val="none"/>
              </w:rPr>
              <w:t>一、商务要求：</w:t>
            </w:r>
          </w:p>
          <w:p>
            <w:pPr>
              <w:rPr>
                <w:color w:val="auto"/>
                <w:highlight w:val="none"/>
              </w:rPr>
            </w:pPr>
            <w:r>
              <w:rPr>
                <w:color w:val="auto"/>
                <w:highlight w:val="none"/>
              </w:rPr>
              <w:t>1.</w:t>
            </w:r>
            <w:r>
              <w:rPr>
                <w:rFonts w:hint="eastAsia"/>
                <w:color w:val="auto"/>
                <w:highlight w:val="none"/>
              </w:rPr>
              <w:t>制造商应通过</w:t>
            </w:r>
            <w:r>
              <w:rPr>
                <w:color w:val="auto"/>
                <w:highlight w:val="none"/>
              </w:rPr>
              <w:t>GB/T19001-2008</w:t>
            </w:r>
            <w:r>
              <w:rPr>
                <w:rFonts w:hint="eastAsia"/>
                <w:color w:val="auto"/>
                <w:highlight w:val="none"/>
              </w:rPr>
              <w:t>质量管理体系认证。</w:t>
            </w:r>
          </w:p>
          <w:p>
            <w:pPr>
              <w:rPr>
                <w:color w:val="auto"/>
                <w:highlight w:val="none"/>
              </w:rPr>
            </w:pPr>
            <w:r>
              <w:rPr>
                <w:color w:val="auto"/>
                <w:highlight w:val="none"/>
              </w:rPr>
              <w:t>2.</w:t>
            </w:r>
            <w:r>
              <w:rPr>
                <w:rFonts w:hint="eastAsia"/>
                <w:color w:val="auto"/>
                <w:highlight w:val="none"/>
              </w:rPr>
              <w:t>制造商注册资本：不少于</w:t>
            </w:r>
            <w:r>
              <w:rPr>
                <w:color w:val="auto"/>
                <w:highlight w:val="none"/>
              </w:rPr>
              <w:t>3000</w:t>
            </w:r>
            <w:r>
              <w:rPr>
                <w:rFonts w:hint="eastAsia"/>
                <w:color w:val="auto"/>
                <w:highlight w:val="none"/>
              </w:rPr>
              <w:t>万人民币。</w:t>
            </w:r>
          </w:p>
          <w:p>
            <w:pPr>
              <w:rPr>
                <w:color w:val="auto"/>
                <w:highlight w:val="none"/>
              </w:rPr>
            </w:pPr>
            <w:r>
              <w:rPr>
                <w:color w:val="auto"/>
                <w:highlight w:val="none"/>
              </w:rPr>
              <w:t>3.</w:t>
            </w:r>
            <w:r>
              <w:rPr>
                <w:rFonts w:hint="eastAsia"/>
                <w:color w:val="auto"/>
                <w:highlight w:val="none"/>
              </w:rPr>
              <w:t>制造商在深圳地区设有完善的售后服务机构。</w:t>
            </w:r>
          </w:p>
          <w:p>
            <w:pPr>
              <w:rPr>
                <w:color w:val="auto"/>
                <w:highlight w:val="none"/>
              </w:rPr>
            </w:pPr>
            <w:r>
              <w:rPr>
                <w:rFonts w:hint="eastAsia"/>
                <w:color w:val="auto"/>
                <w:highlight w:val="none"/>
              </w:rPr>
              <w:t>二、技术要求：</w:t>
            </w:r>
          </w:p>
          <w:p>
            <w:pPr>
              <w:rPr>
                <w:color w:val="auto"/>
                <w:highlight w:val="none"/>
              </w:rPr>
            </w:pPr>
            <w:r>
              <w:rPr>
                <w:color w:val="auto"/>
                <w:highlight w:val="none"/>
              </w:rPr>
              <w:t>1.</w:t>
            </w:r>
            <w:r>
              <w:rPr>
                <w:rFonts w:hint="eastAsia"/>
                <w:color w:val="auto"/>
                <w:highlight w:val="none"/>
              </w:rPr>
              <w:t>产品须提供合格的型式检查报告。</w:t>
            </w:r>
          </w:p>
          <w:p>
            <w:pPr>
              <w:rPr>
                <w:color w:val="auto"/>
                <w:highlight w:val="none"/>
              </w:rPr>
            </w:pPr>
            <w:r>
              <w:rPr>
                <w:color w:val="auto"/>
                <w:highlight w:val="none"/>
              </w:rPr>
              <w:t>2.</w:t>
            </w:r>
            <w:r>
              <w:rPr>
                <w:rFonts w:hint="eastAsia"/>
                <w:color w:val="auto"/>
                <w:highlight w:val="none"/>
              </w:rPr>
              <w:t>消防水带须通过国家强制性认证。</w:t>
            </w:r>
          </w:p>
          <w:p>
            <w:pPr>
              <w:rPr>
                <w:color w:val="auto"/>
                <w:highlight w:val="none"/>
              </w:rPr>
            </w:pPr>
            <w:r>
              <w:rPr>
                <w:color w:val="auto"/>
                <w:highlight w:val="none"/>
              </w:rPr>
              <w:t>3.</w:t>
            </w:r>
            <w:r>
              <w:rPr>
                <w:rFonts w:hint="eastAsia"/>
                <w:color w:val="auto"/>
                <w:highlight w:val="none"/>
              </w:rPr>
              <w:t>规格应符合有关规范、标准和设计要求。并经消防部门备案认可。</w:t>
            </w:r>
          </w:p>
          <w:p>
            <w:pPr>
              <w:rPr>
                <w:color w:val="auto"/>
                <w:highlight w:val="none"/>
              </w:rPr>
            </w:pPr>
            <w:r>
              <w:rPr>
                <w:color w:val="auto"/>
                <w:highlight w:val="none"/>
              </w:rPr>
              <w:t>4.</w:t>
            </w:r>
            <w:r>
              <w:rPr>
                <w:rFonts w:hint="eastAsia"/>
                <w:color w:val="auto"/>
                <w:highlight w:val="none"/>
              </w:rPr>
              <w:t>消火栓阀为单出口型内扣式接口，栓口直径为</w:t>
            </w:r>
            <w:r>
              <w:rPr>
                <w:color w:val="auto"/>
                <w:highlight w:val="none"/>
              </w:rPr>
              <w:t>DN65</w:t>
            </w:r>
            <w:r>
              <w:rPr>
                <w:rFonts w:hint="eastAsia"/>
                <w:color w:val="auto"/>
                <w:highlight w:val="none"/>
              </w:rPr>
              <w:t>毫米。超压区域的消火栓采用减压稳压消火栓。</w:t>
            </w:r>
          </w:p>
          <w:p>
            <w:pPr>
              <w:rPr>
                <w:color w:val="auto"/>
                <w:highlight w:val="none"/>
              </w:rPr>
            </w:pPr>
            <w:r>
              <w:rPr>
                <w:color w:val="auto"/>
                <w:highlight w:val="none"/>
              </w:rPr>
              <w:t>5.</w:t>
            </w:r>
            <w:r>
              <w:rPr>
                <w:rFonts w:hint="eastAsia"/>
                <w:color w:val="auto"/>
                <w:highlight w:val="none"/>
              </w:rPr>
              <w:t>消火栓的开启方向须为反时针，并应有明显的中英文开关指标。</w:t>
            </w:r>
          </w:p>
          <w:p>
            <w:pPr>
              <w:rPr>
                <w:color w:val="auto"/>
                <w:highlight w:val="none"/>
              </w:rPr>
            </w:pPr>
            <w:r>
              <w:rPr>
                <w:color w:val="auto"/>
                <w:highlight w:val="none"/>
              </w:rPr>
              <w:t>6.</w:t>
            </w:r>
            <w:r>
              <w:rPr>
                <w:rFonts w:hint="eastAsia"/>
                <w:color w:val="auto"/>
                <w:highlight w:val="none"/>
              </w:rPr>
              <w:t>消防水龙带：长</w:t>
            </w:r>
            <w:r>
              <w:rPr>
                <w:color w:val="auto"/>
                <w:highlight w:val="none"/>
              </w:rPr>
              <w:t>25</w:t>
            </w:r>
            <w:r>
              <w:rPr>
                <w:rFonts w:hint="eastAsia"/>
                <w:color w:val="auto"/>
                <w:highlight w:val="none"/>
              </w:rPr>
              <w:t>米帆布或尼龙质，并须能抵受不小于</w:t>
            </w:r>
            <w:r>
              <w:rPr>
                <w:color w:val="auto"/>
                <w:highlight w:val="none"/>
              </w:rPr>
              <w:t>2.7MPa</w:t>
            </w:r>
            <w:r>
              <w:rPr>
                <w:rFonts w:hint="eastAsia"/>
                <w:color w:val="auto"/>
                <w:highlight w:val="none"/>
              </w:rPr>
              <w:t>的破裂压力。</w:t>
            </w:r>
          </w:p>
          <w:p>
            <w:pPr>
              <w:rPr>
                <w:color w:val="auto"/>
                <w:highlight w:val="none"/>
              </w:rPr>
            </w:pPr>
            <w:r>
              <w:rPr>
                <w:color w:val="auto"/>
                <w:highlight w:val="none"/>
              </w:rPr>
              <w:t>7.</w:t>
            </w:r>
            <w:r>
              <w:rPr>
                <w:rFonts w:hint="eastAsia"/>
                <w:color w:val="auto"/>
                <w:highlight w:val="none"/>
              </w:rPr>
              <w:t>水枪：由铝合金铸造，表面须作阳极氧化处理。喷嘴口径为</w:t>
            </w:r>
            <w:r>
              <w:rPr>
                <w:color w:val="auto"/>
                <w:highlight w:val="none"/>
              </w:rPr>
              <w:t>19</w:t>
            </w:r>
            <w:r>
              <w:rPr>
                <w:rFonts w:hint="eastAsia"/>
                <w:color w:val="auto"/>
                <w:highlight w:val="none"/>
              </w:rPr>
              <w:t>毫米，其通过的流量不小于</w:t>
            </w:r>
            <w:r>
              <w:rPr>
                <w:color w:val="auto"/>
                <w:highlight w:val="none"/>
              </w:rPr>
              <w:t>5</w:t>
            </w:r>
            <w:r>
              <w:rPr>
                <w:rFonts w:hint="eastAsia"/>
                <w:color w:val="auto"/>
                <w:highlight w:val="none"/>
              </w:rPr>
              <w:t>升</w:t>
            </w:r>
            <w:r>
              <w:rPr>
                <w:color w:val="auto"/>
                <w:highlight w:val="none"/>
              </w:rPr>
              <w:t>/</w:t>
            </w:r>
            <w:r>
              <w:rPr>
                <w:rFonts w:hint="eastAsia"/>
                <w:color w:val="auto"/>
                <w:highlight w:val="none"/>
              </w:rPr>
              <w:t>秒。</w:t>
            </w:r>
          </w:p>
          <w:p>
            <w:pPr>
              <w:rPr>
                <w:color w:val="auto"/>
                <w:highlight w:val="none"/>
              </w:rPr>
            </w:pPr>
            <w:r>
              <w:rPr>
                <w:color w:val="auto"/>
                <w:highlight w:val="none"/>
              </w:rPr>
              <w:t>8.</w:t>
            </w:r>
            <w:r>
              <w:rPr>
                <w:rFonts w:hint="eastAsia"/>
                <w:color w:val="auto"/>
                <w:highlight w:val="none"/>
              </w:rPr>
              <w:t>消防卷盘；</w:t>
            </w:r>
          </w:p>
          <w:p>
            <w:pPr>
              <w:rPr>
                <w:color w:val="auto"/>
                <w:highlight w:val="none"/>
              </w:rPr>
            </w:pPr>
            <w:r>
              <w:rPr>
                <w:rFonts w:hint="eastAsia"/>
                <w:color w:val="auto"/>
                <w:highlight w:val="none"/>
              </w:rPr>
              <w:t>⑴采用固定式或摇摆式。</w:t>
            </w:r>
          </w:p>
          <w:p>
            <w:pPr>
              <w:rPr>
                <w:color w:val="auto"/>
                <w:highlight w:val="none"/>
              </w:rPr>
            </w:pPr>
            <w:r>
              <w:rPr>
                <w:rFonts w:hint="eastAsia"/>
                <w:color w:val="auto"/>
                <w:highlight w:val="none"/>
              </w:rPr>
              <w:t>⑵软管应为一条长</w:t>
            </w:r>
            <w:r>
              <w:rPr>
                <w:color w:val="auto"/>
                <w:highlight w:val="none"/>
              </w:rPr>
              <w:t>25</w:t>
            </w:r>
            <w:r>
              <w:rPr>
                <w:rFonts w:hint="eastAsia"/>
                <w:color w:val="auto"/>
                <w:highlight w:val="none"/>
              </w:rPr>
              <w:t>米、内径</w:t>
            </w:r>
            <w:r>
              <w:rPr>
                <w:color w:val="auto"/>
                <w:highlight w:val="none"/>
              </w:rPr>
              <w:t>19</w:t>
            </w:r>
            <w:r>
              <w:rPr>
                <w:rFonts w:hint="eastAsia"/>
                <w:color w:val="auto"/>
                <w:highlight w:val="none"/>
              </w:rPr>
              <w:t>毫米的加强橡胶喉管，并应容易地在</w:t>
            </w:r>
            <w:r>
              <w:rPr>
                <w:color w:val="auto"/>
                <w:highlight w:val="none"/>
              </w:rPr>
              <w:t>150</w:t>
            </w:r>
            <w:r>
              <w:rPr>
                <w:rFonts w:hint="eastAsia"/>
                <w:color w:val="auto"/>
                <w:highlight w:val="none"/>
              </w:rPr>
              <w:t>毫米直径的卷盘上绕卷而不呈屈曲状态，还能抵受不小于</w:t>
            </w:r>
            <w:r>
              <w:rPr>
                <w:color w:val="auto"/>
                <w:highlight w:val="none"/>
              </w:rPr>
              <w:t>2.7MPa</w:t>
            </w:r>
            <w:r>
              <w:rPr>
                <w:rFonts w:hint="eastAsia"/>
                <w:color w:val="auto"/>
                <w:highlight w:val="none"/>
              </w:rPr>
              <w:t>的破裂压力。</w:t>
            </w:r>
          </w:p>
          <w:p>
            <w:pPr>
              <w:rPr>
                <w:color w:val="auto"/>
                <w:highlight w:val="none"/>
              </w:rPr>
            </w:pPr>
            <w:r>
              <w:rPr>
                <w:rFonts w:hint="eastAsia"/>
                <w:color w:val="auto"/>
                <w:highlight w:val="none"/>
              </w:rPr>
              <w:t>⑶鼓盘应由重型镀锌铁片制造。</w:t>
            </w:r>
          </w:p>
          <w:p>
            <w:pPr>
              <w:rPr>
                <w:color w:val="auto"/>
                <w:highlight w:val="none"/>
              </w:rPr>
            </w:pPr>
            <w:r>
              <w:rPr>
                <w:rFonts w:hint="eastAsia"/>
                <w:color w:val="auto"/>
                <w:highlight w:val="none"/>
              </w:rPr>
              <w:t>⑷软管应配有一个</w:t>
            </w:r>
            <w:r>
              <w:rPr>
                <w:color w:val="auto"/>
                <w:highlight w:val="none"/>
              </w:rPr>
              <w:t>6.0</w:t>
            </w:r>
            <w:r>
              <w:rPr>
                <w:rFonts w:hint="eastAsia"/>
                <w:color w:val="auto"/>
                <w:highlight w:val="none"/>
              </w:rPr>
              <w:t>毫米口径的喷嘴连带一个简易开关的双向阀，双向阀不得为弹簧作用型。喷嘴的射流在最低工作压力时不得少于</w:t>
            </w:r>
            <w:r>
              <w:rPr>
                <w:color w:val="auto"/>
                <w:highlight w:val="none"/>
              </w:rPr>
              <w:t>6</w:t>
            </w:r>
            <w:r>
              <w:rPr>
                <w:rFonts w:hint="eastAsia"/>
                <w:color w:val="auto"/>
                <w:highlight w:val="none"/>
              </w:rPr>
              <w:t>米长。</w:t>
            </w:r>
          </w:p>
          <w:p>
            <w:pPr>
              <w:rPr>
                <w:color w:val="auto"/>
                <w:highlight w:val="none"/>
              </w:rPr>
            </w:pPr>
            <w:r>
              <w:rPr>
                <w:rFonts w:hint="eastAsia"/>
                <w:color w:val="auto"/>
                <w:highlight w:val="none"/>
              </w:rPr>
              <w:t>⑸在每个消防卷盘的位置需提供一块不少于</w:t>
            </w:r>
            <w:r>
              <w:rPr>
                <w:color w:val="auto"/>
                <w:highlight w:val="none"/>
              </w:rPr>
              <w:t>1.5</w:t>
            </w:r>
            <w:r>
              <w:rPr>
                <w:rFonts w:hint="eastAsia"/>
                <w:color w:val="auto"/>
                <w:highlight w:val="none"/>
              </w:rPr>
              <w:t>毫米厚的不锈钢操作指示牌，牌上刻明使用卷盘的指示和说明。</w:t>
            </w:r>
          </w:p>
          <w:p>
            <w:pPr>
              <w:rPr>
                <w:color w:val="auto"/>
                <w:highlight w:val="none"/>
              </w:rPr>
            </w:pPr>
            <w:r>
              <w:rPr>
                <w:color w:val="auto"/>
                <w:highlight w:val="none"/>
              </w:rPr>
              <w:t>9.</w:t>
            </w:r>
            <w:r>
              <w:rPr>
                <w:rFonts w:hint="eastAsia"/>
                <w:color w:val="auto"/>
                <w:highlight w:val="none"/>
              </w:rPr>
              <w:t>消火栓箱质量应满足</w:t>
            </w:r>
            <w:r>
              <w:rPr>
                <w:color w:val="auto"/>
                <w:highlight w:val="none"/>
              </w:rPr>
              <w:t>GB14561</w:t>
            </w:r>
            <w:r>
              <w:rPr>
                <w:rFonts w:hint="eastAsia"/>
                <w:color w:val="auto"/>
                <w:highlight w:val="none"/>
              </w:rPr>
              <w:t>《消火栓箱》要求：</w:t>
            </w:r>
          </w:p>
          <w:p>
            <w:pPr>
              <w:rPr>
                <w:color w:val="auto"/>
                <w:highlight w:val="none"/>
              </w:rPr>
            </w:pPr>
            <w:r>
              <w:rPr>
                <w:rFonts w:hint="eastAsia"/>
                <w:color w:val="auto"/>
                <w:highlight w:val="none"/>
              </w:rPr>
              <w:t>⑴箱体应使用钢板、箱门框使用铝合金材料制造，材料厚度不小于</w:t>
            </w:r>
            <w:r>
              <w:rPr>
                <w:color w:val="auto"/>
                <w:highlight w:val="none"/>
              </w:rPr>
              <w:t>1.2mm</w:t>
            </w:r>
            <w:r>
              <w:rPr>
                <w:rFonts w:hint="eastAsia"/>
                <w:color w:val="auto"/>
                <w:highlight w:val="none"/>
              </w:rPr>
              <w:t>；箱门玻璃采用磨砂玻璃或茶色玻璃，厚度不得小于</w:t>
            </w:r>
            <w:r>
              <w:rPr>
                <w:color w:val="auto"/>
                <w:highlight w:val="none"/>
              </w:rPr>
              <w:t>3mm</w:t>
            </w:r>
            <w:r>
              <w:rPr>
                <w:rFonts w:hint="eastAsia"/>
                <w:color w:val="auto"/>
                <w:highlight w:val="none"/>
              </w:rPr>
              <w:t>；水带挂架应用耐腐蚀材料制成，若用其他材料必须进行耐腐蚀处理；</w:t>
            </w:r>
          </w:p>
          <w:p>
            <w:pPr>
              <w:rPr>
                <w:color w:val="auto"/>
                <w:highlight w:val="none"/>
              </w:rPr>
            </w:pPr>
            <w:r>
              <w:rPr>
                <w:rFonts w:hint="eastAsia"/>
                <w:color w:val="auto"/>
                <w:highlight w:val="none"/>
              </w:rPr>
              <w:t>⑵箱门正面零部件凸出表面的高度</w:t>
            </w:r>
            <w:r>
              <w:rPr>
                <w:color w:val="auto"/>
                <w:highlight w:val="none"/>
              </w:rPr>
              <w:t>&lt;15mm</w:t>
            </w:r>
            <w:r>
              <w:rPr>
                <w:rFonts w:hint="eastAsia"/>
                <w:color w:val="auto"/>
                <w:highlight w:val="none"/>
              </w:rPr>
              <w:t>，其余各面零部件凸出表面的高度</w:t>
            </w:r>
            <w:r>
              <w:rPr>
                <w:color w:val="auto"/>
                <w:highlight w:val="none"/>
              </w:rPr>
              <w:t>&lt;10mm</w:t>
            </w:r>
            <w:r>
              <w:rPr>
                <w:rFonts w:hint="eastAsia"/>
                <w:color w:val="auto"/>
                <w:highlight w:val="none"/>
              </w:rPr>
              <w:t>；箱体内外表面应作防腐处理。进行涂漆防腐处理的箱体，其涂层应均匀一致，平整光亮、色泽美观，不得有气泡、流痕、剥落等缺陷；（箱门四角必须经过包角处理）</w:t>
            </w:r>
          </w:p>
          <w:p>
            <w:pPr>
              <w:rPr>
                <w:color w:val="auto"/>
                <w:highlight w:val="none"/>
              </w:rPr>
            </w:pPr>
            <w:r>
              <w:rPr>
                <w:rFonts w:hint="eastAsia"/>
                <w:color w:val="auto"/>
                <w:highlight w:val="none"/>
              </w:rPr>
              <w:t>⑶固定水带挂架的箱面应能承受</w:t>
            </w:r>
            <w:r>
              <w:rPr>
                <w:color w:val="auto"/>
                <w:highlight w:val="none"/>
              </w:rPr>
              <w:t>40Nm</w:t>
            </w:r>
            <w:r>
              <w:rPr>
                <w:rFonts w:hint="eastAsia"/>
                <w:color w:val="auto"/>
                <w:highlight w:val="none"/>
              </w:rPr>
              <w:t>的力矩，箱体该面的最大凹陷变形</w:t>
            </w:r>
            <w:r>
              <w:rPr>
                <w:color w:val="auto"/>
                <w:highlight w:val="none"/>
              </w:rPr>
              <w:t>&lt;2mm</w:t>
            </w:r>
            <w:r>
              <w:rPr>
                <w:rFonts w:hint="eastAsia"/>
                <w:color w:val="auto"/>
                <w:highlight w:val="none"/>
              </w:rPr>
              <w:t>；</w:t>
            </w:r>
          </w:p>
          <w:p>
            <w:pPr>
              <w:rPr>
                <w:color w:val="auto"/>
                <w:highlight w:val="none"/>
              </w:rPr>
            </w:pPr>
            <w:r>
              <w:rPr>
                <w:rFonts w:hint="eastAsia"/>
                <w:color w:val="auto"/>
                <w:highlight w:val="none"/>
              </w:rPr>
              <w:t>⑷箱门正面应以直观、醒目、匀整的字体标准注出“消火栓”字样，并应设置名牌；箱体应设置门锁，开启操作灵活、可靠；箱门开启角度</w:t>
            </w:r>
            <w:r>
              <w:rPr>
                <w:color w:val="auto"/>
                <w:highlight w:val="none"/>
              </w:rPr>
              <w:t>&gt;175</w:t>
            </w:r>
            <w:r>
              <w:rPr>
                <w:rFonts w:hint="eastAsia"/>
                <w:color w:val="auto"/>
                <w:highlight w:val="none"/>
              </w:rPr>
              <w:t>°，开启拉力</w:t>
            </w:r>
            <w:r>
              <w:rPr>
                <w:color w:val="auto"/>
                <w:highlight w:val="none"/>
              </w:rPr>
              <w:t>&lt;50N</w:t>
            </w:r>
            <w:r>
              <w:rPr>
                <w:rFonts w:hint="eastAsia"/>
                <w:color w:val="auto"/>
                <w:highlight w:val="none"/>
              </w:rPr>
              <w:t>；</w:t>
            </w:r>
          </w:p>
          <w:p>
            <w:pPr>
              <w:rPr>
                <w:color w:val="auto"/>
                <w:highlight w:val="none"/>
              </w:rPr>
            </w:pPr>
            <w:r>
              <w:rPr>
                <w:rFonts w:hint="eastAsia"/>
                <w:color w:val="auto"/>
                <w:highlight w:val="none"/>
              </w:rPr>
              <w:t>⑸箱内电气设备技术要求见下表：</w:t>
            </w:r>
          </w:p>
          <w:tbl>
            <w:tblPr>
              <w:tblStyle w:val="43"/>
              <w:tblpPr w:leftFromText="181" w:rightFromText="181" w:vertAnchor="text" w:horzAnchor="margin" w:tblpXSpec="center" w:tblpY="76"/>
              <w:tblOverlap w:val="never"/>
              <w:tblW w:w="8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849"/>
              <w:gridCol w:w="5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trPr>
              <w:tc>
                <w:tcPr>
                  <w:tcW w:w="1130" w:type="dxa"/>
                  <w:vMerge w:val="restart"/>
                  <w:tcBorders>
                    <w:top w:val="single" w:color="auto" w:sz="4" w:space="0"/>
                    <w:left w:val="single" w:color="auto" w:sz="4" w:space="0"/>
                    <w:bottom w:val="single" w:color="auto" w:sz="4" w:space="0"/>
                    <w:right w:val="single" w:color="auto" w:sz="4" w:space="0"/>
                  </w:tcBorders>
                  <w:noWrap w:val="0"/>
                  <w:textDirection w:val="tbRlV"/>
                  <w:vAlign w:val="center"/>
                </w:tcPr>
                <w:p>
                  <w:pPr>
                    <w:rPr>
                      <w:color w:val="auto"/>
                      <w:highlight w:val="none"/>
                    </w:rPr>
                  </w:pPr>
                  <w:r>
                    <w:rPr>
                      <w:rFonts w:hint="eastAsia"/>
                      <w:color w:val="auto"/>
                      <w:highlight w:val="none"/>
                    </w:rPr>
                    <w:t>电气器备</w:t>
                  </w:r>
                </w:p>
              </w:tc>
              <w:tc>
                <w:tcPr>
                  <w:tcW w:w="1849"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操作性能</w:t>
                  </w:r>
                </w:p>
              </w:tc>
              <w:tc>
                <w:tcPr>
                  <w:tcW w:w="5391"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按钮应有防止误动作性能，操作方便、报警可靠。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4" w:hRule="atLeast"/>
              </w:trPr>
              <w:tc>
                <w:tcPr>
                  <w:tcW w:w="1130" w:type="dxa"/>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1849"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指示灯能</w:t>
                  </w:r>
                </w:p>
              </w:tc>
              <w:tc>
                <w:tcPr>
                  <w:tcW w:w="5391"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防火、防尘、为红色，距</w:t>
                  </w:r>
                  <w:r>
                    <w:rPr>
                      <w:color w:val="auto"/>
                      <w:highlight w:val="none"/>
                    </w:rPr>
                    <w:t>3m</w:t>
                  </w:r>
                  <w:r>
                    <w:rPr>
                      <w:rFonts w:hint="eastAsia"/>
                      <w:color w:val="auto"/>
                      <w:highlight w:val="none"/>
                    </w:rPr>
                    <w:t>处清晰可见。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 w:hRule="atLeast"/>
              </w:trPr>
              <w:tc>
                <w:tcPr>
                  <w:tcW w:w="1130" w:type="dxa"/>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1849"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安全性能</w:t>
                  </w:r>
                </w:p>
              </w:tc>
              <w:tc>
                <w:tcPr>
                  <w:tcW w:w="5391"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绝缘电阻</w:t>
                  </w:r>
                  <w:r>
                    <w:rPr>
                      <w:color w:val="auto"/>
                      <w:highlight w:val="none"/>
                    </w:rPr>
                    <w:t>&gt;50m</w:t>
                  </w:r>
                  <w:r>
                    <w:rPr>
                      <w:rFonts w:hint="eastAsia"/>
                      <w:color w:val="auto"/>
                      <w:highlight w:val="none"/>
                    </w:rPr>
                    <w:t>Ω</w:t>
                  </w:r>
                </w:p>
              </w:tc>
            </w:tr>
          </w:tbl>
          <w:p>
            <w:pPr>
              <w:rPr>
                <w:color w:val="auto"/>
                <w:highlight w:val="none"/>
              </w:rPr>
            </w:pPr>
          </w:p>
          <w:p>
            <w:pPr>
              <w:rPr>
                <w:color w:val="auto"/>
                <w:highlight w:val="none"/>
              </w:rPr>
            </w:pPr>
          </w:p>
          <w:p>
            <w:pPr>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19" w:type="dxa"/>
            <w:gridSpan w:val="2"/>
            <w:noWrap w:val="0"/>
            <w:vAlign w:val="center"/>
          </w:tcPr>
          <w:p>
            <w:pPr>
              <w:rPr>
                <w:color w:val="auto"/>
                <w:highlight w:val="none"/>
              </w:rPr>
            </w:pPr>
            <w:r>
              <w:rPr>
                <w:color w:val="auto"/>
                <w:highlight w:val="none"/>
              </w:rPr>
              <w:t>11</w:t>
            </w:r>
            <w:r>
              <w:rPr>
                <w:rFonts w:hint="eastAsia"/>
                <w:color w:val="auto"/>
                <w:highlight w:val="none"/>
              </w:rPr>
              <w:t>、消防水泵及稳压设备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19" w:type="dxa"/>
            <w:gridSpan w:val="2"/>
            <w:noWrap w:val="0"/>
            <w:vAlign w:val="top"/>
          </w:tcPr>
          <w:p>
            <w:pPr>
              <w:rPr>
                <w:color w:val="auto"/>
                <w:highlight w:val="none"/>
              </w:rPr>
            </w:pPr>
            <w:r>
              <w:rPr>
                <w:rFonts w:hint="eastAsia"/>
                <w:color w:val="auto"/>
                <w:highlight w:val="none"/>
              </w:rPr>
              <w:t>一、商务要求：</w:t>
            </w:r>
          </w:p>
          <w:p>
            <w:pPr>
              <w:rPr>
                <w:color w:val="auto"/>
                <w:highlight w:val="none"/>
              </w:rPr>
            </w:pPr>
            <w:r>
              <w:rPr>
                <w:color w:val="auto"/>
                <w:highlight w:val="none"/>
              </w:rPr>
              <w:t>1.</w:t>
            </w:r>
            <w:r>
              <w:rPr>
                <w:rFonts w:hint="eastAsia"/>
                <w:color w:val="auto"/>
                <w:highlight w:val="none"/>
              </w:rPr>
              <w:t>制造商应通过</w:t>
            </w:r>
            <w:r>
              <w:rPr>
                <w:color w:val="auto"/>
                <w:highlight w:val="none"/>
              </w:rPr>
              <w:t>GB/T19001-2008</w:t>
            </w:r>
            <w:r>
              <w:rPr>
                <w:rFonts w:hint="eastAsia"/>
                <w:color w:val="auto"/>
                <w:highlight w:val="none"/>
              </w:rPr>
              <w:t>质量管理体系认证。</w:t>
            </w:r>
          </w:p>
          <w:p>
            <w:pPr>
              <w:rPr>
                <w:color w:val="auto"/>
                <w:highlight w:val="none"/>
              </w:rPr>
            </w:pPr>
            <w:r>
              <w:rPr>
                <w:color w:val="auto"/>
                <w:highlight w:val="none"/>
              </w:rPr>
              <w:t>2.</w:t>
            </w:r>
            <w:r>
              <w:rPr>
                <w:rFonts w:hint="eastAsia"/>
                <w:color w:val="auto"/>
                <w:highlight w:val="none"/>
              </w:rPr>
              <w:t>制造商注册资本：不少于</w:t>
            </w:r>
            <w:r>
              <w:rPr>
                <w:color w:val="auto"/>
                <w:highlight w:val="none"/>
              </w:rPr>
              <w:t>2000</w:t>
            </w:r>
            <w:r>
              <w:rPr>
                <w:rFonts w:hint="eastAsia"/>
                <w:color w:val="auto"/>
                <w:highlight w:val="none"/>
              </w:rPr>
              <w:t>万人民币。</w:t>
            </w:r>
          </w:p>
          <w:p>
            <w:pPr>
              <w:rPr>
                <w:color w:val="auto"/>
                <w:highlight w:val="none"/>
              </w:rPr>
            </w:pPr>
            <w:r>
              <w:rPr>
                <w:color w:val="auto"/>
                <w:highlight w:val="none"/>
              </w:rPr>
              <w:t>3.</w:t>
            </w:r>
            <w:r>
              <w:rPr>
                <w:rFonts w:hint="eastAsia"/>
                <w:color w:val="auto"/>
                <w:highlight w:val="none"/>
              </w:rPr>
              <w:t>采用国家知名品牌产品，产品应符合有关国家标准和设计要求。</w:t>
            </w:r>
          </w:p>
          <w:p>
            <w:pPr>
              <w:rPr>
                <w:color w:val="auto"/>
                <w:highlight w:val="none"/>
              </w:rPr>
            </w:pPr>
            <w:r>
              <w:rPr>
                <w:color w:val="auto"/>
                <w:highlight w:val="none"/>
              </w:rPr>
              <w:t>4.</w:t>
            </w:r>
            <w:r>
              <w:rPr>
                <w:rFonts w:hint="eastAsia"/>
                <w:color w:val="auto"/>
                <w:highlight w:val="none"/>
              </w:rPr>
              <w:t>水泵必须符合国家节能产品标准。</w:t>
            </w:r>
          </w:p>
          <w:p>
            <w:pPr>
              <w:rPr>
                <w:color w:val="auto"/>
                <w:highlight w:val="none"/>
              </w:rPr>
            </w:pPr>
            <w:r>
              <w:rPr>
                <w:color w:val="auto"/>
                <w:highlight w:val="none"/>
              </w:rPr>
              <w:t>5.</w:t>
            </w:r>
            <w:r>
              <w:rPr>
                <w:rFonts w:hint="eastAsia"/>
                <w:color w:val="auto"/>
                <w:highlight w:val="none"/>
              </w:rPr>
              <w:t>制造商在深圳地区设有完善的售后服务机构。</w:t>
            </w:r>
          </w:p>
          <w:p>
            <w:pPr>
              <w:rPr>
                <w:color w:val="auto"/>
                <w:highlight w:val="none"/>
              </w:rPr>
            </w:pPr>
            <w:r>
              <w:rPr>
                <w:color w:val="auto"/>
                <w:highlight w:val="none"/>
              </w:rPr>
              <w:t>6.</w:t>
            </w:r>
            <w:r>
              <w:rPr>
                <w:rFonts w:hint="eastAsia"/>
                <w:color w:val="auto"/>
                <w:highlight w:val="none"/>
              </w:rPr>
              <w:t>产品通过国家强制性认证。</w:t>
            </w:r>
          </w:p>
          <w:p>
            <w:pPr>
              <w:rPr>
                <w:color w:val="auto"/>
                <w:highlight w:val="none"/>
              </w:rPr>
            </w:pPr>
          </w:p>
          <w:p>
            <w:pPr>
              <w:rPr>
                <w:color w:val="auto"/>
                <w:highlight w:val="none"/>
              </w:rPr>
            </w:pPr>
            <w:r>
              <w:rPr>
                <w:rFonts w:hint="eastAsia"/>
                <w:color w:val="auto"/>
                <w:highlight w:val="none"/>
              </w:rPr>
              <w:t>二、技术要求：</w:t>
            </w:r>
          </w:p>
          <w:p>
            <w:pPr>
              <w:rPr>
                <w:color w:val="auto"/>
                <w:highlight w:val="none"/>
              </w:rPr>
            </w:pPr>
            <w:r>
              <w:rPr>
                <w:color w:val="auto"/>
                <w:highlight w:val="none"/>
              </w:rPr>
              <w:t>1.</w:t>
            </w:r>
            <w:r>
              <w:rPr>
                <w:rFonts w:hint="eastAsia"/>
                <w:color w:val="auto"/>
                <w:highlight w:val="none"/>
              </w:rPr>
              <w:t>水泵采用离心泵，泵壳采用优质铸铁或不锈钢材质；叶轮采用青铜或不锈钢材质；泵轴采用不锈钢材质。</w:t>
            </w:r>
          </w:p>
          <w:p>
            <w:pPr>
              <w:rPr>
                <w:color w:val="auto"/>
                <w:highlight w:val="none"/>
              </w:rPr>
            </w:pPr>
            <w:r>
              <w:rPr>
                <w:color w:val="auto"/>
                <w:highlight w:val="none"/>
              </w:rPr>
              <w:t>2.</w:t>
            </w:r>
            <w:r>
              <w:rPr>
                <w:rFonts w:hint="eastAsia"/>
                <w:color w:val="auto"/>
                <w:highlight w:val="none"/>
              </w:rPr>
              <w:t>水泵须保证能安全运行至少</w:t>
            </w:r>
            <w:r>
              <w:rPr>
                <w:color w:val="auto"/>
                <w:highlight w:val="none"/>
              </w:rPr>
              <w:t>10</w:t>
            </w:r>
            <w:r>
              <w:rPr>
                <w:rFonts w:hint="eastAsia"/>
                <w:color w:val="auto"/>
                <w:highlight w:val="none"/>
              </w:rPr>
              <w:t>，</w:t>
            </w:r>
            <w:r>
              <w:rPr>
                <w:color w:val="auto"/>
                <w:highlight w:val="none"/>
              </w:rPr>
              <w:t>000</w:t>
            </w:r>
            <w:r>
              <w:rPr>
                <w:rFonts w:hint="eastAsia"/>
                <w:color w:val="auto"/>
                <w:highlight w:val="none"/>
              </w:rPr>
              <w:t>小时。</w:t>
            </w:r>
          </w:p>
          <w:p>
            <w:pPr>
              <w:rPr>
                <w:color w:val="auto"/>
                <w:highlight w:val="none"/>
              </w:rPr>
            </w:pPr>
            <w:r>
              <w:rPr>
                <w:color w:val="auto"/>
                <w:highlight w:val="none"/>
              </w:rPr>
              <w:t>3.</w:t>
            </w:r>
            <w:r>
              <w:rPr>
                <w:rFonts w:hint="eastAsia"/>
                <w:color w:val="auto"/>
                <w:highlight w:val="none"/>
              </w:rPr>
              <w:t>泵的密封采用机械密封，采用的材料须等于或优于碳化钨。</w:t>
            </w:r>
          </w:p>
          <w:p>
            <w:pPr>
              <w:rPr>
                <w:color w:val="auto"/>
                <w:highlight w:val="none"/>
              </w:rPr>
            </w:pPr>
            <w:r>
              <w:rPr>
                <w:color w:val="auto"/>
                <w:highlight w:val="none"/>
              </w:rPr>
              <w:t>4.</w:t>
            </w:r>
            <w:r>
              <w:rPr>
                <w:rFonts w:hint="eastAsia"/>
                <w:color w:val="auto"/>
                <w:highlight w:val="none"/>
              </w:rPr>
              <w:t>轴承的服务寿命不低于</w:t>
            </w:r>
            <w:r>
              <w:rPr>
                <w:color w:val="auto"/>
                <w:highlight w:val="none"/>
              </w:rPr>
              <w:t>80</w:t>
            </w:r>
            <w:r>
              <w:rPr>
                <w:rFonts w:hint="eastAsia"/>
                <w:color w:val="auto"/>
                <w:highlight w:val="none"/>
              </w:rPr>
              <w:t>，</w:t>
            </w:r>
            <w:r>
              <w:rPr>
                <w:color w:val="auto"/>
                <w:highlight w:val="none"/>
              </w:rPr>
              <w:t>000</w:t>
            </w:r>
            <w:r>
              <w:rPr>
                <w:rFonts w:hint="eastAsia"/>
                <w:color w:val="auto"/>
                <w:highlight w:val="none"/>
              </w:rPr>
              <w:t>小时，轴承须选配名牌产品。</w:t>
            </w:r>
          </w:p>
          <w:p>
            <w:pPr>
              <w:rPr>
                <w:color w:val="auto"/>
                <w:highlight w:val="none"/>
              </w:rPr>
            </w:pPr>
            <w:r>
              <w:rPr>
                <w:color w:val="auto"/>
                <w:highlight w:val="none"/>
              </w:rPr>
              <w:t>5.</w:t>
            </w:r>
            <w:r>
              <w:rPr>
                <w:rFonts w:hint="eastAsia"/>
                <w:color w:val="auto"/>
                <w:highlight w:val="none"/>
              </w:rPr>
              <w:t>选配名牌优质电机，防护等级不低于</w:t>
            </w:r>
            <w:r>
              <w:rPr>
                <w:color w:val="auto"/>
                <w:highlight w:val="none"/>
              </w:rPr>
              <w:t>IP54</w:t>
            </w:r>
            <w:r>
              <w:rPr>
                <w:rFonts w:hint="eastAsia"/>
                <w:color w:val="auto"/>
                <w:highlight w:val="none"/>
              </w:rPr>
              <w:t>（室外</w:t>
            </w:r>
            <w:r>
              <w:rPr>
                <w:color w:val="auto"/>
                <w:highlight w:val="none"/>
              </w:rPr>
              <w:t>IP55</w:t>
            </w:r>
            <w:r>
              <w:rPr>
                <w:rFonts w:hint="eastAsia"/>
                <w:color w:val="auto"/>
                <w:highlight w:val="none"/>
              </w:rPr>
              <w:t>），绝缘等级不低于</w:t>
            </w:r>
            <w:r>
              <w:rPr>
                <w:color w:val="auto"/>
                <w:highlight w:val="none"/>
              </w:rPr>
              <w:t>F</w:t>
            </w:r>
            <w:r>
              <w:rPr>
                <w:rFonts w:hint="eastAsia"/>
                <w:color w:val="auto"/>
                <w:highlight w:val="none"/>
              </w:rPr>
              <w:t>级。</w:t>
            </w:r>
          </w:p>
          <w:p>
            <w:pPr>
              <w:rPr>
                <w:color w:val="auto"/>
                <w:highlight w:val="none"/>
              </w:rPr>
            </w:pPr>
            <w:r>
              <w:rPr>
                <w:color w:val="auto"/>
                <w:highlight w:val="none"/>
              </w:rPr>
              <w:t>6.</w:t>
            </w:r>
            <w:r>
              <w:rPr>
                <w:rFonts w:hint="eastAsia"/>
                <w:color w:val="auto"/>
                <w:highlight w:val="none"/>
              </w:rPr>
              <w:t>厂家须对水泵的结构、选用的部件材质、密封材料作出详细说明，水泵及电机应有原生产厂成套出厂的证明书。</w:t>
            </w:r>
          </w:p>
          <w:p>
            <w:pPr>
              <w:rPr>
                <w:color w:val="auto"/>
                <w:highlight w:val="none"/>
              </w:rPr>
            </w:pPr>
            <w:r>
              <w:rPr>
                <w:color w:val="auto"/>
                <w:highlight w:val="none"/>
              </w:rPr>
              <w:t>7.</w:t>
            </w:r>
            <w:r>
              <w:rPr>
                <w:rFonts w:hint="eastAsia"/>
                <w:color w:val="auto"/>
                <w:highlight w:val="none"/>
              </w:rPr>
              <w:t>由水泵厂家配套提供水泵控制柜，控制柜要求：</w:t>
            </w:r>
          </w:p>
          <w:p>
            <w:pPr>
              <w:rPr>
                <w:color w:val="auto"/>
                <w:highlight w:val="none"/>
              </w:rPr>
            </w:pPr>
            <w:r>
              <w:rPr>
                <w:rFonts w:hint="eastAsia"/>
                <w:color w:val="auto"/>
                <w:highlight w:val="none"/>
              </w:rPr>
              <w:t>⑴</w:t>
            </w:r>
            <w:r>
              <w:rPr>
                <w:color w:val="auto"/>
                <w:highlight w:val="none"/>
              </w:rPr>
              <w:t xml:space="preserve"> </w:t>
            </w:r>
            <w:r>
              <w:rPr>
                <w:rFonts w:hint="eastAsia"/>
                <w:color w:val="auto"/>
                <w:highlight w:val="none"/>
              </w:rPr>
              <w:t>应有观察故障的显示，应有对各类故障进行自检、报警。对可恢复的故障应能自动或手动消警，恢复正常运行。</w:t>
            </w:r>
          </w:p>
          <w:p>
            <w:pPr>
              <w:rPr>
                <w:color w:val="auto"/>
                <w:highlight w:val="none"/>
              </w:rPr>
            </w:pPr>
            <w:r>
              <w:rPr>
                <w:rFonts w:hint="eastAsia"/>
                <w:color w:val="auto"/>
                <w:highlight w:val="none"/>
              </w:rPr>
              <w:t>⑵应有过载、短路、过压、缺相、欠压、过热及其他故障的保护功能。</w:t>
            </w:r>
          </w:p>
          <w:p>
            <w:pPr>
              <w:rPr>
                <w:color w:val="auto"/>
                <w:highlight w:val="none"/>
              </w:rPr>
            </w:pPr>
            <w:r>
              <w:rPr>
                <w:rFonts w:hint="eastAsia"/>
                <w:color w:val="auto"/>
                <w:highlight w:val="none"/>
              </w:rPr>
              <w:t>⑶应有停电后复电时自动启动功能。</w:t>
            </w:r>
          </w:p>
          <w:p>
            <w:pPr>
              <w:rPr>
                <w:color w:val="auto"/>
                <w:highlight w:val="none"/>
              </w:rPr>
            </w:pPr>
            <w:r>
              <w:rPr>
                <w:rFonts w:hint="eastAsia"/>
                <w:color w:val="auto"/>
                <w:highlight w:val="none"/>
              </w:rPr>
              <w:t>⑷应有自动和手动两种控制，稳压泵有定时轮换运行的功能。</w:t>
            </w:r>
          </w:p>
          <w:p>
            <w:pPr>
              <w:rPr>
                <w:color w:val="auto"/>
                <w:highlight w:val="none"/>
              </w:rPr>
            </w:pPr>
            <w:r>
              <w:rPr>
                <w:rFonts w:hint="eastAsia"/>
                <w:color w:val="auto"/>
                <w:highlight w:val="none"/>
              </w:rPr>
              <w:t>⑸控制柜留</w:t>
            </w:r>
            <w:r>
              <w:rPr>
                <w:color w:val="auto"/>
                <w:highlight w:val="none"/>
              </w:rPr>
              <w:t>BA</w:t>
            </w:r>
            <w:r>
              <w:rPr>
                <w:rFonts w:hint="eastAsia"/>
                <w:color w:val="auto"/>
                <w:highlight w:val="none"/>
              </w:rPr>
              <w:t>、</w:t>
            </w:r>
            <w:r>
              <w:rPr>
                <w:color w:val="auto"/>
                <w:highlight w:val="none"/>
              </w:rPr>
              <w:t>FA</w:t>
            </w:r>
            <w:r>
              <w:rPr>
                <w:rFonts w:hint="eastAsia"/>
                <w:color w:val="auto"/>
                <w:highlight w:val="none"/>
              </w:rPr>
              <w:t>系统的通讯接口，通讯接口和通讯协议要无条件符合</w:t>
            </w:r>
            <w:r>
              <w:rPr>
                <w:color w:val="auto"/>
                <w:highlight w:val="none"/>
              </w:rPr>
              <w:t>BA</w:t>
            </w:r>
            <w:r>
              <w:rPr>
                <w:rFonts w:hint="eastAsia"/>
                <w:color w:val="auto"/>
                <w:highlight w:val="none"/>
              </w:rPr>
              <w:t>、</w:t>
            </w:r>
            <w:r>
              <w:rPr>
                <w:color w:val="auto"/>
                <w:highlight w:val="none"/>
              </w:rPr>
              <w:t>FA</w:t>
            </w:r>
            <w:r>
              <w:rPr>
                <w:rFonts w:hint="eastAsia"/>
                <w:color w:val="auto"/>
                <w:highlight w:val="none"/>
              </w:rPr>
              <w:t>系统的要求并配合相关调试。</w:t>
            </w:r>
          </w:p>
          <w:p>
            <w:pPr>
              <w:rPr>
                <w:color w:val="auto"/>
                <w:highlight w:val="none"/>
              </w:rPr>
            </w:pPr>
            <w:r>
              <w:rPr>
                <w:color w:val="auto"/>
                <w:highlight w:val="none"/>
              </w:rPr>
              <w:t>8.</w:t>
            </w:r>
            <w:r>
              <w:rPr>
                <w:rFonts w:hint="eastAsia"/>
                <w:color w:val="auto"/>
                <w:highlight w:val="none"/>
              </w:rPr>
              <w:t>泵、电机、控制箱要有良好的红色表面涂装。</w:t>
            </w:r>
          </w:p>
          <w:p>
            <w:pPr>
              <w:rPr>
                <w:color w:val="auto"/>
                <w:highlight w:val="none"/>
              </w:rPr>
            </w:pPr>
            <w:r>
              <w:rPr>
                <w:color w:val="auto"/>
                <w:highlight w:val="none"/>
              </w:rPr>
              <w:t>9.</w:t>
            </w:r>
            <w:r>
              <w:rPr>
                <w:rFonts w:hint="eastAsia"/>
                <w:color w:val="auto"/>
                <w:highlight w:val="none"/>
              </w:rPr>
              <w:t>规格型号、压力等级以及连接方式应符合有关规范、标准和设计要求。</w:t>
            </w:r>
          </w:p>
          <w:p>
            <w:pPr>
              <w:rPr>
                <w:color w:val="auto"/>
                <w:highlight w:val="none"/>
              </w:rPr>
            </w:pPr>
            <w:r>
              <w:rPr>
                <w:color w:val="auto"/>
                <w:highlight w:val="none"/>
              </w:rPr>
              <w:t>10.</w:t>
            </w:r>
            <w:r>
              <w:rPr>
                <w:rFonts w:hint="eastAsia"/>
                <w:color w:val="auto"/>
                <w:highlight w:val="none"/>
              </w:rPr>
              <w:t>铭牌、安全操作指示标志和产品说明书齐全。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19" w:type="dxa"/>
            <w:gridSpan w:val="2"/>
            <w:noWrap w:val="0"/>
            <w:vAlign w:val="center"/>
          </w:tcPr>
          <w:p>
            <w:pPr>
              <w:rPr>
                <w:color w:val="auto"/>
                <w:highlight w:val="none"/>
              </w:rPr>
            </w:pPr>
            <w:r>
              <w:rPr>
                <w:color w:val="auto"/>
                <w:highlight w:val="none"/>
              </w:rPr>
              <w:t>12</w:t>
            </w:r>
            <w:r>
              <w:rPr>
                <w:rFonts w:hint="eastAsia"/>
                <w:color w:val="auto"/>
                <w:highlight w:val="none"/>
              </w:rPr>
              <w:t>、七氟丙烷气体灭火系统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19" w:type="dxa"/>
            <w:gridSpan w:val="2"/>
            <w:noWrap w:val="0"/>
            <w:vAlign w:val="top"/>
          </w:tcPr>
          <w:p>
            <w:pPr>
              <w:rPr>
                <w:color w:val="auto"/>
                <w:highlight w:val="none"/>
              </w:rPr>
            </w:pPr>
            <w:r>
              <w:rPr>
                <w:rFonts w:hint="eastAsia"/>
                <w:color w:val="auto"/>
                <w:highlight w:val="none"/>
              </w:rPr>
              <w:t>一、商务要求：</w:t>
            </w:r>
          </w:p>
          <w:p>
            <w:pPr>
              <w:rPr>
                <w:color w:val="auto"/>
                <w:highlight w:val="none"/>
              </w:rPr>
            </w:pPr>
            <w:r>
              <w:rPr>
                <w:rFonts w:hint="eastAsia"/>
                <w:color w:val="auto"/>
                <w:highlight w:val="none"/>
              </w:rPr>
              <w:t>制造商应通过</w:t>
            </w:r>
            <w:r>
              <w:rPr>
                <w:color w:val="auto"/>
                <w:highlight w:val="none"/>
              </w:rPr>
              <w:t>GB/T19001-2008</w:t>
            </w:r>
            <w:r>
              <w:rPr>
                <w:rFonts w:hint="eastAsia"/>
                <w:color w:val="auto"/>
                <w:highlight w:val="none"/>
              </w:rPr>
              <w:t>质量管理体系认证。</w:t>
            </w:r>
          </w:p>
          <w:p>
            <w:pPr>
              <w:rPr>
                <w:color w:val="auto"/>
                <w:highlight w:val="none"/>
              </w:rPr>
            </w:pPr>
            <w:r>
              <w:rPr>
                <w:rFonts w:hint="eastAsia"/>
                <w:color w:val="auto"/>
                <w:highlight w:val="none"/>
              </w:rPr>
              <w:t>制造商注册资本不少于</w:t>
            </w:r>
            <w:r>
              <w:rPr>
                <w:color w:val="auto"/>
                <w:highlight w:val="none"/>
              </w:rPr>
              <w:t>3000</w:t>
            </w:r>
            <w:r>
              <w:rPr>
                <w:rFonts w:hint="eastAsia"/>
                <w:color w:val="auto"/>
                <w:highlight w:val="none"/>
              </w:rPr>
              <w:t>万人民币。</w:t>
            </w:r>
          </w:p>
          <w:p>
            <w:pPr>
              <w:rPr>
                <w:color w:val="auto"/>
                <w:highlight w:val="none"/>
              </w:rPr>
            </w:pPr>
            <w:r>
              <w:rPr>
                <w:rFonts w:hint="eastAsia"/>
                <w:color w:val="auto"/>
                <w:highlight w:val="none"/>
              </w:rPr>
              <w:t>制造商在营业执照经营范围中必须包括消防设备制造相关业务，并具有主管部门颁布的生产和销售许可证。</w:t>
            </w:r>
          </w:p>
          <w:p>
            <w:pPr>
              <w:rPr>
                <w:color w:val="auto"/>
                <w:highlight w:val="none"/>
              </w:rPr>
            </w:pPr>
            <w:r>
              <w:rPr>
                <w:rFonts w:hint="eastAsia"/>
                <w:color w:val="auto"/>
                <w:highlight w:val="none"/>
              </w:rPr>
              <w:t>消防产品须经国家相应的消防产品质量监督检测中心检验合格，并有公安部消防产品合格评定中心颁发的产品认证证书。</w:t>
            </w:r>
          </w:p>
          <w:p>
            <w:pPr>
              <w:rPr>
                <w:color w:val="auto"/>
                <w:highlight w:val="none"/>
              </w:rPr>
            </w:pPr>
            <w:r>
              <w:rPr>
                <w:rFonts w:hint="eastAsia"/>
                <w:color w:val="auto"/>
                <w:highlight w:val="none"/>
              </w:rPr>
              <w:t>制造商在深圳地区设有完善的售后服务机构。</w:t>
            </w:r>
          </w:p>
          <w:p>
            <w:pPr>
              <w:rPr>
                <w:color w:val="auto"/>
                <w:highlight w:val="none"/>
              </w:rPr>
            </w:pPr>
            <w:r>
              <w:rPr>
                <w:rFonts w:hint="eastAsia"/>
                <w:color w:val="auto"/>
                <w:highlight w:val="none"/>
              </w:rPr>
              <w:t>二、技术要求：</w:t>
            </w:r>
          </w:p>
          <w:p>
            <w:pPr>
              <w:rPr>
                <w:color w:val="auto"/>
                <w:highlight w:val="none"/>
              </w:rPr>
            </w:pPr>
            <w:r>
              <w:rPr>
                <w:rFonts w:hint="eastAsia"/>
                <w:color w:val="auto"/>
                <w:highlight w:val="none"/>
              </w:rPr>
              <w:t>须按照设计图纸要求设置气体灭火系统。深化设计图纸须经设计单位和建设单位审核确认，并报市消防局审批同意。</w:t>
            </w:r>
          </w:p>
          <w:p>
            <w:pPr>
              <w:rPr>
                <w:color w:val="auto"/>
                <w:highlight w:val="none"/>
              </w:rPr>
            </w:pPr>
            <w:r>
              <w:rPr>
                <w:rFonts w:hint="eastAsia"/>
                <w:color w:val="auto"/>
                <w:highlight w:val="none"/>
              </w:rPr>
              <w:t>气体灭火系统由火灾报警系统、灭火控制系统及气体灭火装置三部分组成。火灾报警系统设置感烟、感温两路报警，通过气体灭火控制器进行控制。</w:t>
            </w:r>
          </w:p>
          <w:p>
            <w:pPr>
              <w:rPr>
                <w:color w:val="auto"/>
                <w:highlight w:val="none"/>
              </w:rPr>
            </w:pPr>
            <w:r>
              <w:rPr>
                <w:rFonts w:hint="eastAsia"/>
                <w:color w:val="auto"/>
                <w:highlight w:val="none"/>
              </w:rPr>
              <w:t>气体灭火装置须符合国家相关规范的要求，并须提供合格的型式检验报告。</w:t>
            </w:r>
          </w:p>
          <w:p>
            <w:pPr>
              <w:rPr>
                <w:color w:val="auto"/>
                <w:highlight w:val="none"/>
              </w:rPr>
            </w:pPr>
            <w:r>
              <w:rPr>
                <w:rFonts w:hint="eastAsia"/>
                <w:color w:val="auto"/>
                <w:highlight w:val="none"/>
              </w:rPr>
              <w:t>气体灭火装置贮瓶应贮存灭火剂（由承包人负责），灭火剂充装量符合设计和有关规范要求，充装压力符合设计要求。</w:t>
            </w:r>
          </w:p>
          <w:p>
            <w:pPr>
              <w:rPr>
                <w:color w:val="auto"/>
                <w:highlight w:val="none"/>
              </w:rPr>
            </w:pPr>
            <w:r>
              <w:rPr>
                <w:color w:val="auto"/>
                <w:highlight w:val="none"/>
              </w:rPr>
              <w:t>5</w:t>
            </w:r>
            <w:r>
              <w:rPr>
                <w:rFonts w:hint="eastAsia"/>
                <w:color w:val="auto"/>
                <w:highlight w:val="none"/>
              </w:rPr>
              <w:t>）</w:t>
            </w:r>
            <w:r>
              <w:rPr>
                <w:color w:val="auto"/>
                <w:highlight w:val="none"/>
              </w:rPr>
              <w:t xml:space="preserve"> </w:t>
            </w:r>
            <w:r>
              <w:rPr>
                <w:rFonts w:hint="eastAsia"/>
                <w:color w:val="auto"/>
                <w:highlight w:val="none"/>
              </w:rPr>
              <w:t>灭火剂贮瓶的外表正面应标注灭火剂的名称。贮瓶铭牌应牢固地设置在明显部位，包括：产品名称、型号规格、充装压力、灭火剂重量、使用温度范围、出厂日期等内容。</w:t>
            </w:r>
          </w:p>
          <w:p>
            <w:pPr>
              <w:rPr>
                <w:color w:val="auto"/>
                <w:highlight w:val="none"/>
              </w:rPr>
            </w:pPr>
            <w:r>
              <w:rPr>
                <w:color w:val="auto"/>
                <w:highlight w:val="none"/>
              </w:rPr>
              <w:t>6</w:t>
            </w:r>
            <w:r>
              <w:rPr>
                <w:rFonts w:hint="eastAsia"/>
                <w:color w:val="auto"/>
                <w:highlight w:val="none"/>
              </w:rPr>
              <w:t>）</w:t>
            </w:r>
            <w:r>
              <w:rPr>
                <w:color w:val="auto"/>
                <w:highlight w:val="none"/>
              </w:rPr>
              <w:t xml:space="preserve"> </w:t>
            </w:r>
            <w:r>
              <w:rPr>
                <w:rFonts w:hint="eastAsia"/>
                <w:color w:val="auto"/>
                <w:highlight w:val="none"/>
              </w:rPr>
              <w:t>灭火控制及自动报警系统选用产品的性能必须满足中华人民共和国国家标准以及广东省、深圳市消防部门的规定，并通过中华人民共和国国家消防电子产品检测中心检验。</w:t>
            </w:r>
          </w:p>
          <w:p>
            <w:pPr>
              <w:rPr>
                <w:color w:val="auto"/>
                <w:highlight w:val="none"/>
              </w:rPr>
            </w:pPr>
            <w:r>
              <w:rPr>
                <w:color w:val="auto"/>
                <w:highlight w:val="none"/>
              </w:rPr>
              <w:t>7</w:t>
            </w:r>
            <w:r>
              <w:rPr>
                <w:rFonts w:hint="eastAsia"/>
                <w:color w:val="auto"/>
                <w:highlight w:val="none"/>
              </w:rPr>
              <w:t>）</w:t>
            </w:r>
            <w:r>
              <w:rPr>
                <w:color w:val="auto"/>
                <w:highlight w:val="none"/>
              </w:rPr>
              <w:t xml:space="preserve"> </w:t>
            </w:r>
            <w:r>
              <w:rPr>
                <w:rFonts w:hint="eastAsia"/>
                <w:color w:val="auto"/>
                <w:highlight w:val="none"/>
              </w:rPr>
              <w:t>具有自我检测系统，每一个储罐单元都可以监察到：压力过高、压力过低、储藏量不足、电源故障信号。</w:t>
            </w:r>
          </w:p>
          <w:p>
            <w:pPr>
              <w:rPr>
                <w:color w:val="auto"/>
                <w:highlight w:val="none"/>
              </w:rPr>
            </w:pPr>
            <w:r>
              <w:rPr>
                <w:color w:val="auto"/>
                <w:highlight w:val="none"/>
              </w:rPr>
              <w:t>8</w:t>
            </w:r>
            <w:r>
              <w:rPr>
                <w:rFonts w:hint="eastAsia"/>
                <w:color w:val="auto"/>
                <w:highlight w:val="none"/>
              </w:rPr>
              <w:t>）</w:t>
            </w:r>
            <w:r>
              <w:rPr>
                <w:color w:val="auto"/>
                <w:highlight w:val="none"/>
              </w:rPr>
              <w:t xml:space="preserve"> </w:t>
            </w:r>
            <w:r>
              <w:rPr>
                <w:rFonts w:hint="eastAsia"/>
                <w:color w:val="auto"/>
                <w:highlight w:val="none"/>
              </w:rPr>
              <w:t>系统具有各种故障报警及关闭风机、防火阀等联动功能，并将手动、自动、报警、故障、喷放等信号反馈到消防控制中心。</w:t>
            </w:r>
          </w:p>
          <w:p>
            <w:pPr>
              <w:rPr>
                <w:color w:val="auto"/>
                <w:highlight w:val="none"/>
              </w:rPr>
            </w:pPr>
            <w:r>
              <w:rPr>
                <w:color w:val="auto"/>
                <w:highlight w:val="none"/>
              </w:rPr>
              <w:t>9</w:t>
            </w:r>
            <w:r>
              <w:rPr>
                <w:rFonts w:hint="eastAsia"/>
                <w:color w:val="auto"/>
                <w:highlight w:val="none"/>
              </w:rPr>
              <w:t>）气体灭火系统管材应采用内外镀锌无缝钢管。其质量应符合</w:t>
            </w:r>
            <w:r>
              <w:rPr>
                <w:color w:val="auto"/>
                <w:highlight w:val="none"/>
              </w:rPr>
              <w:t>YB231-70</w:t>
            </w:r>
            <w:r>
              <w:rPr>
                <w:rFonts w:hint="eastAsia"/>
                <w:color w:val="auto"/>
                <w:highlight w:val="none"/>
              </w:rPr>
              <w:t>《镀锌无缝钢管》的要求。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19" w:type="dxa"/>
            <w:gridSpan w:val="2"/>
            <w:noWrap w:val="0"/>
            <w:vAlign w:val="center"/>
          </w:tcPr>
          <w:p>
            <w:pPr>
              <w:rPr>
                <w:color w:val="auto"/>
                <w:highlight w:val="none"/>
              </w:rPr>
            </w:pPr>
            <w:r>
              <w:rPr>
                <w:color w:val="auto"/>
                <w:highlight w:val="none"/>
              </w:rPr>
              <w:t>13</w:t>
            </w:r>
            <w:r>
              <w:rPr>
                <w:rFonts w:hint="eastAsia"/>
                <w:color w:val="auto"/>
                <w:highlight w:val="none"/>
              </w:rPr>
              <w:t>、磷酸铵盐干粉灭火器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19" w:type="dxa"/>
            <w:gridSpan w:val="2"/>
            <w:noWrap w:val="0"/>
            <w:vAlign w:val="top"/>
          </w:tcPr>
          <w:p>
            <w:pPr>
              <w:rPr>
                <w:color w:val="auto"/>
                <w:highlight w:val="none"/>
              </w:rPr>
            </w:pPr>
            <w:r>
              <w:rPr>
                <w:rFonts w:hint="eastAsia"/>
                <w:color w:val="auto"/>
                <w:highlight w:val="none"/>
              </w:rPr>
              <w:t>一、商务要求：</w:t>
            </w:r>
          </w:p>
          <w:p>
            <w:pPr>
              <w:rPr>
                <w:color w:val="auto"/>
                <w:highlight w:val="none"/>
              </w:rPr>
            </w:pPr>
            <w:r>
              <w:rPr>
                <w:color w:val="auto"/>
                <w:highlight w:val="none"/>
              </w:rPr>
              <w:t>1.</w:t>
            </w:r>
            <w:r>
              <w:rPr>
                <w:rFonts w:hint="eastAsia"/>
                <w:color w:val="auto"/>
                <w:highlight w:val="none"/>
              </w:rPr>
              <w:t>制造商应通过</w:t>
            </w:r>
            <w:r>
              <w:rPr>
                <w:color w:val="auto"/>
                <w:highlight w:val="none"/>
              </w:rPr>
              <w:t>GB/T19001-2008</w:t>
            </w:r>
            <w:r>
              <w:rPr>
                <w:rFonts w:hint="eastAsia"/>
                <w:color w:val="auto"/>
                <w:highlight w:val="none"/>
              </w:rPr>
              <w:t>质量管理体系认证。</w:t>
            </w:r>
          </w:p>
          <w:p>
            <w:pPr>
              <w:rPr>
                <w:color w:val="auto"/>
                <w:highlight w:val="none"/>
              </w:rPr>
            </w:pPr>
            <w:r>
              <w:rPr>
                <w:color w:val="auto"/>
                <w:highlight w:val="none"/>
              </w:rPr>
              <w:t>2.</w:t>
            </w:r>
            <w:r>
              <w:rPr>
                <w:rFonts w:hint="eastAsia"/>
                <w:color w:val="auto"/>
                <w:highlight w:val="none"/>
              </w:rPr>
              <w:t>制造商注册资本：不少于</w:t>
            </w:r>
            <w:r>
              <w:rPr>
                <w:color w:val="auto"/>
                <w:highlight w:val="none"/>
              </w:rPr>
              <w:t>3000</w:t>
            </w:r>
            <w:r>
              <w:rPr>
                <w:rFonts w:hint="eastAsia"/>
                <w:color w:val="auto"/>
                <w:highlight w:val="none"/>
              </w:rPr>
              <w:t>万人民币。</w:t>
            </w:r>
          </w:p>
          <w:p>
            <w:pPr>
              <w:rPr>
                <w:color w:val="auto"/>
                <w:highlight w:val="none"/>
              </w:rPr>
            </w:pPr>
            <w:r>
              <w:rPr>
                <w:color w:val="auto"/>
                <w:highlight w:val="none"/>
              </w:rPr>
              <w:t>3.</w:t>
            </w:r>
            <w:r>
              <w:rPr>
                <w:rFonts w:hint="eastAsia"/>
                <w:color w:val="auto"/>
                <w:highlight w:val="none"/>
              </w:rPr>
              <w:t>制造商在深圳地区设有完善的售后服务机构。</w:t>
            </w:r>
          </w:p>
          <w:p>
            <w:pPr>
              <w:rPr>
                <w:color w:val="auto"/>
                <w:highlight w:val="none"/>
              </w:rPr>
            </w:pPr>
            <w:r>
              <w:rPr>
                <w:rFonts w:hint="eastAsia"/>
                <w:color w:val="auto"/>
                <w:highlight w:val="none"/>
              </w:rPr>
              <w:t>二、技术要求：</w:t>
            </w:r>
          </w:p>
          <w:p>
            <w:pPr>
              <w:rPr>
                <w:color w:val="auto"/>
                <w:highlight w:val="none"/>
              </w:rPr>
            </w:pPr>
            <w:r>
              <w:rPr>
                <w:color w:val="auto"/>
                <w:highlight w:val="none"/>
              </w:rPr>
              <w:t>1.</w:t>
            </w:r>
            <w:r>
              <w:rPr>
                <w:rFonts w:hint="eastAsia"/>
                <w:color w:val="auto"/>
                <w:highlight w:val="none"/>
              </w:rPr>
              <w:t>产品通过国家强制性认证。</w:t>
            </w:r>
          </w:p>
          <w:p>
            <w:pPr>
              <w:rPr>
                <w:color w:val="auto"/>
                <w:highlight w:val="none"/>
              </w:rPr>
            </w:pPr>
            <w:r>
              <w:rPr>
                <w:color w:val="auto"/>
                <w:highlight w:val="none"/>
              </w:rPr>
              <w:t>2.</w:t>
            </w:r>
            <w:r>
              <w:rPr>
                <w:rFonts w:hint="eastAsia"/>
                <w:color w:val="auto"/>
                <w:highlight w:val="none"/>
              </w:rPr>
              <w:t>要求是优质产品，应符合有关规范、标准和设计要求。</w:t>
            </w:r>
          </w:p>
          <w:p>
            <w:pPr>
              <w:rPr>
                <w:color w:val="auto"/>
                <w:highlight w:val="none"/>
              </w:rPr>
            </w:pPr>
            <w:r>
              <w:rPr>
                <w:color w:val="auto"/>
                <w:highlight w:val="none"/>
              </w:rPr>
              <w:t>3.</w:t>
            </w:r>
            <w:r>
              <w:rPr>
                <w:rFonts w:hint="eastAsia"/>
                <w:color w:val="auto"/>
                <w:highlight w:val="none"/>
              </w:rPr>
              <w:t>符合</w:t>
            </w:r>
            <w:r>
              <w:rPr>
                <w:color w:val="auto"/>
                <w:highlight w:val="none"/>
              </w:rPr>
              <w:t>GB4351-1997</w:t>
            </w:r>
            <w:r>
              <w:rPr>
                <w:rFonts w:hint="eastAsia"/>
                <w:color w:val="auto"/>
                <w:highlight w:val="none"/>
              </w:rPr>
              <w:t>《手提式灭火器通用技术条件》。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52" w:type="dxa"/>
            <w:tcBorders>
              <w:right w:val="single" w:color="auto" w:sz="4" w:space="0"/>
            </w:tcBorders>
            <w:noWrap w:val="0"/>
            <w:vAlign w:val="top"/>
          </w:tcPr>
          <w:p>
            <w:pPr>
              <w:rPr>
                <w:color w:val="auto"/>
                <w:highlight w:val="none"/>
              </w:rPr>
            </w:pPr>
            <w:r>
              <w:rPr>
                <w:color w:val="auto"/>
                <w:highlight w:val="none"/>
              </w:rPr>
              <w:t>14</w:t>
            </w:r>
            <w:r>
              <w:rPr>
                <w:rFonts w:hint="eastAsia"/>
                <w:color w:val="auto"/>
                <w:highlight w:val="none"/>
              </w:rPr>
              <w:t>、自动扫描射水高空水炮</w:t>
            </w:r>
          </w:p>
        </w:tc>
        <w:tc>
          <w:tcPr>
            <w:tcW w:w="5067" w:type="dxa"/>
            <w:tcBorders>
              <w:left w:val="single" w:color="auto" w:sz="4" w:space="0"/>
            </w:tcBorders>
            <w:noWrap w:val="0"/>
            <w:vAlign w:val="top"/>
          </w:tcPr>
          <w:p>
            <w:pPr>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9119" w:type="dxa"/>
            <w:gridSpan w:val="2"/>
            <w:tcBorders>
              <w:bottom w:val="single" w:color="auto" w:sz="12" w:space="0"/>
            </w:tcBorders>
            <w:noWrap w:val="0"/>
            <w:vAlign w:val="top"/>
          </w:tcPr>
          <w:p>
            <w:pPr>
              <w:rPr>
                <w:color w:val="auto"/>
                <w:highlight w:val="none"/>
              </w:rPr>
            </w:pPr>
            <w:r>
              <w:rPr>
                <w:rFonts w:hint="eastAsia"/>
                <w:color w:val="auto"/>
                <w:highlight w:val="none"/>
              </w:rPr>
              <w:t>　　自动跟踪定位射流灭火装置将计算机技术、红紫外传感技术、机械传动技术和图像传输技术集于一体，全天候自动对所监测范围进行主动探测，一旦发现火灾，及时启动，在</w:t>
            </w:r>
            <w:r>
              <w:rPr>
                <w:color w:val="auto"/>
                <w:highlight w:val="none"/>
              </w:rPr>
              <w:t>30</w:t>
            </w:r>
            <w:r>
              <w:rPr>
                <w:rFonts w:hint="eastAsia"/>
                <w:color w:val="auto"/>
                <w:highlight w:val="none"/>
              </w:rPr>
              <w:t>秒内完成定位，同时发出报警信号，联动电磁阀、水泵对火点实施定点射水灭火，火灭后自动停止，如有复燃，重新启动。本装置可以接入火灾自动报警系统，也可以和现场手动控制箱、电源控制盘、分区控制盘、视频管理系统等组成集中管理的灭火系统。广泛应用于电影院、体育馆、大礼堂、侯机厅、会展中心等大空间的场所。</w:t>
            </w:r>
          </w:p>
          <w:p>
            <w:pPr>
              <w:rPr>
                <w:color w:val="auto"/>
                <w:highlight w:val="none"/>
              </w:rPr>
            </w:pPr>
            <w:r>
              <w:rPr>
                <w:rFonts w:hint="eastAsia"/>
                <w:color w:val="auto"/>
                <w:highlight w:val="none"/>
              </w:rPr>
              <w:t>自动扫描射水高空水炮灭火装置将红外传技术，信号处理技术，通讯控制技术，计算机技术和机械传动技术有机地结合在一起，全天候自动监测保护范围内的火灾。一旦发生火灾，装置立即启动，对火源进行水平方向和垂直方向的二维扫描，确定火源方位后，中央控制器发出指令，发出火警信号，同时启动水泵，打开阀门，灭火装置对准火源进行射水灭火，火源扑灭后，中央控制器再发出指令停止射水。若有新的火源，灭火装置将重复上述过程，待全部火源被扑灭后重新回到监控状态。本装置的射水形式为柱形射水，射程远，保护范围广，灭火能力非常强。</w:t>
            </w:r>
          </w:p>
        </w:tc>
      </w:tr>
    </w:tbl>
    <w:p>
      <w:pPr>
        <w:rPr>
          <w:color w:val="auto"/>
          <w:highlight w:val="none"/>
        </w:rPr>
      </w:pPr>
      <w:r>
        <w:rPr>
          <w:rFonts w:hint="eastAsia"/>
          <w:color w:val="auto"/>
          <w:highlight w:val="none"/>
        </w:rPr>
        <w:t>说明：</w:t>
      </w:r>
    </w:p>
    <w:p>
      <w:pPr>
        <w:rPr>
          <w:color w:val="auto"/>
          <w:highlight w:val="none"/>
        </w:rPr>
      </w:pPr>
      <w:r>
        <w:rPr>
          <w:color w:val="auto"/>
          <w:highlight w:val="none"/>
        </w:rPr>
        <w:t>1</w:t>
      </w:r>
      <w:r>
        <w:rPr>
          <w:rFonts w:hint="eastAsia"/>
          <w:color w:val="auto"/>
          <w:highlight w:val="none"/>
        </w:rPr>
        <w:t>、上表中技术要求中某些产品规格与品牌不符的应以品牌为准。产品的技术要求以设计图纸要求为准。</w:t>
      </w:r>
    </w:p>
    <w:p>
      <w:pPr>
        <w:rPr>
          <w:color w:val="auto"/>
          <w:highlight w:val="none"/>
        </w:rPr>
      </w:pPr>
      <w:r>
        <w:rPr>
          <w:color w:val="auto"/>
          <w:highlight w:val="none"/>
        </w:rPr>
        <w:t>2</w:t>
      </w:r>
      <w:r>
        <w:rPr>
          <w:rFonts w:hint="eastAsia"/>
          <w:color w:val="auto"/>
          <w:highlight w:val="none"/>
        </w:rPr>
        <w:t>、上表中材料设备须从现行的发包人材料设备参考品牌库中选择。</w:t>
      </w:r>
    </w:p>
    <w:p>
      <w:pPr>
        <w:rPr>
          <w:color w:val="auto"/>
          <w:highlight w:val="none"/>
        </w:rPr>
      </w:pPr>
    </w:p>
    <w:p>
      <w:pPr>
        <w:rPr>
          <w:color w:val="auto"/>
          <w:highlight w:val="none"/>
        </w:rPr>
      </w:pPr>
    </w:p>
    <w:p>
      <w:pPr>
        <w:rPr>
          <w:color w:val="auto"/>
          <w:highlight w:val="none"/>
        </w:rPr>
      </w:pPr>
    </w:p>
    <w:p>
      <w:pPr>
        <w:pStyle w:val="188"/>
        <w:spacing w:before="120" w:after="120"/>
        <w:outlineLvl w:val="1"/>
        <w:rPr>
          <w:color w:val="auto"/>
          <w:highlight w:val="none"/>
        </w:rPr>
      </w:pPr>
      <w:bookmarkStart w:id="8039" w:name="_Toc66634487"/>
      <w:bookmarkStart w:id="8040" w:name="_Toc505345800"/>
      <w:bookmarkStart w:id="8041" w:name="_Toc66890482"/>
      <w:bookmarkStart w:id="8042" w:name="_Toc69114228"/>
      <w:r>
        <w:rPr>
          <w:rFonts w:hint="eastAsia"/>
          <w:color w:val="auto"/>
          <w:highlight w:val="none"/>
        </w:rPr>
        <w:t>第</w:t>
      </w:r>
      <w:r>
        <w:rPr>
          <w:color w:val="auto"/>
          <w:highlight w:val="none"/>
        </w:rPr>
        <w:t>2</w:t>
      </w:r>
      <w:r>
        <w:rPr>
          <w:rFonts w:hint="eastAsia"/>
          <w:color w:val="auto"/>
          <w:highlight w:val="none"/>
        </w:rPr>
        <w:t>章</w:t>
      </w:r>
      <w:r>
        <w:rPr>
          <w:color w:val="auto"/>
          <w:highlight w:val="none"/>
        </w:rPr>
        <w:t xml:space="preserve">  </w:t>
      </w:r>
      <w:r>
        <w:rPr>
          <w:rFonts w:hint="eastAsia"/>
          <w:color w:val="auto"/>
          <w:highlight w:val="none"/>
        </w:rPr>
        <w:t>火灾自动报警与消防联动控制系统</w:t>
      </w:r>
      <w:bookmarkEnd w:id="8039"/>
      <w:bookmarkEnd w:id="8040"/>
      <w:bookmarkEnd w:id="8041"/>
      <w:bookmarkEnd w:id="8042"/>
    </w:p>
    <w:p>
      <w:pPr>
        <w:pStyle w:val="113"/>
        <w:spacing w:before="120" w:after="120"/>
        <w:outlineLvl w:val="2"/>
        <w:rPr>
          <w:color w:val="auto"/>
          <w:highlight w:val="none"/>
        </w:rPr>
      </w:pPr>
      <w:bookmarkStart w:id="8043" w:name="_Toc505345801"/>
      <w:bookmarkStart w:id="8044" w:name="_Toc66890483"/>
      <w:bookmarkStart w:id="8045" w:name="_Toc66634488"/>
      <w:bookmarkStart w:id="8046" w:name="_Toc69114229"/>
      <w:r>
        <w:rPr>
          <w:color w:val="auto"/>
          <w:highlight w:val="none"/>
        </w:rPr>
        <w:t xml:space="preserve">2.1 </w:t>
      </w:r>
      <w:r>
        <w:rPr>
          <w:rFonts w:hint="eastAsia"/>
          <w:color w:val="auto"/>
          <w:highlight w:val="none"/>
        </w:rPr>
        <w:t>概述及深化设计要求</w:t>
      </w:r>
      <w:bookmarkEnd w:id="8043"/>
      <w:bookmarkEnd w:id="8044"/>
      <w:bookmarkEnd w:id="8045"/>
      <w:bookmarkEnd w:id="8046"/>
    </w:p>
    <w:p>
      <w:pPr>
        <w:pStyle w:val="217"/>
        <w:rPr>
          <w:color w:val="auto"/>
          <w:highlight w:val="none"/>
        </w:rPr>
      </w:pPr>
      <w:r>
        <w:rPr>
          <w:color w:val="auto"/>
          <w:highlight w:val="none"/>
        </w:rPr>
        <w:t>1.</w:t>
      </w:r>
      <w:r>
        <w:rPr>
          <w:rFonts w:hint="eastAsia"/>
          <w:color w:val="auto"/>
          <w:highlight w:val="none"/>
        </w:rPr>
        <w:t>火灾报警系统设置形式</w:t>
      </w:r>
    </w:p>
    <w:p>
      <w:pPr>
        <w:pStyle w:val="217"/>
        <w:rPr>
          <w:color w:val="auto"/>
          <w:highlight w:val="none"/>
        </w:rPr>
      </w:pPr>
      <w:r>
        <w:rPr>
          <w:rFonts w:hint="eastAsia"/>
          <w:color w:val="auto"/>
          <w:highlight w:val="none"/>
        </w:rPr>
        <w:t>本项目火灾自动报警系统按照控制中心报警系统设计，采用两总线制。本次设计包括火灾自动报警及联动控制系统、应急广播系统、消防专用电话系统、消防电源监控系统等、防火门监控控系统、消防电源监控系统、气体灭火控制系统。</w:t>
      </w:r>
    </w:p>
    <w:p>
      <w:pPr>
        <w:pStyle w:val="217"/>
        <w:rPr>
          <w:color w:val="auto"/>
          <w:highlight w:val="none"/>
        </w:rPr>
      </w:pPr>
      <w:r>
        <w:rPr>
          <w:rFonts w:hint="eastAsia"/>
          <w:color w:val="auto"/>
          <w:highlight w:val="none"/>
        </w:rPr>
        <w:t>本标段消防报警及控制自成系统：消防控制室内设置的消防设备包括火灾报警控制器、消防联动控制器、消防控制室图形显示装置、消防专用电话总机、消防应急广播控制装置、消防电源监控器等设备或具有相应功能的组合设备。消防控制室内设置的消防控制室图形显示装置应能显示《火灾自动报警系统设计规范》</w:t>
      </w:r>
      <w:r>
        <w:rPr>
          <w:color w:val="auto"/>
          <w:highlight w:val="none"/>
        </w:rPr>
        <w:t>GB50116-2013</w:t>
      </w:r>
      <w:r>
        <w:rPr>
          <w:rFonts w:hint="eastAsia"/>
          <w:color w:val="auto"/>
          <w:highlight w:val="none"/>
        </w:rPr>
        <w:t>附录</w:t>
      </w:r>
      <w:r>
        <w:rPr>
          <w:color w:val="auto"/>
          <w:highlight w:val="none"/>
        </w:rPr>
        <w:t xml:space="preserve">A </w:t>
      </w:r>
      <w:r>
        <w:rPr>
          <w:rFonts w:hint="eastAsia"/>
          <w:color w:val="auto"/>
          <w:highlight w:val="none"/>
        </w:rPr>
        <w:t>规定的建筑物内设置的全部消防系统及相关设备的动态信息和上述规范附录</w:t>
      </w:r>
      <w:r>
        <w:rPr>
          <w:color w:val="auto"/>
          <w:highlight w:val="none"/>
        </w:rPr>
        <w:t xml:space="preserve">B </w:t>
      </w:r>
      <w:r>
        <w:rPr>
          <w:rFonts w:hint="eastAsia"/>
          <w:color w:val="auto"/>
          <w:highlight w:val="none"/>
        </w:rPr>
        <w:t>规定的消防安全管理信息，并应为远程监控系统预留接口，同时应具有向远程监控系统传输本规范附录</w:t>
      </w:r>
      <w:r>
        <w:rPr>
          <w:color w:val="auto"/>
          <w:highlight w:val="none"/>
        </w:rPr>
        <w:t xml:space="preserve">A </w:t>
      </w:r>
      <w:r>
        <w:rPr>
          <w:rFonts w:hint="eastAsia"/>
          <w:color w:val="auto"/>
          <w:highlight w:val="none"/>
        </w:rPr>
        <w:t>和附录</w:t>
      </w:r>
      <w:r>
        <w:rPr>
          <w:color w:val="auto"/>
          <w:highlight w:val="none"/>
        </w:rPr>
        <w:t xml:space="preserve">B </w:t>
      </w:r>
      <w:r>
        <w:rPr>
          <w:rFonts w:hint="eastAsia"/>
          <w:color w:val="auto"/>
          <w:highlight w:val="none"/>
        </w:rPr>
        <w:t>规定的有关信息的功能。</w:t>
      </w:r>
    </w:p>
    <w:p>
      <w:pPr>
        <w:pStyle w:val="217"/>
        <w:rPr>
          <w:color w:val="auto"/>
          <w:highlight w:val="none"/>
        </w:rPr>
      </w:pPr>
      <w:r>
        <w:rPr>
          <w:rFonts w:hint="eastAsia"/>
          <w:color w:val="auto"/>
          <w:highlight w:val="none"/>
        </w:rPr>
        <w:t>消防控制中心内严禁穿过与消防设施无关的电气线路及管路。</w:t>
      </w:r>
    </w:p>
    <w:p>
      <w:pPr>
        <w:pStyle w:val="217"/>
        <w:rPr>
          <w:color w:val="auto"/>
          <w:highlight w:val="none"/>
        </w:rPr>
      </w:pPr>
      <w:r>
        <w:rPr>
          <w:rFonts w:hint="eastAsia"/>
          <w:color w:val="auto"/>
          <w:highlight w:val="none"/>
        </w:rPr>
        <w:t>火灾报警主机选用中文信息显示和中文信息打印。</w:t>
      </w:r>
    </w:p>
    <w:p>
      <w:pPr>
        <w:pStyle w:val="217"/>
        <w:rPr>
          <w:color w:val="auto"/>
          <w:highlight w:val="none"/>
        </w:rPr>
      </w:pPr>
      <w:r>
        <w:rPr>
          <w:rFonts w:hint="eastAsia"/>
          <w:color w:val="auto"/>
          <w:highlight w:val="none"/>
        </w:rPr>
        <w:t>消防控制中心负责本项目整体的火灾报警及联动控制，并且通过环形通讯总线与公共教学楼、商学院、理学院的消防控制室连接，构成消防报警与联动控制网络。消防控制中心能显示本项目所有的火灾报警信号和联动控制状态信号，并能控制重要的消防设备；消防控制中心与其他消防值班室的消防设备之间相互传输、显示状态信息，相互不做控制。消防控制中心设在学校信息中心一层，与安防控制中心合用一室，设有直通室外的安全出口，门口处设置房间名称标志灯（见电施图）。消防控制中心内设置起集中控制作用的消防设备，包括火灾报警控制器、消防联动控制器、防火门监控主机、漏电火灾监控主机、消防控制中心图形显示装置、消防专用电话总机、消防应急广播控制装置等设备或具有相应功能的组合设备。</w:t>
      </w:r>
    </w:p>
    <w:p>
      <w:pPr>
        <w:pStyle w:val="217"/>
        <w:rPr>
          <w:color w:val="auto"/>
          <w:highlight w:val="none"/>
        </w:rPr>
      </w:pPr>
      <w:r>
        <w:rPr>
          <w:color w:val="auto"/>
          <w:highlight w:val="none"/>
        </w:rPr>
        <w:t>2.</w:t>
      </w:r>
      <w:r>
        <w:rPr>
          <w:rFonts w:hint="eastAsia"/>
          <w:color w:val="auto"/>
          <w:highlight w:val="none"/>
        </w:rPr>
        <w:t>火灾自动探测及报警</w:t>
      </w:r>
    </w:p>
    <w:p>
      <w:pPr>
        <w:pStyle w:val="217"/>
        <w:rPr>
          <w:color w:val="auto"/>
          <w:highlight w:val="none"/>
        </w:rPr>
      </w:pPr>
      <w:r>
        <w:rPr>
          <w:rFonts w:hint="eastAsia"/>
          <w:color w:val="auto"/>
          <w:highlight w:val="none"/>
        </w:rPr>
        <w:t>在地下车库设有感烟探测器。在变电所、配电室、弱电室、电气竖井、风机房、水泵房、空调机房、管理用房、制冷机房、实验室、库房、办公室、电梯前室等处设感烟探测器。各层公共部位设有带电话插孔的手动报警按钮。</w:t>
      </w:r>
    </w:p>
    <w:p>
      <w:pPr>
        <w:pStyle w:val="217"/>
        <w:rPr>
          <w:color w:val="auto"/>
          <w:highlight w:val="none"/>
        </w:rPr>
      </w:pPr>
      <w:r>
        <w:rPr>
          <w:rFonts w:hint="eastAsia"/>
          <w:color w:val="auto"/>
          <w:highlight w:val="none"/>
        </w:rPr>
        <w:t>在每一个防火分区应至少设置一个火灾声光报警器，设置位置宜设于电梯厅或疏散通道靠近楼梯口处，火灾警报装置与火灾应急广播应分时播放控制。系统总线上设置总线短路隔离器，每只总线短隔离器保护的火灾报警探测器、手动报警按钮和消火栓报警按钮等消防设备的总数不超过</w:t>
      </w:r>
      <w:r>
        <w:rPr>
          <w:color w:val="auto"/>
          <w:highlight w:val="none"/>
        </w:rPr>
        <w:t>32</w:t>
      </w:r>
      <w:r>
        <w:rPr>
          <w:rFonts w:hint="eastAsia"/>
          <w:color w:val="auto"/>
          <w:highlight w:val="none"/>
        </w:rPr>
        <w:t>点；总线穿越防火分区时，应在穿越处设置总线短隔离器。</w:t>
      </w:r>
    </w:p>
    <w:p>
      <w:pPr>
        <w:pStyle w:val="217"/>
        <w:rPr>
          <w:color w:val="auto"/>
          <w:highlight w:val="none"/>
        </w:rPr>
      </w:pPr>
      <w:r>
        <w:rPr>
          <w:color w:val="auto"/>
          <w:highlight w:val="none"/>
        </w:rPr>
        <w:t>3.</w:t>
      </w:r>
      <w:r>
        <w:rPr>
          <w:rFonts w:hint="eastAsia"/>
          <w:color w:val="auto"/>
          <w:highlight w:val="none"/>
        </w:rPr>
        <w:t>报警及联动控制设计规定：</w:t>
      </w:r>
    </w:p>
    <w:p>
      <w:pPr>
        <w:pStyle w:val="217"/>
        <w:rPr>
          <w:color w:val="auto"/>
          <w:highlight w:val="none"/>
        </w:rPr>
      </w:pPr>
      <w:r>
        <w:rPr>
          <w:rFonts w:hint="eastAsia"/>
          <w:color w:val="auto"/>
          <w:highlight w:val="none"/>
        </w:rPr>
        <w:t>消防联动控制器应能按设定的控制逻辑向各相关的受控设备发出联动控制信号，并接受相关设备的联动反馈信号。</w:t>
      </w:r>
    </w:p>
    <w:p>
      <w:pPr>
        <w:pStyle w:val="217"/>
        <w:rPr>
          <w:color w:val="auto"/>
          <w:highlight w:val="none"/>
        </w:rPr>
      </w:pPr>
      <w:r>
        <w:rPr>
          <w:rFonts w:hint="eastAsia"/>
          <w:color w:val="auto"/>
          <w:highlight w:val="none"/>
        </w:rPr>
        <w:t>消防联动控制器的电压控制输出应采用直流</w:t>
      </w:r>
      <w:r>
        <w:rPr>
          <w:color w:val="auto"/>
          <w:highlight w:val="none"/>
        </w:rPr>
        <w:t xml:space="preserve"> 24V</w:t>
      </w:r>
      <w:r>
        <w:rPr>
          <w:rFonts w:hint="eastAsia"/>
          <w:color w:val="auto"/>
          <w:highlight w:val="none"/>
        </w:rPr>
        <w:t>，其电源容量应满足受控消防设备同时启动且维持工作的控制容量要求。</w:t>
      </w:r>
    </w:p>
    <w:p>
      <w:pPr>
        <w:pStyle w:val="217"/>
        <w:rPr>
          <w:color w:val="auto"/>
          <w:highlight w:val="none"/>
        </w:rPr>
      </w:pPr>
      <w:r>
        <w:rPr>
          <w:rFonts w:hint="eastAsia"/>
          <w:color w:val="auto"/>
          <w:highlight w:val="none"/>
        </w:rPr>
        <w:t>备受控设备接口的特性参数应与消防联动控制器发出的联动控制信号相匹配。</w:t>
      </w:r>
    </w:p>
    <w:p>
      <w:pPr>
        <w:pStyle w:val="217"/>
        <w:rPr>
          <w:color w:val="auto"/>
          <w:highlight w:val="none"/>
        </w:rPr>
      </w:pPr>
      <w:r>
        <w:rPr>
          <w:rFonts w:hint="eastAsia"/>
          <w:color w:val="auto"/>
          <w:highlight w:val="none"/>
        </w:rPr>
        <w:t>消防水泵、防烟和排烟风机的控制设备，除应采用联动控制方式外，还应在消防控制中心设置手动直接控制装置。</w:t>
      </w:r>
    </w:p>
    <w:p>
      <w:pPr>
        <w:pStyle w:val="217"/>
        <w:rPr>
          <w:color w:val="auto"/>
          <w:highlight w:val="none"/>
        </w:rPr>
      </w:pPr>
      <w:r>
        <w:rPr>
          <w:rFonts w:hint="eastAsia"/>
          <w:color w:val="auto"/>
          <w:highlight w:val="none"/>
        </w:rPr>
        <w:t>启动电流较大的消防设备宜分时启动。</w:t>
      </w:r>
    </w:p>
    <w:p>
      <w:pPr>
        <w:pStyle w:val="217"/>
        <w:rPr>
          <w:color w:val="auto"/>
          <w:highlight w:val="none"/>
        </w:rPr>
      </w:pPr>
      <w:r>
        <w:rPr>
          <w:rFonts w:hint="eastAsia"/>
          <w:color w:val="auto"/>
          <w:highlight w:val="none"/>
        </w:rPr>
        <w:t>需要火灾自动报警系统联动控制的消防设备，其联动触发信号应采用两个独立的报警触发装置报警信号的</w:t>
      </w:r>
      <w:r>
        <w:rPr>
          <w:color w:val="auto"/>
          <w:highlight w:val="none"/>
        </w:rPr>
        <w:t>"</w:t>
      </w:r>
      <w:r>
        <w:rPr>
          <w:rFonts w:hint="eastAsia"/>
          <w:color w:val="auto"/>
          <w:highlight w:val="none"/>
        </w:rPr>
        <w:t>与</w:t>
      </w:r>
      <w:r>
        <w:rPr>
          <w:color w:val="auto"/>
          <w:highlight w:val="none"/>
        </w:rPr>
        <w:t>"</w:t>
      </w:r>
      <w:r>
        <w:rPr>
          <w:rFonts w:hint="eastAsia"/>
          <w:color w:val="auto"/>
          <w:highlight w:val="none"/>
        </w:rPr>
        <w:t>逻辑组合。</w:t>
      </w:r>
    </w:p>
    <w:p>
      <w:pPr>
        <w:pStyle w:val="217"/>
        <w:rPr>
          <w:color w:val="auto"/>
          <w:highlight w:val="none"/>
        </w:rPr>
      </w:pPr>
      <w:r>
        <w:rPr>
          <w:color w:val="auto"/>
          <w:highlight w:val="none"/>
        </w:rPr>
        <w:t>4.</w:t>
      </w:r>
      <w:r>
        <w:rPr>
          <w:rFonts w:hint="eastAsia"/>
          <w:color w:val="auto"/>
          <w:highlight w:val="none"/>
        </w:rPr>
        <w:t>报警及联动控制要求：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）自动喷水灭火系统（湿式系统）的联动控制设计，应符合下列规定</w:t>
      </w:r>
      <w:r>
        <w:rPr>
          <w:color w:val="auto"/>
          <w:highlight w:val="none"/>
        </w:rPr>
        <w:t xml:space="preserve">: </w:t>
      </w:r>
    </w:p>
    <w:p>
      <w:pPr>
        <w:pStyle w:val="217"/>
        <w:rPr>
          <w:color w:val="auto"/>
          <w:highlight w:val="none"/>
        </w:rPr>
      </w:pPr>
      <w:r>
        <w:rPr>
          <w:rFonts w:hint="eastAsia"/>
          <w:color w:val="auto"/>
          <w:highlight w:val="none"/>
        </w:rPr>
        <w:t>联动控制方式，应由湿式报警阀压力开关的动作信号作为触发信号，直接控制启动喷淋消防泵，联动控制不应受消防联动控制器处于自动或手动状态影响。</w:t>
      </w:r>
    </w:p>
    <w:p>
      <w:pPr>
        <w:pStyle w:val="217"/>
        <w:rPr>
          <w:color w:val="auto"/>
          <w:highlight w:val="none"/>
        </w:rPr>
      </w:pPr>
      <w:r>
        <w:rPr>
          <w:rFonts w:hint="eastAsia"/>
          <w:color w:val="auto"/>
          <w:highlight w:val="none"/>
        </w:rPr>
        <w:t>手动控制方式，应将喷淋消防泵控制箱（柜）的启动、停止按钮用专用线路直接连接至设置在消防控制中心内的消防联动控制器的手动控制盘，直接手动控制喷淋消防泵的启动、停止。</w:t>
      </w:r>
    </w:p>
    <w:p>
      <w:pPr>
        <w:pStyle w:val="217"/>
        <w:rPr>
          <w:color w:val="auto"/>
          <w:highlight w:val="none"/>
        </w:rPr>
      </w:pPr>
      <w:r>
        <w:rPr>
          <w:rFonts w:hint="eastAsia"/>
          <w:color w:val="auto"/>
          <w:highlight w:val="none"/>
        </w:rPr>
        <w:t>水流指示器、信号阀、压力开关、喷淋消防泵的启动和停止的动作信号应反馈至消防联动控制器。消防水泵房现场控制箱手动或自动档位的位置应反馈至消防中心显示。</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）消火栓系统的联动控制要求：</w:t>
      </w:r>
    </w:p>
    <w:p>
      <w:pPr>
        <w:pStyle w:val="217"/>
        <w:rPr>
          <w:color w:val="auto"/>
          <w:highlight w:val="none"/>
        </w:rPr>
      </w:pPr>
      <w:r>
        <w:rPr>
          <w:rFonts w:hint="eastAsia"/>
          <w:color w:val="auto"/>
          <w:highlight w:val="none"/>
        </w:rPr>
        <w:t>联动控制方式，应由消火栓系统出水干管上设置的低压压力开关、高位消防水箱出水管上设置的流量开关或报警阀压力开关等信号作为触发信号，直接控制启动消火栓泵，联动控制不应受消防联动控制器处于自动或手动状态影响。当设置消火栓按钮时，消火栓按钮的动作信号应作为报警信号及启动消火栓泵的联动触发信号，由消防联功控制器联动控制消火栓泵的启动。</w:t>
      </w:r>
    </w:p>
    <w:p>
      <w:pPr>
        <w:pStyle w:val="217"/>
        <w:rPr>
          <w:color w:val="auto"/>
          <w:highlight w:val="none"/>
        </w:rPr>
      </w:pPr>
      <w:r>
        <w:rPr>
          <w:rFonts w:hint="eastAsia"/>
          <w:color w:val="auto"/>
          <w:highlight w:val="none"/>
        </w:rPr>
        <w:t>手动控制方式，应将消火栓泵控制箱（柜）的启动、停止按钮用专用线路直接连接至设置在消防控制中心内的消防联动控制器的手动控制盘，并应直接手动控制消火栓泵的启动、停止。</w:t>
      </w:r>
    </w:p>
    <w:p>
      <w:pPr>
        <w:pStyle w:val="217"/>
        <w:rPr>
          <w:color w:val="auto"/>
          <w:highlight w:val="none"/>
        </w:rPr>
      </w:pPr>
      <w:r>
        <w:rPr>
          <w:rFonts w:hint="eastAsia"/>
          <w:color w:val="auto"/>
          <w:highlight w:val="none"/>
        </w:rPr>
        <w:t>消火栓泵的动作信号应反馈至消防联动控制器。</w:t>
      </w:r>
    </w:p>
    <w:p>
      <w:pPr>
        <w:pStyle w:val="217"/>
        <w:rPr>
          <w:color w:val="auto"/>
          <w:highlight w:val="none"/>
        </w:rPr>
      </w:pPr>
      <w:r>
        <w:rPr>
          <w:rFonts w:hint="eastAsia"/>
          <w:color w:val="auto"/>
          <w:highlight w:val="none"/>
        </w:rPr>
        <w:t>消防水泵房现场控制箱手动或自动档位的位置应反馈至消防中心显示。</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w:t>
      </w:r>
      <w:r>
        <w:rPr>
          <w:color w:val="auto"/>
          <w:highlight w:val="none"/>
        </w:rPr>
        <w:t xml:space="preserve"> </w:t>
      </w:r>
      <w:r>
        <w:rPr>
          <w:rFonts w:hint="eastAsia"/>
          <w:color w:val="auto"/>
          <w:highlight w:val="none"/>
        </w:rPr>
        <w:t>气体灭火系统、泡沫灭火系统的联动控制要求：</w:t>
      </w:r>
    </w:p>
    <w:p>
      <w:pPr>
        <w:pStyle w:val="217"/>
        <w:rPr>
          <w:color w:val="auto"/>
          <w:highlight w:val="none"/>
        </w:rPr>
      </w:pPr>
      <w:r>
        <w:rPr>
          <w:rFonts w:hint="eastAsia"/>
          <w:color w:val="auto"/>
          <w:highlight w:val="none"/>
        </w:rPr>
        <w:t>气体灭火系统、泡沫灭火系统应分别由专用的气体灭火控制器、泡沫灭火控制器控制。</w:t>
      </w:r>
    </w:p>
    <w:p>
      <w:pPr>
        <w:pStyle w:val="217"/>
        <w:rPr>
          <w:color w:val="auto"/>
          <w:highlight w:val="none"/>
        </w:rPr>
      </w:pPr>
      <w:r>
        <w:rPr>
          <w:rFonts w:hint="eastAsia"/>
          <w:color w:val="auto"/>
          <w:highlight w:val="none"/>
        </w:rPr>
        <w:t>气体灭火控制器、泡沫灭火控制器直接连接火灾探测器时，气体灭火系统、泡沫灭火系统的自动控制方式应符合下列规定</w:t>
      </w:r>
      <w:r>
        <w:rPr>
          <w:color w:val="auto"/>
          <w:highlight w:val="none"/>
        </w:rPr>
        <w:t xml:space="preserve">: </w:t>
      </w:r>
    </w:p>
    <w:p>
      <w:pPr>
        <w:pStyle w:val="217"/>
        <w:rPr>
          <w:color w:val="auto"/>
          <w:highlight w:val="none"/>
        </w:rPr>
      </w:pPr>
      <w:r>
        <w:rPr>
          <w:rFonts w:hint="eastAsia"/>
          <w:color w:val="auto"/>
          <w:highlight w:val="none"/>
        </w:rPr>
        <w:t>应由同一防护区域内两只独立的火灾探测器的报警信号、一只火灾探测器与一只手动火灾报警按钮的报警信号或防护区外的紧急启动信号，作为系统的联动触发信号，探测器的组合宜采用感烟火灾探测器和感温火灾探测器。</w:t>
      </w:r>
    </w:p>
    <w:p>
      <w:pPr>
        <w:pStyle w:val="217"/>
        <w:rPr>
          <w:color w:val="auto"/>
          <w:highlight w:val="none"/>
        </w:rPr>
      </w:pPr>
      <w:r>
        <w:rPr>
          <w:rFonts w:hint="eastAsia"/>
          <w:color w:val="auto"/>
          <w:highlight w:val="none"/>
        </w:rPr>
        <w:t>气体灭火控制器、泡沫灭火控制器在接收到满足联动逻辑关系的首个联动触发信号后，应启动设置在该防护区内的火灾声光警报器，且联动触发信号应为任一防护区域内设置的感烟火灾探测器、其他类型火灾探测器或手动火灾报警按钮的首次报警信号；在接收到第二个联动触发信号后，应发出联动控制信号，且联动触发信号应为同一防护区域内与首次报警的火灾探测器或手动火灾报警按钮相邻的感温火灾探测器、火焰探测器或手动火灾报警按钮的报警信号。</w:t>
      </w:r>
    </w:p>
    <w:p>
      <w:pPr>
        <w:pStyle w:val="217"/>
        <w:rPr>
          <w:color w:val="auto"/>
          <w:highlight w:val="none"/>
        </w:rPr>
      </w:pPr>
      <w:r>
        <w:rPr>
          <w:rFonts w:hint="eastAsia"/>
          <w:color w:val="auto"/>
          <w:highlight w:val="none"/>
        </w:rPr>
        <w:t>联动控制信号应包括下列内容</w:t>
      </w:r>
      <w:r>
        <w:rPr>
          <w:color w:val="auto"/>
          <w:highlight w:val="none"/>
        </w:rPr>
        <w:t>:</w:t>
      </w:r>
    </w:p>
    <w:p>
      <w:pPr>
        <w:pStyle w:val="217"/>
        <w:rPr>
          <w:color w:val="auto"/>
          <w:highlight w:val="none"/>
        </w:rPr>
      </w:pPr>
      <w:r>
        <w:rPr>
          <w:rFonts w:hint="eastAsia"/>
          <w:color w:val="auto"/>
          <w:highlight w:val="none"/>
        </w:rPr>
        <w:t>关闭防护区域的送（排）风机及送（排）风阀门；</w:t>
      </w:r>
    </w:p>
    <w:p>
      <w:pPr>
        <w:pStyle w:val="217"/>
        <w:rPr>
          <w:color w:val="auto"/>
          <w:highlight w:val="none"/>
        </w:rPr>
      </w:pPr>
      <w:r>
        <w:rPr>
          <w:rFonts w:hint="eastAsia"/>
          <w:color w:val="auto"/>
          <w:highlight w:val="none"/>
        </w:rPr>
        <w:t>停止通风和空气调节系统及关闭设置在该防护区域的电动防火阀；</w:t>
      </w:r>
    </w:p>
    <w:p>
      <w:pPr>
        <w:pStyle w:val="217"/>
        <w:rPr>
          <w:color w:val="auto"/>
          <w:highlight w:val="none"/>
        </w:rPr>
      </w:pPr>
      <w:r>
        <w:rPr>
          <w:rFonts w:hint="eastAsia"/>
          <w:color w:val="auto"/>
          <w:highlight w:val="none"/>
        </w:rPr>
        <w:t>联动控制防护区域开口封闭装置的启动，包括关闭防护区域的门、窗；</w:t>
      </w:r>
    </w:p>
    <w:p>
      <w:pPr>
        <w:pStyle w:val="217"/>
        <w:rPr>
          <w:color w:val="auto"/>
          <w:highlight w:val="none"/>
        </w:rPr>
      </w:pPr>
      <w:r>
        <w:rPr>
          <w:rFonts w:hint="eastAsia"/>
          <w:color w:val="auto"/>
          <w:highlight w:val="none"/>
        </w:rPr>
        <w:t>启动气体灭火装置、泡沫灭火装置，气体灭火控制器、泡沫灭火控制器，可设定不大于</w:t>
      </w:r>
      <w:r>
        <w:rPr>
          <w:color w:val="auto"/>
          <w:highlight w:val="none"/>
        </w:rPr>
        <w:t xml:space="preserve"> 30s</w:t>
      </w:r>
      <w:r>
        <w:rPr>
          <w:rFonts w:hint="eastAsia"/>
          <w:color w:val="auto"/>
          <w:highlight w:val="none"/>
        </w:rPr>
        <w:t>的延迟喷射时间。</w:t>
      </w:r>
    </w:p>
    <w:p>
      <w:pPr>
        <w:pStyle w:val="217"/>
        <w:rPr>
          <w:color w:val="auto"/>
          <w:highlight w:val="none"/>
        </w:rPr>
      </w:pPr>
      <w:r>
        <w:rPr>
          <w:rFonts w:hint="eastAsia"/>
          <w:color w:val="auto"/>
          <w:highlight w:val="none"/>
        </w:rPr>
        <w:t>气体灭火防护区出口外上方应设置表示气体喷洒的火灾声光警报器，指示气体释放的声信号应与该保护对象中设置的火灾声警报器的声信号有明显区别。启动气体灭火装置、泡沫灭火装置的同时，应启动设置在防护区入口处表加气体喷洒的火灾声光警报器；组合分配系统应首先开启相应防护区域的选择阀，然后启动气体灭火装置、泡沫灭火装置。</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）气体灭火系统、泡沫灭火系统的手动控制方式应符合下列规定</w:t>
      </w:r>
      <w:r>
        <w:rPr>
          <w:color w:val="auto"/>
          <w:highlight w:val="none"/>
        </w:rPr>
        <w:t xml:space="preserve">: </w:t>
      </w:r>
    </w:p>
    <w:p>
      <w:pPr>
        <w:pStyle w:val="217"/>
        <w:rPr>
          <w:color w:val="auto"/>
          <w:highlight w:val="none"/>
        </w:rPr>
      </w:pPr>
      <w:r>
        <w:rPr>
          <w:rFonts w:hint="eastAsia"/>
          <w:color w:val="auto"/>
          <w:highlight w:val="none"/>
        </w:rPr>
        <w:t>在防护区疏散出口的门外应设置气体灭火装置、泡沫灭火装置的手动启动和停止按钮，手动启动按钮按下时气体灭火控制器、泡沫灭火控制器应执行符合本设计（</w:t>
      </w:r>
      <w:r>
        <w:rPr>
          <w:color w:val="auto"/>
          <w:highlight w:val="none"/>
        </w:rPr>
        <w:t>2</w:t>
      </w:r>
      <w:r>
        <w:rPr>
          <w:rFonts w:hint="eastAsia"/>
          <w:color w:val="auto"/>
          <w:highlight w:val="none"/>
        </w:rPr>
        <w:t>）和（</w:t>
      </w:r>
      <w:r>
        <w:rPr>
          <w:color w:val="auto"/>
          <w:highlight w:val="none"/>
        </w:rPr>
        <w:t>3</w:t>
      </w:r>
      <w:r>
        <w:rPr>
          <w:rFonts w:hint="eastAsia"/>
          <w:color w:val="auto"/>
          <w:highlight w:val="none"/>
        </w:rPr>
        <w:t>）规定的联动操作；手动停止按钮按下时，气体灭火控制器、泡沫灭火控制器应停止正在执行的联动操作。</w:t>
      </w:r>
    </w:p>
    <w:p>
      <w:pPr>
        <w:pStyle w:val="217"/>
        <w:rPr>
          <w:color w:val="auto"/>
          <w:highlight w:val="none"/>
        </w:rPr>
      </w:pPr>
      <w:r>
        <w:rPr>
          <w:rFonts w:hint="eastAsia"/>
          <w:color w:val="auto"/>
          <w:highlight w:val="none"/>
        </w:rPr>
        <w:t>气体灭火控制器、泡沫灭火控制器上应设置对应于不间防护区的手动启动和停止按钮，手动启动按钮按下时，气体灭火控制器、泡沫灭火控制器应执行符合本设计（</w:t>
      </w:r>
      <w:r>
        <w:rPr>
          <w:color w:val="auto"/>
          <w:highlight w:val="none"/>
        </w:rPr>
        <w:t>3</w:t>
      </w:r>
      <w:r>
        <w:rPr>
          <w:rFonts w:hint="eastAsia"/>
          <w:color w:val="auto"/>
          <w:highlight w:val="none"/>
        </w:rPr>
        <w:t>）规定的联动操作；手动停止按钮按下时，气体灭火控制器、泡沫灭火控制器应停止正在执行的联动操作。</w:t>
      </w:r>
    </w:p>
    <w:p>
      <w:pPr>
        <w:pStyle w:val="217"/>
        <w:rPr>
          <w:color w:val="auto"/>
          <w:highlight w:val="none"/>
        </w:rPr>
      </w:pPr>
      <w:r>
        <w:rPr>
          <w:rFonts w:hint="eastAsia"/>
          <w:color w:val="auto"/>
          <w:highlight w:val="none"/>
        </w:rPr>
        <w:t>气体灭火装置、泡沫灭火装置启动及喷放各阶段的联动控制及系统的反馈信号，应反馈至消防联动控制器。系统的联动反馈信号应包括下列内容</w:t>
      </w:r>
      <w:r>
        <w:rPr>
          <w:color w:val="auto"/>
          <w:highlight w:val="none"/>
        </w:rPr>
        <w:t xml:space="preserve">: </w:t>
      </w:r>
    </w:p>
    <w:p>
      <w:pPr>
        <w:pStyle w:val="217"/>
        <w:rPr>
          <w:color w:val="auto"/>
          <w:highlight w:val="none"/>
        </w:rPr>
      </w:pPr>
      <w:r>
        <w:rPr>
          <w:rFonts w:hint="eastAsia"/>
          <w:color w:val="auto"/>
          <w:highlight w:val="none"/>
        </w:rPr>
        <w:t>气体灭火控制器、泡沫灭火控制器直接连接的火灾探测器的报警信号。</w:t>
      </w:r>
    </w:p>
    <w:p>
      <w:pPr>
        <w:pStyle w:val="217"/>
        <w:rPr>
          <w:color w:val="auto"/>
          <w:highlight w:val="none"/>
        </w:rPr>
      </w:pPr>
      <w:r>
        <w:rPr>
          <w:rFonts w:hint="eastAsia"/>
          <w:color w:val="auto"/>
          <w:highlight w:val="none"/>
        </w:rPr>
        <w:t>选择阀的动作信号。</w:t>
      </w:r>
    </w:p>
    <w:p>
      <w:pPr>
        <w:pStyle w:val="217"/>
        <w:rPr>
          <w:color w:val="auto"/>
          <w:highlight w:val="none"/>
        </w:rPr>
      </w:pPr>
      <w:r>
        <w:rPr>
          <w:rFonts w:hint="eastAsia"/>
          <w:color w:val="auto"/>
          <w:highlight w:val="none"/>
        </w:rPr>
        <w:t>压力开关的动作信号。</w:t>
      </w:r>
    </w:p>
    <w:p>
      <w:pPr>
        <w:pStyle w:val="217"/>
        <w:rPr>
          <w:color w:val="auto"/>
          <w:highlight w:val="none"/>
        </w:rPr>
      </w:pPr>
      <w:r>
        <w:rPr>
          <w:rFonts w:hint="eastAsia"/>
          <w:color w:val="auto"/>
          <w:highlight w:val="none"/>
        </w:rPr>
        <w:t>在防护区域内设有手动与自动控制转换装置的系统，其手动或自动控制方式的工作状态应在防护区内、外的手动和自动控制状态显示装置上显示，该状态信号应反馈至消防联动控制器。</w:t>
      </w:r>
    </w:p>
    <w:p>
      <w:pPr>
        <w:pStyle w:val="217"/>
        <w:rPr>
          <w:color w:val="auto"/>
          <w:highlight w:val="none"/>
        </w:rPr>
      </w:pPr>
      <w:r>
        <w:rPr>
          <w:rFonts w:hint="eastAsia"/>
          <w:color w:val="auto"/>
          <w:highlight w:val="none"/>
        </w:rPr>
        <w:t>气体灭火控制系统的设计，招标确认后由专业公司进一步深化设计和实施。</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）防烟排烟系统的联动控制要求：</w:t>
      </w:r>
    </w:p>
    <w:p>
      <w:pPr>
        <w:pStyle w:val="217"/>
        <w:rPr>
          <w:color w:val="auto"/>
          <w:highlight w:val="none"/>
        </w:rPr>
      </w:pPr>
      <w:r>
        <w:rPr>
          <w:rFonts w:hint="eastAsia"/>
          <w:color w:val="auto"/>
          <w:highlight w:val="none"/>
        </w:rPr>
        <w:t>防烟系统的联动控制方式应符合下列规定</w:t>
      </w:r>
      <w:r>
        <w:rPr>
          <w:color w:val="auto"/>
          <w:highlight w:val="none"/>
        </w:rPr>
        <w:t xml:space="preserve">: </w:t>
      </w:r>
    </w:p>
    <w:p>
      <w:pPr>
        <w:pStyle w:val="217"/>
        <w:rPr>
          <w:color w:val="auto"/>
          <w:highlight w:val="none"/>
        </w:rPr>
      </w:pPr>
      <w:r>
        <w:rPr>
          <w:rFonts w:hint="eastAsia"/>
          <w:color w:val="auto"/>
          <w:highlight w:val="none"/>
        </w:rPr>
        <w:t>应由加压送风口所在防火分区内的两只独立的火灾探测器或一只火灾探测器与一只手动火灾报警按钮的报警信号，作为送风口开启和加压送风机启动的联动触发信号，并应由消防联动控制器联动控制相关层前室等需要加压送风场所的加压送风口开启和加压送风机启动。</w:t>
      </w:r>
    </w:p>
    <w:p>
      <w:pPr>
        <w:pStyle w:val="217"/>
        <w:rPr>
          <w:color w:val="auto"/>
          <w:highlight w:val="none"/>
        </w:rPr>
      </w:pPr>
      <w:r>
        <w:rPr>
          <w:rFonts w:hint="eastAsia"/>
          <w:color w:val="auto"/>
          <w:highlight w:val="none"/>
        </w:rPr>
        <w:t>应由同一防烟分区内且位于电动挡烟垂壁附近的两只独立的感烟火灾探测器的报警信号，作为电动挡烟垂壁降落的联动触发信号，并应由消防联动控制器联动控制电动挡烟垂壁的降落。</w:t>
      </w:r>
    </w:p>
    <w:p>
      <w:pPr>
        <w:pStyle w:val="217"/>
        <w:rPr>
          <w:color w:val="auto"/>
          <w:highlight w:val="none"/>
        </w:rPr>
      </w:pPr>
      <w:r>
        <w:rPr>
          <w:rFonts w:hint="eastAsia"/>
          <w:color w:val="auto"/>
          <w:highlight w:val="none"/>
        </w:rPr>
        <w:t>排烟系统的联动控制方式应符合下列规定</w:t>
      </w:r>
      <w:r>
        <w:rPr>
          <w:color w:val="auto"/>
          <w:highlight w:val="none"/>
        </w:rPr>
        <w:t>:</w:t>
      </w:r>
    </w:p>
    <w:p>
      <w:pPr>
        <w:pStyle w:val="217"/>
        <w:rPr>
          <w:color w:val="auto"/>
          <w:highlight w:val="none"/>
        </w:rPr>
      </w:pPr>
      <w:r>
        <w:rPr>
          <w:rFonts w:hint="eastAsia"/>
          <w:color w:val="auto"/>
          <w:highlight w:val="none"/>
        </w:rPr>
        <w:t>应由同一防烟分区内的两只独主的火灾探测器的报警信号，作为排烟口、排烟窗或排烟阀开启的联动触发信号，并应由消防联动控制器联动控制排烟口、排烟窗或排烟阀的开启，同时停止该防烟分区的空气调节系统。</w:t>
      </w:r>
    </w:p>
    <w:p>
      <w:pPr>
        <w:pStyle w:val="217"/>
        <w:rPr>
          <w:color w:val="auto"/>
          <w:highlight w:val="none"/>
        </w:rPr>
      </w:pPr>
      <w:r>
        <w:rPr>
          <w:rFonts w:hint="eastAsia"/>
          <w:color w:val="auto"/>
          <w:highlight w:val="none"/>
        </w:rPr>
        <w:t>应由排烟口、排烟窗或排烟阀开启的动作信号，作为排烟风机启动的联动触发信号，并应由消防联动控制器联动控制排烟风机的启动。</w:t>
      </w:r>
    </w:p>
    <w:p>
      <w:pPr>
        <w:pStyle w:val="217"/>
        <w:rPr>
          <w:color w:val="auto"/>
          <w:highlight w:val="none"/>
        </w:rPr>
      </w:pPr>
      <w:r>
        <w:rPr>
          <w:rFonts w:hint="eastAsia"/>
          <w:color w:val="auto"/>
          <w:highlight w:val="none"/>
        </w:rPr>
        <w:t>防烟系统、排烟系统的手动控制方式，应能在消防控制中心内的消防联动控制器上手动控制送风口、电动档烟垂壁、排烟口、排烟窗、排烟阀的开启或关闭及防烟风机、排烟风机等设备的启动或停止，防烟、排烟风机的启动、停止按钮应采用专用线路直接连接至设置在消防控制中心内的消防联动控制器的手动控制盘，并应直接手动控制防烟、排烟风机的启动、停止。</w:t>
      </w:r>
    </w:p>
    <w:p>
      <w:pPr>
        <w:pStyle w:val="217"/>
        <w:rPr>
          <w:color w:val="auto"/>
          <w:highlight w:val="none"/>
        </w:rPr>
      </w:pPr>
      <w:r>
        <w:rPr>
          <w:rFonts w:hint="eastAsia"/>
          <w:color w:val="auto"/>
          <w:highlight w:val="none"/>
        </w:rPr>
        <w:t>送风口、排烟口、排烟窗或排烟阀开启和关闭的动作信号，防烟、排烟风机启动和停止及电动防火阀关闭的动作信号，均应反馈至消防联动控制器。</w:t>
      </w:r>
    </w:p>
    <w:p>
      <w:pPr>
        <w:pStyle w:val="217"/>
        <w:rPr>
          <w:color w:val="auto"/>
          <w:highlight w:val="none"/>
        </w:rPr>
      </w:pPr>
      <w:r>
        <w:rPr>
          <w:rFonts w:hint="eastAsia"/>
          <w:color w:val="auto"/>
          <w:highlight w:val="none"/>
        </w:rPr>
        <w:t>排烟风机入口处的总管上设置的</w:t>
      </w:r>
      <w:r>
        <w:rPr>
          <w:color w:val="auto"/>
          <w:highlight w:val="none"/>
        </w:rPr>
        <w:t xml:space="preserve"> 280</w:t>
      </w:r>
      <w:r>
        <w:rPr>
          <w:rFonts w:hint="eastAsia"/>
          <w:color w:val="auto"/>
          <w:highlight w:val="none"/>
        </w:rPr>
        <w:t>℃排烟防火阀在关闭后应直接联动控制风机停止，排烟防火阀及风机的动作信号应反馈至消防联动控制器。</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w:t>
      </w:r>
      <w:r>
        <w:rPr>
          <w:color w:val="auto"/>
          <w:highlight w:val="none"/>
        </w:rPr>
        <w:t xml:space="preserve"> </w:t>
      </w:r>
      <w:r>
        <w:rPr>
          <w:rFonts w:hint="eastAsia"/>
          <w:color w:val="auto"/>
          <w:highlight w:val="none"/>
        </w:rPr>
        <w:t>防火门及防火卷帘系统的联动控制设计</w:t>
      </w:r>
    </w:p>
    <w:p>
      <w:pPr>
        <w:pStyle w:val="217"/>
        <w:rPr>
          <w:color w:val="auto"/>
          <w:highlight w:val="none"/>
        </w:rPr>
      </w:pPr>
      <w:r>
        <w:rPr>
          <w:rFonts w:hint="eastAsia"/>
          <w:color w:val="auto"/>
          <w:highlight w:val="none"/>
        </w:rPr>
        <w:t>防火门系统的联动控制设计，应符合下列规定</w:t>
      </w:r>
      <w:r>
        <w:rPr>
          <w:color w:val="auto"/>
          <w:highlight w:val="none"/>
        </w:rPr>
        <w:t xml:space="preserve">: </w:t>
      </w:r>
    </w:p>
    <w:p>
      <w:pPr>
        <w:pStyle w:val="217"/>
        <w:rPr>
          <w:color w:val="auto"/>
          <w:highlight w:val="none"/>
        </w:rPr>
      </w:pPr>
      <w:r>
        <w:rPr>
          <w:rFonts w:hint="eastAsia"/>
          <w:color w:val="auto"/>
          <w:highlight w:val="none"/>
        </w:rPr>
        <w:t>应由常开防火门所在防火分区内的两只独立的火灾探测器或一只火灾探测器与一只手动火灾报警按钮的报警信号，作为常开防火门关闭的联动触发信号，联动触发信号应由火灾报警控制器或消防联动控制器发出，并应由消防联动控制器或防火门监控器联动控制防火门关闭。</w:t>
      </w:r>
    </w:p>
    <w:p>
      <w:pPr>
        <w:pStyle w:val="217"/>
        <w:rPr>
          <w:color w:val="auto"/>
          <w:highlight w:val="none"/>
        </w:rPr>
      </w:pPr>
      <w:r>
        <w:rPr>
          <w:rFonts w:hint="eastAsia"/>
          <w:color w:val="auto"/>
          <w:highlight w:val="none"/>
        </w:rPr>
        <w:t>疏散通道上各防火门的开启、关闭及故障状态信号应反馈至防火门监控器。</w:t>
      </w:r>
    </w:p>
    <w:p>
      <w:pPr>
        <w:pStyle w:val="217"/>
        <w:rPr>
          <w:color w:val="auto"/>
          <w:highlight w:val="none"/>
        </w:rPr>
      </w:pPr>
      <w:r>
        <w:rPr>
          <w:rFonts w:hint="eastAsia"/>
          <w:color w:val="auto"/>
          <w:highlight w:val="none"/>
        </w:rPr>
        <w:t>防火卷帘的升降应由防火卷帘控制器控制。</w:t>
      </w:r>
    </w:p>
    <w:p>
      <w:pPr>
        <w:pStyle w:val="217"/>
        <w:rPr>
          <w:color w:val="auto"/>
          <w:highlight w:val="none"/>
        </w:rPr>
      </w:pPr>
      <w:r>
        <w:rPr>
          <w:rFonts w:hint="eastAsia"/>
          <w:color w:val="auto"/>
          <w:highlight w:val="none"/>
        </w:rPr>
        <w:t>疏散通道上设置的防火卷帘的联动控制设计，应符合下列规定</w:t>
      </w:r>
      <w:r>
        <w:rPr>
          <w:color w:val="auto"/>
          <w:highlight w:val="none"/>
        </w:rPr>
        <w:t xml:space="preserve">: </w:t>
      </w:r>
    </w:p>
    <w:p>
      <w:pPr>
        <w:pStyle w:val="217"/>
        <w:rPr>
          <w:color w:val="auto"/>
          <w:highlight w:val="none"/>
        </w:rPr>
      </w:pPr>
      <w:r>
        <w:rPr>
          <w:rFonts w:hint="eastAsia"/>
          <w:color w:val="auto"/>
          <w:highlight w:val="none"/>
        </w:rPr>
        <w:t>联动控制方式，防火分区内任两只独立的感烟火灾探测器或任一只专门用于联动防火卷帘的感烟火灾探测器的报警信号应联动控制防火卷帘下降至距楼板面</w:t>
      </w:r>
      <w:r>
        <w:rPr>
          <w:color w:val="auto"/>
          <w:highlight w:val="none"/>
        </w:rPr>
        <w:t>1. 8m</w:t>
      </w:r>
      <w:r>
        <w:rPr>
          <w:rFonts w:hint="eastAsia"/>
          <w:color w:val="auto"/>
          <w:highlight w:val="none"/>
        </w:rPr>
        <w:t>处；任一只专门用于联动防火卷帘的感温火灾探测器的报警信号应联动控制防火卷帘下降到楼板面；在卷帘的任一侧距卷帘纵深</w:t>
      </w:r>
      <w:r>
        <w:rPr>
          <w:color w:val="auto"/>
          <w:highlight w:val="none"/>
        </w:rPr>
        <w:t xml:space="preserve">0.5m~5m </w:t>
      </w:r>
      <w:r>
        <w:rPr>
          <w:rFonts w:hint="eastAsia"/>
          <w:color w:val="auto"/>
          <w:highlight w:val="none"/>
        </w:rPr>
        <w:t>内应设置不少于</w:t>
      </w:r>
      <w:r>
        <w:rPr>
          <w:color w:val="auto"/>
          <w:highlight w:val="none"/>
        </w:rPr>
        <w:t xml:space="preserve"> 2</w:t>
      </w:r>
      <w:r>
        <w:rPr>
          <w:rFonts w:hint="eastAsia"/>
          <w:color w:val="auto"/>
          <w:highlight w:val="none"/>
        </w:rPr>
        <w:t>只专门用于联动防火卷帘的感温火灾探测器。</w:t>
      </w:r>
    </w:p>
    <w:p>
      <w:pPr>
        <w:pStyle w:val="217"/>
        <w:rPr>
          <w:color w:val="auto"/>
          <w:highlight w:val="none"/>
        </w:rPr>
      </w:pPr>
      <w:r>
        <w:rPr>
          <w:rFonts w:hint="eastAsia"/>
          <w:color w:val="auto"/>
          <w:highlight w:val="none"/>
        </w:rPr>
        <w:t>手动控制方式，应由防火卷帘两侧设置的手动控制按钮控制防火卷帘的升降。</w:t>
      </w:r>
    </w:p>
    <w:p>
      <w:pPr>
        <w:pStyle w:val="217"/>
        <w:rPr>
          <w:color w:val="auto"/>
          <w:highlight w:val="none"/>
        </w:rPr>
      </w:pPr>
      <w:r>
        <w:rPr>
          <w:rFonts w:hint="eastAsia"/>
          <w:color w:val="auto"/>
          <w:highlight w:val="none"/>
        </w:rPr>
        <w:t>非疏散通道上设置的防火卷帘的联动控制设计，应符合下列规定</w:t>
      </w:r>
      <w:r>
        <w:rPr>
          <w:color w:val="auto"/>
          <w:highlight w:val="none"/>
        </w:rPr>
        <w:t xml:space="preserve">: </w:t>
      </w:r>
    </w:p>
    <w:p>
      <w:pPr>
        <w:pStyle w:val="217"/>
        <w:rPr>
          <w:color w:val="auto"/>
          <w:highlight w:val="none"/>
        </w:rPr>
      </w:pPr>
      <w:r>
        <w:rPr>
          <w:rFonts w:hint="eastAsia"/>
          <w:color w:val="auto"/>
          <w:highlight w:val="none"/>
        </w:rPr>
        <w:t>联动控制方式，应由防火卷帘所在防火分区内任两只独立的火灾探测器的报警信号，作为防火卷帘下降的联动触发信号，并应联动控制防火卷帘自</w:t>
      </w:r>
      <w:r>
        <w:rPr>
          <w:color w:val="auto"/>
          <w:highlight w:val="none"/>
        </w:rPr>
        <w:t>:</w:t>
      </w:r>
      <w:r>
        <w:rPr>
          <w:rFonts w:hint="eastAsia"/>
          <w:color w:val="auto"/>
          <w:highlight w:val="none"/>
        </w:rPr>
        <w:t>接下降到楼板面。</w:t>
      </w:r>
    </w:p>
    <w:p>
      <w:pPr>
        <w:pStyle w:val="217"/>
        <w:rPr>
          <w:color w:val="auto"/>
          <w:highlight w:val="none"/>
        </w:rPr>
      </w:pPr>
      <w:r>
        <w:rPr>
          <w:rFonts w:hint="eastAsia"/>
          <w:color w:val="auto"/>
          <w:highlight w:val="none"/>
        </w:rPr>
        <w:t>手动控制方式，应由防火卷帘两侧设置的手动控制按钮控制防火卷帘的升降，并应能在消防控制中心内的消防联动控制器上手动控制防火卷帘的降落。</w:t>
      </w:r>
    </w:p>
    <w:p>
      <w:pPr>
        <w:pStyle w:val="217"/>
        <w:rPr>
          <w:color w:val="auto"/>
          <w:highlight w:val="none"/>
        </w:rPr>
      </w:pPr>
      <w:r>
        <w:rPr>
          <w:rFonts w:hint="eastAsia"/>
          <w:color w:val="auto"/>
          <w:highlight w:val="none"/>
        </w:rPr>
        <w:t>（</w:t>
      </w:r>
      <w:r>
        <w:rPr>
          <w:color w:val="auto"/>
          <w:highlight w:val="none"/>
        </w:rPr>
        <w:t>7</w:t>
      </w:r>
      <w:r>
        <w:rPr>
          <w:rFonts w:hint="eastAsia"/>
          <w:color w:val="auto"/>
          <w:highlight w:val="none"/>
        </w:rPr>
        <w:t>）电梯的联动控制要求：</w:t>
      </w:r>
    </w:p>
    <w:p>
      <w:pPr>
        <w:pStyle w:val="217"/>
        <w:rPr>
          <w:color w:val="auto"/>
          <w:highlight w:val="none"/>
        </w:rPr>
      </w:pPr>
      <w:r>
        <w:rPr>
          <w:rFonts w:hint="eastAsia"/>
          <w:color w:val="auto"/>
          <w:highlight w:val="none"/>
        </w:rPr>
        <w:t>消防联动控制器应具有发出联功控制信号强制所有电梯停于首层或电梯转换层的功能。</w:t>
      </w:r>
    </w:p>
    <w:p>
      <w:pPr>
        <w:pStyle w:val="217"/>
        <w:rPr>
          <w:color w:val="auto"/>
          <w:highlight w:val="none"/>
        </w:rPr>
      </w:pPr>
      <w:r>
        <w:rPr>
          <w:rFonts w:hint="eastAsia"/>
          <w:color w:val="auto"/>
          <w:highlight w:val="none"/>
        </w:rPr>
        <w:t>电梯运行状态信息和停于首层或转换层的反馈信号，应传送给消防控制中心显示，轿厢内应设置能直接与消防控制中心通话的专用电话。由甲方委托智能化专业公司设计设置五方对讲系统。</w:t>
      </w:r>
    </w:p>
    <w:p>
      <w:pPr>
        <w:pStyle w:val="217"/>
        <w:rPr>
          <w:color w:val="auto"/>
          <w:highlight w:val="none"/>
        </w:rPr>
      </w:pPr>
      <w:r>
        <w:rPr>
          <w:rFonts w:hint="eastAsia"/>
          <w:color w:val="auto"/>
          <w:highlight w:val="none"/>
        </w:rPr>
        <w:t>（</w:t>
      </w:r>
      <w:r>
        <w:rPr>
          <w:color w:val="auto"/>
          <w:highlight w:val="none"/>
        </w:rPr>
        <w:t>8</w:t>
      </w:r>
      <w:r>
        <w:rPr>
          <w:rFonts w:hint="eastAsia"/>
          <w:color w:val="auto"/>
          <w:highlight w:val="none"/>
        </w:rPr>
        <w:t>）火灾声光报警和消防应急广播系统的联动控制设计</w:t>
      </w:r>
    </w:p>
    <w:p>
      <w:pPr>
        <w:pStyle w:val="217"/>
        <w:rPr>
          <w:color w:val="auto"/>
          <w:highlight w:val="none"/>
        </w:rPr>
      </w:pPr>
      <w:r>
        <w:rPr>
          <w:rFonts w:hint="eastAsia"/>
          <w:color w:val="auto"/>
          <w:highlight w:val="none"/>
        </w:rPr>
        <w:t>火灾自动报警系统设置火灾声光警报器，并应在确认火灾后启动建筑内的所有火灾声光警报器。</w:t>
      </w:r>
    </w:p>
    <w:p>
      <w:pPr>
        <w:pStyle w:val="217"/>
        <w:rPr>
          <w:color w:val="auto"/>
          <w:highlight w:val="none"/>
        </w:rPr>
      </w:pPr>
      <w:r>
        <w:rPr>
          <w:rFonts w:hint="eastAsia"/>
          <w:color w:val="auto"/>
          <w:highlight w:val="none"/>
        </w:rPr>
        <w:t>火灾声光警报器应由火灾报警控制器或消防联动控制器控制。</w:t>
      </w:r>
    </w:p>
    <w:p>
      <w:pPr>
        <w:pStyle w:val="217"/>
        <w:rPr>
          <w:color w:val="auto"/>
          <w:highlight w:val="none"/>
        </w:rPr>
      </w:pPr>
      <w:r>
        <w:rPr>
          <w:rFonts w:hint="eastAsia"/>
          <w:color w:val="auto"/>
          <w:highlight w:val="none"/>
        </w:rPr>
        <w:t>消防控制中心设置一套公共广播和火灾应急广播系统，采用</w:t>
      </w:r>
      <w:r>
        <w:rPr>
          <w:color w:val="auto"/>
          <w:highlight w:val="none"/>
        </w:rPr>
        <w:t>70V</w:t>
      </w:r>
      <w:r>
        <w:rPr>
          <w:rFonts w:hint="eastAsia"/>
          <w:color w:val="auto"/>
          <w:highlight w:val="none"/>
        </w:rPr>
        <w:t>定压式输出</w:t>
      </w:r>
      <w:r>
        <w:rPr>
          <w:color w:val="auto"/>
          <w:highlight w:val="none"/>
        </w:rPr>
        <w:t xml:space="preserve">, </w:t>
      </w:r>
      <w:r>
        <w:rPr>
          <w:rFonts w:hint="eastAsia"/>
          <w:color w:val="auto"/>
          <w:highlight w:val="none"/>
        </w:rPr>
        <w:t>广播扬声器壁挂式为</w:t>
      </w:r>
      <w:r>
        <w:rPr>
          <w:color w:val="auto"/>
          <w:highlight w:val="none"/>
        </w:rPr>
        <w:t>5W/</w:t>
      </w:r>
      <w:r>
        <w:rPr>
          <w:rFonts w:hint="eastAsia"/>
          <w:color w:val="auto"/>
          <w:highlight w:val="none"/>
        </w:rPr>
        <w:t>个，吸顶式为</w:t>
      </w:r>
      <w:r>
        <w:rPr>
          <w:color w:val="auto"/>
          <w:highlight w:val="none"/>
        </w:rPr>
        <w:t>3w/</w:t>
      </w:r>
      <w:r>
        <w:rPr>
          <w:rFonts w:hint="eastAsia"/>
          <w:color w:val="auto"/>
          <w:highlight w:val="none"/>
        </w:rPr>
        <w:t>个。</w:t>
      </w:r>
    </w:p>
    <w:p>
      <w:pPr>
        <w:pStyle w:val="217"/>
        <w:rPr>
          <w:color w:val="auto"/>
          <w:highlight w:val="none"/>
        </w:rPr>
      </w:pPr>
      <w:r>
        <w:rPr>
          <w:rFonts w:hint="eastAsia"/>
          <w:color w:val="auto"/>
          <w:highlight w:val="none"/>
        </w:rPr>
        <w:t>消防广播系统与大楼公共广播系统合用，具有强制切入消防应急广播的功能。实验室和办公室的广播与公共区域的广播分回路控制，平时不做背景音乐使用。消防时，所有的广播扬声器均需要进行广播。</w:t>
      </w:r>
    </w:p>
    <w:p>
      <w:pPr>
        <w:pStyle w:val="217"/>
        <w:rPr>
          <w:color w:val="auto"/>
          <w:highlight w:val="none"/>
        </w:rPr>
      </w:pPr>
      <w:r>
        <w:rPr>
          <w:rFonts w:hint="eastAsia"/>
          <w:color w:val="auto"/>
          <w:highlight w:val="none"/>
        </w:rPr>
        <w:t>消防应急广播系统的联动控制信号应由消防联动控制器发生。当发生火灾后，应同时向全楼进行广播。消防控制中心内应能显示消防应急广播的广播分区的工作状态。</w:t>
      </w:r>
    </w:p>
    <w:p>
      <w:pPr>
        <w:pStyle w:val="217"/>
        <w:rPr>
          <w:color w:val="auto"/>
          <w:highlight w:val="none"/>
        </w:rPr>
      </w:pPr>
      <w:r>
        <w:rPr>
          <w:rFonts w:hint="eastAsia"/>
          <w:color w:val="auto"/>
          <w:highlight w:val="none"/>
        </w:rPr>
        <w:t>火灾时首先启动声光报警器（时长为</w:t>
      </w:r>
      <w:r>
        <w:rPr>
          <w:color w:val="auto"/>
          <w:highlight w:val="none"/>
        </w:rPr>
        <w:t>8~20</w:t>
      </w:r>
      <w:r>
        <w:rPr>
          <w:rFonts w:hint="eastAsia"/>
          <w:color w:val="auto"/>
          <w:highlight w:val="none"/>
        </w:rPr>
        <w:t>秒），然后启动消防广播</w:t>
      </w:r>
      <w:r>
        <w:rPr>
          <w:color w:val="auto"/>
          <w:highlight w:val="none"/>
        </w:rPr>
        <w:t>(</w:t>
      </w:r>
      <w:r>
        <w:rPr>
          <w:rFonts w:hint="eastAsia"/>
          <w:color w:val="auto"/>
          <w:highlight w:val="none"/>
        </w:rPr>
        <w:t>时长</w:t>
      </w:r>
      <w:r>
        <w:rPr>
          <w:color w:val="auto"/>
          <w:highlight w:val="none"/>
        </w:rPr>
        <w:t>10~30</w:t>
      </w:r>
      <w:r>
        <w:rPr>
          <w:rFonts w:hint="eastAsia"/>
          <w:color w:val="auto"/>
          <w:highlight w:val="none"/>
        </w:rPr>
        <w:t>秒</w:t>
      </w:r>
      <w:r>
        <w:rPr>
          <w:color w:val="auto"/>
          <w:highlight w:val="none"/>
        </w:rPr>
        <w:t>)</w:t>
      </w:r>
      <w:r>
        <w:rPr>
          <w:rFonts w:hint="eastAsia"/>
          <w:color w:val="auto"/>
          <w:highlight w:val="none"/>
        </w:rPr>
        <w:t>，广播时需切断声光报警器报警信号，火灾声光报警器应与火灾应急广播交替工作方式循环播放。</w:t>
      </w:r>
    </w:p>
    <w:p>
      <w:pPr>
        <w:pStyle w:val="217"/>
        <w:rPr>
          <w:color w:val="auto"/>
          <w:highlight w:val="none"/>
        </w:rPr>
      </w:pPr>
      <w:r>
        <w:rPr>
          <w:rFonts w:hint="eastAsia"/>
          <w:color w:val="auto"/>
          <w:highlight w:val="none"/>
        </w:rPr>
        <w:t>在消防控制中心应能手动或按预设控制逻辑联动控制选择广播分区、启动或停止应急广播系统，并应能监听消防应急广播。在通过传声器进行应急广播时，应自动对广播内容进行录音。</w:t>
      </w:r>
    </w:p>
    <w:p>
      <w:pPr>
        <w:pStyle w:val="217"/>
        <w:rPr>
          <w:color w:val="auto"/>
          <w:highlight w:val="none"/>
        </w:rPr>
      </w:pPr>
      <w:r>
        <w:rPr>
          <w:rFonts w:hint="eastAsia"/>
          <w:color w:val="auto"/>
          <w:highlight w:val="none"/>
        </w:rPr>
        <w:t>在环境噪声大于</w:t>
      </w:r>
      <w:r>
        <w:rPr>
          <w:color w:val="auto"/>
          <w:highlight w:val="none"/>
        </w:rPr>
        <w:t>60dB</w:t>
      </w:r>
      <w:r>
        <w:rPr>
          <w:rFonts w:hint="eastAsia"/>
          <w:color w:val="auto"/>
          <w:highlight w:val="none"/>
        </w:rPr>
        <w:t>的场所设置的扬声器，在其播放范围内最远点的播放声压级应高于背景噪声</w:t>
      </w:r>
      <w:r>
        <w:rPr>
          <w:color w:val="auto"/>
          <w:highlight w:val="none"/>
        </w:rPr>
        <w:t>15dB</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9</w:t>
      </w:r>
      <w:r>
        <w:rPr>
          <w:rFonts w:hint="eastAsia"/>
          <w:color w:val="auto"/>
          <w:highlight w:val="none"/>
        </w:rPr>
        <w:t>）消防应急照明和疏散指示系统的联动控制要求：</w:t>
      </w:r>
    </w:p>
    <w:p>
      <w:pPr>
        <w:pStyle w:val="217"/>
        <w:rPr>
          <w:color w:val="auto"/>
          <w:highlight w:val="none"/>
        </w:rPr>
      </w:pPr>
      <w:r>
        <w:rPr>
          <w:rFonts w:hint="eastAsia"/>
          <w:color w:val="auto"/>
          <w:highlight w:val="none"/>
        </w:rPr>
        <w:t>消防应急照明和疏散指示系统的联动控制设计，应符合下列规定</w:t>
      </w:r>
      <w:r>
        <w:rPr>
          <w:color w:val="auto"/>
          <w:highlight w:val="none"/>
        </w:rPr>
        <w:t xml:space="preserve">: </w:t>
      </w:r>
    </w:p>
    <w:p>
      <w:pPr>
        <w:pStyle w:val="217"/>
        <w:rPr>
          <w:color w:val="auto"/>
          <w:highlight w:val="none"/>
        </w:rPr>
      </w:pPr>
      <w:r>
        <w:rPr>
          <w:rFonts w:hint="eastAsia"/>
          <w:color w:val="auto"/>
          <w:highlight w:val="none"/>
        </w:rPr>
        <w:t>集中控制型消防应急照明和疏散指示系统，应由火灾报警控制器或消防联动控制器启动应急照明控制器实现。</w:t>
      </w:r>
    </w:p>
    <w:p>
      <w:pPr>
        <w:pStyle w:val="217"/>
        <w:rPr>
          <w:color w:val="auto"/>
          <w:highlight w:val="none"/>
        </w:rPr>
      </w:pPr>
      <w:r>
        <w:rPr>
          <w:rFonts w:hint="eastAsia"/>
          <w:color w:val="auto"/>
          <w:highlight w:val="none"/>
        </w:rPr>
        <w:t>集中电源非集中控制型消防应急照明和疏散指示系统，应由消防联动控制器联动应急照明集中电源和应急照明分配电装置实现。</w:t>
      </w:r>
    </w:p>
    <w:p>
      <w:pPr>
        <w:pStyle w:val="217"/>
        <w:rPr>
          <w:color w:val="auto"/>
          <w:highlight w:val="none"/>
        </w:rPr>
      </w:pPr>
      <w:r>
        <w:rPr>
          <w:rFonts w:hint="eastAsia"/>
          <w:color w:val="auto"/>
          <w:highlight w:val="none"/>
        </w:rPr>
        <w:t>自带电源非集中控制型消防应急照明和疏散指示系统，应由消防联动控制器联动消防应急照明配电箱实现。</w:t>
      </w:r>
    </w:p>
    <w:p>
      <w:pPr>
        <w:pStyle w:val="217"/>
        <w:rPr>
          <w:color w:val="auto"/>
          <w:highlight w:val="none"/>
        </w:rPr>
      </w:pPr>
      <w:r>
        <w:rPr>
          <w:rFonts w:hint="eastAsia"/>
          <w:color w:val="auto"/>
          <w:highlight w:val="none"/>
        </w:rPr>
        <w:t>当确认火灾后，由发生火灾的报警区域开始，顺序启动全楼疏散通道的消防应急照明和疏散指示系统，系统全部投入应急状态的启动时间不应大于</w:t>
      </w:r>
      <w:r>
        <w:rPr>
          <w:color w:val="auto"/>
          <w:highlight w:val="none"/>
        </w:rPr>
        <w:t>5s</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10</w:t>
      </w:r>
      <w:r>
        <w:rPr>
          <w:rFonts w:hint="eastAsia"/>
          <w:color w:val="auto"/>
          <w:highlight w:val="none"/>
        </w:rPr>
        <w:t>）相关联动控制设计</w:t>
      </w:r>
    </w:p>
    <w:p>
      <w:pPr>
        <w:pStyle w:val="217"/>
        <w:rPr>
          <w:color w:val="auto"/>
          <w:highlight w:val="none"/>
        </w:rPr>
      </w:pPr>
      <w:r>
        <w:rPr>
          <w:rFonts w:hint="eastAsia"/>
          <w:color w:val="auto"/>
          <w:highlight w:val="none"/>
        </w:rPr>
        <w:t>消防联动控制器应具有切断火灾区域及相关区域的非消防电源的功能，当需要切断正常照明时，宜在自动喷淋系统、消火栓系统动作前切断。</w:t>
      </w:r>
    </w:p>
    <w:p>
      <w:pPr>
        <w:pStyle w:val="217"/>
        <w:rPr>
          <w:color w:val="auto"/>
          <w:highlight w:val="none"/>
        </w:rPr>
      </w:pPr>
      <w:r>
        <w:rPr>
          <w:rFonts w:hint="eastAsia"/>
          <w:color w:val="auto"/>
          <w:highlight w:val="none"/>
        </w:rPr>
        <w:t>消防联动控制器应具有自动打开涉及疏散的电动栅杆等的功能，宜开启相关区域安全技术防范系统的摄像机监视火灾现场。</w:t>
      </w:r>
    </w:p>
    <w:p>
      <w:pPr>
        <w:pStyle w:val="217"/>
        <w:rPr>
          <w:color w:val="auto"/>
          <w:highlight w:val="none"/>
        </w:rPr>
      </w:pPr>
      <w:r>
        <w:rPr>
          <w:rFonts w:hint="eastAsia"/>
          <w:color w:val="auto"/>
          <w:highlight w:val="none"/>
        </w:rPr>
        <w:t>消防联动控制器应具有打开疏散通道上由门禁系统控制的门和庭院电动大门的功能</w:t>
      </w:r>
      <w:r>
        <w:rPr>
          <w:color w:val="auto"/>
          <w:highlight w:val="none"/>
        </w:rPr>
        <w:t>,</w:t>
      </w:r>
      <w:r>
        <w:rPr>
          <w:rFonts w:hint="eastAsia"/>
          <w:color w:val="auto"/>
          <w:highlight w:val="none"/>
        </w:rPr>
        <w:t>并应具有打开停车场出人口挡杆的功能。</w:t>
      </w:r>
    </w:p>
    <w:p>
      <w:pPr>
        <w:pStyle w:val="217"/>
        <w:rPr>
          <w:color w:val="auto"/>
          <w:highlight w:val="none"/>
        </w:rPr>
      </w:pPr>
      <w:r>
        <w:rPr>
          <w:rFonts w:hint="eastAsia"/>
          <w:color w:val="auto"/>
          <w:highlight w:val="none"/>
        </w:rPr>
        <w:t>在设置水炮灭火系统的场所，水炮设有水炮就地控制箱。水炮的水流指示器，安全信号阀</w:t>
      </w:r>
      <w:r>
        <w:rPr>
          <w:color w:val="auto"/>
          <w:highlight w:val="none"/>
        </w:rPr>
        <w:t>,</w:t>
      </w:r>
      <w:r>
        <w:rPr>
          <w:rFonts w:hint="eastAsia"/>
          <w:color w:val="auto"/>
          <w:highlight w:val="none"/>
        </w:rPr>
        <w:t>红外报警探测器等信号反馈至火灾报警主机。</w:t>
      </w:r>
    </w:p>
    <w:p>
      <w:pPr>
        <w:pStyle w:val="217"/>
        <w:rPr>
          <w:color w:val="auto"/>
          <w:highlight w:val="none"/>
        </w:rPr>
      </w:pPr>
      <w:r>
        <w:rPr>
          <w:color w:val="auto"/>
          <w:highlight w:val="none"/>
        </w:rPr>
        <w:t>5.</w:t>
      </w:r>
      <w:r>
        <w:rPr>
          <w:rFonts w:hint="eastAsia"/>
          <w:color w:val="auto"/>
          <w:highlight w:val="none"/>
        </w:rPr>
        <w:t>系统供电</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）火灾自动报警系统设置交流电源和蓄电池备用电源。</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火灾自动报警系统的交流电源采用消防电源，备用电源采用火灾报警控制器和消防联动控制器自带的蓄电池电源或消防设备应急电源。当备用电源采用消防设备应急电源时，火灾报警控制器和消防联动控制器应采用单独的供电回路，并应保证在系统处于最大负载状态下不影响火灾报警控制器和消防联动控制器的正常工作。</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）消防控制中心图形显示装置、消防通信设备等的电源，由消防应急电源供电。</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）消防设备应急电源输出功率应大于火灾自动报警系统及联动控制系统全负荷功率真的</w:t>
      </w:r>
      <w:r>
        <w:rPr>
          <w:color w:val="auto"/>
          <w:highlight w:val="none"/>
        </w:rPr>
        <w:t>120%</w:t>
      </w:r>
      <w:r>
        <w:rPr>
          <w:rFonts w:hint="eastAsia"/>
          <w:color w:val="auto"/>
          <w:highlight w:val="none"/>
        </w:rPr>
        <w:t>，蓄电池组的容量应保证火灾自动报警及联动控制系统在火灾状态同时工作负荷条件下连续工作</w:t>
      </w:r>
      <w:r>
        <w:rPr>
          <w:color w:val="auto"/>
          <w:highlight w:val="none"/>
        </w:rPr>
        <w:t>3</w:t>
      </w:r>
      <w:r>
        <w:rPr>
          <w:rFonts w:hint="eastAsia"/>
          <w:color w:val="auto"/>
          <w:highlight w:val="none"/>
        </w:rPr>
        <w:t>小时以上。</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）消防用电设备采用专用的供电回路，其配电设备应有明显标志。其配电线路和控制回路按防火分共划分。</w:t>
      </w:r>
    </w:p>
    <w:p>
      <w:pPr>
        <w:pStyle w:val="217"/>
        <w:rPr>
          <w:color w:val="auto"/>
          <w:highlight w:val="none"/>
        </w:rPr>
      </w:pPr>
      <w:r>
        <w:rPr>
          <w:color w:val="auto"/>
          <w:highlight w:val="none"/>
        </w:rPr>
        <w:t>6.</w:t>
      </w:r>
      <w:r>
        <w:rPr>
          <w:rFonts w:hint="eastAsia"/>
          <w:color w:val="auto"/>
          <w:highlight w:val="none"/>
        </w:rPr>
        <w:t>系统接地</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）火灾自动报警系统接地装置采用共用接地装置，接地电阻值不应大于</w:t>
      </w:r>
      <w:r>
        <w:rPr>
          <w:color w:val="auto"/>
          <w:highlight w:val="none"/>
        </w:rPr>
        <w:t>1</w:t>
      </w:r>
      <w:r>
        <w:rPr>
          <w:rFonts w:hint="eastAsia"/>
          <w:color w:val="auto"/>
          <w:highlight w:val="none"/>
        </w:rPr>
        <w:t>欧姆。</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）消防控制中心内的电气和电子设备的金属外壳、机柜、机架和金属管、槽等，应采用等电位连接。</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）消防设备、线槽及金属箱体等均应可靠接地。</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）止由消防控制中心接地板引至各消防电子设备的专用接地线应选择用铜芯绝缘导线，其芯截面面积不应小于</w:t>
      </w:r>
      <w:r>
        <w:rPr>
          <w:color w:val="auto"/>
          <w:highlight w:val="none"/>
        </w:rPr>
        <w:t>4mm2</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）消防控制中心接地板与建筑接地体之间，应采用线芯截面</w:t>
      </w:r>
      <w:r>
        <w:rPr>
          <w:color w:val="auto"/>
          <w:highlight w:val="none"/>
        </w:rPr>
        <w:t>25mm2</w:t>
      </w:r>
      <w:r>
        <w:rPr>
          <w:rFonts w:hint="eastAsia"/>
          <w:color w:val="auto"/>
          <w:highlight w:val="none"/>
        </w:rPr>
        <w:t>的铜芯绝缘导线连。</w:t>
      </w:r>
    </w:p>
    <w:p>
      <w:pPr>
        <w:pStyle w:val="217"/>
        <w:rPr>
          <w:color w:val="auto"/>
          <w:highlight w:val="none"/>
        </w:rPr>
      </w:pPr>
      <w:r>
        <w:rPr>
          <w:color w:val="auto"/>
          <w:highlight w:val="none"/>
        </w:rPr>
        <w:t>7.</w:t>
      </w:r>
      <w:r>
        <w:rPr>
          <w:rFonts w:hint="eastAsia"/>
          <w:color w:val="auto"/>
          <w:highlight w:val="none"/>
        </w:rPr>
        <w:t>注意事项</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）本工程所选设备、材料，必须具有国家级检测中心的检测合格证书（</w:t>
      </w:r>
      <w:r>
        <w:rPr>
          <w:color w:val="auto"/>
          <w:highlight w:val="none"/>
        </w:rPr>
        <w:t>3C</w:t>
      </w:r>
      <w:r>
        <w:rPr>
          <w:rFonts w:hint="eastAsia"/>
          <w:color w:val="auto"/>
          <w:highlight w:val="none"/>
        </w:rPr>
        <w:t>认证）；必须满足与产品相关的国家标准。消防报警及联动线缆均采用低烟无卤耐火型</w:t>
      </w:r>
      <w:r>
        <w:rPr>
          <w:color w:val="auto"/>
          <w:highlight w:val="none"/>
        </w:rPr>
        <w:t>(B</w:t>
      </w:r>
      <w:r>
        <w:rPr>
          <w:rFonts w:hint="eastAsia"/>
          <w:color w:val="auto"/>
          <w:highlight w:val="none"/>
        </w:rPr>
        <w:t>级</w:t>
      </w:r>
      <w:r>
        <w:rPr>
          <w:color w:val="auto"/>
          <w:highlight w:val="none"/>
        </w:rPr>
        <w:t>)</w:t>
      </w:r>
      <w:r>
        <w:rPr>
          <w:rFonts w:hint="eastAsia"/>
          <w:color w:val="auto"/>
          <w:highlight w:val="none"/>
        </w:rPr>
        <w:t>电线或电缆。</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）锅炉房，燃气表间采用防爆型可燃气体探测器和防爆型火灾报警探测器。</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）本设计为火警设备通用设计，在发包人确定具体品牌后由发包人（具有相应设计资质）根据产品特点进行深化设计。消防报警联动控制要求需满足国家相关规范</w:t>
      </w:r>
      <w:r>
        <w:rPr>
          <w:color w:val="auto"/>
          <w:highlight w:val="none"/>
        </w:rPr>
        <w:t>,</w:t>
      </w:r>
      <w:r>
        <w:rPr>
          <w:rFonts w:hint="eastAsia"/>
          <w:color w:val="auto"/>
          <w:highlight w:val="none"/>
        </w:rPr>
        <w:t>并要求满足各专业联动控制要求。</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）消防控制中心应有相应的竣工图纸、各分系统控制逻辑关系说明、设备使用说明书、系统操作规程、应急预案、值班制度、维护保养制度及值班记录等文件资料。</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）弱电竖井出入口及弱电竖井层与层之间的留洞、穿越防火分区（包括消防前室）桥架的留洞，在施工完毕后，均应采用防火堵，桥架内的空隙亦应用防火料填充封堵，建筑墙体留洞小于</w:t>
      </w:r>
      <w:r>
        <w:rPr>
          <w:color w:val="auto"/>
          <w:highlight w:val="none"/>
        </w:rPr>
        <w:t>400x200mm</w:t>
      </w:r>
      <w:r>
        <w:rPr>
          <w:rFonts w:hint="eastAsia"/>
          <w:color w:val="auto"/>
          <w:highlight w:val="none"/>
        </w:rPr>
        <w:t>时图中不表示，由施工单位自行解决。</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）平面图中未特殊标注的水平方向的线管均沿结构楼板内敷设或吊顶内敷设，垂直方向的线管在墙内或柱内敷设。消防线管采用暗敷时，其保护层厚度不应小于</w:t>
      </w:r>
      <w:r>
        <w:rPr>
          <w:color w:val="auto"/>
          <w:highlight w:val="none"/>
        </w:rPr>
        <w:t>30mm,</w:t>
      </w:r>
      <w:r>
        <w:rPr>
          <w:rFonts w:hint="eastAsia"/>
          <w:color w:val="auto"/>
          <w:highlight w:val="none"/>
        </w:rPr>
        <w:t>当明敷时应穿金属导管或封闭金属线槽保护</w:t>
      </w:r>
      <w:r>
        <w:rPr>
          <w:color w:val="auto"/>
          <w:highlight w:val="none"/>
        </w:rPr>
        <w:t>,</w:t>
      </w:r>
      <w:r>
        <w:rPr>
          <w:rFonts w:hint="eastAsia"/>
          <w:color w:val="auto"/>
          <w:highlight w:val="none"/>
        </w:rPr>
        <w:t>并应在金属导管或金属上线槽上采取防火保护措施。火警线槽中加隔板</w:t>
      </w:r>
      <w:r>
        <w:rPr>
          <w:color w:val="auto"/>
          <w:highlight w:val="none"/>
        </w:rPr>
        <w:t>,</w:t>
      </w:r>
      <w:r>
        <w:rPr>
          <w:rFonts w:hint="eastAsia"/>
          <w:color w:val="auto"/>
          <w:highlight w:val="none"/>
        </w:rPr>
        <w:t>将火警广播与火警其它电缆开分敷设</w:t>
      </w:r>
      <w:r>
        <w:rPr>
          <w:color w:val="auto"/>
          <w:highlight w:val="none"/>
        </w:rPr>
        <w:t>.</w:t>
      </w:r>
    </w:p>
    <w:p>
      <w:pPr>
        <w:pStyle w:val="217"/>
        <w:rPr>
          <w:color w:val="auto"/>
          <w:highlight w:val="none"/>
        </w:rPr>
      </w:pPr>
      <w:r>
        <w:rPr>
          <w:rFonts w:hint="eastAsia"/>
          <w:color w:val="auto"/>
          <w:highlight w:val="none"/>
        </w:rPr>
        <w:t>（</w:t>
      </w:r>
      <w:r>
        <w:rPr>
          <w:color w:val="auto"/>
          <w:highlight w:val="none"/>
        </w:rPr>
        <w:t>7</w:t>
      </w:r>
      <w:r>
        <w:rPr>
          <w:rFonts w:hint="eastAsia"/>
          <w:color w:val="auto"/>
          <w:highlight w:val="none"/>
        </w:rPr>
        <w:t>）消防电梯前室设消防电梯迫降按钮，该按钮由电梯设备安装公司配套施工。</w:t>
      </w:r>
    </w:p>
    <w:p>
      <w:pPr>
        <w:pStyle w:val="217"/>
        <w:rPr>
          <w:color w:val="auto"/>
          <w:highlight w:val="none"/>
        </w:rPr>
      </w:pPr>
      <w:r>
        <w:rPr>
          <w:rFonts w:hint="eastAsia"/>
          <w:color w:val="auto"/>
          <w:highlight w:val="none"/>
        </w:rPr>
        <w:t>（</w:t>
      </w:r>
      <w:r>
        <w:rPr>
          <w:color w:val="auto"/>
          <w:highlight w:val="none"/>
        </w:rPr>
        <w:t>8</w:t>
      </w:r>
      <w:r>
        <w:rPr>
          <w:rFonts w:hint="eastAsia"/>
          <w:color w:val="auto"/>
          <w:highlight w:val="none"/>
        </w:rPr>
        <w:t>）消防控制中心应设置为禁区，应有保证自身安全的防护措施和进行内外联络的通讯手段，并应设置紧急报警装置和留有向上一级接处警中心报警的通信接口。</w:t>
      </w:r>
    </w:p>
    <w:p>
      <w:pPr>
        <w:pStyle w:val="217"/>
        <w:rPr>
          <w:color w:val="auto"/>
          <w:highlight w:val="none"/>
        </w:rPr>
      </w:pPr>
      <w:r>
        <w:rPr>
          <w:rFonts w:hint="eastAsia"/>
          <w:color w:val="auto"/>
          <w:highlight w:val="none"/>
        </w:rPr>
        <w:t>（</w:t>
      </w:r>
      <w:r>
        <w:rPr>
          <w:color w:val="auto"/>
          <w:highlight w:val="none"/>
        </w:rPr>
        <w:t>9</w:t>
      </w:r>
      <w:r>
        <w:rPr>
          <w:rFonts w:hint="eastAsia"/>
          <w:color w:val="auto"/>
          <w:highlight w:val="none"/>
        </w:rPr>
        <w:t>）模块严禁设置在配电（控制）柜（箱）内，未集中设置的模块附近应有尺寸不小于</w:t>
      </w:r>
      <w:r>
        <w:rPr>
          <w:color w:val="auto"/>
          <w:highlight w:val="none"/>
        </w:rPr>
        <w:t>100x100mm</w:t>
      </w:r>
      <w:r>
        <w:rPr>
          <w:rFonts w:hint="eastAsia"/>
          <w:color w:val="auto"/>
          <w:highlight w:val="none"/>
        </w:rPr>
        <w:t>的标识。</w:t>
      </w:r>
    </w:p>
    <w:p>
      <w:pPr>
        <w:pStyle w:val="217"/>
        <w:rPr>
          <w:color w:val="auto"/>
          <w:highlight w:val="none"/>
        </w:rPr>
      </w:pPr>
      <w:r>
        <w:rPr>
          <w:rFonts w:hint="eastAsia"/>
          <w:color w:val="auto"/>
          <w:highlight w:val="none"/>
        </w:rPr>
        <w:t>（</w:t>
      </w:r>
      <w:r>
        <w:rPr>
          <w:color w:val="auto"/>
          <w:highlight w:val="none"/>
        </w:rPr>
        <w:t>10</w:t>
      </w:r>
      <w:r>
        <w:rPr>
          <w:rFonts w:hint="eastAsia"/>
          <w:color w:val="auto"/>
          <w:highlight w:val="none"/>
        </w:rPr>
        <w:t>）电梯状态显示、三方对讲，由电梯运行状态显示及五方对讲系统实现。</w:t>
      </w:r>
    </w:p>
    <w:p>
      <w:pPr>
        <w:pStyle w:val="217"/>
        <w:rPr>
          <w:color w:val="auto"/>
          <w:highlight w:val="none"/>
        </w:rPr>
      </w:pPr>
      <w:r>
        <w:rPr>
          <w:rFonts w:hint="eastAsia"/>
          <w:color w:val="auto"/>
          <w:highlight w:val="none"/>
        </w:rPr>
        <w:t>（</w:t>
      </w:r>
      <w:r>
        <w:rPr>
          <w:color w:val="auto"/>
          <w:highlight w:val="none"/>
        </w:rPr>
        <w:t>11</w:t>
      </w:r>
      <w:r>
        <w:rPr>
          <w:rFonts w:hint="eastAsia"/>
          <w:color w:val="auto"/>
          <w:highlight w:val="none"/>
        </w:rPr>
        <w:t>）消防控制中心应设明显的标识牌。</w:t>
      </w:r>
    </w:p>
    <w:p>
      <w:pPr>
        <w:pStyle w:val="113"/>
        <w:spacing w:before="120" w:after="120"/>
        <w:outlineLvl w:val="2"/>
        <w:rPr>
          <w:color w:val="auto"/>
          <w:highlight w:val="none"/>
        </w:rPr>
      </w:pPr>
      <w:bookmarkStart w:id="8047" w:name="_Toc66890484"/>
      <w:bookmarkStart w:id="8048" w:name="_Toc66634489"/>
      <w:bookmarkStart w:id="8049" w:name="_Toc69114230"/>
      <w:bookmarkStart w:id="8050" w:name="_Toc505345802"/>
      <w:r>
        <w:rPr>
          <w:color w:val="auto"/>
          <w:highlight w:val="none"/>
        </w:rPr>
        <w:t xml:space="preserve">2.2 </w:t>
      </w:r>
      <w:r>
        <w:rPr>
          <w:rFonts w:hint="eastAsia"/>
          <w:color w:val="auto"/>
          <w:highlight w:val="none"/>
        </w:rPr>
        <w:t>电气火灾报警技术要求</w:t>
      </w:r>
      <w:bookmarkEnd w:id="8047"/>
      <w:bookmarkEnd w:id="8048"/>
      <w:bookmarkEnd w:id="8049"/>
      <w:bookmarkEnd w:id="8050"/>
    </w:p>
    <w:p>
      <w:pPr>
        <w:rPr>
          <w:rStyle w:val="426"/>
          <w:color w:val="auto"/>
          <w:highlight w:val="none"/>
        </w:rPr>
      </w:pPr>
      <w:r>
        <w:rPr>
          <w:rStyle w:val="426"/>
          <w:color w:val="auto"/>
          <w:highlight w:val="none"/>
        </w:rPr>
        <w:t xml:space="preserve">2.2.1 </w:t>
      </w:r>
      <w:r>
        <w:rPr>
          <w:rStyle w:val="426"/>
          <w:rFonts w:hint="eastAsia"/>
          <w:color w:val="auto"/>
          <w:highlight w:val="none"/>
        </w:rPr>
        <w:t>电气火灾报警系统技术要求</w:t>
      </w:r>
    </w:p>
    <w:p>
      <w:pPr>
        <w:pStyle w:val="217"/>
        <w:rPr>
          <w:rStyle w:val="417"/>
          <w:color w:val="auto"/>
          <w:highlight w:val="none"/>
        </w:rPr>
      </w:pPr>
      <w:r>
        <w:rPr>
          <w:rStyle w:val="417"/>
          <w:rFonts w:hint="eastAsia"/>
          <w:color w:val="auto"/>
          <w:highlight w:val="none"/>
        </w:rPr>
        <w:t>消防控制中心设置总线制漏电火灾报警系统，在建筑物内的末级配电箱各出线回路设置漏电和过负荷检测装置，在系统检测到漏电和过负荷信号后，发出声、光报警，并显示故障线路的地址，监视线路故障的变化，切除故障线路，进行实时监控。（如项目实施时设备品牌与四标相同，主机则可与四标共用）。</w:t>
      </w:r>
    </w:p>
    <w:p>
      <w:pPr>
        <w:pStyle w:val="217"/>
        <w:ind w:firstLine="0" w:firstLineChars="0"/>
        <w:rPr>
          <w:color w:val="auto"/>
          <w:highlight w:val="none"/>
        </w:rPr>
      </w:pPr>
      <w:r>
        <w:rPr>
          <w:rStyle w:val="426"/>
          <w:color w:val="auto"/>
          <w:highlight w:val="none"/>
        </w:rPr>
        <w:t xml:space="preserve">2.2.2 </w:t>
      </w:r>
      <w:r>
        <w:rPr>
          <w:rStyle w:val="426"/>
          <w:rFonts w:hint="eastAsia"/>
          <w:color w:val="auto"/>
          <w:highlight w:val="none"/>
        </w:rPr>
        <w:t>电气火灾报警系统产品技术要求</w:t>
      </w:r>
      <w:r>
        <w:rPr>
          <w:rStyle w:val="426"/>
          <w:color w:val="auto"/>
          <w:highlight w:val="none"/>
        </w:rPr>
        <w:br w:type="textWrapping"/>
      </w:r>
      <w:r>
        <w:rPr>
          <w:rFonts w:hint="eastAsia"/>
          <w:color w:val="auto"/>
          <w:highlight w:val="none"/>
        </w:rPr>
        <w:t>电气火灾监控设备：</w:t>
      </w:r>
    </w:p>
    <w:p>
      <w:pPr>
        <w:pStyle w:val="217"/>
        <w:rPr>
          <w:color w:val="auto"/>
          <w:highlight w:val="none"/>
        </w:rPr>
      </w:pPr>
      <w:r>
        <w:rPr>
          <w:color w:val="auto"/>
          <w:highlight w:val="none"/>
        </w:rPr>
        <w:t>1.</w:t>
      </w:r>
      <w:r>
        <w:rPr>
          <w:rFonts w:hint="eastAsia"/>
          <w:color w:val="auto"/>
          <w:highlight w:val="none"/>
        </w:rPr>
        <w:t>根据《建筑设计防火规范》</w:t>
      </w:r>
      <w:r>
        <w:rPr>
          <w:color w:val="auto"/>
          <w:highlight w:val="none"/>
        </w:rPr>
        <w:t>GB50016-2014</w:t>
      </w:r>
      <w:r>
        <w:rPr>
          <w:rFonts w:hint="eastAsia"/>
          <w:color w:val="auto"/>
          <w:highlight w:val="none"/>
        </w:rPr>
        <w:t>的相关要求，对本工程供配电系统进行全范围剩余电流监测，防止电气火灾的发生。</w:t>
      </w:r>
    </w:p>
    <w:p>
      <w:pPr>
        <w:pStyle w:val="217"/>
        <w:rPr>
          <w:color w:val="auto"/>
          <w:highlight w:val="none"/>
        </w:rPr>
      </w:pPr>
      <w:r>
        <w:rPr>
          <w:color w:val="auto"/>
          <w:highlight w:val="none"/>
        </w:rPr>
        <w:t>2.</w:t>
      </w:r>
      <w:r>
        <w:rPr>
          <w:rFonts w:hint="eastAsia"/>
          <w:color w:val="auto"/>
          <w:highlight w:val="none"/>
        </w:rPr>
        <w:t>系统必须采用满足国标</w:t>
      </w:r>
      <w:r>
        <w:rPr>
          <w:color w:val="auto"/>
          <w:highlight w:val="none"/>
        </w:rPr>
        <w:t>GB14287-2005</w:t>
      </w:r>
      <w:r>
        <w:rPr>
          <w:rFonts w:hint="eastAsia"/>
          <w:color w:val="auto"/>
          <w:highlight w:val="none"/>
        </w:rPr>
        <w:t>的产品，并提供相应的产品检验报告。</w:t>
      </w:r>
      <w:r>
        <w:rPr>
          <w:color w:val="auto"/>
          <w:highlight w:val="none"/>
        </w:rPr>
        <w:br w:type="textWrapping"/>
      </w:r>
      <w:r>
        <w:rPr>
          <w:color w:val="auto"/>
          <w:highlight w:val="none"/>
        </w:rPr>
        <w:t>3.</w:t>
      </w:r>
      <w:r>
        <w:rPr>
          <w:rFonts w:hint="eastAsia"/>
          <w:color w:val="auto"/>
          <w:highlight w:val="none"/>
        </w:rPr>
        <w:t>该系统应具备以下功能：</w:t>
      </w:r>
    </w:p>
    <w:p>
      <w:pPr>
        <w:pStyle w:val="217"/>
        <w:rPr>
          <w:color w:val="auto"/>
          <w:highlight w:val="none"/>
        </w:rPr>
      </w:pPr>
      <w:r>
        <w:rPr>
          <w:rFonts w:hint="eastAsia"/>
          <w:color w:val="auto"/>
          <w:highlight w:val="none"/>
        </w:rPr>
        <w:t>系统主机安装在消防控制中心，应能显示系统电源状态，自带直流</w:t>
      </w:r>
      <w:r>
        <w:rPr>
          <w:color w:val="auto"/>
          <w:highlight w:val="none"/>
        </w:rPr>
        <w:t>24V</w:t>
      </w:r>
      <w:r>
        <w:rPr>
          <w:rFonts w:hint="eastAsia"/>
          <w:color w:val="auto"/>
          <w:highlight w:val="none"/>
        </w:rPr>
        <w:t>备用电池，停电后仍满足≥</w:t>
      </w:r>
      <w:r>
        <w:rPr>
          <w:color w:val="auto"/>
          <w:highlight w:val="none"/>
        </w:rPr>
        <w:t>4</w:t>
      </w:r>
      <w:r>
        <w:rPr>
          <w:rFonts w:hint="eastAsia"/>
          <w:color w:val="auto"/>
          <w:highlight w:val="none"/>
        </w:rPr>
        <w:t>小时的供电能力；</w:t>
      </w:r>
    </w:p>
    <w:p>
      <w:pPr>
        <w:pStyle w:val="217"/>
        <w:rPr>
          <w:color w:val="auto"/>
          <w:highlight w:val="none"/>
        </w:rPr>
      </w:pPr>
      <w:r>
        <w:rPr>
          <w:rFonts w:hint="eastAsia"/>
          <w:color w:val="auto"/>
          <w:highlight w:val="none"/>
        </w:rPr>
        <w:t>自动储存各种故障和操作试验信号，且信号储存时间不少于</w:t>
      </w:r>
      <w:r>
        <w:rPr>
          <w:color w:val="auto"/>
          <w:highlight w:val="none"/>
        </w:rPr>
        <w:t>12</w:t>
      </w:r>
      <w:r>
        <w:rPr>
          <w:rFonts w:hint="eastAsia"/>
          <w:color w:val="auto"/>
          <w:highlight w:val="none"/>
        </w:rPr>
        <w:t>个月；</w:t>
      </w:r>
      <w:r>
        <w:rPr>
          <w:color w:val="auto"/>
          <w:highlight w:val="none"/>
        </w:rPr>
        <w:br w:type="textWrapping"/>
      </w:r>
      <w:r>
        <w:rPr>
          <w:rFonts w:hint="eastAsia"/>
          <w:color w:val="auto"/>
          <w:highlight w:val="none"/>
        </w:rPr>
        <w:t>探测线路剩余电流信号，在现场和消防控制中心发出声光报警信号，准确报出故障地址并监视故障点的变化。</w:t>
      </w:r>
    </w:p>
    <w:p>
      <w:pPr>
        <w:pStyle w:val="217"/>
        <w:rPr>
          <w:color w:val="auto"/>
          <w:highlight w:val="none"/>
        </w:rPr>
      </w:pPr>
      <w:r>
        <w:rPr>
          <w:rFonts w:hint="eastAsia"/>
          <w:color w:val="auto"/>
          <w:highlight w:val="none"/>
        </w:rPr>
        <w:t>在各区域根据配电系统的性质和用途设置安装监控模块</w:t>
      </w:r>
      <w:r>
        <w:rPr>
          <w:color w:val="auto"/>
          <w:highlight w:val="none"/>
        </w:rPr>
        <w:t>,</w:t>
      </w:r>
      <w:r>
        <w:rPr>
          <w:rFonts w:hint="eastAsia"/>
          <w:color w:val="auto"/>
          <w:highlight w:val="none"/>
        </w:rPr>
        <w:t>负责监视相应区域的配电系统的剩余电流。监控模块之间采用</w:t>
      </w:r>
      <w:r>
        <w:rPr>
          <w:color w:val="auto"/>
          <w:highlight w:val="none"/>
        </w:rPr>
        <w:t>RS485</w:t>
      </w:r>
      <w:r>
        <w:rPr>
          <w:rFonts w:hint="eastAsia"/>
          <w:color w:val="auto"/>
          <w:highlight w:val="none"/>
        </w:rPr>
        <w:t>专用通讯网络连接。</w:t>
      </w:r>
    </w:p>
    <w:p>
      <w:pPr>
        <w:pStyle w:val="217"/>
        <w:rPr>
          <w:color w:val="auto"/>
          <w:highlight w:val="none"/>
        </w:rPr>
      </w:pPr>
      <w:r>
        <w:rPr>
          <w:color w:val="auto"/>
          <w:highlight w:val="none"/>
        </w:rPr>
        <w:t>4.</w:t>
      </w:r>
      <w:r>
        <w:rPr>
          <w:rFonts w:hint="eastAsia"/>
          <w:color w:val="auto"/>
          <w:highlight w:val="none"/>
        </w:rPr>
        <w:t>电气火灾监控系统中的监控主机、监控模块、模块箱、剩余电流检测单元等必须采用同一品牌产品。并具有相应的国家消防电子产品质量检测认证中心的型式检测报告。</w:t>
      </w:r>
    </w:p>
    <w:p>
      <w:pPr>
        <w:pStyle w:val="217"/>
        <w:rPr>
          <w:color w:val="auto"/>
          <w:highlight w:val="none"/>
        </w:rPr>
      </w:pPr>
      <w:r>
        <w:rPr>
          <w:color w:val="auto"/>
          <w:highlight w:val="none"/>
        </w:rPr>
        <w:t>5.</w:t>
      </w:r>
      <w:r>
        <w:rPr>
          <w:rFonts w:hint="eastAsia"/>
          <w:color w:val="auto"/>
          <w:highlight w:val="none"/>
        </w:rPr>
        <w:t>所有材料、产品、设备等无论国产、进口均须为无暇的全新产品，符合设计要求、合同规定、国际及中国国家的现行有关标准或技术规程</w:t>
      </w:r>
      <w:r>
        <w:rPr>
          <w:color w:val="auto"/>
          <w:highlight w:val="none"/>
        </w:rPr>
        <w:t>,</w:t>
      </w:r>
      <w:r>
        <w:rPr>
          <w:rFonts w:hint="eastAsia"/>
          <w:color w:val="auto"/>
          <w:highlight w:val="none"/>
        </w:rPr>
        <w:t>进口产品须提供原产地证明书。</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）基本功能</w:t>
      </w:r>
    </w:p>
    <w:p>
      <w:pPr>
        <w:pStyle w:val="217"/>
        <w:rPr>
          <w:color w:val="auto"/>
          <w:highlight w:val="none"/>
        </w:rPr>
      </w:pPr>
      <w:r>
        <w:rPr>
          <w:color w:val="auto"/>
          <w:highlight w:val="none"/>
        </w:rPr>
        <w:t>1</w:t>
      </w:r>
      <w:r>
        <w:rPr>
          <w:rFonts w:hint="eastAsia"/>
          <w:color w:val="auto"/>
          <w:highlight w:val="none"/>
        </w:rPr>
        <w:t>）监测功能：对配电箱输入回路剩余电流监测、过电流监测、各相线及</w:t>
      </w:r>
      <w:r>
        <w:rPr>
          <w:color w:val="auto"/>
          <w:highlight w:val="none"/>
        </w:rPr>
        <w:t>N</w:t>
      </w:r>
      <w:r>
        <w:rPr>
          <w:rFonts w:hint="eastAsia"/>
          <w:color w:val="auto"/>
          <w:highlight w:val="none"/>
        </w:rPr>
        <w:t>线连接端子温度、配电箱体空间温度，准确报出故障线路地址，监测故障点的变化；</w:t>
      </w:r>
    </w:p>
    <w:p>
      <w:pPr>
        <w:pStyle w:val="217"/>
        <w:rPr>
          <w:color w:val="auto"/>
          <w:highlight w:val="none"/>
        </w:rPr>
      </w:pPr>
      <w:r>
        <w:rPr>
          <w:color w:val="auto"/>
          <w:highlight w:val="none"/>
        </w:rPr>
        <w:t>2</w:t>
      </w:r>
      <w:r>
        <w:rPr>
          <w:rFonts w:hint="eastAsia"/>
          <w:color w:val="auto"/>
          <w:highlight w:val="none"/>
        </w:rPr>
        <w:t>）电气火灾监控系统必须通过国家消防电子产品监督检验中心型式</w:t>
      </w:r>
      <w:r>
        <w:rPr>
          <w:color w:val="auto"/>
          <w:highlight w:val="none"/>
        </w:rPr>
        <w:t>5</w:t>
      </w:r>
      <w:r>
        <w:rPr>
          <w:rFonts w:hint="eastAsia"/>
          <w:color w:val="auto"/>
          <w:highlight w:val="none"/>
        </w:rPr>
        <w:t>试验验证合格；</w:t>
      </w:r>
    </w:p>
    <w:p>
      <w:pPr>
        <w:pStyle w:val="217"/>
        <w:rPr>
          <w:color w:val="auto"/>
          <w:highlight w:val="none"/>
        </w:rPr>
      </w:pPr>
      <w:r>
        <w:rPr>
          <w:color w:val="auto"/>
          <w:highlight w:val="none"/>
        </w:rPr>
        <w:t>3</w:t>
      </w:r>
      <w:r>
        <w:rPr>
          <w:rFonts w:hint="eastAsia"/>
          <w:color w:val="auto"/>
          <w:highlight w:val="none"/>
        </w:rPr>
        <w:t>）电气火灾监控系统要求稳定可靠，产品通过</w:t>
      </w:r>
      <w:r>
        <w:rPr>
          <w:color w:val="auto"/>
          <w:highlight w:val="none"/>
        </w:rPr>
        <w:t>EMC</w:t>
      </w:r>
      <w:r>
        <w:rPr>
          <w:rFonts w:hint="eastAsia"/>
          <w:color w:val="auto"/>
          <w:highlight w:val="none"/>
        </w:rPr>
        <w:t>电磁兼容试验，抗干扰性能强；</w:t>
      </w:r>
    </w:p>
    <w:p>
      <w:pPr>
        <w:pStyle w:val="217"/>
        <w:rPr>
          <w:color w:val="auto"/>
          <w:highlight w:val="none"/>
        </w:rPr>
      </w:pPr>
      <w:r>
        <w:rPr>
          <w:color w:val="auto"/>
          <w:highlight w:val="none"/>
        </w:rPr>
        <w:t>4</w:t>
      </w:r>
      <w:r>
        <w:rPr>
          <w:rFonts w:hint="eastAsia"/>
          <w:color w:val="auto"/>
          <w:highlight w:val="none"/>
        </w:rPr>
        <w:t>）电气火灾监控系统不应断开主回路而影响供电的连续性；</w:t>
      </w:r>
    </w:p>
    <w:p>
      <w:pPr>
        <w:pStyle w:val="217"/>
        <w:rPr>
          <w:color w:val="auto"/>
          <w:highlight w:val="none"/>
        </w:rPr>
      </w:pPr>
      <w:r>
        <w:rPr>
          <w:color w:val="auto"/>
          <w:highlight w:val="none"/>
        </w:rPr>
        <w:t>5</w:t>
      </w:r>
      <w:r>
        <w:rPr>
          <w:rFonts w:hint="eastAsia"/>
          <w:color w:val="auto"/>
          <w:highlight w:val="none"/>
        </w:rPr>
        <w:t>）电气火灾监控系统中探测器、监控单元、监控主机间均采用先进的数字化通讯技术，利用总线控制管理；</w:t>
      </w:r>
    </w:p>
    <w:p>
      <w:pPr>
        <w:pStyle w:val="217"/>
        <w:rPr>
          <w:color w:val="auto"/>
          <w:highlight w:val="none"/>
        </w:rPr>
      </w:pPr>
      <w:r>
        <w:rPr>
          <w:color w:val="auto"/>
          <w:highlight w:val="none"/>
        </w:rPr>
        <w:t>6</w:t>
      </w:r>
      <w:r>
        <w:rPr>
          <w:rFonts w:hint="eastAsia"/>
          <w:color w:val="auto"/>
          <w:highlight w:val="none"/>
        </w:rPr>
        <w:t>）电气火灾监控系统要求具备报警延时设置，并且连续可调，报警响应周期短，误报率低；</w:t>
      </w:r>
    </w:p>
    <w:p>
      <w:pPr>
        <w:pStyle w:val="217"/>
        <w:rPr>
          <w:color w:val="auto"/>
          <w:highlight w:val="none"/>
        </w:rPr>
      </w:pPr>
      <w:r>
        <w:rPr>
          <w:color w:val="auto"/>
          <w:highlight w:val="none"/>
        </w:rPr>
        <w:t>7</w:t>
      </w:r>
      <w:r>
        <w:rPr>
          <w:rFonts w:hint="eastAsia"/>
          <w:color w:val="auto"/>
          <w:highlight w:val="none"/>
        </w:rPr>
        <w:t>）系统体系构成：电气火灾监控系统由电气火灾监控探测器（组合式或分离式检测泄漏电流、过电流及非正常温升）、电气火灾监控单元（可以提供现场报警等区域化管理）、电气火灾监控主机（数据集中监控管理中心）三部分通过总线构成；</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）监控探测器功能</w:t>
      </w:r>
    </w:p>
    <w:p>
      <w:pPr>
        <w:pStyle w:val="217"/>
        <w:rPr>
          <w:color w:val="auto"/>
          <w:highlight w:val="none"/>
        </w:rPr>
      </w:pPr>
      <w:r>
        <w:rPr>
          <w:color w:val="auto"/>
          <w:highlight w:val="none"/>
        </w:rPr>
        <w:t>1</w:t>
      </w:r>
      <w:r>
        <w:rPr>
          <w:rFonts w:hint="eastAsia"/>
          <w:color w:val="auto"/>
          <w:highlight w:val="none"/>
        </w:rPr>
        <w:t>）电气火灾监控探测器</w:t>
      </w:r>
    </w:p>
    <w:p>
      <w:pPr>
        <w:pStyle w:val="217"/>
        <w:rPr>
          <w:color w:val="auto"/>
          <w:highlight w:val="none"/>
        </w:rPr>
      </w:pPr>
      <w:r>
        <w:rPr>
          <w:rFonts w:hint="eastAsia"/>
          <w:color w:val="auto"/>
          <w:highlight w:val="none"/>
        </w:rPr>
        <w:t>①应满足</w:t>
      </w:r>
      <w:r>
        <w:rPr>
          <w:color w:val="auto"/>
          <w:highlight w:val="none"/>
        </w:rPr>
        <w:t>GB 14287.2</w:t>
      </w:r>
      <w:r>
        <w:rPr>
          <w:rFonts w:hint="eastAsia"/>
          <w:color w:val="auto"/>
          <w:highlight w:val="none"/>
        </w:rPr>
        <w:t>－</w:t>
      </w:r>
      <w:r>
        <w:rPr>
          <w:color w:val="auto"/>
          <w:highlight w:val="none"/>
        </w:rPr>
        <w:t>2005</w:t>
      </w:r>
      <w:r>
        <w:rPr>
          <w:rFonts w:hint="eastAsia"/>
          <w:color w:val="auto"/>
          <w:highlight w:val="none"/>
        </w:rPr>
        <w:t>《剩余电流式电器火灾监控探测器》规范要求；</w:t>
      </w:r>
    </w:p>
    <w:p>
      <w:pPr>
        <w:pStyle w:val="217"/>
        <w:rPr>
          <w:color w:val="auto"/>
          <w:highlight w:val="none"/>
        </w:rPr>
      </w:pPr>
      <w:r>
        <w:rPr>
          <w:rFonts w:hint="eastAsia"/>
          <w:color w:val="auto"/>
          <w:highlight w:val="none"/>
        </w:rPr>
        <w:t>②剩余电流报警值可设定在</w:t>
      </w:r>
      <w:r>
        <w:rPr>
          <w:color w:val="auto"/>
          <w:highlight w:val="none"/>
        </w:rPr>
        <w:t>30</w:t>
      </w:r>
      <w:r>
        <w:rPr>
          <w:rFonts w:hint="eastAsia"/>
          <w:color w:val="auto"/>
          <w:highlight w:val="none"/>
        </w:rPr>
        <w:t>～</w:t>
      </w:r>
      <w:r>
        <w:rPr>
          <w:color w:val="auto"/>
          <w:highlight w:val="none"/>
        </w:rPr>
        <w:t>1000mA</w:t>
      </w:r>
      <w:r>
        <w:rPr>
          <w:rFonts w:hint="eastAsia"/>
          <w:color w:val="auto"/>
          <w:highlight w:val="none"/>
        </w:rPr>
        <w:t>之间，以一定步长（不大于</w:t>
      </w:r>
      <w:r>
        <w:rPr>
          <w:color w:val="auto"/>
          <w:highlight w:val="none"/>
        </w:rPr>
        <w:t>10mA</w:t>
      </w:r>
      <w:r>
        <w:rPr>
          <w:rFonts w:hint="eastAsia"/>
          <w:color w:val="auto"/>
          <w:highlight w:val="none"/>
        </w:rPr>
        <w:t>）连续可调；</w:t>
      </w:r>
    </w:p>
    <w:p>
      <w:pPr>
        <w:pStyle w:val="217"/>
        <w:rPr>
          <w:color w:val="auto"/>
          <w:highlight w:val="none"/>
        </w:rPr>
      </w:pPr>
      <w:r>
        <w:rPr>
          <w:rFonts w:hint="eastAsia"/>
          <w:color w:val="auto"/>
          <w:highlight w:val="none"/>
        </w:rPr>
        <w:t>③可以设定固有正常剩余电流补偿；</w:t>
      </w:r>
    </w:p>
    <w:p>
      <w:pPr>
        <w:pStyle w:val="217"/>
        <w:rPr>
          <w:color w:val="auto"/>
          <w:highlight w:val="none"/>
        </w:rPr>
      </w:pPr>
      <w:r>
        <w:rPr>
          <w:rFonts w:hint="eastAsia"/>
          <w:color w:val="auto"/>
          <w:highlight w:val="none"/>
        </w:rPr>
        <w:t>④内置温度探测器，探测出线端温度，报警阈值（参考值为</w:t>
      </w:r>
      <w:r>
        <w:rPr>
          <w:color w:val="auto"/>
          <w:highlight w:val="none"/>
        </w:rPr>
        <w:t>55</w:t>
      </w:r>
      <w:r>
        <w:rPr>
          <w:rFonts w:hint="eastAsia"/>
          <w:color w:val="auto"/>
          <w:highlight w:val="none"/>
        </w:rPr>
        <w:t>℃</w:t>
      </w:r>
      <w:r>
        <w:rPr>
          <w:color w:val="auto"/>
          <w:highlight w:val="none"/>
        </w:rPr>
        <w:t>-140</w:t>
      </w:r>
      <w:r>
        <w:rPr>
          <w:rFonts w:hint="eastAsia"/>
          <w:color w:val="auto"/>
          <w:highlight w:val="none"/>
        </w:rPr>
        <w:t>℃，参考步长值为</w:t>
      </w:r>
      <w:r>
        <w:rPr>
          <w:color w:val="auto"/>
          <w:highlight w:val="none"/>
        </w:rPr>
        <w:t>1</w:t>
      </w:r>
      <w:r>
        <w:rPr>
          <w:rFonts w:hint="eastAsia"/>
          <w:color w:val="auto"/>
          <w:highlight w:val="none"/>
        </w:rPr>
        <w:t>℃）连续可调，误差不大于</w:t>
      </w:r>
      <w:r>
        <w:rPr>
          <w:color w:val="auto"/>
          <w:highlight w:val="none"/>
        </w:rPr>
        <w:t>1</w:t>
      </w:r>
      <w:r>
        <w:rPr>
          <w:rFonts w:hint="eastAsia"/>
          <w:color w:val="auto"/>
          <w:highlight w:val="none"/>
        </w:rPr>
        <w:t>℃；</w:t>
      </w:r>
    </w:p>
    <w:p>
      <w:pPr>
        <w:pStyle w:val="217"/>
        <w:rPr>
          <w:color w:val="auto"/>
          <w:highlight w:val="none"/>
        </w:rPr>
      </w:pPr>
      <w:r>
        <w:rPr>
          <w:rFonts w:hint="eastAsia"/>
          <w:color w:val="auto"/>
          <w:highlight w:val="none"/>
        </w:rPr>
        <w:t>⑥设置高精度外置温度探测器，用来箱柜体内部环境温升或设备外壳温升，报警阈值（参考值为</w:t>
      </w:r>
      <w:r>
        <w:rPr>
          <w:color w:val="auto"/>
          <w:highlight w:val="none"/>
        </w:rPr>
        <w:t>55</w:t>
      </w:r>
      <w:r>
        <w:rPr>
          <w:rFonts w:hint="eastAsia"/>
          <w:color w:val="auto"/>
          <w:highlight w:val="none"/>
        </w:rPr>
        <w:t>℃</w:t>
      </w:r>
      <w:r>
        <w:rPr>
          <w:color w:val="auto"/>
          <w:highlight w:val="none"/>
        </w:rPr>
        <w:t>-140</w:t>
      </w:r>
      <w:r>
        <w:rPr>
          <w:rFonts w:hint="eastAsia"/>
          <w:color w:val="auto"/>
          <w:highlight w:val="none"/>
        </w:rPr>
        <w:t>℃，参考步长值为</w:t>
      </w:r>
      <w:r>
        <w:rPr>
          <w:color w:val="auto"/>
          <w:highlight w:val="none"/>
        </w:rPr>
        <w:t>1</w:t>
      </w:r>
      <w:r>
        <w:rPr>
          <w:rFonts w:hint="eastAsia"/>
          <w:color w:val="auto"/>
          <w:highlight w:val="none"/>
        </w:rPr>
        <w:t>℃）连续可调，误差不大于</w:t>
      </w:r>
      <w:r>
        <w:rPr>
          <w:color w:val="auto"/>
          <w:highlight w:val="none"/>
        </w:rPr>
        <w:t>1</w:t>
      </w:r>
      <w:r>
        <w:rPr>
          <w:rFonts w:hint="eastAsia"/>
          <w:color w:val="auto"/>
          <w:highlight w:val="none"/>
        </w:rPr>
        <w:t>℃；</w:t>
      </w:r>
    </w:p>
    <w:p>
      <w:pPr>
        <w:pStyle w:val="217"/>
        <w:rPr>
          <w:color w:val="auto"/>
          <w:highlight w:val="none"/>
        </w:rPr>
      </w:pPr>
      <w:r>
        <w:rPr>
          <w:rFonts w:hint="eastAsia"/>
          <w:color w:val="auto"/>
          <w:highlight w:val="none"/>
        </w:rPr>
        <w:t>⑦内置高精度三相电流互感器，用来探测负载侧过电流情况，精度为不大于</w:t>
      </w:r>
      <w:r>
        <w:rPr>
          <w:color w:val="auto"/>
          <w:highlight w:val="none"/>
        </w:rPr>
        <w:t>0.5</w:t>
      </w:r>
      <w:r>
        <w:rPr>
          <w:rFonts w:hint="eastAsia"/>
          <w:color w:val="auto"/>
          <w:highlight w:val="none"/>
        </w:rPr>
        <w:t>％，报警设定值为</w:t>
      </w:r>
      <w:r>
        <w:rPr>
          <w:color w:val="auto"/>
          <w:highlight w:val="none"/>
        </w:rPr>
        <w:t>1.25</w:t>
      </w:r>
      <w:r>
        <w:rPr>
          <w:rFonts w:hint="eastAsia"/>
          <w:color w:val="auto"/>
          <w:highlight w:val="none"/>
        </w:rPr>
        <w:t>倍额定工作电流或设定值可调；</w:t>
      </w:r>
    </w:p>
    <w:p>
      <w:pPr>
        <w:pStyle w:val="217"/>
        <w:rPr>
          <w:color w:val="auto"/>
          <w:highlight w:val="none"/>
        </w:rPr>
      </w:pPr>
      <w:r>
        <w:rPr>
          <w:rFonts w:hint="eastAsia"/>
          <w:color w:val="auto"/>
          <w:highlight w:val="none"/>
        </w:rPr>
        <w:t>⑧具备大屏幕中文液晶显示，人性化操作方便；</w:t>
      </w:r>
    </w:p>
    <w:p>
      <w:pPr>
        <w:pStyle w:val="217"/>
        <w:rPr>
          <w:color w:val="auto"/>
          <w:highlight w:val="none"/>
        </w:rPr>
      </w:pPr>
      <w:r>
        <w:rPr>
          <w:rFonts w:hint="eastAsia"/>
          <w:color w:val="auto"/>
          <w:highlight w:val="none"/>
        </w:rPr>
        <w:t>⑨可以记录报警记录（不少于</w:t>
      </w:r>
      <w:r>
        <w:rPr>
          <w:color w:val="auto"/>
          <w:highlight w:val="none"/>
        </w:rPr>
        <w:t>100</w:t>
      </w:r>
      <w:r>
        <w:rPr>
          <w:rFonts w:hint="eastAsia"/>
          <w:color w:val="auto"/>
          <w:highlight w:val="none"/>
        </w:rPr>
        <w:t>条），方便现场查询；</w:t>
      </w:r>
    </w:p>
    <w:p>
      <w:pPr>
        <w:pStyle w:val="217"/>
        <w:rPr>
          <w:color w:val="auto"/>
          <w:highlight w:val="none"/>
        </w:rPr>
      </w:pPr>
      <w:r>
        <w:rPr>
          <w:rFonts w:ascii="Cambria Math" w:hAnsi="Cambria Math" w:cs="Cambria Math"/>
          <w:color w:val="auto"/>
          <w:highlight w:val="none"/>
        </w:rPr>
        <w:t>⑪</w:t>
      </w:r>
      <w:r>
        <w:rPr>
          <w:rFonts w:hint="eastAsia"/>
          <w:color w:val="auto"/>
          <w:highlight w:val="none"/>
        </w:rPr>
        <w:t>本地具备声光报警并可查询报警记录；</w:t>
      </w:r>
    </w:p>
    <w:p>
      <w:pPr>
        <w:pStyle w:val="217"/>
        <w:rPr>
          <w:color w:val="auto"/>
          <w:highlight w:val="none"/>
        </w:rPr>
      </w:pPr>
      <w:r>
        <w:rPr>
          <w:rFonts w:ascii="Cambria Math" w:hAnsi="Cambria Math" w:cs="Cambria Math"/>
          <w:color w:val="auto"/>
          <w:highlight w:val="none"/>
        </w:rPr>
        <w:t>⑫</w:t>
      </w:r>
      <w:r>
        <w:rPr>
          <w:rFonts w:hint="eastAsia"/>
          <w:color w:val="auto"/>
          <w:highlight w:val="none"/>
        </w:rPr>
        <w:t>通过通讯总线和监控主机通讯；</w:t>
      </w:r>
    </w:p>
    <w:p>
      <w:pPr>
        <w:pStyle w:val="217"/>
        <w:rPr>
          <w:color w:val="auto"/>
          <w:highlight w:val="none"/>
        </w:rPr>
      </w:pPr>
      <w:r>
        <w:rPr>
          <w:rFonts w:ascii="Cambria Math" w:hAnsi="Cambria Math" w:cs="Cambria Math"/>
          <w:color w:val="auto"/>
          <w:highlight w:val="none"/>
        </w:rPr>
        <w:t>⑬</w:t>
      </w:r>
      <w:r>
        <w:rPr>
          <w:rFonts w:hint="eastAsia"/>
          <w:color w:val="auto"/>
          <w:highlight w:val="none"/>
        </w:rPr>
        <w:t>产品通过</w:t>
      </w:r>
      <w:r>
        <w:rPr>
          <w:color w:val="auto"/>
          <w:highlight w:val="none"/>
        </w:rPr>
        <w:t>EMC</w:t>
      </w:r>
      <w:r>
        <w:rPr>
          <w:rFonts w:hint="eastAsia"/>
          <w:color w:val="auto"/>
          <w:highlight w:val="none"/>
        </w:rPr>
        <w:t>电磁兼容试验，抗干扰性能强；</w:t>
      </w:r>
    </w:p>
    <w:p>
      <w:pPr>
        <w:pStyle w:val="217"/>
        <w:rPr>
          <w:color w:val="auto"/>
          <w:highlight w:val="none"/>
        </w:rPr>
      </w:pPr>
      <w:r>
        <w:rPr>
          <w:color w:val="auto"/>
          <w:highlight w:val="none"/>
        </w:rPr>
        <w:t>2</w:t>
      </w:r>
      <w:r>
        <w:rPr>
          <w:rFonts w:hint="eastAsia"/>
          <w:color w:val="auto"/>
          <w:highlight w:val="none"/>
        </w:rPr>
        <w:t>）电气火灾监控探测器（分离式）</w:t>
      </w:r>
    </w:p>
    <w:p>
      <w:pPr>
        <w:pStyle w:val="217"/>
        <w:rPr>
          <w:color w:val="auto"/>
          <w:highlight w:val="none"/>
        </w:rPr>
      </w:pPr>
      <w:r>
        <w:rPr>
          <w:rFonts w:hint="eastAsia"/>
          <w:color w:val="auto"/>
          <w:highlight w:val="none"/>
        </w:rPr>
        <w:t>①采用高精度的零序互感器作为剩余电流探测执行元件；</w:t>
      </w:r>
    </w:p>
    <w:p>
      <w:pPr>
        <w:pStyle w:val="217"/>
        <w:rPr>
          <w:color w:val="auto"/>
          <w:highlight w:val="none"/>
        </w:rPr>
      </w:pPr>
      <w:r>
        <w:rPr>
          <w:rFonts w:hint="eastAsia"/>
          <w:color w:val="auto"/>
          <w:highlight w:val="none"/>
        </w:rPr>
        <w:t>②剩余电流报警值可设定在</w:t>
      </w:r>
      <w:r>
        <w:rPr>
          <w:color w:val="auto"/>
          <w:highlight w:val="none"/>
        </w:rPr>
        <w:t>30</w:t>
      </w:r>
      <w:r>
        <w:rPr>
          <w:rFonts w:hint="eastAsia"/>
          <w:color w:val="auto"/>
          <w:highlight w:val="none"/>
        </w:rPr>
        <w:t>～</w:t>
      </w:r>
      <w:r>
        <w:rPr>
          <w:color w:val="auto"/>
          <w:highlight w:val="none"/>
        </w:rPr>
        <w:t>1000mA</w:t>
      </w:r>
      <w:r>
        <w:rPr>
          <w:rFonts w:hint="eastAsia"/>
          <w:color w:val="auto"/>
          <w:highlight w:val="none"/>
        </w:rPr>
        <w:t>之间，以一定步长（不大于</w:t>
      </w:r>
      <w:r>
        <w:rPr>
          <w:color w:val="auto"/>
          <w:highlight w:val="none"/>
        </w:rPr>
        <w:t>10mA</w:t>
      </w:r>
      <w:r>
        <w:rPr>
          <w:rFonts w:hint="eastAsia"/>
          <w:color w:val="auto"/>
          <w:highlight w:val="none"/>
        </w:rPr>
        <w:t>）连续可调；</w:t>
      </w:r>
    </w:p>
    <w:p>
      <w:pPr>
        <w:pStyle w:val="217"/>
        <w:rPr>
          <w:color w:val="auto"/>
          <w:highlight w:val="none"/>
        </w:rPr>
      </w:pPr>
      <w:r>
        <w:rPr>
          <w:rFonts w:hint="eastAsia"/>
          <w:color w:val="auto"/>
          <w:highlight w:val="none"/>
        </w:rPr>
        <w:t>③配置高精度外置温度探测器，分别检测出线端铜排连接端子处非正常温升、箱柜体内部环境温升，报警阈值（参考值为</w:t>
      </w:r>
      <w:r>
        <w:rPr>
          <w:color w:val="auto"/>
          <w:highlight w:val="none"/>
        </w:rPr>
        <w:t>55</w:t>
      </w:r>
      <w:r>
        <w:rPr>
          <w:rFonts w:hint="eastAsia"/>
          <w:color w:val="auto"/>
          <w:highlight w:val="none"/>
        </w:rPr>
        <w:t>℃</w:t>
      </w:r>
      <w:r>
        <w:rPr>
          <w:color w:val="auto"/>
          <w:highlight w:val="none"/>
        </w:rPr>
        <w:t>-140</w:t>
      </w:r>
      <w:r>
        <w:rPr>
          <w:rFonts w:hint="eastAsia"/>
          <w:color w:val="auto"/>
          <w:highlight w:val="none"/>
        </w:rPr>
        <w:t>℃，参考步长值为</w:t>
      </w:r>
      <w:r>
        <w:rPr>
          <w:color w:val="auto"/>
          <w:highlight w:val="none"/>
        </w:rPr>
        <w:t>1</w:t>
      </w:r>
      <w:r>
        <w:rPr>
          <w:rFonts w:hint="eastAsia"/>
          <w:color w:val="auto"/>
          <w:highlight w:val="none"/>
        </w:rPr>
        <w:t>℃）连续可调，误差不大于</w:t>
      </w:r>
      <w:r>
        <w:rPr>
          <w:color w:val="auto"/>
          <w:highlight w:val="none"/>
        </w:rPr>
        <w:t>1</w:t>
      </w:r>
      <w:r>
        <w:rPr>
          <w:rFonts w:hint="eastAsia"/>
          <w:color w:val="auto"/>
          <w:highlight w:val="none"/>
        </w:rPr>
        <w:t>℃；</w:t>
      </w:r>
    </w:p>
    <w:p>
      <w:pPr>
        <w:pStyle w:val="217"/>
        <w:rPr>
          <w:color w:val="auto"/>
          <w:highlight w:val="none"/>
        </w:rPr>
      </w:pPr>
      <w:r>
        <w:rPr>
          <w:rFonts w:hint="eastAsia"/>
          <w:color w:val="auto"/>
          <w:highlight w:val="none"/>
        </w:rPr>
        <w:t>③通过通讯总线和监控单元通讯；</w:t>
      </w:r>
    </w:p>
    <w:p>
      <w:pPr>
        <w:pStyle w:val="217"/>
        <w:rPr>
          <w:color w:val="auto"/>
          <w:highlight w:val="none"/>
        </w:rPr>
      </w:pPr>
      <w:r>
        <w:rPr>
          <w:rFonts w:hint="eastAsia"/>
          <w:color w:val="auto"/>
          <w:highlight w:val="none"/>
        </w:rPr>
        <w:t>④产品通过</w:t>
      </w:r>
      <w:r>
        <w:rPr>
          <w:color w:val="auto"/>
          <w:highlight w:val="none"/>
        </w:rPr>
        <w:t>EMC</w:t>
      </w:r>
      <w:r>
        <w:rPr>
          <w:rFonts w:hint="eastAsia"/>
          <w:color w:val="auto"/>
          <w:highlight w:val="none"/>
        </w:rPr>
        <w:t>电磁兼容试验，抗干扰性能强；</w:t>
      </w:r>
    </w:p>
    <w:p>
      <w:pPr>
        <w:pStyle w:val="217"/>
        <w:rPr>
          <w:color w:val="auto"/>
          <w:highlight w:val="none"/>
        </w:rPr>
      </w:pPr>
      <w:r>
        <w:rPr>
          <w:rFonts w:hint="eastAsia"/>
          <w:color w:val="auto"/>
          <w:highlight w:val="none"/>
        </w:rPr>
        <w:t>⑤可用于铜排安装方式；</w:t>
      </w:r>
    </w:p>
    <w:p>
      <w:pPr>
        <w:pStyle w:val="217"/>
        <w:rPr>
          <w:color w:val="auto"/>
          <w:highlight w:val="none"/>
        </w:rPr>
      </w:pPr>
      <w:r>
        <w:rPr>
          <w:color w:val="auto"/>
          <w:highlight w:val="none"/>
        </w:rPr>
        <w:t>3</w:t>
      </w:r>
      <w:r>
        <w:rPr>
          <w:rFonts w:hint="eastAsia"/>
          <w:color w:val="auto"/>
          <w:highlight w:val="none"/>
        </w:rPr>
        <w:t>）电气火灾监控单元</w:t>
      </w:r>
    </w:p>
    <w:p>
      <w:pPr>
        <w:pStyle w:val="217"/>
        <w:rPr>
          <w:color w:val="auto"/>
          <w:highlight w:val="none"/>
        </w:rPr>
      </w:pPr>
      <w:r>
        <w:rPr>
          <w:rFonts w:hint="eastAsia"/>
          <w:color w:val="auto"/>
          <w:highlight w:val="none"/>
        </w:rPr>
        <w:t>①可与多个（参考值为</w:t>
      </w:r>
      <w:r>
        <w:rPr>
          <w:color w:val="auto"/>
          <w:highlight w:val="none"/>
        </w:rPr>
        <w:t>8</w:t>
      </w:r>
      <w:r>
        <w:rPr>
          <w:rFonts w:hint="eastAsia"/>
          <w:color w:val="auto"/>
          <w:highlight w:val="none"/>
        </w:rPr>
        <w:t>或</w:t>
      </w:r>
      <w:r>
        <w:rPr>
          <w:color w:val="auto"/>
          <w:highlight w:val="none"/>
        </w:rPr>
        <w:t>16</w:t>
      </w:r>
      <w:r>
        <w:rPr>
          <w:rFonts w:hint="eastAsia"/>
          <w:color w:val="auto"/>
          <w:highlight w:val="none"/>
        </w:rPr>
        <w:t>个）分离式探测器组合形成子系统，方便区域报警和现场管理；</w:t>
      </w:r>
    </w:p>
    <w:p>
      <w:pPr>
        <w:pStyle w:val="217"/>
        <w:rPr>
          <w:color w:val="auto"/>
          <w:highlight w:val="none"/>
        </w:rPr>
      </w:pPr>
      <w:r>
        <w:rPr>
          <w:rFonts w:hint="eastAsia"/>
          <w:color w:val="auto"/>
          <w:highlight w:val="none"/>
        </w:rPr>
        <w:t>②具备中文液晶显示；</w:t>
      </w:r>
    </w:p>
    <w:p>
      <w:pPr>
        <w:pStyle w:val="217"/>
        <w:rPr>
          <w:color w:val="auto"/>
          <w:highlight w:val="none"/>
        </w:rPr>
      </w:pPr>
      <w:r>
        <w:rPr>
          <w:rFonts w:hint="eastAsia"/>
          <w:color w:val="auto"/>
          <w:highlight w:val="none"/>
        </w:rPr>
        <w:t>③本地具备声光报警，并且可以查询报警记录；</w:t>
      </w:r>
    </w:p>
    <w:p>
      <w:pPr>
        <w:pStyle w:val="217"/>
        <w:rPr>
          <w:color w:val="auto"/>
          <w:highlight w:val="none"/>
        </w:rPr>
      </w:pPr>
      <w:r>
        <w:rPr>
          <w:rFonts w:hint="eastAsia"/>
          <w:color w:val="auto"/>
          <w:highlight w:val="none"/>
        </w:rPr>
        <w:t>④可对探测器进行参数设置；</w:t>
      </w:r>
    </w:p>
    <w:p>
      <w:pPr>
        <w:pStyle w:val="217"/>
        <w:rPr>
          <w:color w:val="auto"/>
          <w:highlight w:val="none"/>
        </w:rPr>
      </w:pPr>
      <w:r>
        <w:rPr>
          <w:rFonts w:hint="eastAsia"/>
          <w:color w:val="auto"/>
          <w:highlight w:val="none"/>
        </w:rPr>
        <w:t>⑤可记录报警记录（不少于</w:t>
      </w:r>
      <w:r>
        <w:rPr>
          <w:color w:val="auto"/>
          <w:highlight w:val="none"/>
        </w:rPr>
        <w:t>100</w:t>
      </w:r>
      <w:r>
        <w:rPr>
          <w:rFonts w:hint="eastAsia"/>
          <w:color w:val="auto"/>
          <w:highlight w:val="none"/>
        </w:rPr>
        <w:t>条）；</w:t>
      </w:r>
    </w:p>
    <w:p>
      <w:pPr>
        <w:pStyle w:val="217"/>
        <w:rPr>
          <w:color w:val="auto"/>
          <w:highlight w:val="none"/>
        </w:rPr>
      </w:pPr>
      <w:r>
        <w:rPr>
          <w:rFonts w:hint="eastAsia"/>
          <w:color w:val="auto"/>
          <w:highlight w:val="none"/>
        </w:rPr>
        <w:t>⑥通过通讯总线和监控主机通讯；</w:t>
      </w:r>
    </w:p>
    <w:p>
      <w:pPr>
        <w:pStyle w:val="217"/>
        <w:rPr>
          <w:color w:val="auto"/>
          <w:highlight w:val="none"/>
        </w:rPr>
      </w:pPr>
      <w:r>
        <w:rPr>
          <w:rFonts w:hint="eastAsia"/>
          <w:color w:val="auto"/>
          <w:highlight w:val="none"/>
        </w:rPr>
        <w:t>⑦需要通过</w:t>
      </w:r>
      <w:r>
        <w:rPr>
          <w:color w:val="auto"/>
          <w:highlight w:val="none"/>
        </w:rPr>
        <w:t>EMC</w:t>
      </w:r>
      <w:r>
        <w:rPr>
          <w:rFonts w:hint="eastAsia"/>
          <w:color w:val="auto"/>
          <w:highlight w:val="none"/>
        </w:rPr>
        <w:t>试验</w:t>
      </w:r>
    </w:p>
    <w:p>
      <w:pPr>
        <w:pStyle w:val="217"/>
        <w:rPr>
          <w:color w:val="auto"/>
          <w:highlight w:val="none"/>
        </w:rPr>
      </w:pPr>
      <w:r>
        <w:rPr>
          <w:color w:val="auto"/>
          <w:highlight w:val="none"/>
        </w:rPr>
        <w:t>4</w:t>
      </w:r>
      <w:r>
        <w:rPr>
          <w:rFonts w:hint="eastAsia"/>
          <w:color w:val="auto"/>
          <w:highlight w:val="none"/>
        </w:rPr>
        <w:t>）电气火灾监控主机</w:t>
      </w:r>
    </w:p>
    <w:p>
      <w:pPr>
        <w:pStyle w:val="217"/>
        <w:ind w:left="420" w:leftChars="200" w:firstLine="0" w:firstLineChars="0"/>
        <w:rPr>
          <w:color w:val="auto"/>
          <w:highlight w:val="none"/>
        </w:rPr>
      </w:pPr>
      <w:r>
        <w:rPr>
          <w:rFonts w:hint="eastAsia"/>
          <w:color w:val="auto"/>
          <w:highlight w:val="none"/>
        </w:rPr>
        <w:t>①采用专业工控机作为监控主机，与火灾自动报警系统一起考虑安装；</w:t>
      </w:r>
      <w:r>
        <w:rPr>
          <w:color w:val="auto"/>
          <w:highlight w:val="none"/>
        </w:rPr>
        <w:br w:type="textWrapping"/>
      </w:r>
      <w:r>
        <w:rPr>
          <w:rFonts w:hint="eastAsia"/>
          <w:color w:val="auto"/>
          <w:highlight w:val="none"/>
        </w:rPr>
        <w:t>②主机自带后备电源，可保障</w:t>
      </w:r>
      <w:r>
        <w:rPr>
          <w:color w:val="auto"/>
          <w:highlight w:val="none"/>
        </w:rPr>
        <w:t>4</w:t>
      </w:r>
      <w:r>
        <w:rPr>
          <w:rFonts w:hint="eastAsia"/>
          <w:color w:val="auto"/>
          <w:highlight w:val="none"/>
        </w:rPr>
        <w:t>小时连续供电；</w:t>
      </w:r>
    </w:p>
    <w:p>
      <w:pPr>
        <w:pStyle w:val="217"/>
        <w:rPr>
          <w:color w:val="auto"/>
          <w:highlight w:val="none"/>
        </w:rPr>
      </w:pPr>
      <w:r>
        <w:rPr>
          <w:rFonts w:hint="eastAsia"/>
          <w:color w:val="auto"/>
          <w:highlight w:val="none"/>
        </w:rPr>
        <w:t>③可通过主机</w:t>
      </w:r>
      <w:r>
        <w:rPr>
          <w:color w:val="auto"/>
          <w:highlight w:val="none"/>
        </w:rPr>
        <w:t>USB</w:t>
      </w:r>
      <w:r>
        <w:rPr>
          <w:rFonts w:hint="eastAsia"/>
          <w:color w:val="auto"/>
          <w:highlight w:val="none"/>
        </w:rPr>
        <w:t>接口输出至打印机；</w:t>
      </w:r>
    </w:p>
    <w:p>
      <w:pPr>
        <w:pStyle w:val="217"/>
        <w:rPr>
          <w:color w:val="auto"/>
          <w:highlight w:val="none"/>
        </w:rPr>
      </w:pPr>
      <w:r>
        <w:rPr>
          <w:rFonts w:hint="eastAsia"/>
          <w:color w:val="auto"/>
          <w:highlight w:val="none"/>
        </w:rPr>
        <w:t>④可储存不少于</w:t>
      </w:r>
      <w:r>
        <w:rPr>
          <w:color w:val="auto"/>
          <w:highlight w:val="none"/>
        </w:rPr>
        <w:t>12</w:t>
      </w:r>
      <w:r>
        <w:rPr>
          <w:rFonts w:hint="eastAsia"/>
          <w:color w:val="auto"/>
          <w:highlight w:val="none"/>
        </w:rPr>
        <w:t>个月历史报警记录；</w:t>
      </w:r>
    </w:p>
    <w:p>
      <w:pPr>
        <w:pStyle w:val="217"/>
        <w:rPr>
          <w:color w:val="auto"/>
          <w:highlight w:val="none"/>
        </w:rPr>
      </w:pPr>
      <w:r>
        <w:rPr>
          <w:rFonts w:hint="eastAsia"/>
          <w:color w:val="auto"/>
          <w:highlight w:val="none"/>
        </w:rPr>
        <w:t>⑤采用</w:t>
      </w:r>
      <w:r>
        <w:rPr>
          <w:color w:val="auto"/>
          <w:highlight w:val="none"/>
        </w:rPr>
        <w:t>Windows</w:t>
      </w:r>
      <w:r>
        <w:rPr>
          <w:rFonts w:hint="eastAsia"/>
          <w:color w:val="auto"/>
          <w:highlight w:val="none"/>
        </w:rPr>
        <w:t>操作系统，可显示各种监测数据（包括剩余电流、报警设置值、监控点的具体位置、报警时间、编号等信息）；</w:t>
      </w:r>
    </w:p>
    <w:p>
      <w:pPr>
        <w:pStyle w:val="217"/>
        <w:rPr>
          <w:color w:val="auto"/>
          <w:highlight w:val="none"/>
        </w:rPr>
      </w:pPr>
      <w:r>
        <w:rPr>
          <w:color w:val="auto"/>
          <w:highlight w:val="none"/>
        </w:rPr>
        <w:t>5</w:t>
      </w:r>
      <w:r>
        <w:rPr>
          <w:rFonts w:hint="eastAsia"/>
          <w:color w:val="auto"/>
          <w:highlight w:val="none"/>
        </w:rPr>
        <w:t>）系统有可供</w:t>
      </w:r>
      <w:r>
        <w:rPr>
          <w:color w:val="auto"/>
          <w:highlight w:val="none"/>
        </w:rPr>
        <w:t>BMS</w:t>
      </w:r>
      <w:r>
        <w:rPr>
          <w:rFonts w:hint="eastAsia"/>
          <w:color w:val="auto"/>
          <w:highlight w:val="none"/>
        </w:rPr>
        <w:t>集成的接口协议。</w:t>
      </w:r>
    </w:p>
    <w:p>
      <w:pPr>
        <w:pStyle w:val="172"/>
        <w:rPr>
          <w:color w:val="auto"/>
          <w:highlight w:val="none"/>
        </w:rPr>
      </w:pPr>
      <w:r>
        <w:rPr>
          <w:color w:val="auto"/>
          <w:highlight w:val="none"/>
        </w:rPr>
        <w:t xml:space="preserve">2.2.3 </w:t>
      </w:r>
      <w:r>
        <w:rPr>
          <w:rFonts w:hint="eastAsia"/>
          <w:color w:val="auto"/>
          <w:highlight w:val="none"/>
        </w:rPr>
        <w:t>消防系统配电箱及控制箱要求</w:t>
      </w:r>
    </w:p>
    <w:p>
      <w:pPr>
        <w:pStyle w:val="217"/>
        <w:rPr>
          <w:color w:val="auto"/>
          <w:highlight w:val="none"/>
        </w:rPr>
      </w:pPr>
      <w:r>
        <w:rPr>
          <w:color w:val="auto"/>
          <w:highlight w:val="none"/>
        </w:rPr>
        <w:t xml:space="preserve">   </w:t>
      </w:r>
      <w:r>
        <w:rPr>
          <w:rFonts w:hint="eastAsia"/>
          <w:color w:val="auto"/>
          <w:highlight w:val="none"/>
        </w:rPr>
        <w:t>消防系统配电箱及控制箱须选用具有“</w:t>
      </w:r>
      <w:r>
        <w:rPr>
          <w:color w:val="auto"/>
          <w:highlight w:val="none"/>
        </w:rPr>
        <w:t>CCCF</w:t>
      </w:r>
      <w:r>
        <w:rPr>
          <w:rFonts w:hint="eastAsia"/>
          <w:color w:val="auto"/>
          <w:highlight w:val="none"/>
        </w:rPr>
        <w:t>”认证产品，并满足消防局验收要求。</w:t>
      </w:r>
    </w:p>
    <w:p>
      <w:pPr>
        <w:pStyle w:val="113"/>
        <w:spacing w:before="120" w:after="120"/>
        <w:outlineLvl w:val="2"/>
        <w:rPr>
          <w:color w:val="auto"/>
          <w:highlight w:val="none"/>
        </w:rPr>
      </w:pPr>
      <w:bookmarkStart w:id="8051" w:name="_Toc66890485"/>
      <w:bookmarkStart w:id="8052" w:name="_Toc69114231"/>
      <w:bookmarkStart w:id="8053" w:name="_Toc505345803"/>
      <w:bookmarkStart w:id="8054" w:name="_Toc66634490"/>
      <w:r>
        <w:rPr>
          <w:color w:val="auto"/>
          <w:highlight w:val="none"/>
        </w:rPr>
        <w:t xml:space="preserve">2.3 </w:t>
      </w:r>
      <w:r>
        <w:rPr>
          <w:rFonts w:hint="eastAsia"/>
          <w:color w:val="auto"/>
          <w:highlight w:val="none"/>
        </w:rPr>
        <w:t>消防广播系统</w:t>
      </w:r>
      <w:bookmarkEnd w:id="8051"/>
      <w:bookmarkEnd w:id="8052"/>
      <w:bookmarkEnd w:id="8053"/>
      <w:bookmarkEnd w:id="8054"/>
    </w:p>
    <w:p>
      <w:pPr>
        <w:pStyle w:val="217"/>
        <w:rPr>
          <w:color w:val="auto"/>
          <w:highlight w:val="none"/>
        </w:rPr>
      </w:pPr>
      <w:r>
        <w:rPr>
          <w:color w:val="auto"/>
          <w:highlight w:val="none"/>
        </w:rPr>
        <w:t>1.</w:t>
      </w:r>
      <w:r>
        <w:rPr>
          <w:rFonts w:hint="eastAsia"/>
          <w:color w:val="auto"/>
          <w:highlight w:val="none"/>
        </w:rPr>
        <w:t>系统要求</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）消防广播系统与背景音乐广播各自独立。消防广播主机及音源设备等与四标合用，设与四标消防控制中心。</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）系统根据功率分配、功能要求，各分路互不干扰，可手动</w:t>
      </w:r>
      <w:r>
        <w:rPr>
          <w:color w:val="auto"/>
          <w:highlight w:val="none"/>
        </w:rPr>
        <w:t>/</w:t>
      </w:r>
      <w:r>
        <w:rPr>
          <w:rFonts w:hint="eastAsia"/>
          <w:color w:val="auto"/>
          <w:highlight w:val="none"/>
        </w:rPr>
        <w:t>自动独立控制。</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各独立广播分路可根据具体要求编为不同的广播群组（例如：将同一部门不同楼层的办公室编为一个广播群组等），但当有紧急情况出现，需要进行事故紧急广播时，则按照原设计的程序，将各相应广播群组的扬声器线路归并入指定的消防广播分区并进行消防紧急广播。</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）具有遥控各广播分区、全楼广播和监听各广播分区的功能。</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）消防控制中心能监控各区功率放大器的工作状态，并且能遥控开启功放和采用麦克风播音。</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）当火灾确认后，应同时向全楼进行广播。</w:t>
      </w:r>
    </w:p>
    <w:p>
      <w:pPr>
        <w:pStyle w:val="217"/>
        <w:rPr>
          <w:color w:val="auto"/>
          <w:highlight w:val="none"/>
        </w:rPr>
      </w:pPr>
      <w:r>
        <w:rPr>
          <w:rFonts w:hint="eastAsia"/>
          <w:color w:val="auto"/>
          <w:highlight w:val="none"/>
        </w:rPr>
        <w:t>（</w:t>
      </w:r>
      <w:r>
        <w:rPr>
          <w:color w:val="auto"/>
          <w:highlight w:val="none"/>
        </w:rPr>
        <w:t>7</w:t>
      </w:r>
      <w:r>
        <w:rPr>
          <w:rFonts w:hint="eastAsia"/>
          <w:color w:val="auto"/>
          <w:highlight w:val="none"/>
        </w:rPr>
        <w:t>）广播功放的功率须足以驱动所有的扬声器，并且总功率不小于所有扬声器功率之和的</w:t>
      </w:r>
      <w:r>
        <w:rPr>
          <w:color w:val="auto"/>
          <w:highlight w:val="none"/>
        </w:rPr>
        <w:t>1.3</w:t>
      </w:r>
      <w:r>
        <w:rPr>
          <w:rFonts w:hint="eastAsia"/>
          <w:color w:val="auto"/>
          <w:highlight w:val="none"/>
        </w:rPr>
        <w:t>倍，另需配备容量不小于火灾时需同时广播的范围内广播扬声器最大容量总和的</w:t>
      </w:r>
      <w:r>
        <w:rPr>
          <w:color w:val="auto"/>
          <w:highlight w:val="none"/>
        </w:rPr>
        <w:t>1.5</w:t>
      </w:r>
      <w:r>
        <w:rPr>
          <w:rFonts w:hint="eastAsia"/>
          <w:color w:val="auto"/>
          <w:highlight w:val="none"/>
        </w:rPr>
        <w:t>倍的备用功放。</w:t>
      </w:r>
    </w:p>
    <w:p>
      <w:pPr>
        <w:pStyle w:val="217"/>
        <w:rPr>
          <w:color w:val="auto"/>
          <w:highlight w:val="none"/>
        </w:rPr>
      </w:pPr>
      <w:r>
        <w:rPr>
          <w:rFonts w:hint="eastAsia"/>
          <w:color w:val="auto"/>
          <w:highlight w:val="none"/>
        </w:rPr>
        <w:t>（</w:t>
      </w:r>
      <w:r>
        <w:rPr>
          <w:color w:val="auto"/>
          <w:highlight w:val="none"/>
        </w:rPr>
        <w:t>8</w:t>
      </w:r>
      <w:r>
        <w:rPr>
          <w:rFonts w:hint="eastAsia"/>
          <w:color w:val="auto"/>
          <w:highlight w:val="none"/>
        </w:rPr>
        <w:t>）消防广播系统的广播主机（与四标共用，含系统必须的各类模块、功能器件）、功率放大器、可编程远程遥控与寻呼话筒、各类喇叭以及音箱等主要设备必须采用国际知名品牌的同品牌产品，并为该厂家最新技术的成熟产品，且有相应的产品质量认证及</w:t>
      </w:r>
      <w:r>
        <w:rPr>
          <w:color w:val="auto"/>
          <w:highlight w:val="none"/>
        </w:rPr>
        <w:t>“3C”</w:t>
      </w:r>
      <w:r>
        <w:rPr>
          <w:rFonts w:hint="eastAsia"/>
          <w:color w:val="auto"/>
          <w:highlight w:val="none"/>
        </w:rPr>
        <w:t>认证。</w:t>
      </w:r>
    </w:p>
    <w:p>
      <w:pPr>
        <w:pStyle w:val="217"/>
        <w:rPr>
          <w:color w:val="auto"/>
          <w:highlight w:val="none"/>
        </w:rPr>
      </w:pPr>
      <w:r>
        <w:rPr>
          <w:rFonts w:hint="eastAsia"/>
          <w:color w:val="auto"/>
          <w:highlight w:val="none"/>
        </w:rPr>
        <w:t>（</w:t>
      </w:r>
      <w:r>
        <w:rPr>
          <w:color w:val="auto"/>
          <w:highlight w:val="none"/>
        </w:rPr>
        <w:t>9</w:t>
      </w:r>
      <w:r>
        <w:rPr>
          <w:rFonts w:hint="eastAsia"/>
          <w:color w:val="auto"/>
          <w:highlight w:val="none"/>
        </w:rPr>
        <w:t>）背景音乐兼消防广播系统所用材料、产品、设备等无论国产、进口均须为无暇的全新产品，符合设计要求、合同规定、国际及中国国家的现行有关标准或技术规程。进口产品须提供原产地证明书</w:t>
      </w:r>
    </w:p>
    <w:p>
      <w:pPr>
        <w:pStyle w:val="217"/>
        <w:rPr>
          <w:color w:val="auto"/>
          <w:highlight w:val="none"/>
        </w:rPr>
      </w:pPr>
      <w:r>
        <w:rPr>
          <w:rFonts w:hint="eastAsia"/>
          <w:color w:val="auto"/>
          <w:highlight w:val="none"/>
        </w:rPr>
        <w:t>（</w:t>
      </w:r>
      <w:r>
        <w:rPr>
          <w:color w:val="auto"/>
          <w:highlight w:val="none"/>
        </w:rPr>
        <w:t>10</w:t>
      </w:r>
      <w:r>
        <w:rPr>
          <w:rFonts w:hint="eastAsia"/>
          <w:color w:val="auto"/>
          <w:highlight w:val="none"/>
        </w:rPr>
        <w:t>）整个系统必须可靠接地保护，当与公共接地系统共用接地时，接地电阻小于</w:t>
      </w:r>
      <w:r>
        <w:rPr>
          <w:color w:val="auto"/>
          <w:highlight w:val="none"/>
        </w:rPr>
        <w:t>1</w:t>
      </w:r>
      <w:r>
        <w:rPr>
          <w:rFonts w:hint="eastAsia"/>
          <w:color w:val="auto"/>
          <w:highlight w:val="none"/>
        </w:rPr>
        <w:t>欧姆。</w:t>
      </w:r>
    </w:p>
    <w:p>
      <w:pPr>
        <w:rPr>
          <w:color w:val="auto"/>
          <w:highlight w:val="none"/>
        </w:rPr>
      </w:pPr>
    </w:p>
    <w:p>
      <w:pPr>
        <w:pStyle w:val="217"/>
        <w:rPr>
          <w:color w:val="auto"/>
          <w:highlight w:val="none"/>
        </w:rPr>
      </w:pPr>
      <w:r>
        <w:rPr>
          <w:color w:val="auto"/>
          <w:highlight w:val="none"/>
        </w:rPr>
        <w:t>2.</w:t>
      </w:r>
      <w:r>
        <w:rPr>
          <w:rFonts w:hint="eastAsia"/>
          <w:color w:val="auto"/>
          <w:highlight w:val="none"/>
        </w:rPr>
        <w:t>系统与设备的技术要求</w:t>
      </w:r>
    </w:p>
    <w:tbl>
      <w:tblPr>
        <w:tblStyle w:val="43"/>
        <w:tblW w:w="8866" w:type="dxa"/>
        <w:jc w:val="center"/>
        <w:tblLayout w:type="fixed"/>
        <w:tblCellMar>
          <w:top w:w="0" w:type="dxa"/>
          <w:left w:w="108" w:type="dxa"/>
          <w:bottom w:w="0" w:type="dxa"/>
          <w:right w:w="108" w:type="dxa"/>
        </w:tblCellMar>
      </w:tblPr>
      <w:tblGrid>
        <w:gridCol w:w="806"/>
        <w:gridCol w:w="7109"/>
        <w:gridCol w:w="10"/>
        <w:gridCol w:w="941"/>
      </w:tblGrid>
      <w:tr>
        <w:tblPrEx>
          <w:tblCellMar>
            <w:top w:w="0" w:type="dxa"/>
            <w:left w:w="108" w:type="dxa"/>
            <w:bottom w:w="0" w:type="dxa"/>
            <w:right w:w="108" w:type="dxa"/>
          </w:tblCellMar>
        </w:tblPrEx>
        <w:trPr>
          <w:trHeight w:val="567"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rFonts w:hint="eastAsia"/>
                <w:color w:val="auto"/>
                <w:highlight w:val="none"/>
              </w:rPr>
              <w:t>产品名称</w:t>
            </w:r>
          </w:p>
        </w:tc>
        <w:tc>
          <w:tcPr>
            <w:tcW w:w="71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rFonts w:hint="eastAsia"/>
                <w:color w:val="auto"/>
                <w:highlight w:val="none"/>
              </w:rPr>
              <w:t>产品技术要求</w:t>
            </w:r>
          </w:p>
        </w:tc>
        <w:tc>
          <w:tcPr>
            <w:tcW w:w="95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rFonts w:hint="eastAsia"/>
                <w:color w:val="auto"/>
                <w:highlight w:val="none"/>
              </w:rPr>
              <w:t>参备注</w:t>
            </w:r>
          </w:p>
        </w:tc>
      </w:tr>
      <w:tr>
        <w:tblPrEx>
          <w:tblCellMar>
            <w:top w:w="0" w:type="dxa"/>
            <w:left w:w="108" w:type="dxa"/>
            <w:bottom w:w="0" w:type="dxa"/>
            <w:right w:w="108" w:type="dxa"/>
          </w:tblCellMar>
        </w:tblPrEx>
        <w:trPr>
          <w:trHeight w:val="567"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rFonts w:hint="eastAsia"/>
                <w:color w:val="auto"/>
                <w:highlight w:val="none"/>
              </w:rPr>
              <w:t>火灾报警控制器</w:t>
            </w:r>
          </w:p>
        </w:tc>
        <w:tc>
          <w:tcPr>
            <w:tcW w:w="71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color w:val="auto"/>
                <w:highlight w:val="none"/>
              </w:rPr>
              <w:t>1</w:t>
            </w:r>
            <w:r>
              <w:rPr>
                <w:rFonts w:hint="eastAsia"/>
                <w:color w:val="auto"/>
                <w:highlight w:val="none"/>
              </w:rPr>
              <w:t>、符合</w:t>
            </w:r>
            <w:r>
              <w:rPr>
                <w:color w:val="auto"/>
                <w:highlight w:val="none"/>
              </w:rPr>
              <w:t>GBJ116—88</w:t>
            </w:r>
            <w:r>
              <w:rPr>
                <w:rFonts w:hint="eastAsia"/>
                <w:color w:val="auto"/>
                <w:highlight w:val="none"/>
              </w:rPr>
              <w:t>、</w:t>
            </w:r>
            <w:r>
              <w:rPr>
                <w:color w:val="auto"/>
                <w:highlight w:val="none"/>
              </w:rPr>
              <w:t>JGJ/T16—92</w:t>
            </w:r>
            <w:r>
              <w:rPr>
                <w:rFonts w:hint="eastAsia"/>
                <w:color w:val="auto"/>
                <w:highlight w:val="none"/>
              </w:rPr>
              <w:t>等中国国家、行业及国际标准。</w:t>
            </w:r>
          </w:p>
          <w:p>
            <w:pPr>
              <w:rPr>
                <w:color w:val="auto"/>
                <w:highlight w:val="none"/>
              </w:rPr>
            </w:pPr>
            <w:r>
              <w:rPr>
                <w:color w:val="auto"/>
                <w:highlight w:val="none"/>
              </w:rPr>
              <w:t>2</w:t>
            </w:r>
            <w:r>
              <w:rPr>
                <w:rFonts w:hint="eastAsia"/>
                <w:color w:val="auto"/>
                <w:highlight w:val="none"/>
              </w:rPr>
              <w:t>、符合中国消防当局要求，且有中国国家消防产品质量监督检验机构检验报告的产品。</w:t>
            </w:r>
          </w:p>
          <w:p>
            <w:pPr>
              <w:rPr>
                <w:color w:val="auto"/>
                <w:highlight w:val="none"/>
              </w:rPr>
            </w:pPr>
            <w:r>
              <w:rPr>
                <w:color w:val="auto"/>
                <w:highlight w:val="none"/>
              </w:rPr>
              <w:t>3</w:t>
            </w:r>
            <w:r>
              <w:rPr>
                <w:rFonts w:hint="eastAsia"/>
                <w:color w:val="auto"/>
                <w:highlight w:val="none"/>
              </w:rPr>
              <w:t>、控制柜的柜体材料采用国产优质冷扎钢板制成，板材厚度不小于</w:t>
            </w:r>
            <w:r>
              <w:rPr>
                <w:color w:val="auto"/>
                <w:highlight w:val="none"/>
              </w:rPr>
              <w:t>1.5mm</w:t>
            </w:r>
            <w:r>
              <w:rPr>
                <w:rFonts w:hint="eastAsia"/>
                <w:color w:val="auto"/>
                <w:highlight w:val="none"/>
              </w:rPr>
              <w:t>，其表面经过除油、除锈、磷化处理、进行静电喷涂或烤瓷处理，且柜体的防护等级须达到</w:t>
            </w:r>
            <w:r>
              <w:rPr>
                <w:color w:val="auto"/>
                <w:highlight w:val="none"/>
              </w:rPr>
              <w:t>IP44</w:t>
            </w:r>
            <w:r>
              <w:rPr>
                <w:rFonts w:hint="eastAsia"/>
                <w:color w:val="auto"/>
                <w:highlight w:val="none"/>
              </w:rPr>
              <w:t>防水、防尘的保护要求。</w:t>
            </w:r>
          </w:p>
          <w:p>
            <w:pPr>
              <w:rPr>
                <w:color w:val="auto"/>
                <w:highlight w:val="none"/>
              </w:rPr>
            </w:pPr>
            <w:r>
              <w:rPr>
                <w:color w:val="auto"/>
                <w:highlight w:val="none"/>
              </w:rPr>
              <w:t>4</w:t>
            </w:r>
            <w:r>
              <w:rPr>
                <w:rFonts w:hint="eastAsia"/>
                <w:color w:val="auto"/>
                <w:highlight w:val="none"/>
              </w:rPr>
              <w:t>、有多台报警控制器互联时，将其组成环行网络。互相间可不通过任何中间设备通信并显示，实现跨区控制。</w:t>
            </w:r>
          </w:p>
          <w:p>
            <w:pPr>
              <w:rPr>
                <w:color w:val="auto"/>
                <w:highlight w:val="none"/>
              </w:rPr>
            </w:pPr>
            <w:r>
              <w:rPr>
                <w:rFonts w:hint="eastAsia"/>
                <w:color w:val="auto"/>
                <w:highlight w:val="none"/>
              </w:rPr>
              <w:t>可通信并显示，实现跨区控制。</w:t>
            </w:r>
          </w:p>
          <w:p>
            <w:pPr>
              <w:rPr>
                <w:color w:val="auto"/>
                <w:highlight w:val="none"/>
              </w:rPr>
            </w:pPr>
            <w:r>
              <w:rPr>
                <w:color w:val="auto"/>
                <w:highlight w:val="none"/>
              </w:rPr>
              <w:t>5</w:t>
            </w:r>
            <w:r>
              <w:rPr>
                <w:rFonts w:hint="eastAsia"/>
                <w:color w:val="auto"/>
                <w:highlight w:val="none"/>
              </w:rPr>
              <w:t>、图文控制：电脑通过键盘、鼠标或能触摸屏操作，控制消防设备。火灾报警时显示着火层平面的报警点和疏散路线，在控制屏上以文字的表式准确地报告火灾的位置、时间、日期等。</w:t>
            </w:r>
          </w:p>
          <w:p>
            <w:pPr>
              <w:rPr>
                <w:color w:val="auto"/>
                <w:highlight w:val="none"/>
              </w:rPr>
            </w:pPr>
            <w:r>
              <w:rPr>
                <w:color w:val="auto"/>
                <w:highlight w:val="none"/>
              </w:rPr>
              <w:t>6</w:t>
            </w:r>
            <w:r>
              <w:rPr>
                <w:rFonts w:hint="eastAsia"/>
                <w:color w:val="auto"/>
                <w:highlight w:val="none"/>
              </w:rPr>
              <w:t>、控制器应包括，但不限于下列的部件，使之进行各种所需功能：</w:t>
            </w:r>
          </w:p>
          <w:p>
            <w:pPr>
              <w:rPr>
                <w:color w:val="auto"/>
                <w:highlight w:val="none"/>
              </w:rPr>
            </w:pPr>
            <w:r>
              <w:rPr>
                <w:color w:val="auto"/>
                <w:highlight w:val="none"/>
              </w:rPr>
              <w:t>A</w:t>
            </w:r>
            <w:r>
              <w:rPr>
                <w:rFonts w:hint="eastAsia"/>
                <w:color w:val="auto"/>
                <w:highlight w:val="none"/>
              </w:rPr>
              <w:t>、</w:t>
            </w:r>
            <w:r>
              <w:rPr>
                <w:color w:val="auto"/>
                <w:highlight w:val="none"/>
              </w:rPr>
              <w:t>LCD</w:t>
            </w:r>
            <w:r>
              <w:rPr>
                <w:rFonts w:hint="eastAsia"/>
                <w:color w:val="auto"/>
                <w:highlight w:val="none"/>
              </w:rPr>
              <w:t>显示屏最少要显示</w:t>
            </w:r>
            <w:r>
              <w:rPr>
                <w:color w:val="auto"/>
                <w:highlight w:val="none"/>
              </w:rPr>
              <w:t>80</w:t>
            </w:r>
            <w:r>
              <w:rPr>
                <w:rFonts w:hint="eastAsia"/>
                <w:color w:val="auto"/>
                <w:highlight w:val="none"/>
              </w:rPr>
              <w:t>个汉字</w:t>
            </w:r>
          </w:p>
          <w:p>
            <w:pPr>
              <w:rPr>
                <w:color w:val="auto"/>
                <w:highlight w:val="none"/>
              </w:rPr>
            </w:pPr>
            <w:r>
              <w:rPr>
                <w:rFonts w:hint="eastAsia"/>
                <w:color w:val="auto"/>
                <w:highlight w:val="none"/>
              </w:rPr>
              <w:t>（</w:t>
            </w:r>
            <w:r>
              <w:rPr>
                <w:color w:val="auto"/>
                <w:highlight w:val="none"/>
              </w:rPr>
              <w:t>1</w:t>
            </w:r>
            <w:r>
              <w:rPr>
                <w:rFonts w:hint="eastAsia"/>
                <w:color w:val="auto"/>
                <w:highlight w:val="none"/>
              </w:rPr>
              <w:t>）显示整个系统的资料</w:t>
            </w:r>
          </w:p>
          <w:p>
            <w:pPr>
              <w:rPr>
                <w:color w:val="auto"/>
                <w:highlight w:val="none"/>
              </w:rPr>
            </w:pPr>
            <w:r>
              <w:rPr>
                <w:rFonts w:hint="eastAsia"/>
                <w:color w:val="auto"/>
                <w:highlight w:val="none"/>
              </w:rPr>
              <w:t>（</w:t>
            </w:r>
            <w:r>
              <w:rPr>
                <w:color w:val="auto"/>
                <w:highlight w:val="none"/>
              </w:rPr>
              <w:t>2</w:t>
            </w:r>
            <w:r>
              <w:rPr>
                <w:rFonts w:hint="eastAsia"/>
                <w:color w:val="auto"/>
                <w:highlight w:val="none"/>
              </w:rPr>
              <w:t>）显示报警区域</w:t>
            </w:r>
          </w:p>
          <w:p>
            <w:pPr>
              <w:rPr>
                <w:color w:val="auto"/>
                <w:highlight w:val="none"/>
              </w:rPr>
            </w:pPr>
            <w:r>
              <w:rPr>
                <w:color w:val="auto"/>
                <w:highlight w:val="none"/>
              </w:rPr>
              <w:t>B</w:t>
            </w:r>
            <w:r>
              <w:rPr>
                <w:rFonts w:hint="eastAsia"/>
                <w:color w:val="auto"/>
                <w:highlight w:val="none"/>
              </w:rPr>
              <w:t>、发光指示显示：</w:t>
            </w:r>
          </w:p>
          <w:p>
            <w:pPr>
              <w:rPr>
                <w:color w:val="auto"/>
                <w:highlight w:val="none"/>
              </w:rPr>
            </w:pPr>
            <w:r>
              <w:rPr>
                <w:rFonts w:hint="eastAsia"/>
                <w:color w:val="auto"/>
                <w:highlight w:val="none"/>
              </w:rPr>
              <w:t>（</w:t>
            </w:r>
            <w:r>
              <w:rPr>
                <w:color w:val="auto"/>
                <w:highlight w:val="none"/>
              </w:rPr>
              <w:t>1</w:t>
            </w:r>
            <w:r>
              <w:rPr>
                <w:rFonts w:hint="eastAsia"/>
                <w:color w:val="auto"/>
                <w:highlight w:val="none"/>
              </w:rPr>
              <w:t>）电源开启</w:t>
            </w:r>
          </w:p>
          <w:p>
            <w:pPr>
              <w:rPr>
                <w:color w:val="auto"/>
                <w:highlight w:val="none"/>
              </w:rPr>
            </w:pPr>
            <w:r>
              <w:rPr>
                <w:rFonts w:hint="eastAsia"/>
                <w:color w:val="auto"/>
                <w:highlight w:val="none"/>
              </w:rPr>
              <w:t>（</w:t>
            </w:r>
            <w:r>
              <w:rPr>
                <w:color w:val="auto"/>
                <w:highlight w:val="none"/>
              </w:rPr>
              <w:t>2</w:t>
            </w:r>
            <w:r>
              <w:rPr>
                <w:rFonts w:hint="eastAsia"/>
                <w:color w:val="auto"/>
                <w:highlight w:val="none"/>
              </w:rPr>
              <w:t>）系统开启</w:t>
            </w:r>
          </w:p>
          <w:p>
            <w:pPr>
              <w:rPr>
                <w:color w:val="auto"/>
                <w:highlight w:val="none"/>
              </w:rPr>
            </w:pPr>
            <w:r>
              <w:rPr>
                <w:rFonts w:hint="eastAsia"/>
                <w:color w:val="auto"/>
                <w:highlight w:val="none"/>
              </w:rPr>
              <w:t>（</w:t>
            </w:r>
            <w:r>
              <w:rPr>
                <w:color w:val="auto"/>
                <w:highlight w:val="none"/>
              </w:rPr>
              <w:t>3</w:t>
            </w:r>
            <w:r>
              <w:rPr>
                <w:rFonts w:hint="eastAsia"/>
                <w:color w:val="auto"/>
                <w:highlight w:val="none"/>
              </w:rPr>
              <w:t>）电池故障</w:t>
            </w:r>
          </w:p>
          <w:p>
            <w:pPr>
              <w:rPr>
                <w:color w:val="auto"/>
                <w:highlight w:val="none"/>
              </w:rPr>
            </w:pPr>
            <w:r>
              <w:rPr>
                <w:rFonts w:hint="eastAsia"/>
                <w:color w:val="auto"/>
                <w:highlight w:val="none"/>
              </w:rPr>
              <w:t>（</w:t>
            </w:r>
            <w:r>
              <w:rPr>
                <w:color w:val="auto"/>
                <w:highlight w:val="none"/>
              </w:rPr>
              <w:t>4</w:t>
            </w:r>
            <w:r>
              <w:rPr>
                <w:rFonts w:hint="eastAsia"/>
                <w:color w:val="auto"/>
                <w:highlight w:val="none"/>
              </w:rPr>
              <w:t>）报警讯号</w:t>
            </w:r>
          </w:p>
          <w:p>
            <w:pPr>
              <w:rPr>
                <w:color w:val="auto"/>
                <w:highlight w:val="none"/>
              </w:rPr>
            </w:pPr>
            <w:r>
              <w:rPr>
                <w:color w:val="auto"/>
                <w:highlight w:val="none"/>
              </w:rPr>
              <w:t>C</w:t>
            </w:r>
            <w:r>
              <w:rPr>
                <w:rFonts w:hint="eastAsia"/>
                <w:color w:val="auto"/>
                <w:highlight w:val="none"/>
              </w:rPr>
              <w:t>、手触式按钮</w:t>
            </w:r>
          </w:p>
          <w:p>
            <w:pPr>
              <w:rPr>
                <w:color w:val="auto"/>
                <w:highlight w:val="none"/>
              </w:rPr>
            </w:pPr>
            <w:r>
              <w:rPr>
                <w:rFonts w:hint="eastAsia"/>
                <w:color w:val="auto"/>
                <w:highlight w:val="none"/>
              </w:rPr>
              <w:t>（</w:t>
            </w:r>
            <w:r>
              <w:rPr>
                <w:color w:val="auto"/>
                <w:highlight w:val="none"/>
              </w:rPr>
              <w:t>1</w:t>
            </w:r>
            <w:r>
              <w:rPr>
                <w:rFonts w:hint="eastAsia"/>
                <w:color w:val="auto"/>
                <w:highlight w:val="none"/>
              </w:rPr>
              <w:t>）报警确认</w:t>
            </w:r>
          </w:p>
          <w:p>
            <w:pPr>
              <w:rPr>
                <w:color w:val="auto"/>
                <w:highlight w:val="none"/>
              </w:rPr>
            </w:pPr>
            <w:r>
              <w:rPr>
                <w:rFonts w:hint="eastAsia"/>
                <w:color w:val="auto"/>
                <w:highlight w:val="none"/>
              </w:rPr>
              <w:t>（</w:t>
            </w:r>
            <w:r>
              <w:rPr>
                <w:color w:val="auto"/>
                <w:highlight w:val="none"/>
              </w:rPr>
              <w:t>2</w:t>
            </w:r>
            <w:r>
              <w:rPr>
                <w:rFonts w:hint="eastAsia"/>
                <w:color w:val="auto"/>
                <w:highlight w:val="none"/>
              </w:rPr>
              <w:t>）蜂鸣器消声</w:t>
            </w:r>
          </w:p>
          <w:p>
            <w:pPr>
              <w:rPr>
                <w:color w:val="auto"/>
                <w:highlight w:val="none"/>
              </w:rPr>
            </w:pPr>
            <w:r>
              <w:rPr>
                <w:rFonts w:hint="eastAsia"/>
                <w:color w:val="auto"/>
                <w:highlight w:val="none"/>
              </w:rPr>
              <w:t>（</w:t>
            </w:r>
            <w:r>
              <w:rPr>
                <w:color w:val="auto"/>
                <w:highlight w:val="none"/>
              </w:rPr>
              <w:t>3</w:t>
            </w:r>
            <w:r>
              <w:rPr>
                <w:rFonts w:hint="eastAsia"/>
                <w:color w:val="auto"/>
                <w:highlight w:val="none"/>
              </w:rPr>
              <w:t>）警报消声</w:t>
            </w:r>
          </w:p>
          <w:p>
            <w:pPr>
              <w:rPr>
                <w:color w:val="auto"/>
                <w:highlight w:val="none"/>
              </w:rPr>
            </w:pPr>
            <w:r>
              <w:rPr>
                <w:rFonts w:hint="eastAsia"/>
                <w:color w:val="auto"/>
                <w:highlight w:val="none"/>
              </w:rPr>
              <w:t>（</w:t>
            </w:r>
            <w:r>
              <w:rPr>
                <w:color w:val="auto"/>
                <w:highlight w:val="none"/>
              </w:rPr>
              <w:t>4</w:t>
            </w:r>
            <w:r>
              <w:rPr>
                <w:rFonts w:hint="eastAsia"/>
                <w:color w:val="auto"/>
                <w:highlight w:val="none"/>
              </w:rPr>
              <w:t>）系统复位</w:t>
            </w:r>
          </w:p>
          <w:p>
            <w:pPr>
              <w:rPr>
                <w:color w:val="auto"/>
                <w:highlight w:val="none"/>
              </w:rPr>
            </w:pPr>
            <w:r>
              <w:rPr>
                <w:rFonts w:hint="eastAsia"/>
                <w:color w:val="auto"/>
                <w:highlight w:val="none"/>
              </w:rPr>
              <w:t>（</w:t>
            </w:r>
            <w:r>
              <w:rPr>
                <w:color w:val="auto"/>
                <w:highlight w:val="none"/>
              </w:rPr>
              <w:t>5</w:t>
            </w:r>
            <w:r>
              <w:rPr>
                <w:rFonts w:hint="eastAsia"/>
                <w:color w:val="auto"/>
                <w:highlight w:val="none"/>
              </w:rPr>
              <w:t>）系统测试</w:t>
            </w:r>
          </w:p>
          <w:p>
            <w:pPr>
              <w:rPr>
                <w:color w:val="auto"/>
                <w:highlight w:val="none"/>
              </w:rPr>
            </w:pPr>
            <w:r>
              <w:rPr>
                <w:rFonts w:hint="eastAsia"/>
                <w:color w:val="auto"/>
                <w:highlight w:val="none"/>
              </w:rPr>
              <w:t>（</w:t>
            </w:r>
            <w:r>
              <w:rPr>
                <w:color w:val="auto"/>
                <w:highlight w:val="none"/>
              </w:rPr>
              <w:t>6</w:t>
            </w:r>
            <w:r>
              <w:rPr>
                <w:rFonts w:hint="eastAsia"/>
                <w:color w:val="auto"/>
                <w:highlight w:val="none"/>
              </w:rPr>
              <w:t>）灯号测试</w:t>
            </w:r>
          </w:p>
          <w:p>
            <w:pPr>
              <w:rPr>
                <w:color w:val="auto"/>
                <w:highlight w:val="none"/>
              </w:rPr>
            </w:pPr>
            <w:r>
              <w:rPr>
                <w:rFonts w:hint="eastAsia"/>
                <w:color w:val="auto"/>
                <w:highlight w:val="none"/>
              </w:rPr>
              <w:t>（</w:t>
            </w:r>
            <w:r>
              <w:rPr>
                <w:color w:val="auto"/>
                <w:highlight w:val="none"/>
              </w:rPr>
              <w:t>7</w:t>
            </w:r>
            <w:r>
              <w:rPr>
                <w:rFonts w:hint="eastAsia"/>
                <w:color w:val="auto"/>
                <w:highlight w:val="none"/>
              </w:rPr>
              <w:t>）输入系统参数及联动程序</w:t>
            </w:r>
          </w:p>
          <w:p>
            <w:pPr>
              <w:rPr>
                <w:color w:val="auto"/>
                <w:highlight w:val="none"/>
              </w:rPr>
            </w:pPr>
            <w:r>
              <w:rPr>
                <w:color w:val="auto"/>
                <w:highlight w:val="none"/>
              </w:rPr>
              <w:t>D</w:t>
            </w:r>
            <w:r>
              <w:rPr>
                <w:rFonts w:hint="eastAsia"/>
                <w:color w:val="auto"/>
                <w:highlight w:val="none"/>
              </w:rPr>
              <w:t>、警报及故障蜂鸣器</w:t>
            </w:r>
          </w:p>
          <w:p>
            <w:pPr>
              <w:rPr>
                <w:color w:val="auto"/>
                <w:highlight w:val="none"/>
              </w:rPr>
            </w:pPr>
            <w:r>
              <w:rPr>
                <w:color w:val="auto"/>
                <w:highlight w:val="none"/>
              </w:rPr>
              <w:t>E</w:t>
            </w:r>
            <w:r>
              <w:rPr>
                <w:rFonts w:hint="eastAsia"/>
                <w:color w:val="auto"/>
                <w:highlight w:val="none"/>
              </w:rPr>
              <w:t>、微型处理器（不小于</w:t>
            </w:r>
            <w:r>
              <w:rPr>
                <w:color w:val="auto"/>
                <w:highlight w:val="none"/>
              </w:rPr>
              <w:t>32</w:t>
            </w:r>
            <w:r>
              <w:rPr>
                <w:rFonts w:hint="eastAsia"/>
                <w:color w:val="auto"/>
                <w:highlight w:val="none"/>
              </w:rPr>
              <w:t>位）</w:t>
            </w:r>
          </w:p>
          <w:p>
            <w:pPr>
              <w:rPr>
                <w:color w:val="auto"/>
                <w:highlight w:val="none"/>
              </w:rPr>
            </w:pPr>
            <w:r>
              <w:rPr>
                <w:rFonts w:hint="eastAsia"/>
                <w:color w:val="auto"/>
                <w:highlight w:val="none"/>
              </w:rPr>
              <w:t>（</w:t>
            </w:r>
            <w:r>
              <w:rPr>
                <w:color w:val="auto"/>
                <w:highlight w:val="none"/>
              </w:rPr>
              <w:t>1</w:t>
            </w:r>
            <w:r>
              <w:rPr>
                <w:rFonts w:hint="eastAsia"/>
                <w:color w:val="auto"/>
                <w:highlight w:val="none"/>
              </w:rPr>
              <w:t>）处理整个系统之数据（储存最少</w:t>
            </w:r>
            <w:r>
              <w:rPr>
                <w:color w:val="auto"/>
                <w:highlight w:val="none"/>
              </w:rPr>
              <w:t>200</w:t>
            </w:r>
            <w:r>
              <w:rPr>
                <w:rFonts w:hint="eastAsia"/>
                <w:color w:val="auto"/>
                <w:highlight w:val="none"/>
              </w:rPr>
              <w:t>个发生事故记录）</w:t>
            </w:r>
          </w:p>
          <w:p>
            <w:pPr>
              <w:rPr>
                <w:color w:val="auto"/>
                <w:highlight w:val="none"/>
              </w:rPr>
            </w:pPr>
            <w:r>
              <w:rPr>
                <w:rFonts w:hint="eastAsia"/>
                <w:color w:val="auto"/>
                <w:highlight w:val="none"/>
              </w:rPr>
              <w:t>（</w:t>
            </w:r>
            <w:r>
              <w:rPr>
                <w:color w:val="auto"/>
                <w:highlight w:val="none"/>
              </w:rPr>
              <w:t>2</w:t>
            </w:r>
            <w:r>
              <w:rPr>
                <w:rFonts w:hint="eastAsia"/>
                <w:color w:val="auto"/>
                <w:highlight w:val="none"/>
              </w:rPr>
              <w:t>）接收现场讯号进行联动控制</w:t>
            </w:r>
          </w:p>
          <w:p>
            <w:pPr>
              <w:rPr>
                <w:color w:val="auto"/>
                <w:highlight w:val="none"/>
              </w:rPr>
            </w:pPr>
            <w:r>
              <w:rPr>
                <w:rFonts w:hint="eastAsia"/>
                <w:color w:val="auto"/>
                <w:highlight w:val="none"/>
              </w:rPr>
              <w:t>（</w:t>
            </w:r>
            <w:r>
              <w:rPr>
                <w:color w:val="auto"/>
                <w:highlight w:val="none"/>
              </w:rPr>
              <w:t>3</w:t>
            </w:r>
            <w:r>
              <w:rPr>
                <w:rFonts w:hint="eastAsia"/>
                <w:color w:val="auto"/>
                <w:highlight w:val="none"/>
              </w:rPr>
              <w:t>）每个回路须预留至少</w:t>
            </w:r>
            <w:r>
              <w:rPr>
                <w:color w:val="auto"/>
                <w:highlight w:val="none"/>
              </w:rPr>
              <w:t>25%</w:t>
            </w:r>
            <w:r>
              <w:rPr>
                <w:rFonts w:hint="eastAsia"/>
                <w:color w:val="auto"/>
                <w:highlight w:val="none"/>
              </w:rPr>
              <w:t>后备容量，以便将来发展</w:t>
            </w:r>
          </w:p>
          <w:p>
            <w:pPr>
              <w:rPr>
                <w:color w:val="auto"/>
                <w:highlight w:val="none"/>
              </w:rPr>
            </w:pPr>
            <w:r>
              <w:rPr>
                <w:rFonts w:hint="eastAsia"/>
                <w:color w:val="auto"/>
                <w:highlight w:val="none"/>
              </w:rPr>
              <w:t>（</w:t>
            </w:r>
            <w:r>
              <w:rPr>
                <w:color w:val="auto"/>
                <w:highlight w:val="none"/>
              </w:rPr>
              <w:t>4</w:t>
            </w:r>
            <w:r>
              <w:rPr>
                <w:rFonts w:hint="eastAsia"/>
                <w:color w:val="auto"/>
                <w:highlight w:val="none"/>
              </w:rPr>
              <w:t>）接驳外置电脑及图文显示器或同等接口</w:t>
            </w:r>
          </w:p>
          <w:p>
            <w:pPr>
              <w:rPr>
                <w:color w:val="auto"/>
                <w:highlight w:val="none"/>
              </w:rPr>
            </w:pPr>
            <w:r>
              <w:rPr>
                <w:color w:val="auto"/>
                <w:highlight w:val="none"/>
              </w:rPr>
              <w:t>7</w:t>
            </w:r>
            <w:r>
              <w:rPr>
                <w:rFonts w:hint="eastAsia"/>
                <w:color w:val="auto"/>
                <w:highlight w:val="none"/>
              </w:rPr>
              <w:t>、控制系统的电压为直流畅</w:t>
            </w:r>
            <w:r>
              <w:rPr>
                <w:color w:val="auto"/>
                <w:highlight w:val="none"/>
              </w:rPr>
              <w:t>24</w:t>
            </w:r>
            <w:r>
              <w:rPr>
                <w:rFonts w:hint="eastAsia"/>
                <w:color w:val="auto"/>
                <w:highlight w:val="none"/>
              </w:rPr>
              <w:t>伏。当任何报警器被启动，相应的灯号（铃）即亮（响）。按下警报消声开关，相应的声光警报停止工作。</w:t>
            </w:r>
          </w:p>
          <w:p>
            <w:pPr>
              <w:rPr>
                <w:color w:val="auto"/>
                <w:highlight w:val="none"/>
              </w:rPr>
            </w:pPr>
            <w:r>
              <w:rPr>
                <w:color w:val="auto"/>
                <w:highlight w:val="none"/>
              </w:rPr>
              <w:t>8</w:t>
            </w:r>
            <w:r>
              <w:rPr>
                <w:rFonts w:hint="eastAsia"/>
                <w:color w:val="auto"/>
                <w:highlight w:val="none"/>
              </w:rPr>
              <w:t>、所有仪器和设备须安装坚固，内部电线的连接和排列应便于以后的维修和更换部件的工作。</w:t>
            </w:r>
          </w:p>
          <w:p>
            <w:pPr>
              <w:rPr>
                <w:color w:val="auto"/>
                <w:highlight w:val="none"/>
              </w:rPr>
            </w:pPr>
            <w:r>
              <w:rPr>
                <w:color w:val="auto"/>
                <w:highlight w:val="none"/>
              </w:rPr>
              <w:t>9</w:t>
            </w:r>
            <w:r>
              <w:rPr>
                <w:rFonts w:hint="eastAsia"/>
                <w:color w:val="auto"/>
                <w:highlight w:val="none"/>
              </w:rPr>
              <w:t>、所有控制屏和控制台内部用金属板隔开，以便分开仪器中的低压设备，并且防止温敏元件受热过高。</w:t>
            </w:r>
          </w:p>
          <w:p>
            <w:pPr>
              <w:rPr>
                <w:color w:val="auto"/>
                <w:highlight w:val="none"/>
              </w:rPr>
            </w:pPr>
            <w:r>
              <w:rPr>
                <w:color w:val="auto"/>
                <w:highlight w:val="none"/>
              </w:rPr>
              <w:t>10</w:t>
            </w:r>
            <w:r>
              <w:rPr>
                <w:rFonts w:hint="eastAsia"/>
                <w:color w:val="auto"/>
                <w:highlight w:val="none"/>
              </w:rPr>
              <w:t>、所有的门应装有隐式铰链，且带有开关机构的暗锁。</w:t>
            </w:r>
          </w:p>
          <w:p>
            <w:pPr>
              <w:rPr>
                <w:color w:val="auto"/>
                <w:highlight w:val="none"/>
              </w:rPr>
            </w:pPr>
            <w:r>
              <w:rPr>
                <w:color w:val="auto"/>
                <w:highlight w:val="none"/>
              </w:rPr>
              <w:t>11</w:t>
            </w:r>
            <w:r>
              <w:rPr>
                <w:rFonts w:hint="eastAsia"/>
                <w:color w:val="auto"/>
                <w:highlight w:val="none"/>
              </w:rPr>
              <w:t>、所有的通气百叶应设在控制台底座的侧面和背面，设计为认可类型。所有的通气百叶应设有网罩。</w:t>
            </w:r>
          </w:p>
          <w:p>
            <w:pPr>
              <w:rPr>
                <w:color w:val="auto"/>
                <w:highlight w:val="none"/>
              </w:rPr>
            </w:pPr>
            <w:r>
              <w:rPr>
                <w:color w:val="auto"/>
                <w:highlight w:val="none"/>
              </w:rPr>
              <w:t>12</w:t>
            </w:r>
            <w:r>
              <w:rPr>
                <w:rFonts w:hint="eastAsia"/>
                <w:color w:val="auto"/>
                <w:highlight w:val="none"/>
              </w:rPr>
              <w:t>、各有关的柜屏台须进行必要的接地工作。</w:t>
            </w:r>
          </w:p>
          <w:p>
            <w:pPr>
              <w:rPr>
                <w:color w:val="auto"/>
                <w:highlight w:val="none"/>
              </w:rPr>
            </w:pPr>
            <w:r>
              <w:rPr>
                <w:color w:val="auto"/>
                <w:highlight w:val="none"/>
              </w:rPr>
              <w:t>13</w:t>
            </w:r>
            <w:r>
              <w:rPr>
                <w:rFonts w:hint="eastAsia"/>
                <w:color w:val="auto"/>
                <w:highlight w:val="none"/>
              </w:rPr>
              <w:t>、火灾报警控制器应为简体中文显示。</w:t>
            </w:r>
          </w:p>
          <w:p>
            <w:pPr>
              <w:rPr>
                <w:color w:val="auto"/>
                <w:highlight w:val="none"/>
              </w:rPr>
            </w:pPr>
            <w:r>
              <w:rPr>
                <w:color w:val="auto"/>
                <w:highlight w:val="none"/>
              </w:rPr>
              <w:t>14</w:t>
            </w:r>
            <w:r>
              <w:rPr>
                <w:rFonts w:hint="eastAsia"/>
                <w:color w:val="auto"/>
                <w:highlight w:val="none"/>
              </w:rPr>
              <w:t>、火灾报警控制器应为二总线闭合环形回路，在环路上任意一个节点之间可引出一条支路且不需加设分支模块。</w:t>
            </w:r>
          </w:p>
          <w:p>
            <w:pPr>
              <w:rPr>
                <w:color w:val="auto"/>
                <w:highlight w:val="none"/>
              </w:rPr>
            </w:pPr>
            <w:r>
              <w:rPr>
                <w:color w:val="auto"/>
                <w:highlight w:val="none"/>
              </w:rPr>
              <w:t>15</w:t>
            </w:r>
            <w:r>
              <w:rPr>
                <w:rFonts w:hint="eastAsia"/>
                <w:color w:val="auto"/>
                <w:highlight w:val="none"/>
              </w:rPr>
              <w:t>、火警控制器应为模块化设计，可根据需要选配功能卡式模块。可以联网运行，可以多台组网，应配有：</w:t>
            </w:r>
          </w:p>
          <w:p>
            <w:pPr>
              <w:rPr>
                <w:color w:val="auto"/>
                <w:highlight w:val="none"/>
              </w:rPr>
            </w:pPr>
            <w:r>
              <w:rPr>
                <w:rFonts w:hint="eastAsia"/>
                <w:color w:val="auto"/>
                <w:highlight w:val="none"/>
              </w:rPr>
              <w:t>（</w:t>
            </w:r>
            <w:r>
              <w:rPr>
                <w:color w:val="auto"/>
                <w:highlight w:val="none"/>
              </w:rPr>
              <w:t>1</w:t>
            </w:r>
            <w:r>
              <w:rPr>
                <w:rFonts w:hint="eastAsia"/>
                <w:color w:val="auto"/>
                <w:highlight w:val="none"/>
              </w:rPr>
              <w:t>）两个及以上</w:t>
            </w:r>
            <w:r>
              <w:rPr>
                <w:color w:val="auto"/>
                <w:highlight w:val="none"/>
              </w:rPr>
              <w:t>RS-232</w:t>
            </w:r>
            <w:r>
              <w:rPr>
                <w:rFonts w:hint="eastAsia"/>
                <w:color w:val="auto"/>
                <w:highlight w:val="none"/>
              </w:rPr>
              <w:t>接口</w:t>
            </w:r>
          </w:p>
          <w:p>
            <w:pPr>
              <w:rPr>
                <w:color w:val="auto"/>
                <w:highlight w:val="none"/>
              </w:rPr>
            </w:pPr>
            <w:r>
              <w:rPr>
                <w:rFonts w:hint="eastAsia"/>
                <w:color w:val="auto"/>
                <w:highlight w:val="none"/>
              </w:rPr>
              <w:t>（</w:t>
            </w:r>
            <w:r>
              <w:rPr>
                <w:color w:val="auto"/>
                <w:highlight w:val="none"/>
              </w:rPr>
              <w:t>2</w:t>
            </w:r>
            <w:r>
              <w:rPr>
                <w:rFonts w:hint="eastAsia"/>
                <w:color w:val="auto"/>
                <w:highlight w:val="none"/>
              </w:rPr>
              <w:t>）网络卡</w:t>
            </w:r>
          </w:p>
          <w:p>
            <w:pPr>
              <w:rPr>
                <w:color w:val="auto"/>
                <w:highlight w:val="none"/>
              </w:rPr>
            </w:pPr>
            <w:r>
              <w:rPr>
                <w:rFonts w:hint="eastAsia"/>
                <w:color w:val="auto"/>
                <w:highlight w:val="none"/>
              </w:rPr>
              <w:t>（</w:t>
            </w:r>
            <w:r>
              <w:rPr>
                <w:color w:val="auto"/>
                <w:highlight w:val="none"/>
              </w:rPr>
              <w:t>3</w:t>
            </w:r>
            <w:r>
              <w:rPr>
                <w:rFonts w:hint="eastAsia"/>
                <w:color w:val="auto"/>
                <w:highlight w:val="none"/>
              </w:rPr>
              <w:t>）回路卡（要求满足设计要求的回路数）</w:t>
            </w:r>
          </w:p>
          <w:p>
            <w:pPr>
              <w:rPr>
                <w:color w:val="auto"/>
                <w:highlight w:val="none"/>
              </w:rPr>
            </w:pPr>
            <w:r>
              <w:rPr>
                <w:rFonts w:hint="eastAsia"/>
                <w:color w:val="auto"/>
                <w:highlight w:val="none"/>
              </w:rPr>
              <w:t>（</w:t>
            </w:r>
            <w:r>
              <w:rPr>
                <w:color w:val="auto"/>
                <w:highlight w:val="none"/>
              </w:rPr>
              <w:t>4</w:t>
            </w:r>
            <w:r>
              <w:rPr>
                <w:rFonts w:hint="eastAsia"/>
                <w:color w:val="auto"/>
                <w:highlight w:val="none"/>
              </w:rPr>
              <w:t>）维护用调制解调器</w:t>
            </w:r>
          </w:p>
          <w:p>
            <w:pPr>
              <w:rPr>
                <w:color w:val="auto"/>
                <w:highlight w:val="none"/>
              </w:rPr>
            </w:pPr>
            <w:r>
              <w:rPr>
                <w:color w:val="auto"/>
                <w:highlight w:val="none"/>
              </w:rPr>
              <w:t>16</w:t>
            </w:r>
            <w:r>
              <w:rPr>
                <w:rFonts w:hint="eastAsia"/>
                <w:color w:val="auto"/>
                <w:highlight w:val="none"/>
              </w:rPr>
              <w:t>、对报警信号和控制信号应能通过软件编程分别处理。</w:t>
            </w:r>
          </w:p>
          <w:p>
            <w:pPr>
              <w:rPr>
                <w:color w:val="auto"/>
                <w:highlight w:val="none"/>
              </w:rPr>
            </w:pPr>
            <w:r>
              <w:rPr>
                <w:color w:val="auto"/>
                <w:highlight w:val="none"/>
              </w:rPr>
              <w:t>17</w:t>
            </w:r>
            <w:r>
              <w:rPr>
                <w:rFonts w:hint="eastAsia"/>
                <w:color w:val="auto"/>
                <w:highlight w:val="none"/>
              </w:rPr>
              <w:t>、为保证系统可靠性，火灾报警控制器应有计算机容错技术。</w:t>
            </w:r>
          </w:p>
          <w:p>
            <w:pPr>
              <w:rPr>
                <w:color w:val="auto"/>
                <w:highlight w:val="none"/>
              </w:rPr>
            </w:pPr>
            <w:r>
              <w:rPr>
                <w:color w:val="auto"/>
                <w:highlight w:val="none"/>
              </w:rPr>
              <w:t>18</w:t>
            </w:r>
            <w:r>
              <w:rPr>
                <w:rFonts w:hint="eastAsia"/>
                <w:color w:val="auto"/>
                <w:highlight w:val="none"/>
              </w:rPr>
              <w:t>、在设定的主机故障时各火灾报警控制器应能脱离主机单独工作报警。</w:t>
            </w:r>
          </w:p>
          <w:p>
            <w:pPr>
              <w:rPr>
                <w:color w:val="auto"/>
                <w:highlight w:val="none"/>
              </w:rPr>
            </w:pPr>
            <w:r>
              <w:rPr>
                <w:color w:val="auto"/>
                <w:highlight w:val="none"/>
              </w:rPr>
              <w:t>19</w:t>
            </w:r>
            <w:r>
              <w:rPr>
                <w:rFonts w:hint="eastAsia"/>
                <w:color w:val="auto"/>
                <w:highlight w:val="none"/>
              </w:rPr>
              <w:t>、回路响应时间</w:t>
            </w:r>
            <w:r>
              <w:rPr>
                <w:color w:val="auto"/>
                <w:highlight w:val="none"/>
              </w:rPr>
              <w:t>&lt;0.85S</w:t>
            </w:r>
            <w:r>
              <w:rPr>
                <w:rFonts w:hint="eastAsia"/>
                <w:color w:val="auto"/>
                <w:highlight w:val="none"/>
              </w:rPr>
              <w:t>。</w:t>
            </w:r>
          </w:p>
          <w:p>
            <w:pPr>
              <w:rPr>
                <w:color w:val="auto"/>
                <w:highlight w:val="none"/>
              </w:rPr>
            </w:pPr>
            <w:r>
              <w:rPr>
                <w:color w:val="auto"/>
                <w:highlight w:val="none"/>
              </w:rPr>
              <w:t>20</w:t>
            </w:r>
            <w:r>
              <w:rPr>
                <w:rFonts w:hint="eastAsia"/>
                <w:color w:val="auto"/>
                <w:highlight w:val="none"/>
              </w:rPr>
              <w:t>、回路距离</w:t>
            </w:r>
            <w:r>
              <w:rPr>
                <w:color w:val="auto"/>
                <w:highlight w:val="none"/>
              </w:rPr>
              <w:t>&gt;1500m</w:t>
            </w:r>
            <w:r>
              <w:rPr>
                <w:rFonts w:hint="eastAsia"/>
                <w:color w:val="auto"/>
                <w:highlight w:val="none"/>
              </w:rPr>
              <w:t>。</w:t>
            </w:r>
          </w:p>
          <w:p>
            <w:pPr>
              <w:rPr>
                <w:color w:val="auto"/>
                <w:highlight w:val="none"/>
              </w:rPr>
            </w:pPr>
            <w:r>
              <w:rPr>
                <w:color w:val="auto"/>
                <w:highlight w:val="none"/>
              </w:rPr>
              <w:t>21</w:t>
            </w:r>
            <w:r>
              <w:rPr>
                <w:rFonts w:hint="eastAsia"/>
                <w:color w:val="auto"/>
                <w:highlight w:val="none"/>
              </w:rPr>
              <w:t>、主机设有专用的打印机。</w:t>
            </w:r>
          </w:p>
          <w:p>
            <w:pPr>
              <w:rPr>
                <w:color w:val="auto"/>
                <w:highlight w:val="none"/>
              </w:rPr>
            </w:pPr>
            <w:r>
              <w:rPr>
                <w:color w:val="auto"/>
                <w:highlight w:val="none"/>
              </w:rPr>
              <w:t>22</w:t>
            </w:r>
            <w:r>
              <w:rPr>
                <w:rFonts w:hint="eastAsia"/>
                <w:color w:val="auto"/>
                <w:highlight w:val="none"/>
              </w:rPr>
              <w:t>、电源：要求配置</w:t>
            </w:r>
            <w:r>
              <w:rPr>
                <w:color w:val="auto"/>
                <w:highlight w:val="none"/>
              </w:rPr>
              <w:t>UPS</w:t>
            </w:r>
          </w:p>
          <w:p>
            <w:pPr>
              <w:rPr>
                <w:color w:val="auto"/>
                <w:highlight w:val="none"/>
              </w:rPr>
            </w:pPr>
            <w:r>
              <w:rPr>
                <w:rFonts w:hint="eastAsia"/>
                <w:color w:val="auto"/>
                <w:highlight w:val="none"/>
              </w:rPr>
              <w:t>供电单元：</w:t>
            </w:r>
          </w:p>
          <w:p>
            <w:pPr>
              <w:rPr>
                <w:color w:val="auto"/>
                <w:highlight w:val="none"/>
              </w:rPr>
            </w:pPr>
            <w:r>
              <w:rPr>
                <w:rFonts w:hint="eastAsia"/>
                <w:color w:val="auto"/>
                <w:highlight w:val="none"/>
              </w:rPr>
              <w:t>消防专用电源由供电单元供给。供电单元包括整流器及滤波器等，安装在控制单元内。</w:t>
            </w:r>
          </w:p>
          <w:p>
            <w:pPr>
              <w:rPr>
                <w:color w:val="auto"/>
                <w:highlight w:val="none"/>
              </w:rPr>
            </w:pPr>
            <w:r>
              <w:rPr>
                <w:rFonts w:hint="eastAsia"/>
                <w:color w:val="auto"/>
                <w:highlight w:val="none"/>
              </w:rPr>
              <w:t>整流器须包括电波干扰抑制器、内置自动稳压器的降压变压器。</w:t>
            </w:r>
          </w:p>
          <w:p>
            <w:pPr>
              <w:rPr>
                <w:color w:val="auto"/>
                <w:highlight w:val="none"/>
              </w:rPr>
            </w:pPr>
            <w:r>
              <w:rPr>
                <w:rFonts w:hint="eastAsia"/>
                <w:color w:val="auto"/>
                <w:highlight w:val="none"/>
              </w:rPr>
              <w:t>供电单元须能供应系统的全负载及用于</w:t>
            </w:r>
            <w:r>
              <w:rPr>
                <w:color w:val="auto"/>
                <w:highlight w:val="none"/>
              </w:rPr>
              <w:t>220V±10%</w:t>
            </w:r>
            <w:r>
              <w:rPr>
                <w:rFonts w:hint="eastAsia"/>
                <w:color w:val="auto"/>
                <w:highlight w:val="none"/>
              </w:rPr>
              <w:t>、</w:t>
            </w:r>
            <w:r>
              <w:rPr>
                <w:color w:val="auto"/>
                <w:highlight w:val="none"/>
              </w:rPr>
              <w:t>50HZ±2%</w:t>
            </w:r>
            <w:r>
              <w:rPr>
                <w:rFonts w:hint="eastAsia"/>
                <w:color w:val="auto"/>
                <w:highlight w:val="none"/>
              </w:rPr>
              <w:t>单相供电。</w:t>
            </w:r>
          </w:p>
          <w:p>
            <w:pPr>
              <w:rPr>
                <w:color w:val="auto"/>
                <w:highlight w:val="none"/>
              </w:rPr>
            </w:pPr>
            <w:r>
              <w:rPr>
                <w:rFonts w:hint="eastAsia"/>
                <w:color w:val="auto"/>
                <w:highlight w:val="none"/>
              </w:rPr>
              <w:t>电池：</w:t>
            </w:r>
          </w:p>
          <w:p>
            <w:pPr>
              <w:rPr>
                <w:color w:val="auto"/>
                <w:highlight w:val="none"/>
              </w:rPr>
            </w:pPr>
            <w:r>
              <w:rPr>
                <w:rFonts w:hint="eastAsia"/>
                <w:color w:val="auto"/>
                <w:highlight w:val="none"/>
              </w:rPr>
              <w:t>电池须为镍镉蓄电池，不得使用铅酸蓄电池。</w:t>
            </w:r>
          </w:p>
          <w:p>
            <w:pPr>
              <w:rPr>
                <w:color w:val="auto"/>
                <w:highlight w:val="none"/>
              </w:rPr>
            </w:pPr>
            <w:r>
              <w:rPr>
                <w:rFonts w:hint="eastAsia"/>
                <w:color w:val="auto"/>
                <w:highlight w:val="none"/>
              </w:rPr>
              <w:t>当电源发生故障时，电池须提供消防系统</w:t>
            </w:r>
            <w:r>
              <w:rPr>
                <w:color w:val="auto"/>
                <w:highlight w:val="none"/>
              </w:rPr>
              <w:t>1</w:t>
            </w:r>
            <w:r>
              <w:rPr>
                <w:rFonts w:hint="eastAsia"/>
                <w:color w:val="auto"/>
                <w:highlight w:val="none"/>
              </w:rPr>
              <w:t>小时不断的连续供电。</w:t>
            </w:r>
          </w:p>
          <w:p>
            <w:pPr>
              <w:rPr>
                <w:color w:val="auto"/>
                <w:highlight w:val="none"/>
              </w:rPr>
            </w:pPr>
            <w:r>
              <w:rPr>
                <w:rFonts w:hint="eastAsia"/>
                <w:color w:val="auto"/>
                <w:highlight w:val="none"/>
              </w:rPr>
              <w:t>该直流电池组、充电器应为免维护式。</w:t>
            </w:r>
          </w:p>
          <w:p>
            <w:pPr>
              <w:rPr>
                <w:color w:val="auto"/>
                <w:highlight w:val="none"/>
              </w:rPr>
            </w:pPr>
            <w:r>
              <w:rPr>
                <w:color w:val="auto"/>
                <w:highlight w:val="none"/>
              </w:rPr>
              <w:t>23</w:t>
            </w:r>
            <w:r>
              <w:rPr>
                <w:rFonts w:hint="eastAsia"/>
                <w:color w:val="auto"/>
                <w:highlight w:val="none"/>
              </w:rPr>
              <w:t>、系统必须具备故障自动检测和屏蔽功能：回路中任何形式的故障，系统均能自动检测并记录，以便维修和保养。</w:t>
            </w:r>
          </w:p>
        </w:tc>
        <w:tc>
          <w:tcPr>
            <w:tcW w:w="95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rPr>
                <w:color w:val="auto"/>
                <w:highlight w:val="none"/>
              </w:rPr>
            </w:pPr>
          </w:p>
        </w:tc>
      </w:tr>
      <w:tr>
        <w:tblPrEx>
          <w:tblCellMar>
            <w:top w:w="0" w:type="dxa"/>
            <w:left w:w="108" w:type="dxa"/>
            <w:bottom w:w="0" w:type="dxa"/>
            <w:right w:w="108" w:type="dxa"/>
          </w:tblCellMar>
        </w:tblPrEx>
        <w:trPr>
          <w:trHeight w:val="567"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rFonts w:hint="eastAsia"/>
                <w:color w:val="auto"/>
                <w:highlight w:val="none"/>
              </w:rPr>
              <w:t>火灾</w:t>
            </w:r>
          </w:p>
          <w:p>
            <w:pPr>
              <w:rPr>
                <w:color w:val="auto"/>
                <w:highlight w:val="none"/>
              </w:rPr>
            </w:pPr>
            <w:r>
              <w:rPr>
                <w:rFonts w:hint="eastAsia"/>
                <w:color w:val="auto"/>
                <w:highlight w:val="none"/>
              </w:rPr>
              <w:t>探测器</w:t>
            </w:r>
          </w:p>
        </w:tc>
        <w:tc>
          <w:tcPr>
            <w:tcW w:w="71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color w:val="auto"/>
                <w:highlight w:val="none"/>
              </w:rPr>
              <w:t>1</w:t>
            </w:r>
            <w:r>
              <w:rPr>
                <w:rFonts w:hint="eastAsia"/>
                <w:color w:val="auto"/>
                <w:highlight w:val="none"/>
              </w:rPr>
              <w:t>、探测器应符合</w:t>
            </w:r>
            <w:r>
              <w:rPr>
                <w:color w:val="auto"/>
                <w:highlight w:val="none"/>
              </w:rPr>
              <w:t>GB50116—98</w:t>
            </w:r>
            <w:r>
              <w:rPr>
                <w:rFonts w:hint="eastAsia"/>
                <w:color w:val="auto"/>
                <w:highlight w:val="none"/>
              </w:rPr>
              <w:t>等中国国家、行业及国际标准。</w:t>
            </w:r>
          </w:p>
          <w:p>
            <w:pPr>
              <w:rPr>
                <w:color w:val="auto"/>
                <w:highlight w:val="none"/>
              </w:rPr>
            </w:pPr>
            <w:r>
              <w:rPr>
                <w:color w:val="auto"/>
                <w:highlight w:val="none"/>
              </w:rPr>
              <w:t>2</w:t>
            </w:r>
            <w:r>
              <w:rPr>
                <w:rFonts w:hint="eastAsia"/>
                <w:color w:val="auto"/>
                <w:highlight w:val="none"/>
              </w:rPr>
              <w:t>、所有探测器均应为环保型，不应采用离子型。</w:t>
            </w:r>
          </w:p>
          <w:p>
            <w:pPr>
              <w:rPr>
                <w:color w:val="auto"/>
                <w:highlight w:val="none"/>
              </w:rPr>
            </w:pPr>
            <w:r>
              <w:rPr>
                <w:color w:val="auto"/>
                <w:highlight w:val="none"/>
              </w:rPr>
              <w:t>3</w:t>
            </w:r>
            <w:r>
              <w:rPr>
                <w:rFonts w:hint="eastAsia"/>
                <w:color w:val="auto"/>
                <w:highlight w:val="none"/>
              </w:rPr>
              <w:t>、所有编码式火灾探测器均应为智能型探测器，内置微处理器、存储器，其参数可按照所在位置而设定。</w:t>
            </w:r>
          </w:p>
          <w:p>
            <w:pPr>
              <w:rPr>
                <w:color w:val="auto"/>
                <w:highlight w:val="none"/>
              </w:rPr>
            </w:pPr>
            <w:r>
              <w:rPr>
                <w:color w:val="auto"/>
                <w:highlight w:val="none"/>
              </w:rPr>
              <w:t>4</w:t>
            </w:r>
            <w:r>
              <w:rPr>
                <w:rFonts w:hint="eastAsia"/>
                <w:color w:val="auto"/>
                <w:highlight w:val="none"/>
              </w:rPr>
              <w:t>、编码式火灾探测器应内置诊断式运算及全自动自我测试功能，带有自适应程序。</w:t>
            </w:r>
          </w:p>
          <w:p>
            <w:pPr>
              <w:rPr>
                <w:color w:val="auto"/>
                <w:highlight w:val="none"/>
              </w:rPr>
            </w:pPr>
            <w:r>
              <w:rPr>
                <w:color w:val="auto"/>
                <w:highlight w:val="none"/>
              </w:rPr>
              <w:t>5</w:t>
            </w:r>
            <w:r>
              <w:rPr>
                <w:rFonts w:hint="eastAsia"/>
                <w:color w:val="auto"/>
                <w:highlight w:val="none"/>
              </w:rPr>
              <w:t>、编码式火灾探测器应能自动补偿因污染而造成的测量值误差。</w:t>
            </w:r>
          </w:p>
          <w:p>
            <w:pPr>
              <w:rPr>
                <w:color w:val="auto"/>
                <w:highlight w:val="none"/>
              </w:rPr>
            </w:pPr>
            <w:r>
              <w:rPr>
                <w:color w:val="auto"/>
                <w:highlight w:val="none"/>
              </w:rPr>
              <w:t>6</w:t>
            </w:r>
            <w:r>
              <w:rPr>
                <w:rFonts w:hint="eastAsia"/>
                <w:color w:val="auto"/>
                <w:highlight w:val="none"/>
              </w:rPr>
              <w:t>、非编码式感温探测器应能通过功能模块接入火灾报警回路。</w:t>
            </w:r>
          </w:p>
          <w:p>
            <w:pPr>
              <w:rPr>
                <w:color w:val="auto"/>
                <w:highlight w:val="none"/>
              </w:rPr>
            </w:pPr>
            <w:r>
              <w:rPr>
                <w:color w:val="auto"/>
                <w:highlight w:val="none"/>
              </w:rPr>
              <w:t>7</w:t>
            </w:r>
            <w:r>
              <w:rPr>
                <w:rFonts w:hint="eastAsia"/>
                <w:color w:val="auto"/>
                <w:highlight w:val="none"/>
              </w:rPr>
              <w:t>、每个编码式火灾探测器均应有短路故障隔离功能或增加相应熟练的短路隔离模块，以隔离短路故障而不受其影响，准确报告短路位置。</w:t>
            </w:r>
          </w:p>
          <w:p>
            <w:pPr>
              <w:rPr>
                <w:color w:val="auto"/>
                <w:highlight w:val="none"/>
              </w:rPr>
            </w:pPr>
            <w:r>
              <w:rPr>
                <w:color w:val="auto"/>
                <w:highlight w:val="none"/>
              </w:rPr>
              <w:t>8</w:t>
            </w:r>
            <w:r>
              <w:rPr>
                <w:rFonts w:hint="eastAsia"/>
                <w:color w:val="auto"/>
                <w:highlight w:val="none"/>
              </w:rPr>
              <w:t>、感烟、感温等所有火灾探测器应能综合所有动态数据进行判断。</w:t>
            </w:r>
          </w:p>
        </w:tc>
        <w:tc>
          <w:tcPr>
            <w:tcW w:w="95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rPr>
                <w:color w:val="auto"/>
                <w:highlight w:val="none"/>
              </w:rPr>
            </w:pPr>
          </w:p>
        </w:tc>
      </w:tr>
      <w:tr>
        <w:tblPrEx>
          <w:tblCellMar>
            <w:top w:w="0" w:type="dxa"/>
            <w:left w:w="108" w:type="dxa"/>
            <w:bottom w:w="0" w:type="dxa"/>
            <w:right w:w="108" w:type="dxa"/>
          </w:tblCellMar>
        </w:tblPrEx>
        <w:trPr>
          <w:trHeight w:val="567"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rFonts w:hint="eastAsia"/>
                <w:color w:val="auto"/>
                <w:highlight w:val="none"/>
              </w:rPr>
              <w:t>功能模块</w:t>
            </w:r>
          </w:p>
        </w:tc>
        <w:tc>
          <w:tcPr>
            <w:tcW w:w="71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color w:val="auto"/>
                <w:highlight w:val="none"/>
              </w:rPr>
              <w:t>1</w:t>
            </w:r>
            <w:r>
              <w:rPr>
                <w:rFonts w:hint="eastAsia"/>
                <w:color w:val="auto"/>
                <w:highlight w:val="none"/>
              </w:rPr>
              <w:t>、普通探测器、感应器、消火拴按钮和警铃均需配置模块，而每个监控模块须带有地址编码。</w:t>
            </w:r>
          </w:p>
          <w:p>
            <w:pPr>
              <w:rPr>
                <w:color w:val="auto"/>
                <w:highlight w:val="none"/>
              </w:rPr>
            </w:pPr>
            <w:r>
              <w:rPr>
                <w:color w:val="auto"/>
                <w:highlight w:val="none"/>
              </w:rPr>
              <w:t>2</w:t>
            </w:r>
            <w:r>
              <w:rPr>
                <w:rFonts w:hint="eastAsia"/>
                <w:color w:val="auto"/>
                <w:highlight w:val="none"/>
              </w:rPr>
              <w:t>、模块应带集成化微处理器，可采用多功能模块和单功能模块。</w:t>
            </w:r>
          </w:p>
          <w:p>
            <w:pPr>
              <w:rPr>
                <w:color w:val="auto"/>
                <w:highlight w:val="none"/>
              </w:rPr>
            </w:pPr>
            <w:r>
              <w:rPr>
                <w:color w:val="auto"/>
                <w:highlight w:val="none"/>
              </w:rPr>
              <w:t>3</w:t>
            </w:r>
            <w:r>
              <w:rPr>
                <w:rFonts w:hint="eastAsia"/>
                <w:color w:val="auto"/>
                <w:highlight w:val="none"/>
              </w:rPr>
              <w:t>、状态应能通过软件编程进行设定。</w:t>
            </w:r>
          </w:p>
          <w:p>
            <w:pPr>
              <w:rPr>
                <w:color w:val="auto"/>
                <w:highlight w:val="none"/>
              </w:rPr>
            </w:pPr>
            <w:r>
              <w:rPr>
                <w:color w:val="auto"/>
                <w:highlight w:val="none"/>
              </w:rPr>
              <w:t>4</w:t>
            </w:r>
            <w:r>
              <w:rPr>
                <w:rFonts w:hint="eastAsia"/>
                <w:color w:val="auto"/>
                <w:highlight w:val="none"/>
              </w:rPr>
              <w:t>、模块应具有短路隔离功能。</w:t>
            </w:r>
          </w:p>
          <w:p>
            <w:pPr>
              <w:rPr>
                <w:color w:val="auto"/>
                <w:highlight w:val="none"/>
              </w:rPr>
            </w:pPr>
            <w:r>
              <w:rPr>
                <w:color w:val="auto"/>
                <w:highlight w:val="none"/>
              </w:rPr>
              <w:t>5</w:t>
            </w:r>
            <w:r>
              <w:rPr>
                <w:rFonts w:hint="eastAsia"/>
                <w:color w:val="auto"/>
                <w:highlight w:val="none"/>
              </w:rPr>
              <w:t>、</w:t>
            </w:r>
            <w:r>
              <w:rPr>
                <w:color w:val="auto"/>
                <w:highlight w:val="none"/>
              </w:rPr>
              <w:t>LED</w:t>
            </w:r>
            <w:r>
              <w:rPr>
                <w:rFonts w:hint="eastAsia"/>
                <w:color w:val="auto"/>
                <w:highlight w:val="none"/>
              </w:rPr>
              <w:t>工作状态、故障状态显示。</w:t>
            </w:r>
          </w:p>
          <w:p>
            <w:pPr>
              <w:rPr>
                <w:color w:val="auto"/>
                <w:highlight w:val="none"/>
              </w:rPr>
            </w:pPr>
            <w:r>
              <w:rPr>
                <w:color w:val="auto"/>
                <w:highlight w:val="none"/>
              </w:rPr>
              <w:t>6</w:t>
            </w:r>
            <w:r>
              <w:rPr>
                <w:rFonts w:hint="eastAsia"/>
                <w:color w:val="auto"/>
                <w:highlight w:val="none"/>
              </w:rPr>
              <w:t>、模块应带有对输入、输出信号线的开路、短路检测功能。</w:t>
            </w:r>
          </w:p>
        </w:tc>
        <w:tc>
          <w:tcPr>
            <w:tcW w:w="95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rPr>
                <w:color w:val="auto"/>
                <w:highlight w:val="none"/>
              </w:rPr>
            </w:pPr>
          </w:p>
        </w:tc>
      </w:tr>
      <w:tr>
        <w:tblPrEx>
          <w:tblCellMar>
            <w:top w:w="0" w:type="dxa"/>
            <w:left w:w="108" w:type="dxa"/>
            <w:bottom w:w="0" w:type="dxa"/>
            <w:right w:w="108" w:type="dxa"/>
          </w:tblCellMar>
        </w:tblPrEx>
        <w:trPr>
          <w:trHeight w:val="567"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rFonts w:hint="eastAsia"/>
                <w:color w:val="auto"/>
                <w:highlight w:val="none"/>
              </w:rPr>
              <w:t>消防电话</w:t>
            </w:r>
          </w:p>
        </w:tc>
        <w:tc>
          <w:tcPr>
            <w:tcW w:w="71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color w:val="auto"/>
                <w:highlight w:val="none"/>
              </w:rPr>
              <w:t>1</w:t>
            </w:r>
            <w:r>
              <w:rPr>
                <w:rFonts w:hint="eastAsia"/>
                <w:color w:val="auto"/>
                <w:highlight w:val="none"/>
              </w:rPr>
              <w:t>、</w:t>
            </w:r>
            <w:r>
              <w:rPr>
                <w:color w:val="auto"/>
                <w:highlight w:val="none"/>
              </w:rPr>
              <w:t>GBJ116-88</w:t>
            </w:r>
            <w:r>
              <w:rPr>
                <w:rFonts w:hint="eastAsia"/>
                <w:color w:val="auto"/>
                <w:highlight w:val="none"/>
              </w:rPr>
              <w:t>等中国国家、行业及国际标准。。</w:t>
            </w:r>
          </w:p>
          <w:p>
            <w:pPr>
              <w:rPr>
                <w:color w:val="auto"/>
                <w:highlight w:val="none"/>
              </w:rPr>
            </w:pPr>
            <w:r>
              <w:rPr>
                <w:color w:val="auto"/>
                <w:highlight w:val="none"/>
              </w:rPr>
              <w:t>2</w:t>
            </w:r>
            <w:r>
              <w:rPr>
                <w:rFonts w:hint="eastAsia"/>
                <w:color w:val="auto"/>
                <w:highlight w:val="none"/>
              </w:rPr>
              <w:t>、总机须包括以下的附件：</w:t>
            </w:r>
          </w:p>
          <w:p>
            <w:pPr>
              <w:rPr>
                <w:color w:val="auto"/>
                <w:highlight w:val="none"/>
              </w:rPr>
            </w:pPr>
            <w:r>
              <w:rPr>
                <w:rFonts w:hint="eastAsia"/>
                <w:color w:val="auto"/>
                <w:highlight w:val="none"/>
              </w:rPr>
              <w:t>呼叫电话分机之按键盘</w:t>
            </w:r>
          </w:p>
          <w:p>
            <w:pPr>
              <w:rPr>
                <w:color w:val="auto"/>
                <w:highlight w:val="none"/>
              </w:rPr>
            </w:pPr>
            <w:r>
              <w:rPr>
                <w:rFonts w:hint="eastAsia"/>
                <w:color w:val="auto"/>
                <w:highlight w:val="none"/>
              </w:rPr>
              <w:t>呼叫指示</w:t>
            </w:r>
          </w:p>
          <w:p>
            <w:pPr>
              <w:rPr>
                <w:color w:val="auto"/>
                <w:highlight w:val="none"/>
              </w:rPr>
            </w:pPr>
            <w:r>
              <w:rPr>
                <w:rFonts w:hint="eastAsia"/>
                <w:color w:val="auto"/>
                <w:highlight w:val="none"/>
              </w:rPr>
              <w:t>音频呼叫声</w:t>
            </w:r>
          </w:p>
          <w:p>
            <w:pPr>
              <w:rPr>
                <w:color w:val="auto"/>
                <w:highlight w:val="none"/>
              </w:rPr>
            </w:pPr>
            <w:r>
              <w:rPr>
                <w:rFonts w:hint="eastAsia"/>
                <w:color w:val="auto"/>
                <w:highlight w:val="none"/>
              </w:rPr>
              <w:t>手持送话听筒</w:t>
            </w:r>
          </w:p>
          <w:p>
            <w:pPr>
              <w:rPr>
                <w:color w:val="auto"/>
                <w:highlight w:val="none"/>
              </w:rPr>
            </w:pPr>
            <w:r>
              <w:rPr>
                <w:rFonts w:hint="eastAsia"/>
                <w:color w:val="auto"/>
                <w:highlight w:val="none"/>
              </w:rPr>
              <w:t>音量控制</w:t>
            </w:r>
          </w:p>
          <w:p>
            <w:pPr>
              <w:rPr>
                <w:color w:val="auto"/>
                <w:highlight w:val="none"/>
              </w:rPr>
            </w:pPr>
            <w:r>
              <w:rPr>
                <w:rFonts w:hint="eastAsia"/>
                <w:color w:val="auto"/>
                <w:highlight w:val="none"/>
              </w:rPr>
              <w:t>扬声器</w:t>
            </w:r>
          </w:p>
          <w:p>
            <w:pPr>
              <w:rPr>
                <w:color w:val="auto"/>
                <w:highlight w:val="none"/>
              </w:rPr>
            </w:pPr>
            <w:r>
              <w:rPr>
                <w:color w:val="auto"/>
                <w:highlight w:val="none"/>
              </w:rPr>
              <w:t>3</w:t>
            </w:r>
            <w:r>
              <w:rPr>
                <w:rFonts w:hint="eastAsia"/>
                <w:color w:val="auto"/>
                <w:highlight w:val="none"/>
              </w:rPr>
              <w:t>、总机应为桌机或墙机。</w:t>
            </w:r>
          </w:p>
          <w:p>
            <w:pPr>
              <w:rPr>
                <w:color w:val="auto"/>
                <w:highlight w:val="none"/>
              </w:rPr>
            </w:pPr>
            <w:r>
              <w:rPr>
                <w:color w:val="auto"/>
                <w:highlight w:val="none"/>
              </w:rPr>
              <w:t>4</w:t>
            </w:r>
            <w:r>
              <w:rPr>
                <w:rFonts w:hint="eastAsia"/>
                <w:color w:val="auto"/>
                <w:highlight w:val="none"/>
              </w:rPr>
              <w:t>、火警电话分机应为挂墙式，其颜色须为红色。</w:t>
            </w:r>
          </w:p>
          <w:p>
            <w:pPr>
              <w:rPr>
                <w:color w:val="auto"/>
                <w:highlight w:val="none"/>
              </w:rPr>
            </w:pPr>
            <w:r>
              <w:rPr>
                <w:color w:val="auto"/>
                <w:highlight w:val="none"/>
              </w:rPr>
              <w:t>5</w:t>
            </w:r>
            <w:r>
              <w:rPr>
                <w:rFonts w:hint="eastAsia"/>
                <w:color w:val="auto"/>
                <w:highlight w:val="none"/>
              </w:rPr>
              <w:t>、插孔面板：热塑塑料、红色，安装孔距</w:t>
            </w:r>
            <w:r>
              <w:rPr>
                <w:color w:val="auto"/>
                <w:highlight w:val="none"/>
              </w:rPr>
              <w:t>85MM</w:t>
            </w:r>
            <w:r>
              <w:rPr>
                <w:rFonts w:hint="eastAsia"/>
                <w:color w:val="auto"/>
                <w:highlight w:val="none"/>
              </w:rPr>
              <w:t>。</w:t>
            </w:r>
          </w:p>
          <w:p>
            <w:pPr>
              <w:rPr>
                <w:color w:val="auto"/>
                <w:highlight w:val="none"/>
              </w:rPr>
            </w:pPr>
            <w:r>
              <w:rPr>
                <w:color w:val="auto"/>
                <w:highlight w:val="none"/>
              </w:rPr>
              <w:t>6</w:t>
            </w:r>
            <w:r>
              <w:rPr>
                <w:rFonts w:hint="eastAsia"/>
                <w:color w:val="auto"/>
                <w:highlight w:val="none"/>
              </w:rPr>
              <w:t>、消防报警电话主机具有计时及记录功能</w:t>
            </w:r>
            <w:r>
              <w:rPr>
                <w:color w:val="auto"/>
                <w:highlight w:val="none"/>
              </w:rPr>
              <w:t>,</w:t>
            </w:r>
            <w:r>
              <w:rPr>
                <w:rFonts w:hint="eastAsia"/>
                <w:color w:val="auto"/>
                <w:highlight w:val="none"/>
              </w:rPr>
              <w:t>，可与消防电话分机直接通话。</w:t>
            </w:r>
          </w:p>
        </w:tc>
        <w:tc>
          <w:tcPr>
            <w:tcW w:w="95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rPr>
                <w:color w:val="auto"/>
                <w:highlight w:val="none"/>
              </w:rPr>
            </w:pPr>
          </w:p>
        </w:tc>
      </w:tr>
      <w:tr>
        <w:tblPrEx>
          <w:tblCellMar>
            <w:top w:w="0" w:type="dxa"/>
            <w:left w:w="108" w:type="dxa"/>
            <w:bottom w:w="0" w:type="dxa"/>
            <w:right w:w="108" w:type="dxa"/>
          </w:tblCellMar>
        </w:tblPrEx>
        <w:trPr>
          <w:trHeight w:val="567"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rFonts w:hint="eastAsia"/>
                <w:color w:val="auto"/>
                <w:highlight w:val="none"/>
              </w:rPr>
              <w:t>手动</w:t>
            </w:r>
          </w:p>
          <w:p>
            <w:pPr>
              <w:rPr>
                <w:color w:val="auto"/>
                <w:highlight w:val="none"/>
              </w:rPr>
            </w:pPr>
            <w:r>
              <w:rPr>
                <w:rFonts w:hint="eastAsia"/>
                <w:color w:val="auto"/>
                <w:highlight w:val="none"/>
              </w:rPr>
              <w:t>报警按钮</w:t>
            </w:r>
          </w:p>
        </w:tc>
        <w:tc>
          <w:tcPr>
            <w:tcW w:w="71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color w:val="auto"/>
                <w:highlight w:val="none"/>
              </w:rPr>
              <w:t>1</w:t>
            </w:r>
            <w:r>
              <w:rPr>
                <w:rFonts w:hint="eastAsia"/>
                <w:color w:val="auto"/>
                <w:highlight w:val="none"/>
              </w:rPr>
              <w:t>、应为智能型手动报警控制器</w:t>
            </w:r>
            <w:r>
              <w:rPr>
                <w:color w:val="auto"/>
                <w:highlight w:val="none"/>
              </w:rPr>
              <w:t>,</w:t>
            </w:r>
            <w:r>
              <w:rPr>
                <w:rFonts w:hint="eastAsia"/>
                <w:color w:val="auto"/>
                <w:highlight w:val="none"/>
              </w:rPr>
              <w:t>内置微处理智能化装置。</w:t>
            </w:r>
          </w:p>
          <w:p>
            <w:pPr>
              <w:rPr>
                <w:color w:val="auto"/>
                <w:highlight w:val="none"/>
              </w:rPr>
            </w:pPr>
            <w:r>
              <w:rPr>
                <w:color w:val="auto"/>
                <w:highlight w:val="none"/>
              </w:rPr>
              <w:t>2</w:t>
            </w:r>
            <w:r>
              <w:rPr>
                <w:rFonts w:hint="eastAsia"/>
                <w:color w:val="auto"/>
                <w:highlight w:val="none"/>
              </w:rPr>
              <w:t>、内置短路隔离器。</w:t>
            </w:r>
          </w:p>
          <w:p>
            <w:pPr>
              <w:rPr>
                <w:color w:val="auto"/>
                <w:highlight w:val="none"/>
              </w:rPr>
            </w:pPr>
            <w:r>
              <w:rPr>
                <w:color w:val="auto"/>
                <w:highlight w:val="none"/>
              </w:rPr>
              <w:t>3</w:t>
            </w:r>
            <w:r>
              <w:rPr>
                <w:rFonts w:hint="eastAsia"/>
                <w:color w:val="auto"/>
                <w:highlight w:val="none"/>
              </w:rPr>
              <w:t>、可由软件进行地址编码设定。</w:t>
            </w:r>
          </w:p>
          <w:p>
            <w:pPr>
              <w:rPr>
                <w:color w:val="auto"/>
                <w:highlight w:val="none"/>
              </w:rPr>
            </w:pPr>
            <w:r>
              <w:rPr>
                <w:color w:val="auto"/>
                <w:highlight w:val="none"/>
              </w:rPr>
              <w:t>4</w:t>
            </w:r>
            <w:r>
              <w:rPr>
                <w:rFonts w:hint="eastAsia"/>
                <w:color w:val="auto"/>
                <w:highlight w:val="none"/>
              </w:rPr>
              <w:t>、独立运行。即使与回路控制器的通讯中断，报警器也能输入报警信号。</w:t>
            </w:r>
          </w:p>
          <w:p>
            <w:pPr>
              <w:rPr>
                <w:color w:val="auto"/>
                <w:highlight w:val="none"/>
              </w:rPr>
            </w:pPr>
            <w:r>
              <w:rPr>
                <w:color w:val="auto"/>
                <w:highlight w:val="none"/>
              </w:rPr>
              <w:t>5</w:t>
            </w:r>
            <w:r>
              <w:rPr>
                <w:rFonts w:hint="eastAsia"/>
                <w:color w:val="auto"/>
                <w:highlight w:val="none"/>
              </w:rPr>
              <w:t>、带</w:t>
            </w:r>
            <w:r>
              <w:rPr>
                <w:color w:val="auto"/>
                <w:highlight w:val="none"/>
              </w:rPr>
              <w:t>LED</w:t>
            </w:r>
            <w:r>
              <w:rPr>
                <w:rFonts w:hint="eastAsia"/>
                <w:color w:val="auto"/>
                <w:highlight w:val="none"/>
              </w:rPr>
              <w:t>状态显示。</w:t>
            </w:r>
          </w:p>
          <w:p>
            <w:pPr>
              <w:rPr>
                <w:color w:val="auto"/>
                <w:highlight w:val="none"/>
              </w:rPr>
            </w:pPr>
            <w:r>
              <w:rPr>
                <w:color w:val="auto"/>
                <w:highlight w:val="none"/>
              </w:rPr>
              <w:t>6</w:t>
            </w:r>
            <w:r>
              <w:rPr>
                <w:rFonts w:hint="eastAsia"/>
                <w:color w:val="auto"/>
                <w:highlight w:val="none"/>
              </w:rPr>
              <w:t>、正面应有</w:t>
            </w:r>
            <w:r>
              <w:rPr>
                <w:color w:val="auto"/>
                <w:highlight w:val="none"/>
              </w:rPr>
              <w:t>“</w:t>
            </w:r>
            <w:r>
              <w:rPr>
                <w:rFonts w:hint="eastAsia"/>
                <w:color w:val="auto"/>
                <w:highlight w:val="none"/>
              </w:rPr>
              <w:t>如遇火警，击碎玻璃</w:t>
            </w:r>
            <w:r>
              <w:rPr>
                <w:color w:val="auto"/>
                <w:highlight w:val="none"/>
              </w:rPr>
              <w:t>”</w:t>
            </w:r>
            <w:r>
              <w:rPr>
                <w:rFonts w:hint="eastAsia"/>
                <w:color w:val="auto"/>
                <w:highlight w:val="none"/>
              </w:rPr>
              <w:t>中英文字样。</w:t>
            </w:r>
          </w:p>
        </w:tc>
        <w:tc>
          <w:tcPr>
            <w:tcW w:w="95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rPr>
                <w:color w:val="auto"/>
                <w:highlight w:val="none"/>
              </w:rPr>
            </w:pPr>
          </w:p>
        </w:tc>
      </w:tr>
      <w:tr>
        <w:tblPrEx>
          <w:tblCellMar>
            <w:top w:w="0" w:type="dxa"/>
            <w:left w:w="108" w:type="dxa"/>
            <w:bottom w:w="0" w:type="dxa"/>
            <w:right w:w="108" w:type="dxa"/>
          </w:tblCellMar>
        </w:tblPrEx>
        <w:trPr>
          <w:trHeight w:val="567"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rFonts w:hint="eastAsia"/>
                <w:color w:val="auto"/>
                <w:highlight w:val="none"/>
              </w:rPr>
              <w:t>消防警铃</w:t>
            </w:r>
          </w:p>
        </w:tc>
        <w:tc>
          <w:tcPr>
            <w:tcW w:w="71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color w:val="auto"/>
                <w:highlight w:val="none"/>
              </w:rPr>
              <w:t>1</w:t>
            </w:r>
            <w:r>
              <w:rPr>
                <w:rFonts w:hint="eastAsia"/>
                <w:color w:val="auto"/>
                <w:highlight w:val="none"/>
              </w:rPr>
              <w:t>、所有警铃应由金属制件制成，能抗腐蚀。电压为直流畅</w:t>
            </w:r>
            <w:r>
              <w:rPr>
                <w:color w:val="auto"/>
                <w:highlight w:val="none"/>
              </w:rPr>
              <w:t>24V</w:t>
            </w:r>
            <w:r>
              <w:rPr>
                <w:rFonts w:hint="eastAsia"/>
                <w:color w:val="auto"/>
                <w:highlight w:val="none"/>
              </w:rPr>
              <w:t>。采用</w:t>
            </w:r>
            <w:r>
              <w:rPr>
                <w:color w:val="auto"/>
                <w:highlight w:val="none"/>
              </w:rPr>
              <w:t>150MM</w:t>
            </w:r>
            <w:r>
              <w:rPr>
                <w:rFonts w:hint="eastAsia"/>
                <w:color w:val="auto"/>
                <w:highlight w:val="none"/>
              </w:rPr>
              <w:t>红色圆形碗式电铃。</w:t>
            </w:r>
          </w:p>
          <w:p>
            <w:pPr>
              <w:rPr>
                <w:color w:val="auto"/>
                <w:highlight w:val="none"/>
              </w:rPr>
            </w:pPr>
            <w:r>
              <w:rPr>
                <w:color w:val="auto"/>
                <w:highlight w:val="none"/>
              </w:rPr>
              <w:t>2</w:t>
            </w:r>
            <w:r>
              <w:rPr>
                <w:rFonts w:hint="eastAsia"/>
                <w:color w:val="auto"/>
                <w:highlight w:val="none"/>
              </w:rPr>
              <w:t>、对半</w:t>
            </w:r>
            <w:r>
              <w:rPr>
                <w:color w:val="auto"/>
                <w:highlight w:val="none"/>
              </w:rPr>
              <w:t>250MM</w:t>
            </w:r>
            <w:r>
              <w:rPr>
                <w:rFonts w:hint="eastAsia"/>
                <w:color w:val="auto"/>
                <w:highlight w:val="none"/>
              </w:rPr>
              <w:t>直径的警铃的要求与上项相同，适用于室外抵抗风化。</w:t>
            </w:r>
          </w:p>
          <w:p>
            <w:pPr>
              <w:rPr>
                <w:color w:val="auto"/>
                <w:highlight w:val="none"/>
              </w:rPr>
            </w:pPr>
            <w:r>
              <w:rPr>
                <w:color w:val="auto"/>
                <w:highlight w:val="none"/>
              </w:rPr>
              <w:t>3</w:t>
            </w:r>
            <w:r>
              <w:rPr>
                <w:rFonts w:hint="eastAsia"/>
                <w:color w:val="auto"/>
                <w:highlight w:val="none"/>
              </w:rPr>
              <w:t>、警铃须以中、英标明</w:t>
            </w:r>
            <w:r>
              <w:rPr>
                <w:color w:val="auto"/>
                <w:highlight w:val="none"/>
              </w:rPr>
              <w:t>“</w:t>
            </w:r>
            <w:r>
              <w:rPr>
                <w:rFonts w:hint="eastAsia"/>
                <w:color w:val="auto"/>
                <w:highlight w:val="none"/>
              </w:rPr>
              <w:t>火警</w:t>
            </w:r>
            <w:r>
              <w:rPr>
                <w:color w:val="auto"/>
                <w:highlight w:val="none"/>
              </w:rPr>
              <w:t>”“Fire Alarm”</w:t>
            </w:r>
            <w:r>
              <w:rPr>
                <w:rFonts w:hint="eastAsia"/>
                <w:color w:val="auto"/>
                <w:highlight w:val="none"/>
              </w:rPr>
              <w:t>。</w:t>
            </w:r>
          </w:p>
          <w:p>
            <w:pPr>
              <w:rPr>
                <w:color w:val="auto"/>
                <w:highlight w:val="none"/>
              </w:rPr>
            </w:pPr>
            <w:r>
              <w:rPr>
                <w:color w:val="auto"/>
                <w:highlight w:val="none"/>
              </w:rPr>
              <w:t>4</w:t>
            </w:r>
            <w:r>
              <w:rPr>
                <w:rFonts w:hint="eastAsia"/>
                <w:color w:val="auto"/>
                <w:highlight w:val="none"/>
              </w:rPr>
              <w:t>、警铃电路应相互独立，并且在控制单元内设有各自的保险丝。</w:t>
            </w:r>
          </w:p>
          <w:p>
            <w:pPr>
              <w:rPr>
                <w:color w:val="auto"/>
                <w:highlight w:val="none"/>
              </w:rPr>
            </w:pPr>
            <w:r>
              <w:rPr>
                <w:color w:val="auto"/>
                <w:highlight w:val="none"/>
              </w:rPr>
              <w:t>5</w:t>
            </w:r>
            <w:r>
              <w:rPr>
                <w:rFonts w:hint="eastAsia"/>
                <w:color w:val="auto"/>
                <w:highlight w:val="none"/>
              </w:rPr>
              <w:t>、安装在消防水泵接合器柜中的警铃采用室外式，以抵抗风化。</w:t>
            </w:r>
          </w:p>
          <w:p>
            <w:pPr>
              <w:rPr>
                <w:color w:val="auto"/>
                <w:highlight w:val="none"/>
              </w:rPr>
            </w:pPr>
            <w:r>
              <w:rPr>
                <w:color w:val="auto"/>
                <w:highlight w:val="none"/>
              </w:rPr>
              <w:t>6</w:t>
            </w:r>
            <w:r>
              <w:rPr>
                <w:rFonts w:hint="eastAsia"/>
                <w:color w:val="auto"/>
                <w:highlight w:val="none"/>
              </w:rPr>
              <w:t>、由模块控制警铃报警，报警时应能实现与</w:t>
            </w:r>
            <w:r>
              <w:rPr>
                <w:color w:val="auto"/>
                <w:highlight w:val="none"/>
              </w:rPr>
              <w:t>“</w:t>
            </w:r>
            <w:r>
              <w:rPr>
                <w:rFonts w:hint="eastAsia"/>
                <w:color w:val="auto"/>
                <w:highlight w:val="none"/>
              </w:rPr>
              <w:t>滚层</w:t>
            </w:r>
            <w:r>
              <w:rPr>
                <w:color w:val="auto"/>
                <w:highlight w:val="none"/>
              </w:rPr>
              <w:t>”</w:t>
            </w:r>
            <w:r>
              <w:rPr>
                <w:rFonts w:hint="eastAsia"/>
                <w:color w:val="auto"/>
                <w:highlight w:val="none"/>
              </w:rPr>
              <w:t>广播一样的功能。</w:t>
            </w:r>
          </w:p>
        </w:tc>
        <w:tc>
          <w:tcPr>
            <w:tcW w:w="95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rPr>
                <w:color w:val="auto"/>
                <w:highlight w:val="none"/>
              </w:rPr>
            </w:pPr>
          </w:p>
        </w:tc>
      </w:tr>
      <w:tr>
        <w:tblPrEx>
          <w:tblCellMar>
            <w:top w:w="0" w:type="dxa"/>
            <w:left w:w="108" w:type="dxa"/>
            <w:bottom w:w="0" w:type="dxa"/>
            <w:right w:w="108" w:type="dxa"/>
          </w:tblCellMar>
        </w:tblPrEx>
        <w:trPr>
          <w:trHeight w:val="567"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rFonts w:hint="eastAsia"/>
                <w:color w:val="auto"/>
                <w:highlight w:val="none"/>
              </w:rPr>
              <w:t>联动</w:t>
            </w:r>
          </w:p>
          <w:p>
            <w:pPr>
              <w:rPr>
                <w:color w:val="auto"/>
                <w:highlight w:val="none"/>
              </w:rPr>
            </w:pPr>
            <w:r>
              <w:rPr>
                <w:rFonts w:hint="eastAsia"/>
                <w:color w:val="auto"/>
                <w:highlight w:val="none"/>
              </w:rPr>
              <w:t>控制柜</w:t>
            </w:r>
          </w:p>
        </w:tc>
        <w:tc>
          <w:tcPr>
            <w:tcW w:w="71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color w:val="auto"/>
                <w:highlight w:val="none"/>
              </w:rPr>
              <w:t>1</w:t>
            </w:r>
            <w:r>
              <w:rPr>
                <w:rFonts w:hint="eastAsia"/>
                <w:color w:val="auto"/>
                <w:highlight w:val="none"/>
              </w:rPr>
              <w:t>、符合</w:t>
            </w:r>
            <w:r>
              <w:rPr>
                <w:color w:val="auto"/>
                <w:highlight w:val="none"/>
              </w:rPr>
              <w:t>GB50116—98</w:t>
            </w:r>
            <w:r>
              <w:rPr>
                <w:rFonts w:hint="eastAsia"/>
                <w:color w:val="auto"/>
                <w:highlight w:val="none"/>
              </w:rPr>
              <w:t>、</w:t>
            </w:r>
            <w:r>
              <w:rPr>
                <w:color w:val="auto"/>
                <w:highlight w:val="none"/>
              </w:rPr>
              <w:t>GB16826—1997</w:t>
            </w:r>
            <w:r>
              <w:rPr>
                <w:rFonts w:hint="eastAsia"/>
                <w:color w:val="auto"/>
                <w:highlight w:val="none"/>
              </w:rPr>
              <w:t>、</w:t>
            </w:r>
            <w:r>
              <w:rPr>
                <w:color w:val="auto"/>
                <w:highlight w:val="none"/>
              </w:rPr>
              <w:t>JGJ/T16—92</w:t>
            </w:r>
            <w:r>
              <w:rPr>
                <w:rFonts w:hint="eastAsia"/>
                <w:color w:val="auto"/>
                <w:highlight w:val="none"/>
              </w:rPr>
              <w:t>等中国国家、行业及国际标准。</w:t>
            </w:r>
          </w:p>
          <w:p>
            <w:pPr>
              <w:rPr>
                <w:color w:val="auto"/>
                <w:highlight w:val="none"/>
              </w:rPr>
            </w:pPr>
            <w:r>
              <w:rPr>
                <w:color w:val="auto"/>
                <w:highlight w:val="none"/>
              </w:rPr>
              <w:t>2</w:t>
            </w:r>
            <w:r>
              <w:rPr>
                <w:rFonts w:hint="eastAsia"/>
                <w:color w:val="auto"/>
                <w:highlight w:val="none"/>
              </w:rPr>
              <w:t>、同</w:t>
            </w:r>
            <w:r>
              <w:rPr>
                <w:color w:val="auto"/>
                <w:highlight w:val="none"/>
              </w:rPr>
              <w:t>“</w:t>
            </w:r>
            <w:r>
              <w:rPr>
                <w:rFonts w:hint="eastAsia"/>
                <w:color w:val="auto"/>
                <w:highlight w:val="none"/>
              </w:rPr>
              <w:t>火灾报警控制器</w:t>
            </w:r>
            <w:r>
              <w:rPr>
                <w:color w:val="auto"/>
                <w:highlight w:val="none"/>
              </w:rPr>
              <w:t>”</w:t>
            </w:r>
            <w:r>
              <w:rPr>
                <w:rFonts w:hint="eastAsia"/>
                <w:color w:val="auto"/>
                <w:highlight w:val="none"/>
              </w:rPr>
              <w:t>产品技术要</w:t>
            </w:r>
            <w:r>
              <w:rPr>
                <w:color w:val="auto"/>
                <w:highlight w:val="none"/>
              </w:rPr>
              <w:t>2</w:t>
            </w:r>
            <w:r>
              <w:rPr>
                <w:rFonts w:hint="eastAsia"/>
                <w:color w:val="auto"/>
                <w:highlight w:val="none"/>
              </w:rPr>
              <w:t>、</w:t>
            </w:r>
            <w:r>
              <w:rPr>
                <w:color w:val="auto"/>
                <w:highlight w:val="none"/>
              </w:rPr>
              <w:t>3</w:t>
            </w:r>
            <w:r>
              <w:rPr>
                <w:rFonts w:hint="eastAsia"/>
                <w:color w:val="auto"/>
                <w:highlight w:val="none"/>
              </w:rPr>
              <w:t>、</w:t>
            </w:r>
            <w:r>
              <w:rPr>
                <w:color w:val="auto"/>
                <w:highlight w:val="none"/>
              </w:rPr>
              <w:t>8</w:t>
            </w:r>
            <w:r>
              <w:rPr>
                <w:rFonts w:hint="eastAsia"/>
                <w:color w:val="auto"/>
                <w:highlight w:val="none"/>
              </w:rPr>
              <w:t>、</w:t>
            </w:r>
            <w:r>
              <w:rPr>
                <w:color w:val="auto"/>
                <w:highlight w:val="none"/>
              </w:rPr>
              <w:t>10</w:t>
            </w:r>
            <w:r>
              <w:rPr>
                <w:rFonts w:hint="eastAsia"/>
                <w:color w:val="auto"/>
                <w:highlight w:val="none"/>
              </w:rPr>
              <w:t>、</w:t>
            </w:r>
            <w:r>
              <w:rPr>
                <w:color w:val="auto"/>
                <w:highlight w:val="none"/>
              </w:rPr>
              <w:t>11</w:t>
            </w:r>
            <w:r>
              <w:rPr>
                <w:rFonts w:hint="eastAsia"/>
                <w:color w:val="auto"/>
                <w:highlight w:val="none"/>
              </w:rPr>
              <w:t>、</w:t>
            </w:r>
            <w:r>
              <w:rPr>
                <w:color w:val="auto"/>
                <w:highlight w:val="none"/>
              </w:rPr>
              <w:t>12</w:t>
            </w:r>
            <w:r>
              <w:rPr>
                <w:rFonts w:hint="eastAsia"/>
                <w:color w:val="auto"/>
                <w:highlight w:val="none"/>
              </w:rPr>
              <w:t>。</w:t>
            </w:r>
          </w:p>
          <w:p>
            <w:pPr>
              <w:rPr>
                <w:color w:val="auto"/>
                <w:highlight w:val="none"/>
              </w:rPr>
            </w:pPr>
            <w:r>
              <w:rPr>
                <w:color w:val="auto"/>
                <w:highlight w:val="none"/>
              </w:rPr>
              <w:t>3</w:t>
            </w:r>
            <w:r>
              <w:rPr>
                <w:rFonts w:hint="eastAsia"/>
                <w:color w:val="auto"/>
                <w:highlight w:val="none"/>
              </w:rPr>
              <w:t>、消火拴泵、喷淋泵、防烟和排烟风机等重要的消防设备除可采用总线编码模块进行控制外，还应在消防控制中心设置手动直接控制装置。</w:t>
            </w:r>
          </w:p>
          <w:p>
            <w:pPr>
              <w:rPr>
                <w:color w:val="auto"/>
                <w:highlight w:val="none"/>
              </w:rPr>
            </w:pPr>
            <w:r>
              <w:rPr>
                <w:color w:val="auto"/>
                <w:highlight w:val="none"/>
              </w:rPr>
              <w:t>4</w:t>
            </w:r>
            <w:r>
              <w:rPr>
                <w:rFonts w:hint="eastAsia"/>
                <w:color w:val="auto"/>
                <w:highlight w:val="none"/>
              </w:rPr>
              <w:t>、消防联动控制柜应能显示消防设备的手动、自动工作状态，以及运行、故障等信号。</w:t>
            </w:r>
          </w:p>
          <w:p>
            <w:pPr>
              <w:rPr>
                <w:color w:val="auto"/>
                <w:highlight w:val="none"/>
              </w:rPr>
            </w:pPr>
            <w:r>
              <w:rPr>
                <w:color w:val="auto"/>
                <w:highlight w:val="none"/>
              </w:rPr>
              <w:t>5</w:t>
            </w:r>
            <w:r>
              <w:rPr>
                <w:rFonts w:hint="eastAsia"/>
                <w:color w:val="auto"/>
                <w:highlight w:val="none"/>
              </w:rPr>
              <w:t>、切断有关非消防电源，接通应急照明电源，全部电梯降首层、降落防火卷帘、停空调送风机等。除由集中报警器经模块自动控制外，还可以在控制柜上手动触发，通过报警器经模块完成上述动作，并显示其状态。</w:t>
            </w:r>
          </w:p>
          <w:p>
            <w:pPr>
              <w:rPr>
                <w:color w:val="auto"/>
                <w:highlight w:val="none"/>
              </w:rPr>
            </w:pPr>
            <w:r>
              <w:rPr>
                <w:color w:val="auto"/>
                <w:highlight w:val="none"/>
              </w:rPr>
              <w:t>6</w:t>
            </w:r>
            <w:r>
              <w:rPr>
                <w:rFonts w:hint="eastAsia"/>
                <w:color w:val="auto"/>
                <w:highlight w:val="none"/>
              </w:rPr>
              <w:t>、消防联动控制柜必须选用深圳市消防局认可的，且通过国家型式检验的标准定型联动柜。</w:t>
            </w:r>
          </w:p>
          <w:p>
            <w:pPr>
              <w:rPr>
                <w:color w:val="auto"/>
                <w:highlight w:val="none"/>
              </w:rPr>
            </w:pPr>
            <w:r>
              <w:rPr>
                <w:color w:val="auto"/>
                <w:highlight w:val="none"/>
              </w:rPr>
              <w:t>7</w:t>
            </w:r>
            <w:r>
              <w:rPr>
                <w:rFonts w:hint="eastAsia"/>
                <w:color w:val="auto"/>
                <w:highlight w:val="none"/>
              </w:rPr>
              <w:t>、联动控制要求可参见设计院设计图纸。</w:t>
            </w:r>
          </w:p>
          <w:p>
            <w:pPr>
              <w:rPr>
                <w:color w:val="auto"/>
                <w:highlight w:val="none"/>
              </w:rPr>
            </w:pPr>
            <w:r>
              <w:rPr>
                <w:color w:val="auto"/>
                <w:highlight w:val="none"/>
              </w:rPr>
              <w:t>8</w:t>
            </w:r>
            <w:r>
              <w:rPr>
                <w:rFonts w:hint="eastAsia"/>
                <w:color w:val="auto"/>
                <w:highlight w:val="none"/>
              </w:rPr>
              <w:t>、制造商在深圳地区设有完善的售后服务机构。</w:t>
            </w:r>
          </w:p>
        </w:tc>
        <w:tc>
          <w:tcPr>
            <w:tcW w:w="95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rPr>
                <w:color w:val="auto"/>
                <w:highlight w:val="none"/>
              </w:rPr>
            </w:pPr>
          </w:p>
        </w:tc>
      </w:tr>
      <w:tr>
        <w:tblPrEx>
          <w:tblCellMar>
            <w:top w:w="0" w:type="dxa"/>
            <w:left w:w="108" w:type="dxa"/>
            <w:bottom w:w="0" w:type="dxa"/>
            <w:right w:w="108" w:type="dxa"/>
          </w:tblCellMar>
        </w:tblPrEx>
        <w:trPr>
          <w:trHeight w:val="567"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rFonts w:hint="eastAsia"/>
                <w:color w:val="auto"/>
                <w:highlight w:val="none"/>
              </w:rPr>
              <w:t>电脑（含打印机）</w:t>
            </w:r>
          </w:p>
        </w:tc>
        <w:tc>
          <w:tcPr>
            <w:tcW w:w="71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rFonts w:hint="eastAsia"/>
                <w:color w:val="auto"/>
                <w:highlight w:val="none"/>
              </w:rPr>
              <w:t>选择品牌机英特尔</w:t>
            </w:r>
            <w:r>
              <w:rPr>
                <w:color w:val="auto"/>
                <w:highlight w:val="none"/>
              </w:rPr>
              <w:t>® </w:t>
            </w:r>
            <w:r>
              <w:rPr>
                <w:rFonts w:hint="eastAsia"/>
                <w:color w:val="auto"/>
                <w:highlight w:val="none"/>
              </w:rPr>
              <w:t>双核处理器</w:t>
            </w:r>
            <w:r>
              <w:rPr>
                <w:color w:val="auto"/>
                <w:highlight w:val="none"/>
              </w:rPr>
              <w:t>820(2.8GHz, 800MHz</w:t>
            </w:r>
            <w:r>
              <w:rPr>
                <w:rFonts w:hint="eastAsia"/>
                <w:color w:val="auto"/>
                <w:highlight w:val="none"/>
              </w:rPr>
              <w:t>前端总线</w:t>
            </w:r>
            <w:r>
              <w:rPr>
                <w:color w:val="auto"/>
                <w:highlight w:val="none"/>
              </w:rPr>
              <w:t>, 2MB</w:t>
            </w:r>
            <w:r>
              <w:rPr>
                <w:rFonts w:hint="eastAsia"/>
                <w:color w:val="auto"/>
                <w:highlight w:val="none"/>
              </w:rPr>
              <w:t>缓存</w:t>
            </w:r>
            <w:r>
              <w:rPr>
                <w:color w:val="auto"/>
                <w:highlight w:val="none"/>
              </w:rPr>
              <w:t>)  </w:t>
            </w:r>
            <w:r>
              <w:rPr>
                <w:rFonts w:hint="eastAsia"/>
                <w:color w:val="auto"/>
                <w:highlight w:val="none"/>
              </w:rPr>
              <w:t>规格</w:t>
            </w:r>
            <w:r>
              <w:rPr>
                <w:color w:val="auto"/>
                <w:highlight w:val="none"/>
              </w:rPr>
              <w:t xml:space="preserve"> - </w:t>
            </w:r>
            <w:r>
              <w:rPr>
                <w:rFonts w:hint="eastAsia"/>
                <w:color w:val="auto"/>
                <w:highlight w:val="none"/>
              </w:rPr>
              <w:t>处理器，硬盘不小于</w:t>
            </w:r>
            <w:r>
              <w:rPr>
                <w:color w:val="auto"/>
                <w:highlight w:val="none"/>
              </w:rPr>
              <w:t>160G</w:t>
            </w:r>
            <w:r>
              <w:rPr>
                <w:rFonts w:hint="eastAsia"/>
                <w:color w:val="auto"/>
                <w:highlight w:val="none"/>
              </w:rPr>
              <w:t>、内存不小于</w:t>
            </w:r>
            <w:r>
              <w:rPr>
                <w:color w:val="auto"/>
                <w:highlight w:val="none"/>
              </w:rPr>
              <w:t>1G</w:t>
            </w:r>
            <w:r>
              <w:rPr>
                <w:rFonts w:hint="eastAsia"/>
                <w:color w:val="auto"/>
                <w:highlight w:val="none"/>
              </w:rPr>
              <w:t>，</w:t>
            </w:r>
            <w:r>
              <w:rPr>
                <w:color w:val="auto"/>
                <w:highlight w:val="none"/>
              </w:rPr>
              <w:t>19</w:t>
            </w:r>
            <w:r>
              <w:rPr>
                <w:rFonts w:hint="eastAsia"/>
                <w:color w:val="auto"/>
                <w:highlight w:val="none"/>
              </w:rPr>
              <w:t>寸液晶显示器，并配有独立的</w:t>
            </w:r>
            <w:r>
              <w:rPr>
                <w:color w:val="auto"/>
                <w:highlight w:val="none"/>
              </w:rPr>
              <w:t>UPS</w:t>
            </w:r>
            <w:r>
              <w:rPr>
                <w:rFonts w:hint="eastAsia"/>
                <w:color w:val="auto"/>
                <w:highlight w:val="none"/>
              </w:rPr>
              <w:t>电源。键盘，光电鼠标操作。要求预装微软最新操作系统，并且配备</w:t>
            </w:r>
            <w:r>
              <w:rPr>
                <w:color w:val="auto"/>
                <w:highlight w:val="none"/>
              </w:rPr>
              <w:t>A3</w:t>
            </w:r>
            <w:r>
              <w:rPr>
                <w:rFonts w:hint="eastAsia"/>
                <w:color w:val="auto"/>
                <w:highlight w:val="none"/>
              </w:rPr>
              <w:t>打印机一部。</w:t>
            </w:r>
            <w:r>
              <w:rPr>
                <w:color w:val="auto"/>
                <w:highlight w:val="none"/>
              </w:rPr>
              <w:t>(</w:t>
            </w:r>
            <w:r>
              <w:rPr>
                <w:rFonts w:hint="eastAsia"/>
                <w:color w:val="auto"/>
                <w:highlight w:val="none"/>
              </w:rPr>
              <w:t>不得采用喷墨式</w:t>
            </w:r>
            <w:r>
              <w:rPr>
                <w:color w:val="auto"/>
                <w:highlight w:val="none"/>
              </w:rPr>
              <w:t>)</w:t>
            </w:r>
          </w:p>
        </w:tc>
        <w:tc>
          <w:tcPr>
            <w:tcW w:w="95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rPr>
                <w:color w:val="auto"/>
                <w:highlight w:val="none"/>
              </w:rPr>
            </w:pPr>
          </w:p>
        </w:tc>
      </w:tr>
      <w:tr>
        <w:tblPrEx>
          <w:tblCellMar>
            <w:top w:w="0" w:type="dxa"/>
            <w:left w:w="108" w:type="dxa"/>
            <w:bottom w:w="0" w:type="dxa"/>
            <w:right w:w="108" w:type="dxa"/>
          </w:tblCellMar>
        </w:tblPrEx>
        <w:trPr>
          <w:trHeight w:val="567"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rFonts w:hint="eastAsia"/>
                <w:color w:val="auto"/>
                <w:highlight w:val="none"/>
              </w:rPr>
              <w:t>电线</w:t>
            </w:r>
          </w:p>
        </w:tc>
        <w:tc>
          <w:tcPr>
            <w:tcW w:w="71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rFonts w:hint="eastAsia"/>
                <w:color w:val="auto"/>
                <w:highlight w:val="none"/>
              </w:rPr>
              <w:t>符合</w:t>
            </w:r>
            <w:r>
              <w:rPr>
                <w:color w:val="auto"/>
                <w:highlight w:val="none"/>
              </w:rPr>
              <w:t>GB/T12706</w:t>
            </w:r>
            <w:r>
              <w:rPr>
                <w:rFonts w:hint="eastAsia"/>
                <w:color w:val="auto"/>
                <w:highlight w:val="none"/>
              </w:rPr>
              <w:t>、</w:t>
            </w:r>
            <w:r>
              <w:rPr>
                <w:color w:val="auto"/>
                <w:highlight w:val="none"/>
              </w:rPr>
              <w:t>GB12666</w:t>
            </w:r>
            <w:r>
              <w:rPr>
                <w:rFonts w:hint="eastAsia"/>
                <w:color w:val="auto"/>
                <w:highlight w:val="none"/>
              </w:rPr>
              <w:t>等中国国家标准。</w:t>
            </w:r>
          </w:p>
          <w:p>
            <w:pPr>
              <w:rPr>
                <w:color w:val="auto"/>
                <w:highlight w:val="none"/>
              </w:rPr>
            </w:pPr>
            <w:r>
              <w:rPr>
                <w:rFonts w:hint="eastAsia"/>
                <w:color w:val="auto"/>
                <w:highlight w:val="none"/>
              </w:rPr>
              <w:t>电线、电缆的生产厂应有主管部门颁发的生产许可证。</w:t>
            </w:r>
          </w:p>
          <w:p>
            <w:pPr>
              <w:rPr>
                <w:color w:val="auto"/>
                <w:highlight w:val="none"/>
              </w:rPr>
            </w:pPr>
            <w:r>
              <w:rPr>
                <w:rFonts w:hint="eastAsia"/>
                <w:color w:val="auto"/>
                <w:highlight w:val="none"/>
              </w:rPr>
              <w:t>电线、电缆应有国家认可的质量检测机构出具的检验合格报告</w:t>
            </w:r>
          </w:p>
          <w:p>
            <w:pPr>
              <w:rPr>
                <w:color w:val="auto"/>
                <w:highlight w:val="none"/>
              </w:rPr>
            </w:pPr>
            <w:r>
              <w:rPr>
                <w:rFonts w:hint="eastAsia"/>
                <w:color w:val="auto"/>
                <w:highlight w:val="none"/>
              </w:rPr>
              <w:t>和</w:t>
            </w:r>
            <w:r>
              <w:rPr>
                <w:color w:val="auto"/>
                <w:highlight w:val="none"/>
              </w:rPr>
              <w:t>“3C”</w:t>
            </w:r>
            <w:r>
              <w:rPr>
                <w:rFonts w:hint="eastAsia"/>
                <w:color w:val="auto"/>
                <w:highlight w:val="none"/>
              </w:rPr>
              <w:t>认证。</w:t>
            </w:r>
          </w:p>
          <w:p>
            <w:pPr>
              <w:rPr>
                <w:color w:val="auto"/>
                <w:highlight w:val="none"/>
              </w:rPr>
            </w:pPr>
            <w:r>
              <w:rPr>
                <w:rFonts w:hint="eastAsia"/>
                <w:color w:val="auto"/>
                <w:highlight w:val="none"/>
              </w:rPr>
              <w:t>阻燃电缆、耐火电缆应通过国家级相关质量监督检验机构的型式认可检验。</w:t>
            </w:r>
          </w:p>
          <w:p>
            <w:pPr>
              <w:rPr>
                <w:color w:val="auto"/>
                <w:highlight w:val="none"/>
              </w:rPr>
            </w:pPr>
            <w:r>
              <w:rPr>
                <w:rFonts w:hint="eastAsia"/>
                <w:color w:val="auto"/>
                <w:highlight w:val="none"/>
              </w:rPr>
              <w:t>选用电线、电缆型号及制造厂必须在深圳市有良好的安装和运行业绩。</w:t>
            </w:r>
          </w:p>
          <w:p>
            <w:pPr>
              <w:rPr>
                <w:color w:val="auto"/>
                <w:highlight w:val="none"/>
              </w:rPr>
            </w:pPr>
            <w:r>
              <w:rPr>
                <w:rFonts w:hint="eastAsia"/>
                <w:color w:val="auto"/>
                <w:highlight w:val="none"/>
              </w:rPr>
              <w:t>电缆盘上应表明电缆型号、规格、电压等级、长度及出厂日期。并与产品合格证相符。电缆盘应完好无损。</w:t>
            </w:r>
          </w:p>
          <w:p>
            <w:pPr>
              <w:rPr>
                <w:color w:val="auto"/>
                <w:highlight w:val="none"/>
              </w:rPr>
            </w:pPr>
            <w:r>
              <w:rPr>
                <w:rFonts w:hint="eastAsia"/>
                <w:color w:val="auto"/>
                <w:highlight w:val="none"/>
              </w:rPr>
              <w:t>采用优质铜材，含铜量不低于</w:t>
            </w:r>
            <w:r>
              <w:rPr>
                <w:color w:val="auto"/>
                <w:highlight w:val="none"/>
              </w:rPr>
              <w:t>99.99%</w:t>
            </w:r>
            <w:r>
              <w:rPr>
                <w:rFonts w:hint="eastAsia"/>
                <w:color w:val="auto"/>
                <w:highlight w:val="none"/>
              </w:rPr>
              <w:t>。</w:t>
            </w:r>
          </w:p>
          <w:p>
            <w:pPr>
              <w:rPr>
                <w:color w:val="auto"/>
                <w:highlight w:val="none"/>
              </w:rPr>
            </w:pPr>
            <w:r>
              <w:rPr>
                <w:rFonts w:hint="eastAsia"/>
                <w:color w:val="auto"/>
                <w:highlight w:val="none"/>
              </w:rPr>
              <w:t>电线、电缆的绝缘材料必须符合电压等级和设计要求。</w:t>
            </w:r>
          </w:p>
          <w:p>
            <w:pPr>
              <w:rPr>
                <w:color w:val="auto"/>
                <w:highlight w:val="none"/>
              </w:rPr>
            </w:pPr>
            <w:r>
              <w:rPr>
                <w:rFonts w:hint="eastAsia"/>
                <w:color w:val="auto"/>
                <w:highlight w:val="none"/>
              </w:rPr>
              <w:t>生产厂家注册资金不低于</w:t>
            </w:r>
            <w:r>
              <w:rPr>
                <w:color w:val="auto"/>
                <w:highlight w:val="none"/>
              </w:rPr>
              <w:t>1000</w:t>
            </w:r>
            <w:r>
              <w:rPr>
                <w:rFonts w:hint="eastAsia"/>
                <w:color w:val="auto"/>
                <w:highlight w:val="none"/>
              </w:rPr>
              <w:t>万元。通过</w:t>
            </w:r>
            <w:r>
              <w:rPr>
                <w:color w:val="auto"/>
                <w:highlight w:val="none"/>
              </w:rPr>
              <w:t>2000</w:t>
            </w:r>
            <w:r>
              <w:rPr>
                <w:rFonts w:hint="eastAsia"/>
                <w:color w:val="auto"/>
                <w:highlight w:val="none"/>
              </w:rPr>
              <w:t>版</w:t>
            </w:r>
            <w:r>
              <w:rPr>
                <w:color w:val="auto"/>
                <w:highlight w:val="none"/>
              </w:rPr>
              <w:t>ISO9000</w:t>
            </w:r>
            <w:r>
              <w:rPr>
                <w:rFonts w:hint="eastAsia"/>
                <w:color w:val="auto"/>
                <w:highlight w:val="none"/>
              </w:rPr>
              <w:t>系列质量体系认证。</w:t>
            </w:r>
          </w:p>
          <w:p>
            <w:pPr>
              <w:rPr>
                <w:color w:val="auto"/>
                <w:highlight w:val="none"/>
              </w:rPr>
            </w:pPr>
            <w:r>
              <w:rPr>
                <w:rFonts w:hint="eastAsia"/>
                <w:color w:val="auto"/>
                <w:highlight w:val="none"/>
              </w:rPr>
              <w:t>电缆终端头应是定型产品，附件齐全，封套必须与电缆规格尺寸匹配，应紧裹电缆及其各条导线。套管应完好无损，不得有裂纹和损伤，并应有合格证和实验数据纪录。</w:t>
            </w:r>
          </w:p>
          <w:p>
            <w:pPr>
              <w:rPr>
                <w:color w:val="auto"/>
                <w:highlight w:val="none"/>
              </w:rPr>
            </w:pPr>
            <w:r>
              <w:rPr>
                <w:rFonts w:hint="eastAsia"/>
                <w:color w:val="auto"/>
                <w:highlight w:val="none"/>
              </w:rPr>
              <w:t>电缆芯线和电线绝缘层的颜色必须满足以下要求：</w:t>
            </w:r>
          </w:p>
          <w:p>
            <w:pPr>
              <w:rPr>
                <w:color w:val="auto"/>
                <w:highlight w:val="none"/>
              </w:rPr>
            </w:pPr>
            <w:r>
              <w:rPr>
                <w:rFonts w:hint="eastAsia"/>
                <w:color w:val="auto"/>
                <w:highlight w:val="none"/>
              </w:rPr>
              <w:t>相线：黄、绿、红；零线：淡蓝；地线：黄</w:t>
            </w:r>
            <w:r>
              <w:rPr>
                <w:color w:val="auto"/>
                <w:highlight w:val="none"/>
              </w:rPr>
              <w:t>/</w:t>
            </w:r>
            <w:r>
              <w:rPr>
                <w:rFonts w:hint="eastAsia"/>
                <w:color w:val="auto"/>
                <w:highlight w:val="none"/>
              </w:rPr>
              <w:t>绿；控制线：白</w:t>
            </w:r>
          </w:p>
        </w:tc>
        <w:tc>
          <w:tcPr>
            <w:tcW w:w="95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rPr>
                <w:color w:val="auto"/>
                <w:highlight w:val="none"/>
              </w:rPr>
            </w:pPr>
          </w:p>
        </w:tc>
      </w:tr>
      <w:tr>
        <w:tblPrEx>
          <w:tblCellMar>
            <w:top w:w="0" w:type="dxa"/>
            <w:left w:w="108" w:type="dxa"/>
            <w:bottom w:w="0" w:type="dxa"/>
            <w:right w:w="108" w:type="dxa"/>
          </w:tblCellMar>
        </w:tblPrEx>
        <w:trPr>
          <w:trHeight w:val="567"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rFonts w:hint="eastAsia"/>
                <w:color w:val="auto"/>
                <w:highlight w:val="none"/>
              </w:rPr>
              <w:t>金属线槽</w:t>
            </w:r>
          </w:p>
        </w:tc>
        <w:tc>
          <w:tcPr>
            <w:tcW w:w="71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color w:val="auto"/>
                <w:highlight w:val="none"/>
              </w:rPr>
              <w:t>1</w:t>
            </w:r>
            <w:r>
              <w:rPr>
                <w:rFonts w:hint="eastAsia"/>
                <w:color w:val="auto"/>
                <w:highlight w:val="none"/>
              </w:rPr>
              <w:t>、符合</w:t>
            </w:r>
            <w:r>
              <w:rPr>
                <w:color w:val="auto"/>
                <w:highlight w:val="none"/>
              </w:rPr>
              <w:t>JB/T10216</w:t>
            </w:r>
            <w:r>
              <w:rPr>
                <w:rFonts w:hint="eastAsia"/>
                <w:color w:val="auto"/>
                <w:highlight w:val="none"/>
              </w:rPr>
              <w:t>、</w:t>
            </w:r>
            <w:r>
              <w:rPr>
                <w:color w:val="auto"/>
                <w:highlight w:val="none"/>
              </w:rPr>
              <w:t>CECS31</w:t>
            </w:r>
            <w:r>
              <w:rPr>
                <w:rFonts w:hint="eastAsia"/>
                <w:color w:val="auto"/>
                <w:highlight w:val="none"/>
              </w:rPr>
              <w:t>等标准要求。</w:t>
            </w:r>
          </w:p>
          <w:p>
            <w:pPr>
              <w:rPr>
                <w:color w:val="auto"/>
                <w:highlight w:val="none"/>
              </w:rPr>
            </w:pPr>
            <w:r>
              <w:rPr>
                <w:color w:val="auto"/>
                <w:highlight w:val="none"/>
              </w:rPr>
              <w:t>2</w:t>
            </w:r>
            <w:r>
              <w:rPr>
                <w:rFonts w:hint="eastAsia"/>
                <w:color w:val="auto"/>
                <w:highlight w:val="none"/>
              </w:rPr>
              <w:t>、电缆桥架应在工厂加工完成后在运抵施工现场，尽可能减少在工地切割桥架，严禁在工地加工、制作水平弯、垂直弯以及分支接头等桥架的连接。</w:t>
            </w:r>
          </w:p>
          <w:p>
            <w:pPr>
              <w:rPr>
                <w:color w:val="auto"/>
                <w:highlight w:val="none"/>
              </w:rPr>
            </w:pPr>
            <w:r>
              <w:rPr>
                <w:color w:val="auto"/>
                <w:highlight w:val="none"/>
              </w:rPr>
              <w:t>3</w:t>
            </w:r>
            <w:r>
              <w:rPr>
                <w:rFonts w:hint="eastAsia"/>
                <w:color w:val="auto"/>
                <w:highlight w:val="none"/>
              </w:rPr>
              <w:t>、电缆桥架的膨胀节必须使用制造厂生产的标准伸缩接合板。</w:t>
            </w:r>
          </w:p>
          <w:p>
            <w:pPr>
              <w:rPr>
                <w:color w:val="auto"/>
                <w:highlight w:val="none"/>
              </w:rPr>
            </w:pPr>
            <w:r>
              <w:rPr>
                <w:color w:val="auto"/>
                <w:highlight w:val="none"/>
              </w:rPr>
              <w:t>4</w:t>
            </w:r>
            <w:r>
              <w:rPr>
                <w:rFonts w:hint="eastAsia"/>
                <w:color w:val="auto"/>
                <w:highlight w:val="none"/>
              </w:rPr>
              <w:t>、电缆梯架须由热浸镀锌低碳钢制作。电缆梯架的两条边框至少必须为</w:t>
            </w:r>
            <w:r>
              <w:rPr>
                <w:color w:val="auto"/>
                <w:highlight w:val="none"/>
              </w:rPr>
              <w:t>40</w:t>
            </w:r>
            <w:r>
              <w:rPr>
                <w:rFonts w:hint="eastAsia"/>
                <w:color w:val="auto"/>
                <w:highlight w:val="none"/>
              </w:rPr>
              <w:t>㎜宽的顶缘卷边以增加强度。梯级的中心间隔约为</w:t>
            </w:r>
            <w:r>
              <w:rPr>
                <w:color w:val="auto"/>
                <w:highlight w:val="none"/>
              </w:rPr>
              <w:t>300</w:t>
            </w:r>
            <w:r>
              <w:rPr>
                <w:rFonts w:hint="eastAsia"/>
                <w:color w:val="auto"/>
                <w:highlight w:val="none"/>
              </w:rPr>
              <w:t>㎜，并具一定的宽度以用不同的方法固定电缆，包括尼龙带扣、鞍行夹、冲孔带、电缆夹等。</w:t>
            </w:r>
          </w:p>
          <w:p>
            <w:pPr>
              <w:rPr>
                <w:color w:val="auto"/>
                <w:highlight w:val="none"/>
              </w:rPr>
            </w:pPr>
            <w:r>
              <w:rPr>
                <w:color w:val="auto"/>
                <w:highlight w:val="none"/>
              </w:rPr>
              <w:t>5</w:t>
            </w:r>
            <w:r>
              <w:rPr>
                <w:rFonts w:hint="eastAsia"/>
                <w:color w:val="auto"/>
                <w:highlight w:val="none"/>
              </w:rPr>
              <w:t>、电缆托盘须由低碳钢制作。在托盘制作完成并冲孔后，再进行热浸镀锌或进行喷粉烘考处理。</w:t>
            </w:r>
          </w:p>
          <w:p>
            <w:pPr>
              <w:rPr>
                <w:color w:val="auto"/>
                <w:highlight w:val="none"/>
              </w:rPr>
            </w:pPr>
            <w:r>
              <w:rPr>
                <w:color w:val="auto"/>
                <w:highlight w:val="none"/>
              </w:rPr>
              <w:t>6</w:t>
            </w:r>
            <w:r>
              <w:rPr>
                <w:rFonts w:hint="eastAsia"/>
                <w:color w:val="auto"/>
                <w:highlight w:val="none"/>
              </w:rPr>
              <w:t>、金属线槽必须用镀锌钢板制作，其最小长度为</w:t>
            </w:r>
            <w:r>
              <w:rPr>
                <w:color w:val="auto"/>
                <w:highlight w:val="none"/>
              </w:rPr>
              <w:t>2</w:t>
            </w:r>
            <w:r>
              <w:rPr>
                <w:rFonts w:hint="eastAsia"/>
                <w:color w:val="auto"/>
                <w:highlight w:val="none"/>
              </w:rPr>
              <w:t>米。金属线槽内外应无毛刺，配件应齐全。金属线槽镀锌钢板的厚度不应小于下列数值：</w:t>
            </w:r>
            <w:r>
              <w:rPr>
                <w:color w:val="auto"/>
                <w:highlight w:val="none"/>
              </w:rPr>
              <w:t xml:space="preserve">  </w:t>
            </w:r>
            <w:r>
              <w:rPr>
                <w:rFonts w:hint="eastAsia"/>
                <w:color w:val="auto"/>
                <w:highlight w:val="none"/>
              </w:rPr>
              <w:t>标称尺（㎜）</w:t>
            </w:r>
            <w:r>
              <w:rPr>
                <w:color w:val="auto"/>
                <w:highlight w:val="none"/>
              </w:rPr>
              <w:t xml:space="preserve">                        </w:t>
            </w:r>
            <w:r>
              <w:rPr>
                <w:rFonts w:hint="eastAsia"/>
                <w:color w:val="auto"/>
                <w:highlight w:val="none"/>
              </w:rPr>
              <w:t>最小厚度（㎜）</w:t>
            </w:r>
          </w:p>
          <w:p>
            <w:pPr>
              <w:rPr>
                <w:color w:val="auto"/>
                <w:highlight w:val="none"/>
              </w:rPr>
            </w:pPr>
            <w:r>
              <w:rPr>
                <w:color w:val="auto"/>
                <w:highlight w:val="none"/>
              </w:rPr>
              <w:t>50  75</w:t>
            </w:r>
            <w:r>
              <w:rPr>
                <w:rFonts w:hint="eastAsia"/>
                <w:color w:val="auto"/>
                <w:highlight w:val="none"/>
              </w:rPr>
              <w:t>×</w:t>
            </w:r>
            <w:r>
              <w:rPr>
                <w:color w:val="auto"/>
                <w:highlight w:val="none"/>
              </w:rPr>
              <w:t>50                             1.2</w:t>
            </w:r>
          </w:p>
          <w:p>
            <w:pPr>
              <w:rPr>
                <w:color w:val="auto"/>
                <w:highlight w:val="none"/>
              </w:rPr>
            </w:pPr>
            <w:r>
              <w:rPr>
                <w:color w:val="auto"/>
                <w:highlight w:val="none"/>
              </w:rPr>
              <w:t>75</w:t>
            </w:r>
            <w:r>
              <w:rPr>
                <w:rFonts w:hint="eastAsia"/>
                <w:color w:val="auto"/>
                <w:highlight w:val="none"/>
              </w:rPr>
              <w:t>×</w:t>
            </w:r>
            <w:r>
              <w:rPr>
                <w:color w:val="auto"/>
                <w:highlight w:val="none"/>
              </w:rPr>
              <w:t>75                                 1.2</w:t>
            </w:r>
          </w:p>
          <w:p>
            <w:pPr>
              <w:rPr>
                <w:color w:val="auto"/>
                <w:highlight w:val="none"/>
              </w:rPr>
            </w:pPr>
            <w:r>
              <w:rPr>
                <w:color w:val="auto"/>
                <w:highlight w:val="none"/>
              </w:rPr>
              <w:t>100</w:t>
            </w:r>
            <w:r>
              <w:rPr>
                <w:rFonts w:hint="eastAsia"/>
                <w:color w:val="auto"/>
                <w:highlight w:val="none"/>
              </w:rPr>
              <w:t>×</w:t>
            </w:r>
            <w:r>
              <w:rPr>
                <w:color w:val="auto"/>
                <w:highlight w:val="none"/>
              </w:rPr>
              <w:t>75                                1.2</w:t>
            </w:r>
          </w:p>
          <w:p>
            <w:pPr>
              <w:rPr>
                <w:color w:val="auto"/>
                <w:highlight w:val="none"/>
              </w:rPr>
            </w:pPr>
            <w:r>
              <w:rPr>
                <w:color w:val="auto"/>
                <w:highlight w:val="none"/>
              </w:rPr>
              <w:t>100</w:t>
            </w:r>
            <w:r>
              <w:rPr>
                <w:rFonts w:hint="eastAsia"/>
                <w:color w:val="auto"/>
                <w:highlight w:val="none"/>
              </w:rPr>
              <w:t>×</w:t>
            </w:r>
            <w:r>
              <w:rPr>
                <w:color w:val="auto"/>
                <w:highlight w:val="none"/>
              </w:rPr>
              <w:t>100                               1.4</w:t>
            </w:r>
          </w:p>
          <w:p>
            <w:pPr>
              <w:rPr>
                <w:color w:val="auto"/>
                <w:highlight w:val="none"/>
              </w:rPr>
            </w:pPr>
            <w:r>
              <w:rPr>
                <w:color w:val="auto"/>
                <w:highlight w:val="none"/>
              </w:rPr>
              <w:t>150</w:t>
            </w:r>
            <w:r>
              <w:rPr>
                <w:rFonts w:hint="eastAsia"/>
                <w:color w:val="auto"/>
                <w:highlight w:val="none"/>
              </w:rPr>
              <w:t>×</w:t>
            </w:r>
            <w:r>
              <w:rPr>
                <w:color w:val="auto"/>
                <w:highlight w:val="none"/>
              </w:rPr>
              <w:t>100                               1.4</w:t>
            </w:r>
          </w:p>
          <w:p>
            <w:pPr>
              <w:rPr>
                <w:color w:val="auto"/>
                <w:highlight w:val="none"/>
              </w:rPr>
            </w:pPr>
            <w:r>
              <w:rPr>
                <w:color w:val="auto"/>
                <w:highlight w:val="none"/>
              </w:rPr>
              <w:t>150</w:t>
            </w:r>
            <w:r>
              <w:rPr>
                <w:rFonts w:hint="eastAsia"/>
                <w:color w:val="auto"/>
                <w:highlight w:val="none"/>
              </w:rPr>
              <w:t>×</w:t>
            </w:r>
            <w:r>
              <w:rPr>
                <w:color w:val="auto"/>
                <w:highlight w:val="none"/>
              </w:rPr>
              <w:t>150                               1.6</w:t>
            </w:r>
          </w:p>
          <w:p>
            <w:pPr>
              <w:rPr>
                <w:color w:val="auto"/>
                <w:highlight w:val="none"/>
              </w:rPr>
            </w:pPr>
            <w:r>
              <w:rPr>
                <w:color w:val="auto"/>
                <w:highlight w:val="none"/>
              </w:rPr>
              <w:t>7</w:t>
            </w:r>
            <w:r>
              <w:rPr>
                <w:rFonts w:hint="eastAsia"/>
                <w:color w:val="auto"/>
                <w:highlight w:val="none"/>
              </w:rPr>
              <w:t>、电缆托盘尺寸与板材厚度的关系如下：</w:t>
            </w:r>
          </w:p>
          <w:p>
            <w:pPr>
              <w:rPr>
                <w:color w:val="auto"/>
                <w:highlight w:val="none"/>
              </w:rPr>
            </w:pPr>
            <w:r>
              <w:rPr>
                <w:rFonts w:hint="eastAsia"/>
                <w:color w:val="auto"/>
                <w:highlight w:val="none"/>
              </w:rPr>
              <w:t>托盘宽度（㎜）</w:t>
            </w:r>
            <w:r>
              <w:rPr>
                <w:color w:val="auto"/>
                <w:highlight w:val="none"/>
              </w:rPr>
              <w:t xml:space="preserve">   </w:t>
            </w:r>
            <w:r>
              <w:rPr>
                <w:rFonts w:hint="eastAsia"/>
                <w:color w:val="auto"/>
                <w:highlight w:val="none"/>
              </w:rPr>
              <w:t>卷边宽度（㎜）</w:t>
            </w:r>
            <w:r>
              <w:rPr>
                <w:color w:val="auto"/>
                <w:highlight w:val="none"/>
              </w:rPr>
              <w:t xml:space="preserve"> </w:t>
            </w:r>
            <w:r>
              <w:rPr>
                <w:rFonts w:hint="eastAsia"/>
                <w:color w:val="auto"/>
                <w:highlight w:val="none"/>
              </w:rPr>
              <w:t>板材厚度（㎜）</w:t>
            </w:r>
          </w:p>
          <w:p>
            <w:pPr>
              <w:rPr>
                <w:color w:val="auto"/>
                <w:highlight w:val="none"/>
              </w:rPr>
            </w:pPr>
            <w:r>
              <w:rPr>
                <w:color w:val="auto"/>
                <w:highlight w:val="none"/>
              </w:rPr>
              <w:t>50             13                  1.6</w:t>
            </w:r>
          </w:p>
          <w:p>
            <w:pPr>
              <w:rPr>
                <w:color w:val="auto"/>
                <w:highlight w:val="none"/>
              </w:rPr>
            </w:pPr>
            <w:r>
              <w:rPr>
                <w:color w:val="auto"/>
                <w:highlight w:val="none"/>
              </w:rPr>
              <w:t>100            13                  1.6</w:t>
            </w:r>
          </w:p>
          <w:p>
            <w:pPr>
              <w:rPr>
                <w:color w:val="auto"/>
                <w:highlight w:val="none"/>
              </w:rPr>
            </w:pPr>
            <w:r>
              <w:rPr>
                <w:color w:val="auto"/>
                <w:highlight w:val="none"/>
              </w:rPr>
              <w:t>150            13                  1.6</w:t>
            </w:r>
          </w:p>
          <w:p>
            <w:pPr>
              <w:rPr>
                <w:color w:val="auto"/>
                <w:highlight w:val="none"/>
              </w:rPr>
            </w:pPr>
            <w:r>
              <w:rPr>
                <w:color w:val="auto"/>
                <w:highlight w:val="none"/>
              </w:rPr>
              <w:t>300            19                  1.6</w:t>
            </w:r>
          </w:p>
          <w:p>
            <w:pPr>
              <w:rPr>
                <w:color w:val="auto"/>
                <w:highlight w:val="none"/>
              </w:rPr>
            </w:pPr>
            <w:r>
              <w:rPr>
                <w:color w:val="auto"/>
                <w:highlight w:val="none"/>
              </w:rPr>
              <w:t>450            19                  2.0</w:t>
            </w:r>
          </w:p>
          <w:p>
            <w:pPr>
              <w:rPr>
                <w:color w:val="auto"/>
                <w:highlight w:val="none"/>
              </w:rPr>
            </w:pPr>
            <w:r>
              <w:rPr>
                <w:color w:val="auto"/>
                <w:highlight w:val="none"/>
              </w:rPr>
              <w:t>600            19                  2.0</w:t>
            </w:r>
          </w:p>
          <w:p>
            <w:pPr>
              <w:rPr>
                <w:color w:val="auto"/>
                <w:highlight w:val="none"/>
              </w:rPr>
            </w:pPr>
            <w:r>
              <w:rPr>
                <w:color w:val="auto"/>
                <w:highlight w:val="none"/>
              </w:rPr>
              <w:t>750            19                  2.0</w:t>
            </w:r>
          </w:p>
          <w:p>
            <w:pPr>
              <w:rPr>
                <w:color w:val="auto"/>
                <w:highlight w:val="none"/>
              </w:rPr>
            </w:pPr>
            <w:r>
              <w:rPr>
                <w:color w:val="auto"/>
                <w:highlight w:val="none"/>
              </w:rPr>
              <w:t>900            19                  2.0</w:t>
            </w:r>
          </w:p>
          <w:p>
            <w:pPr>
              <w:rPr>
                <w:color w:val="auto"/>
                <w:highlight w:val="none"/>
              </w:rPr>
            </w:pPr>
            <w:r>
              <w:rPr>
                <w:color w:val="auto"/>
                <w:highlight w:val="none"/>
              </w:rPr>
              <w:t>8</w:t>
            </w:r>
            <w:r>
              <w:rPr>
                <w:rFonts w:hint="eastAsia"/>
                <w:color w:val="auto"/>
                <w:highlight w:val="none"/>
              </w:rPr>
              <w:t>、所有电缆桥架和金属线槽都必须加装盖板，并配置锁扣。</w:t>
            </w:r>
          </w:p>
          <w:p>
            <w:pPr>
              <w:rPr>
                <w:color w:val="auto"/>
                <w:highlight w:val="none"/>
              </w:rPr>
            </w:pPr>
            <w:r>
              <w:rPr>
                <w:color w:val="auto"/>
                <w:highlight w:val="none"/>
              </w:rPr>
              <w:t>9</w:t>
            </w:r>
            <w:r>
              <w:rPr>
                <w:rFonts w:hint="eastAsia"/>
                <w:color w:val="auto"/>
                <w:highlight w:val="none"/>
              </w:rPr>
              <w:t>、耐火线槽应按相关规范要求做耐火处理。</w:t>
            </w:r>
          </w:p>
          <w:p>
            <w:pPr>
              <w:rPr>
                <w:color w:val="auto"/>
                <w:highlight w:val="none"/>
              </w:rPr>
            </w:pPr>
            <w:r>
              <w:rPr>
                <w:rFonts w:hint="eastAsia"/>
                <w:color w:val="auto"/>
                <w:highlight w:val="none"/>
              </w:rPr>
              <w:t>生产厂家注册资金不低于人民币</w:t>
            </w:r>
            <w:r>
              <w:rPr>
                <w:color w:val="auto"/>
                <w:highlight w:val="none"/>
              </w:rPr>
              <w:t>1000</w:t>
            </w:r>
            <w:r>
              <w:rPr>
                <w:rFonts w:hint="eastAsia"/>
                <w:color w:val="auto"/>
                <w:highlight w:val="none"/>
              </w:rPr>
              <w:t>万元。</w:t>
            </w:r>
          </w:p>
          <w:p>
            <w:pPr>
              <w:rPr>
                <w:color w:val="auto"/>
                <w:highlight w:val="none"/>
              </w:rPr>
            </w:pPr>
            <w:r>
              <w:rPr>
                <w:color w:val="auto"/>
                <w:highlight w:val="none"/>
              </w:rPr>
              <w:t>10</w:t>
            </w:r>
            <w:r>
              <w:rPr>
                <w:rFonts w:hint="eastAsia"/>
                <w:color w:val="auto"/>
                <w:highlight w:val="none"/>
              </w:rPr>
              <w:t>、制造商在深圳地区设有完善的售后服务机构。</w:t>
            </w:r>
          </w:p>
        </w:tc>
        <w:tc>
          <w:tcPr>
            <w:tcW w:w="95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rPr>
                <w:color w:val="auto"/>
                <w:highlight w:val="none"/>
              </w:rPr>
            </w:pPr>
          </w:p>
        </w:tc>
      </w:tr>
      <w:tr>
        <w:tblPrEx>
          <w:tblCellMar>
            <w:top w:w="0" w:type="dxa"/>
            <w:left w:w="108" w:type="dxa"/>
            <w:bottom w:w="0" w:type="dxa"/>
            <w:right w:w="108" w:type="dxa"/>
          </w:tblCellMar>
        </w:tblPrEx>
        <w:trPr>
          <w:trHeight w:val="567"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rFonts w:hint="eastAsia"/>
                <w:color w:val="auto"/>
                <w:highlight w:val="none"/>
              </w:rPr>
              <w:t>琴台式操作台</w:t>
            </w:r>
          </w:p>
        </w:tc>
        <w:tc>
          <w:tcPr>
            <w:tcW w:w="71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color w:val="auto"/>
                <w:highlight w:val="none"/>
              </w:rPr>
              <w:t>1</w:t>
            </w:r>
            <w:r>
              <w:rPr>
                <w:rFonts w:hint="eastAsia"/>
                <w:color w:val="auto"/>
                <w:highlight w:val="none"/>
              </w:rPr>
              <w:t>、可将电脑、打印机、</w:t>
            </w:r>
            <w:r>
              <w:rPr>
                <w:color w:val="auto"/>
                <w:highlight w:val="none"/>
              </w:rPr>
              <w:t>UPS</w:t>
            </w:r>
            <w:r>
              <w:rPr>
                <w:rFonts w:hint="eastAsia"/>
                <w:color w:val="auto"/>
                <w:highlight w:val="none"/>
              </w:rPr>
              <w:t>电源、电话及部分联动功能器件置入其中。</w:t>
            </w:r>
          </w:p>
          <w:p>
            <w:pPr>
              <w:rPr>
                <w:color w:val="auto"/>
                <w:highlight w:val="none"/>
              </w:rPr>
            </w:pPr>
            <w:r>
              <w:rPr>
                <w:color w:val="auto"/>
                <w:highlight w:val="none"/>
              </w:rPr>
              <w:t>2</w:t>
            </w:r>
            <w:r>
              <w:rPr>
                <w:rFonts w:hint="eastAsia"/>
                <w:color w:val="auto"/>
                <w:highlight w:val="none"/>
              </w:rPr>
              <w:t>、技术要求：同</w:t>
            </w:r>
            <w:r>
              <w:rPr>
                <w:color w:val="auto"/>
                <w:highlight w:val="none"/>
              </w:rPr>
              <w:t>“</w:t>
            </w:r>
            <w:r>
              <w:rPr>
                <w:rFonts w:hint="eastAsia"/>
                <w:color w:val="auto"/>
                <w:highlight w:val="none"/>
              </w:rPr>
              <w:t>火灾报警控制器</w:t>
            </w:r>
            <w:r>
              <w:rPr>
                <w:color w:val="auto"/>
                <w:highlight w:val="none"/>
              </w:rPr>
              <w:t>”</w:t>
            </w:r>
            <w:r>
              <w:rPr>
                <w:rFonts w:hint="eastAsia"/>
                <w:color w:val="auto"/>
                <w:highlight w:val="none"/>
              </w:rPr>
              <w:t>产品技术要</w:t>
            </w:r>
            <w:r>
              <w:rPr>
                <w:color w:val="auto"/>
                <w:highlight w:val="none"/>
              </w:rPr>
              <w:t>3</w:t>
            </w:r>
            <w:r>
              <w:rPr>
                <w:rFonts w:hint="eastAsia"/>
                <w:color w:val="auto"/>
                <w:highlight w:val="none"/>
              </w:rPr>
              <w:t>、</w:t>
            </w:r>
            <w:r>
              <w:rPr>
                <w:color w:val="auto"/>
                <w:highlight w:val="none"/>
              </w:rPr>
              <w:t>8</w:t>
            </w:r>
            <w:r>
              <w:rPr>
                <w:rFonts w:hint="eastAsia"/>
                <w:color w:val="auto"/>
                <w:highlight w:val="none"/>
              </w:rPr>
              <w:t>、</w:t>
            </w:r>
            <w:r>
              <w:rPr>
                <w:color w:val="auto"/>
                <w:highlight w:val="none"/>
              </w:rPr>
              <w:t>10</w:t>
            </w:r>
            <w:r>
              <w:rPr>
                <w:rFonts w:hint="eastAsia"/>
                <w:color w:val="auto"/>
                <w:highlight w:val="none"/>
              </w:rPr>
              <w:t>、</w:t>
            </w:r>
            <w:r>
              <w:rPr>
                <w:color w:val="auto"/>
                <w:highlight w:val="none"/>
              </w:rPr>
              <w:t>11</w:t>
            </w:r>
            <w:r>
              <w:rPr>
                <w:rFonts w:hint="eastAsia"/>
                <w:color w:val="auto"/>
                <w:highlight w:val="none"/>
              </w:rPr>
              <w:t>、</w:t>
            </w:r>
            <w:r>
              <w:rPr>
                <w:color w:val="auto"/>
                <w:highlight w:val="none"/>
              </w:rPr>
              <w:t>12</w:t>
            </w:r>
            <w:r>
              <w:rPr>
                <w:rFonts w:hint="eastAsia"/>
                <w:color w:val="auto"/>
                <w:highlight w:val="none"/>
              </w:rPr>
              <w:t>。</w:t>
            </w:r>
          </w:p>
        </w:tc>
        <w:tc>
          <w:tcPr>
            <w:tcW w:w="951"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rPr>
                <w:color w:val="auto"/>
                <w:highlight w:val="none"/>
              </w:rPr>
            </w:pPr>
          </w:p>
        </w:tc>
      </w:tr>
      <w:tr>
        <w:tblPrEx>
          <w:tblCellMar>
            <w:top w:w="0" w:type="dxa"/>
            <w:left w:w="108" w:type="dxa"/>
            <w:bottom w:w="0" w:type="dxa"/>
            <w:right w:w="108" w:type="dxa"/>
          </w:tblCellMar>
        </w:tblPrEx>
        <w:trPr>
          <w:trHeight w:val="567"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rFonts w:hint="eastAsia"/>
                <w:color w:val="auto"/>
                <w:highlight w:val="none"/>
              </w:rPr>
              <w:t>广播主机</w:t>
            </w:r>
          </w:p>
        </w:tc>
        <w:tc>
          <w:tcPr>
            <w:tcW w:w="711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color w:val="auto"/>
                <w:highlight w:val="none"/>
              </w:rPr>
              <w:t>1</w:t>
            </w:r>
            <w:r>
              <w:rPr>
                <w:rFonts w:hint="eastAsia"/>
                <w:color w:val="auto"/>
                <w:highlight w:val="none"/>
              </w:rPr>
              <w:t>、符合</w:t>
            </w:r>
            <w:r>
              <w:rPr>
                <w:color w:val="auto"/>
                <w:highlight w:val="none"/>
              </w:rPr>
              <w:t>GBJ116-88</w:t>
            </w:r>
            <w:r>
              <w:rPr>
                <w:rFonts w:hint="eastAsia"/>
                <w:color w:val="auto"/>
                <w:highlight w:val="none"/>
              </w:rPr>
              <w:t>、</w:t>
            </w:r>
            <w:r>
              <w:rPr>
                <w:color w:val="auto"/>
                <w:highlight w:val="none"/>
              </w:rPr>
              <w:t>JGJ/T16-92</w:t>
            </w:r>
            <w:r>
              <w:rPr>
                <w:rFonts w:hint="eastAsia"/>
                <w:color w:val="auto"/>
                <w:highlight w:val="none"/>
              </w:rPr>
              <w:t>等中国国家、行业及国际标准。</w:t>
            </w:r>
          </w:p>
          <w:p>
            <w:pPr>
              <w:rPr>
                <w:color w:val="auto"/>
                <w:highlight w:val="none"/>
              </w:rPr>
            </w:pPr>
            <w:r>
              <w:rPr>
                <w:color w:val="auto"/>
                <w:highlight w:val="none"/>
              </w:rPr>
              <w:t>2</w:t>
            </w:r>
            <w:r>
              <w:rPr>
                <w:rFonts w:hint="eastAsia"/>
                <w:color w:val="auto"/>
                <w:highlight w:val="none"/>
              </w:rPr>
              <w:t>、作用于处理系统控制设备的输入信号，连接功率放大器输入和输出喇叭回路和回路上的音量控制器等。</w:t>
            </w:r>
          </w:p>
          <w:p>
            <w:pPr>
              <w:rPr>
                <w:color w:val="auto"/>
                <w:highlight w:val="none"/>
              </w:rPr>
            </w:pPr>
            <w:r>
              <w:rPr>
                <w:color w:val="auto"/>
                <w:highlight w:val="none"/>
              </w:rPr>
              <w:t>3</w:t>
            </w:r>
            <w:r>
              <w:rPr>
                <w:rFonts w:hint="eastAsia"/>
                <w:color w:val="auto"/>
                <w:highlight w:val="none"/>
              </w:rPr>
              <w:t>、具备远程话务扬声器回路控制信号输入，扬声器回路控制输入及火警紧急方式扬声器回路控制信号输入。可以根据控制信号的优先级别选择相应的扬声器回路。</w:t>
            </w:r>
          </w:p>
          <w:p>
            <w:pPr>
              <w:rPr>
                <w:color w:val="auto"/>
                <w:highlight w:val="none"/>
              </w:rPr>
            </w:pPr>
            <w:r>
              <w:rPr>
                <w:color w:val="auto"/>
                <w:highlight w:val="none"/>
              </w:rPr>
              <w:t>4</w:t>
            </w:r>
            <w:r>
              <w:rPr>
                <w:rFonts w:hint="eastAsia"/>
                <w:color w:val="auto"/>
                <w:highlight w:val="none"/>
              </w:rPr>
              <w:t>、内部结构采用模块方式，至少</w:t>
            </w:r>
            <w:r>
              <w:rPr>
                <w:color w:val="auto"/>
                <w:highlight w:val="none"/>
              </w:rPr>
              <w:t>10</w:t>
            </w:r>
            <w:r>
              <w:rPr>
                <w:rFonts w:hint="eastAsia"/>
                <w:color w:val="auto"/>
                <w:highlight w:val="none"/>
              </w:rPr>
              <w:t>路音源输入，具有灵活方便的系统扩展功能。至少</w:t>
            </w:r>
            <w:r>
              <w:rPr>
                <w:color w:val="auto"/>
                <w:highlight w:val="none"/>
              </w:rPr>
              <w:t>45</w:t>
            </w:r>
            <w:r>
              <w:rPr>
                <w:rFonts w:hint="eastAsia"/>
                <w:color w:val="auto"/>
                <w:highlight w:val="none"/>
              </w:rPr>
              <w:t>个输出区域，控制触点能扩展至</w:t>
            </w:r>
            <w:r>
              <w:rPr>
                <w:color w:val="auto"/>
                <w:highlight w:val="none"/>
              </w:rPr>
              <w:t>128</w:t>
            </w:r>
            <w:r>
              <w:rPr>
                <w:rFonts w:hint="eastAsia"/>
                <w:color w:val="auto"/>
                <w:highlight w:val="none"/>
              </w:rPr>
              <w:t>路输入</w:t>
            </w:r>
            <w:r>
              <w:rPr>
                <w:color w:val="auto"/>
                <w:highlight w:val="none"/>
              </w:rPr>
              <w:t>/</w:t>
            </w:r>
            <w:r>
              <w:rPr>
                <w:rFonts w:hint="eastAsia"/>
                <w:color w:val="auto"/>
                <w:highlight w:val="none"/>
              </w:rPr>
              <w:t>输出，提供控制卡和远程遥控与寻呼控制卡。可以增加不同功能模块扩展内部的功能。并要求具有如下系统技术功能要求：其中，主系统语音为最高级别，中心广播话筒</w:t>
            </w:r>
            <w:r>
              <w:rPr>
                <w:color w:val="auto"/>
                <w:highlight w:val="none"/>
              </w:rPr>
              <w:t>2</w:t>
            </w:r>
            <w:r>
              <w:rPr>
                <w:rFonts w:hint="eastAsia"/>
                <w:color w:val="auto"/>
                <w:highlight w:val="none"/>
              </w:rPr>
              <w:t>级别。行政办公室活筒为</w:t>
            </w:r>
            <w:r>
              <w:rPr>
                <w:color w:val="auto"/>
                <w:highlight w:val="none"/>
              </w:rPr>
              <w:t>3</w:t>
            </w:r>
            <w:r>
              <w:rPr>
                <w:rFonts w:hint="eastAsia"/>
                <w:color w:val="auto"/>
                <w:highlight w:val="none"/>
              </w:rPr>
              <w:t>级别，其佘为</w:t>
            </w:r>
            <w:r>
              <w:rPr>
                <w:color w:val="auto"/>
                <w:highlight w:val="none"/>
              </w:rPr>
              <w:t>4</w:t>
            </w:r>
            <w:r>
              <w:rPr>
                <w:rFonts w:hint="eastAsia"/>
                <w:color w:val="auto"/>
                <w:highlight w:val="none"/>
              </w:rPr>
              <w:t>级别，其它为最后级别。火灾时，强制切至消防广播，能满足消防广播使用功能。</w:t>
            </w:r>
          </w:p>
          <w:p>
            <w:pPr>
              <w:rPr>
                <w:color w:val="auto"/>
                <w:highlight w:val="none"/>
              </w:rPr>
            </w:pPr>
            <w:r>
              <w:rPr>
                <w:color w:val="auto"/>
                <w:highlight w:val="none"/>
              </w:rPr>
              <w:t>5</w:t>
            </w:r>
            <w:r>
              <w:rPr>
                <w:rFonts w:hint="eastAsia"/>
                <w:color w:val="auto"/>
                <w:highlight w:val="none"/>
              </w:rPr>
              <w:t>、系统具备故障自动检测功能，例如常规的功放故障以及直流保险故障，功放热故障等，并且任何检测功能不能中断背景音乐和消防广播。</w:t>
            </w:r>
          </w:p>
          <w:p>
            <w:pPr>
              <w:rPr>
                <w:color w:val="auto"/>
                <w:highlight w:val="none"/>
              </w:rPr>
            </w:pPr>
            <w:r>
              <w:rPr>
                <w:color w:val="auto"/>
                <w:highlight w:val="none"/>
              </w:rPr>
              <w:t>6</w:t>
            </w:r>
            <w:r>
              <w:rPr>
                <w:rFonts w:hint="eastAsia"/>
                <w:color w:val="auto"/>
                <w:highlight w:val="none"/>
              </w:rPr>
              <w:t>、系统可以应用电脑软件进行系统配置以及参数设定。且系统软件可记录最近</w:t>
            </w:r>
            <w:r>
              <w:rPr>
                <w:color w:val="auto"/>
                <w:highlight w:val="none"/>
              </w:rPr>
              <w:t>2000</w:t>
            </w:r>
            <w:r>
              <w:rPr>
                <w:rFonts w:hint="eastAsia"/>
                <w:color w:val="auto"/>
                <w:highlight w:val="none"/>
              </w:rPr>
              <w:t>个活动数据并下载至电脑。</w:t>
            </w:r>
          </w:p>
          <w:p>
            <w:pPr>
              <w:rPr>
                <w:color w:val="auto"/>
                <w:highlight w:val="none"/>
              </w:rPr>
            </w:pPr>
            <w:r>
              <w:rPr>
                <w:color w:val="auto"/>
                <w:highlight w:val="none"/>
              </w:rPr>
              <w:t>7</w:t>
            </w:r>
            <w:r>
              <w:rPr>
                <w:rFonts w:hint="eastAsia"/>
                <w:color w:val="auto"/>
                <w:highlight w:val="none"/>
              </w:rPr>
              <w:t>、信号连接采用两种方式，远程的连接采用类似电脑的</w:t>
            </w:r>
            <w:r>
              <w:rPr>
                <w:color w:val="auto"/>
                <w:highlight w:val="none"/>
              </w:rPr>
              <w:t>RS485</w:t>
            </w:r>
            <w:r>
              <w:rPr>
                <w:rFonts w:hint="eastAsia"/>
                <w:color w:val="auto"/>
                <w:highlight w:val="none"/>
              </w:rPr>
              <w:t>信号串行输入连接方式，近距离的连接采用并行输入的线控连接方式。</w:t>
            </w:r>
          </w:p>
          <w:p>
            <w:pPr>
              <w:rPr>
                <w:color w:val="auto"/>
                <w:highlight w:val="none"/>
              </w:rPr>
            </w:pPr>
            <w:r>
              <w:rPr>
                <w:color w:val="auto"/>
                <w:highlight w:val="none"/>
              </w:rPr>
              <w:t>8</w:t>
            </w:r>
            <w:r>
              <w:rPr>
                <w:rFonts w:hint="eastAsia"/>
                <w:color w:val="auto"/>
                <w:highlight w:val="none"/>
              </w:rPr>
              <w:t>、</w:t>
            </w:r>
            <w:r>
              <w:rPr>
                <w:color w:val="auto"/>
                <w:highlight w:val="none"/>
              </w:rPr>
              <w:t>24V</w:t>
            </w:r>
            <w:r>
              <w:rPr>
                <w:rFonts w:hint="eastAsia"/>
                <w:color w:val="auto"/>
                <w:highlight w:val="none"/>
              </w:rPr>
              <w:t>直流电源供电方式（不包括</w:t>
            </w:r>
            <w:r>
              <w:rPr>
                <w:color w:val="auto"/>
                <w:highlight w:val="none"/>
              </w:rPr>
              <w:t>BGM</w:t>
            </w:r>
            <w:r>
              <w:rPr>
                <w:rFonts w:hint="eastAsia"/>
                <w:color w:val="auto"/>
                <w:highlight w:val="none"/>
              </w:rPr>
              <w:t>音源），并且能将交流电源的使用率降至最低。</w:t>
            </w:r>
          </w:p>
          <w:p>
            <w:pPr>
              <w:rPr>
                <w:color w:val="auto"/>
                <w:highlight w:val="none"/>
              </w:rPr>
            </w:pPr>
            <w:r>
              <w:rPr>
                <w:color w:val="auto"/>
                <w:highlight w:val="none"/>
              </w:rPr>
              <w:t>9</w:t>
            </w:r>
            <w:r>
              <w:rPr>
                <w:rFonts w:hint="eastAsia"/>
                <w:color w:val="auto"/>
                <w:highlight w:val="none"/>
              </w:rPr>
              <w:t>、带记忆功能，具备内置预录语音及存储故障资料功能。</w:t>
            </w:r>
          </w:p>
          <w:p>
            <w:pPr>
              <w:rPr>
                <w:color w:val="auto"/>
                <w:highlight w:val="none"/>
              </w:rPr>
            </w:pPr>
            <w:r>
              <w:rPr>
                <w:color w:val="auto"/>
                <w:highlight w:val="none"/>
              </w:rPr>
              <w:t>10</w:t>
            </w:r>
            <w:r>
              <w:rPr>
                <w:rFonts w:hint="eastAsia"/>
                <w:color w:val="auto"/>
                <w:highlight w:val="none"/>
              </w:rPr>
              <w:t>、在无需实际启动紧急广播操作的情况下，可通过软件设置检查紧急广播功能。</w:t>
            </w:r>
          </w:p>
          <w:p>
            <w:pPr>
              <w:rPr>
                <w:color w:val="auto"/>
                <w:highlight w:val="none"/>
              </w:rPr>
            </w:pPr>
            <w:r>
              <w:rPr>
                <w:color w:val="auto"/>
                <w:highlight w:val="none"/>
              </w:rPr>
              <w:t>11</w:t>
            </w:r>
            <w:r>
              <w:rPr>
                <w:rFonts w:hint="eastAsia"/>
                <w:color w:val="auto"/>
                <w:highlight w:val="none"/>
              </w:rPr>
              <w:t>、系统带有备用电池，在正常电源停电时仍然能够保证系统的正常运行。</w:t>
            </w:r>
          </w:p>
        </w:tc>
        <w:tc>
          <w:tcPr>
            <w:tcW w:w="941"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rPr>
                <w:color w:val="auto"/>
                <w:highlight w:val="none"/>
              </w:rPr>
            </w:pPr>
          </w:p>
        </w:tc>
      </w:tr>
      <w:tr>
        <w:tblPrEx>
          <w:tblCellMar>
            <w:top w:w="0" w:type="dxa"/>
            <w:left w:w="108" w:type="dxa"/>
            <w:bottom w:w="0" w:type="dxa"/>
            <w:right w:w="108" w:type="dxa"/>
          </w:tblCellMar>
        </w:tblPrEx>
        <w:trPr>
          <w:trHeight w:val="567"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color w:val="auto"/>
                <w:highlight w:val="none"/>
              </w:rPr>
              <w:t>6</w:t>
            </w:r>
            <w:r>
              <w:rPr>
                <w:rFonts w:hint="eastAsia"/>
                <w:color w:val="auto"/>
                <w:highlight w:val="none"/>
              </w:rPr>
              <w:t>碟</w:t>
            </w:r>
            <w:r>
              <w:rPr>
                <w:color w:val="auto"/>
                <w:highlight w:val="none"/>
              </w:rPr>
              <w:t>CD</w:t>
            </w:r>
            <w:r>
              <w:rPr>
                <w:rFonts w:hint="eastAsia"/>
                <w:color w:val="auto"/>
                <w:highlight w:val="none"/>
              </w:rPr>
              <w:t>机</w:t>
            </w:r>
          </w:p>
        </w:tc>
        <w:tc>
          <w:tcPr>
            <w:tcW w:w="711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color w:val="auto"/>
                <w:highlight w:val="none"/>
              </w:rPr>
              <w:t>1</w:t>
            </w:r>
            <w:r>
              <w:rPr>
                <w:rFonts w:hint="eastAsia"/>
                <w:color w:val="auto"/>
                <w:highlight w:val="none"/>
              </w:rPr>
              <w:t>、应符合</w:t>
            </w:r>
            <w:r>
              <w:rPr>
                <w:color w:val="auto"/>
                <w:highlight w:val="none"/>
              </w:rPr>
              <w:t>GB50116—98</w:t>
            </w:r>
            <w:r>
              <w:rPr>
                <w:rFonts w:hint="eastAsia"/>
                <w:color w:val="auto"/>
                <w:highlight w:val="none"/>
              </w:rPr>
              <w:t>等中国国家、行业及国际标准。</w:t>
            </w:r>
          </w:p>
          <w:p>
            <w:pPr>
              <w:rPr>
                <w:color w:val="auto"/>
                <w:highlight w:val="none"/>
              </w:rPr>
            </w:pPr>
            <w:r>
              <w:rPr>
                <w:color w:val="auto"/>
                <w:highlight w:val="none"/>
              </w:rPr>
              <w:t>2</w:t>
            </w:r>
            <w:r>
              <w:rPr>
                <w:rFonts w:hint="eastAsia"/>
                <w:color w:val="auto"/>
                <w:highlight w:val="none"/>
              </w:rPr>
              <w:t>、可</w:t>
            </w:r>
            <w:r>
              <w:rPr>
                <w:color w:val="auto"/>
                <w:highlight w:val="none"/>
              </w:rPr>
              <w:t>6</w:t>
            </w:r>
            <w:r>
              <w:rPr>
                <w:rFonts w:hint="eastAsia"/>
                <w:color w:val="auto"/>
                <w:highlight w:val="none"/>
              </w:rPr>
              <w:t>碟</w:t>
            </w:r>
            <w:r>
              <w:rPr>
                <w:color w:val="auto"/>
                <w:highlight w:val="none"/>
              </w:rPr>
              <w:t>CD</w:t>
            </w:r>
            <w:r>
              <w:rPr>
                <w:rFonts w:hint="eastAsia"/>
                <w:color w:val="auto"/>
                <w:highlight w:val="none"/>
              </w:rPr>
              <w:t>循环播放。带红外遥控器控制</w:t>
            </w:r>
            <w:r>
              <w:rPr>
                <w:color w:val="auto"/>
                <w:highlight w:val="none"/>
              </w:rPr>
              <w:t>CD</w:t>
            </w:r>
            <w:r>
              <w:rPr>
                <w:rFonts w:hint="eastAsia"/>
                <w:color w:val="auto"/>
                <w:highlight w:val="none"/>
              </w:rPr>
              <w:t>的播放，同时配有线控的程控接口，其接口方式可采用远程键控、</w:t>
            </w:r>
            <w:r>
              <w:rPr>
                <w:color w:val="auto"/>
                <w:highlight w:val="none"/>
              </w:rPr>
              <w:t>CMOS</w:t>
            </w:r>
            <w:r>
              <w:rPr>
                <w:rFonts w:hint="eastAsia"/>
                <w:color w:val="auto"/>
                <w:highlight w:val="none"/>
              </w:rPr>
              <w:t>或</w:t>
            </w:r>
            <w:r>
              <w:rPr>
                <w:color w:val="auto"/>
                <w:highlight w:val="none"/>
              </w:rPr>
              <w:t>TTL LEVEL</w:t>
            </w:r>
            <w:r>
              <w:rPr>
                <w:rFonts w:hint="eastAsia"/>
                <w:color w:val="auto"/>
                <w:highlight w:val="none"/>
              </w:rPr>
              <w:t>等方式，可匹配任何程控的设备接口。输出可选择单声道、双声道输出，可调节输出音量。</w:t>
            </w:r>
            <w:r>
              <w:rPr>
                <w:color w:val="auto"/>
                <w:highlight w:val="none"/>
              </w:rPr>
              <w:t>CD</w:t>
            </w:r>
            <w:r>
              <w:rPr>
                <w:rFonts w:hint="eastAsia"/>
                <w:color w:val="auto"/>
                <w:highlight w:val="none"/>
              </w:rPr>
              <w:t>机的播放可通过电源的开关直接控制，可用于定时器控制播放。</w:t>
            </w:r>
          </w:p>
        </w:tc>
        <w:tc>
          <w:tcPr>
            <w:tcW w:w="941"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rPr>
                <w:color w:val="auto"/>
                <w:highlight w:val="none"/>
              </w:rPr>
            </w:pPr>
          </w:p>
        </w:tc>
      </w:tr>
      <w:tr>
        <w:tblPrEx>
          <w:tblCellMar>
            <w:top w:w="0" w:type="dxa"/>
            <w:left w:w="108" w:type="dxa"/>
            <w:bottom w:w="0" w:type="dxa"/>
            <w:right w:w="108" w:type="dxa"/>
          </w:tblCellMar>
        </w:tblPrEx>
        <w:trPr>
          <w:trHeight w:val="567"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rFonts w:hint="eastAsia"/>
                <w:color w:val="auto"/>
                <w:highlight w:val="none"/>
              </w:rPr>
              <w:t>数字</w:t>
            </w:r>
          </w:p>
          <w:p>
            <w:pPr>
              <w:rPr>
                <w:color w:val="auto"/>
                <w:highlight w:val="none"/>
              </w:rPr>
            </w:pPr>
            <w:r>
              <w:rPr>
                <w:rFonts w:hint="eastAsia"/>
                <w:color w:val="auto"/>
                <w:highlight w:val="none"/>
              </w:rPr>
              <w:t>调谐器</w:t>
            </w:r>
          </w:p>
        </w:tc>
        <w:tc>
          <w:tcPr>
            <w:tcW w:w="711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rFonts w:hint="eastAsia"/>
                <w:color w:val="auto"/>
                <w:highlight w:val="none"/>
              </w:rPr>
              <w:t>可预制至少</w:t>
            </w:r>
            <w:r>
              <w:rPr>
                <w:color w:val="auto"/>
                <w:highlight w:val="none"/>
              </w:rPr>
              <w:t>18</w:t>
            </w:r>
            <w:r>
              <w:rPr>
                <w:rFonts w:hint="eastAsia"/>
                <w:color w:val="auto"/>
                <w:highlight w:val="none"/>
              </w:rPr>
              <w:t>个频道，其中</w:t>
            </w:r>
            <w:r>
              <w:rPr>
                <w:color w:val="auto"/>
                <w:highlight w:val="none"/>
              </w:rPr>
              <w:t>FM</w:t>
            </w:r>
            <w:r>
              <w:rPr>
                <w:rFonts w:hint="eastAsia"/>
                <w:color w:val="auto"/>
                <w:highlight w:val="none"/>
              </w:rPr>
              <w:t>至少</w:t>
            </w:r>
            <w:r>
              <w:rPr>
                <w:color w:val="auto"/>
                <w:highlight w:val="none"/>
              </w:rPr>
              <w:t>12</w:t>
            </w:r>
            <w:r>
              <w:rPr>
                <w:rFonts w:hint="eastAsia"/>
                <w:color w:val="auto"/>
                <w:highlight w:val="none"/>
              </w:rPr>
              <w:t>个，</w:t>
            </w:r>
            <w:r>
              <w:rPr>
                <w:color w:val="auto"/>
                <w:highlight w:val="none"/>
              </w:rPr>
              <w:t>AM</w:t>
            </w:r>
            <w:r>
              <w:rPr>
                <w:rFonts w:hint="eastAsia"/>
                <w:color w:val="auto"/>
                <w:highlight w:val="none"/>
              </w:rPr>
              <w:t>至少</w:t>
            </w:r>
            <w:r>
              <w:rPr>
                <w:color w:val="auto"/>
                <w:highlight w:val="none"/>
              </w:rPr>
              <w:t>6</w:t>
            </w:r>
            <w:r>
              <w:rPr>
                <w:rFonts w:hint="eastAsia"/>
                <w:color w:val="auto"/>
                <w:highlight w:val="none"/>
              </w:rPr>
              <w:t>个。两路信号输出通道（不平衡的可调节音量输出、平衡的固定音量输出），前控制面板具备信号音量调节旋钮。</w:t>
            </w:r>
          </w:p>
          <w:p>
            <w:pPr>
              <w:rPr>
                <w:color w:val="auto"/>
                <w:highlight w:val="none"/>
              </w:rPr>
            </w:pPr>
            <w:r>
              <w:rPr>
                <w:rFonts w:hint="eastAsia"/>
                <w:color w:val="auto"/>
                <w:highlight w:val="none"/>
              </w:rPr>
              <w:t>技术参数：</w:t>
            </w:r>
          </w:p>
          <w:p>
            <w:pPr>
              <w:rPr>
                <w:color w:val="auto"/>
                <w:highlight w:val="none"/>
              </w:rPr>
            </w:pPr>
            <w:r>
              <w:rPr>
                <w:rFonts w:hint="eastAsia"/>
                <w:color w:val="auto"/>
                <w:highlight w:val="none"/>
              </w:rPr>
              <w:t>·当电源关闭时，预设会保存</w:t>
            </w:r>
          </w:p>
          <w:p>
            <w:pPr>
              <w:rPr>
                <w:color w:val="auto"/>
                <w:highlight w:val="none"/>
              </w:rPr>
            </w:pPr>
            <w:r>
              <w:rPr>
                <w:rFonts w:hint="eastAsia"/>
                <w:color w:val="auto"/>
                <w:highlight w:val="none"/>
              </w:rPr>
              <w:t>·大液晶</w:t>
            </w:r>
            <w:r>
              <w:rPr>
                <w:color w:val="auto"/>
                <w:highlight w:val="none"/>
              </w:rPr>
              <w:t>LCD</w:t>
            </w:r>
            <w:r>
              <w:rPr>
                <w:rFonts w:hint="eastAsia"/>
                <w:color w:val="auto"/>
                <w:highlight w:val="none"/>
              </w:rPr>
              <w:t>液晶显示</w:t>
            </w:r>
          </w:p>
          <w:p>
            <w:pPr>
              <w:rPr>
                <w:color w:val="auto"/>
                <w:highlight w:val="none"/>
              </w:rPr>
            </w:pPr>
            <w:r>
              <w:rPr>
                <w:rFonts w:hint="eastAsia"/>
                <w:color w:val="auto"/>
                <w:highlight w:val="none"/>
              </w:rPr>
              <w:t>·扫描和搜索功能</w:t>
            </w:r>
          </w:p>
          <w:p>
            <w:pPr>
              <w:rPr>
                <w:color w:val="auto"/>
                <w:highlight w:val="none"/>
              </w:rPr>
            </w:pPr>
            <w:r>
              <w:rPr>
                <w:rFonts w:hint="eastAsia"/>
                <w:color w:val="auto"/>
                <w:highlight w:val="none"/>
              </w:rPr>
              <w:t>·自动贮存记忆功能（</w:t>
            </w:r>
            <w:r>
              <w:rPr>
                <w:color w:val="auto"/>
                <w:highlight w:val="none"/>
              </w:rPr>
              <w:t>A/PS</w:t>
            </w:r>
            <w:r>
              <w:rPr>
                <w:rFonts w:hint="eastAsia"/>
                <w:color w:val="auto"/>
                <w:highlight w:val="none"/>
              </w:rPr>
              <w:t>）</w:t>
            </w:r>
          </w:p>
          <w:p>
            <w:pPr>
              <w:rPr>
                <w:color w:val="auto"/>
                <w:highlight w:val="none"/>
              </w:rPr>
            </w:pPr>
            <w:r>
              <w:rPr>
                <w:rFonts w:hint="eastAsia"/>
                <w:color w:val="auto"/>
                <w:highlight w:val="none"/>
              </w:rPr>
              <w:t>·预设记忆扫描功能（</w:t>
            </w:r>
            <w:r>
              <w:rPr>
                <w:color w:val="auto"/>
                <w:highlight w:val="none"/>
              </w:rPr>
              <w:t>A/PS</w:t>
            </w:r>
            <w:r>
              <w:rPr>
                <w:rFonts w:hint="eastAsia"/>
                <w:color w:val="auto"/>
                <w:highlight w:val="none"/>
              </w:rPr>
              <w:t>）</w:t>
            </w:r>
          </w:p>
          <w:p>
            <w:pPr>
              <w:rPr>
                <w:color w:val="auto"/>
                <w:highlight w:val="none"/>
              </w:rPr>
            </w:pPr>
            <w:r>
              <w:rPr>
                <w:rFonts w:hint="eastAsia"/>
                <w:color w:val="auto"/>
                <w:highlight w:val="none"/>
              </w:rPr>
              <w:t>·信号强度表</w:t>
            </w:r>
          </w:p>
          <w:p>
            <w:pPr>
              <w:rPr>
                <w:color w:val="auto"/>
                <w:highlight w:val="none"/>
              </w:rPr>
            </w:pPr>
            <w:r>
              <w:rPr>
                <w:rFonts w:hint="eastAsia"/>
                <w:color w:val="auto"/>
                <w:highlight w:val="none"/>
              </w:rPr>
              <w:t>·平衡单声道</w:t>
            </w:r>
            <w:r>
              <w:rPr>
                <w:color w:val="auto"/>
                <w:highlight w:val="none"/>
              </w:rPr>
              <w:t>XLR</w:t>
            </w:r>
            <w:r>
              <w:rPr>
                <w:rFonts w:hint="eastAsia"/>
                <w:color w:val="auto"/>
                <w:highlight w:val="none"/>
              </w:rPr>
              <w:t>输出</w:t>
            </w:r>
          </w:p>
          <w:p>
            <w:pPr>
              <w:rPr>
                <w:color w:val="auto"/>
                <w:highlight w:val="none"/>
              </w:rPr>
            </w:pPr>
            <w:r>
              <w:rPr>
                <w:rFonts w:hint="eastAsia"/>
                <w:color w:val="auto"/>
                <w:highlight w:val="none"/>
              </w:rPr>
              <w:t>·不平衡立体声</w:t>
            </w:r>
            <w:r>
              <w:rPr>
                <w:color w:val="auto"/>
                <w:highlight w:val="none"/>
              </w:rPr>
              <w:t>RCA</w:t>
            </w:r>
            <w:r>
              <w:rPr>
                <w:rFonts w:hint="eastAsia"/>
                <w:color w:val="auto"/>
                <w:highlight w:val="none"/>
              </w:rPr>
              <w:t>输出</w:t>
            </w:r>
          </w:p>
          <w:p>
            <w:pPr>
              <w:rPr>
                <w:color w:val="auto"/>
                <w:highlight w:val="none"/>
              </w:rPr>
            </w:pPr>
            <w:r>
              <w:rPr>
                <w:rFonts w:hint="eastAsia"/>
                <w:color w:val="auto"/>
                <w:highlight w:val="none"/>
              </w:rPr>
              <w:t>·</w:t>
            </w:r>
            <w:r>
              <w:rPr>
                <w:color w:val="auto"/>
                <w:highlight w:val="none"/>
              </w:rPr>
              <w:t>AC</w:t>
            </w:r>
            <w:r>
              <w:rPr>
                <w:rFonts w:hint="eastAsia"/>
                <w:color w:val="auto"/>
                <w:highlight w:val="none"/>
              </w:rPr>
              <w:t>和</w:t>
            </w:r>
            <w:r>
              <w:rPr>
                <w:color w:val="auto"/>
                <w:highlight w:val="none"/>
              </w:rPr>
              <w:t>DC24V</w:t>
            </w:r>
            <w:r>
              <w:rPr>
                <w:rFonts w:hint="eastAsia"/>
                <w:color w:val="auto"/>
                <w:highlight w:val="none"/>
              </w:rPr>
              <w:t>运行</w:t>
            </w:r>
          </w:p>
        </w:tc>
        <w:tc>
          <w:tcPr>
            <w:tcW w:w="941"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rPr>
                <w:color w:val="auto"/>
                <w:highlight w:val="none"/>
              </w:rPr>
            </w:pPr>
          </w:p>
        </w:tc>
      </w:tr>
      <w:tr>
        <w:tblPrEx>
          <w:tblCellMar>
            <w:top w:w="0" w:type="dxa"/>
            <w:left w:w="108" w:type="dxa"/>
            <w:bottom w:w="0" w:type="dxa"/>
            <w:right w:w="108" w:type="dxa"/>
          </w:tblCellMar>
        </w:tblPrEx>
        <w:trPr>
          <w:trHeight w:val="567"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rFonts w:hint="eastAsia"/>
                <w:color w:val="auto"/>
                <w:highlight w:val="none"/>
              </w:rPr>
              <w:t>可编程远程遥控与寻呼话筒</w:t>
            </w:r>
          </w:p>
        </w:tc>
        <w:tc>
          <w:tcPr>
            <w:tcW w:w="711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rFonts w:hint="eastAsia"/>
                <w:color w:val="auto"/>
                <w:highlight w:val="none"/>
              </w:rPr>
              <w:t>广播呼叫站用于进行人工广播和遥控呼叫广播。讲话开始前、结束后可发出柔和悦耳的提示铃声，以提醒听众注意。使用广播呼叫站可对任意选定的广播分区、预先设置的广播分区编组或全馆进行广播。具有</w:t>
            </w:r>
            <w:r>
              <w:rPr>
                <w:color w:val="auto"/>
                <w:highlight w:val="none"/>
              </w:rPr>
              <w:t>LED</w:t>
            </w:r>
            <w:r>
              <w:rPr>
                <w:rFonts w:hint="eastAsia"/>
                <w:color w:val="auto"/>
                <w:highlight w:val="none"/>
              </w:rPr>
              <w:t>显示功能，可显示广播区域，并可区别被选择的广播区域优先状态。带有监听喇叭及话筒音量调节功能。具有多个扩展功能鍵。最长传输距离</w:t>
            </w:r>
            <w:r>
              <w:rPr>
                <w:color w:val="auto"/>
                <w:highlight w:val="none"/>
              </w:rPr>
              <w:t>900m</w:t>
            </w:r>
            <w:r>
              <w:rPr>
                <w:rFonts w:hint="eastAsia"/>
                <w:color w:val="auto"/>
                <w:highlight w:val="none"/>
              </w:rPr>
              <w:t>。</w:t>
            </w:r>
          </w:p>
        </w:tc>
        <w:tc>
          <w:tcPr>
            <w:tcW w:w="941"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rPr>
                <w:color w:val="auto"/>
                <w:highlight w:val="none"/>
              </w:rPr>
            </w:pPr>
          </w:p>
        </w:tc>
      </w:tr>
      <w:tr>
        <w:tblPrEx>
          <w:tblCellMar>
            <w:top w:w="0" w:type="dxa"/>
            <w:left w:w="108" w:type="dxa"/>
            <w:bottom w:w="0" w:type="dxa"/>
            <w:right w:w="108" w:type="dxa"/>
          </w:tblCellMar>
        </w:tblPrEx>
        <w:trPr>
          <w:trHeight w:val="567"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color w:val="auto"/>
                <w:highlight w:val="none"/>
              </w:rPr>
              <w:t>3W</w:t>
            </w:r>
            <w:r>
              <w:rPr>
                <w:rFonts w:hint="eastAsia"/>
                <w:color w:val="auto"/>
                <w:highlight w:val="none"/>
              </w:rPr>
              <w:t>天花喇叭</w:t>
            </w:r>
          </w:p>
        </w:tc>
        <w:tc>
          <w:tcPr>
            <w:tcW w:w="711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color w:val="auto"/>
                <w:highlight w:val="none"/>
              </w:rPr>
              <w:t>1</w:t>
            </w:r>
            <w:r>
              <w:rPr>
                <w:rFonts w:hint="eastAsia"/>
                <w:color w:val="auto"/>
                <w:highlight w:val="none"/>
              </w:rPr>
              <w:t>、输入功率：</w:t>
            </w:r>
            <w:r>
              <w:rPr>
                <w:color w:val="auto"/>
                <w:highlight w:val="none"/>
              </w:rPr>
              <w:t>100V</w:t>
            </w:r>
            <w:r>
              <w:rPr>
                <w:rFonts w:hint="eastAsia"/>
                <w:color w:val="auto"/>
                <w:highlight w:val="none"/>
              </w:rPr>
              <w:t>不低于</w:t>
            </w:r>
            <w:r>
              <w:rPr>
                <w:color w:val="auto"/>
                <w:highlight w:val="none"/>
              </w:rPr>
              <w:t>3W</w:t>
            </w:r>
          </w:p>
          <w:p>
            <w:pPr>
              <w:rPr>
                <w:color w:val="auto"/>
                <w:highlight w:val="none"/>
              </w:rPr>
            </w:pPr>
            <w:r>
              <w:rPr>
                <w:color w:val="auto"/>
                <w:highlight w:val="none"/>
              </w:rPr>
              <w:t>2</w:t>
            </w:r>
            <w:r>
              <w:rPr>
                <w:rFonts w:hint="eastAsia"/>
                <w:color w:val="auto"/>
                <w:highlight w:val="none"/>
              </w:rPr>
              <w:t>、声压级：</w:t>
            </w:r>
            <w:r>
              <w:rPr>
                <w:color w:val="auto"/>
                <w:highlight w:val="none"/>
              </w:rPr>
              <w:t>90dB(1W</w:t>
            </w:r>
            <w:r>
              <w:rPr>
                <w:rFonts w:hint="eastAsia"/>
                <w:color w:val="auto"/>
                <w:highlight w:val="none"/>
              </w:rPr>
              <w:t>，</w:t>
            </w:r>
            <w:r>
              <w:rPr>
                <w:color w:val="auto"/>
                <w:highlight w:val="none"/>
              </w:rPr>
              <w:t>1m</w:t>
            </w:r>
            <w:r>
              <w:rPr>
                <w:rFonts w:hint="eastAsia"/>
                <w:color w:val="auto"/>
                <w:highlight w:val="none"/>
              </w:rPr>
              <w:t>于</w:t>
            </w:r>
            <w:r>
              <w:rPr>
                <w:color w:val="auto"/>
                <w:highlight w:val="none"/>
              </w:rPr>
              <w:t>330~3300Hz</w:t>
            </w:r>
            <w:r>
              <w:rPr>
                <w:rFonts w:hint="eastAsia"/>
                <w:color w:val="auto"/>
                <w:highlight w:val="none"/>
              </w:rPr>
              <w:t>粉红噪声</w:t>
            </w:r>
            <w:r>
              <w:rPr>
                <w:color w:val="auto"/>
                <w:highlight w:val="none"/>
              </w:rPr>
              <w:t>)</w:t>
            </w:r>
          </w:p>
          <w:p>
            <w:pPr>
              <w:rPr>
                <w:color w:val="auto"/>
                <w:highlight w:val="none"/>
              </w:rPr>
            </w:pPr>
            <w:r>
              <w:rPr>
                <w:color w:val="auto"/>
                <w:highlight w:val="none"/>
              </w:rPr>
              <w:t>3</w:t>
            </w:r>
            <w:r>
              <w:rPr>
                <w:rFonts w:hint="eastAsia"/>
                <w:color w:val="auto"/>
                <w:highlight w:val="none"/>
              </w:rPr>
              <w:t>、频率响应：</w:t>
            </w:r>
            <w:r>
              <w:rPr>
                <w:color w:val="auto"/>
                <w:highlight w:val="none"/>
              </w:rPr>
              <w:t>100~16,000Hz</w:t>
            </w:r>
          </w:p>
        </w:tc>
        <w:tc>
          <w:tcPr>
            <w:tcW w:w="941"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rPr>
                <w:color w:val="auto"/>
                <w:highlight w:val="none"/>
              </w:rPr>
            </w:pPr>
          </w:p>
        </w:tc>
      </w:tr>
      <w:tr>
        <w:tblPrEx>
          <w:tblCellMar>
            <w:top w:w="0" w:type="dxa"/>
            <w:left w:w="108" w:type="dxa"/>
            <w:bottom w:w="0" w:type="dxa"/>
            <w:right w:w="108" w:type="dxa"/>
          </w:tblCellMar>
        </w:tblPrEx>
        <w:trPr>
          <w:trHeight w:val="567"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color w:val="auto"/>
                <w:highlight w:val="none"/>
              </w:rPr>
              <w:t>6W</w:t>
            </w:r>
            <w:r>
              <w:rPr>
                <w:rFonts w:hint="eastAsia"/>
                <w:color w:val="auto"/>
                <w:highlight w:val="none"/>
              </w:rPr>
              <w:t>挂墙喇叭</w:t>
            </w:r>
            <w:r>
              <w:rPr>
                <w:color w:val="auto"/>
                <w:highlight w:val="none"/>
              </w:rPr>
              <w:t>/</w:t>
            </w:r>
            <w:r>
              <w:rPr>
                <w:rFonts w:hint="eastAsia"/>
                <w:color w:val="auto"/>
                <w:highlight w:val="none"/>
              </w:rPr>
              <w:t>音箱</w:t>
            </w:r>
          </w:p>
        </w:tc>
        <w:tc>
          <w:tcPr>
            <w:tcW w:w="711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color w:val="auto"/>
                <w:highlight w:val="none"/>
              </w:rPr>
              <w:t>1</w:t>
            </w:r>
            <w:r>
              <w:rPr>
                <w:rFonts w:hint="eastAsia"/>
                <w:color w:val="auto"/>
                <w:highlight w:val="none"/>
              </w:rPr>
              <w:t>、输入功率：</w:t>
            </w:r>
            <w:r>
              <w:rPr>
                <w:color w:val="auto"/>
                <w:highlight w:val="none"/>
              </w:rPr>
              <w:t>100V:6W</w:t>
            </w:r>
          </w:p>
          <w:p>
            <w:pPr>
              <w:rPr>
                <w:color w:val="auto"/>
                <w:highlight w:val="none"/>
              </w:rPr>
            </w:pPr>
            <w:r>
              <w:rPr>
                <w:color w:val="auto"/>
                <w:highlight w:val="none"/>
              </w:rPr>
              <w:t>2</w:t>
            </w:r>
            <w:r>
              <w:rPr>
                <w:rFonts w:hint="eastAsia"/>
                <w:color w:val="auto"/>
                <w:highlight w:val="none"/>
              </w:rPr>
              <w:t>、声压级：</w:t>
            </w:r>
            <w:r>
              <w:rPr>
                <w:color w:val="auto"/>
                <w:highlight w:val="none"/>
              </w:rPr>
              <w:t>91dB</w:t>
            </w:r>
          </w:p>
          <w:p>
            <w:pPr>
              <w:rPr>
                <w:color w:val="auto"/>
                <w:highlight w:val="none"/>
              </w:rPr>
            </w:pPr>
            <w:r>
              <w:rPr>
                <w:color w:val="auto"/>
                <w:highlight w:val="none"/>
              </w:rPr>
              <w:t>3</w:t>
            </w:r>
            <w:r>
              <w:rPr>
                <w:rFonts w:hint="eastAsia"/>
                <w:color w:val="auto"/>
                <w:highlight w:val="none"/>
              </w:rPr>
              <w:t>、频率响应：</w:t>
            </w:r>
            <w:r>
              <w:rPr>
                <w:color w:val="auto"/>
                <w:highlight w:val="none"/>
              </w:rPr>
              <w:t>150~10,000Hz</w:t>
            </w:r>
          </w:p>
        </w:tc>
        <w:tc>
          <w:tcPr>
            <w:tcW w:w="941"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rPr>
                <w:color w:val="auto"/>
                <w:highlight w:val="none"/>
              </w:rPr>
            </w:pPr>
          </w:p>
        </w:tc>
      </w:tr>
      <w:tr>
        <w:tblPrEx>
          <w:tblCellMar>
            <w:top w:w="0" w:type="dxa"/>
            <w:left w:w="108" w:type="dxa"/>
            <w:bottom w:w="0" w:type="dxa"/>
            <w:right w:w="108" w:type="dxa"/>
          </w:tblCellMar>
        </w:tblPrEx>
        <w:trPr>
          <w:trHeight w:val="567"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color w:val="auto"/>
                <w:highlight w:val="none"/>
              </w:rPr>
              <w:t>10W</w:t>
            </w:r>
            <w:r>
              <w:rPr>
                <w:rFonts w:hint="eastAsia"/>
                <w:color w:val="auto"/>
                <w:highlight w:val="none"/>
              </w:rPr>
              <w:t>挂墙喇叭</w:t>
            </w:r>
            <w:r>
              <w:rPr>
                <w:color w:val="auto"/>
                <w:highlight w:val="none"/>
              </w:rPr>
              <w:t>/</w:t>
            </w:r>
            <w:r>
              <w:rPr>
                <w:rFonts w:hint="eastAsia"/>
                <w:color w:val="auto"/>
                <w:highlight w:val="none"/>
              </w:rPr>
              <w:t>音箱</w:t>
            </w:r>
          </w:p>
        </w:tc>
        <w:tc>
          <w:tcPr>
            <w:tcW w:w="711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color w:val="auto"/>
                <w:highlight w:val="none"/>
              </w:rPr>
              <w:t>1</w:t>
            </w:r>
            <w:r>
              <w:rPr>
                <w:rFonts w:hint="eastAsia"/>
                <w:color w:val="auto"/>
                <w:highlight w:val="none"/>
              </w:rPr>
              <w:t>、输入功率：</w:t>
            </w:r>
            <w:r>
              <w:rPr>
                <w:color w:val="auto"/>
                <w:highlight w:val="none"/>
              </w:rPr>
              <w:t>100V</w:t>
            </w:r>
            <w:r>
              <w:rPr>
                <w:rFonts w:hint="eastAsia"/>
                <w:color w:val="auto"/>
                <w:highlight w:val="none"/>
              </w:rPr>
              <w:t>不低于</w:t>
            </w:r>
            <w:r>
              <w:rPr>
                <w:color w:val="auto"/>
                <w:highlight w:val="none"/>
              </w:rPr>
              <w:t>10W</w:t>
            </w:r>
          </w:p>
          <w:p>
            <w:pPr>
              <w:rPr>
                <w:color w:val="auto"/>
                <w:highlight w:val="none"/>
              </w:rPr>
            </w:pPr>
            <w:r>
              <w:rPr>
                <w:color w:val="auto"/>
                <w:highlight w:val="none"/>
              </w:rPr>
              <w:t>2</w:t>
            </w:r>
            <w:r>
              <w:rPr>
                <w:rFonts w:hint="eastAsia"/>
                <w:color w:val="auto"/>
                <w:highlight w:val="none"/>
              </w:rPr>
              <w:t>、声压级：</w:t>
            </w:r>
            <w:r>
              <w:rPr>
                <w:color w:val="auto"/>
                <w:highlight w:val="none"/>
              </w:rPr>
              <w:t>92dB</w:t>
            </w:r>
          </w:p>
          <w:p>
            <w:pPr>
              <w:rPr>
                <w:color w:val="auto"/>
                <w:highlight w:val="none"/>
              </w:rPr>
            </w:pPr>
            <w:r>
              <w:rPr>
                <w:color w:val="auto"/>
                <w:highlight w:val="none"/>
              </w:rPr>
              <w:t>3</w:t>
            </w:r>
            <w:r>
              <w:rPr>
                <w:rFonts w:hint="eastAsia"/>
                <w:color w:val="auto"/>
                <w:highlight w:val="none"/>
              </w:rPr>
              <w:t>、频率响应：</w:t>
            </w:r>
            <w:r>
              <w:rPr>
                <w:color w:val="auto"/>
                <w:highlight w:val="none"/>
              </w:rPr>
              <w:t>150~14,000Hz</w:t>
            </w:r>
          </w:p>
          <w:p>
            <w:pPr>
              <w:rPr>
                <w:color w:val="auto"/>
                <w:highlight w:val="none"/>
              </w:rPr>
            </w:pPr>
            <w:r>
              <w:rPr>
                <w:color w:val="auto"/>
                <w:highlight w:val="none"/>
              </w:rPr>
              <w:t>4</w:t>
            </w:r>
            <w:r>
              <w:rPr>
                <w:rFonts w:hint="eastAsia"/>
                <w:color w:val="auto"/>
                <w:highlight w:val="none"/>
              </w:rPr>
              <w:t>、喇叭元件：动圈式纸盆喇叭</w:t>
            </w:r>
          </w:p>
        </w:tc>
        <w:tc>
          <w:tcPr>
            <w:tcW w:w="941"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rPr>
                <w:color w:val="auto"/>
                <w:highlight w:val="none"/>
              </w:rPr>
            </w:pPr>
          </w:p>
        </w:tc>
      </w:tr>
      <w:tr>
        <w:tblPrEx>
          <w:tblCellMar>
            <w:top w:w="0" w:type="dxa"/>
            <w:left w:w="108" w:type="dxa"/>
            <w:bottom w:w="0" w:type="dxa"/>
            <w:right w:w="108" w:type="dxa"/>
          </w:tblCellMar>
        </w:tblPrEx>
        <w:trPr>
          <w:trHeight w:val="567"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color w:val="auto"/>
                <w:highlight w:val="none"/>
              </w:rPr>
              <w:t>30W</w:t>
            </w:r>
            <w:r>
              <w:rPr>
                <w:rFonts w:hint="eastAsia"/>
                <w:color w:val="auto"/>
                <w:highlight w:val="none"/>
              </w:rPr>
              <w:t>草地防水喇叭</w:t>
            </w:r>
          </w:p>
        </w:tc>
        <w:tc>
          <w:tcPr>
            <w:tcW w:w="711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color w:val="auto"/>
                <w:highlight w:val="none"/>
              </w:rPr>
              <w:t>1</w:t>
            </w:r>
            <w:r>
              <w:rPr>
                <w:rFonts w:hint="eastAsia"/>
                <w:color w:val="auto"/>
                <w:highlight w:val="none"/>
              </w:rPr>
              <w:t>、全指向喇叭，无收听死角。音质优美，外形设计坚固合理，可应对各种恶劣天气。</w:t>
            </w:r>
          </w:p>
          <w:p>
            <w:pPr>
              <w:rPr>
                <w:color w:val="auto"/>
                <w:highlight w:val="none"/>
              </w:rPr>
            </w:pPr>
            <w:r>
              <w:rPr>
                <w:color w:val="auto"/>
                <w:highlight w:val="none"/>
              </w:rPr>
              <w:t>2</w:t>
            </w:r>
            <w:r>
              <w:rPr>
                <w:rFonts w:hint="eastAsia"/>
                <w:color w:val="auto"/>
                <w:highlight w:val="none"/>
              </w:rPr>
              <w:t>、输入功率：</w:t>
            </w:r>
            <w:r>
              <w:rPr>
                <w:color w:val="auto"/>
                <w:highlight w:val="none"/>
              </w:rPr>
              <w:t>100V:30W</w:t>
            </w:r>
          </w:p>
          <w:p>
            <w:pPr>
              <w:rPr>
                <w:color w:val="auto"/>
                <w:highlight w:val="none"/>
              </w:rPr>
            </w:pPr>
            <w:r>
              <w:rPr>
                <w:color w:val="auto"/>
                <w:highlight w:val="none"/>
              </w:rPr>
              <w:t>2</w:t>
            </w:r>
            <w:r>
              <w:rPr>
                <w:rFonts w:hint="eastAsia"/>
                <w:color w:val="auto"/>
                <w:highlight w:val="none"/>
              </w:rPr>
              <w:t>、音箱：密封防水型</w:t>
            </w:r>
          </w:p>
          <w:p>
            <w:pPr>
              <w:rPr>
                <w:color w:val="auto"/>
                <w:highlight w:val="none"/>
              </w:rPr>
            </w:pPr>
            <w:r>
              <w:rPr>
                <w:color w:val="auto"/>
                <w:highlight w:val="none"/>
              </w:rPr>
              <w:t>3</w:t>
            </w:r>
            <w:r>
              <w:rPr>
                <w:rFonts w:hint="eastAsia"/>
                <w:color w:val="auto"/>
                <w:highlight w:val="none"/>
              </w:rPr>
              <w:t>、喇叭元件：锥形</w:t>
            </w:r>
          </w:p>
          <w:p>
            <w:pPr>
              <w:rPr>
                <w:color w:val="auto"/>
                <w:highlight w:val="none"/>
              </w:rPr>
            </w:pPr>
            <w:r>
              <w:rPr>
                <w:color w:val="auto"/>
                <w:highlight w:val="none"/>
              </w:rPr>
              <w:t>4</w:t>
            </w:r>
            <w:r>
              <w:rPr>
                <w:rFonts w:hint="eastAsia"/>
                <w:color w:val="auto"/>
                <w:highlight w:val="none"/>
              </w:rPr>
              <w:t>、声压级：</w:t>
            </w:r>
            <w:r>
              <w:rPr>
                <w:color w:val="auto"/>
                <w:highlight w:val="none"/>
              </w:rPr>
              <w:t>88dB(1W</w:t>
            </w:r>
            <w:r>
              <w:rPr>
                <w:rFonts w:hint="eastAsia"/>
                <w:color w:val="auto"/>
                <w:highlight w:val="none"/>
              </w:rPr>
              <w:t>，</w:t>
            </w:r>
            <w:r>
              <w:rPr>
                <w:color w:val="auto"/>
                <w:highlight w:val="none"/>
              </w:rPr>
              <w:t>1m)</w:t>
            </w:r>
          </w:p>
          <w:p>
            <w:pPr>
              <w:rPr>
                <w:color w:val="auto"/>
                <w:highlight w:val="none"/>
              </w:rPr>
            </w:pPr>
            <w:r>
              <w:rPr>
                <w:color w:val="auto"/>
                <w:highlight w:val="none"/>
              </w:rPr>
              <w:t>5</w:t>
            </w:r>
            <w:r>
              <w:rPr>
                <w:rFonts w:hint="eastAsia"/>
                <w:color w:val="auto"/>
                <w:highlight w:val="none"/>
              </w:rPr>
              <w:t>、频率响应：</w:t>
            </w:r>
            <w:r>
              <w:rPr>
                <w:color w:val="auto"/>
                <w:highlight w:val="none"/>
              </w:rPr>
              <w:t>70~100,000Hz</w:t>
            </w:r>
          </w:p>
        </w:tc>
        <w:tc>
          <w:tcPr>
            <w:tcW w:w="941"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rPr>
                <w:color w:val="auto"/>
                <w:highlight w:val="none"/>
              </w:rPr>
            </w:pPr>
          </w:p>
        </w:tc>
      </w:tr>
      <w:tr>
        <w:tblPrEx>
          <w:tblCellMar>
            <w:top w:w="0" w:type="dxa"/>
            <w:left w:w="108" w:type="dxa"/>
            <w:bottom w:w="0" w:type="dxa"/>
            <w:right w:w="108" w:type="dxa"/>
          </w:tblCellMar>
        </w:tblPrEx>
        <w:trPr>
          <w:trHeight w:val="567"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color w:val="auto"/>
                <w:highlight w:val="none"/>
              </w:rPr>
              <w:t>30W</w:t>
            </w:r>
            <w:r>
              <w:rPr>
                <w:rFonts w:hint="eastAsia"/>
                <w:color w:val="auto"/>
                <w:highlight w:val="none"/>
              </w:rPr>
              <w:t>室外壁挂防水音箱</w:t>
            </w:r>
          </w:p>
        </w:tc>
        <w:tc>
          <w:tcPr>
            <w:tcW w:w="711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color w:val="auto"/>
                <w:highlight w:val="none"/>
              </w:rPr>
              <w:t>1</w:t>
            </w:r>
            <w:r>
              <w:rPr>
                <w:rFonts w:hint="eastAsia"/>
                <w:color w:val="auto"/>
                <w:highlight w:val="none"/>
              </w:rPr>
              <w:t>、额定输入功率：</w:t>
            </w:r>
            <w:r>
              <w:rPr>
                <w:color w:val="auto"/>
                <w:highlight w:val="none"/>
              </w:rPr>
              <w:t>100V:30W</w:t>
            </w:r>
          </w:p>
          <w:p>
            <w:pPr>
              <w:rPr>
                <w:color w:val="auto"/>
                <w:highlight w:val="none"/>
              </w:rPr>
            </w:pPr>
            <w:r>
              <w:rPr>
                <w:color w:val="auto"/>
                <w:highlight w:val="none"/>
              </w:rPr>
              <w:t>2</w:t>
            </w:r>
            <w:r>
              <w:rPr>
                <w:rFonts w:hint="eastAsia"/>
                <w:color w:val="auto"/>
                <w:highlight w:val="none"/>
              </w:rPr>
              <w:t>、材料：防水性好</w:t>
            </w:r>
          </w:p>
          <w:p>
            <w:pPr>
              <w:rPr>
                <w:color w:val="auto"/>
                <w:highlight w:val="none"/>
              </w:rPr>
            </w:pPr>
            <w:r>
              <w:rPr>
                <w:color w:val="auto"/>
                <w:highlight w:val="none"/>
              </w:rPr>
              <w:t>3</w:t>
            </w:r>
            <w:r>
              <w:rPr>
                <w:rFonts w:hint="eastAsia"/>
                <w:color w:val="auto"/>
                <w:highlight w:val="none"/>
              </w:rPr>
              <w:t>、声压级：</w:t>
            </w:r>
            <w:r>
              <w:rPr>
                <w:color w:val="auto"/>
                <w:highlight w:val="none"/>
              </w:rPr>
              <w:t>100dB</w:t>
            </w:r>
            <w:r>
              <w:rPr>
                <w:rFonts w:hint="eastAsia"/>
                <w:color w:val="auto"/>
                <w:highlight w:val="none"/>
              </w:rPr>
              <w:t>（</w:t>
            </w:r>
            <w:r>
              <w:rPr>
                <w:color w:val="auto"/>
                <w:highlight w:val="none"/>
              </w:rPr>
              <w:t>1m</w:t>
            </w:r>
            <w:r>
              <w:rPr>
                <w:rFonts w:hint="eastAsia"/>
                <w:color w:val="auto"/>
                <w:highlight w:val="none"/>
              </w:rPr>
              <w:t>，</w:t>
            </w:r>
            <w:r>
              <w:rPr>
                <w:color w:val="auto"/>
                <w:highlight w:val="none"/>
              </w:rPr>
              <w:t>1W</w:t>
            </w:r>
            <w:r>
              <w:rPr>
                <w:rFonts w:hint="eastAsia"/>
                <w:color w:val="auto"/>
                <w:highlight w:val="none"/>
              </w:rPr>
              <w:t>）</w:t>
            </w:r>
          </w:p>
          <w:p>
            <w:pPr>
              <w:rPr>
                <w:color w:val="auto"/>
                <w:highlight w:val="none"/>
              </w:rPr>
            </w:pPr>
            <w:r>
              <w:rPr>
                <w:color w:val="auto"/>
                <w:highlight w:val="none"/>
              </w:rPr>
              <w:t>4</w:t>
            </w:r>
            <w:r>
              <w:rPr>
                <w:rFonts w:hint="eastAsia"/>
                <w:color w:val="auto"/>
                <w:highlight w:val="none"/>
              </w:rPr>
              <w:t>、频率响应：</w:t>
            </w:r>
            <w:r>
              <w:rPr>
                <w:color w:val="auto"/>
                <w:highlight w:val="none"/>
              </w:rPr>
              <w:t>160~10,000Hz</w:t>
            </w:r>
          </w:p>
          <w:p>
            <w:pPr>
              <w:rPr>
                <w:color w:val="auto"/>
                <w:highlight w:val="none"/>
              </w:rPr>
            </w:pPr>
            <w:r>
              <w:rPr>
                <w:color w:val="auto"/>
                <w:highlight w:val="none"/>
              </w:rPr>
              <w:t>5</w:t>
            </w:r>
            <w:r>
              <w:rPr>
                <w:rFonts w:hint="eastAsia"/>
                <w:color w:val="auto"/>
                <w:highlight w:val="none"/>
              </w:rPr>
              <w:t>、喇叭成分：动感式纸盆喇叭（防水）</w:t>
            </w:r>
          </w:p>
        </w:tc>
        <w:tc>
          <w:tcPr>
            <w:tcW w:w="941"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rPr>
                <w:color w:val="auto"/>
                <w:highlight w:val="none"/>
              </w:rPr>
            </w:pPr>
          </w:p>
        </w:tc>
      </w:tr>
      <w:tr>
        <w:tblPrEx>
          <w:tblCellMar>
            <w:top w:w="0" w:type="dxa"/>
            <w:left w:w="108" w:type="dxa"/>
            <w:bottom w:w="0" w:type="dxa"/>
            <w:right w:w="108" w:type="dxa"/>
          </w:tblCellMar>
        </w:tblPrEx>
        <w:trPr>
          <w:trHeight w:val="567"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rFonts w:hint="eastAsia"/>
                <w:color w:val="auto"/>
                <w:highlight w:val="none"/>
              </w:rPr>
              <w:t>磁带</w:t>
            </w:r>
          </w:p>
          <w:p>
            <w:pPr>
              <w:rPr>
                <w:color w:val="auto"/>
                <w:highlight w:val="none"/>
              </w:rPr>
            </w:pPr>
            <w:r>
              <w:rPr>
                <w:rFonts w:hint="eastAsia"/>
                <w:color w:val="auto"/>
                <w:highlight w:val="none"/>
              </w:rPr>
              <w:t>播放器</w:t>
            </w:r>
          </w:p>
        </w:tc>
        <w:tc>
          <w:tcPr>
            <w:tcW w:w="711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rFonts w:hint="eastAsia"/>
                <w:color w:val="auto"/>
                <w:highlight w:val="none"/>
              </w:rPr>
              <w:t>适用普通磁带和金属磁带，杜比降噪系统、自动增益控制，定时装置、无限循环放音、磁带自动翻转和空白跳过功能，可实现连续</w:t>
            </w:r>
            <w:r>
              <w:rPr>
                <w:color w:val="auto"/>
                <w:highlight w:val="none"/>
              </w:rPr>
              <w:t>12</w:t>
            </w:r>
            <w:r>
              <w:rPr>
                <w:rFonts w:hint="eastAsia"/>
                <w:color w:val="auto"/>
                <w:highlight w:val="none"/>
              </w:rPr>
              <w:t>小时工作。</w:t>
            </w:r>
          </w:p>
        </w:tc>
        <w:tc>
          <w:tcPr>
            <w:tcW w:w="941"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rPr>
                <w:color w:val="auto"/>
                <w:highlight w:val="none"/>
              </w:rPr>
            </w:pPr>
          </w:p>
        </w:tc>
      </w:tr>
      <w:tr>
        <w:tblPrEx>
          <w:tblCellMar>
            <w:top w:w="0" w:type="dxa"/>
            <w:left w:w="108" w:type="dxa"/>
            <w:bottom w:w="0" w:type="dxa"/>
            <w:right w:w="108" w:type="dxa"/>
          </w:tblCellMar>
        </w:tblPrEx>
        <w:trPr>
          <w:trHeight w:val="567"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color w:val="auto"/>
                <w:highlight w:val="none"/>
              </w:rPr>
              <w:t>19</w:t>
            </w:r>
            <w:r>
              <w:rPr>
                <w:rFonts w:hint="eastAsia"/>
                <w:color w:val="auto"/>
                <w:highlight w:val="none"/>
              </w:rPr>
              <w:t>寸</w:t>
            </w:r>
            <w:r>
              <w:rPr>
                <w:color w:val="auto"/>
                <w:highlight w:val="none"/>
              </w:rPr>
              <w:t>2.0</w:t>
            </w:r>
            <w:r>
              <w:rPr>
                <w:rFonts w:hint="eastAsia"/>
                <w:color w:val="auto"/>
                <w:highlight w:val="none"/>
              </w:rPr>
              <w:t>米标准广播机柜</w:t>
            </w:r>
          </w:p>
        </w:tc>
        <w:tc>
          <w:tcPr>
            <w:tcW w:w="711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color w:val="auto"/>
                <w:highlight w:val="none"/>
              </w:rPr>
              <w:t>1</w:t>
            </w:r>
            <w:r>
              <w:rPr>
                <w:rFonts w:hint="eastAsia"/>
                <w:color w:val="auto"/>
                <w:highlight w:val="none"/>
              </w:rPr>
              <w:t>、符合</w:t>
            </w:r>
            <w:r>
              <w:rPr>
                <w:color w:val="auto"/>
                <w:highlight w:val="none"/>
              </w:rPr>
              <w:t>BG7521</w:t>
            </w:r>
            <w:r>
              <w:rPr>
                <w:rFonts w:hint="eastAsia"/>
                <w:color w:val="auto"/>
                <w:highlight w:val="none"/>
              </w:rPr>
              <w:t>、</w:t>
            </w:r>
            <w:r>
              <w:rPr>
                <w:color w:val="auto"/>
                <w:highlight w:val="none"/>
              </w:rPr>
              <w:t>JB/T9666</w:t>
            </w:r>
            <w:r>
              <w:rPr>
                <w:rFonts w:hint="eastAsia"/>
                <w:color w:val="auto"/>
                <w:highlight w:val="none"/>
              </w:rPr>
              <w:t>要求。柜体应采用</w:t>
            </w:r>
            <w:r>
              <w:rPr>
                <w:color w:val="auto"/>
                <w:highlight w:val="none"/>
              </w:rPr>
              <w:t>2.0</w:t>
            </w:r>
            <w:r>
              <w:rPr>
                <w:rFonts w:hint="eastAsia"/>
                <w:color w:val="auto"/>
                <w:highlight w:val="none"/>
              </w:rPr>
              <w:t>毫米以上厚的冷扎钢板制成，钢板表面应进行静电喷涂、除油、除锈、磷化处理、暗灰色喷粉烘烤或喷塑处理，并配有有机玻璃或玻璃门，并须达到</w:t>
            </w:r>
            <w:r>
              <w:rPr>
                <w:color w:val="auto"/>
                <w:highlight w:val="none"/>
              </w:rPr>
              <w:t>IP44</w:t>
            </w:r>
            <w:r>
              <w:rPr>
                <w:rFonts w:hint="eastAsia"/>
                <w:color w:val="auto"/>
                <w:highlight w:val="none"/>
              </w:rPr>
              <w:t>防水、防尘的保护要求。</w:t>
            </w:r>
          </w:p>
          <w:p>
            <w:pPr>
              <w:rPr>
                <w:color w:val="auto"/>
                <w:highlight w:val="none"/>
              </w:rPr>
            </w:pPr>
            <w:r>
              <w:rPr>
                <w:color w:val="auto"/>
                <w:highlight w:val="none"/>
              </w:rPr>
              <w:t>2</w:t>
            </w:r>
            <w:r>
              <w:rPr>
                <w:rFonts w:hint="eastAsia"/>
                <w:color w:val="auto"/>
                <w:highlight w:val="none"/>
              </w:rPr>
              <w:t>、柜体应可靠接地，机架必须有接地端子，机柜容易扩充，机架上配有金属走线槽。</w:t>
            </w:r>
          </w:p>
          <w:p>
            <w:pPr>
              <w:rPr>
                <w:color w:val="auto"/>
                <w:highlight w:val="none"/>
              </w:rPr>
            </w:pPr>
            <w:r>
              <w:rPr>
                <w:color w:val="auto"/>
                <w:highlight w:val="none"/>
              </w:rPr>
              <w:t>3</w:t>
            </w:r>
            <w:r>
              <w:rPr>
                <w:rFonts w:hint="eastAsia"/>
                <w:color w:val="auto"/>
                <w:highlight w:val="none"/>
              </w:rPr>
              <w:t>、机柜必须经过</w:t>
            </w:r>
            <w:r>
              <w:rPr>
                <w:color w:val="auto"/>
                <w:highlight w:val="none"/>
              </w:rPr>
              <w:t>CE</w:t>
            </w:r>
            <w:r>
              <w:rPr>
                <w:rFonts w:hint="eastAsia"/>
                <w:color w:val="auto"/>
                <w:highlight w:val="none"/>
              </w:rPr>
              <w:t>及</w:t>
            </w:r>
            <w:r>
              <w:rPr>
                <w:color w:val="auto"/>
                <w:highlight w:val="none"/>
              </w:rPr>
              <w:t>UL</w:t>
            </w:r>
            <w:r>
              <w:rPr>
                <w:rFonts w:hint="eastAsia"/>
                <w:color w:val="auto"/>
                <w:highlight w:val="none"/>
              </w:rPr>
              <w:t>质量认证，且制造厂是通过</w:t>
            </w:r>
            <w:r>
              <w:rPr>
                <w:color w:val="auto"/>
                <w:highlight w:val="none"/>
              </w:rPr>
              <w:t>ISO9001</w:t>
            </w:r>
            <w:r>
              <w:rPr>
                <w:rFonts w:hint="eastAsia"/>
                <w:color w:val="auto"/>
                <w:highlight w:val="none"/>
              </w:rPr>
              <w:t>认证。</w:t>
            </w:r>
          </w:p>
          <w:p>
            <w:pPr>
              <w:rPr>
                <w:color w:val="auto"/>
                <w:highlight w:val="none"/>
              </w:rPr>
            </w:pPr>
            <w:r>
              <w:rPr>
                <w:color w:val="auto"/>
                <w:highlight w:val="none"/>
              </w:rPr>
              <w:t>4</w:t>
            </w:r>
            <w:r>
              <w:rPr>
                <w:rFonts w:hint="eastAsia"/>
                <w:color w:val="auto"/>
                <w:highlight w:val="none"/>
              </w:rPr>
              <w:t>、机架除可支撑本身重量外，必须可承载</w:t>
            </w:r>
            <w:r>
              <w:rPr>
                <w:color w:val="auto"/>
                <w:highlight w:val="none"/>
              </w:rPr>
              <w:t>500KG</w:t>
            </w:r>
            <w:r>
              <w:rPr>
                <w:rFonts w:hint="eastAsia"/>
                <w:color w:val="auto"/>
                <w:highlight w:val="none"/>
              </w:rPr>
              <w:t>以上的设备且不变形。</w:t>
            </w:r>
          </w:p>
        </w:tc>
        <w:tc>
          <w:tcPr>
            <w:tcW w:w="941"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rPr>
                <w:color w:val="auto"/>
                <w:highlight w:val="none"/>
              </w:rPr>
            </w:pPr>
          </w:p>
        </w:tc>
      </w:tr>
      <w:tr>
        <w:tblPrEx>
          <w:tblCellMar>
            <w:top w:w="0" w:type="dxa"/>
            <w:left w:w="108" w:type="dxa"/>
            <w:bottom w:w="0" w:type="dxa"/>
            <w:right w:w="108" w:type="dxa"/>
          </w:tblCellMar>
        </w:tblPrEx>
        <w:trPr>
          <w:trHeight w:val="567" w:hRule="atLeast"/>
          <w:jc w:val="center"/>
        </w:trPr>
        <w:tc>
          <w:tcPr>
            <w:tcW w:w="8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rFonts w:hint="eastAsia"/>
                <w:color w:val="auto"/>
                <w:highlight w:val="none"/>
              </w:rPr>
              <w:t>防火门监控系统</w:t>
            </w:r>
          </w:p>
        </w:tc>
        <w:tc>
          <w:tcPr>
            <w:tcW w:w="7119"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rPr>
                <w:color w:val="auto"/>
                <w:highlight w:val="none"/>
              </w:rPr>
            </w:pPr>
            <w:r>
              <w:rPr>
                <w:rFonts w:hint="eastAsia"/>
                <w:color w:val="auto"/>
                <w:highlight w:val="none"/>
              </w:rPr>
              <w:t>工作电压：</w:t>
            </w:r>
            <w:r>
              <w:rPr>
                <w:color w:val="auto"/>
                <w:highlight w:val="none"/>
              </w:rPr>
              <w:t>DC24V;</w:t>
            </w:r>
            <w:r>
              <w:rPr>
                <w:rFonts w:hint="eastAsia"/>
                <w:color w:val="auto"/>
                <w:highlight w:val="none"/>
              </w:rPr>
              <w:t>控制信号输出</w:t>
            </w:r>
            <w:r>
              <w:rPr>
                <w:color w:val="auto"/>
                <w:highlight w:val="none"/>
              </w:rPr>
              <w:t>DC24V</w:t>
            </w:r>
            <w:r>
              <w:rPr>
                <w:rFonts w:hint="eastAsia"/>
                <w:color w:val="auto"/>
                <w:highlight w:val="none"/>
              </w:rPr>
              <w:t>，</w:t>
            </w:r>
            <w:r>
              <w:rPr>
                <w:color w:val="auto"/>
                <w:highlight w:val="none"/>
              </w:rPr>
              <w:t>1A</w:t>
            </w:r>
            <w:r>
              <w:rPr>
                <w:rFonts w:hint="eastAsia"/>
                <w:color w:val="auto"/>
                <w:highlight w:val="none"/>
              </w:rPr>
              <w:t>；通信方式：二总线；</w:t>
            </w:r>
          </w:p>
          <w:p>
            <w:pPr>
              <w:rPr>
                <w:color w:val="auto"/>
                <w:highlight w:val="none"/>
              </w:rPr>
            </w:pPr>
            <w:r>
              <w:rPr>
                <w:rFonts w:hint="eastAsia"/>
                <w:color w:val="auto"/>
                <w:highlight w:val="none"/>
              </w:rPr>
              <w:t>工作温度：</w:t>
            </w:r>
            <w:r>
              <w:rPr>
                <w:color w:val="auto"/>
                <w:highlight w:val="none"/>
              </w:rPr>
              <w:t>-10</w:t>
            </w:r>
            <w:r>
              <w:rPr>
                <w:rFonts w:hint="eastAsia"/>
                <w:color w:val="auto"/>
                <w:highlight w:val="none"/>
              </w:rPr>
              <w:t>℃</w:t>
            </w:r>
            <w:r>
              <w:rPr>
                <w:color w:val="auto"/>
                <w:highlight w:val="none"/>
              </w:rPr>
              <w:t>~+55</w:t>
            </w:r>
            <w:r>
              <w:rPr>
                <w:rFonts w:hint="eastAsia"/>
                <w:color w:val="auto"/>
                <w:highlight w:val="none"/>
              </w:rPr>
              <w:t>℃</w:t>
            </w:r>
            <w:r>
              <w:rPr>
                <w:color w:val="auto"/>
                <w:highlight w:val="none"/>
              </w:rPr>
              <w:t>;</w:t>
            </w:r>
            <w:r>
              <w:rPr>
                <w:rFonts w:hint="eastAsia"/>
                <w:color w:val="auto"/>
                <w:highlight w:val="none"/>
              </w:rPr>
              <w:t>工作湿度：≤</w:t>
            </w:r>
            <w:r>
              <w:rPr>
                <w:color w:val="auto"/>
                <w:highlight w:val="none"/>
              </w:rPr>
              <w:t>95</w:t>
            </w:r>
            <w:r>
              <w:rPr>
                <w:rFonts w:hint="eastAsia"/>
                <w:color w:val="auto"/>
                <w:highlight w:val="none"/>
              </w:rPr>
              <w:t>％</w:t>
            </w:r>
            <w:r>
              <w:rPr>
                <w:color w:val="auto"/>
                <w:highlight w:val="none"/>
              </w:rPr>
              <w:t>RH</w:t>
            </w:r>
            <w:r>
              <w:rPr>
                <w:rFonts w:hint="eastAsia"/>
                <w:color w:val="auto"/>
                <w:highlight w:val="none"/>
              </w:rPr>
              <w:t>；防护等级：</w:t>
            </w:r>
            <w:r>
              <w:rPr>
                <w:color w:val="auto"/>
                <w:highlight w:val="none"/>
              </w:rPr>
              <w:t>IP30</w:t>
            </w:r>
          </w:p>
        </w:tc>
        <w:tc>
          <w:tcPr>
            <w:tcW w:w="941"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rPr>
                <w:color w:val="auto"/>
                <w:highlight w:val="none"/>
              </w:rPr>
            </w:pPr>
          </w:p>
        </w:tc>
      </w:tr>
    </w:tbl>
    <w:p>
      <w:pPr>
        <w:rPr>
          <w:color w:val="auto"/>
          <w:highlight w:val="none"/>
        </w:rPr>
      </w:pPr>
      <w:r>
        <w:rPr>
          <w:rFonts w:hint="eastAsia"/>
          <w:color w:val="auto"/>
          <w:highlight w:val="none"/>
        </w:rPr>
        <w:t>说明：</w:t>
      </w:r>
    </w:p>
    <w:p>
      <w:pPr>
        <w:rPr>
          <w:color w:val="auto"/>
          <w:highlight w:val="none"/>
        </w:rPr>
      </w:pPr>
      <w:r>
        <w:rPr>
          <w:color w:val="auto"/>
          <w:highlight w:val="none"/>
        </w:rPr>
        <w:t>1</w:t>
      </w:r>
      <w:r>
        <w:rPr>
          <w:rFonts w:hint="eastAsia"/>
          <w:color w:val="auto"/>
          <w:highlight w:val="none"/>
        </w:rPr>
        <w:t>、上表中技术要求中某些产品规格与品牌不符的应以品牌为准。产品的技术要求以设计图纸要求为准。</w:t>
      </w:r>
    </w:p>
    <w:p>
      <w:pPr>
        <w:rPr>
          <w:color w:val="auto"/>
          <w:highlight w:val="none"/>
        </w:rPr>
      </w:pPr>
      <w:r>
        <w:rPr>
          <w:color w:val="auto"/>
          <w:highlight w:val="none"/>
        </w:rPr>
        <w:t>2</w:t>
      </w:r>
      <w:r>
        <w:rPr>
          <w:rFonts w:hint="eastAsia"/>
          <w:color w:val="auto"/>
          <w:highlight w:val="none"/>
        </w:rPr>
        <w:t>、上表中材料设备须从现行的发包人材料设备参考品牌库中选择。</w:t>
      </w:r>
    </w:p>
    <w:p>
      <w:pPr>
        <w:rPr>
          <w:color w:val="auto"/>
          <w:highlight w:val="none"/>
        </w:rPr>
      </w:pPr>
    </w:p>
    <w:p>
      <w:pPr>
        <w:pStyle w:val="113"/>
        <w:spacing w:before="120" w:after="120"/>
        <w:outlineLvl w:val="2"/>
        <w:rPr>
          <w:color w:val="auto"/>
          <w:highlight w:val="none"/>
        </w:rPr>
      </w:pPr>
      <w:bookmarkStart w:id="8055" w:name="_Toc66634491"/>
      <w:bookmarkStart w:id="8056" w:name="_Toc505345804"/>
      <w:bookmarkStart w:id="8057" w:name="_Toc69114232"/>
      <w:bookmarkStart w:id="8058" w:name="_Toc66890486"/>
      <w:r>
        <w:rPr>
          <w:color w:val="auto"/>
          <w:highlight w:val="none"/>
        </w:rPr>
        <w:t xml:space="preserve">2.4 </w:t>
      </w:r>
      <w:r>
        <w:rPr>
          <w:rFonts w:hint="eastAsia"/>
          <w:color w:val="auto"/>
          <w:highlight w:val="none"/>
        </w:rPr>
        <w:t>消防系统联动及控制要求</w:t>
      </w:r>
      <w:bookmarkEnd w:id="8055"/>
      <w:bookmarkEnd w:id="8056"/>
      <w:bookmarkEnd w:id="8057"/>
      <w:bookmarkEnd w:id="8058"/>
    </w:p>
    <w:p>
      <w:pPr>
        <w:pStyle w:val="217"/>
        <w:rPr>
          <w:color w:val="auto"/>
          <w:highlight w:val="none"/>
        </w:rPr>
      </w:pPr>
      <w:r>
        <w:rPr>
          <w:color w:val="auto"/>
          <w:highlight w:val="none"/>
        </w:rPr>
        <w:t>1.</w:t>
      </w:r>
      <w:r>
        <w:rPr>
          <w:rFonts w:hint="eastAsia"/>
          <w:color w:val="auto"/>
          <w:highlight w:val="none"/>
        </w:rPr>
        <w:t>消防稳压泵及消火栓泵的工作、故障状态需反馈到消防控制中心。</w:t>
      </w:r>
    </w:p>
    <w:p>
      <w:pPr>
        <w:pStyle w:val="217"/>
        <w:rPr>
          <w:color w:val="auto"/>
          <w:highlight w:val="none"/>
        </w:rPr>
      </w:pPr>
      <w:r>
        <w:rPr>
          <w:color w:val="auto"/>
          <w:highlight w:val="none"/>
        </w:rPr>
        <w:t>2.</w:t>
      </w:r>
      <w:r>
        <w:rPr>
          <w:rFonts w:hint="eastAsia"/>
          <w:color w:val="auto"/>
          <w:highlight w:val="none"/>
        </w:rPr>
        <w:t>系统设备为自动喷水灭火系统，应按独立地址对每个水流指示器、安全信号阀、检修阀和报警阀组进行监视，任何一个水流指示器和报警阀组动作后，在消防中心可显示该激活的指示器和报警阀组位置，此时在自动方式下，由系统程序自动启动喷淋泵，并返回设备动作回读信号。在手动方式下，由消防中心人员手动启动喷淋泵。</w:t>
      </w:r>
    </w:p>
    <w:p>
      <w:pPr>
        <w:pStyle w:val="217"/>
        <w:rPr>
          <w:color w:val="auto"/>
          <w:highlight w:val="none"/>
        </w:rPr>
      </w:pPr>
      <w:r>
        <w:rPr>
          <w:rFonts w:hint="eastAsia"/>
          <w:color w:val="auto"/>
          <w:highlight w:val="none"/>
        </w:rPr>
        <w:t>喷洒稳压泵及喷洒泵的工作、故障状态需反馈到消防控制中心。</w:t>
      </w:r>
    </w:p>
    <w:p>
      <w:pPr>
        <w:pStyle w:val="217"/>
        <w:rPr>
          <w:color w:val="auto"/>
          <w:highlight w:val="none"/>
        </w:rPr>
      </w:pPr>
      <w:r>
        <w:rPr>
          <w:color w:val="auto"/>
          <w:highlight w:val="none"/>
        </w:rPr>
        <w:t>3.</w:t>
      </w:r>
      <w:r>
        <w:rPr>
          <w:rFonts w:hint="eastAsia"/>
          <w:color w:val="auto"/>
          <w:highlight w:val="none"/>
        </w:rPr>
        <w:t>消防水池高低水位等信号在联动柜上有显示。</w:t>
      </w:r>
    </w:p>
    <w:p>
      <w:pPr>
        <w:pStyle w:val="217"/>
        <w:rPr>
          <w:color w:val="auto"/>
          <w:highlight w:val="none"/>
        </w:rPr>
      </w:pPr>
      <w:r>
        <w:rPr>
          <w:color w:val="auto"/>
          <w:highlight w:val="none"/>
        </w:rPr>
        <w:t>4.</w:t>
      </w:r>
      <w:r>
        <w:rPr>
          <w:rFonts w:hint="eastAsia"/>
          <w:color w:val="auto"/>
          <w:highlight w:val="none"/>
        </w:rPr>
        <w:t>设计图纸要求的其他联动功能。</w:t>
      </w:r>
      <w:r>
        <w:rPr>
          <w:color w:val="auto"/>
          <w:highlight w:val="none"/>
        </w:rPr>
        <w:t xml:space="preserve"> </w:t>
      </w:r>
    </w:p>
    <w:p>
      <w:pPr>
        <w:pStyle w:val="217"/>
        <w:rPr>
          <w:color w:val="auto"/>
          <w:highlight w:val="none"/>
        </w:rPr>
      </w:pPr>
      <w:r>
        <w:rPr>
          <w:color w:val="auto"/>
          <w:highlight w:val="none"/>
        </w:rPr>
        <w:t>5.</w:t>
      </w:r>
      <w:r>
        <w:rPr>
          <w:rFonts w:hint="eastAsia"/>
          <w:color w:val="auto"/>
          <w:highlight w:val="none"/>
        </w:rPr>
        <w:t>系统接口要求</w:t>
      </w:r>
    </w:p>
    <w:p>
      <w:pPr>
        <w:pStyle w:val="217"/>
        <w:rPr>
          <w:color w:val="auto"/>
          <w:highlight w:val="none"/>
        </w:rPr>
      </w:pPr>
      <w:r>
        <w:rPr>
          <w:rFonts w:hint="eastAsia"/>
          <w:color w:val="auto"/>
          <w:highlight w:val="none"/>
        </w:rPr>
        <w:t>对弱电系统集成必须免费提供提供标准的</w:t>
      </w:r>
      <w:r>
        <w:rPr>
          <w:color w:val="auto"/>
          <w:highlight w:val="none"/>
        </w:rPr>
        <w:t>OPC Server</w:t>
      </w:r>
      <w:r>
        <w:rPr>
          <w:rFonts w:hint="eastAsia"/>
          <w:color w:val="auto"/>
          <w:highlight w:val="none"/>
        </w:rPr>
        <w:t>通信程序</w:t>
      </w:r>
      <w:r>
        <w:rPr>
          <w:color w:val="auto"/>
          <w:highlight w:val="none"/>
        </w:rPr>
        <w:t>,</w:t>
      </w:r>
      <w:r>
        <w:rPr>
          <w:rFonts w:hint="eastAsia"/>
          <w:color w:val="auto"/>
          <w:highlight w:val="none"/>
        </w:rPr>
        <w:t>校园内弱电系统集成商可以采用标准的</w:t>
      </w:r>
      <w:r>
        <w:rPr>
          <w:color w:val="auto"/>
          <w:highlight w:val="none"/>
        </w:rPr>
        <w:t>OPC Client</w:t>
      </w:r>
      <w:r>
        <w:rPr>
          <w:rFonts w:hint="eastAsia"/>
          <w:color w:val="auto"/>
          <w:highlight w:val="none"/>
        </w:rPr>
        <w:t>程序与其通信。</w:t>
      </w:r>
    </w:p>
    <w:p>
      <w:pPr>
        <w:pStyle w:val="217"/>
        <w:rPr>
          <w:color w:val="auto"/>
          <w:highlight w:val="none"/>
        </w:rPr>
      </w:pPr>
      <w:r>
        <w:rPr>
          <w:rFonts w:hint="eastAsia"/>
          <w:color w:val="auto"/>
          <w:highlight w:val="none"/>
        </w:rPr>
        <w:t>消防报警系统承包方必须免费提供给校园弱电系统集成商所有相关及系统集成所需要的系统信息。</w:t>
      </w:r>
    </w:p>
    <w:p>
      <w:pPr>
        <w:pStyle w:val="113"/>
        <w:spacing w:before="120" w:after="120"/>
        <w:outlineLvl w:val="2"/>
        <w:rPr>
          <w:color w:val="auto"/>
          <w:highlight w:val="none"/>
        </w:rPr>
      </w:pPr>
      <w:bookmarkStart w:id="8059" w:name="_Toc69114233"/>
      <w:bookmarkStart w:id="8060" w:name="_Toc66890487"/>
      <w:bookmarkStart w:id="8061" w:name="_Toc66634492"/>
      <w:bookmarkStart w:id="8062" w:name="_Toc505345805"/>
      <w:r>
        <w:rPr>
          <w:color w:val="auto"/>
          <w:highlight w:val="none"/>
        </w:rPr>
        <w:t xml:space="preserve">2.5 </w:t>
      </w:r>
      <w:r>
        <w:rPr>
          <w:rFonts w:hint="eastAsia"/>
          <w:color w:val="auto"/>
          <w:highlight w:val="none"/>
        </w:rPr>
        <w:t>技术服务</w:t>
      </w:r>
      <w:bookmarkEnd w:id="8059"/>
      <w:bookmarkEnd w:id="8060"/>
      <w:bookmarkEnd w:id="8061"/>
      <w:bookmarkEnd w:id="8062"/>
    </w:p>
    <w:p>
      <w:pPr>
        <w:pStyle w:val="217"/>
        <w:rPr>
          <w:color w:val="auto"/>
          <w:highlight w:val="none"/>
        </w:rPr>
      </w:pPr>
      <w:r>
        <w:rPr>
          <w:color w:val="auto"/>
          <w:highlight w:val="none"/>
        </w:rPr>
        <w:t>1.</w:t>
      </w:r>
      <w:r>
        <w:rPr>
          <w:rFonts w:hint="eastAsia"/>
          <w:color w:val="auto"/>
          <w:highlight w:val="none"/>
        </w:rPr>
        <w:t>施工单位应协助甲方进行消防图纸的优化并完成相关的消防审核工作；</w:t>
      </w:r>
      <w:r>
        <w:rPr>
          <w:color w:val="auto"/>
          <w:highlight w:val="none"/>
        </w:rPr>
        <w:t xml:space="preserve">     </w:t>
      </w:r>
    </w:p>
    <w:p>
      <w:pPr>
        <w:pStyle w:val="217"/>
        <w:rPr>
          <w:color w:val="auto"/>
          <w:highlight w:val="none"/>
        </w:rPr>
      </w:pPr>
      <w:r>
        <w:rPr>
          <w:color w:val="auto"/>
          <w:highlight w:val="none"/>
        </w:rPr>
        <w:t>2.</w:t>
      </w:r>
      <w:r>
        <w:rPr>
          <w:rFonts w:hint="eastAsia"/>
          <w:color w:val="auto"/>
          <w:highlight w:val="none"/>
        </w:rPr>
        <w:t>施工单位负责各部件和整机安装的正确性；</w:t>
      </w:r>
      <w:r>
        <w:rPr>
          <w:color w:val="auto"/>
          <w:highlight w:val="none"/>
        </w:rPr>
        <w:t xml:space="preserve"> </w:t>
      </w:r>
    </w:p>
    <w:p>
      <w:pPr>
        <w:pStyle w:val="217"/>
        <w:rPr>
          <w:color w:val="auto"/>
          <w:highlight w:val="none"/>
        </w:rPr>
      </w:pPr>
      <w:r>
        <w:rPr>
          <w:color w:val="auto"/>
          <w:highlight w:val="none"/>
        </w:rPr>
        <w:t>3.</w:t>
      </w:r>
      <w:r>
        <w:rPr>
          <w:rFonts w:hint="eastAsia"/>
          <w:color w:val="auto"/>
          <w:highlight w:val="none"/>
        </w:rPr>
        <w:t>施工单位负责整理资料并协助甲方办理消防检测工作；</w:t>
      </w:r>
      <w:r>
        <w:rPr>
          <w:color w:val="auto"/>
          <w:highlight w:val="none"/>
        </w:rPr>
        <w:t xml:space="preserve"> </w:t>
      </w:r>
    </w:p>
    <w:p>
      <w:pPr>
        <w:pStyle w:val="217"/>
        <w:rPr>
          <w:color w:val="auto"/>
          <w:highlight w:val="none"/>
        </w:rPr>
      </w:pPr>
      <w:r>
        <w:rPr>
          <w:color w:val="auto"/>
          <w:highlight w:val="none"/>
        </w:rPr>
        <w:t>4.</w:t>
      </w:r>
      <w:r>
        <w:rPr>
          <w:rFonts w:hint="eastAsia"/>
          <w:color w:val="auto"/>
          <w:highlight w:val="none"/>
        </w:rPr>
        <w:t>施工单位应对本工程物业管理人员（若有）进行必要的现场技术培训（包括维修、调试、操作运行等）；</w:t>
      </w:r>
      <w:r>
        <w:rPr>
          <w:color w:val="auto"/>
          <w:highlight w:val="none"/>
        </w:rPr>
        <w:t xml:space="preserve"> </w:t>
      </w:r>
    </w:p>
    <w:p>
      <w:pPr>
        <w:pStyle w:val="217"/>
        <w:rPr>
          <w:color w:val="auto"/>
          <w:highlight w:val="none"/>
        </w:rPr>
      </w:pPr>
      <w:r>
        <w:rPr>
          <w:color w:val="auto"/>
          <w:highlight w:val="none"/>
        </w:rPr>
        <w:t>5.</w:t>
      </w:r>
      <w:r>
        <w:rPr>
          <w:rFonts w:hint="eastAsia"/>
          <w:color w:val="auto"/>
          <w:highlight w:val="none"/>
        </w:rPr>
        <w:t>质量保证及售后服务</w:t>
      </w:r>
    </w:p>
    <w:p>
      <w:pPr>
        <w:pStyle w:val="217"/>
        <w:rPr>
          <w:color w:val="auto"/>
          <w:highlight w:val="none"/>
        </w:rPr>
      </w:pPr>
      <w:r>
        <w:rPr>
          <w:rFonts w:hint="eastAsia"/>
          <w:color w:val="auto"/>
          <w:highlight w:val="none"/>
        </w:rPr>
        <w:t>设备质量要求：所有设备和器件均须取得国家消防电子产品质量监督检查中心的检验合格证（新</w:t>
      </w:r>
      <w:r>
        <w:rPr>
          <w:color w:val="auto"/>
          <w:highlight w:val="none"/>
        </w:rPr>
        <w:t>CCC</w:t>
      </w:r>
      <w:r>
        <w:rPr>
          <w:rFonts w:hint="eastAsia"/>
          <w:color w:val="auto"/>
          <w:highlight w:val="none"/>
        </w:rPr>
        <w:t>认证）。</w:t>
      </w:r>
    </w:p>
    <w:p>
      <w:pPr>
        <w:pStyle w:val="217"/>
        <w:rPr>
          <w:color w:val="auto"/>
          <w:highlight w:val="none"/>
        </w:rPr>
      </w:pPr>
      <w:r>
        <w:rPr>
          <w:rFonts w:hint="eastAsia"/>
          <w:color w:val="auto"/>
          <w:highlight w:val="none"/>
        </w:rPr>
        <w:t>产品质保期：业主发出竣工证书之日起不得少于二年。</w:t>
      </w:r>
    </w:p>
    <w:p>
      <w:pPr>
        <w:pStyle w:val="217"/>
        <w:rPr>
          <w:color w:val="auto"/>
          <w:highlight w:val="none"/>
        </w:rPr>
      </w:pPr>
      <w:r>
        <w:rPr>
          <w:rFonts w:hint="eastAsia"/>
          <w:color w:val="auto"/>
          <w:highlight w:val="none"/>
        </w:rPr>
        <w:t>售后服务：接通知</w:t>
      </w:r>
      <w:r>
        <w:rPr>
          <w:color w:val="auto"/>
          <w:highlight w:val="none"/>
        </w:rPr>
        <w:t>24</w:t>
      </w:r>
      <w:r>
        <w:rPr>
          <w:rFonts w:hint="eastAsia"/>
          <w:color w:val="auto"/>
          <w:highlight w:val="none"/>
        </w:rPr>
        <w:t>小时内到达现场维修，除易损件外各种零部件两次维修后仍不能正常使用，投标人应更换同品牌，同型号的零部件，更换后的零部件自更换之日起重新计算质保期限。</w:t>
      </w:r>
    </w:p>
    <w:p>
      <w:pPr>
        <w:pStyle w:val="217"/>
        <w:rPr>
          <w:color w:val="auto"/>
          <w:highlight w:val="none"/>
        </w:rPr>
      </w:pPr>
      <w:r>
        <w:rPr>
          <w:color w:val="auto"/>
          <w:highlight w:val="none"/>
        </w:rPr>
        <w:t>6.</w:t>
      </w:r>
      <w:r>
        <w:rPr>
          <w:rFonts w:hint="eastAsia"/>
          <w:color w:val="auto"/>
          <w:highlight w:val="none"/>
        </w:rPr>
        <w:t>火灾自动报警系统附件与电气工程材料技术要求一致</w:t>
      </w:r>
    </w:p>
    <w:p>
      <w:pPr>
        <w:pStyle w:val="2"/>
        <w:numPr>
          <w:ilvl w:val="0"/>
          <w:numId w:val="0"/>
        </w:numPr>
        <w:rPr>
          <w:color w:val="auto"/>
          <w:highlight w:val="none"/>
        </w:rPr>
      </w:pPr>
      <w:r>
        <w:rPr>
          <w:color w:val="auto"/>
          <w:highlight w:val="none"/>
        </w:rPr>
        <w:br w:type="page"/>
      </w:r>
      <w:r>
        <w:rPr>
          <w:color w:val="auto"/>
          <w:highlight w:val="none"/>
        </w:rPr>
        <w:br w:type="page"/>
      </w:r>
      <w:bookmarkStart w:id="8063" w:name="_Toc66634493"/>
      <w:bookmarkStart w:id="8064" w:name="_Toc66890488"/>
      <w:bookmarkStart w:id="8065" w:name="_Toc69114234"/>
      <w:r>
        <w:rPr>
          <w:rFonts w:hint="eastAsia" w:ascii="宋体" w:hAnsi="宋体"/>
          <w:b w:val="0"/>
          <w:color w:val="auto"/>
          <w:sz w:val="44"/>
          <w:highlight w:val="none"/>
        </w:rPr>
        <w:t>第七部分</w:t>
      </w:r>
      <w:r>
        <w:rPr>
          <w:rFonts w:ascii="宋体" w:hAnsi="宋体"/>
          <w:b w:val="0"/>
          <w:color w:val="auto"/>
          <w:sz w:val="44"/>
          <w:highlight w:val="none"/>
        </w:rPr>
        <w:t xml:space="preserve">  </w:t>
      </w:r>
      <w:r>
        <w:rPr>
          <w:rFonts w:hint="eastAsia" w:ascii="宋体" w:hAnsi="宋体"/>
          <w:b w:val="0"/>
          <w:color w:val="auto"/>
          <w:sz w:val="44"/>
          <w:highlight w:val="none"/>
        </w:rPr>
        <w:t>装配式制冷机房技术要求</w:t>
      </w:r>
      <w:bookmarkEnd w:id="8063"/>
      <w:bookmarkEnd w:id="8064"/>
      <w:bookmarkEnd w:id="8065"/>
    </w:p>
    <w:p>
      <w:pPr>
        <w:pStyle w:val="141"/>
        <w:numPr>
          <w:ilvl w:val="0"/>
          <w:numId w:val="16"/>
        </w:numPr>
        <w:spacing w:line="360" w:lineRule="auto"/>
        <w:ind w:left="780" w:firstLineChars="0"/>
        <w:rPr>
          <w:rFonts w:ascii="宋体" w:hAnsi="宋体"/>
          <w:b/>
          <w:bCs/>
          <w:color w:val="auto"/>
          <w:sz w:val="24"/>
          <w:szCs w:val="24"/>
          <w:highlight w:val="none"/>
        </w:rPr>
      </w:pPr>
      <w:r>
        <w:rPr>
          <w:rFonts w:hint="eastAsia" w:ascii="宋体" w:hAnsi="宋体"/>
          <w:b/>
          <w:bCs/>
          <w:color w:val="auto"/>
          <w:sz w:val="24"/>
          <w:szCs w:val="24"/>
          <w:highlight w:val="none"/>
        </w:rPr>
        <w:t>工程目标</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利用</w:t>
      </w:r>
      <w:r>
        <w:rPr>
          <w:rFonts w:ascii="宋体" w:hAnsi="宋体"/>
          <w:color w:val="auto"/>
          <w:sz w:val="24"/>
          <w:szCs w:val="24"/>
          <w:highlight w:val="none"/>
        </w:rPr>
        <w:t>BIM</w:t>
      </w:r>
      <w:r>
        <w:rPr>
          <w:rFonts w:hint="eastAsia" w:ascii="宋体" w:hAnsi="宋体"/>
          <w:color w:val="auto"/>
          <w:sz w:val="24"/>
          <w:szCs w:val="24"/>
          <w:highlight w:val="none"/>
        </w:rPr>
        <w:t>等信息化技术，优化机电管线，并实现装配式制冷机房工厂预制，机房内组装</w:t>
      </w:r>
      <w:r>
        <w:rPr>
          <w:rFonts w:ascii="宋体" w:hAnsi="宋体"/>
          <w:color w:val="auto"/>
          <w:sz w:val="24"/>
          <w:szCs w:val="24"/>
          <w:highlight w:val="none"/>
        </w:rPr>
        <w:t>，</w:t>
      </w:r>
      <w:r>
        <w:rPr>
          <w:rFonts w:hint="eastAsia" w:ascii="宋体" w:hAnsi="宋体"/>
          <w:color w:val="auto"/>
          <w:sz w:val="24"/>
          <w:szCs w:val="24"/>
          <w:highlight w:val="none"/>
        </w:rPr>
        <w:t>利用现代化自动设备取代传统手工作业，提升机电安装工程质量，提高机电安装效率，减少不必要的材料损耗，改善工地作业环境，实现绿色建造、快速建造、优质建造、智慧建造的建造目标。</w:t>
      </w:r>
    </w:p>
    <w:p>
      <w:pPr>
        <w:pStyle w:val="141"/>
        <w:numPr>
          <w:ilvl w:val="0"/>
          <w:numId w:val="16"/>
        </w:numPr>
        <w:spacing w:line="360" w:lineRule="auto"/>
        <w:ind w:left="780" w:firstLineChars="0"/>
        <w:rPr>
          <w:rFonts w:ascii="宋体" w:hAnsi="宋体"/>
          <w:b/>
          <w:bCs/>
          <w:color w:val="auto"/>
          <w:sz w:val="24"/>
          <w:szCs w:val="24"/>
          <w:highlight w:val="none"/>
        </w:rPr>
      </w:pPr>
      <w:r>
        <w:rPr>
          <w:rFonts w:hint="eastAsia" w:ascii="宋体" w:hAnsi="宋体"/>
          <w:b/>
          <w:bCs/>
          <w:color w:val="auto"/>
          <w:sz w:val="24"/>
          <w:szCs w:val="24"/>
          <w:highlight w:val="none"/>
        </w:rPr>
        <w:t>工作范围</w:t>
      </w:r>
    </w:p>
    <w:p>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机房</w:t>
      </w:r>
      <w:r>
        <w:rPr>
          <w:rFonts w:hint="eastAsia" w:ascii="宋体" w:hAnsi="宋体"/>
          <w:color w:val="auto"/>
          <w:sz w:val="24"/>
          <w:szCs w:val="24"/>
          <w:highlight w:val="none"/>
        </w:rPr>
        <w:t>围护</w:t>
      </w:r>
      <w:r>
        <w:rPr>
          <w:rFonts w:ascii="宋体" w:hAnsi="宋体"/>
          <w:color w:val="auto"/>
          <w:sz w:val="24"/>
          <w:szCs w:val="24"/>
          <w:highlight w:val="none"/>
        </w:rPr>
        <w:t>结构内空调</w:t>
      </w:r>
      <w:r>
        <w:rPr>
          <w:rFonts w:hint="eastAsia" w:ascii="宋体" w:hAnsi="宋体"/>
          <w:color w:val="auto"/>
          <w:sz w:val="24"/>
          <w:szCs w:val="24"/>
          <w:highlight w:val="none"/>
        </w:rPr>
        <w:t>系统、消防系统、给排水系统、动力及照明系统、智能化系统等</w:t>
      </w:r>
      <w:r>
        <w:rPr>
          <w:rFonts w:ascii="宋体" w:hAnsi="宋体"/>
          <w:color w:val="auto"/>
          <w:sz w:val="24"/>
          <w:szCs w:val="24"/>
          <w:highlight w:val="none"/>
        </w:rPr>
        <w:t>；</w:t>
      </w:r>
      <w:r>
        <w:rPr>
          <w:rFonts w:hint="eastAsia" w:ascii="宋体" w:hAnsi="宋体"/>
          <w:color w:val="auto"/>
          <w:sz w:val="24"/>
          <w:szCs w:val="24"/>
          <w:highlight w:val="none"/>
        </w:rPr>
        <w:t>管线</w:t>
      </w:r>
      <w:r>
        <w:rPr>
          <w:rFonts w:ascii="宋体" w:hAnsi="宋体"/>
          <w:color w:val="auto"/>
          <w:sz w:val="24"/>
          <w:szCs w:val="24"/>
          <w:highlight w:val="none"/>
        </w:rPr>
        <w:t>以出机房隔墙300mm</w:t>
      </w:r>
      <w:r>
        <w:rPr>
          <w:rFonts w:hint="eastAsia" w:ascii="宋体" w:hAnsi="宋体"/>
          <w:color w:val="auto"/>
          <w:sz w:val="24"/>
          <w:szCs w:val="24"/>
          <w:highlight w:val="none"/>
        </w:rPr>
        <w:t>、出机房楼板</w:t>
      </w:r>
      <w:r>
        <w:rPr>
          <w:rFonts w:ascii="宋体" w:hAnsi="宋体"/>
          <w:color w:val="auto"/>
          <w:sz w:val="24"/>
          <w:szCs w:val="24"/>
          <w:highlight w:val="none"/>
        </w:rPr>
        <w:t>500mm</w:t>
      </w:r>
      <w:r>
        <w:rPr>
          <w:rFonts w:hint="eastAsia" w:ascii="宋体" w:hAnsi="宋体"/>
          <w:color w:val="auto"/>
          <w:sz w:val="24"/>
          <w:szCs w:val="24"/>
          <w:highlight w:val="none"/>
        </w:rPr>
        <w:t>为界。</w:t>
      </w:r>
    </w:p>
    <w:p>
      <w:pPr>
        <w:pStyle w:val="141"/>
        <w:numPr>
          <w:ilvl w:val="0"/>
          <w:numId w:val="16"/>
        </w:numPr>
        <w:spacing w:line="360" w:lineRule="auto"/>
        <w:ind w:left="780" w:firstLineChars="0"/>
        <w:rPr>
          <w:rFonts w:ascii="宋体" w:hAnsi="宋体"/>
          <w:b/>
          <w:bCs/>
          <w:color w:val="auto"/>
          <w:sz w:val="24"/>
          <w:szCs w:val="24"/>
          <w:highlight w:val="none"/>
        </w:rPr>
      </w:pPr>
      <w:r>
        <w:rPr>
          <w:rFonts w:hint="eastAsia" w:ascii="宋体" w:hAnsi="宋体"/>
          <w:b/>
          <w:bCs/>
          <w:color w:val="auto"/>
          <w:sz w:val="24"/>
          <w:szCs w:val="24"/>
          <w:highlight w:val="none"/>
        </w:rPr>
        <w:t>施工企业要求</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企业需获得</w:t>
      </w:r>
      <w:r>
        <w:rPr>
          <w:rFonts w:ascii="宋体" w:hAnsi="宋体"/>
          <w:color w:val="auto"/>
          <w:sz w:val="24"/>
          <w:szCs w:val="24"/>
          <w:highlight w:val="none"/>
        </w:rPr>
        <w:t>ISO</w:t>
      </w:r>
      <w:r>
        <w:rPr>
          <w:rFonts w:hint="eastAsia" w:ascii="宋体" w:hAnsi="宋体"/>
          <w:color w:val="auto"/>
          <w:sz w:val="24"/>
          <w:szCs w:val="24"/>
          <w:highlight w:val="none"/>
        </w:rPr>
        <w:t>或国家的质量、环境、职业健康安全管理体系认证，并在广东地区设有长期固定的售后服务及维修机构。</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车间设备要求：除锈、切割、焊接等设备应为自动化设备，自动焊接设备应确保满足所有管道接口的焊接要求，配备油漆喷涂作业间，配备相应的铣刨磨机械设备。</w:t>
      </w:r>
    </w:p>
    <w:p>
      <w:pPr>
        <w:pStyle w:val="141"/>
        <w:numPr>
          <w:ilvl w:val="0"/>
          <w:numId w:val="16"/>
        </w:numPr>
        <w:spacing w:line="360" w:lineRule="auto"/>
        <w:ind w:left="780" w:firstLineChars="0"/>
        <w:rPr>
          <w:rFonts w:ascii="宋体" w:hAnsi="宋体"/>
          <w:b/>
          <w:bCs/>
          <w:color w:val="auto"/>
          <w:sz w:val="24"/>
          <w:szCs w:val="24"/>
          <w:highlight w:val="none"/>
        </w:rPr>
      </w:pPr>
      <w:r>
        <w:rPr>
          <w:rFonts w:hint="eastAsia" w:ascii="宋体" w:hAnsi="宋体"/>
          <w:b/>
          <w:bCs/>
          <w:color w:val="auto"/>
          <w:sz w:val="24"/>
          <w:szCs w:val="24"/>
          <w:highlight w:val="none"/>
        </w:rPr>
        <w:t>技术要求</w:t>
      </w:r>
    </w:p>
    <w:p>
      <w:pPr>
        <w:spacing w:line="360" w:lineRule="auto"/>
        <w:rPr>
          <w:rFonts w:ascii="宋体" w:hAnsi="宋体"/>
          <w:bCs/>
          <w:color w:val="auto"/>
          <w:sz w:val="24"/>
          <w:szCs w:val="24"/>
          <w:highlight w:val="none"/>
        </w:rPr>
      </w:pPr>
      <w:r>
        <w:rPr>
          <w:rFonts w:ascii="宋体" w:hAnsi="宋体"/>
          <w:bCs/>
          <w:color w:val="auto"/>
          <w:sz w:val="24"/>
          <w:szCs w:val="24"/>
          <w:highlight w:val="none"/>
        </w:rPr>
        <w:t>4.1</w:t>
      </w:r>
      <w:r>
        <w:rPr>
          <w:rFonts w:hint="eastAsia" w:ascii="宋体" w:hAnsi="宋体"/>
          <w:bCs/>
          <w:color w:val="auto"/>
          <w:sz w:val="24"/>
          <w:szCs w:val="24"/>
          <w:highlight w:val="none"/>
        </w:rPr>
        <w:t>深化设计要求</w:t>
      </w:r>
    </w:p>
    <w:p>
      <w:pPr>
        <w:pStyle w:val="141"/>
        <w:numPr>
          <w:ilvl w:val="0"/>
          <w:numId w:val="17"/>
        </w:numPr>
        <w:spacing w:line="360" w:lineRule="auto"/>
        <w:ind w:left="780" w:firstLineChars="0"/>
        <w:rPr>
          <w:rFonts w:ascii="宋体" w:hAnsi="宋体"/>
          <w:color w:val="auto"/>
          <w:sz w:val="24"/>
          <w:szCs w:val="24"/>
          <w:highlight w:val="none"/>
        </w:rPr>
      </w:pPr>
      <w:r>
        <w:rPr>
          <w:rFonts w:hint="eastAsia" w:ascii="宋体" w:hAnsi="宋体"/>
          <w:color w:val="auto"/>
          <w:sz w:val="24"/>
          <w:szCs w:val="24"/>
          <w:highlight w:val="none"/>
        </w:rPr>
        <w:t>在符合国家规范标准及原设计图纸要求的前提下，基于</w:t>
      </w:r>
      <w:r>
        <w:rPr>
          <w:rFonts w:ascii="宋体" w:hAnsi="宋体"/>
          <w:color w:val="auto"/>
          <w:sz w:val="24"/>
          <w:szCs w:val="24"/>
          <w:highlight w:val="none"/>
        </w:rPr>
        <w:t>BIM</w:t>
      </w:r>
      <w:r>
        <w:rPr>
          <w:rFonts w:hint="eastAsia" w:ascii="宋体" w:hAnsi="宋体"/>
          <w:color w:val="auto"/>
          <w:sz w:val="24"/>
          <w:szCs w:val="24"/>
          <w:highlight w:val="none"/>
        </w:rPr>
        <w:t>等信息化</w:t>
      </w:r>
      <w:r>
        <w:rPr>
          <w:rFonts w:ascii="宋体" w:hAnsi="宋体"/>
          <w:color w:val="auto"/>
          <w:sz w:val="24"/>
          <w:szCs w:val="24"/>
          <w:highlight w:val="none"/>
        </w:rPr>
        <w:t>技术，</w:t>
      </w:r>
      <w:r>
        <w:rPr>
          <w:rFonts w:hint="eastAsia" w:ascii="宋体" w:hAnsi="宋体"/>
          <w:color w:val="auto"/>
          <w:sz w:val="24"/>
          <w:szCs w:val="24"/>
          <w:highlight w:val="none"/>
        </w:rPr>
        <w:t>为实现节约机房空间、优化平面布局、降低系统能耗、方便后续维护等目标进行深化设计；</w:t>
      </w:r>
    </w:p>
    <w:p>
      <w:pPr>
        <w:pStyle w:val="141"/>
        <w:numPr>
          <w:ilvl w:val="0"/>
          <w:numId w:val="17"/>
        </w:numPr>
        <w:spacing w:line="360" w:lineRule="auto"/>
        <w:ind w:left="780" w:firstLineChars="0"/>
        <w:rPr>
          <w:rFonts w:ascii="宋体" w:hAnsi="宋体"/>
          <w:color w:val="auto"/>
          <w:sz w:val="24"/>
          <w:szCs w:val="24"/>
          <w:highlight w:val="none"/>
        </w:rPr>
      </w:pPr>
      <w:r>
        <w:rPr>
          <w:rFonts w:hint="eastAsia" w:ascii="宋体" w:hAnsi="宋体"/>
          <w:color w:val="auto"/>
          <w:sz w:val="24"/>
          <w:szCs w:val="24"/>
          <w:highlight w:val="none"/>
        </w:rPr>
        <w:t>基于</w:t>
      </w:r>
      <w:r>
        <w:rPr>
          <w:rFonts w:ascii="宋体" w:hAnsi="宋体"/>
          <w:color w:val="auto"/>
          <w:sz w:val="24"/>
          <w:szCs w:val="24"/>
          <w:highlight w:val="none"/>
        </w:rPr>
        <w:t>BIM</w:t>
      </w:r>
      <w:r>
        <w:rPr>
          <w:rFonts w:hint="eastAsia" w:ascii="宋体" w:hAnsi="宋体"/>
          <w:color w:val="auto"/>
          <w:sz w:val="24"/>
          <w:szCs w:val="24"/>
          <w:highlight w:val="none"/>
        </w:rPr>
        <w:t>等信息化</w:t>
      </w:r>
      <w:r>
        <w:rPr>
          <w:rFonts w:ascii="宋体" w:hAnsi="宋体"/>
          <w:color w:val="auto"/>
          <w:sz w:val="24"/>
          <w:szCs w:val="24"/>
          <w:highlight w:val="none"/>
        </w:rPr>
        <w:t>技术</w:t>
      </w:r>
      <w:r>
        <w:rPr>
          <w:rFonts w:hint="eastAsia" w:ascii="宋体" w:hAnsi="宋体"/>
          <w:color w:val="auto"/>
          <w:sz w:val="24"/>
          <w:szCs w:val="24"/>
          <w:highlight w:val="none"/>
        </w:rPr>
        <w:t>对制冷机房进行全专业建模，包括建筑、结构、</w:t>
      </w:r>
      <w:r>
        <w:rPr>
          <w:rFonts w:ascii="宋体" w:hAnsi="宋体"/>
          <w:color w:val="auto"/>
          <w:sz w:val="24"/>
          <w:szCs w:val="24"/>
          <w:highlight w:val="none"/>
        </w:rPr>
        <w:t>空调</w:t>
      </w:r>
      <w:r>
        <w:rPr>
          <w:rFonts w:hint="eastAsia" w:ascii="宋体" w:hAnsi="宋体"/>
          <w:color w:val="auto"/>
          <w:sz w:val="24"/>
          <w:szCs w:val="24"/>
          <w:highlight w:val="none"/>
        </w:rPr>
        <w:t>、消防、给排水、电气、智能化等专业，</w:t>
      </w:r>
      <w:r>
        <w:rPr>
          <w:rFonts w:ascii="宋体" w:hAnsi="宋体"/>
          <w:color w:val="auto"/>
          <w:sz w:val="24"/>
          <w:szCs w:val="24"/>
          <w:highlight w:val="none"/>
        </w:rPr>
        <w:t>模型精度等级</w:t>
      </w:r>
      <w:r>
        <w:rPr>
          <w:rFonts w:hint="eastAsia" w:ascii="宋体" w:hAnsi="宋体"/>
          <w:color w:val="auto"/>
          <w:sz w:val="24"/>
          <w:szCs w:val="24"/>
          <w:highlight w:val="none"/>
        </w:rPr>
        <w:t>不低于</w:t>
      </w:r>
      <w:r>
        <w:rPr>
          <w:rFonts w:ascii="宋体" w:hAnsi="宋体"/>
          <w:color w:val="auto"/>
          <w:sz w:val="24"/>
          <w:szCs w:val="24"/>
          <w:highlight w:val="none"/>
        </w:rPr>
        <w:t>LOD400</w:t>
      </w:r>
      <w:r>
        <w:rPr>
          <w:rFonts w:hint="eastAsia" w:ascii="宋体" w:hAnsi="宋体"/>
          <w:color w:val="auto"/>
          <w:sz w:val="24"/>
          <w:szCs w:val="24"/>
          <w:highlight w:val="none"/>
        </w:rPr>
        <w:t>，模型应通过招标人审核；</w:t>
      </w:r>
    </w:p>
    <w:p>
      <w:pPr>
        <w:pStyle w:val="141"/>
        <w:numPr>
          <w:ilvl w:val="0"/>
          <w:numId w:val="17"/>
        </w:numPr>
        <w:spacing w:line="360" w:lineRule="auto"/>
        <w:ind w:left="780" w:firstLineChars="0"/>
        <w:rPr>
          <w:rFonts w:ascii="宋体" w:hAnsi="宋体"/>
          <w:color w:val="auto"/>
          <w:sz w:val="24"/>
          <w:szCs w:val="24"/>
          <w:highlight w:val="none"/>
        </w:rPr>
      </w:pPr>
      <w:r>
        <w:rPr>
          <w:rFonts w:hint="eastAsia" w:ascii="宋体" w:hAnsi="宋体"/>
          <w:color w:val="auto"/>
          <w:sz w:val="24"/>
          <w:szCs w:val="24"/>
          <w:highlight w:val="none"/>
        </w:rPr>
        <w:t>根据加工工艺、运输要求等条件，利用专用软件对系统分段，并出具精确加工图，满足预制加工、现场组装的需求；</w:t>
      </w:r>
    </w:p>
    <w:p>
      <w:pPr>
        <w:pStyle w:val="141"/>
        <w:numPr>
          <w:ilvl w:val="0"/>
          <w:numId w:val="17"/>
        </w:numPr>
        <w:spacing w:line="360" w:lineRule="auto"/>
        <w:ind w:left="780" w:firstLineChars="0"/>
        <w:rPr>
          <w:rFonts w:ascii="宋体" w:hAnsi="宋体"/>
          <w:color w:val="auto"/>
          <w:sz w:val="24"/>
          <w:szCs w:val="24"/>
          <w:highlight w:val="none"/>
        </w:rPr>
      </w:pPr>
      <w:r>
        <w:rPr>
          <w:rFonts w:hint="eastAsia" w:ascii="宋体" w:hAnsi="宋体"/>
          <w:color w:val="auto"/>
          <w:sz w:val="24"/>
          <w:szCs w:val="24"/>
          <w:highlight w:val="none"/>
        </w:rPr>
        <w:t>通过受力分析计算软件，出具满足受力要求的支吊架图纸；</w:t>
      </w:r>
    </w:p>
    <w:p>
      <w:pPr>
        <w:pStyle w:val="141"/>
        <w:numPr>
          <w:ilvl w:val="0"/>
          <w:numId w:val="17"/>
        </w:numPr>
        <w:spacing w:line="360" w:lineRule="auto"/>
        <w:ind w:left="780" w:firstLineChars="0"/>
        <w:rPr>
          <w:rFonts w:ascii="宋体" w:hAnsi="宋体"/>
          <w:color w:val="auto"/>
          <w:sz w:val="24"/>
          <w:szCs w:val="24"/>
          <w:highlight w:val="none"/>
        </w:rPr>
      </w:pPr>
      <w:r>
        <w:rPr>
          <w:rFonts w:hint="eastAsia" w:ascii="宋体" w:hAnsi="宋体"/>
          <w:color w:val="auto"/>
          <w:sz w:val="24"/>
          <w:szCs w:val="24"/>
          <w:highlight w:val="none"/>
        </w:rPr>
        <w:t>管线优化时应充分考虑系统运行阻力，充分考虑维修通道，以及设备、阀门的维修操作空间；</w:t>
      </w:r>
    </w:p>
    <w:p>
      <w:pPr>
        <w:pStyle w:val="141"/>
        <w:numPr>
          <w:ilvl w:val="0"/>
          <w:numId w:val="17"/>
        </w:numPr>
        <w:spacing w:line="360" w:lineRule="auto"/>
        <w:ind w:left="780" w:firstLineChars="0"/>
        <w:rPr>
          <w:rFonts w:ascii="宋体" w:hAnsi="宋体"/>
          <w:color w:val="auto"/>
          <w:sz w:val="24"/>
          <w:szCs w:val="24"/>
          <w:highlight w:val="none"/>
        </w:rPr>
      </w:pPr>
      <w:r>
        <w:rPr>
          <w:rFonts w:hint="eastAsia" w:ascii="宋体" w:hAnsi="宋体"/>
          <w:color w:val="auto"/>
          <w:sz w:val="24"/>
          <w:szCs w:val="24"/>
          <w:highlight w:val="none"/>
        </w:rPr>
        <w:t>应充分考虑设备与阀门所需电线管、桥架的敷设，充分考虑管线对照明效果的影响；</w:t>
      </w:r>
    </w:p>
    <w:p>
      <w:pPr>
        <w:pStyle w:val="141"/>
        <w:numPr>
          <w:ilvl w:val="0"/>
          <w:numId w:val="17"/>
        </w:numPr>
        <w:spacing w:line="360" w:lineRule="auto"/>
        <w:ind w:left="780" w:firstLineChars="0"/>
        <w:rPr>
          <w:rFonts w:ascii="宋体" w:hAnsi="宋体"/>
          <w:color w:val="auto"/>
          <w:sz w:val="24"/>
          <w:szCs w:val="24"/>
          <w:highlight w:val="none"/>
        </w:rPr>
      </w:pPr>
      <w:r>
        <w:rPr>
          <w:rFonts w:hint="eastAsia" w:ascii="宋体" w:hAnsi="宋体"/>
          <w:color w:val="auto"/>
          <w:sz w:val="24"/>
          <w:szCs w:val="24"/>
          <w:highlight w:val="none"/>
        </w:rPr>
        <w:t>机房建议采用整体式或模块化钢平台技术消除建筑尺寸偏差对实施装配式机房的影响，机房内空调设备、管线宜固定于钢平台上；承包商也可采用其他消除建筑偏差的技术，但不得降低装配式机房的各项要求及指标；（各项目可根据实际情况对模块化钢平台采取强制性要求）</w:t>
      </w:r>
    </w:p>
    <w:p>
      <w:pPr>
        <w:pStyle w:val="141"/>
        <w:numPr>
          <w:ilvl w:val="0"/>
          <w:numId w:val="17"/>
        </w:numPr>
        <w:spacing w:line="360" w:lineRule="auto"/>
        <w:ind w:left="780" w:firstLineChars="0"/>
        <w:rPr>
          <w:rFonts w:ascii="宋体" w:hAnsi="宋体"/>
          <w:color w:val="auto"/>
          <w:sz w:val="24"/>
          <w:szCs w:val="24"/>
          <w:highlight w:val="none"/>
        </w:rPr>
      </w:pPr>
      <w:r>
        <w:rPr>
          <w:rFonts w:hint="eastAsia" w:ascii="宋体" w:hAnsi="宋体"/>
          <w:color w:val="auto"/>
          <w:sz w:val="24"/>
          <w:szCs w:val="24"/>
          <w:highlight w:val="none"/>
        </w:rPr>
        <w:t>在水力计算满足要求的前提下，考虑噪声及空间等因素，可对水泵、阀门等设备的形式进行优化，优化成果需报招标人审核通过；</w:t>
      </w:r>
    </w:p>
    <w:p>
      <w:pPr>
        <w:spacing w:line="360" w:lineRule="auto"/>
        <w:rPr>
          <w:rFonts w:ascii="宋体" w:hAnsi="宋体"/>
          <w:bCs/>
          <w:color w:val="auto"/>
          <w:sz w:val="24"/>
          <w:szCs w:val="24"/>
          <w:highlight w:val="none"/>
        </w:rPr>
      </w:pPr>
      <w:r>
        <w:rPr>
          <w:rFonts w:hint="eastAsia" w:ascii="宋体" w:hAnsi="宋体"/>
          <w:bCs/>
          <w:color w:val="auto"/>
          <w:sz w:val="24"/>
          <w:szCs w:val="24"/>
          <w:highlight w:val="none"/>
        </w:rPr>
        <w:t>4.</w:t>
      </w:r>
      <w:r>
        <w:rPr>
          <w:rFonts w:ascii="宋体" w:hAnsi="宋体"/>
          <w:bCs/>
          <w:color w:val="auto"/>
          <w:sz w:val="24"/>
          <w:szCs w:val="24"/>
          <w:highlight w:val="none"/>
        </w:rPr>
        <w:t>2</w:t>
      </w:r>
      <w:r>
        <w:rPr>
          <w:rFonts w:hint="eastAsia" w:ascii="宋体" w:hAnsi="宋体"/>
          <w:bCs/>
          <w:color w:val="auto"/>
          <w:sz w:val="24"/>
          <w:szCs w:val="24"/>
          <w:highlight w:val="none"/>
        </w:rPr>
        <w:t>预制加工要求</w:t>
      </w:r>
    </w:p>
    <w:p>
      <w:pPr>
        <w:pStyle w:val="141"/>
        <w:numPr>
          <w:ilvl w:val="0"/>
          <w:numId w:val="18"/>
        </w:numPr>
        <w:spacing w:line="360" w:lineRule="auto"/>
        <w:ind w:left="780" w:firstLineChars="0"/>
        <w:rPr>
          <w:rFonts w:ascii="宋体" w:hAnsi="宋体"/>
          <w:color w:val="auto"/>
          <w:sz w:val="24"/>
          <w:szCs w:val="24"/>
          <w:highlight w:val="none"/>
        </w:rPr>
      </w:pPr>
      <w:r>
        <w:rPr>
          <w:rFonts w:hint="eastAsia" w:ascii="宋体" w:hAnsi="宋体"/>
          <w:color w:val="auto"/>
          <w:sz w:val="24"/>
          <w:szCs w:val="24"/>
          <w:highlight w:val="none"/>
        </w:rPr>
        <w:t>钢平台</w:t>
      </w:r>
    </w:p>
    <w:p>
      <w:pPr>
        <w:pStyle w:val="141"/>
        <w:numPr>
          <w:ilvl w:val="0"/>
          <w:numId w:val="19"/>
        </w:numPr>
        <w:spacing w:line="360" w:lineRule="auto"/>
        <w:ind w:firstLineChars="0"/>
        <w:rPr>
          <w:rFonts w:ascii="宋体" w:hAnsi="宋体"/>
          <w:color w:val="auto"/>
          <w:sz w:val="24"/>
          <w:szCs w:val="24"/>
          <w:highlight w:val="none"/>
        </w:rPr>
      </w:pPr>
      <w:r>
        <w:rPr>
          <w:rFonts w:hint="eastAsia" w:ascii="宋体" w:hAnsi="宋体"/>
          <w:color w:val="auto"/>
          <w:sz w:val="24"/>
          <w:szCs w:val="24"/>
          <w:highlight w:val="none"/>
        </w:rPr>
        <w:t>能够满足系统运行时设备、管道、支架对平台的荷载要求，能够满足抗震及减震要求，消除建筑尺寸偏差，确保现场装配精度；</w:t>
      </w:r>
    </w:p>
    <w:p>
      <w:pPr>
        <w:pStyle w:val="141"/>
        <w:numPr>
          <w:ilvl w:val="0"/>
          <w:numId w:val="19"/>
        </w:numPr>
        <w:spacing w:line="360" w:lineRule="auto"/>
        <w:ind w:firstLineChars="0"/>
        <w:rPr>
          <w:rFonts w:ascii="宋体" w:hAnsi="宋体"/>
          <w:color w:val="auto"/>
          <w:sz w:val="24"/>
          <w:szCs w:val="24"/>
          <w:highlight w:val="none"/>
        </w:rPr>
      </w:pPr>
      <w:r>
        <w:rPr>
          <w:rFonts w:hint="eastAsia" w:ascii="宋体" w:hAnsi="宋体"/>
          <w:color w:val="auto"/>
          <w:sz w:val="24"/>
          <w:szCs w:val="24"/>
          <w:highlight w:val="none"/>
        </w:rPr>
        <w:t>平台采用不低于</w:t>
      </w:r>
      <w:r>
        <w:rPr>
          <w:rFonts w:ascii="宋体" w:hAnsi="宋体"/>
          <w:color w:val="auto"/>
          <w:sz w:val="24"/>
          <w:szCs w:val="24"/>
          <w:highlight w:val="none"/>
        </w:rPr>
        <w:t>Q235的优质钢材加工，平台内通道处采用厚度不低于5mm的防滑钢板，变形量需满足结构安全要求及舒适要求；</w:t>
      </w:r>
    </w:p>
    <w:p>
      <w:pPr>
        <w:pStyle w:val="141"/>
        <w:numPr>
          <w:ilvl w:val="0"/>
          <w:numId w:val="19"/>
        </w:numPr>
        <w:spacing w:line="360" w:lineRule="auto"/>
        <w:ind w:firstLineChars="0"/>
        <w:rPr>
          <w:rFonts w:ascii="宋体" w:hAnsi="宋体"/>
          <w:color w:val="auto"/>
          <w:sz w:val="24"/>
          <w:szCs w:val="24"/>
          <w:highlight w:val="none"/>
        </w:rPr>
      </w:pPr>
      <w:r>
        <w:rPr>
          <w:rFonts w:hint="eastAsia" w:ascii="宋体" w:hAnsi="宋体"/>
          <w:color w:val="auto"/>
          <w:sz w:val="24"/>
          <w:szCs w:val="24"/>
          <w:highlight w:val="none"/>
        </w:rPr>
        <w:t>钢平台的除锈、切割、焊接等作业必须在工厂内完成，易触及的零部件表面不得有锐边和尖角部分；</w:t>
      </w:r>
    </w:p>
    <w:p>
      <w:pPr>
        <w:pStyle w:val="141"/>
        <w:numPr>
          <w:ilvl w:val="0"/>
          <w:numId w:val="19"/>
        </w:numPr>
        <w:spacing w:line="360" w:lineRule="auto"/>
        <w:ind w:firstLineChars="0"/>
        <w:rPr>
          <w:rFonts w:ascii="宋体" w:hAnsi="宋体"/>
          <w:color w:val="auto"/>
          <w:sz w:val="24"/>
          <w:szCs w:val="24"/>
          <w:highlight w:val="none"/>
        </w:rPr>
      </w:pPr>
      <w:r>
        <w:rPr>
          <w:rFonts w:hint="eastAsia" w:ascii="宋体" w:hAnsi="宋体"/>
          <w:color w:val="auto"/>
          <w:sz w:val="24"/>
          <w:szCs w:val="24"/>
          <w:highlight w:val="none"/>
        </w:rPr>
        <w:t>钢平台需进行热镀锌处理，镀锌应满足《金属覆盖层</w:t>
      </w:r>
      <w:r>
        <w:rPr>
          <w:rFonts w:ascii="宋体" w:hAnsi="宋体"/>
          <w:color w:val="auto"/>
          <w:sz w:val="24"/>
          <w:szCs w:val="24"/>
          <w:highlight w:val="none"/>
        </w:rPr>
        <w:t xml:space="preserve"> </w:t>
      </w:r>
      <w:r>
        <w:rPr>
          <w:rFonts w:hint="eastAsia" w:ascii="宋体" w:hAnsi="宋体"/>
          <w:color w:val="auto"/>
          <w:sz w:val="24"/>
          <w:szCs w:val="24"/>
          <w:highlight w:val="none"/>
        </w:rPr>
        <w:t>钢铁制件热浸镀锌层技术要求及试验方法》</w:t>
      </w:r>
      <w:r>
        <w:rPr>
          <w:rFonts w:ascii="宋体" w:hAnsi="宋体"/>
          <w:color w:val="auto"/>
          <w:sz w:val="24"/>
          <w:szCs w:val="24"/>
          <w:highlight w:val="none"/>
        </w:rPr>
        <w:t>GB/T 13912要求；</w:t>
      </w:r>
    </w:p>
    <w:p>
      <w:pPr>
        <w:pStyle w:val="141"/>
        <w:numPr>
          <w:ilvl w:val="0"/>
          <w:numId w:val="19"/>
        </w:numPr>
        <w:spacing w:line="360" w:lineRule="auto"/>
        <w:ind w:firstLineChars="0"/>
        <w:rPr>
          <w:rFonts w:ascii="宋体" w:hAnsi="宋体"/>
          <w:color w:val="auto"/>
          <w:sz w:val="24"/>
          <w:szCs w:val="24"/>
          <w:highlight w:val="none"/>
        </w:rPr>
      </w:pPr>
      <w:r>
        <w:rPr>
          <w:rFonts w:hint="eastAsia" w:ascii="宋体" w:hAnsi="宋体"/>
          <w:color w:val="auto"/>
          <w:sz w:val="24"/>
          <w:szCs w:val="24"/>
          <w:highlight w:val="none"/>
        </w:rPr>
        <w:t>各种设备、组装段要求配置外形尺寸等安装参数信息的二维码，方便后期设备、配件运行维护；</w:t>
      </w:r>
    </w:p>
    <w:p>
      <w:pPr>
        <w:pStyle w:val="141"/>
        <w:numPr>
          <w:ilvl w:val="0"/>
          <w:numId w:val="18"/>
        </w:numPr>
        <w:spacing w:line="360" w:lineRule="auto"/>
        <w:ind w:left="780" w:firstLineChars="0"/>
        <w:rPr>
          <w:rFonts w:ascii="宋体" w:hAnsi="宋体"/>
          <w:color w:val="auto"/>
          <w:sz w:val="24"/>
          <w:szCs w:val="24"/>
          <w:highlight w:val="none"/>
        </w:rPr>
      </w:pPr>
      <w:r>
        <w:rPr>
          <w:rFonts w:hint="eastAsia" w:ascii="宋体" w:hAnsi="宋体"/>
          <w:color w:val="auto"/>
          <w:sz w:val="24"/>
          <w:szCs w:val="24"/>
          <w:highlight w:val="none"/>
        </w:rPr>
        <w:t>空调水系统</w:t>
      </w:r>
    </w:p>
    <w:p>
      <w:pPr>
        <w:pStyle w:val="141"/>
        <w:numPr>
          <w:ilvl w:val="0"/>
          <w:numId w:val="20"/>
        </w:numPr>
        <w:spacing w:line="360" w:lineRule="auto"/>
        <w:ind w:left="420" w:firstLineChars="0"/>
        <w:rPr>
          <w:rFonts w:ascii="宋体" w:hAnsi="宋体"/>
          <w:color w:val="auto"/>
          <w:sz w:val="24"/>
          <w:szCs w:val="24"/>
          <w:highlight w:val="none"/>
        </w:rPr>
      </w:pPr>
      <w:r>
        <w:rPr>
          <w:rFonts w:hint="eastAsia" w:ascii="宋体" w:hAnsi="宋体"/>
          <w:color w:val="auto"/>
          <w:sz w:val="24"/>
          <w:szCs w:val="24"/>
          <w:highlight w:val="none"/>
        </w:rPr>
        <w:t>支吊架严禁采用开椭圆孔的方式消除螺栓处的垂直偏差，严禁现场切割焊接消除测量偏差；</w:t>
      </w:r>
    </w:p>
    <w:p>
      <w:pPr>
        <w:pStyle w:val="141"/>
        <w:numPr>
          <w:ilvl w:val="0"/>
          <w:numId w:val="20"/>
        </w:numPr>
        <w:spacing w:line="360" w:lineRule="auto"/>
        <w:ind w:left="420" w:firstLineChars="0"/>
        <w:rPr>
          <w:rFonts w:ascii="宋体" w:hAnsi="宋体"/>
          <w:color w:val="auto"/>
          <w:sz w:val="24"/>
          <w:szCs w:val="24"/>
          <w:highlight w:val="none"/>
        </w:rPr>
      </w:pPr>
      <w:r>
        <w:rPr>
          <w:rFonts w:hint="eastAsia" w:ascii="宋体" w:hAnsi="宋体"/>
          <w:color w:val="auto"/>
          <w:sz w:val="24"/>
          <w:szCs w:val="24"/>
          <w:highlight w:val="none"/>
        </w:rPr>
        <w:t>管道及设备优先采用落地支架或钢平台方式固定，不同系统宜采用符合规范要求的联合支吊架；</w:t>
      </w:r>
    </w:p>
    <w:p>
      <w:pPr>
        <w:pStyle w:val="141"/>
        <w:numPr>
          <w:ilvl w:val="0"/>
          <w:numId w:val="20"/>
        </w:numPr>
        <w:spacing w:line="360" w:lineRule="auto"/>
        <w:ind w:left="420" w:firstLineChars="0"/>
        <w:rPr>
          <w:rFonts w:ascii="宋体" w:hAnsi="宋体"/>
          <w:color w:val="auto"/>
          <w:sz w:val="24"/>
          <w:szCs w:val="24"/>
          <w:highlight w:val="none"/>
        </w:rPr>
      </w:pPr>
      <w:r>
        <w:rPr>
          <w:rFonts w:hint="eastAsia" w:ascii="宋体" w:hAnsi="宋体"/>
          <w:color w:val="auto"/>
          <w:sz w:val="24"/>
          <w:szCs w:val="24"/>
          <w:highlight w:val="none"/>
        </w:rPr>
        <w:t>管道除锈应在工厂内由自动化设备完成（管径≥</w:t>
      </w:r>
      <w:r>
        <w:rPr>
          <w:rFonts w:ascii="宋体" w:hAnsi="宋体"/>
          <w:color w:val="auto"/>
          <w:sz w:val="24"/>
          <w:szCs w:val="24"/>
          <w:highlight w:val="none"/>
        </w:rPr>
        <w:t>DN500的管道根据除锈设备的加工能力不做强制要求，但不得降低除锈要求）；</w:t>
      </w:r>
    </w:p>
    <w:p>
      <w:pPr>
        <w:pStyle w:val="141"/>
        <w:numPr>
          <w:ilvl w:val="0"/>
          <w:numId w:val="20"/>
        </w:numPr>
        <w:spacing w:line="360" w:lineRule="auto"/>
        <w:ind w:left="420" w:firstLineChars="0"/>
        <w:rPr>
          <w:rFonts w:ascii="宋体" w:hAnsi="宋体"/>
          <w:color w:val="auto"/>
          <w:sz w:val="24"/>
          <w:szCs w:val="24"/>
          <w:highlight w:val="none"/>
        </w:rPr>
      </w:pPr>
      <w:r>
        <w:rPr>
          <w:rFonts w:hint="eastAsia" w:ascii="宋体" w:hAnsi="宋体"/>
          <w:color w:val="auto"/>
          <w:sz w:val="24"/>
          <w:szCs w:val="24"/>
          <w:highlight w:val="none"/>
        </w:rPr>
        <w:t>管道的油漆工序应在工厂涂装车间完成，油漆应采用喷涂工艺；</w:t>
      </w:r>
    </w:p>
    <w:p>
      <w:pPr>
        <w:pStyle w:val="141"/>
        <w:numPr>
          <w:ilvl w:val="0"/>
          <w:numId w:val="20"/>
        </w:numPr>
        <w:spacing w:line="360" w:lineRule="auto"/>
        <w:ind w:left="420" w:firstLineChars="0"/>
        <w:rPr>
          <w:rFonts w:ascii="宋体" w:hAnsi="宋体"/>
          <w:color w:val="auto"/>
          <w:sz w:val="24"/>
          <w:szCs w:val="24"/>
          <w:highlight w:val="none"/>
        </w:rPr>
      </w:pPr>
      <w:r>
        <w:rPr>
          <w:rFonts w:hint="eastAsia" w:ascii="宋体" w:hAnsi="宋体"/>
          <w:color w:val="auto"/>
          <w:sz w:val="24"/>
          <w:szCs w:val="24"/>
          <w:highlight w:val="none"/>
        </w:rPr>
        <w:t>管道加工完成后，管径≤</w:t>
      </w:r>
      <w:r>
        <w:rPr>
          <w:rFonts w:ascii="宋体" w:hAnsi="宋体"/>
          <w:color w:val="auto"/>
          <w:sz w:val="24"/>
          <w:szCs w:val="24"/>
          <w:highlight w:val="none"/>
        </w:rPr>
        <w:t xml:space="preserve">DN400管道需进行内外热镀锌处理，镀锌层应满足《金属覆盖层 </w:t>
      </w:r>
      <w:r>
        <w:rPr>
          <w:rFonts w:hint="eastAsia" w:ascii="宋体" w:hAnsi="宋体"/>
          <w:color w:val="auto"/>
          <w:sz w:val="24"/>
          <w:szCs w:val="24"/>
          <w:highlight w:val="none"/>
        </w:rPr>
        <w:t>钢铁制件热浸镀锌层技术要求及试验方法》</w:t>
      </w:r>
      <w:r>
        <w:rPr>
          <w:rFonts w:ascii="宋体" w:hAnsi="宋体"/>
          <w:color w:val="auto"/>
          <w:sz w:val="24"/>
          <w:szCs w:val="24"/>
          <w:highlight w:val="none"/>
        </w:rPr>
        <w:t>GB/T 13912要求；</w:t>
      </w:r>
    </w:p>
    <w:p>
      <w:pPr>
        <w:pStyle w:val="141"/>
        <w:numPr>
          <w:ilvl w:val="0"/>
          <w:numId w:val="20"/>
        </w:numPr>
        <w:spacing w:line="360" w:lineRule="auto"/>
        <w:ind w:left="420" w:firstLineChars="0"/>
        <w:rPr>
          <w:rFonts w:ascii="宋体" w:hAnsi="宋体"/>
          <w:color w:val="auto"/>
          <w:sz w:val="24"/>
          <w:szCs w:val="24"/>
          <w:highlight w:val="none"/>
        </w:rPr>
      </w:pPr>
      <w:r>
        <w:rPr>
          <w:rFonts w:hint="eastAsia" w:ascii="宋体" w:hAnsi="宋体"/>
          <w:color w:val="auto"/>
          <w:sz w:val="24"/>
          <w:szCs w:val="24"/>
          <w:highlight w:val="none"/>
        </w:rPr>
        <w:t>管道切割需在工厂由自动化设备自动完成；</w:t>
      </w:r>
    </w:p>
    <w:p>
      <w:pPr>
        <w:pStyle w:val="141"/>
        <w:numPr>
          <w:ilvl w:val="0"/>
          <w:numId w:val="20"/>
        </w:numPr>
        <w:spacing w:line="360" w:lineRule="auto"/>
        <w:ind w:left="420" w:firstLineChars="0"/>
        <w:rPr>
          <w:rFonts w:ascii="宋体" w:hAnsi="宋体"/>
          <w:color w:val="auto"/>
          <w:sz w:val="24"/>
          <w:szCs w:val="24"/>
          <w:highlight w:val="none"/>
        </w:rPr>
      </w:pPr>
      <w:r>
        <w:rPr>
          <w:rFonts w:hint="eastAsia" w:ascii="宋体" w:hAnsi="宋体"/>
          <w:color w:val="auto"/>
          <w:sz w:val="24"/>
          <w:szCs w:val="24"/>
          <w:highlight w:val="none"/>
        </w:rPr>
        <w:t>水管、配件焊接应在工厂采用自动化设备焊接完成；</w:t>
      </w:r>
    </w:p>
    <w:p>
      <w:pPr>
        <w:pStyle w:val="141"/>
        <w:numPr>
          <w:ilvl w:val="0"/>
          <w:numId w:val="20"/>
        </w:numPr>
        <w:spacing w:line="360" w:lineRule="auto"/>
        <w:ind w:left="420" w:firstLineChars="0"/>
        <w:rPr>
          <w:rFonts w:ascii="宋体" w:hAnsi="宋体"/>
          <w:color w:val="auto"/>
          <w:sz w:val="24"/>
          <w:szCs w:val="24"/>
          <w:highlight w:val="none"/>
        </w:rPr>
      </w:pPr>
      <w:r>
        <w:rPr>
          <w:rFonts w:hint="eastAsia" w:ascii="宋体" w:hAnsi="宋体"/>
          <w:color w:val="auto"/>
          <w:sz w:val="24"/>
          <w:szCs w:val="24"/>
          <w:highlight w:val="none"/>
        </w:rPr>
        <w:t>管径≥</w:t>
      </w:r>
      <w:r>
        <w:rPr>
          <w:rFonts w:ascii="宋体" w:hAnsi="宋体"/>
          <w:color w:val="auto"/>
          <w:sz w:val="24"/>
          <w:szCs w:val="24"/>
          <w:highlight w:val="none"/>
        </w:rPr>
        <w:t>DN80以上规格的管</w:t>
      </w:r>
      <w:r>
        <w:rPr>
          <w:rFonts w:hint="eastAsia" w:ascii="宋体" w:hAnsi="宋体"/>
          <w:color w:val="auto"/>
          <w:sz w:val="24"/>
          <w:szCs w:val="24"/>
          <w:highlight w:val="none"/>
        </w:rPr>
        <w:t>道</w:t>
      </w:r>
      <w:r>
        <w:rPr>
          <w:rFonts w:ascii="宋体" w:hAnsi="宋体"/>
          <w:color w:val="auto"/>
          <w:sz w:val="24"/>
          <w:szCs w:val="24"/>
          <w:highlight w:val="none"/>
        </w:rPr>
        <w:t>连接方式为法兰连接</w:t>
      </w:r>
      <w:r>
        <w:rPr>
          <w:rFonts w:hint="eastAsia" w:ascii="宋体" w:hAnsi="宋体"/>
          <w:color w:val="auto"/>
          <w:sz w:val="24"/>
          <w:szCs w:val="24"/>
          <w:highlight w:val="none"/>
        </w:rPr>
        <w:t>或焊接连接</w:t>
      </w:r>
      <w:r>
        <w:rPr>
          <w:rFonts w:ascii="宋体" w:hAnsi="宋体"/>
          <w:color w:val="auto"/>
          <w:sz w:val="24"/>
          <w:szCs w:val="24"/>
          <w:highlight w:val="none"/>
        </w:rPr>
        <w:t>，</w:t>
      </w:r>
      <w:r>
        <w:rPr>
          <w:rFonts w:hint="eastAsia" w:ascii="宋体" w:hAnsi="宋体"/>
          <w:color w:val="auto"/>
          <w:sz w:val="24"/>
          <w:szCs w:val="24"/>
          <w:highlight w:val="none"/>
        </w:rPr>
        <w:t>管径＜</w:t>
      </w:r>
      <w:r>
        <w:rPr>
          <w:rFonts w:ascii="宋体" w:hAnsi="宋体"/>
          <w:color w:val="auto"/>
          <w:sz w:val="24"/>
          <w:szCs w:val="24"/>
          <w:highlight w:val="none"/>
        </w:rPr>
        <w:t>DN80</w:t>
      </w:r>
      <w:r>
        <w:rPr>
          <w:rFonts w:hint="eastAsia" w:ascii="宋体" w:hAnsi="宋体"/>
          <w:color w:val="auto"/>
          <w:sz w:val="24"/>
          <w:szCs w:val="24"/>
          <w:highlight w:val="none"/>
        </w:rPr>
        <w:t>的钢管采用镀锌钢管，丝扣连接；</w:t>
      </w:r>
    </w:p>
    <w:p>
      <w:pPr>
        <w:pStyle w:val="141"/>
        <w:numPr>
          <w:ilvl w:val="0"/>
          <w:numId w:val="20"/>
        </w:numPr>
        <w:spacing w:line="360" w:lineRule="auto"/>
        <w:ind w:left="420" w:firstLineChars="0"/>
        <w:rPr>
          <w:rFonts w:ascii="宋体" w:hAnsi="宋体"/>
          <w:color w:val="auto"/>
          <w:sz w:val="24"/>
          <w:szCs w:val="24"/>
          <w:highlight w:val="none"/>
        </w:rPr>
      </w:pPr>
      <w:r>
        <w:rPr>
          <w:rFonts w:hint="eastAsia" w:ascii="宋体" w:hAnsi="宋体"/>
          <w:color w:val="auto"/>
          <w:sz w:val="24"/>
          <w:szCs w:val="24"/>
          <w:highlight w:val="none"/>
        </w:rPr>
        <w:t>所有管道设备的法兰片应符合中华人民共和国国家标准《</w:t>
      </w:r>
      <w:r>
        <w:rPr>
          <w:rFonts w:ascii="宋体" w:hAnsi="宋体"/>
          <w:color w:val="auto"/>
          <w:sz w:val="24"/>
          <w:szCs w:val="24"/>
          <w:highlight w:val="none"/>
        </w:rPr>
        <w:t>GB/T 9112~9124-2010钢制管法兰》；</w:t>
      </w:r>
    </w:p>
    <w:p>
      <w:pPr>
        <w:pStyle w:val="141"/>
        <w:numPr>
          <w:ilvl w:val="0"/>
          <w:numId w:val="20"/>
        </w:numPr>
        <w:spacing w:line="360" w:lineRule="auto"/>
        <w:ind w:left="420" w:firstLineChars="0"/>
        <w:rPr>
          <w:rFonts w:ascii="宋体" w:hAnsi="宋体"/>
          <w:color w:val="auto"/>
          <w:sz w:val="24"/>
          <w:szCs w:val="24"/>
          <w:highlight w:val="none"/>
        </w:rPr>
      </w:pPr>
      <w:r>
        <w:rPr>
          <w:rFonts w:hint="eastAsia" w:ascii="宋体" w:hAnsi="宋体"/>
          <w:color w:val="auto"/>
          <w:sz w:val="24"/>
          <w:szCs w:val="24"/>
          <w:highlight w:val="none"/>
        </w:rPr>
        <w:t>各种设备、组装段要求配置外形尺寸等安装参数信息的二维码，方便后期设备、配件运行维护；</w:t>
      </w:r>
    </w:p>
    <w:p>
      <w:pPr>
        <w:spacing w:line="360" w:lineRule="auto"/>
        <w:rPr>
          <w:rFonts w:ascii="宋体" w:hAnsi="宋体"/>
          <w:bCs/>
          <w:color w:val="auto"/>
          <w:sz w:val="24"/>
          <w:szCs w:val="24"/>
          <w:highlight w:val="none"/>
        </w:rPr>
      </w:pPr>
      <w:r>
        <w:rPr>
          <w:rFonts w:hint="eastAsia" w:ascii="宋体" w:hAnsi="宋体"/>
          <w:bCs/>
          <w:color w:val="auto"/>
          <w:sz w:val="24"/>
          <w:szCs w:val="24"/>
          <w:highlight w:val="none"/>
        </w:rPr>
        <w:t>4.3</w:t>
      </w:r>
      <w:r>
        <w:rPr>
          <w:rFonts w:ascii="宋体" w:hAnsi="宋体"/>
          <w:bCs/>
          <w:color w:val="auto"/>
          <w:sz w:val="24"/>
          <w:szCs w:val="24"/>
          <w:highlight w:val="none"/>
        </w:rPr>
        <w:t xml:space="preserve"> </w:t>
      </w:r>
      <w:r>
        <w:rPr>
          <w:rFonts w:hint="eastAsia" w:ascii="宋体" w:hAnsi="宋体"/>
          <w:bCs/>
          <w:color w:val="auto"/>
          <w:sz w:val="24"/>
          <w:szCs w:val="24"/>
          <w:highlight w:val="none"/>
        </w:rPr>
        <w:t>现场安装要求</w:t>
      </w:r>
    </w:p>
    <w:p>
      <w:pPr>
        <w:pStyle w:val="141"/>
        <w:numPr>
          <w:ilvl w:val="0"/>
          <w:numId w:val="21"/>
        </w:numPr>
        <w:spacing w:line="360" w:lineRule="auto"/>
        <w:ind w:left="420" w:firstLineChars="0"/>
        <w:rPr>
          <w:rFonts w:ascii="宋体" w:hAnsi="宋体"/>
          <w:color w:val="auto"/>
          <w:sz w:val="24"/>
          <w:szCs w:val="24"/>
          <w:highlight w:val="none"/>
        </w:rPr>
      </w:pPr>
      <w:r>
        <w:rPr>
          <w:rFonts w:hint="eastAsia" w:ascii="宋体" w:hAnsi="宋体"/>
          <w:color w:val="auto"/>
          <w:sz w:val="24"/>
          <w:szCs w:val="24"/>
          <w:highlight w:val="none"/>
        </w:rPr>
        <w:t>承包商应编制装配式制冷机房专项施工方案，对设备运输、吊装、施工工序、测量复核、质量进度安全等内容进行策划；</w:t>
      </w:r>
    </w:p>
    <w:p>
      <w:pPr>
        <w:pStyle w:val="141"/>
        <w:numPr>
          <w:ilvl w:val="0"/>
          <w:numId w:val="21"/>
        </w:numPr>
        <w:spacing w:line="360" w:lineRule="auto"/>
        <w:ind w:left="420" w:firstLineChars="0"/>
        <w:rPr>
          <w:rFonts w:ascii="宋体" w:hAnsi="宋体"/>
          <w:color w:val="auto"/>
          <w:sz w:val="24"/>
          <w:szCs w:val="24"/>
          <w:highlight w:val="none"/>
        </w:rPr>
      </w:pPr>
      <w:r>
        <w:rPr>
          <w:rFonts w:hint="eastAsia" w:ascii="宋体" w:hAnsi="宋体"/>
          <w:color w:val="auto"/>
          <w:sz w:val="24"/>
          <w:szCs w:val="24"/>
          <w:highlight w:val="none"/>
        </w:rPr>
        <w:t>承包商必须严格按照审核确认的模型成果文件组织各个机电专业按图施工，未经</w:t>
      </w:r>
      <w:r>
        <w:rPr>
          <w:rFonts w:hint="eastAsia" w:ascii="宋体" w:hAnsi="宋体"/>
          <w:color w:val="auto"/>
          <w:sz w:val="24"/>
          <w:szCs w:val="24"/>
          <w:highlight w:val="none"/>
          <w:lang w:eastAsia="zh-CN"/>
        </w:rPr>
        <w:t>书面</w:t>
      </w:r>
      <w:r>
        <w:rPr>
          <w:rFonts w:hint="eastAsia" w:ascii="宋体" w:hAnsi="宋体"/>
          <w:color w:val="auto"/>
          <w:sz w:val="24"/>
          <w:szCs w:val="24"/>
          <w:highlight w:val="none"/>
        </w:rPr>
        <w:t>批准不得调整模型；</w:t>
      </w:r>
    </w:p>
    <w:p>
      <w:pPr>
        <w:pStyle w:val="141"/>
        <w:numPr>
          <w:ilvl w:val="0"/>
          <w:numId w:val="21"/>
        </w:numPr>
        <w:spacing w:line="360" w:lineRule="auto"/>
        <w:ind w:left="420" w:firstLineChars="0"/>
        <w:rPr>
          <w:rFonts w:ascii="宋体" w:hAnsi="宋体"/>
          <w:color w:val="auto"/>
          <w:sz w:val="24"/>
          <w:szCs w:val="24"/>
          <w:highlight w:val="none"/>
        </w:rPr>
      </w:pPr>
      <w:r>
        <w:rPr>
          <w:rFonts w:hint="eastAsia" w:ascii="宋体" w:hAnsi="宋体"/>
          <w:color w:val="auto"/>
          <w:sz w:val="24"/>
          <w:szCs w:val="24"/>
          <w:highlight w:val="none"/>
        </w:rPr>
        <w:t>主机、水泵等动力设备应合理选择减震器型号。减震器不应被混凝土、水泥砂浆覆盖，不应有水浸的风险；</w:t>
      </w:r>
    </w:p>
    <w:p>
      <w:pPr>
        <w:pStyle w:val="141"/>
        <w:numPr>
          <w:ilvl w:val="0"/>
          <w:numId w:val="21"/>
        </w:numPr>
        <w:spacing w:line="360" w:lineRule="auto"/>
        <w:ind w:left="420" w:firstLineChars="0"/>
        <w:rPr>
          <w:rFonts w:ascii="宋体" w:hAnsi="宋体"/>
          <w:color w:val="auto"/>
          <w:sz w:val="24"/>
          <w:szCs w:val="24"/>
          <w:highlight w:val="none"/>
        </w:rPr>
      </w:pPr>
      <w:r>
        <w:rPr>
          <w:rFonts w:hint="eastAsia" w:ascii="宋体" w:hAnsi="宋体"/>
          <w:color w:val="auto"/>
          <w:sz w:val="24"/>
          <w:szCs w:val="24"/>
          <w:highlight w:val="none"/>
        </w:rPr>
        <w:t>冷凝水、排污管沿墙敷设、预埋等手段，管路不应影响检修、通行；</w:t>
      </w:r>
    </w:p>
    <w:p>
      <w:pPr>
        <w:pStyle w:val="141"/>
        <w:numPr>
          <w:ilvl w:val="0"/>
          <w:numId w:val="21"/>
        </w:numPr>
        <w:spacing w:line="360" w:lineRule="auto"/>
        <w:ind w:left="420" w:firstLineChars="0"/>
        <w:rPr>
          <w:rFonts w:ascii="宋体" w:hAnsi="宋体"/>
          <w:color w:val="auto"/>
          <w:sz w:val="24"/>
          <w:szCs w:val="24"/>
          <w:highlight w:val="none"/>
        </w:rPr>
      </w:pPr>
      <w:r>
        <w:rPr>
          <w:rFonts w:hint="eastAsia" w:ascii="宋体" w:hAnsi="宋体"/>
          <w:color w:val="auto"/>
          <w:sz w:val="24"/>
          <w:szCs w:val="24"/>
          <w:highlight w:val="none"/>
        </w:rPr>
        <w:t>如因建筑条件限制，设备的配电柜、控制柜不能与水系统物理分隔时，柜体安装需充分考虑防水措施；</w:t>
      </w:r>
    </w:p>
    <w:p>
      <w:pPr>
        <w:pStyle w:val="141"/>
        <w:numPr>
          <w:ilvl w:val="0"/>
          <w:numId w:val="21"/>
        </w:numPr>
        <w:spacing w:line="360" w:lineRule="auto"/>
        <w:ind w:left="420" w:firstLineChars="0"/>
        <w:rPr>
          <w:rFonts w:ascii="宋体" w:hAnsi="宋体"/>
          <w:color w:val="auto"/>
          <w:sz w:val="24"/>
          <w:szCs w:val="24"/>
          <w:highlight w:val="none"/>
        </w:rPr>
      </w:pPr>
      <w:r>
        <w:rPr>
          <w:rFonts w:hint="eastAsia" w:ascii="宋体" w:hAnsi="宋体"/>
          <w:color w:val="auto"/>
          <w:sz w:val="24"/>
          <w:szCs w:val="24"/>
          <w:highlight w:val="none"/>
        </w:rPr>
        <w:t>如机房内管道保温外设保护层，阀门等有拆卸需求的部位需满足装配安装、快速拆卸要求；</w:t>
      </w:r>
    </w:p>
    <w:p>
      <w:pPr>
        <w:pStyle w:val="141"/>
        <w:numPr>
          <w:ilvl w:val="0"/>
          <w:numId w:val="21"/>
        </w:numPr>
        <w:spacing w:line="360" w:lineRule="auto"/>
        <w:ind w:left="420" w:firstLineChars="0"/>
        <w:rPr>
          <w:rFonts w:ascii="宋体" w:hAnsi="宋体"/>
          <w:color w:val="auto"/>
          <w:sz w:val="24"/>
          <w:szCs w:val="24"/>
          <w:highlight w:val="none"/>
        </w:rPr>
      </w:pPr>
      <w:r>
        <w:rPr>
          <w:rFonts w:hint="eastAsia" w:ascii="宋体" w:hAnsi="宋体"/>
          <w:color w:val="auto"/>
          <w:sz w:val="24"/>
          <w:szCs w:val="24"/>
          <w:highlight w:val="none"/>
        </w:rPr>
        <w:t>工厂加工完成后，原则上应按照机房布置要求进行预拼装，作为技术复核手段。加工过程及预拼装成果，应通过招标人的验收；</w:t>
      </w:r>
    </w:p>
    <w:p>
      <w:pPr>
        <w:pStyle w:val="141"/>
        <w:numPr>
          <w:ilvl w:val="0"/>
          <w:numId w:val="21"/>
        </w:numPr>
        <w:spacing w:line="360" w:lineRule="auto"/>
        <w:ind w:left="420" w:firstLineChars="0"/>
        <w:rPr>
          <w:rFonts w:ascii="宋体" w:hAnsi="宋体"/>
          <w:color w:val="auto"/>
          <w:sz w:val="24"/>
          <w:szCs w:val="24"/>
          <w:highlight w:val="none"/>
        </w:rPr>
      </w:pPr>
      <w:r>
        <w:rPr>
          <w:rFonts w:hint="eastAsia" w:ascii="宋体" w:hAnsi="宋体"/>
          <w:color w:val="auto"/>
          <w:sz w:val="24"/>
          <w:szCs w:val="24"/>
          <w:highlight w:val="none"/>
        </w:rPr>
        <w:t>设备、管道及配件进入施工现场应包装完好，装配完成后，需再次做好防水防尘防污染等成品保护措施。</w:t>
      </w:r>
    </w:p>
    <w:p>
      <w:pPr>
        <w:widowControl/>
        <w:jc w:val="left"/>
        <w:rPr>
          <w:rFonts w:ascii="宋体" w:hAnsi="宋体"/>
          <w:color w:val="auto"/>
          <w:sz w:val="24"/>
          <w:szCs w:val="24"/>
          <w:highlight w:val="none"/>
        </w:rPr>
      </w:pPr>
    </w:p>
    <w:p>
      <w:pPr>
        <w:widowControl/>
        <w:jc w:val="left"/>
        <w:rPr>
          <w:rFonts w:ascii="宋体" w:hAnsi="宋体"/>
          <w:color w:val="auto"/>
          <w:sz w:val="24"/>
          <w:szCs w:val="24"/>
          <w:highlight w:val="none"/>
        </w:rPr>
      </w:pPr>
      <w:r>
        <w:rPr>
          <w:color w:val="auto"/>
          <w:highlight w:val="none"/>
        </w:rPr>
        <w:br w:type="page"/>
      </w:r>
    </w:p>
    <w:p>
      <w:pPr>
        <w:pStyle w:val="217"/>
        <w:rPr>
          <w:color w:val="auto"/>
          <w:highlight w:val="none"/>
        </w:rPr>
      </w:pPr>
    </w:p>
    <w:p>
      <w:pPr>
        <w:pStyle w:val="2"/>
        <w:numPr>
          <w:ilvl w:val="0"/>
          <w:numId w:val="0"/>
        </w:numPr>
        <w:rPr>
          <w:rFonts w:ascii="宋体" w:eastAsia="宋体"/>
          <w:b w:val="0"/>
          <w:color w:val="auto"/>
          <w:sz w:val="44"/>
          <w:highlight w:val="none"/>
        </w:rPr>
      </w:pPr>
      <w:bookmarkStart w:id="8066" w:name="_Toc66634494"/>
      <w:bookmarkStart w:id="8067" w:name="_Toc66890489"/>
      <w:bookmarkStart w:id="8068" w:name="_Toc505345806"/>
      <w:bookmarkStart w:id="8069" w:name="_Toc69114235"/>
      <w:r>
        <w:rPr>
          <w:rFonts w:hint="eastAsia" w:ascii="宋体" w:hAnsi="宋体"/>
          <w:b w:val="0"/>
          <w:color w:val="auto"/>
          <w:sz w:val="44"/>
          <w:highlight w:val="none"/>
        </w:rPr>
        <w:t>第八部分</w:t>
      </w:r>
      <w:r>
        <w:rPr>
          <w:rFonts w:ascii="宋体" w:hAnsi="宋体"/>
          <w:b w:val="0"/>
          <w:color w:val="auto"/>
          <w:sz w:val="44"/>
          <w:highlight w:val="none"/>
        </w:rPr>
        <w:t xml:space="preserve">  </w:t>
      </w:r>
      <w:r>
        <w:rPr>
          <w:rFonts w:hint="eastAsia" w:ascii="宋体" w:hAnsi="宋体"/>
          <w:b w:val="0"/>
          <w:color w:val="auto"/>
          <w:sz w:val="44"/>
          <w:highlight w:val="none"/>
        </w:rPr>
        <w:t>白蚁防治工程技术要求</w:t>
      </w:r>
      <w:bookmarkEnd w:id="8066"/>
      <w:bookmarkEnd w:id="8067"/>
      <w:bookmarkEnd w:id="8068"/>
      <w:bookmarkEnd w:id="8069"/>
    </w:p>
    <w:p>
      <w:pPr>
        <w:pStyle w:val="217"/>
        <w:rPr>
          <w:color w:val="auto"/>
          <w:highlight w:val="none"/>
        </w:rPr>
      </w:pPr>
      <w:r>
        <w:rPr>
          <w:color w:val="auto"/>
          <w:highlight w:val="none"/>
        </w:rPr>
        <w:t>1.</w:t>
      </w:r>
      <w:r>
        <w:rPr>
          <w:rFonts w:hint="eastAsia"/>
          <w:color w:val="auto"/>
          <w:highlight w:val="none"/>
        </w:rPr>
        <w:t>白蚁防治指定承包人单位要有相应资质并报监理、业主审批；</w:t>
      </w:r>
    </w:p>
    <w:p>
      <w:pPr>
        <w:pStyle w:val="217"/>
        <w:rPr>
          <w:color w:val="auto"/>
          <w:highlight w:val="none"/>
        </w:rPr>
      </w:pPr>
      <w:r>
        <w:rPr>
          <w:color w:val="auto"/>
          <w:highlight w:val="none"/>
        </w:rPr>
        <w:t>2.</w:t>
      </w:r>
      <w:r>
        <w:rPr>
          <w:rFonts w:hint="eastAsia"/>
          <w:color w:val="auto"/>
          <w:highlight w:val="none"/>
        </w:rPr>
        <w:t>白蚁防治施工范围：（外墙</w:t>
      </w:r>
      <w:r>
        <w:rPr>
          <w:color w:val="auto"/>
          <w:highlight w:val="none"/>
        </w:rPr>
        <w:t>200</w:t>
      </w:r>
      <w:r>
        <w:rPr>
          <w:rFonts w:hint="eastAsia"/>
          <w:color w:val="auto"/>
          <w:highlight w:val="none"/>
        </w:rPr>
        <w:t>范围，深度</w:t>
      </w:r>
      <w:r>
        <w:rPr>
          <w:color w:val="auto"/>
          <w:highlight w:val="none"/>
        </w:rPr>
        <w:t>300</w:t>
      </w:r>
      <w:r>
        <w:rPr>
          <w:rFonts w:hint="eastAsia"/>
          <w:color w:val="auto"/>
          <w:highlight w:val="none"/>
        </w:rPr>
        <w:t>）</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）基坑基槽部分及底板垫层以下土方的预防处理；</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）基础室内回填土毒土预防处理；</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）基础室外防蚁沟毒土预防处理；</w:t>
      </w:r>
    </w:p>
    <w:p>
      <w:pPr>
        <w:pStyle w:val="217"/>
        <w:rPr>
          <w:color w:val="auto"/>
          <w:highlight w:val="none"/>
        </w:rPr>
      </w:pPr>
      <w:r>
        <w:rPr>
          <w:rFonts w:hint="eastAsia"/>
          <w:color w:val="auto"/>
          <w:highlight w:val="none"/>
        </w:rPr>
        <w:t>（</w:t>
      </w:r>
      <w:r>
        <w:rPr>
          <w:color w:val="auto"/>
          <w:highlight w:val="none"/>
        </w:rPr>
        <w:t>4</w:t>
      </w:r>
      <w:r>
        <w:rPr>
          <w:rFonts w:hint="eastAsia"/>
          <w:color w:val="auto"/>
          <w:highlight w:val="none"/>
        </w:rPr>
        <w:t>）嵌入墙体内的各种管线槽预防处理；</w:t>
      </w:r>
    </w:p>
    <w:p>
      <w:pPr>
        <w:pStyle w:val="217"/>
        <w:rPr>
          <w:color w:val="auto"/>
          <w:highlight w:val="none"/>
        </w:rPr>
      </w:pPr>
      <w:r>
        <w:rPr>
          <w:rFonts w:hint="eastAsia"/>
          <w:color w:val="auto"/>
          <w:highlight w:val="none"/>
        </w:rPr>
        <w:t>（</w:t>
      </w:r>
      <w:r>
        <w:rPr>
          <w:color w:val="auto"/>
          <w:highlight w:val="none"/>
        </w:rPr>
        <w:t>5</w:t>
      </w:r>
      <w:r>
        <w:rPr>
          <w:rFonts w:hint="eastAsia"/>
          <w:color w:val="auto"/>
          <w:highlight w:val="none"/>
        </w:rPr>
        <w:t>）木质门、窗框预防处理；</w:t>
      </w:r>
    </w:p>
    <w:p>
      <w:pPr>
        <w:pStyle w:val="217"/>
        <w:rPr>
          <w:color w:val="auto"/>
          <w:highlight w:val="none"/>
        </w:rPr>
      </w:pPr>
      <w:r>
        <w:rPr>
          <w:rFonts w:hint="eastAsia"/>
          <w:color w:val="auto"/>
          <w:highlight w:val="none"/>
        </w:rPr>
        <w:t>（</w:t>
      </w:r>
      <w:r>
        <w:rPr>
          <w:color w:val="auto"/>
          <w:highlight w:val="none"/>
        </w:rPr>
        <w:t>6</w:t>
      </w:r>
      <w:r>
        <w:rPr>
          <w:rFonts w:hint="eastAsia"/>
          <w:color w:val="auto"/>
          <w:highlight w:val="none"/>
        </w:rPr>
        <w:t>）卫生间墙壁、地面预防处理；</w:t>
      </w:r>
    </w:p>
    <w:p>
      <w:pPr>
        <w:pStyle w:val="217"/>
        <w:rPr>
          <w:color w:val="auto"/>
          <w:highlight w:val="none"/>
        </w:rPr>
      </w:pPr>
      <w:r>
        <w:rPr>
          <w:rFonts w:hint="eastAsia"/>
          <w:color w:val="auto"/>
          <w:highlight w:val="none"/>
        </w:rPr>
        <w:t>（</w:t>
      </w:r>
      <w:r>
        <w:rPr>
          <w:color w:val="auto"/>
          <w:highlight w:val="none"/>
        </w:rPr>
        <w:t>7</w:t>
      </w:r>
      <w:r>
        <w:rPr>
          <w:rFonts w:hint="eastAsia"/>
          <w:color w:val="auto"/>
          <w:highlight w:val="none"/>
        </w:rPr>
        <w:t>）穿越基础外墙的电缆管、沟预防处理；</w:t>
      </w:r>
    </w:p>
    <w:p>
      <w:pPr>
        <w:pStyle w:val="217"/>
        <w:rPr>
          <w:color w:val="auto"/>
          <w:highlight w:val="none"/>
        </w:rPr>
      </w:pPr>
      <w:r>
        <w:rPr>
          <w:rFonts w:hint="eastAsia"/>
          <w:color w:val="auto"/>
          <w:highlight w:val="none"/>
        </w:rPr>
        <w:t>（</w:t>
      </w:r>
      <w:r>
        <w:rPr>
          <w:color w:val="auto"/>
          <w:highlight w:val="none"/>
        </w:rPr>
        <w:t>8</w:t>
      </w:r>
      <w:r>
        <w:rPr>
          <w:rFonts w:hint="eastAsia"/>
          <w:color w:val="auto"/>
          <w:highlight w:val="none"/>
        </w:rPr>
        <w:t>）室内墙体上消防栓、凹槽、电器箱槽预防处理；</w:t>
      </w:r>
    </w:p>
    <w:p>
      <w:pPr>
        <w:pStyle w:val="217"/>
        <w:rPr>
          <w:color w:val="auto"/>
          <w:highlight w:val="none"/>
        </w:rPr>
      </w:pPr>
      <w:r>
        <w:rPr>
          <w:rFonts w:hint="eastAsia"/>
          <w:color w:val="auto"/>
          <w:highlight w:val="none"/>
        </w:rPr>
        <w:t>（</w:t>
      </w:r>
      <w:r>
        <w:rPr>
          <w:color w:val="auto"/>
          <w:highlight w:val="none"/>
        </w:rPr>
        <w:t>9</w:t>
      </w:r>
      <w:r>
        <w:rPr>
          <w:rFonts w:hint="eastAsia"/>
          <w:color w:val="auto"/>
          <w:highlight w:val="none"/>
        </w:rPr>
        <w:t>）变形缝</w:t>
      </w:r>
      <w:r>
        <w:rPr>
          <w:color w:val="auto"/>
          <w:highlight w:val="none"/>
        </w:rPr>
        <w:t>(</w:t>
      </w:r>
      <w:r>
        <w:rPr>
          <w:rFonts w:hint="eastAsia"/>
          <w:color w:val="auto"/>
          <w:highlight w:val="none"/>
        </w:rPr>
        <w:t>伸缩缝、沉降缝、防震缝</w:t>
      </w:r>
      <w:r>
        <w:rPr>
          <w:color w:val="auto"/>
          <w:highlight w:val="none"/>
        </w:rPr>
        <w:t>)</w:t>
      </w:r>
      <w:r>
        <w:rPr>
          <w:rFonts w:hint="eastAsia"/>
          <w:color w:val="auto"/>
          <w:highlight w:val="none"/>
        </w:rPr>
        <w:t>预防处理；</w:t>
      </w:r>
    </w:p>
    <w:p>
      <w:pPr>
        <w:pStyle w:val="217"/>
        <w:rPr>
          <w:color w:val="auto"/>
          <w:highlight w:val="none"/>
        </w:rPr>
      </w:pPr>
      <w:r>
        <w:rPr>
          <w:rFonts w:hint="eastAsia"/>
          <w:color w:val="auto"/>
          <w:highlight w:val="none"/>
        </w:rPr>
        <w:t>（</w:t>
      </w:r>
      <w:r>
        <w:rPr>
          <w:color w:val="auto"/>
          <w:highlight w:val="none"/>
        </w:rPr>
        <w:t>10</w:t>
      </w:r>
      <w:r>
        <w:rPr>
          <w:rFonts w:hint="eastAsia"/>
          <w:color w:val="auto"/>
          <w:highlight w:val="none"/>
        </w:rPr>
        <w:t>）室内配电室地埋电缆沟预防处理；</w:t>
      </w:r>
    </w:p>
    <w:p>
      <w:pPr>
        <w:pStyle w:val="217"/>
        <w:rPr>
          <w:color w:val="auto"/>
          <w:highlight w:val="none"/>
        </w:rPr>
      </w:pPr>
      <w:r>
        <w:rPr>
          <w:rFonts w:hint="eastAsia"/>
          <w:color w:val="auto"/>
          <w:highlight w:val="none"/>
        </w:rPr>
        <w:t>（</w:t>
      </w:r>
      <w:r>
        <w:rPr>
          <w:color w:val="auto"/>
          <w:highlight w:val="none"/>
        </w:rPr>
        <w:t>11</w:t>
      </w:r>
      <w:r>
        <w:rPr>
          <w:rFonts w:hint="eastAsia"/>
          <w:color w:val="auto"/>
          <w:highlight w:val="none"/>
        </w:rPr>
        <w:t>）精装修部分的白蚁防治。</w:t>
      </w:r>
    </w:p>
    <w:p>
      <w:pPr>
        <w:pStyle w:val="217"/>
        <w:rPr>
          <w:color w:val="auto"/>
          <w:highlight w:val="none"/>
        </w:rPr>
      </w:pPr>
      <w:r>
        <w:rPr>
          <w:color w:val="auto"/>
          <w:highlight w:val="none"/>
        </w:rPr>
        <w:t>3.</w:t>
      </w:r>
      <w:r>
        <w:rPr>
          <w:rFonts w:hint="eastAsia"/>
          <w:color w:val="auto"/>
          <w:highlight w:val="none"/>
        </w:rPr>
        <w:t>白蚁防治应符合《新建房屋白蚁防治技术规程》</w:t>
      </w:r>
      <w:r>
        <w:rPr>
          <w:color w:val="auto"/>
          <w:highlight w:val="none"/>
        </w:rPr>
        <w:t>DBJ/T15-26-2000</w:t>
      </w:r>
      <w:r>
        <w:rPr>
          <w:rFonts w:hint="eastAsia"/>
          <w:color w:val="auto"/>
          <w:highlight w:val="none"/>
        </w:rPr>
        <w:t>、《深圳市房屋白蚁预防工程技术规程》</w:t>
      </w:r>
      <w:r>
        <w:rPr>
          <w:color w:val="auto"/>
          <w:highlight w:val="none"/>
        </w:rPr>
        <w:t>SJG08-99</w:t>
      </w:r>
      <w:r>
        <w:rPr>
          <w:rFonts w:hint="eastAsia"/>
          <w:color w:val="auto"/>
          <w:highlight w:val="none"/>
        </w:rPr>
        <w:t>等有关技术要求。</w:t>
      </w:r>
    </w:p>
    <w:p>
      <w:pPr>
        <w:pStyle w:val="217"/>
        <w:rPr>
          <w:color w:val="auto"/>
          <w:highlight w:val="none"/>
        </w:rPr>
      </w:pPr>
      <w:r>
        <w:rPr>
          <w:color w:val="auto"/>
          <w:highlight w:val="none"/>
        </w:rPr>
        <w:t>4.</w:t>
      </w:r>
      <w:r>
        <w:rPr>
          <w:rFonts w:hint="eastAsia"/>
          <w:color w:val="auto"/>
          <w:highlight w:val="none"/>
        </w:rPr>
        <w:t>白蚁防治要有专项的施工组织设计并须经监理工程师审批。</w:t>
      </w:r>
    </w:p>
    <w:p>
      <w:pPr>
        <w:pStyle w:val="217"/>
        <w:rPr>
          <w:color w:val="auto"/>
          <w:highlight w:val="none"/>
        </w:rPr>
      </w:pPr>
      <w:r>
        <w:rPr>
          <w:color w:val="auto"/>
          <w:highlight w:val="none"/>
        </w:rPr>
        <w:t>5.</w:t>
      </w:r>
      <w:r>
        <w:rPr>
          <w:rFonts w:hint="eastAsia"/>
          <w:color w:val="auto"/>
          <w:highlight w:val="none"/>
        </w:rPr>
        <w:t>工程验收须提供药物质量证明文件、药物浓度检测报告、施工验收等有关验收记录。</w:t>
      </w:r>
    </w:p>
    <w:p>
      <w:pPr>
        <w:widowControl/>
        <w:jc w:val="left"/>
        <w:rPr>
          <w:rFonts w:ascii="Times New Roman" w:hAnsi="Times New Roman"/>
          <w:color w:val="auto"/>
          <w:sz w:val="44"/>
          <w:szCs w:val="24"/>
          <w:highlight w:val="none"/>
        </w:rPr>
      </w:pPr>
      <w:bookmarkStart w:id="8070" w:name="_Toc505345807"/>
      <w:r>
        <w:rPr>
          <w:color w:val="auto"/>
          <w:highlight w:val="none"/>
        </w:rPr>
        <w:br w:type="page"/>
      </w:r>
    </w:p>
    <w:p>
      <w:pPr>
        <w:widowControl/>
        <w:jc w:val="left"/>
        <w:rPr>
          <w:color w:val="auto"/>
          <w:highlight w:val="none"/>
        </w:rPr>
      </w:pPr>
    </w:p>
    <w:p>
      <w:pPr>
        <w:widowControl/>
        <w:jc w:val="left"/>
        <w:rPr>
          <w:color w:val="auto"/>
          <w:highlight w:val="none"/>
        </w:rPr>
      </w:pPr>
    </w:p>
    <w:p>
      <w:pPr>
        <w:widowControl/>
        <w:jc w:val="left"/>
        <w:rPr>
          <w:color w:val="auto"/>
          <w:highlight w:val="none"/>
        </w:rPr>
      </w:pPr>
    </w:p>
    <w:p>
      <w:pPr>
        <w:widowControl/>
        <w:jc w:val="left"/>
        <w:rPr>
          <w:color w:val="auto"/>
          <w:highlight w:val="none"/>
        </w:rPr>
      </w:pPr>
    </w:p>
    <w:p>
      <w:pPr>
        <w:widowControl/>
        <w:jc w:val="left"/>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2"/>
        <w:outlineLvl w:val="0"/>
        <w:rPr>
          <w:color w:val="auto"/>
          <w:highlight w:val="none"/>
        </w:rPr>
      </w:pPr>
      <w:bookmarkStart w:id="8071" w:name="_Toc66890490"/>
      <w:bookmarkStart w:id="8072" w:name="_Toc69114236"/>
      <w:bookmarkStart w:id="8073" w:name="_Toc66634495"/>
      <w:r>
        <w:rPr>
          <w:rFonts w:hint="eastAsia"/>
          <w:color w:val="auto"/>
          <w:highlight w:val="none"/>
        </w:rPr>
        <w:t>第九部分</w:t>
      </w:r>
      <w:r>
        <w:rPr>
          <w:color w:val="auto"/>
          <w:highlight w:val="none"/>
        </w:rPr>
        <w:t xml:space="preserve">  </w:t>
      </w:r>
      <w:r>
        <w:rPr>
          <w:rFonts w:hint="eastAsia"/>
          <w:color w:val="auto"/>
          <w:highlight w:val="none"/>
        </w:rPr>
        <w:t>室外工程技术要求</w:t>
      </w:r>
      <w:bookmarkEnd w:id="8070"/>
      <w:bookmarkEnd w:id="8071"/>
      <w:bookmarkEnd w:id="8072"/>
      <w:bookmarkEnd w:id="8073"/>
    </w:p>
    <w:p>
      <w:pPr>
        <w:widowControl/>
        <w:jc w:val="left"/>
        <w:rPr>
          <w:rFonts w:ascii="黑体" w:hAnsi="黑体" w:eastAsia="黑体"/>
          <w:b/>
          <w:color w:val="auto"/>
          <w:sz w:val="32"/>
          <w:szCs w:val="32"/>
          <w:highlight w:val="none"/>
        </w:rPr>
      </w:pPr>
      <w:bookmarkStart w:id="8074" w:name="_Toc505345808"/>
      <w:r>
        <w:rPr>
          <w:color w:val="auto"/>
          <w:highlight w:val="none"/>
        </w:rPr>
        <w:br w:type="page"/>
      </w:r>
    </w:p>
    <w:p>
      <w:pPr>
        <w:pStyle w:val="188"/>
        <w:spacing w:before="120" w:after="120"/>
        <w:outlineLvl w:val="1"/>
        <w:rPr>
          <w:color w:val="auto"/>
          <w:highlight w:val="none"/>
        </w:rPr>
      </w:pPr>
      <w:bookmarkStart w:id="8075" w:name="_Toc66634496"/>
      <w:bookmarkStart w:id="8076" w:name="_Toc66890491"/>
      <w:bookmarkStart w:id="8077" w:name="_Toc69114237"/>
      <w:r>
        <w:rPr>
          <w:rFonts w:hint="eastAsia"/>
          <w:color w:val="auto"/>
          <w:highlight w:val="none"/>
        </w:rPr>
        <w:t>第</w:t>
      </w:r>
      <w:r>
        <w:rPr>
          <w:color w:val="auto"/>
          <w:highlight w:val="none"/>
        </w:rPr>
        <w:t>1</w:t>
      </w:r>
      <w:r>
        <w:rPr>
          <w:rFonts w:hint="eastAsia"/>
          <w:color w:val="auto"/>
          <w:highlight w:val="none"/>
        </w:rPr>
        <w:t>章</w:t>
      </w:r>
      <w:r>
        <w:rPr>
          <w:color w:val="auto"/>
          <w:highlight w:val="none"/>
        </w:rPr>
        <w:t xml:space="preserve">  </w:t>
      </w:r>
      <w:r>
        <w:rPr>
          <w:rFonts w:hint="eastAsia"/>
          <w:color w:val="auto"/>
          <w:highlight w:val="none"/>
        </w:rPr>
        <w:t>各种铺装工艺流程和施工方法</w:t>
      </w:r>
      <w:bookmarkEnd w:id="8074"/>
      <w:bookmarkEnd w:id="8075"/>
      <w:bookmarkEnd w:id="8076"/>
      <w:bookmarkEnd w:id="8077"/>
    </w:p>
    <w:p>
      <w:pPr>
        <w:pStyle w:val="113"/>
        <w:spacing w:before="120" w:after="120"/>
        <w:outlineLvl w:val="2"/>
        <w:rPr>
          <w:color w:val="auto"/>
          <w:highlight w:val="none"/>
        </w:rPr>
      </w:pPr>
      <w:bookmarkStart w:id="8078" w:name="_Toc66890492"/>
      <w:bookmarkStart w:id="8079" w:name="_Toc69114238"/>
      <w:bookmarkStart w:id="8080" w:name="_Toc66634497"/>
      <w:bookmarkStart w:id="8081" w:name="_Toc505345809"/>
      <w:r>
        <w:rPr>
          <w:color w:val="auto"/>
          <w:highlight w:val="none"/>
        </w:rPr>
        <w:t xml:space="preserve">1.1 </w:t>
      </w:r>
      <w:r>
        <w:rPr>
          <w:rFonts w:hint="eastAsia"/>
          <w:color w:val="auto"/>
          <w:highlight w:val="none"/>
        </w:rPr>
        <w:t>铺装基土施工工艺、方法</w:t>
      </w:r>
      <w:bookmarkEnd w:id="8078"/>
      <w:bookmarkEnd w:id="8079"/>
      <w:bookmarkEnd w:id="8080"/>
      <w:bookmarkEnd w:id="8081"/>
    </w:p>
    <w:p>
      <w:pPr>
        <w:pStyle w:val="217"/>
        <w:rPr>
          <w:color w:val="auto"/>
          <w:highlight w:val="none"/>
        </w:rPr>
      </w:pPr>
      <w:r>
        <w:rPr>
          <w:rFonts w:hint="eastAsia"/>
          <w:color w:val="auto"/>
          <w:highlight w:val="none"/>
        </w:rPr>
        <w:t>施工流程：现场勘测</w:t>
      </w:r>
      <w:r>
        <w:rPr>
          <w:color w:val="auto"/>
          <w:highlight w:val="none"/>
        </w:rPr>
        <w:t>——</w:t>
      </w:r>
      <w:r>
        <w:rPr>
          <w:rFonts w:hint="eastAsia"/>
          <w:color w:val="auto"/>
          <w:highlight w:val="none"/>
        </w:rPr>
        <w:t>平整（开挖）</w:t>
      </w:r>
      <w:r>
        <w:rPr>
          <w:color w:val="auto"/>
          <w:highlight w:val="none"/>
        </w:rPr>
        <w:t>——</w:t>
      </w:r>
      <w:r>
        <w:rPr>
          <w:rFonts w:hint="eastAsia"/>
          <w:color w:val="auto"/>
          <w:highlight w:val="none"/>
        </w:rPr>
        <w:t>分层压（夯）实。</w:t>
      </w:r>
    </w:p>
    <w:p>
      <w:pPr>
        <w:pStyle w:val="217"/>
        <w:rPr>
          <w:color w:val="auto"/>
          <w:highlight w:val="none"/>
        </w:rPr>
      </w:pPr>
      <w:r>
        <w:rPr>
          <w:color w:val="auto"/>
          <w:highlight w:val="none"/>
        </w:rPr>
        <w:t>1.</w:t>
      </w:r>
      <w:r>
        <w:rPr>
          <w:rFonts w:hint="eastAsia"/>
          <w:color w:val="auto"/>
          <w:highlight w:val="none"/>
        </w:rPr>
        <w:t>施工工艺：</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根据设计要求，对现场基土进行勘测，对土质和土壤状况进行分析判断，并确定基土标高，是否填土或开挖。对于在淤泥，淤泥土质及杂填土、冲填土等软弱土层上施工时，应按设计要求对基土进行更换或加固。</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）根据设计结构要求，确定基土标高，判断是否平整、填土或开挖土方：</w:t>
      </w:r>
    </w:p>
    <w:p>
      <w:pPr>
        <w:pStyle w:val="217"/>
        <w:rPr>
          <w:color w:val="auto"/>
          <w:highlight w:val="none"/>
        </w:rPr>
      </w:pPr>
      <w:r>
        <w:rPr>
          <w:color w:val="auto"/>
          <w:highlight w:val="none"/>
        </w:rPr>
        <w:t>1</w:t>
      </w:r>
      <w:r>
        <w:rPr>
          <w:rFonts w:hint="eastAsia"/>
          <w:color w:val="auto"/>
          <w:highlight w:val="none"/>
        </w:rPr>
        <w:t>）淤泥、腐植土、冻土、耕植土和有机物含量大于</w:t>
      </w:r>
      <w:r>
        <w:rPr>
          <w:color w:val="auto"/>
          <w:highlight w:val="none"/>
        </w:rPr>
        <w:t>8%</w:t>
      </w:r>
      <w:r>
        <w:rPr>
          <w:rFonts w:hint="eastAsia"/>
          <w:color w:val="auto"/>
          <w:highlight w:val="none"/>
        </w:rPr>
        <w:t>的土不得用作回填土。膨胀土作为填土时，应进行技术处理。</w:t>
      </w:r>
    </w:p>
    <w:p>
      <w:pPr>
        <w:pStyle w:val="217"/>
        <w:rPr>
          <w:color w:val="auto"/>
          <w:highlight w:val="none"/>
        </w:rPr>
      </w:pPr>
      <w:r>
        <w:rPr>
          <w:color w:val="auto"/>
          <w:highlight w:val="none"/>
        </w:rPr>
        <w:t>2</w:t>
      </w:r>
      <w:r>
        <w:rPr>
          <w:rFonts w:hint="eastAsia"/>
          <w:color w:val="auto"/>
          <w:highlight w:val="none"/>
        </w:rPr>
        <w:t>）在做墙、柱基础处填土时，应重叠夯填密实，在填土与墙柱相连处，也可以采取设缝进行技术处理。</w:t>
      </w:r>
    </w:p>
    <w:p>
      <w:pPr>
        <w:pStyle w:val="217"/>
        <w:rPr>
          <w:color w:val="auto"/>
          <w:highlight w:val="none"/>
        </w:rPr>
      </w:pPr>
      <w:r>
        <w:rPr>
          <w:color w:val="auto"/>
          <w:highlight w:val="none"/>
        </w:rPr>
        <w:t>3</w:t>
      </w:r>
      <w:r>
        <w:rPr>
          <w:rFonts w:hint="eastAsia"/>
          <w:color w:val="auto"/>
          <w:highlight w:val="none"/>
        </w:rPr>
        <w:t>）采用碎石、卵石等作为基土表层加强时，应均匀铺成一层，粒径宜为</w:t>
      </w:r>
      <w:r>
        <w:rPr>
          <w:color w:val="auto"/>
          <w:highlight w:val="none"/>
        </w:rPr>
        <w:t>40MM</w:t>
      </w:r>
      <w:r>
        <w:rPr>
          <w:rFonts w:hint="eastAsia"/>
          <w:color w:val="auto"/>
          <w:highlight w:val="none"/>
        </w:rPr>
        <w:t>，并应压（夯）入湿润的土层中。</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）相关标准及规范：</w:t>
      </w:r>
    </w:p>
    <w:p>
      <w:pPr>
        <w:pStyle w:val="217"/>
        <w:rPr>
          <w:color w:val="auto"/>
          <w:highlight w:val="none"/>
        </w:rPr>
      </w:pPr>
      <w:r>
        <w:rPr>
          <w:rFonts w:hint="eastAsia"/>
          <w:color w:val="auto"/>
          <w:highlight w:val="none"/>
        </w:rPr>
        <w:t>分层压（夯）实的每层虚铺厚要求：机械压实，大于</w:t>
      </w:r>
      <w:r>
        <w:rPr>
          <w:color w:val="auto"/>
          <w:highlight w:val="none"/>
        </w:rPr>
        <w:t>300MM</w:t>
      </w:r>
      <w:r>
        <w:rPr>
          <w:rFonts w:hint="eastAsia"/>
          <w:color w:val="auto"/>
          <w:highlight w:val="none"/>
        </w:rPr>
        <w:t>；蛙式打夯机夯实，不大于</w:t>
      </w:r>
      <w:r>
        <w:rPr>
          <w:color w:val="auto"/>
          <w:highlight w:val="none"/>
        </w:rPr>
        <w:t>250MM</w:t>
      </w:r>
      <w:r>
        <w:rPr>
          <w:rFonts w:hint="eastAsia"/>
          <w:color w:val="auto"/>
          <w:highlight w:val="none"/>
        </w:rPr>
        <w:t>；人工夯实，不大于</w:t>
      </w:r>
      <w:r>
        <w:rPr>
          <w:color w:val="auto"/>
          <w:highlight w:val="none"/>
        </w:rPr>
        <w:t>200MM</w:t>
      </w:r>
      <w:r>
        <w:rPr>
          <w:rFonts w:hint="eastAsia"/>
          <w:color w:val="auto"/>
          <w:highlight w:val="none"/>
        </w:rPr>
        <w:t>。当基土下非湿陷性土层，用沙土为填土时，可随浇水随压（夯）实。每层虚铺厚度，不大于</w:t>
      </w:r>
      <w:r>
        <w:rPr>
          <w:color w:val="auto"/>
          <w:highlight w:val="none"/>
        </w:rPr>
        <w:t>200MM</w:t>
      </w:r>
      <w:r>
        <w:rPr>
          <w:rFonts w:hint="eastAsia"/>
          <w:color w:val="auto"/>
          <w:highlight w:val="none"/>
        </w:rPr>
        <w:t>。</w:t>
      </w:r>
    </w:p>
    <w:p>
      <w:pPr>
        <w:pStyle w:val="217"/>
        <w:rPr>
          <w:color w:val="auto"/>
          <w:highlight w:val="none"/>
        </w:rPr>
      </w:pPr>
      <w:r>
        <w:rPr>
          <w:rFonts w:hint="eastAsia"/>
          <w:color w:val="auto"/>
          <w:highlight w:val="none"/>
        </w:rPr>
        <w:t>相关规范：《地基与基础工程技术规范》、《建筑地基处理技术规范》、《土方与爆破工程施工及验收规范》、《建筑地面工程施工及验收规范》。</w:t>
      </w:r>
    </w:p>
    <w:p>
      <w:pPr>
        <w:pStyle w:val="113"/>
        <w:spacing w:before="120" w:after="120"/>
        <w:outlineLvl w:val="2"/>
        <w:rPr>
          <w:color w:val="auto"/>
          <w:highlight w:val="none"/>
        </w:rPr>
      </w:pPr>
      <w:bookmarkStart w:id="8082" w:name="_Toc69114239"/>
      <w:bookmarkStart w:id="8083" w:name="_Toc66890493"/>
      <w:bookmarkStart w:id="8084" w:name="_Toc66634498"/>
      <w:bookmarkStart w:id="8085" w:name="_Toc505345810"/>
      <w:r>
        <w:rPr>
          <w:color w:val="auto"/>
          <w:highlight w:val="none"/>
        </w:rPr>
        <w:t xml:space="preserve">1.2 </w:t>
      </w:r>
      <w:r>
        <w:rPr>
          <w:rFonts w:hint="eastAsia"/>
          <w:color w:val="auto"/>
          <w:highlight w:val="none"/>
        </w:rPr>
        <w:t>铺装基层施工工艺和方法</w:t>
      </w:r>
      <w:bookmarkEnd w:id="8082"/>
      <w:bookmarkEnd w:id="8083"/>
      <w:bookmarkEnd w:id="8084"/>
      <w:bookmarkEnd w:id="8085"/>
    </w:p>
    <w:p>
      <w:pPr>
        <w:pStyle w:val="217"/>
        <w:rPr>
          <w:color w:val="auto"/>
          <w:highlight w:val="none"/>
        </w:rPr>
      </w:pPr>
      <w:r>
        <w:rPr>
          <w:color w:val="auto"/>
          <w:highlight w:val="none"/>
        </w:rPr>
        <w:t>1.</w:t>
      </w:r>
      <w:r>
        <w:rPr>
          <w:rFonts w:hint="eastAsia"/>
          <w:color w:val="auto"/>
          <w:highlight w:val="none"/>
        </w:rPr>
        <w:t>铺装基层三七灰土的厚度为</w:t>
      </w:r>
      <w:r>
        <w:rPr>
          <w:color w:val="auto"/>
          <w:highlight w:val="none"/>
        </w:rPr>
        <w:t>250mm</w:t>
      </w:r>
      <w:r>
        <w:rPr>
          <w:rFonts w:hint="eastAsia"/>
          <w:color w:val="auto"/>
          <w:highlight w:val="none"/>
        </w:rPr>
        <w:t>，在路槽中分段人工拌合，要求拌合均匀，湿度合宜，掌握好虚铺厚度。根据设计厚度分为</w:t>
      </w:r>
      <w:r>
        <w:rPr>
          <w:color w:val="auto"/>
          <w:highlight w:val="none"/>
        </w:rPr>
        <w:t>2-4</w:t>
      </w:r>
      <w:r>
        <w:rPr>
          <w:rFonts w:hint="eastAsia"/>
          <w:color w:val="auto"/>
          <w:highlight w:val="none"/>
        </w:rPr>
        <w:t>步来施工，每步厚度为</w:t>
      </w:r>
      <w:r>
        <w:rPr>
          <w:color w:val="auto"/>
          <w:highlight w:val="none"/>
        </w:rPr>
        <w:t>150 mm</w:t>
      </w:r>
      <w:r>
        <w:rPr>
          <w:rFonts w:hint="eastAsia"/>
          <w:color w:val="auto"/>
          <w:highlight w:val="none"/>
        </w:rPr>
        <w:t>，摊铺时的虚铺厚度应在</w:t>
      </w:r>
      <w:r>
        <w:rPr>
          <w:color w:val="auto"/>
          <w:highlight w:val="none"/>
        </w:rPr>
        <w:t>200 mm</w:t>
      </w:r>
      <w:r>
        <w:rPr>
          <w:rFonts w:hint="eastAsia"/>
          <w:color w:val="auto"/>
          <w:highlight w:val="none"/>
        </w:rPr>
        <w:t>，灰土拌合完成后应达到手握成团，落地及散的湿度。压实设备选择蛙式打夯机或压路机，达到路基密实度的要求。经隐蔽验收后进入下一道工序</w:t>
      </w:r>
    </w:p>
    <w:p>
      <w:pPr>
        <w:pStyle w:val="217"/>
        <w:rPr>
          <w:color w:val="auto"/>
          <w:highlight w:val="none"/>
        </w:rPr>
      </w:pPr>
      <w:r>
        <w:rPr>
          <w:color w:val="auto"/>
          <w:highlight w:val="none"/>
        </w:rPr>
        <w:t>2.</w:t>
      </w:r>
      <w:r>
        <w:rPr>
          <w:rFonts w:hint="eastAsia"/>
          <w:color w:val="auto"/>
          <w:highlight w:val="none"/>
        </w:rPr>
        <w:t>铺装基础垫层为</w:t>
      </w:r>
      <w:r>
        <w:rPr>
          <w:color w:val="auto"/>
          <w:highlight w:val="none"/>
        </w:rPr>
        <w:t>100 mm</w:t>
      </w:r>
      <w:r>
        <w:rPr>
          <w:rFonts w:hint="eastAsia"/>
          <w:color w:val="auto"/>
          <w:highlight w:val="none"/>
        </w:rPr>
        <w:t>厚</w:t>
      </w:r>
      <w:r>
        <w:rPr>
          <w:color w:val="auto"/>
          <w:highlight w:val="none"/>
        </w:rPr>
        <w:t>C15</w:t>
      </w:r>
      <w:r>
        <w:rPr>
          <w:rFonts w:hint="eastAsia"/>
          <w:color w:val="auto"/>
          <w:highlight w:val="none"/>
        </w:rPr>
        <w:t>砼和</w:t>
      </w:r>
      <w:r>
        <w:rPr>
          <w:color w:val="auto"/>
          <w:highlight w:val="none"/>
        </w:rPr>
        <w:t>200 mm</w:t>
      </w:r>
      <w:r>
        <w:rPr>
          <w:rFonts w:hint="eastAsia"/>
          <w:color w:val="auto"/>
          <w:highlight w:val="none"/>
        </w:rPr>
        <w:t>厚</w:t>
      </w:r>
      <w:r>
        <w:rPr>
          <w:color w:val="auto"/>
          <w:highlight w:val="none"/>
        </w:rPr>
        <w:t>C25</w:t>
      </w:r>
      <w:r>
        <w:rPr>
          <w:rFonts w:hint="eastAsia"/>
          <w:color w:val="auto"/>
          <w:highlight w:val="none"/>
        </w:rPr>
        <w:t>钢筋砼，本工程全部考虑预拌混凝土。施工准备期间需要考察确定搅拌站，并在进场后及时将搅拌站的资质报甲方、监理审批。混凝土到场后，应及时入模振捣，保证质量。</w:t>
      </w:r>
    </w:p>
    <w:p>
      <w:pPr>
        <w:pStyle w:val="217"/>
        <w:rPr>
          <w:color w:val="auto"/>
          <w:highlight w:val="none"/>
        </w:rPr>
      </w:pPr>
      <w:r>
        <w:rPr>
          <w:color w:val="auto"/>
          <w:highlight w:val="none"/>
        </w:rPr>
        <w:t>3.</w:t>
      </w:r>
      <w:r>
        <w:rPr>
          <w:rFonts w:hint="eastAsia"/>
          <w:color w:val="auto"/>
          <w:highlight w:val="none"/>
        </w:rPr>
        <w:t>设熟练技工负责砼捣固工作，随时检查模板是否变形、位移，保证砼密实度，减少蜂窝、麻面。砼养护、防冻符合规范和作业指导书要求。施工时取同条件养护混凝土试块，作为该垫层强度试验的依据。</w:t>
      </w:r>
    </w:p>
    <w:p>
      <w:pPr>
        <w:pStyle w:val="113"/>
        <w:spacing w:before="120" w:after="120"/>
        <w:outlineLvl w:val="2"/>
        <w:rPr>
          <w:color w:val="auto"/>
          <w:highlight w:val="none"/>
        </w:rPr>
      </w:pPr>
      <w:bookmarkStart w:id="8086" w:name="_Toc505345811"/>
      <w:bookmarkStart w:id="8087" w:name="_Toc66890494"/>
      <w:bookmarkStart w:id="8088" w:name="_Toc66634499"/>
      <w:bookmarkStart w:id="8089" w:name="_Toc69114240"/>
      <w:r>
        <w:rPr>
          <w:color w:val="auto"/>
          <w:highlight w:val="none"/>
        </w:rPr>
        <w:t xml:space="preserve">1.3 </w:t>
      </w:r>
      <w:r>
        <w:rPr>
          <w:rFonts w:hint="eastAsia"/>
          <w:color w:val="auto"/>
          <w:highlight w:val="none"/>
        </w:rPr>
        <w:t>花岗岩铺装施工工艺和方法</w:t>
      </w:r>
      <w:bookmarkEnd w:id="8086"/>
      <w:bookmarkEnd w:id="8087"/>
      <w:bookmarkEnd w:id="8088"/>
      <w:bookmarkEnd w:id="8089"/>
    </w:p>
    <w:p>
      <w:pPr>
        <w:pStyle w:val="217"/>
        <w:rPr>
          <w:color w:val="auto"/>
          <w:highlight w:val="none"/>
        </w:rPr>
      </w:pPr>
      <w:r>
        <w:rPr>
          <w:color w:val="auto"/>
          <w:highlight w:val="none"/>
        </w:rPr>
        <w:t>1.</w:t>
      </w:r>
      <w:r>
        <w:rPr>
          <w:rFonts w:hint="eastAsia"/>
          <w:color w:val="auto"/>
          <w:highlight w:val="none"/>
        </w:rPr>
        <w:t>工艺流程：</w:t>
      </w:r>
    </w:p>
    <w:p>
      <w:pPr>
        <w:pStyle w:val="217"/>
        <w:rPr>
          <w:color w:val="auto"/>
          <w:highlight w:val="none"/>
        </w:rPr>
      </w:pPr>
      <w:r>
        <w:rPr>
          <w:rFonts w:hint="eastAsia"/>
          <w:color w:val="auto"/>
          <w:highlight w:val="none"/>
        </w:rPr>
        <w:t>挑选材料</w:t>
      </w:r>
      <w:r>
        <w:rPr>
          <w:color w:val="auto"/>
          <w:highlight w:val="none"/>
        </w:rPr>
        <w:t>——</w:t>
      </w:r>
      <w:r>
        <w:rPr>
          <w:rFonts w:hint="eastAsia"/>
          <w:color w:val="auto"/>
          <w:highlight w:val="none"/>
        </w:rPr>
        <w:t>基层清理</w:t>
      </w:r>
      <w:r>
        <w:rPr>
          <w:color w:val="auto"/>
          <w:highlight w:val="none"/>
        </w:rPr>
        <w:t>——</w:t>
      </w:r>
      <w:r>
        <w:rPr>
          <w:rFonts w:hint="eastAsia"/>
          <w:color w:val="auto"/>
          <w:highlight w:val="none"/>
        </w:rPr>
        <w:t>弹线试拼</w:t>
      </w:r>
      <w:r>
        <w:rPr>
          <w:color w:val="auto"/>
          <w:highlight w:val="none"/>
        </w:rPr>
        <w:t>——</w:t>
      </w:r>
      <w:r>
        <w:rPr>
          <w:rFonts w:hint="eastAsia"/>
          <w:color w:val="auto"/>
          <w:highlight w:val="none"/>
        </w:rPr>
        <w:t>结合层</w:t>
      </w:r>
      <w:r>
        <w:rPr>
          <w:color w:val="auto"/>
          <w:highlight w:val="none"/>
        </w:rPr>
        <w:t>——</w:t>
      </w:r>
      <w:r>
        <w:rPr>
          <w:rFonts w:hint="eastAsia"/>
          <w:color w:val="auto"/>
          <w:highlight w:val="none"/>
        </w:rPr>
        <w:t>铺装面层</w:t>
      </w:r>
      <w:r>
        <w:rPr>
          <w:color w:val="auto"/>
          <w:highlight w:val="none"/>
        </w:rPr>
        <w:t>——</w:t>
      </w:r>
      <w:r>
        <w:rPr>
          <w:rFonts w:hint="eastAsia"/>
          <w:color w:val="auto"/>
          <w:highlight w:val="none"/>
        </w:rPr>
        <w:t>灌缝</w:t>
      </w:r>
      <w:r>
        <w:rPr>
          <w:color w:val="auto"/>
          <w:highlight w:val="none"/>
        </w:rPr>
        <w:t>——</w:t>
      </w:r>
      <w:r>
        <w:rPr>
          <w:rFonts w:hint="eastAsia"/>
          <w:color w:val="auto"/>
          <w:highlight w:val="none"/>
        </w:rPr>
        <w:t>成品保护</w:t>
      </w:r>
    </w:p>
    <w:p>
      <w:pPr>
        <w:pStyle w:val="217"/>
        <w:rPr>
          <w:color w:val="auto"/>
          <w:highlight w:val="none"/>
        </w:rPr>
      </w:pPr>
      <w:r>
        <w:rPr>
          <w:color w:val="auto"/>
          <w:highlight w:val="none"/>
        </w:rPr>
        <w:t>2.</w:t>
      </w:r>
      <w:r>
        <w:rPr>
          <w:rFonts w:hint="eastAsia"/>
          <w:color w:val="auto"/>
          <w:highlight w:val="none"/>
        </w:rPr>
        <w:t>花岗岩面层铺装其材质、颜色、表面处理和规格符合设计要求。所有的花岗岩材料都要用石材防护剂进行处理，避免返碱。</w:t>
      </w:r>
    </w:p>
    <w:p>
      <w:pPr>
        <w:pStyle w:val="217"/>
        <w:rPr>
          <w:color w:val="auto"/>
          <w:highlight w:val="none"/>
        </w:rPr>
      </w:pPr>
      <w:r>
        <w:rPr>
          <w:color w:val="auto"/>
          <w:highlight w:val="none"/>
        </w:rPr>
        <w:t>3.</w:t>
      </w:r>
      <w:r>
        <w:rPr>
          <w:rFonts w:hint="eastAsia"/>
          <w:color w:val="auto"/>
          <w:highlight w:val="none"/>
        </w:rPr>
        <w:t>基层表面在面层施工前应清扫、洒水，加刷素水泥浆或界面剂。结合层砂灰标号、厚度符合设计要求，要求水灰比适中，铺灰饱满。为减少面层污染，完工后加盖彩条布，加强成品保护。</w:t>
      </w:r>
    </w:p>
    <w:p>
      <w:pPr>
        <w:pStyle w:val="217"/>
        <w:rPr>
          <w:color w:val="auto"/>
          <w:highlight w:val="none"/>
        </w:rPr>
      </w:pPr>
      <w:r>
        <w:rPr>
          <w:color w:val="auto"/>
          <w:highlight w:val="none"/>
        </w:rPr>
        <w:t>4.</w:t>
      </w:r>
      <w:r>
        <w:rPr>
          <w:rFonts w:hint="eastAsia"/>
          <w:color w:val="auto"/>
          <w:highlight w:val="none"/>
        </w:rPr>
        <w:t>花岗岩面层其平整度、坡度、缝隙、砂浆饱满度、空鼓最小面积符合设计要求。</w:t>
      </w:r>
    </w:p>
    <w:p>
      <w:pPr>
        <w:pStyle w:val="217"/>
        <w:rPr>
          <w:color w:val="auto"/>
          <w:highlight w:val="none"/>
        </w:rPr>
      </w:pPr>
      <w:r>
        <w:rPr>
          <w:color w:val="auto"/>
          <w:highlight w:val="none"/>
        </w:rPr>
        <w:t>5.</w:t>
      </w:r>
      <w:r>
        <w:rPr>
          <w:rFonts w:hint="eastAsia"/>
          <w:color w:val="auto"/>
          <w:highlight w:val="none"/>
        </w:rPr>
        <w:t>施工过程中要根据设计要求的颜色，挑选规格、厚薄一致的材料。基层处理</w:t>
      </w:r>
      <w:r>
        <w:rPr>
          <w:color w:val="auto"/>
          <w:highlight w:val="none"/>
        </w:rPr>
        <w:t xml:space="preserve">, </w:t>
      </w:r>
      <w:r>
        <w:rPr>
          <w:rFonts w:hint="eastAsia"/>
          <w:color w:val="auto"/>
          <w:highlight w:val="none"/>
        </w:rPr>
        <w:t>清除粘结在基层、垫层上的杂物、尘土。进行试拼，确定缝隙大小。做出样板，经业主及设计确认后，大面积展开施工。打点充筋确定标高或弹水平标高线，拉线后铺结合层，注意坡度。铺砌后</w:t>
      </w:r>
      <w:r>
        <w:rPr>
          <w:color w:val="auto"/>
          <w:highlight w:val="none"/>
        </w:rPr>
        <w:t>1-2</w:t>
      </w:r>
      <w:r>
        <w:rPr>
          <w:rFonts w:hint="eastAsia"/>
          <w:color w:val="auto"/>
          <w:highlight w:val="none"/>
        </w:rPr>
        <w:t>昼夜进行灌缝。操作人员应做到随砌随揩净，严禁在已铺好的面层上拌合砂浆，注意成品保护。</w:t>
      </w:r>
    </w:p>
    <w:p>
      <w:pPr>
        <w:pStyle w:val="113"/>
        <w:spacing w:before="120" w:after="120"/>
        <w:outlineLvl w:val="2"/>
        <w:rPr>
          <w:color w:val="auto"/>
          <w:highlight w:val="none"/>
        </w:rPr>
      </w:pPr>
      <w:bookmarkStart w:id="8090" w:name="_Toc505345812"/>
      <w:bookmarkStart w:id="8091" w:name="_Toc66634500"/>
      <w:bookmarkStart w:id="8092" w:name="_Toc66890495"/>
      <w:bookmarkStart w:id="8093" w:name="_Toc69114241"/>
      <w:r>
        <w:rPr>
          <w:color w:val="auto"/>
          <w:highlight w:val="none"/>
        </w:rPr>
        <w:t xml:space="preserve">1.4 </w:t>
      </w:r>
      <w:r>
        <w:rPr>
          <w:rFonts w:hint="eastAsia"/>
          <w:color w:val="auto"/>
          <w:highlight w:val="none"/>
        </w:rPr>
        <w:t>园林铺装质量要求</w:t>
      </w:r>
      <w:bookmarkEnd w:id="8090"/>
      <w:bookmarkEnd w:id="8091"/>
      <w:bookmarkEnd w:id="8092"/>
      <w:bookmarkEnd w:id="8093"/>
    </w:p>
    <w:p>
      <w:pPr>
        <w:pStyle w:val="217"/>
        <w:rPr>
          <w:color w:val="auto"/>
          <w:highlight w:val="none"/>
        </w:rPr>
      </w:pPr>
      <w:r>
        <w:rPr>
          <w:rFonts w:hint="eastAsia"/>
          <w:color w:val="auto"/>
          <w:highlight w:val="none"/>
        </w:rPr>
        <w:t>表</w:t>
      </w:r>
      <w:r>
        <w:rPr>
          <w:color w:val="auto"/>
          <w:highlight w:val="none"/>
        </w:rPr>
        <w:t xml:space="preserve">1  </w:t>
      </w:r>
      <w:r>
        <w:rPr>
          <w:rFonts w:hint="eastAsia"/>
          <w:color w:val="auto"/>
          <w:highlight w:val="none"/>
        </w:rPr>
        <w:t>各种块料面层相邻两块的高低允许偏差</w:t>
      </w:r>
    </w:p>
    <w:tbl>
      <w:tblPr>
        <w:tblStyle w:val="43"/>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4671"/>
        <w:gridCol w:w="3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40" w:type="dxa"/>
            <w:noWrap w:val="0"/>
            <w:vAlign w:val="center"/>
          </w:tcPr>
          <w:p>
            <w:pPr>
              <w:rPr>
                <w:color w:val="auto"/>
                <w:highlight w:val="none"/>
              </w:rPr>
            </w:pPr>
            <w:r>
              <w:rPr>
                <w:rFonts w:hint="eastAsia"/>
                <w:color w:val="auto"/>
                <w:highlight w:val="none"/>
              </w:rPr>
              <w:t>序号</w:t>
            </w:r>
          </w:p>
        </w:tc>
        <w:tc>
          <w:tcPr>
            <w:tcW w:w="4671" w:type="dxa"/>
            <w:noWrap w:val="0"/>
            <w:vAlign w:val="center"/>
          </w:tcPr>
          <w:p>
            <w:pPr>
              <w:rPr>
                <w:color w:val="auto"/>
                <w:highlight w:val="none"/>
              </w:rPr>
            </w:pPr>
            <w:r>
              <w:rPr>
                <w:rFonts w:hint="eastAsia"/>
                <w:color w:val="auto"/>
                <w:highlight w:val="none"/>
              </w:rPr>
              <w:t>块料面层名称</w:t>
            </w:r>
          </w:p>
        </w:tc>
        <w:tc>
          <w:tcPr>
            <w:tcW w:w="3120" w:type="dxa"/>
            <w:noWrap w:val="0"/>
            <w:vAlign w:val="center"/>
          </w:tcPr>
          <w:p>
            <w:pPr>
              <w:rPr>
                <w:color w:val="auto"/>
                <w:highlight w:val="none"/>
              </w:rPr>
            </w:pPr>
            <w:r>
              <w:rPr>
                <w:rFonts w:hint="eastAsia"/>
                <w:color w:val="auto"/>
                <w:highlight w:val="none"/>
              </w:rPr>
              <w:t>允许偏差（</w:t>
            </w:r>
            <w:r>
              <w:rPr>
                <w:color w:val="auto"/>
                <w:highlight w:val="none"/>
              </w:rPr>
              <w:t>mm</w:t>
            </w: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40" w:type="dxa"/>
            <w:noWrap w:val="0"/>
            <w:vAlign w:val="center"/>
          </w:tcPr>
          <w:p>
            <w:pPr>
              <w:rPr>
                <w:color w:val="auto"/>
                <w:highlight w:val="none"/>
              </w:rPr>
            </w:pPr>
            <w:r>
              <w:rPr>
                <w:color w:val="auto"/>
                <w:highlight w:val="none"/>
              </w:rPr>
              <w:t>1</w:t>
            </w:r>
          </w:p>
        </w:tc>
        <w:tc>
          <w:tcPr>
            <w:tcW w:w="4671" w:type="dxa"/>
            <w:noWrap w:val="0"/>
            <w:vAlign w:val="center"/>
          </w:tcPr>
          <w:p>
            <w:pPr>
              <w:rPr>
                <w:color w:val="auto"/>
                <w:highlight w:val="none"/>
              </w:rPr>
            </w:pPr>
            <w:r>
              <w:rPr>
                <w:rFonts w:hint="eastAsia"/>
                <w:color w:val="auto"/>
                <w:highlight w:val="none"/>
              </w:rPr>
              <w:t>条石面层</w:t>
            </w:r>
          </w:p>
        </w:tc>
        <w:tc>
          <w:tcPr>
            <w:tcW w:w="3120" w:type="dxa"/>
            <w:noWrap w:val="0"/>
            <w:vAlign w:val="center"/>
          </w:tcPr>
          <w:p>
            <w:pPr>
              <w:rPr>
                <w:color w:val="auto"/>
                <w:highlight w:val="none"/>
              </w:rPr>
            </w:pPr>
            <w:r>
              <w:rPr>
                <w:color w:val="auto"/>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40" w:type="dxa"/>
            <w:noWrap w:val="0"/>
            <w:vAlign w:val="center"/>
          </w:tcPr>
          <w:p>
            <w:pPr>
              <w:rPr>
                <w:color w:val="auto"/>
                <w:highlight w:val="none"/>
              </w:rPr>
            </w:pPr>
            <w:r>
              <w:rPr>
                <w:color w:val="auto"/>
                <w:highlight w:val="none"/>
              </w:rPr>
              <w:t>2</w:t>
            </w:r>
          </w:p>
        </w:tc>
        <w:tc>
          <w:tcPr>
            <w:tcW w:w="4671" w:type="dxa"/>
            <w:noWrap w:val="0"/>
            <w:vAlign w:val="center"/>
          </w:tcPr>
          <w:p>
            <w:pPr>
              <w:rPr>
                <w:color w:val="auto"/>
                <w:highlight w:val="none"/>
              </w:rPr>
            </w:pPr>
            <w:r>
              <w:rPr>
                <w:rFonts w:hint="eastAsia"/>
                <w:color w:val="auto"/>
                <w:highlight w:val="none"/>
              </w:rPr>
              <w:t>普通粘土砖、混凝土面层</w:t>
            </w:r>
          </w:p>
        </w:tc>
        <w:tc>
          <w:tcPr>
            <w:tcW w:w="3120" w:type="dxa"/>
            <w:noWrap w:val="0"/>
            <w:vAlign w:val="center"/>
          </w:tcPr>
          <w:p>
            <w:pPr>
              <w:rPr>
                <w:color w:val="auto"/>
                <w:highlight w:val="none"/>
              </w:rPr>
            </w:pPr>
            <w:r>
              <w:rPr>
                <w:color w:val="auto"/>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40" w:type="dxa"/>
            <w:noWrap w:val="0"/>
            <w:vAlign w:val="center"/>
          </w:tcPr>
          <w:p>
            <w:pPr>
              <w:rPr>
                <w:color w:val="auto"/>
                <w:highlight w:val="none"/>
              </w:rPr>
            </w:pPr>
            <w:r>
              <w:rPr>
                <w:color w:val="auto"/>
                <w:highlight w:val="none"/>
              </w:rPr>
              <w:t>3</w:t>
            </w:r>
          </w:p>
        </w:tc>
        <w:tc>
          <w:tcPr>
            <w:tcW w:w="4671" w:type="dxa"/>
            <w:noWrap w:val="0"/>
            <w:vAlign w:val="center"/>
          </w:tcPr>
          <w:p>
            <w:pPr>
              <w:rPr>
                <w:color w:val="auto"/>
                <w:highlight w:val="none"/>
              </w:rPr>
            </w:pPr>
            <w:r>
              <w:rPr>
                <w:rFonts w:hint="eastAsia"/>
                <w:color w:val="auto"/>
                <w:highlight w:val="none"/>
              </w:rPr>
              <w:t>陶瓷地砖、水泥花砖、混凝土渗水砖</w:t>
            </w:r>
          </w:p>
        </w:tc>
        <w:tc>
          <w:tcPr>
            <w:tcW w:w="3120" w:type="dxa"/>
            <w:noWrap w:val="0"/>
            <w:vAlign w:val="center"/>
          </w:tcPr>
          <w:p>
            <w:pPr>
              <w:rPr>
                <w:color w:val="auto"/>
                <w:highlight w:val="none"/>
              </w:rPr>
            </w:pPr>
            <w:r>
              <w:rPr>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40" w:type="dxa"/>
            <w:noWrap w:val="0"/>
            <w:vAlign w:val="center"/>
          </w:tcPr>
          <w:p>
            <w:pPr>
              <w:rPr>
                <w:color w:val="auto"/>
                <w:highlight w:val="none"/>
              </w:rPr>
            </w:pPr>
            <w:r>
              <w:rPr>
                <w:color w:val="auto"/>
                <w:highlight w:val="none"/>
              </w:rPr>
              <w:t>4</w:t>
            </w:r>
          </w:p>
        </w:tc>
        <w:tc>
          <w:tcPr>
            <w:tcW w:w="4671" w:type="dxa"/>
            <w:noWrap w:val="0"/>
            <w:vAlign w:val="center"/>
          </w:tcPr>
          <w:p>
            <w:pPr>
              <w:rPr>
                <w:color w:val="auto"/>
                <w:highlight w:val="none"/>
              </w:rPr>
            </w:pPr>
            <w:r>
              <w:rPr>
                <w:rFonts w:hint="eastAsia"/>
                <w:color w:val="auto"/>
                <w:highlight w:val="none"/>
              </w:rPr>
              <w:t>大理石、花岗岩、拼花木板</w:t>
            </w:r>
          </w:p>
        </w:tc>
        <w:tc>
          <w:tcPr>
            <w:tcW w:w="3120" w:type="dxa"/>
            <w:noWrap w:val="0"/>
            <w:vAlign w:val="center"/>
          </w:tcPr>
          <w:p>
            <w:pPr>
              <w:rPr>
                <w:color w:val="auto"/>
                <w:highlight w:val="none"/>
              </w:rPr>
            </w:pPr>
            <w:r>
              <w:rPr>
                <w:color w:val="auto"/>
                <w:highlight w:val="none"/>
              </w:rPr>
              <w:t>0.5</w:t>
            </w:r>
          </w:p>
        </w:tc>
      </w:tr>
    </w:tbl>
    <w:p>
      <w:pPr>
        <w:rPr>
          <w:color w:val="auto"/>
          <w:highlight w:val="none"/>
        </w:rPr>
      </w:pPr>
    </w:p>
    <w:p>
      <w:pPr>
        <w:rPr>
          <w:color w:val="auto"/>
          <w:highlight w:val="none"/>
        </w:rPr>
      </w:pPr>
    </w:p>
    <w:p>
      <w:pPr>
        <w:pStyle w:val="217"/>
        <w:rPr>
          <w:color w:val="auto"/>
          <w:highlight w:val="none"/>
        </w:rPr>
      </w:pPr>
      <w:r>
        <w:rPr>
          <w:rFonts w:hint="eastAsia"/>
          <w:color w:val="auto"/>
          <w:highlight w:val="none"/>
        </w:rPr>
        <w:t>表</w:t>
      </w:r>
      <w:r>
        <w:rPr>
          <w:color w:val="auto"/>
          <w:highlight w:val="none"/>
        </w:rPr>
        <w:t xml:space="preserve">2  </w:t>
      </w:r>
      <w:r>
        <w:rPr>
          <w:rFonts w:hint="eastAsia"/>
          <w:color w:val="auto"/>
          <w:highlight w:val="none"/>
        </w:rPr>
        <w:t>各种块料面层行列（接缝）直线度允许偏差（</w:t>
      </w:r>
      <w:r>
        <w:rPr>
          <w:color w:val="auto"/>
          <w:highlight w:val="none"/>
        </w:rPr>
        <w:t>5</w:t>
      </w:r>
      <w:r>
        <w:rPr>
          <w:rFonts w:hint="eastAsia"/>
          <w:color w:val="auto"/>
          <w:highlight w:val="none"/>
        </w:rPr>
        <w:t>米长度内）</w:t>
      </w:r>
    </w:p>
    <w:tbl>
      <w:tblPr>
        <w:tblStyle w:val="43"/>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4671"/>
        <w:gridCol w:w="3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40" w:type="dxa"/>
            <w:noWrap w:val="0"/>
            <w:vAlign w:val="center"/>
          </w:tcPr>
          <w:p>
            <w:pPr>
              <w:rPr>
                <w:color w:val="auto"/>
                <w:highlight w:val="none"/>
              </w:rPr>
            </w:pPr>
            <w:r>
              <w:rPr>
                <w:rFonts w:hint="eastAsia"/>
                <w:color w:val="auto"/>
                <w:highlight w:val="none"/>
              </w:rPr>
              <w:t>序号</w:t>
            </w:r>
          </w:p>
        </w:tc>
        <w:tc>
          <w:tcPr>
            <w:tcW w:w="4671" w:type="dxa"/>
            <w:noWrap w:val="0"/>
            <w:vAlign w:val="center"/>
          </w:tcPr>
          <w:p>
            <w:pPr>
              <w:rPr>
                <w:color w:val="auto"/>
                <w:highlight w:val="none"/>
              </w:rPr>
            </w:pPr>
            <w:r>
              <w:rPr>
                <w:rFonts w:hint="eastAsia"/>
                <w:color w:val="auto"/>
                <w:highlight w:val="none"/>
              </w:rPr>
              <w:t>块料面层名称</w:t>
            </w:r>
          </w:p>
        </w:tc>
        <w:tc>
          <w:tcPr>
            <w:tcW w:w="3120" w:type="dxa"/>
            <w:noWrap w:val="0"/>
            <w:vAlign w:val="center"/>
          </w:tcPr>
          <w:p>
            <w:pPr>
              <w:rPr>
                <w:color w:val="auto"/>
                <w:highlight w:val="none"/>
              </w:rPr>
            </w:pPr>
            <w:r>
              <w:rPr>
                <w:rFonts w:hint="eastAsia"/>
                <w:color w:val="auto"/>
                <w:highlight w:val="none"/>
              </w:rPr>
              <w:t>允许偏差（</w:t>
            </w:r>
            <w:r>
              <w:rPr>
                <w:color w:val="auto"/>
                <w:highlight w:val="none"/>
              </w:rPr>
              <w:t>mm</w:t>
            </w: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40" w:type="dxa"/>
            <w:noWrap w:val="0"/>
            <w:vAlign w:val="center"/>
          </w:tcPr>
          <w:p>
            <w:pPr>
              <w:rPr>
                <w:color w:val="auto"/>
                <w:highlight w:val="none"/>
              </w:rPr>
            </w:pPr>
            <w:r>
              <w:rPr>
                <w:color w:val="auto"/>
                <w:highlight w:val="none"/>
              </w:rPr>
              <w:t>1</w:t>
            </w:r>
          </w:p>
        </w:tc>
        <w:tc>
          <w:tcPr>
            <w:tcW w:w="4671" w:type="dxa"/>
            <w:noWrap w:val="0"/>
            <w:vAlign w:val="center"/>
          </w:tcPr>
          <w:p>
            <w:pPr>
              <w:rPr>
                <w:color w:val="auto"/>
                <w:highlight w:val="none"/>
              </w:rPr>
            </w:pPr>
            <w:r>
              <w:rPr>
                <w:rFonts w:hint="eastAsia"/>
                <w:color w:val="auto"/>
                <w:highlight w:val="none"/>
              </w:rPr>
              <w:t>条石面层</w:t>
            </w:r>
          </w:p>
        </w:tc>
        <w:tc>
          <w:tcPr>
            <w:tcW w:w="3120" w:type="dxa"/>
            <w:noWrap w:val="0"/>
            <w:vAlign w:val="center"/>
          </w:tcPr>
          <w:p>
            <w:pPr>
              <w:rPr>
                <w:color w:val="auto"/>
                <w:highlight w:val="none"/>
              </w:rPr>
            </w:pPr>
            <w:r>
              <w:rPr>
                <w:color w:val="auto"/>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40" w:type="dxa"/>
            <w:noWrap w:val="0"/>
            <w:vAlign w:val="center"/>
          </w:tcPr>
          <w:p>
            <w:pPr>
              <w:rPr>
                <w:color w:val="auto"/>
                <w:highlight w:val="none"/>
              </w:rPr>
            </w:pPr>
            <w:r>
              <w:rPr>
                <w:color w:val="auto"/>
                <w:highlight w:val="none"/>
              </w:rPr>
              <w:t>2</w:t>
            </w:r>
          </w:p>
        </w:tc>
        <w:tc>
          <w:tcPr>
            <w:tcW w:w="4671" w:type="dxa"/>
            <w:noWrap w:val="0"/>
            <w:vAlign w:val="center"/>
          </w:tcPr>
          <w:p>
            <w:pPr>
              <w:rPr>
                <w:color w:val="auto"/>
                <w:highlight w:val="none"/>
              </w:rPr>
            </w:pPr>
            <w:r>
              <w:rPr>
                <w:rFonts w:hint="eastAsia"/>
                <w:color w:val="auto"/>
                <w:highlight w:val="none"/>
              </w:rPr>
              <w:t>普通粘土砖、混凝土面层</w:t>
            </w:r>
          </w:p>
        </w:tc>
        <w:tc>
          <w:tcPr>
            <w:tcW w:w="3120" w:type="dxa"/>
            <w:noWrap w:val="0"/>
            <w:vAlign w:val="center"/>
          </w:tcPr>
          <w:p>
            <w:pPr>
              <w:rPr>
                <w:color w:val="auto"/>
                <w:highlight w:val="none"/>
              </w:rPr>
            </w:pPr>
            <w:r>
              <w:rPr>
                <w:color w:val="auto"/>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40" w:type="dxa"/>
            <w:noWrap w:val="0"/>
            <w:vAlign w:val="center"/>
          </w:tcPr>
          <w:p>
            <w:pPr>
              <w:rPr>
                <w:color w:val="auto"/>
                <w:highlight w:val="none"/>
              </w:rPr>
            </w:pPr>
            <w:r>
              <w:rPr>
                <w:color w:val="auto"/>
                <w:highlight w:val="none"/>
              </w:rPr>
              <w:t>3</w:t>
            </w:r>
          </w:p>
        </w:tc>
        <w:tc>
          <w:tcPr>
            <w:tcW w:w="4671" w:type="dxa"/>
            <w:noWrap w:val="0"/>
            <w:vAlign w:val="center"/>
          </w:tcPr>
          <w:p>
            <w:pPr>
              <w:rPr>
                <w:color w:val="auto"/>
                <w:highlight w:val="none"/>
              </w:rPr>
            </w:pPr>
            <w:r>
              <w:rPr>
                <w:rFonts w:hint="eastAsia"/>
                <w:color w:val="auto"/>
                <w:highlight w:val="none"/>
              </w:rPr>
              <w:t>马赛克、缸砖、陶瓷地砖、水泥花砖、混凝土渗水砖</w:t>
            </w:r>
          </w:p>
        </w:tc>
        <w:tc>
          <w:tcPr>
            <w:tcW w:w="3120" w:type="dxa"/>
            <w:noWrap w:val="0"/>
            <w:vAlign w:val="center"/>
          </w:tcPr>
          <w:p>
            <w:pPr>
              <w:rPr>
                <w:color w:val="auto"/>
                <w:highlight w:val="none"/>
              </w:rPr>
            </w:pPr>
            <w:r>
              <w:rPr>
                <w:color w:val="auto"/>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40" w:type="dxa"/>
            <w:noWrap w:val="0"/>
            <w:vAlign w:val="center"/>
          </w:tcPr>
          <w:p>
            <w:pPr>
              <w:rPr>
                <w:color w:val="auto"/>
                <w:highlight w:val="none"/>
              </w:rPr>
            </w:pPr>
            <w:r>
              <w:rPr>
                <w:color w:val="auto"/>
                <w:highlight w:val="none"/>
              </w:rPr>
              <w:t>4</w:t>
            </w:r>
          </w:p>
        </w:tc>
        <w:tc>
          <w:tcPr>
            <w:tcW w:w="4671" w:type="dxa"/>
            <w:noWrap w:val="0"/>
            <w:vAlign w:val="center"/>
          </w:tcPr>
          <w:p>
            <w:pPr>
              <w:rPr>
                <w:color w:val="auto"/>
                <w:highlight w:val="none"/>
              </w:rPr>
            </w:pPr>
            <w:r>
              <w:rPr>
                <w:rFonts w:hint="eastAsia"/>
                <w:color w:val="auto"/>
                <w:highlight w:val="none"/>
              </w:rPr>
              <w:t>大理石、花岗岩、拼花木板</w:t>
            </w:r>
          </w:p>
        </w:tc>
        <w:tc>
          <w:tcPr>
            <w:tcW w:w="3120" w:type="dxa"/>
            <w:noWrap w:val="0"/>
            <w:vAlign w:val="center"/>
          </w:tcPr>
          <w:p>
            <w:pPr>
              <w:rPr>
                <w:color w:val="auto"/>
                <w:highlight w:val="none"/>
              </w:rPr>
            </w:pPr>
            <w:r>
              <w:rPr>
                <w:color w:val="auto"/>
                <w:highlight w:val="none"/>
              </w:rPr>
              <w:t>2</w:t>
            </w:r>
          </w:p>
        </w:tc>
      </w:tr>
    </w:tbl>
    <w:p>
      <w:pPr>
        <w:rPr>
          <w:color w:val="auto"/>
          <w:highlight w:val="none"/>
        </w:rPr>
      </w:pPr>
    </w:p>
    <w:p>
      <w:pPr>
        <w:pStyle w:val="217"/>
        <w:rPr>
          <w:color w:val="auto"/>
          <w:highlight w:val="none"/>
        </w:rPr>
      </w:pPr>
      <w:r>
        <w:rPr>
          <w:rFonts w:hint="eastAsia"/>
          <w:color w:val="auto"/>
          <w:highlight w:val="none"/>
        </w:rPr>
        <w:t>表</w:t>
      </w:r>
      <w:r>
        <w:rPr>
          <w:color w:val="auto"/>
          <w:highlight w:val="none"/>
        </w:rPr>
        <w:t xml:space="preserve">3  </w:t>
      </w:r>
      <w:r>
        <w:rPr>
          <w:rFonts w:hint="eastAsia"/>
          <w:color w:val="auto"/>
          <w:highlight w:val="none"/>
        </w:rPr>
        <w:t>各层表面平整度允许偏差（</w:t>
      </w:r>
      <w:r>
        <w:rPr>
          <w:color w:val="auto"/>
          <w:highlight w:val="none"/>
        </w:rPr>
        <w:t>2</w:t>
      </w:r>
      <w:r>
        <w:rPr>
          <w:rFonts w:hint="eastAsia"/>
          <w:color w:val="auto"/>
          <w:highlight w:val="none"/>
        </w:rPr>
        <w:t>米直尺检查）</w:t>
      </w:r>
    </w:p>
    <w:tbl>
      <w:tblPr>
        <w:tblStyle w:val="43"/>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015"/>
        <w:gridCol w:w="4354"/>
        <w:gridCol w:w="2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5" w:type="dxa"/>
            <w:noWrap w:val="0"/>
            <w:vAlign w:val="center"/>
          </w:tcPr>
          <w:p>
            <w:pPr>
              <w:rPr>
                <w:color w:val="auto"/>
                <w:highlight w:val="none"/>
              </w:rPr>
            </w:pPr>
            <w:r>
              <w:rPr>
                <w:rFonts w:hint="eastAsia"/>
                <w:color w:val="auto"/>
                <w:highlight w:val="none"/>
              </w:rPr>
              <w:t>序号</w:t>
            </w:r>
          </w:p>
        </w:tc>
        <w:tc>
          <w:tcPr>
            <w:tcW w:w="1015" w:type="dxa"/>
            <w:noWrap w:val="0"/>
            <w:vAlign w:val="center"/>
          </w:tcPr>
          <w:p>
            <w:pPr>
              <w:rPr>
                <w:color w:val="auto"/>
                <w:highlight w:val="none"/>
              </w:rPr>
            </w:pPr>
            <w:r>
              <w:rPr>
                <w:rFonts w:hint="eastAsia"/>
                <w:color w:val="auto"/>
                <w:highlight w:val="none"/>
              </w:rPr>
              <w:t>层次</w:t>
            </w:r>
          </w:p>
        </w:tc>
        <w:tc>
          <w:tcPr>
            <w:tcW w:w="4354" w:type="dxa"/>
            <w:noWrap w:val="0"/>
            <w:vAlign w:val="center"/>
          </w:tcPr>
          <w:p>
            <w:pPr>
              <w:rPr>
                <w:color w:val="auto"/>
                <w:highlight w:val="none"/>
              </w:rPr>
            </w:pPr>
            <w:r>
              <w:rPr>
                <w:rFonts w:hint="eastAsia"/>
                <w:color w:val="auto"/>
                <w:highlight w:val="none"/>
              </w:rPr>
              <w:t>材料名称</w:t>
            </w:r>
          </w:p>
        </w:tc>
        <w:tc>
          <w:tcPr>
            <w:tcW w:w="2427" w:type="dxa"/>
            <w:noWrap w:val="0"/>
            <w:vAlign w:val="center"/>
          </w:tcPr>
          <w:p>
            <w:pPr>
              <w:rPr>
                <w:color w:val="auto"/>
                <w:highlight w:val="none"/>
              </w:rPr>
            </w:pPr>
            <w:r>
              <w:rPr>
                <w:rFonts w:hint="eastAsia"/>
                <w:color w:val="auto"/>
                <w:highlight w:val="none"/>
              </w:rPr>
              <w:t>允许偏差（</w:t>
            </w:r>
            <w:r>
              <w:rPr>
                <w:color w:val="auto"/>
                <w:highlight w:val="none"/>
              </w:rPr>
              <w:t>mm</w:t>
            </w: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5" w:type="dxa"/>
            <w:noWrap w:val="0"/>
            <w:vAlign w:val="center"/>
          </w:tcPr>
          <w:p>
            <w:pPr>
              <w:rPr>
                <w:color w:val="auto"/>
                <w:highlight w:val="none"/>
              </w:rPr>
            </w:pPr>
            <w:r>
              <w:rPr>
                <w:color w:val="auto"/>
                <w:highlight w:val="none"/>
              </w:rPr>
              <w:t>1</w:t>
            </w:r>
          </w:p>
        </w:tc>
        <w:tc>
          <w:tcPr>
            <w:tcW w:w="1015" w:type="dxa"/>
            <w:vMerge w:val="restart"/>
            <w:noWrap w:val="0"/>
            <w:vAlign w:val="center"/>
          </w:tcPr>
          <w:p>
            <w:pPr>
              <w:rPr>
                <w:color w:val="auto"/>
                <w:highlight w:val="none"/>
              </w:rPr>
            </w:pPr>
            <w:r>
              <w:rPr>
                <w:rFonts w:hint="eastAsia"/>
                <w:color w:val="auto"/>
                <w:highlight w:val="none"/>
              </w:rPr>
              <w:t>垫层</w:t>
            </w:r>
          </w:p>
        </w:tc>
        <w:tc>
          <w:tcPr>
            <w:tcW w:w="4354" w:type="dxa"/>
            <w:noWrap w:val="0"/>
            <w:vAlign w:val="center"/>
          </w:tcPr>
          <w:p>
            <w:pPr>
              <w:rPr>
                <w:color w:val="auto"/>
                <w:highlight w:val="none"/>
              </w:rPr>
            </w:pPr>
            <w:r>
              <w:rPr>
                <w:rFonts w:hint="eastAsia"/>
                <w:color w:val="auto"/>
                <w:highlight w:val="none"/>
              </w:rPr>
              <w:t>砂石、碎石、卵石、碎砖</w:t>
            </w:r>
          </w:p>
        </w:tc>
        <w:tc>
          <w:tcPr>
            <w:tcW w:w="2427" w:type="dxa"/>
            <w:noWrap w:val="0"/>
            <w:vAlign w:val="center"/>
          </w:tcPr>
          <w:p>
            <w:pPr>
              <w:rPr>
                <w:color w:val="auto"/>
                <w:highlight w:val="none"/>
              </w:rPr>
            </w:pPr>
            <w:r>
              <w:rPr>
                <w:color w:val="auto"/>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5" w:type="dxa"/>
            <w:noWrap w:val="0"/>
            <w:vAlign w:val="center"/>
          </w:tcPr>
          <w:p>
            <w:pPr>
              <w:rPr>
                <w:color w:val="auto"/>
                <w:highlight w:val="none"/>
              </w:rPr>
            </w:pPr>
            <w:r>
              <w:rPr>
                <w:color w:val="auto"/>
                <w:highlight w:val="none"/>
              </w:rPr>
              <w:t>2</w:t>
            </w:r>
          </w:p>
        </w:tc>
        <w:tc>
          <w:tcPr>
            <w:tcW w:w="1015" w:type="dxa"/>
            <w:vMerge w:val="continue"/>
            <w:noWrap w:val="0"/>
            <w:vAlign w:val="center"/>
          </w:tcPr>
          <w:p>
            <w:pPr>
              <w:rPr>
                <w:color w:val="auto"/>
                <w:highlight w:val="none"/>
              </w:rPr>
            </w:pPr>
          </w:p>
        </w:tc>
        <w:tc>
          <w:tcPr>
            <w:tcW w:w="4354" w:type="dxa"/>
            <w:noWrap w:val="0"/>
            <w:vAlign w:val="center"/>
          </w:tcPr>
          <w:p>
            <w:pPr>
              <w:rPr>
                <w:color w:val="auto"/>
                <w:highlight w:val="none"/>
              </w:rPr>
            </w:pPr>
            <w:r>
              <w:rPr>
                <w:rFonts w:hint="eastAsia"/>
                <w:color w:val="auto"/>
                <w:highlight w:val="none"/>
              </w:rPr>
              <w:t>灰土、炉渣、水泥混凝土</w:t>
            </w:r>
          </w:p>
        </w:tc>
        <w:tc>
          <w:tcPr>
            <w:tcW w:w="2427" w:type="dxa"/>
            <w:noWrap w:val="0"/>
            <w:vAlign w:val="center"/>
          </w:tcPr>
          <w:p>
            <w:pPr>
              <w:rPr>
                <w:color w:val="auto"/>
                <w:highlight w:val="none"/>
              </w:rPr>
            </w:pPr>
            <w:r>
              <w:rPr>
                <w:color w:val="auto"/>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5" w:type="dxa"/>
            <w:noWrap w:val="0"/>
            <w:vAlign w:val="center"/>
          </w:tcPr>
          <w:p>
            <w:pPr>
              <w:rPr>
                <w:color w:val="auto"/>
                <w:highlight w:val="none"/>
              </w:rPr>
            </w:pPr>
            <w:r>
              <w:rPr>
                <w:color w:val="auto"/>
                <w:highlight w:val="none"/>
              </w:rPr>
              <w:t>3</w:t>
            </w:r>
          </w:p>
        </w:tc>
        <w:tc>
          <w:tcPr>
            <w:tcW w:w="1015" w:type="dxa"/>
            <w:vMerge w:val="restart"/>
            <w:noWrap w:val="0"/>
            <w:vAlign w:val="center"/>
          </w:tcPr>
          <w:p>
            <w:pPr>
              <w:rPr>
                <w:color w:val="auto"/>
                <w:highlight w:val="none"/>
              </w:rPr>
            </w:pPr>
            <w:r>
              <w:rPr>
                <w:rFonts w:hint="eastAsia"/>
                <w:color w:val="auto"/>
                <w:highlight w:val="none"/>
              </w:rPr>
              <w:t>面层</w:t>
            </w:r>
          </w:p>
        </w:tc>
        <w:tc>
          <w:tcPr>
            <w:tcW w:w="4354" w:type="dxa"/>
            <w:noWrap w:val="0"/>
            <w:vAlign w:val="center"/>
          </w:tcPr>
          <w:p>
            <w:pPr>
              <w:rPr>
                <w:color w:val="auto"/>
                <w:highlight w:val="none"/>
              </w:rPr>
            </w:pPr>
            <w:r>
              <w:rPr>
                <w:rFonts w:hint="eastAsia"/>
                <w:color w:val="auto"/>
                <w:highlight w:val="none"/>
              </w:rPr>
              <w:t>条石、块石</w:t>
            </w:r>
          </w:p>
        </w:tc>
        <w:tc>
          <w:tcPr>
            <w:tcW w:w="2427" w:type="dxa"/>
            <w:noWrap w:val="0"/>
            <w:vAlign w:val="center"/>
          </w:tcPr>
          <w:p>
            <w:pPr>
              <w:rPr>
                <w:color w:val="auto"/>
                <w:highlight w:val="none"/>
              </w:rPr>
            </w:pPr>
            <w:r>
              <w:rPr>
                <w:color w:val="auto"/>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5" w:type="dxa"/>
            <w:noWrap w:val="0"/>
            <w:vAlign w:val="center"/>
          </w:tcPr>
          <w:p>
            <w:pPr>
              <w:rPr>
                <w:color w:val="auto"/>
                <w:highlight w:val="none"/>
              </w:rPr>
            </w:pPr>
            <w:r>
              <w:rPr>
                <w:color w:val="auto"/>
                <w:highlight w:val="none"/>
              </w:rPr>
              <w:t>4</w:t>
            </w:r>
          </w:p>
        </w:tc>
        <w:tc>
          <w:tcPr>
            <w:tcW w:w="1015" w:type="dxa"/>
            <w:vMerge w:val="continue"/>
            <w:noWrap w:val="0"/>
            <w:vAlign w:val="center"/>
          </w:tcPr>
          <w:p>
            <w:pPr>
              <w:rPr>
                <w:color w:val="auto"/>
                <w:highlight w:val="none"/>
              </w:rPr>
            </w:pPr>
          </w:p>
        </w:tc>
        <w:tc>
          <w:tcPr>
            <w:tcW w:w="4354" w:type="dxa"/>
            <w:noWrap w:val="0"/>
            <w:vAlign w:val="center"/>
          </w:tcPr>
          <w:p>
            <w:pPr>
              <w:rPr>
                <w:color w:val="auto"/>
                <w:highlight w:val="none"/>
              </w:rPr>
            </w:pPr>
            <w:r>
              <w:rPr>
                <w:rFonts w:hint="eastAsia"/>
                <w:color w:val="auto"/>
                <w:highlight w:val="none"/>
              </w:rPr>
              <w:t>水泥混凝土、水泥沙浆、沥青混凝土</w:t>
            </w:r>
          </w:p>
        </w:tc>
        <w:tc>
          <w:tcPr>
            <w:tcW w:w="2427" w:type="dxa"/>
            <w:noWrap w:val="0"/>
            <w:vAlign w:val="center"/>
          </w:tcPr>
          <w:p>
            <w:pPr>
              <w:rPr>
                <w:color w:val="auto"/>
                <w:highlight w:val="none"/>
              </w:rPr>
            </w:pPr>
            <w:r>
              <w:rPr>
                <w:color w:val="auto"/>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5" w:type="dxa"/>
            <w:noWrap w:val="0"/>
            <w:vAlign w:val="center"/>
          </w:tcPr>
          <w:p>
            <w:pPr>
              <w:rPr>
                <w:color w:val="auto"/>
                <w:highlight w:val="none"/>
              </w:rPr>
            </w:pPr>
            <w:r>
              <w:rPr>
                <w:color w:val="auto"/>
                <w:highlight w:val="none"/>
              </w:rPr>
              <w:t>5</w:t>
            </w:r>
          </w:p>
        </w:tc>
        <w:tc>
          <w:tcPr>
            <w:tcW w:w="1015" w:type="dxa"/>
            <w:vMerge w:val="continue"/>
            <w:noWrap w:val="0"/>
            <w:vAlign w:val="center"/>
          </w:tcPr>
          <w:p>
            <w:pPr>
              <w:rPr>
                <w:color w:val="auto"/>
                <w:highlight w:val="none"/>
              </w:rPr>
            </w:pPr>
          </w:p>
        </w:tc>
        <w:tc>
          <w:tcPr>
            <w:tcW w:w="4354" w:type="dxa"/>
            <w:noWrap w:val="0"/>
            <w:vAlign w:val="center"/>
          </w:tcPr>
          <w:p>
            <w:pPr>
              <w:rPr>
                <w:color w:val="auto"/>
                <w:highlight w:val="none"/>
              </w:rPr>
            </w:pPr>
            <w:r>
              <w:rPr>
                <w:rFonts w:hint="eastAsia"/>
                <w:color w:val="auto"/>
                <w:highlight w:val="none"/>
              </w:rPr>
              <w:t>缸砖、混凝土块面层</w:t>
            </w:r>
          </w:p>
        </w:tc>
        <w:tc>
          <w:tcPr>
            <w:tcW w:w="2427" w:type="dxa"/>
            <w:noWrap w:val="0"/>
            <w:vAlign w:val="center"/>
          </w:tcPr>
          <w:p>
            <w:pPr>
              <w:rPr>
                <w:color w:val="auto"/>
                <w:highlight w:val="none"/>
              </w:rPr>
            </w:pPr>
            <w:r>
              <w:rPr>
                <w:color w:val="auto"/>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5" w:type="dxa"/>
            <w:noWrap w:val="0"/>
            <w:vAlign w:val="center"/>
          </w:tcPr>
          <w:p>
            <w:pPr>
              <w:rPr>
                <w:color w:val="auto"/>
                <w:highlight w:val="none"/>
              </w:rPr>
            </w:pPr>
            <w:r>
              <w:rPr>
                <w:color w:val="auto"/>
                <w:highlight w:val="none"/>
              </w:rPr>
              <w:t>6</w:t>
            </w:r>
          </w:p>
        </w:tc>
        <w:tc>
          <w:tcPr>
            <w:tcW w:w="1015" w:type="dxa"/>
            <w:vMerge w:val="continue"/>
            <w:noWrap w:val="0"/>
            <w:vAlign w:val="center"/>
          </w:tcPr>
          <w:p>
            <w:pPr>
              <w:rPr>
                <w:color w:val="auto"/>
                <w:highlight w:val="none"/>
              </w:rPr>
            </w:pPr>
          </w:p>
        </w:tc>
        <w:tc>
          <w:tcPr>
            <w:tcW w:w="4354" w:type="dxa"/>
            <w:noWrap w:val="0"/>
            <w:vAlign w:val="center"/>
          </w:tcPr>
          <w:p>
            <w:pPr>
              <w:rPr>
                <w:color w:val="auto"/>
                <w:highlight w:val="none"/>
              </w:rPr>
            </w:pPr>
            <w:r>
              <w:rPr>
                <w:rFonts w:hint="eastAsia"/>
                <w:color w:val="auto"/>
                <w:highlight w:val="none"/>
              </w:rPr>
              <w:t>水磨石、碎拼大理石、水泥花砖、木板面层</w:t>
            </w:r>
          </w:p>
        </w:tc>
        <w:tc>
          <w:tcPr>
            <w:tcW w:w="2427" w:type="dxa"/>
            <w:noWrap w:val="0"/>
            <w:vAlign w:val="center"/>
          </w:tcPr>
          <w:p>
            <w:pPr>
              <w:rPr>
                <w:color w:val="auto"/>
                <w:highlight w:val="none"/>
              </w:rPr>
            </w:pPr>
            <w:r>
              <w:rPr>
                <w:color w:val="auto"/>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5" w:type="dxa"/>
            <w:noWrap w:val="0"/>
            <w:vAlign w:val="center"/>
          </w:tcPr>
          <w:p>
            <w:pPr>
              <w:rPr>
                <w:color w:val="auto"/>
                <w:highlight w:val="none"/>
              </w:rPr>
            </w:pPr>
            <w:r>
              <w:rPr>
                <w:color w:val="auto"/>
                <w:highlight w:val="none"/>
              </w:rPr>
              <w:t>7</w:t>
            </w:r>
          </w:p>
        </w:tc>
        <w:tc>
          <w:tcPr>
            <w:tcW w:w="1015" w:type="dxa"/>
            <w:vMerge w:val="continue"/>
            <w:noWrap w:val="0"/>
            <w:vAlign w:val="center"/>
          </w:tcPr>
          <w:p>
            <w:pPr>
              <w:rPr>
                <w:color w:val="auto"/>
                <w:highlight w:val="none"/>
              </w:rPr>
            </w:pPr>
          </w:p>
        </w:tc>
        <w:tc>
          <w:tcPr>
            <w:tcW w:w="4354" w:type="dxa"/>
            <w:noWrap w:val="0"/>
            <w:vAlign w:val="center"/>
          </w:tcPr>
          <w:p>
            <w:pPr>
              <w:rPr>
                <w:color w:val="auto"/>
                <w:highlight w:val="none"/>
              </w:rPr>
            </w:pPr>
            <w:r>
              <w:rPr>
                <w:rFonts w:hint="eastAsia"/>
                <w:color w:val="auto"/>
                <w:highlight w:val="none"/>
              </w:rPr>
              <w:t>马赛克、陶瓷地砖、拼花木板</w:t>
            </w:r>
          </w:p>
        </w:tc>
        <w:tc>
          <w:tcPr>
            <w:tcW w:w="2427" w:type="dxa"/>
            <w:noWrap w:val="0"/>
            <w:vAlign w:val="center"/>
          </w:tcPr>
          <w:p>
            <w:pPr>
              <w:rPr>
                <w:color w:val="auto"/>
                <w:highlight w:val="none"/>
              </w:rPr>
            </w:pPr>
            <w:r>
              <w:rPr>
                <w:color w:val="auto"/>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5" w:type="dxa"/>
            <w:noWrap w:val="0"/>
            <w:vAlign w:val="center"/>
          </w:tcPr>
          <w:p>
            <w:pPr>
              <w:rPr>
                <w:color w:val="auto"/>
                <w:highlight w:val="none"/>
              </w:rPr>
            </w:pPr>
            <w:r>
              <w:rPr>
                <w:color w:val="auto"/>
                <w:highlight w:val="none"/>
              </w:rPr>
              <w:t>8</w:t>
            </w:r>
          </w:p>
        </w:tc>
        <w:tc>
          <w:tcPr>
            <w:tcW w:w="1015" w:type="dxa"/>
            <w:vMerge w:val="continue"/>
            <w:noWrap w:val="0"/>
            <w:vAlign w:val="center"/>
          </w:tcPr>
          <w:p>
            <w:pPr>
              <w:rPr>
                <w:color w:val="auto"/>
                <w:highlight w:val="none"/>
              </w:rPr>
            </w:pPr>
          </w:p>
        </w:tc>
        <w:tc>
          <w:tcPr>
            <w:tcW w:w="4354" w:type="dxa"/>
            <w:noWrap w:val="0"/>
            <w:vAlign w:val="center"/>
          </w:tcPr>
          <w:p>
            <w:pPr>
              <w:rPr>
                <w:color w:val="auto"/>
                <w:highlight w:val="none"/>
              </w:rPr>
            </w:pPr>
            <w:r>
              <w:rPr>
                <w:rFonts w:hint="eastAsia"/>
                <w:color w:val="auto"/>
                <w:highlight w:val="none"/>
              </w:rPr>
              <w:t>大理石、花岗石面层</w:t>
            </w:r>
          </w:p>
        </w:tc>
        <w:tc>
          <w:tcPr>
            <w:tcW w:w="2427" w:type="dxa"/>
            <w:noWrap w:val="0"/>
            <w:vAlign w:val="center"/>
          </w:tcPr>
          <w:p>
            <w:pPr>
              <w:rPr>
                <w:color w:val="auto"/>
                <w:highlight w:val="none"/>
              </w:rPr>
            </w:pPr>
            <w:r>
              <w:rPr>
                <w:color w:val="auto"/>
                <w:highlight w:val="none"/>
              </w:rPr>
              <w:t>1</w:t>
            </w:r>
          </w:p>
        </w:tc>
      </w:tr>
    </w:tbl>
    <w:p>
      <w:pPr>
        <w:rPr>
          <w:color w:val="auto"/>
          <w:highlight w:val="none"/>
        </w:rPr>
      </w:pPr>
    </w:p>
    <w:p>
      <w:pPr>
        <w:pStyle w:val="113"/>
        <w:spacing w:before="120" w:after="120"/>
        <w:outlineLvl w:val="2"/>
        <w:rPr>
          <w:color w:val="auto"/>
          <w:highlight w:val="none"/>
        </w:rPr>
      </w:pPr>
      <w:bookmarkStart w:id="8094" w:name="_Toc69114242"/>
      <w:bookmarkStart w:id="8095" w:name="_Toc66890496"/>
      <w:bookmarkStart w:id="8096" w:name="_Toc66634501"/>
      <w:bookmarkStart w:id="8097" w:name="_Toc505345813"/>
      <w:r>
        <w:rPr>
          <w:color w:val="auto"/>
          <w:highlight w:val="none"/>
        </w:rPr>
        <w:t xml:space="preserve">1.5 </w:t>
      </w:r>
      <w:r>
        <w:rPr>
          <w:rFonts w:hint="eastAsia"/>
          <w:color w:val="auto"/>
          <w:highlight w:val="none"/>
        </w:rPr>
        <w:t>园路及路牙石的主要施工方法</w:t>
      </w:r>
      <w:bookmarkEnd w:id="8094"/>
      <w:bookmarkEnd w:id="8095"/>
      <w:bookmarkEnd w:id="8096"/>
      <w:bookmarkEnd w:id="8097"/>
    </w:p>
    <w:p>
      <w:pPr>
        <w:pStyle w:val="172"/>
        <w:rPr>
          <w:color w:val="auto"/>
          <w:highlight w:val="none"/>
        </w:rPr>
      </w:pPr>
      <w:r>
        <w:rPr>
          <w:color w:val="auto"/>
          <w:highlight w:val="none"/>
        </w:rPr>
        <w:t xml:space="preserve">1.5.1 </w:t>
      </w:r>
      <w:r>
        <w:rPr>
          <w:rFonts w:hint="eastAsia"/>
          <w:color w:val="auto"/>
          <w:highlight w:val="none"/>
        </w:rPr>
        <w:t>测量放线：</w:t>
      </w:r>
    </w:p>
    <w:p>
      <w:pPr>
        <w:pStyle w:val="217"/>
        <w:rPr>
          <w:color w:val="auto"/>
          <w:highlight w:val="none"/>
        </w:rPr>
      </w:pPr>
      <w:r>
        <w:rPr>
          <w:color w:val="auto"/>
          <w:highlight w:val="none"/>
        </w:rPr>
        <w:t>1.</w:t>
      </w:r>
      <w:r>
        <w:rPr>
          <w:rFonts w:hint="eastAsia"/>
          <w:color w:val="auto"/>
          <w:highlight w:val="none"/>
        </w:rPr>
        <w:t>中线复测和固定</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）复测并固定施工路线主要控制点，恢复失落的中桩。</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）复测并固定为间接测量所布设的控制点，如三角点，导线点等桩。</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）当路线的主要控制点在施工中有被挖掉或埋掉的可能性，则视当地地形条件和地物情况采用有效的方法进行固定。</w:t>
      </w:r>
    </w:p>
    <w:p>
      <w:pPr>
        <w:pStyle w:val="217"/>
        <w:rPr>
          <w:color w:val="auto"/>
          <w:highlight w:val="none"/>
        </w:rPr>
      </w:pPr>
      <w:r>
        <w:rPr>
          <w:color w:val="auto"/>
          <w:highlight w:val="none"/>
        </w:rPr>
        <w:t>2.</w:t>
      </w:r>
      <w:r>
        <w:rPr>
          <w:rFonts w:hint="eastAsia"/>
          <w:color w:val="auto"/>
          <w:highlight w:val="none"/>
        </w:rPr>
        <w:t>路线高程复测</w:t>
      </w:r>
    </w:p>
    <w:p>
      <w:pPr>
        <w:pStyle w:val="217"/>
        <w:rPr>
          <w:color w:val="auto"/>
          <w:highlight w:val="none"/>
        </w:rPr>
      </w:pPr>
      <w:r>
        <w:rPr>
          <w:rFonts w:hint="eastAsia"/>
          <w:color w:val="auto"/>
          <w:highlight w:val="none"/>
        </w:rPr>
        <w:t>中线恢复后，马上进行纵横断面的水平测量，以复测原水准基点标高和控制点地面标高。</w:t>
      </w:r>
    </w:p>
    <w:p>
      <w:pPr>
        <w:pStyle w:val="217"/>
        <w:rPr>
          <w:color w:val="auto"/>
          <w:highlight w:val="none"/>
        </w:rPr>
      </w:pPr>
      <w:r>
        <w:rPr>
          <w:color w:val="auto"/>
          <w:highlight w:val="none"/>
        </w:rPr>
        <w:t>3.</w:t>
      </w:r>
      <w:r>
        <w:rPr>
          <w:rFonts w:hint="eastAsia"/>
          <w:color w:val="auto"/>
          <w:highlight w:val="none"/>
        </w:rPr>
        <w:t>横断面的检查和补测</w:t>
      </w:r>
    </w:p>
    <w:p>
      <w:pPr>
        <w:pStyle w:val="217"/>
        <w:rPr>
          <w:color w:val="auto"/>
          <w:highlight w:val="none"/>
        </w:rPr>
      </w:pPr>
      <w:r>
        <w:rPr>
          <w:color w:val="auto"/>
          <w:highlight w:val="none"/>
        </w:rPr>
        <w:t>4.</w:t>
      </w:r>
      <w:r>
        <w:rPr>
          <w:rFonts w:hint="eastAsia"/>
          <w:color w:val="auto"/>
          <w:highlight w:val="none"/>
        </w:rPr>
        <w:t>路基放样</w:t>
      </w:r>
    </w:p>
    <w:p>
      <w:pPr>
        <w:pStyle w:val="217"/>
        <w:rPr>
          <w:color w:val="auto"/>
          <w:highlight w:val="none"/>
        </w:rPr>
      </w:pPr>
      <w:r>
        <w:rPr>
          <w:rFonts w:hint="eastAsia"/>
          <w:color w:val="auto"/>
          <w:highlight w:val="none"/>
        </w:rPr>
        <w:t>根据设计图表定出各路线中桩的路基边缘具体位置，以便定出路基轮廓，在测量放样时以明显示标志标识。</w:t>
      </w:r>
    </w:p>
    <w:p>
      <w:pPr>
        <w:pStyle w:val="217"/>
        <w:rPr>
          <w:color w:val="auto"/>
          <w:highlight w:val="none"/>
        </w:rPr>
      </w:pPr>
      <w:r>
        <w:rPr>
          <w:color w:val="auto"/>
          <w:highlight w:val="none"/>
        </w:rPr>
        <w:t>5.</w:t>
      </w:r>
      <w:r>
        <w:rPr>
          <w:rFonts w:hint="eastAsia"/>
          <w:color w:val="auto"/>
          <w:highlight w:val="none"/>
        </w:rPr>
        <w:t>道路中线、边线及标高复测，均用测量复核记录表做好记录，并送监理工程师认可。</w:t>
      </w:r>
    </w:p>
    <w:p>
      <w:pPr>
        <w:pStyle w:val="172"/>
        <w:rPr>
          <w:color w:val="auto"/>
          <w:highlight w:val="none"/>
        </w:rPr>
      </w:pPr>
      <w:r>
        <w:rPr>
          <w:color w:val="auto"/>
          <w:highlight w:val="none"/>
        </w:rPr>
        <w:t xml:space="preserve">1.5.2 </w:t>
      </w:r>
      <w:r>
        <w:rPr>
          <w:rFonts w:hint="eastAsia"/>
          <w:color w:val="auto"/>
          <w:highlight w:val="none"/>
        </w:rPr>
        <w:t>道路路基施工</w:t>
      </w:r>
    </w:p>
    <w:p>
      <w:pPr>
        <w:pStyle w:val="217"/>
        <w:rPr>
          <w:color w:val="auto"/>
          <w:highlight w:val="none"/>
        </w:rPr>
      </w:pPr>
      <w:r>
        <w:rPr>
          <w:color w:val="auto"/>
          <w:highlight w:val="none"/>
        </w:rPr>
        <w:t>1.</w:t>
      </w:r>
      <w:r>
        <w:rPr>
          <w:rFonts w:hint="eastAsia"/>
          <w:color w:val="auto"/>
          <w:highlight w:val="none"/>
        </w:rPr>
        <w:t>清运土方</w:t>
      </w:r>
    </w:p>
    <w:p>
      <w:pPr>
        <w:pStyle w:val="217"/>
        <w:rPr>
          <w:color w:val="auto"/>
          <w:highlight w:val="none"/>
        </w:rPr>
      </w:pPr>
      <w:r>
        <w:rPr>
          <w:rFonts w:hint="eastAsia"/>
          <w:color w:val="auto"/>
          <w:highlight w:val="none"/>
        </w:rPr>
        <w:t>土方的运输，严格按照深圳市有关散体物料运输的规定进行，运输车辆符合散体物理材料运输车的规定，沿途不撒漏，在业主指定的地点堆放。</w:t>
      </w:r>
    </w:p>
    <w:p>
      <w:pPr>
        <w:pStyle w:val="217"/>
        <w:rPr>
          <w:color w:val="auto"/>
          <w:highlight w:val="none"/>
        </w:rPr>
      </w:pPr>
      <w:r>
        <w:rPr>
          <w:rFonts w:hint="eastAsia"/>
          <w:color w:val="auto"/>
          <w:highlight w:val="none"/>
        </w:rPr>
        <w:t>根据路基标高情况，清运土方时，在路基标高上预留</w:t>
      </w:r>
      <w:r>
        <w:rPr>
          <w:color w:val="auto"/>
          <w:highlight w:val="none"/>
        </w:rPr>
        <w:t>10cm</w:t>
      </w:r>
      <w:r>
        <w:rPr>
          <w:rFonts w:hint="eastAsia"/>
          <w:color w:val="auto"/>
          <w:highlight w:val="none"/>
        </w:rPr>
        <w:t>土层，作为路基碾压的预留高度。</w:t>
      </w:r>
    </w:p>
    <w:p>
      <w:pPr>
        <w:pStyle w:val="217"/>
        <w:rPr>
          <w:color w:val="auto"/>
          <w:highlight w:val="none"/>
        </w:rPr>
      </w:pPr>
      <w:r>
        <w:rPr>
          <w:color w:val="auto"/>
          <w:highlight w:val="none"/>
        </w:rPr>
        <w:t>2.</w:t>
      </w:r>
      <w:r>
        <w:rPr>
          <w:rFonts w:hint="eastAsia"/>
          <w:color w:val="auto"/>
          <w:highlight w:val="none"/>
        </w:rPr>
        <w:t>路基检查</w:t>
      </w:r>
    </w:p>
    <w:p>
      <w:pPr>
        <w:pStyle w:val="217"/>
        <w:rPr>
          <w:color w:val="auto"/>
          <w:highlight w:val="none"/>
        </w:rPr>
      </w:pPr>
      <w:r>
        <w:rPr>
          <w:rFonts w:hint="eastAsia"/>
          <w:color w:val="auto"/>
          <w:highlight w:val="none"/>
        </w:rPr>
        <w:t>在挖掘机挖走土、石方后，根据地质情况，土质不好的地方采用挖淤换土，压路机碾压前，根据测量人员放出的路基标高，用人工进行路基检平，检平时预留</w:t>
      </w:r>
      <w:r>
        <w:rPr>
          <w:color w:val="auto"/>
          <w:highlight w:val="none"/>
        </w:rPr>
        <w:t>10cm</w:t>
      </w:r>
      <w:r>
        <w:rPr>
          <w:rFonts w:hint="eastAsia"/>
          <w:color w:val="auto"/>
          <w:highlight w:val="none"/>
        </w:rPr>
        <w:t>土层作为碾压时的预沉高度。</w:t>
      </w:r>
    </w:p>
    <w:p>
      <w:pPr>
        <w:pStyle w:val="217"/>
        <w:rPr>
          <w:color w:val="auto"/>
          <w:highlight w:val="none"/>
        </w:rPr>
      </w:pPr>
      <w:r>
        <w:rPr>
          <w:color w:val="auto"/>
          <w:highlight w:val="none"/>
        </w:rPr>
        <w:t>3.</w:t>
      </w:r>
      <w:r>
        <w:rPr>
          <w:rFonts w:hint="eastAsia"/>
          <w:color w:val="auto"/>
          <w:highlight w:val="none"/>
        </w:rPr>
        <w:t>路基碾压</w:t>
      </w:r>
    </w:p>
    <w:p>
      <w:pPr>
        <w:pStyle w:val="217"/>
        <w:rPr>
          <w:color w:val="auto"/>
          <w:highlight w:val="none"/>
        </w:rPr>
      </w:pPr>
      <w:r>
        <w:rPr>
          <w:rFonts w:hint="eastAsia"/>
          <w:color w:val="auto"/>
          <w:highlight w:val="none"/>
        </w:rPr>
        <w:t>压实分段分区进行骑缝碾压。分段长度约为</w:t>
      </w:r>
      <w:r>
        <w:rPr>
          <w:color w:val="auto"/>
          <w:highlight w:val="none"/>
        </w:rPr>
        <w:t>100</w:t>
      </w:r>
      <w:r>
        <w:rPr>
          <w:rFonts w:hint="eastAsia"/>
          <w:color w:val="auto"/>
          <w:highlight w:val="none"/>
        </w:rPr>
        <w:t>米，按试验后经监理确定的参数执行。在机械碾压不到的部位则采用蛙式夯实机进行夯实，在排水管位置回填时必须配合反滤体的施工。采用机械施工时，必须与人工夯实相配合。分段碾压的相邻交接带碾迹应彼此搭接，搭接长度不小于</w:t>
      </w:r>
      <w:r>
        <w:rPr>
          <w:color w:val="auto"/>
          <w:highlight w:val="none"/>
        </w:rPr>
        <w:t>0.5m</w:t>
      </w:r>
      <w:r>
        <w:rPr>
          <w:rFonts w:hint="eastAsia"/>
          <w:color w:val="auto"/>
          <w:highlight w:val="none"/>
        </w:rPr>
        <w:t>，垂直碾压方向搭接宽度就不小于</w:t>
      </w:r>
      <w:r>
        <w:rPr>
          <w:color w:val="auto"/>
          <w:highlight w:val="none"/>
        </w:rPr>
        <w:t>3m</w:t>
      </w:r>
      <w:r>
        <w:rPr>
          <w:rFonts w:hint="eastAsia"/>
          <w:color w:val="auto"/>
          <w:highlight w:val="none"/>
        </w:rPr>
        <w:t>，避免搭接点的遗漏。曲面碾压采用内侧向外侧，纵向进退的方法进行碾压。</w:t>
      </w:r>
    </w:p>
    <w:p>
      <w:pPr>
        <w:pStyle w:val="217"/>
        <w:rPr>
          <w:color w:val="auto"/>
          <w:highlight w:val="none"/>
        </w:rPr>
      </w:pPr>
      <w:r>
        <w:rPr>
          <w:color w:val="auto"/>
          <w:highlight w:val="none"/>
        </w:rPr>
        <w:t>4.</w:t>
      </w:r>
      <w:r>
        <w:rPr>
          <w:rFonts w:hint="eastAsia"/>
          <w:color w:val="auto"/>
          <w:highlight w:val="none"/>
        </w:rPr>
        <w:t>质量标准</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）经碾压后路床不得有翻浆、弹簧、波浪、积水等现象。</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）路基细检平压平成型后，平整度允许偏差在</w:t>
      </w:r>
      <w:r>
        <w:rPr>
          <w:color w:val="auto"/>
          <w:highlight w:val="none"/>
        </w:rPr>
        <w:t>20</w:t>
      </w:r>
      <w:r>
        <w:rPr>
          <w:rFonts w:hint="eastAsia"/>
          <w:color w:val="auto"/>
          <w:highlight w:val="none"/>
        </w:rPr>
        <w:t>。</w:t>
      </w:r>
    </w:p>
    <w:p>
      <w:pPr>
        <w:rPr>
          <w:color w:val="auto"/>
          <w:highlight w:val="none"/>
        </w:rPr>
      </w:pPr>
    </w:p>
    <w:p>
      <w:pPr>
        <w:pStyle w:val="188"/>
        <w:spacing w:before="120" w:after="120"/>
        <w:outlineLvl w:val="1"/>
        <w:rPr>
          <w:color w:val="auto"/>
          <w:highlight w:val="none"/>
        </w:rPr>
      </w:pPr>
      <w:bookmarkStart w:id="8098" w:name="_Toc66634502"/>
      <w:bookmarkStart w:id="8099" w:name="_Toc505345814"/>
      <w:bookmarkStart w:id="8100" w:name="_Toc69114243"/>
      <w:bookmarkStart w:id="8101" w:name="_Toc66890497"/>
      <w:r>
        <w:rPr>
          <w:rFonts w:hint="eastAsia"/>
          <w:color w:val="auto"/>
          <w:highlight w:val="none"/>
        </w:rPr>
        <w:t>第</w:t>
      </w:r>
      <w:r>
        <w:rPr>
          <w:color w:val="auto"/>
          <w:highlight w:val="none"/>
        </w:rPr>
        <w:t>2</w:t>
      </w:r>
      <w:r>
        <w:rPr>
          <w:rFonts w:hint="eastAsia"/>
          <w:color w:val="auto"/>
          <w:highlight w:val="none"/>
        </w:rPr>
        <w:t>章</w:t>
      </w:r>
      <w:r>
        <w:rPr>
          <w:color w:val="auto"/>
          <w:highlight w:val="none"/>
        </w:rPr>
        <w:t xml:space="preserve">  </w:t>
      </w:r>
      <w:r>
        <w:rPr>
          <w:rFonts w:hint="eastAsia"/>
          <w:color w:val="auto"/>
          <w:highlight w:val="none"/>
        </w:rPr>
        <w:t>水景工程工艺流程和施工方法</w:t>
      </w:r>
      <w:bookmarkEnd w:id="8098"/>
      <w:bookmarkEnd w:id="8099"/>
      <w:bookmarkEnd w:id="8100"/>
      <w:bookmarkEnd w:id="8101"/>
    </w:p>
    <w:p>
      <w:pPr>
        <w:pStyle w:val="113"/>
        <w:spacing w:before="120" w:after="120"/>
        <w:outlineLvl w:val="2"/>
        <w:rPr>
          <w:color w:val="auto"/>
          <w:highlight w:val="none"/>
        </w:rPr>
      </w:pPr>
      <w:bookmarkStart w:id="8102" w:name="_Toc505345815"/>
      <w:bookmarkStart w:id="8103" w:name="_Toc66634503"/>
      <w:bookmarkStart w:id="8104" w:name="_Toc66890498"/>
      <w:bookmarkStart w:id="8105" w:name="_Toc69114244"/>
      <w:r>
        <w:rPr>
          <w:color w:val="auto"/>
          <w:highlight w:val="none"/>
        </w:rPr>
        <w:t xml:space="preserve">2.1 </w:t>
      </w:r>
      <w:r>
        <w:rPr>
          <w:rFonts w:hint="eastAsia"/>
          <w:color w:val="auto"/>
          <w:highlight w:val="none"/>
        </w:rPr>
        <w:t>施工安排</w:t>
      </w:r>
      <w:bookmarkEnd w:id="8102"/>
      <w:bookmarkEnd w:id="8103"/>
      <w:bookmarkEnd w:id="8104"/>
      <w:bookmarkEnd w:id="8105"/>
    </w:p>
    <w:p>
      <w:pPr>
        <w:pStyle w:val="217"/>
        <w:rPr>
          <w:color w:val="auto"/>
          <w:highlight w:val="none"/>
        </w:rPr>
      </w:pPr>
      <w:r>
        <w:rPr>
          <w:rFonts w:hint="eastAsia"/>
          <w:color w:val="auto"/>
          <w:highlight w:val="none"/>
        </w:rPr>
        <w:t>水景的施工是工程进度和质量的重点控制对象，结构施工过程中会制约其它工程的顺利展开，进场后先进行水景的结构施工并且提前完成为其它工程创造条件。</w:t>
      </w:r>
    </w:p>
    <w:p>
      <w:pPr>
        <w:pStyle w:val="113"/>
        <w:spacing w:before="120" w:after="120"/>
        <w:outlineLvl w:val="2"/>
        <w:rPr>
          <w:color w:val="auto"/>
          <w:highlight w:val="none"/>
        </w:rPr>
      </w:pPr>
      <w:bookmarkStart w:id="8106" w:name="_Toc66634504"/>
      <w:bookmarkStart w:id="8107" w:name="_Toc505345816"/>
      <w:bookmarkStart w:id="8108" w:name="_Toc66890499"/>
      <w:bookmarkStart w:id="8109" w:name="_Toc69114245"/>
      <w:r>
        <w:rPr>
          <w:color w:val="auto"/>
          <w:highlight w:val="none"/>
        </w:rPr>
        <w:t xml:space="preserve">2.2 </w:t>
      </w:r>
      <w:r>
        <w:rPr>
          <w:rFonts w:hint="eastAsia"/>
          <w:color w:val="auto"/>
          <w:highlight w:val="none"/>
        </w:rPr>
        <w:t>施工流程</w:t>
      </w:r>
      <w:bookmarkEnd w:id="8106"/>
      <w:bookmarkEnd w:id="8107"/>
      <w:bookmarkEnd w:id="8108"/>
      <w:bookmarkEnd w:id="8109"/>
    </w:p>
    <w:p>
      <w:pPr>
        <w:pStyle w:val="217"/>
        <w:rPr>
          <w:color w:val="auto"/>
          <w:highlight w:val="none"/>
        </w:rPr>
      </w:pPr>
      <w:r>
        <w:rPr>
          <w:rFonts w:hint="eastAsia"/>
          <w:color w:val="auto"/>
          <w:highlight w:val="none"/>
        </w:rPr>
        <w:t>测量放线</w:t>
      </w:r>
      <w:r>
        <w:rPr>
          <w:color w:val="auto"/>
          <w:highlight w:val="none"/>
        </w:rPr>
        <w:t>——</w:t>
      </w:r>
      <w:r>
        <w:rPr>
          <w:rFonts w:hint="eastAsia"/>
          <w:color w:val="auto"/>
          <w:highlight w:val="none"/>
        </w:rPr>
        <w:t>土方开挖</w:t>
      </w:r>
      <w:r>
        <w:rPr>
          <w:color w:val="auto"/>
          <w:highlight w:val="none"/>
        </w:rPr>
        <w:t>——</w:t>
      </w:r>
      <w:r>
        <w:rPr>
          <w:rFonts w:hint="eastAsia"/>
          <w:color w:val="auto"/>
          <w:highlight w:val="none"/>
        </w:rPr>
        <w:t>素土夯实</w:t>
      </w:r>
      <w:r>
        <w:rPr>
          <w:color w:val="auto"/>
          <w:highlight w:val="none"/>
        </w:rPr>
        <w:t>——</w:t>
      </w:r>
      <w:r>
        <w:rPr>
          <w:rFonts w:hint="eastAsia"/>
          <w:color w:val="auto"/>
          <w:highlight w:val="none"/>
        </w:rPr>
        <w:t>级配砂石基层</w:t>
      </w:r>
      <w:r>
        <w:rPr>
          <w:color w:val="auto"/>
          <w:highlight w:val="none"/>
        </w:rPr>
        <w:t>——</w:t>
      </w:r>
      <w:r>
        <w:rPr>
          <w:rFonts w:hint="eastAsia"/>
          <w:color w:val="auto"/>
          <w:highlight w:val="none"/>
        </w:rPr>
        <w:t>混凝土垫层</w:t>
      </w:r>
      <w:r>
        <w:rPr>
          <w:color w:val="auto"/>
          <w:highlight w:val="none"/>
        </w:rPr>
        <w:t>——</w:t>
      </w:r>
      <w:r>
        <w:rPr>
          <w:rFonts w:hint="eastAsia"/>
          <w:color w:val="auto"/>
          <w:highlight w:val="none"/>
        </w:rPr>
        <w:t>找平层</w:t>
      </w:r>
      <w:r>
        <w:rPr>
          <w:color w:val="auto"/>
          <w:highlight w:val="none"/>
        </w:rPr>
        <w:t>——</w:t>
      </w:r>
      <w:r>
        <w:rPr>
          <w:rFonts w:hint="eastAsia"/>
          <w:color w:val="auto"/>
          <w:highlight w:val="none"/>
        </w:rPr>
        <w:t>防水层</w:t>
      </w:r>
      <w:r>
        <w:rPr>
          <w:color w:val="auto"/>
          <w:highlight w:val="none"/>
        </w:rPr>
        <w:t>——</w:t>
      </w:r>
      <w:r>
        <w:rPr>
          <w:rFonts w:hint="eastAsia"/>
          <w:color w:val="auto"/>
          <w:highlight w:val="none"/>
        </w:rPr>
        <w:t>保护层</w:t>
      </w:r>
      <w:r>
        <w:rPr>
          <w:color w:val="auto"/>
          <w:highlight w:val="none"/>
        </w:rPr>
        <w:t>——</w:t>
      </w:r>
      <w:r>
        <w:rPr>
          <w:rFonts w:hint="eastAsia"/>
          <w:color w:val="auto"/>
          <w:highlight w:val="none"/>
        </w:rPr>
        <w:t>钢筋绑扎</w:t>
      </w:r>
      <w:r>
        <w:rPr>
          <w:color w:val="auto"/>
          <w:highlight w:val="none"/>
        </w:rPr>
        <w:t>——</w:t>
      </w:r>
      <w:r>
        <w:rPr>
          <w:rFonts w:hint="eastAsia"/>
          <w:color w:val="auto"/>
          <w:highlight w:val="none"/>
        </w:rPr>
        <w:t>模板安装</w:t>
      </w:r>
      <w:r>
        <w:rPr>
          <w:color w:val="auto"/>
          <w:highlight w:val="none"/>
        </w:rPr>
        <w:t>——</w:t>
      </w:r>
      <w:r>
        <w:rPr>
          <w:rFonts w:hint="eastAsia"/>
          <w:color w:val="auto"/>
          <w:highlight w:val="none"/>
        </w:rPr>
        <w:t>混凝土浇注（水电预埋）</w:t>
      </w:r>
      <w:r>
        <w:rPr>
          <w:color w:val="auto"/>
          <w:highlight w:val="none"/>
        </w:rPr>
        <w:t>——</w:t>
      </w:r>
      <w:r>
        <w:rPr>
          <w:rFonts w:hint="eastAsia"/>
          <w:color w:val="auto"/>
          <w:highlight w:val="none"/>
        </w:rPr>
        <w:t>饰面安装</w:t>
      </w:r>
      <w:r>
        <w:rPr>
          <w:color w:val="auto"/>
          <w:highlight w:val="none"/>
        </w:rPr>
        <w:t>——</w:t>
      </w:r>
      <w:r>
        <w:rPr>
          <w:rFonts w:hint="eastAsia"/>
          <w:color w:val="auto"/>
          <w:highlight w:val="none"/>
        </w:rPr>
        <w:t>设备安装调试</w:t>
      </w:r>
      <w:r>
        <w:rPr>
          <w:color w:val="auto"/>
          <w:highlight w:val="none"/>
        </w:rPr>
        <w:t>——</w:t>
      </w:r>
      <w:r>
        <w:rPr>
          <w:rFonts w:hint="eastAsia"/>
          <w:color w:val="auto"/>
          <w:highlight w:val="none"/>
        </w:rPr>
        <w:t>验收</w:t>
      </w:r>
    </w:p>
    <w:p>
      <w:pPr>
        <w:pStyle w:val="113"/>
        <w:spacing w:before="120" w:after="120"/>
        <w:outlineLvl w:val="2"/>
        <w:rPr>
          <w:color w:val="auto"/>
          <w:highlight w:val="none"/>
        </w:rPr>
      </w:pPr>
      <w:bookmarkStart w:id="8110" w:name="_Toc505345817"/>
      <w:bookmarkStart w:id="8111" w:name="_Toc66634505"/>
      <w:bookmarkStart w:id="8112" w:name="_Toc69114246"/>
      <w:bookmarkStart w:id="8113" w:name="_Toc66890500"/>
      <w:r>
        <w:rPr>
          <w:color w:val="auto"/>
          <w:highlight w:val="none"/>
        </w:rPr>
        <w:t xml:space="preserve">2.3 </w:t>
      </w:r>
      <w:r>
        <w:rPr>
          <w:rFonts w:hint="eastAsia"/>
          <w:color w:val="auto"/>
          <w:highlight w:val="none"/>
        </w:rPr>
        <w:t>钢筋混凝土结构施工工艺和方法</w:t>
      </w:r>
      <w:bookmarkEnd w:id="8110"/>
      <w:bookmarkEnd w:id="8111"/>
      <w:bookmarkEnd w:id="8112"/>
      <w:bookmarkEnd w:id="8113"/>
    </w:p>
    <w:p>
      <w:pPr>
        <w:pStyle w:val="217"/>
        <w:rPr>
          <w:color w:val="auto"/>
          <w:highlight w:val="none"/>
        </w:rPr>
      </w:pPr>
      <w:r>
        <w:rPr>
          <w:rFonts w:hint="eastAsia"/>
          <w:color w:val="auto"/>
          <w:highlight w:val="none"/>
        </w:rPr>
        <w:t>本工程中水景结构皆为钢筋混凝土结构，多为小型结构，异性较多，施工难度较大，施工中重点控制点如下：</w:t>
      </w:r>
    </w:p>
    <w:p>
      <w:pPr>
        <w:pStyle w:val="172"/>
        <w:rPr>
          <w:color w:val="auto"/>
          <w:highlight w:val="none"/>
        </w:rPr>
      </w:pPr>
      <w:r>
        <w:rPr>
          <w:color w:val="auto"/>
          <w:highlight w:val="none"/>
        </w:rPr>
        <w:t xml:space="preserve">2.3.1 </w:t>
      </w:r>
      <w:r>
        <w:rPr>
          <w:rFonts w:hint="eastAsia"/>
          <w:color w:val="auto"/>
          <w:highlight w:val="none"/>
        </w:rPr>
        <w:t>钢筋工程</w:t>
      </w:r>
    </w:p>
    <w:p>
      <w:pPr>
        <w:pStyle w:val="217"/>
        <w:rPr>
          <w:color w:val="auto"/>
          <w:highlight w:val="none"/>
        </w:rPr>
      </w:pPr>
      <w:r>
        <w:rPr>
          <w:rFonts w:hint="eastAsia"/>
          <w:color w:val="auto"/>
          <w:highlight w:val="none"/>
        </w:rPr>
        <w:t>钢筋规格</w:t>
      </w:r>
      <w:r>
        <w:rPr>
          <w:color w:val="auto"/>
          <w:highlight w:val="none"/>
        </w:rPr>
        <w:t>/</w:t>
      </w:r>
      <w:r>
        <w:rPr>
          <w:rFonts w:hint="eastAsia"/>
          <w:color w:val="auto"/>
          <w:highlight w:val="none"/>
        </w:rPr>
        <w:t>型号符合设计要求。钢筋作业场所搭设简易工棚，室外存放钢材要求标识准确，加盖防水苫布，避免生锈。</w:t>
      </w:r>
    </w:p>
    <w:p>
      <w:pPr>
        <w:pStyle w:val="217"/>
        <w:rPr>
          <w:color w:val="auto"/>
          <w:highlight w:val="none"/>
        </w:rPr>
      </w:pPr>
      <w:r>
        <w:rPr>
          <w:rFonts w:hint="eastAsia"/>
          <w:color w:val="auto"/>
          <w:highlight w:val="none"/>
        </w:rPr>
        <w:t>钢筋加工前应进行人工除锈，钢筋绑扎搭接长度≥</w:t>
      </w:r>
      <w:r>
        <w:rPr>
          <w:color w:val="auto"/>
          <w:highlight w:val="none"/>
        </w:rPr>
        <w:t>30D</w:t>
      </w:r>
      <w:r>
        <w:rPr>
          <w:rFonts w:hint="eastAsia"/>
          <w:color w:val="auto"/>
          <w:highlight w:val="none"/>
        </w:rPr>
        <w:t>。其搭接方案符合规范要求，钢筋工程要求绘制钢筋加工表。</w:t>
      </w:r>
    </w:p>
    <w:p>
      <w:pPr>
        <w:pStyle w:val="217"/>
        <w:rPr>
          <w:color w:val="auto"/>
          <w:highlight w:val="none"/>
        </w:rPr>
      </w:pPr>
      <w:r>
        <w:rPr>
          <w:rFonts w:hint="eastAsia"/>
          <w:color w:val="auto"/>
          <w:highlight w:val="none"/>
        </w:rPr>
        <w:t>钢筋绑扎严格按规范执行，下部垫垫块，绑丝用火烧丝，绑扎间距符合要求。</w:t>
      </w:r>
    </w:p>
    <w:p>
      <w:pPr>
        <w:pStyle w:val="172"/>
        <w:rPr>
          <w:color w:val="auto"/>
          <w:highlight w:val="none"/>
        </w:rPr>
      </w:pPr>
      <w:r>
        <w:rPr>
          <w:color w:val="auto"/>
          <w:highlight w:val="none"/>
        </w:rPr>
        <w:t xml:space="preserve">2.3.2 </w:t>
      </w:r>
      <w:r>
        <w:rPr>
          <w:rFonts w:hint="eastAsia"/>
          <w:color w:val="auto"/>
          <w:highlight w:val="none"/>
        </w:rPr>
        <w:t>模板工程</w:t>
      </w:r>
    </w:p>
    <w:p>
      <w:pPr>
        <w:pStyle w:val="217"/>
        <w:rPr>
          <w:color w:val="auto"/>
          <w:highlight w:val="none"/>
        </w:rPr>
      </w:pPr>
      <w:r>
        <w:rPr>
          <w:rFonts w:hint="eastAsia"/>
          <w:color w:val="auto"/>
          <w:highlight w:val="none"/>
        </w:rPr>
        <w:t>特色水景由于属于小型结构，很难用标准钢模板进行支模，要求根据结构尺寸设计模板组装图，一般用钢木混合模板编排。支模时要事先设计支护方案，施工时严格执行，避免混凝土施工时出现跑模，造成结构尺寸的偏差为后续的饰面施工造成无法实施的局面。</w:t>
      </w:r>
    </w:p>
    <w:p>
      <w:pPr>
        <w:pStyle w:val="172"/>
        <w:rPr>
          <w:color w:val="auto"/>
          <w:highlight w:val="none"/>
        </w:rPr>
      </w:pPr>
      <w:r>
        <w:rPr>
          <w:color w:val="auto"/>
          <w:highlight w:val="none"/>
        </w:rPr>
        <w:t xml:space="preserve">2.3.3 </w:t>
      </w:r>
      <w:r>
        <w:rPr>
          <w:rFonts w:hint="eastAsia"/>
          <w:color w:val="auto"/>
          <w:highlight w:val="none"/>
        </w:rPr>
        <w:t>混凝土工程</w:t>
      </w:r>
    </w:p>
    <w:p>
      <w:pPr>
        <w:pStyle w:val="217"/>
        <w:rPr>
          <w:color w:val="auto"/>
          <w:highlight w:val="none"/>
        </w:rPr>
      </w:pPr>
      <w:r>
        <w:rPr>
          <w:rFonts w:hint="eastAsia"/>
          <w:color w:val="auto"/>
          <w:highlight w:val="none"/>
        </w:rPr>
        <w:t>混凝土全部采用预拌混凝土，可以保证混凝土的到场质量。但是每次浇注混凝土前一定要精确计算需要的量，保证不浪费、保证到场混凝土能及时使用。</w:t>
      </w:r>
    </w:p>
    <w:p>
      <w:pPr>
        <w:pStyle w:val="217"/>
        <w:rPr>
          <w:color w:val="auto"/>
          <w:highlight w:val="none"/>
        </w:rPr>
      </w:pPr>
      <w:r>
        <w:rPr>
          <w:rFonts w:hint="eastAsia"/>
          <w:color w:val="auto"/>
          <w:highlight w:val="none"/>
        </w:rPr>
        <w:t>设熟练技工负责砼捣固工作，随时检查模板是否变形、位移，保证砼密实度，减少蜂窝、麻面。</w:t>
      </w:r>
    </w:p>
    <w:p>
      <w:pPr>
        <w:pStyle w:val="217"/>
        <w:rPr>
          <w:color w:val="auto"/>
          <w:highlight w:val="none"/>
        </w:rPr>
      </w:pPr>
      <w:r>
        <w:rPr>
          <w:rFonts w:hint="eastAsia"/>
          <w:color w:val="auto"/>
          <w:highlight w:val="none"/>
        </w:rPr>
        <w:t>砼养护、防冻符合规范和作业指导书要求。</w:t>
      </w:r>
    </w:p>
    <w:p>
      <w:pPr>
        <w:pStyle w:val="113"/>
        <w:spacing w:before="120" w:after="120"/>
        <w:outlineLvl w:val="2"/>
        <w:rPr>
          <w:color w:val="auto"/>
          <w:highlight w:val="none"/>
        </w:rPr>
      </w:pPr>
      <w:bookmarkStart w:id="8114" w:name="_Toc66890501"/>
      <w:bookmarkStart w:id="8115" w:name="_Toc69114247"/>
      <w:bookmarkStart w:id="8116" w:name="_Toc66634506"/>
      <w:bookmarkStart w:id="8117" w:name="_Toc505345818"/>
      <w:r>
        <w:rPr>
          <w:color w:val="auto"/>
          <w:highlight w:val="none"/>
        </w:rPr>
        <w:t xml:space="preserve">2.4 </w:t>
      </w:r>
      <w:r>
        <w:rPr>
          <w:rFonts w:hint="eastAsia"/>
          <w:color w:val="auto"/>
          <w:highlight w:val="none"/>
        </w:rPr>
        <w:t>防水施工工艺和方法</w:t>
      </w:r>
      <w:bookmarkEnd w:id="8114"/>
      <w:bookmarkEnd w:id="8115"/>
      <w:bookmarkEnd w:id="8116"/>
      <w:bookmarkEnd w:id="8117"/>
    </w:p>
    <w:p>
      <w:pPr>
        <w:pStyle w:val="217"/>
        <w:rPr>
          <w:color w:val="auto"/>
          <w:highlight w:val="none"/>
        </w:rPr>
      </w:pPr>
      <w:r>
        <w:rPr>
          <w:rFonts w:hint="eastAsia"/>
          <w:color w:val="auto"/>
          <w:highlight w:val="none"/>
        </w:rPr>
        <w:t>施工流程：抹水泥砂浆找平层</w:t>
      </w:r>
      <w:r>
        <w:rPr>
          <w:color w:val="auto"/>
          <w:highlight w:val="none"/>
        </w:rPr>
        <w:t>——</w:t>
      </w:r>
      <w:r>
        <w:rPr>
          <w:rFonts w:hint="eastAsia"/>
          <w:color w:val="auto"/>
          <w:highlight w:val="none"/>
        </w:rPr>
        <w:t>刷冷底子油</w:t>
      </w:r>
      <w:r>
        <w:rPr>
          <w:color w:val="auto"/>
          <w:highlight w:val="none"/>
        </w:rPr>
        <w:t>——</w:t>
      </w:r>
      <w:r>
        <w:rPr>
          <w:rFonts w:hint="eastAsia"/>
          <w:color w:val="auto"/>
          <w:highlight w:val="none"/>
        </w:rPr>
        <w:t>铺贴沥青卷材</w:t>
      </w:r>
    </w:p>
    <w:p>
      <w:pPr>
        <w:pStyle w:val="217"/>
        <w:rPr>
          <w:color w:val="auto"/>
          <w:highlight w:val="none"/>
        </w:rPr>
      </w:pPr>
      <w:r>
        <w:rPr>
          <w:color w:val="auto"/>
          <w:highlight w:val="none"/>
        </w:rPr>
        <w:t>1.</w:t>
      </w:r>
      <w:r>
        <w:rPr>
          <w:rFonts w:hint="eastAsia"/>
          <w:color w:val="auto"/>
          <w:highlight w:val="none"/>
        </w:rPr>
        <w:t>冷底子油配合比（重量比），沥青</w:t>
      </w:r>
      <w:r>
        <w:rPr>
          <w:color w:val="auto"/>
          <w:highlight w:val="none"/>
        </w:rPr>
        <w:t>30</w:t>
      </w:r>
      <w:r>
        <w:rPr>
          <w:rFonts w:hint="eastAsia"/>
          <w:color w:val="auto"/>
          <w:highlight w:val="none"/>
        </w:rPr>
        <w:t>～</w:t>
      </w:r>
      <w:r>
        <w:rPr>
          <w:color w:val="auto"/>
          <w:highlight w:val="none"/>
        </w:rPr>
        <w:t>40%</w:t>
      </w:r>
      <w:r>
        <w:rPr>
          <w:rFonts w:hint="eastAsia"/>
          <w:color w:val="auto"/>
          <w:highlight w:val="none"/>
        </w:rPr>
        <w:t>，汽油</w:t>
      </w:r>
      <w:r>
        <w:rPr>
          <w:color w:val="auto"/>
          <w:highlight w:val="none"/>
        </w:rPr>
        <w:t>70</w:t>
      </w:r>
      <w:r>
        <w:rPr>
          <w:rFonts w:hint="eastAsia"/>
          <w:color w:val="auto"/>
          <w:highlight w:val="none"/>
        </w:rPr>
        <w:t>～</w:t>
      </w:r>
      <w:r>
        <w:rPr>
          <w:color w:val="auto"/>
          <w:highlight w:val="none"/>
        </w:rPr>
        <w:t>60%</w:t>
      </w:r>
      <w:r>
        <w:rPr>
          <w:rFonts w:hint="eastAsia"/>
          <w:color w:val="auto"/>
          <w:highlight w:val="none"/>
        </w:rPr>
        <w:t>，用“冷配”方法，如需加热配制，必须有安全措施。</w:t>
      </w:r>
    </w:p>
    <w:p>
      <w:pPr>
        <w:pStyle w:val="217"/>
        <w:rPr>
          <w:color w:val="auto"/>
          <w:highlight w:val="none"/>
        </w:rPr>
      </w:pPr>
      <w:r>
        <w:rPr>
          <w:color w:val="auto"/>
          <w:highlight w:val="none"/>
        </w:rPr>
        <w:t>2.</w:t>
      </w:r>
      <w:r>
        <w:rPr>
          <w:rFonts w:hint="eastAsia"/>
          <w:color w:val="auto"/>
          <w:highlight w:val="none"/>
        </w:rPr>
        <w:t>在铺贴沥青卷材外砌筑永久保护墙，除有专项指定，一般用外覆钢纱网抹水泥砂浆作为防水卷材的保护层。</w:t>
      </w:r>
    </w:p>
    <w:p>
      <w:pPr>
        <w:pStyle w:val="217"/>
        <w:rPr>
          <w:color w:val="auto"/>
          <w:highlight w:val="none"/>
        </w:rPr>
      </w:pPr>
      <w:r>
        <w:rPr>
          <w:color w:val="auto"/>
          <w:highlight w:val="none"/>
        </w:rPr>
        <w:t>3.</w:t>
      </w:r>
      <w:r>
        <w:rPr>
          <w:rFonts w:hint="eastAsia"/>
          <w:color w:val="auto"/>
          <w:highlight w:val="none"/>
        </w:rPr>
        <w:t>铺贴表面必须干燥、清洁、平整，用不低于</w:t>
      </w:r>
      <w:r>
        <w:rPr>
          <w:color w:val="auto"/>
          <w:highlight w:val="none"/>
        </w:rPr>
        <w:t>50</w:t>
      </w:r>
      <w:r>
        <w:rPr>
          <w:rFonts w:hint="eastAsia"/>
          <w:color w:val="auto"/>
          <w:highlight w:val="none"/>
        </w:rPr>
        <w:t>号的水泥砂浆抹找平层，厚度</w:t>
      </w:r>
      <w:r>
        <w:rPr>
          <w:color w:val="auto"/>
          <w:highlight w:val="none"/>
        </w:rPr>
        <w:t>10</w:t>
      </w:r>
      <w:r>
        <w:rPr>
          <w:rFonts w:hint="eastAsia"/>
          <w:color w:val="auto"/>
          <w:highlight w:val="none"/>
        </w:rPr>
        <w:t>～</w:t>
      </w:r>
      <w:r>
        <w:rPr>
          <w:color w:val="auto"/>
          <w:highlight w:val="none"/>
        </w:rPr>
        <w:t>15mm</w:t>
      </w:r>
      <w:r>
        <w:rPr>
          <w:rFonts w:hint="eastAsia"/>
          <w:color w:val="auto"/>
          <w:highlight w:val="none"/>
        </w:rPr>
        <w:t>，找平层应抹平压实，阴阳角抹成圆角。</w:t>
      </w:r>
    </w:p>
    <w:p>
      <w:pPr>
        <w:pStyle w:val="217"/>
        <w:rPr>
          <w:color w:val="auto"/>
          <w:highlight w:val="none"/>
        </w:rPr>
      </w:pPr>
      <w:r>
        <w:rPr>
          <w:color w:val="auto"/>
          <w:highlight w:val="none"/>
        </w:rPr>
        <w:t>4.</w:t>
      </w:r>
      <w:r>
        <w:rPr>
          <w:rFonts w:hint="eastAsia"/>
          <w:color w:val="auto"/>
          <w:highlight w:val="none"/>
        </w:rPr>
        <w:t>潮湿表面（含水量≥</w:t>
      </w:r>
      <w:r>
        <w:rPr>
          <w:color w:val="auto"/>
          <w:highlight w:val="none"/>
        </w:rPr>
        <w:t>9%</w:t>
      </w:r>
      <w:r>
        <w:rPr>
          <w:rFonts w:hint="eastAsia"/>
          <w:color w:val="auto"/>
          <w:highlight w:val="none"/>
        </w:rPr>
        <w:t>）不得涂刷冷底子油，不得有气泡、漏刷等现象。</w:t>
      </w:r>
    </w:p>
    <w:p>
      <w:pPr>
        <w:pStyle w:val="217"/>
        <w:rPr>
          <w:color w:val="auto"/>
          <w:highlight w:val="none"/>
        </w:rPr>
      </w:pPr>
      <w:r>
        <w:rPr>
          <w:color w:val="auto"/>
          <w:highlight w:val="none"/>
        </w:rPr>
        <w:t>5.</w:t>
      </w:r>
      <w:r>
        <w:rPr>
          <w:rFonts w:hint="eastAsia"/>
          <w:color w:val="auto"/>
          <w:highlight w:val="none"/>
        </w:rPr>
        <w:t>卷材搭茬，长边搭接宽度≥</w:t>
      </w:r>
      <w:r>
        <w:rPr>
          <w:color w:val="auto"/>
          <w:highlight w:val="none"/>
        </w:rPr>
        <w:t>100mm</w:t>
      </w:r>
      <w:r>
        <w:rPr>
          <w:rFonts w:hint="eastAsia"/>
          <w:color w:val="auto"/>
          <w:highlight w:val="none"/>
        </w:rPr>
        <w:t>，短边搭接宽度≥</w:t>
      </w:r>
      <w:r>
        <w:rPr>
          <w:color w:val="auto"/>
          <w:highlight w:val="none"/>
        </w:rPr>
        <w:t>150mm</w:t>
      </w:r>
      <w:r>
        <w:rPr>
          <w:rFonts w:hint="eastAsia"/>
          <w:color w:val="auto"/>
          <w:highlight w:val="none"/>
        </w:rPr>
        <w:t>，接缝应错开。</w:t>
      </w:r>
    </w:p>
    <w:p>
      <w:pPr>
        <w:pStyle w:val="217"/>
        <w:rPr>
          <w:color w:val="auto"/>
          <w:highlight w:val="none"/>
        </w:rPr>
      </w:pPr>
      <w:r>
        <w:rPr>
          <w:color w:val="auto"/>
          <w:highlight w:val="none"/>
        </w:rPr>
        <w:t>6.</w:t>
      </w:r>
      <w:r>
        <w:rPr>
          <w:rFonts w:hint="eastAsia"/>
          <w:color w:val="auto"/>
          <w:highlight w:val="none"/>
        </w:rPr>
        <w:t>管道穿防水墙时应铺贴附加层，用穿墙法兰压紧，穿墙法兰的形式结构见施工图。</w:t>
      </w:r>
    </w:p>
    <w:p>
      <w:pPr>
        <w:pStyle w:val="217"/>
        <w:rPr>
          <w:color w:val="auto"/>
          <w:highlight w:val="none"/>
        </w:rPr>
      </w:pPr>
      <w:r>
        <w:rPr>
          <w:color w:val="auto"/>
          <w:highlight w:val="none"/>
        </w:rPr>
        <w:t>7.</w:t>
      </w:r>
      <w:r>
        <w:rPr>
          <w:rFonts w:hint="eastAsia"/>
          <w:color w:val="auto"/>
          <w:highlight w:val="none"/>
        </w:rPr>
        <w:t>全部卷材铺贴完后，应全部涂刷沥青或沥青玛蒂脂。</w:t>
      </w:r>
    </w:p>
    <w:p>
      <w:pPr>
        <w:rPr>
          <w:color w:val="auto"/>
          <w:highlight w:val="none"/>
        </w:rPr>
      </w:pPr>
    </w:p>
    <w:p>
      <w:pPr>
        <w:pStyle w:val="188"/>
        <w:spacing w:before="120" w:after="120"/>
        <w:outlineLvl w:val="1"/>
        <w:rPr>
          <w:color w:val="auto"/>
          <w:highlight w:val="none"/>
        </w:rPr>
      </w:pPr>
      <w:bookmarkStart w:id="8118" w:name="_Toc66634507"/>
      <w:bookmarkStart w:id="8119" w:name="_Toc505345819"/>
      <w:bookmarkStart w:id="8120" w:name="_Toc66890502"/>
      <w:bookmarkStart w:id="8121" w:name="_Toc69114248"/>
      <w:r>
        <w:rPr>
          <w:rFonts w:hint="eastAsia"/>
          <w:color w:val="auto"/>
          <w:highlight w:val="none"/>
        </w:rPr>
        <w:t>第</w:t>
      </w:r>
      <w:r>
        <w:rPr>
          <w:color w:val="auto"/>
          <w:highlight w:val="none"/>
        </w:rPr>
        <w:t>3</w:t>
      </w:r>
      <w:r>
        <w:rPr>
          <w:rFonts w:hint="eastAsia"/>
          <w:color w:val="auto"/>
          <w:highlight w:val="none"/>
        </w:rPr>
        <w:t>章</w:t>
      </w:r>
      <w:r>
        <w:rPr>
          <w:color w:val="auto"/>
          <w:highlight w:val="none"/>
        </w:rPr>
        <w:t xml:space="preserve">  </w:t>
      </w:r>
      <w:r>
        <w:rPr>
          <w:rFonts w:hint="eastAsia"/>
          <w:color w:val="auto"/>
          <w:highlight w:val="none"/>
        </w:rPr>
        <w:t>建筑小品工程工艺流程和施工方法</w:t>
      </w:r>
      <w:bookmarkEnd w:id="8118"/>
      <w:bookmarkEnd w:id="8119"/>
      <w:bookmarkEnd w:id="8120"/>
      <w:bookmarkEnd w:id="8121"/>
    </w:p>
    <w:p>
      <w:pPr>
        <w:pStyle w:val="113"/>
        <w:spacing w:before="120" w:after="120"/>
        <w:outlineLvl w:val="2"/>
        <w:rPr>
          <w:color w:val="auto"/>
          <w:highlight w:val="none"/>
        </w:rPr>
      </w:pPr>
      <w:bookmarkStart w:id="8122" w:name="_Toc69114249"/>
      <w:bookmarkStart w:id="8123" w:name="_Toc66890503"/>
      <w:bookmarkStart w:id="8124" w:name="_Toc505345820"/>
      <w:bookmarkStart w:id="8125" w:name="_Toc66634508"/>
      <w:r>
        <w:rPr>
          <w:color w:val="auto"/>
          <w:highlight w:val="none"/>
        </w:rPr>
        <w:t xml:space="preserve">3.1 </w:t>
      </w:r>
      <w:r>
        <w:rPr>
          <w:rFonts w:hint="eastAsia"/>
          <w:color w:val="auto"/>
          <w:highlight w:val="none"/>
        </w:rPr>
        <w:t>木结构施工方法</w:t>
      </w:r>
      <w:bookmarkEnd w:id="8122"/>
      <w:bookmarkEnd w:id="8123"/>
      <w:bookmarkEnd w:id="8124"/>
      <w:bookmarkEnd w:id="8125"/>
    </w:p>
    <w:p>
      <w:pPr>
        <w:pStyle w:val="217"/>
        <w:rPr>
          <w:color w:val="auto"/>
          <w:highlight w:val="none"/>
        </w:rPr>
      </w:pPr>
      <w:r>
        <w:rPr>
          <w:color w:val="auto"/>
          <w:highlight w:val="none"/>
        </w:rPr>
        <w:t>1.</w:t>
      </w:r>
      <w:r>
        <w:rPr>
          <w:rFonts w:hint="eastAsia"/>
          <w:color w:val="auto"/>
          <w:highlight w:val="none"/>
        </w:rPr>
        <w:t>木结构材质、规格符合设计要求。</w:t>
      </w:r>
    </w:p>
    <w:p>
      <w:pPr>
        <w:pStyle w:val="217"/>
        <w:rPr>
          <w:color w:val="auto"/>
          <w:highlight w:val="none"/>
        </w:rPr>
      </w:pPr>
      <w:r>
        <w:rPr>
          <w:color w:val="auto"/>
          <w:highlight w:val="none"/>
        </w:rPr>
        <w:t>2.</w:t>
      </w:r>
      <w:r>
        <w:rPr>
          <w:rFonts w:hint="eastAsia"/>
          <w:color w:val="auto"/>
          <w:highlight w:val="none"/>
        </w:rPr>
        <w:t>木结构用材要求进行干燥处理，埋地部位涂刷沥青油二遍防腐。材料表面油漆符合设计要求。木结构工程，皆室外造景，设置在日晒雨淋的环境中，因此对木材材质的选定、防腐、防虫及防翘裂等技术问题的处理尤为重要。</w:t>
      </w:r>
    </w:p>
    <w:p>
      <w:pPr>
        <w:pStyle w:val="217"/>
        <w:rPr>
          <w:color w:val="auto"/>
          <w:highlight w:val="none"/>
        </w:rPr>
      </w:pPr>
      <w:r>
        <w:rPr>
          <w:color w:val="auto"/>
          <w:highlight w:val="none"/>
        </w:rPr>
        <w:t>3.</w:t>
      </w:r>
      <w:r>
        <w:rPr>
          <w:rFonts w:hint="eastAsia"/>
          <w:color w:val="auto"/>
          <w:highlight w:val="none"/>
        </w:rPr>
        <w:t>木材在使用期限内应保持其防腐、防虫和防火的性能，并对人畜无害。木材经处理后，不得增加吸湿性，不得降低强度，不得腐蚀与木材接触的金属配件。对于易受潮的木结构或木构件应用油类，油溶性或不易流失的水溶性防腐剂对其进行处理。</w:t>
      </w:r>
    </w:p>
    <w:p>
      <w:pPr>
        <w:pStyle w:val="217"/>
        <w:rPr>
          <w:color w:val="auto"/>
          <w:highlight w:val="none"/>
        </w:rPr>
      </w:pPr>
      <w:r>
        <w:rPr>
          <w:color w:val="auto"/>
          <w:highlight w:val="none"/>
        </w:rPr>
        <w:t>4.</w:t>
      </w:r>
      <w:r>
        <w:rPr>
          <w:rFonts w:hint="eastAsia"/>
          <w:color w:val="auto"/>
          <w:highlight w:val="none"/>
        </w:rPr>
        <w:t>榫卯节点，其榫头要求留线锯解。</w:t>
      </w:r>
    </w:p>
    <w:p>
      <w:pPr>
        <w:pStyle w:val="217"/>
        <w:rPr>
          <w:color w:val="auto"/>
          <w:highlight w:val="none"/>
        </w:rPr>
      </w:pPr>
      <w:r>
        <w:rPr>
          <w:color w:val="auto"/>
          <w:highlight w:val="none"/>
        </w:rPr>
        <w:t>5.</w:t>
      </w:r>
      <w:r>
        <w:rPr>
          <w:rFonts w:hint="eastAsia"/>
          <w:color w:val="auto"/>
          <w:highlight w:val="none"/>
        </w:rPr>
        <w:t>木作设临时加工棚或场外加工。禁用明火，易燃漆料远离火源。</w:t>
      </w:r>
    </w:p>
    <w:p>
      <w:pPr>
        <w:pStyle w:val="217"/>
        <w:rPr>
          <w:color w:val="auto"/>
          <w:highlight w:val="none"/>
        </w:rPr>
      </w:pPr>
      <w:r>
        <w:rPr>
          <w:color w:val="auto"/>
          <w:highlight w:val="none"/>
        </w:rPr>
        <w:t>6.</w:t>
      </w:r>
      <w:r>
        <w:rPr>
          <w:rFonts w:hint="eastAsia"/>
          <w:color w:val="auto"/>
          <w:highlight w:val="none"/>
        </w:rPr>
        <w:t>用于虫害严重地区的木结构或木构件，应选用防腐、防虫效果较好的药剂对其进行处理。结构坚直置放时，其临时支承点应与结构在建筑物中的支承相同，并设可靠的临时支撑，以防侧倾。水平放置时，应加垫木置平，防止构件变形和连接松动。</w:t>
      </w:r>
    </w:p>
    <w:p>
      <w:pPr>
        <w:pStyle w:val="217"/>
        <w:rPr>
          <w:color w:val="auto"/>
          <w:highlight w:val="none"/>
        </w:rPr>
      </w:pPr>
      <w:r>
        <w:rPr>
          <w:color w:val="auto"/>
          <w:highlight w:val="none"/>
        </w:rPr>
        <w:t>7.</w:t>
      </w:r>
      <w:r>
        <w:rPr>
          <w:rFonts w:hint="eastAsia"/>
          <w:color w:val="auto"/>
          <w:highlight w:val="none"/>
        </w:rPr>
        <w:t>木结构在制作完成后，钉孔要作隐蔽防腐处理。</w:t>
      </w:r>
    </w:p>
    <w:p>
      <w:pPr>
        <w:pStyle w:val="113"/>
        <w:spacing w:before="120" w:after="120"/>
        <w:outlineLvl w:val="2"/>
        <w:rPr>
          <w:color w:val="auto"/>
          <w:highlight w:val="none"/>
        </w:rPr>
      </w:pPr>
      <w:bookmarkStart w:id="8126" w:name="_Toc66890504"/>
      <w:bookmarkStart w:id="8127" w:name="_Toc66634509"/>
      <w:bookmarkStart w:id="8128" w:name="_Toc505345821"/>
      <w:bookmarkStart w:id="8129" w:name="_Toc69114250"/>
      <w:r>
        <w:rPr>
          <w:color w:val="auto"/>
          <w:highlight w:val="none"/>
        </w:rPr>
        <w:t xml:space="preserve">3.2 </w:t>
      </w:r>
      <w:r>
        <w:rPr>
          <w:rFonts w:hint="eastAsia"/>
          <w:color w:val="auto"/>
          <w:highlight w:val="none"/>
        </w:rPr>
        <w:t>钢结构施工方法</w:t>
      </w:r>
      <w:bookmarkEnd w:id="8126"/>
      <w:bookmarkEnd w:id="8127"/>
      <w:bookmarkEnd w:id="8128"/>
      <w:bookmarkEnd w:id="8129"/>
    </w:p>
    <w:p>
      <w:pPr>
        <w:pStyle w:val="172"/>
        <w:rPr>
          <w:color w:val="auto"/>
          <w:highlight w:val="none"/>
        </w:rPr>
      </w:pPr>
      <w:r>
        <w:rPr>
          <w:color w:val="auto"/>
          <w:highlight w:val="none"/>
        </w:rPr>
        <w:t xml:space="preserve">3.2.1 </w:t>
      </w:r>
      <w:r>
        <w:rPr>
          <w:rFonts w:hint="eastAsia"/>
          <w:color w:val="auto"/>
          <w:highlight w:val="none"/>
        </w:rPr>
        <w:t>施工流程：</w:t>
      </w:r>
    </w:p>
    <w:p>
      <w:pPr>
        <w:pStyle w:val="217"/>
        <w:rPr>
          <w:color w:val="auto"/>
          <w:highlight w:val="none"/>
        </w:rPr>
      </w:pPr>
      <w:r>
        <w:rPr>
          <w:rFonts w:hint="eastAsia"/>
          <w:color w:val="auto"/>
          <w:highlight w:val="none"/>
        </w:rPr>
        <w:t>选材下料</w:t>
      </w:r>
      <w:r>
        <w:rPr>
          <w:color w:val="auto"/>
          <w:highlight w:val="none"/>
        </w:rPr>
        <w:t>——</w:t>
      </w:r>
      <w:r>
        <w:rPr>
          <w:rFonts w:hint="eastAsia"/>
          <w:color w:val="auto"/>
          <w:highlight w:val="none"/>
        </w:rPr>
        <w:t>焊口清理打磨</w:t>
      </w:r>
      <w:r>
        <w:rPr>
          <w:color w:val="auto"/>
          <w:highlight w:val="none"/>
        </w:rPr>
        <w:t>——</w:t>
      </w:r>
      <w:r>
        <w:rPr>
          <w:rFonts w:hint="eastAsia"/>
          <w:color w:val="auto"/>
          <w:highlight w:val="none"/>
        </w:rPr>
        <w:t>焊接组件</w:t>
      </w:r>
      <w:r>
        <w:rPr>
          <w:color w:val="auto"/>
          <w:highlight w:val="none"/>
        </w:rPr>
        <w:t>——</w:t>
      </w:r>
      <w:r>
        <w:rPr>
          <w:rFonts w:hint="eastAsia"/>
          <w:color w:val="auto"/>
          <w:highlight w:val="none"/>
        </w:rPr>
        <w:t>焊缝清理打磨</w:t>
      </w:r>
      <w:r>
        <w:rPr>
          <w:color w:val="auto"/>
          <w:highlight w:val="none"/>
        </w:rPr>
        <w:t>——</w:t>
      </w:r>
      <w:r>
        <w:rPr>
          <w:rFonts w:hint="eastAsia"/>
          <w:color w:val="auto"/>
          <w:highlight w:val="none"/>
        </w:rPr>
        <w:t>焊接工艺评定检验</w:t>
      </w:r>
      <w:r>
        <w:rPr>
          <w:color w:val="auto"/>
          <w:highlight w:val="none"/>
        </w:rPr>
        <w:t>——</w:t>
      </w:r>
      <w:r>
        <w:rPr>
          <w:rFonts w:hint="eastAsia"/>
          <w:color w:val="auto"/>
          <w:highlight w:val="none"/>
        </w:rPr>
        <w:t>进场安装</w:t>
      </w:r>
    </w:p>
    <w:p>
      <w:pPr>
        <w:pStyle w:val="172"/>
        <w:rPr>
          <w:color w:val="auto"/>
          <w:highlight w:val="none"/>
        </w:rPr>
      </w:pPr>
      <w:r>
        <w:rPr>
          <w:color w:val="auto"/>
          <w:highlight w:val="none"/>
        </w:rPr>
        <w:t xml:space="preserve">3.2.2 </w:t>
      </w:r>
      <w:r>
        <w:rPr>
          <w:rFonts w:hint="eastAsia"/>
          <w:color w:val="auto"/>
          <w:highlight w:val="none"/>
        </w:rPr>
        <w:t>施工方法：</w:t>
      </w:r>
    </w:p>
    <w:p>
      <w:pPr>
        <w:pStyle w:val="217"/>
        <w:rPr>
          <w:color w:val="auto"/>
          <w:highlight w:val="none"/>
        </w:rPr>
      </w:pPr>
      <w:r>
        <w:rPr>
          <w:color w:val="auto"/>
          <w:highlight w:val="none"/>
        </w:rPr>
        <w:t>1.</w:t>
      </w:r>
      <w:r>
        <w:rPr>
          <w:rFonts w:hint="eastAsia"/>
          <w:color w:val="auto"/>
          <w:highlight w:val="none"/>
        </w:rPr>
        <w:t>根据设计要求，按照图纸尺寸、颜色、材质进行选材下料，其材料应具有质量证明书并应符合设计的要求。钢结构安装前，应对钢构件的质量进行检查。钢构件的变形、缺陷超出允许偏差时，应进行处理。</w:t>
      </w:r>
    </w:p>
    <w:p>
      <w:pPr>
        <w:pStyle w:val="217"/>
        <w:rPr>
          <w:color w:val="auto"/>
          <w:highlight w:val="none"/>
        </w:rPr>
      </w:pPr>
      <w:r>
        <w:rPr>
          <w:color w:val="auto"/>
          <w:highlight w:val="none"/>
        </w:rPr>
        <w:t>2.</w:t>
      </w:r>
      <w:r>
        <w:rPr>
          <w:rFonts w:hint="eastAsia"/>
          <w:color w:val="auto"/>
          <w:highlight w:val="none"/>
        </w:rPr>
        <w:t>采用砂轮打磨处理焊接面，打磨范围不应小于焊接范围的</w:t>
      </w:r>
      <w:r>
        <w:rPr>
          <w:color w:val="auto"/>
          <w:highlight w:val="none"/>
        </w:rPr>
        <w:t>4</w:t>
      </w:r>
      <w:r>
        <w:rPr>
          <w:rFonts w:hint="eastAsia"/>
          <w:color w:val="auto"/>
          <w:highlight w:val="none"/>
        </w:rPr>
        <w:t>倍，打磨方向宜与构件受力方向垂直。</w:t>
      </w:r>
    </w:p>
    <w:p>
      <w:pPr>
        <w:pStyle w:val="217"/>
        <w:rPr>
          <w:color w:val="auto"/>
          <w:highlight w:val="none"/>
        </w:rPr>
      </w:pPr>
      <w:r>
        <w:rPr>
          <w:color w:val="auto"/>
          <w:highlight w:val="none"/>
        </w:rPr>
        <w:t>3.</w:t>
      </w:r>
      <w:r>
        <w:rPr>
          <w:rFonts w:hint="eastAsia"/>
          <w:color w:val="auto"/>
          <w:highlight w:val="none"/>
        </w:rPr>
        <w:t>焊工要经过考核，合格后方可进行操作，合格证应注明施焊条件，有效期限；焊接时不要使用药皮脱落的焊条和受潮结块的焊剂；焊丝、焊钉在使用前应清除油污、铁绣。施焊前焊工应复查焊件接头质量和焊区的处理情况；角焊缝转角处宜连续绕角施焊，起落弧点距焊缝端部宜大于</w:t>
      </w:r>
      <w:r>
        <w:rPr>
          <w:color w:val="auto"/>
          <w:highlight w:val="none"/>
        </w:rPr>
        <w:t>10mm</w:t>
      </w:r>
      <w:r>
        <w:rPr>
          <w:rFonts w:hint="eastAsia"/>
          <w:color w:val="auto"/>
          <w:highlight w:val="none"/>
        </w:rPr>
        <w:t>；当部件打磨焊接好后，严格按图纸尺寸进行组合。</w:t>
      </w:r>
    </w:p>
    <w:p>
      <w:pPr>
        <w:pStyle w:val="217"/>
        <w:rPr>
          <w:color w:val="auto"/>
          <w:highlight w:val="none"/>
        </w:rPr>
      </w:pPr>
      <w:r>
        <w:rPr>
          <w:color w:val="auto"/>
          <w:highlight w:val="none"/>
        </w:rPr>
        <w:t>4.</w:t>
      </w:r>
      <w:r>
        <w:rPr>
          <w:rFonts w:hint="eastAsia"/>
          <w:color w:val="auto"/>
          <w:highlight w:val="none"/>
        </w:rPr>
        <w:t>钢结构采用扩大拼装单元进行安装时，对容易变形的钢构件应采取加固措施。钢结构的柱、梁、支撑等主要构件安装就位后，应立即进行校正、固定。当天安装的钢构件应形成稳定的空间体系。</w:t>
      </w:r>
    </w:p>
    <w:p>
      <w:pPr>
        <w:pStyle w:val="217"/>
        <w:rPr>
          <w:color w:val="auto"/>
          <w:highlight w:val="none"/>
        </w:rPr>
      </w:pPr>
      <w:r>
        <w:rPr>
          <w:color w:val="auto"/>
          <w:highlight w:val="none"/>
        </w:rPr>
        <w:t>5.</w:t>
      </w:r>
      <w:r>
        <w:rPr>
          <w:rFonts w:hint="eastAsia"/>
          <w:color w:val="auto"/>
          <w:highlight w:val="none"/>
        </w:rPr>
        <w:t>钢结构安装、校正时，应根据风力、温差、日照等外界环境和焊接变形等因素的影响，采取相应的调整措施。</w:t>
      </w:r>
    </w:p>
    <w:p>
      <w:pPr>
        <w:pStyle w:val="217"/>
        <w:rPr>
          <w:color w:val="auto"/>
          <w:highlight w:val="none"/>
        </w:rPr>
      </w:pPr>
    </w:p>
    <w:p>
      <w:pPr>
        <w:pStyle w:val="188"/>
        <w:spacing w:before="120" w:after="120"/>
        <w:outlineLvl w:val="1"/>
        <w:rPr>
          <w:color w:val="auto"/>
          <w:highlight w:val="none"/>
        </w:rPr>
      </w:pPr>
      <w:bookmarkStart w:id="8130" w:name="_Toc66890505"/>
      <w:bookmarkStart w:id="8131" w:name="_Toc505345822"/>
      <w:bookmarkStart w:id="8132" w:name="_Toc69114251"/>
      <w:bookmarkStart w:id="8133" w:name="_Toc66634510"/>
      <w:r>
        <w:rPr>
          <w:rFonts w:hint="eastAsia"/>
          <w:color w:val="auto"/>
          <w:highlight w:val="none"/>
        </w:rPr>
        <w:t>第</w:t>
      </w:r>
      <w:r>
        <w:rPr>
          <w:color w:val="auto"/>
          <w:highlight w:val="none"/>
        </w:rPr>
        <w:t>4</w:t>
      </w:r>
      <w:r>
        <w:rPr>
          <w:rFonts w:hint="eastAsia"/>
          <w:color w:val="auto"/>
          <w:highlight w:val="none"/>
        </w:rPr>
        <w:t>章</w:t>
      </w:r>
      <w:r>
        <w:rPr>
          <w:color w:val="auto"/>
          <w:highlight w:val="none"/>
        </w:rPr>
        <w:t xml:space="preserve">  </w:t>
      </w:r>
      <w:r>
        <w:rPr>
          <w:rFonts w:hint="eastAsia"/>
          <w:color w:val="auto"/>
          <w:highlight w:val="none"/>
        </w:rPr>
        <w:t>给排水施工工艺流程和施工方法</w:t>
      </w:r>
      <w:bookmarkEnd w:id="8130"/>
      <w:bookmarkEnd w:id="8131"/>
      <w:bookmarkEnd w:id="8132"/>
      <w:bookmarkEnd w:id="8133"/>
    </w:p>
    <w:p>
      <w:pPr>
        <w:pStyle w:val="113"/>
        <w:spacing w:before="120" w:after="120"/>
        <w:outlineLvl w:val="2"/>
        <w:rPr>
          <w:color w:val="auto"/>
          <w:highlight w:val="none"/>
        </w:rPr>
      </w:pPr>
      <w:bookmarkStart w:id="8134" w:name="_Toc66634511"/>
      <w:bookmarkStart w:id="8135" w:name="_Toc69114252"/>
      <w:bookmarkStart w:id="8136" w:name="_Toc66890506"/>
      <w:bookmarkStart w:id="8137" w:name="_Toc505345823"/>
      <w:r>
        <w:rPr>
          <w:color w:val="auto"/>
          <w:highlight w:val="none"/>
        </w:rPr>
        <w:t xml:space="preserve">4.1 </w:t>
      </w:r>
      <w:r>
        <w:rPr>
          <w:rFonts w:hint="eastAsia"/>
          <w:color w:val="auto"/>
          <w:highlight w:val="none"/>
        </w:rPr>
        <w:t>给排水工程施工工艺</w:t>
      </w:r>
      <w:bookmarkEnd w:id="8134"/>
      <w:bookmarkEnd w:id="8135"/>
      <w:bookmarkEnd w:id="8136"/>
      <w:bookmarkEnd w:id="8137"/>
      <w:r>
        <w:rPr>
          <w:color w:val="auto"/>
          <w:highlight w:val="none"/>
        </w:rPr>
        <w:t xml:space="preserve"> </w:t>
      </w:r>
    </w:p>
    <w:p>
      <w:pPr>
        <w:pStyle w:val="217"/>
        <w:rPr>
          <w:color w:val="auto"/>
          <w:highlight w:val="none"/>
        </w:rPr>
      </w:pPr>
      <w:r>
        <w:rPr>
          <w:color w:val="auto"/>
          <w:highlight w:val="none"/>
        </w:rPr>
        <w:t>1.</w:t>
      </w:r>
      <w:r>
        <w:rPr>
          <w:rFonts w:hint="eastAsia"/>
          <w:color w:val="auto"/>
          <w:highlight w:val="none"/>
        </w:rPr>
        <w:t>施工工艺流程：</w:t>
      </w:r>
    </w:p>
    <w:p>
      <w:pPr>
        <w:pStyle w:val="217"/>
        <w:rPr>
          <w:color w:val="auto"/>
          <w:highlight w:val="none"/>
        </w:rPr>
      </w:pPr>
      <w:r>
        <w:rPr>
          <w:rFonts w:hint="eastAsia"/>
          <w:color w:val="auto"/>
          <w:highlight w:val="none"/>
        </w:rPr>
        <w:t>清理施工现场</w:t>
      </w:r>
      <w:r>
        <w:rPr>
          <w:color w:val="auto"/>
          <w:highlight w:val="none"/>
        </w:rPr>
        <w:t>----</w:t>
      </w:r>
      <w:r>
        <w:rPr>
          <w:rFonts w:hint="eastAsia"/>
          <w:color w:val="auto"/>
          <w:highlight w:val="none"/>
        </w:rPr>
        <w:t>测量放线</w:t>
      </w:r>
      <w:r>
        <w:rPr>
          <w:color w:val="auto"/>
          <w:highlight w:val="none"/>
        </w:rPr>
        <w:t>----</w:t>
      </w:r>
      <w:r>
        <w:rPr>
          <w:rFonts w:hint="eastAsia"/>
          <w:color w:val="auto"/>
          <w:highlight w:val="none"/>
        </w:rPr>
        <w:t>开挖沟槽</w:t>
      </w:r>
      <w:r>
        <w:rPr>
          <w:color w:val="auto"/>
          <w:highlight w:val="none"/>
        </w:rPr>
        <w:t>----</w:t>
      </w:r>
      <w:r>
        <w:rPr>
          <w:rFonts w:hint="eastAsia"/>
          <w:color w:val="auto"/>
          <w:highlight w:val="none"/>
        </w:rPr>
        <w:t>铺设管道</w:t>
      </w:r>
      <w:r>
        <w:rPr>
          <w:color w:val="auto"/>
          <w:highlight w:val="none"/>
        </w:rPr>
        <w:t>----</w:t>
      </w:r>
      <w:r>
        <w:rPr>
          <w:rFonts w:hint="eastAsia"/>
          <w:color w:val="auto"/>
          <w:highlight w:val="none"/>
        </w:rPr>
        <w:t>水压试验</w:t>
      </w:r>
      <w:r>
        <w:rPr>
          <w:color w:val="auto"/>
          <w:highlight w:val="none"/>
        </w:rPr>
        <w:t>----</w:t>
      </w:r>
      <w:r>
        <w:rPr>
          <w:rFonts w:hint="eastAsia"/>
          <w:color w:val="auto"/>
          <w:highlight w:val="none"/>
        </w:rPr>
        <w:t>管道冲洗</w:t>
      </w:r>
      <w:r>
        <w:rPr>
          <w:color w:val="auto"/>
          <w:highlight w:val="none"/>
        </w:rPr>
        <w:t>----</w:t>
      </w:r>
      <w:r>
        <w:rPr>
          <w:rFonts w:hint="eastAsia"/>
          <w:color w:val="auto"/>
          <w:highlight w:val="none"/>
        </w:rPr>
        <w:t>验收</w:t>
      </w:r>
      <w:r>
        <w:rPr>
          <w:color w:val="auto"/>
          <w:highlight w:val="none"/>
        </w:rPr>
        <w:t>----</w:t>
      </w:r>
      <w:r>
        <w:rPr>
          <w:rFonts w:hint="eastAsia"/>
          <w:color w:val="auto"/>
          <w:highlight w:val="none"/>
        </w:rPr>
        <w:t>回填</w:t>
      </w:r>
      <w:r>
        <w:rPr>
          <w:color w:val="auto"/>
          <w:highlight w:val="none"/>
        </w:rPr>
        <w:t>----</w:t>
      </w:r>
      <w:r>
        <w:rPr>
          <w:rFonts w:hint="eastAsia"/>
          <w:color w:val="auto"/>
          <w:highlight w:val="none"/>
        </w:rPr>
        <w:t>系统设备安装</w:t>
      </w:r>
    </w:p>
    <w:p>
      <w:pPr>
        <w:pStyle w:val="113"/>
        <w:spacing w:before="120" w:after="120"/>
        <w:outlineLvl w:val="2"/>
        <w:rPr>
          <w:color w:val="auto"/>
          <w:highlight w:val="none"/>
        </w:rPr>
      </w:pPr>
      <w:bookmarkStart w:id="8138" w:name="_Toc69114253"/>
      <w:bookmarkStart w:id="8139" w:name="_Toc505345824"/>
      <w:bookmarkStart w:id="8140" w:name="_Toc66634512"/>
      <w:bookmarkStart w:id="8141" w:name="_Toc66890507"/>
      <w:r>
        <w:rPr>
          <w:color w:val="auto"/>
          <w:highlight w:val="none"/>
        </w:rPr>
        <w:t xml:space="preserve">4.2 </w:t>
      </w:r>
      <w:r>
        <w:rPr>
          <w:rFonts w:hint="eastAsia"/>
          <w:color w:val="auto"/>
          <w:highlight w:val="none"/>
        </w:rPr>
        <w:t>开挖沟槽</w:t>
      </w:r>
      <w:bookmarkEnd w:id="8138"/>
      <w:bookmarkEnd w:id="8139"/>
      <w:bookmarkEnd w:id="8140"/>
      <w:bookmarkEnd w:id="8141"/>
    </w:p>
    <w:p>
      <w:pPr>
        <w:pStyle w:val="217"/>
        <w:rPr>
          <w:color w:val="auto"/>
          <w:highlight w:val="none"/>
        </w:rPr>
      </w:pPr>
      <w:r>
        <w:rPr>
          <w:rFonts w:hint="eastAsia"/>
          <w:color w:val="auto"/>
          <w:highlight w:val="none"/>
        </w:rPr>
        <w:t>开挖沟槽的施工程序是定位放线、挖槽、沟槽基底侧壁处理、验收。</w:t>
      </w:r>
    </w:p>
    <w:p>
      <w:pPr>
        <w:pStyle w:val="217"/>
        <w:rPr>
          <w:color w:val="auto"/>
          <w:highlight w:val="none"/>
        </w:rPr>
      </w:pPr>
      <w:r>
        <w:rPr>
          <w:rFonts w:hint="eastAsia"/>
          <w:color w:val="auto"/>
          <w:highlight w:val="none"/>
        </w:rPr>
        <w:t>定位放线</w:t>
      </w:r>
    </w:p>
    <w:p>
      <w:pPr>
        <w:pStyle w:val="217"/>
        <w:rPr>
          <w:color w:val="auto"/>
          <w:highlight w:val="none"/>
        </w:rPr>
      </w:pPr>
      <w:r>
        <w:rPr>
          <w:rFonts w:hint="eastAsia"/>
          <w:color w:val="auto"/>
          <w:highlight w:val="none"/>
        </w:rPr>
        <w:t>先按施工图测出管道的坐标及走向后，按图示方位打桩放线，确定沟槽位置、开挖宽度、深度等。</w:t>
      </w:r>
    </w:p>
    <w:p>
      <w:pPr>
        <w:pStyle w:val="217"/>
        <w:rPr>
          <w:color w:val="auto"/>
          <w:highlight w:val="none"/>
        </w:rPr>
      </w:pPr>
      <w:r>
        <w:rPr>
          <w:color w:val="auto"/>
          <w:highlight w:val="none"/>
        </w:rPr>
        <w:t>2.</w:t>
      </w:r>
      <w:r>
        <w:rPr>
          <w:rFonts w:hint="eastAsia"/>
          <w:color w:val="auto"/>
          <w:highlight w:val="none"/>
        </w:rPr>
        <w:t>挖槽</w:t>
      </w:r>
    </w:p>
    <w:p>
      <w:pPr>
        <w:pStyle w:val="217"/>
        <w:rPr>
          <w:color w:val="auto"/>
          <w:highlight w:val="none"/>
        </w:rPr>
      </w:pPr>
      <w:r>
        <w:rPr>
          <w:rFonts w:hint="eastAsia"/>
          <w:color w:val="auto"/>
          <w:highlight w:val="none"/>
        </w:rPr>
        <w:t>采用人工挖槽槽帮必须按</w:t>
      </w:r>
      <w:r>
        <w:rPr>
          <w:color w:val="auto"/>
          <w:highlight w:val="none"/>
        </w:rPr>
        <w:t>1</w:t>
      </w:r>
      <w:r>
        <w:rPr>
          <w:rFonts w:hint="eastAsia"/>
          <w:color w:val="auto"/>
          <w:highlight w:val="none"/>
        </w:rPr>
        <w:t>：</w:t>
      </w:r>
      <w:r>
        <w:rPr>
          <w:color w:val="auto"/>
          <w:highlight w:val="none"/>
        </w:rPr>
        <w:t>0.33</w:t>
      </w:r>
      <w:r>
        <w:rPr>
          <w:rFonts w:hint="eastAsia"/>
          <w:color w:val="auto"/>
          <w:highlight w:val="none"/>
        </w:rPr>
        <w:t>放坡，开挖出的土方堆放在沟槽的一侧。若在砂土或在砂壤土地区施工，如果沟槽与当地的主风向相交，应将土方堆置在沟槽的下风口一侧，以免刮风造成自然回填。土堆边缘与沟边的距离不得小于</w:t>
      </w:r>
      <w:r>
        <w:rPr>
          <w:color w:val="auto"/>
          <w:highlight w:val="none"/>
        </w:rPr>
        <w:t>0.5</w:t>
      </w:r>
      <w:r>
        <w:rPr>
          <w:rFonts w:hint="eastAsia"/>
          <w:color w:val="auto"/>
          <w:highlight w:val="none"/>
        </w:rPr>
        <w:t>米，堆土高度不得超过</w:t>
      </w:r>
      <w:r>
        <w:rPr>
          <w:color w:val="auto"/>
          <w:highlight w:val="none"/>
        </w:rPr>
        <w:t>1.5</w:t>
      </w:r>
      <w:r>
        <w:rPr>
          <w:rFonts w:hint="eastAsia"/>
          <w:color w:val="auto"/>
          <w:highlight w:val="none"/>
        </w:rPr>
        <w:t>米，堆土时注意不得掩埋消火栓、管道闸阀、雨水口、测量标志及各种地下管道的井盖，且不得妨碍其正常使用。开槽中若遇有其他专业的管道、电缆、地下构筑物或文物古迹等时，应及时与甲方、有关单位及设计部门联系，协同处理。</w:t>
      </w:r>
    </w:p>
    <w:p>
      <w:pPr>
        <w:pStyle w:val="217"/>
        <w:rPr>
          <w:color w:val="auto"/>
          <w:highlight w:val="none"/>
        </w:rPr>
      </w:pPr>
      <w:r>
        <w:rPr>
          <w:color w:val="auto"/>
          <w:highlight w:val="none"/>
        </w:rPr>
        <w:t>3.</w:t>
      </w:r>
      <w:r>
        <w:rPr>
          <w:rFonts w:hint="eastAsia"/>
          <w:color w:val="auto"/>
          <w:highlight w:val="none"/>
        </w:rPr>
        <w:t>沟槽基底侧壁处理</w:t>
      </w:r>
    </w:p>
    <w:p>
      <w:pPr>
        <w:pStyle w:val="217"/>
        <w:rPr>
          <w:color w:val="auto"/>
          <w:highlight w:val="none"/>
        </w:rPr>
      </w:pPr>
      <w:r>
        <w:rPr>
          <w:rFonts w:hint="eastAsia"/>
          <w:color w:val="auto"/>
          <w:highlight w:val="none"/>
        </w:rPr>
        <w:t>要求沟底是坚实的自然土层，若为松土层夯实。若沟槽底部为石块、砖砾等硬物时，可将沟槽多挖深</w:t>
      </w:r>
      <w:r>
        <w:rPr>
          <w:color w:val="auto"/>
          <w:highlight w:val="none"/>
        </w:rPr>
        <w:t>100cm-200cm</w:t>
      </w:r>
      <w:r>
        <w:rPr>
          <w:rFonts w:hint="eastAsia"/>
          <w:color w:val="auto"/>
          <w:highlight w:val="none"/>
        </w:rPr>
        <w:t>，清除石块等硬物，再用砂土回填夯实。同时保证沟槽侧壁土层质量，若土层过松，可在沟槽侧壁支撑模板保护，以防沟槽坍塌伤人。</w:t>
      </w:r>
    </w:p>
    <w:p>
      <w:pPr>
        <w:pStyle w:val="217"/>
        <w:rPr>
          <w:color w:val="auto"/>
          <w:highlight w:val="none"/>
        </w:rPr>
      </w:pPr>
      <w:r>
        <w:rPr>
          <w:color w:val="auto"/>
          <w:highlight w:val="none"/>
        </w:rPr>
        <w:t>4.</w:t>
      </w:r>
      <w:r>
        <w:rPr>
          <w:rFonts w:hint="eastAsia"/>
          <w:color w:val="auto"/>
          <w:highlight w:val="none"/>
        </w:rPr>
        <w:t>验收</w:t>
      </w:r>
    </w:p>
    <w:p>
      <w:pPr>
        <w:pStyle w:val="217"/>
        <w:rPr>
          <w:color w:val="auto"/>
          <w:highlight w:val="none"/>
        </w:rPr>
      </w:pPr>
      <w:r>
        <w:rPr>
          <w:rFonts w:hint="eastAsia"/>
          <w:color w:val="auto"/>
          <w:highlight w:val="none"/>
        </w:rPr>
        <w:t>槽底清理完毕后根据施工图检查管沟坐标、深度、平直程度、沟底坡向等，若局部过深或深度不够，则需整改。检验合格后方可进行下道工序。</w:t>
      </w:r>
    </w:p>
    <w:p>
      <w:pPr>
        <w:pStyle w:val="113"/>
        <w:spacing w:before="120" w:after="120"/>
        <w:outlineLvl w:val="2"/>
        <w:rPr>
          <w:color w:val="auto"/>
          <w:highlight w:val="none"/>
        </w:rPr>
      </w:pPr>
      <w:bookmarkStart w:id="8142" w:name="_Toc66890508"/>
      <w:bookmarkStart w:id="8143" w:name="_Toc69114254"/>
      <w:bookmarkStart w:id="8144" w:name="_Toc66634513"/>
      <w:bookmarkStart w:id="8145" w:name="_Toc505345825"/>
      <w:r>
        <w:rPr>
          <w:color w:val="auto"/>
          <w:highlight w:val="none"/>
        </w:rPr>
        <w:t xml:space="preserve">4.3 </w:t>
      </w:r>
      <w:r>
        <w:rPr>
          <w:rFonts w:hint="eastAsia"/>
          <w:color w:val="auto"/>
          <w:highlight w:val="none"/>
        </w:rPr>
        <w:t>铺设管道包括下管、稳管和管道接口处理</w:t>
      </w:r>
      <w:bookmarkEnd w:id="8142"/>
      <w:bookmarkEnd w:id="8143"/>
      <w:bookmarkEnd w:id="8144"/>
      <w:bookmarkEnd w:id="8145"/>
    </w:p>
    <w:p>
      <w:pPr>
        <w:pStyle w:val="217"/>
        <w:rPr>
          <w:color w:val="auto"/>
          <w:highlight w:val="none"/>
        </w:rPr>
      </w:pPr>
      <w:r>
        <w:rPr>
          <w:color w:val="auto"/>
          <w:highlight w:val="none"/>
        </w:rPr>
        <w:t>1.</w:t>
      </w:r>
      <w:r>
        <w:rPr>
          <w:rFonts w:hint="eastAsia"/>
          <w:color w:val="auto"/>
          <w:highlight w:val="none"/>
        </w:rPr>
        <w:t>选材</w:t>
      </w:r>
    </w:p>
    <w:p>
      <w:pPr>
        <w:pStyle w:val="217"/>
        <w:rPr>
          <w:color w:val="auto"/>
          <w:highlight w:val="none"/>
        </w:rPr>
      </w:pPr>
      <w:r>
        <w:rPr>
          <w:rFonts w:hint="eastAsia"/>
          <w:color w:val="auto"/>
          <w:highlight w:val="none"/>
        </w:rPr>
        <w:t>管材、管件及配件的材料规格、压力等级、质量等均应符合设计要求和施工规范，进场时必须由甲方和监理检验验收，合格后方可使用。</w:t>
      </w:r>
    </w:p>
    <w:p>
      <w:pPr>
        <w:pStyle w:val="217"/>
        <w:rPr>
          <w:color w:val="auto"/>
          <w:highlight w:val="none"/>
        </w:rPr>
      </w:pPr>
      <w:r>
        <w:rPr>
          <w:color w:val="auto"/>
          <w:highlight w:val="none"/>
        </w:rPr>
        <w:t>2.</w:t>
      </w:r>
      <w:r>
        <w:rPr>
          <w:rFonts w:hint="eastAsia"/>
          <w:color w:val="auto"/>
          <w:highlight w:val="none"/>
        </w:rPr>
        <w:t>管道安装</w:t>
      </w:r>
    </w:p>
    <w:p>
      <w:pPr>
        <w:pStyle w:val="217"/>
        <w:rPr>
          <w:color w:val="auto"/>
          <w:highlight w:val="none"/>
        </w:rPr>
      </w:pPr>
      <w:r>
        <w:rPr>
          <w:rFonts w:hint="eastAsia"/>
          <w:color w:val="auto"/>
          <w:highlight w:val="none"/>
        </w:rPr>
        <w:t>安装时采用人工下管，下管前先在管身下方铺设砂垫层，厚度不小于</w:t>
      </w:r>
      <w:r>
        <w:rPr>
          <w:color w:val="auto"/>
          <w:highlight w:val="none"/>
        </w:rPr>
        <w:t>10cm</w:t>
      </w:r>
      <w:r>
        <w:rPr>
          <w:rFonts w:hint="eastAsia"/>
          <w:color w:val="auto"/>
          <w:highlight w:val="none"/>
        </w:rPr>
        <w:t>。管道安装时应慢慢落到沟底，每根管须对准沟槽中心线。管道安装过程中，随时清扫管道中的杂物，给水管道暂时停止安装时，将管道两端临时封堵，防止进入杂物。管道逐节安装完毕后应进行复测，合格后方可安装下一节管道。雨期施工时应注意合理缩短开槽长度，及时砌筑检查井。暂时中断安装的管道应临时封堵，防止雨水夹杂杂物流入，已安装完毕的管道及时验收回填。沟槽中如有积水及时排出，不允许沟槽内长时间积水，更不允许在沟槽内有积水的情况下敷设管道，且雨天不得进行管道接口施工。</w:t>
      </w:r>
    </w:p>
    <w:p>
      <w:pPr>
        <w:pStyle w:val="113"/>
        <w:spacing w:before="120" w:after="120"/>
        <w:outlineLvl w:val="2"/>
        <w:rPr>
          <w:color w:val="auto"/>
          <w:highlight w:val="none"/>
        </w:rPr>
      </w:pPr>
      <w:bookmarkStart w:id="8146" w:name="_Toc66634514"/>
      <w:bookmarkStart w:id="8147" w:name="_Toc66890509"/>
      <w:bookmarkStart w:id="8148" w:name="_Toc505345826"/>
      <w:bookmarkStart w:id="8149" w:name="_Toc69114255"/>
      <w:r>
        <w:rPr>
          <w:color w:val="auto"/>
          <w:highlight w:val="none"/>
        </w:rPr>
        <w:t xml:space="preserve">4.4 </w:t>
      </w:r>
      <w:r>
        <w:rPr>
          <w:rFonts w:hint="eastAsia"/>
          <w:color w:val="auto"/>
          <w:highlight w:val="none"/>
        </w:rPr>
        <w:t>水压试验</w:t>
      </w:r>
      <w:bookmarkEnd w:id="8146"/>
      <w:bookmarkEnd w:id="8147"/>
      <w:bookmarkEnd w:id="8148"/>
      <w:bookmarkEnd w:id="8149"/>
    </w:p>
    <w:p>
      <w:pPr>
        <w:pStyle w:val="217"/>
        <w:rPr>
          <w:color w:val="auto"/>
          <w:highlight w:val="none"/>
        </w:rPr>
      </w:pPr>
      <w:r>
        <w:rPr>
          <w:rFonts w:hint="eastAsia"/>
          <w:color w:val="auto"/>
          <w:highlight w:val="none"/>
        </w:rPr>
        <w:t>管道安装完毕后，采取分段的形式打压，基本上保证随做随打，以免影响后序工程，可</w:t>
      </w:r>
      <w:r>
        <w:rPr>
          <w:color w:val="auto"/>
          <w:highlight w:val="none"/>
        </w:rPr>
        <w:t>80-100m</w:t>
      </w:r>
      <w:r>
        <w:rPr>
          <w:rFonts w:hint="eastAsia"/>
          <w:color w:val="auto"/>
          <w:highlight w:val="none"/>
        </w:rPr>
        <w:t>打压一次，打压时应逐步升压，每次升</w:t>
      </w:r>
      <w:r>
        <w:rPr>
          <w:color w:val="auto"/>
          <w:highlight w:val="none"/>
        </w:rPr>
        <w:t>0.2MPA</w:t>
      </w:r>
      <w:r>
        <w:rPr>
          <w:rFonts w:hint="eastAsia"/>
          <w:color w:val="auto"/>
          <w:highlight w:val="none"/>
        </w:rPr>
        <w:t>为宜。升至工作压力后，停泵检查，不渗不漏。继续升至试验压力，观察压力表</w:t>
      </w:r>
      <w:r>
        <w:rPr>
          <w:color w:val="auto"/>
          <w:highlight w:val="none"/>
        </w:rPr>
        <w:t>10</w:t>
      </w:r>
      <w:r>
        <w:rPr>
          <w:rFonts w:hint="eastAsia"/>
          <w:color w:val="auto"/>
          <w:highlight w:val="none"/>
        </w:rPr>
        <w:t>分钟内压降不应超过</w:t>
      </w:r>
      <w:r>
        <w:rPr>
          <w:color w:val="auto"/>
          <w:highlight w:val="none"/>
        </w:rPr>
        <w:t>0.05MPA</w:t>
      </w:r>
      <w:r>
        <w:rPr>
          <w:rFonts w:hint="eastAsia"/>
          <w:color w:val="auto"/>
          <w:highlight w:val="none"/>
        </w:rPr>
        <w:t>，管道、管件、接口位置不应渗漏，然后降至工作压力，进行外观检查，不渗不漏为合格。</w:t>
      </w:r>
    </w:p>
    <w:p>
      <w:pPr>
        <w:pStyle w:val="113"/>
        <w:spacing w:before="120" w:after="120"/>
        <w:outlineLvl w:val="2"/>
        <w:rPr>
          <w:color w:val="auto"/>
          <w:highlight w:val="none"/>
        </w:rPr>
      </w:pPr>
      <w:bookmarkStart w:id="8150" w:name="_Toc66634515"/>
      <w:bookmarkStart w:id="8151" w:name="_Toc66890510"/>
      <w:bookmarkStart w:id="8152" w:name="_Toc505345827"/>
      <w:bookmarkStart w:id="8153" w:name="_Toc69114256"/>
      <w:r>
        <w:rPr>
          <w:color w:val="auto"/>
          <w:highlight w:val="none"/>
        </w:rPr>
        <w:t xml:space="preserve">4.5 </w:t>
      </w:r>
      <w:r>
        <w:rPr>
          <w:rFonts w:hint="eastAsia"/>
          <w:color w:val="auto"/>
          <w:highlight w:val="none"/>
        </w:rPr>
        <w:t>检查井砌筑</w:t>
      </w:r>
      <w:bookmarkEnd w:id="8150"/>
      <w:bookmarkEnd w:id="8151"/>
      <w:bookmarkEnd w:id="8152"/>
      <w:bookmarkEnd w:id="8153"/>
    </w:p>
    <w:p>
      <w:pPr>
        <w:pStyle w:val="217"/>
        <w:rPr>
          <w:color w:val="auto"/>
          <w:highlight w:val="none"/>
        </w:rPr>
      </w:pPr>
      <w:r>
        <w:rPr>
          <w:color w:val="auto"/>
          <w:highlight w:val="none"/>
        </w:rPr>
        <w:t>1.</w:t>
      </w:r>
      <w:r>
        <w:rPr>
          <w:rFonts w:hint="eastAsia"/>
          <w:color w:val="auto"/>
          <w:highlight w:val="none"/>
        </w:rPr>
        <w:t>在已安装完毕的给水管道检查井位置</w:t>
      </w:r>
      <w:r>
        <w:rPr>
          <w:color w:val="auto"/>
          <w:highlight w:val="none"/>
        </w:rPr>
        <w:t>,</w:t>
      </w:r>
      <w:r>
        <w:rPr>
          <w:rFonts w:hint="eastAsia"/>
          <w:color w:val="auto"/>
          <w:highlight w:val="none"/>
        </w:rPr>
        <w:t>放出检查井中心位置线</w:t>
      </w:r>
      <w:r>
        <w:rPr>
          <w:color w:val="auto"/>
          <w:highlight w:val="none"/>
        </w:rPr>
        <w:t>,</w:t>
      </w:r>
      <w:r>
        <w:rPr>
          <w:rFonts w:hint="eastAsia"/>
          <w:color w:val="auto"/>
          <w:highlight w:val="none"/>
        </w:rPr>
        <w:t>按检查井半径摆出井壁砌墙位置</w:t>
      </w:r>
      <w:r>
        <w:rPr>
          <w:color w:val="auto"/>
          <w:highlight w:val="none"/>
        </w:rPr>
        <w:t>.</w:t>
      </w:r>
    </w:p>
    <w:p>
      <w:pPr>
        <w:pStyle w:val="217"/>
        <w:rPr>
          <w:color w:val="auto"/>
          <w:highlight w:val="none"/>
        </w:rPr>
      </w:pPr>
      <w:r>
        <w:rPr>
          <w:color w:val="auto"/>
          <w:highlight w:val="none"/>
        </w:rPr>
        <w:t>2.</w:t>
      </w:r>
      <w:r>
        <w:rPr>
          <w:rFonts w:hint="eastAsia"/>
          <w:color w:val="auto"/>
          <w:highlight w:val="none"/>
        </w:rPr>
        <w:t>在检查井基础面上</w:t>
      </w:r>
      <w:r>
        <w:rPr>
          <w:color w:val="auto"/>
          <w:highlight w:val="none"/>
        </w:rPr>
        <w:t>,</w:t>
      </w:r>
      <w:r>
        <w:rPr>
          <w:rFonts w:hint="eastAsia"/>
          <w:color w:val="auto"/>
          <w:highlight w:val="none"/>
        </w:rPr>
        <w:t>先铺砂浆后再砌砖</w:t>
      </w:r>
      <w:r>
        <w:rPr>
          <w:color w:val="auto"/>
          <w:highlight w:val="none"/>
        </w:rPr>
        <w:t>,</w:t>
      </w:r>
      <w:r>
        <w:rPr>
          <w:rFonts w:hint="eastAsia"/>
          <w:color w:val="auto"/>
          <w:highlight w:val="none"/>
        </w:rPr>
        <w:t>一般圆形检查井采用</w:t>
      </w:r>
      <w:r>
        <w:rPr>
          <w:color w:val="auto"/>
          <w:highlight w:val="none"/>
        </w:rPr>
        <w:t>240mm</w:t>
      </w:r>
      <w:r>
        <w:rPr>
          <w:rFonts w:hint="eastAsia"/>
          <w:color w:val="auto"/>
          <w:highlight w:val="none"/>
        </w:rPr>
        <w:t>墙砌筑。采用内缝小、外缝大的摆砖方案，外灰缝用碎砖填缝，以减少砂浆用量。每层砖上下皮竖灰缝应错开。随砌筑随检查弧形尺寸。</w:t>
      </w:r>
    </w:p>
    <w:p>
      <w:pPr>
        <w:pStyle w:val="217"/>
        <w:rPr>
          <w:color w:val="auto"/>
          <w:highlight w:val="none"/>
        </w:rPr>
      </w:pPr>
      <w:r>
        <w:rPr>
          <w:color w:val="auto"/>
          <w:highlight w:val="none"/>
        </w:rPr>
        <w:t>3.</w:t>
      </w:r>
      <w:r>
        <w:rPr>
          <w:rFonts w:hint="eastAsia"/>
          <w:color w:val="auto"/>
          <w:highlight w:val="none"/>
        </w:rPr>
        <w:t>井内踏步，应随砌、随安、随坐浆，其埋入深度不得小于设计规定。踏步安装后，在砌筑砂浆未达到规定强度前，不得踩踏。</w:t>
      </w:r>
    </w:p>
    <w:p>
      <w:pPr>
        <w:pStyle w:val="113"/>
        <w:spacing w:before="120" w:after="120"/>
        <w:outlineLvl w:val="2"/>
        <w:rPr>
          <w:color w:val="auto"/>
          <w:highlight w:val="none"/>
        </w:rPr>
      </w:pPr>
      <w:bookmarkStart w:id="8154" w:name="_Toc66890511"/>
      <w:bookmarkStart w:id="8155" w:name="_Toc66634516"/>
      <w:bookmarkStart w:id="8156" w:name="_Toc505345828"/>
      <w:bookmarkStart w:id="8157" w:name="_Toc69114257"/>
      <w:r>
        <w:rPr>
          <w:color w:val="auto"/>
          <w:highlight w:val="none"/>
        </w:rPr>
        <w:t xml:space="preserve">4.6 </w:t>
      </w:r>
      <w:r>
        <w:rPr>
          <w:rFonts w:hint="eastAsia"/>
          <w:color w:val="auto"/>
          <w:highlight w:val="none"/>
        </w:rPr>
        <w:t>管道冲洗</w:t>
      </w:r>
      <w:bookmarkEnd w:id="8154"/>
      <w:bookmarkEnd w:id="8155"/>
      <w:bookmarkEnd w:id="8156"/>
      <w:bookmarkEnd w:id="8157"/>
    </w:p>
    <w:p>
      <w:pPr>
        <w:pStyle w:val="217"/>
        <w:rPr>
          <w:color w:val="auto"/>
          <w:highlight w:val="none"/>
        </w:rPr>
      </w:pPr>
      <w:r>
        <w:rPr>
          <w:rFonts w:hint="eastAsia"/>
          <w:color w:val="auto"/>
          <w:highlight w:val="none"/>
        </w:rPr>
        <w:t>分段冲洗或整个系统安装完结后进行冲洗。冲洗前拆除管道上已安装的水表，加入短管代替，并隔断与其他正常供水管线的联系。冲水时用高速水流冲洗管道，直至所排出的水无杂质。</w:t>
      </w:r>
    </w:p>
    <w:p>
      <w:pPr>
        <w:pStyle w:val="113"/>
        <w:spacing w:before="120" w:after="120"/>
        <w:outlineLvl w:val="2"/>
        <w:rPr>
          <w:color w:val="auto"/>
          <w:highlight w:val="none"/>
        </w:rPr>
      </w:pPr>
      <w:bookmarkStart w:id="8158" w:name="_Toc66634517"/>
      <w:bookmarkStart w:id="8159" w:name="_Toc66890512"/>
      <w:bookmarkStart w:id="8160" w:name="_Toc505345829"/>
      <w:bookmarkStart w:id="8161" w:name="_Toc69114258"/>
      <w:r>
        <w:rPr>
          <w:color w:val="auto"/>
          <w:highlight w:val="none"/>
        </w:rPr>
        <w:t xml:space="preserve">4.7 </w:t>
      </w:r>
      <w:r>
        <w:rPr>
          <w:rFonts w:hint="eastAsia"/>
          <w:color w:val="auto"/>
          <w:highlight w:val="none"/>
        </w:rPr>
        <w:t>回填</w:t>
      </w:r>
      <w:bookmarkEnd w:id="8158"/>
      <w:bookmarkEnd w:id="8159"/>
      <w:bookmarkEnd w:id="8160"/>
      <w:bookmarkEnd w:id="8161"/>
    </w:p>
    <w:p>
      <w:pPr>
        <w:pStyle w:val="217"/>
        <w:rPr>
          <w:color w:val="auto"/>
          <w:highlight w:val="none"/>
        </w:rPr>
      </w:pPr>
      <w:r>
        <w:rPr>
          <w:rFonts w:hint="eastAsia"/>
          <w:color w:val="auto"/>
          <w:highlight w:val="none"/>
        </w:rPr>
        <w:t>管道安装完毕并经水压试验及泄水试验合格后方可进行沟槽回填，宜采用人工回填。沟槽回填应分两步完成，先部分回填，再全部回填。部分回填是指管道以上约</w:t>
      </w:r>
      <w:r>
        <w:rPr>
          <w:color w:val="auto"/>
          <w:highlight w:val="none"/>
        </w:rPr>
        <w:t>100mm</w:t>
      </w:r>
      <w:r>
        <w:rPr>
          <w:rFonts w:hint="eastAsia"/>
          <w:color w:val="auto"/>
          <w:highlight w:val="none"/>
        </w:rPr>
        <w:t>范围的回填。一般采用砂土或筛过的原土回填，其中不应含有砖瓦、砾石或其他杂质硬物。管道两侧应分层夯实，禁止用石块或砖砾等杂物单侧回填。对于</w:t>
      </w:r>
      <w:r>
        <w:rPr>
          <w:color w:val="auto"/>
          <w:highlight w:val="none"/>
        </w:rPr>
        <w:t>UPVC</w:t>
      </w:r>
      <w:r>
        <w:rPr>
          <w:rFonts w:hint="eastAsia"/>
          <w:color w:val="auto"/>
          <w:highlight w:val="none"/>
        </w:rPr>
        <w:t>管，填土前应对管道压力充水，充水压力应接近管道的工作压力。防止在回填过程中管道挤压变形，造成过水断面压力减小，影响浇灌系统的水力条件。全部回填采用符合要求的原土，要求用轻夯或踩实的方案分层回填，一次填土</w:t>
      </w:r>
      <w:r>
        <w:rPr>
          <w:color w:val="auto"/>
          <w:highlight w:val="none"/>
        </w:rPr>
        <w:t>100-150mm</w:t>
      </w:r>
      <w:r>
        <w:rPr>
          <w:rFonts w:hint="eastAsia"/>
          <w:color w:val="auto"/>
          <w:highlight w:val="none"/>
        </w:rPr>
        <w:t>。在回填至管顶上</w:t>
      </w:r>
      <w:r>
        <w:rPr>
          <w:color w:val="auto"/>
          <w:highlight w:val="none"/>
        </w:rPr>
        <w:t>50cm</w:t>
      </w:r>
      <w:r>
        <w:rPr>
          <w:rFonts w:hint="eastAsia"/>
          <w:color w:val="auto"/>
          <w:highlight w:val="none"/>
        </w:rPr>
        <w:t>后，可用小型打夯机夯实。检查井周围人工用木夯夯实。直至回填到高出地面</w:t>
      </w:r>
      <w:r>
        <w:rPr>
          <w:color w:val="auto"/>
          <w:highlight w:val="none"/>
        </w:rPr>
        <w:t>100mm</w:t>
      </w:r>
      <w:r>
        <w:rPr>
          <w:rFonts w:hint="eastAsia"/>
          <w:color w:val="auto"/>
          <w:highlight w:val="none"/>
        </w:rPr>
        <w:t>左右为止。回填到位后必须对整个沟槽进行水夯，使回填土充分下沉。以免绿化工程完成后出现局部下陷，影响绿化效果。</w:t>
      </w:r>
    </w:p>
    <w:p>
      <w:pPr>
        <w:pStyle w:val="113"/>
        <w:spacing w:before="120" w:after="120"/>
        <w:outlineLvl w:val="2"/>
        <w:rPr>
          <w:color w:val="auto"/>
          <w:highlight w:val="none"/>
        </w:rPr>
      </w:pPr>
      <w:bookmarkStart w:id="8162" w:name="_Toc66634518"/>
      <w:bookmarkStart w:id="8163" w:name="_Toc66890513"/>
      <w:bookmarkStart w:id="8164" w:name="_Toc505345830"/>
      <w:bookmarkStart w:id="8165" w:name="_Toc69114259"/>
      <w:r>
        <w:rPr>
          <w:color w:val="auto"/>
          <w:highlight w:val="none"/>
        </w:rPr>
        <w:t xml:space="preserve">4.8 </w:t>
      </w:r>
      <w:r>
        <w:rPr>
          <w:rFonts w:hint="eastAsia"/>
          <w:color w:val="auto"/>
          <w:highlight w:val="none"/>
        </w:rPr>
        <w:t>系统设备</w:t>
      </w:r>
      <w:bookmarkEnd w:id="8162"/>
      <w:bookmarkEnd w:id="8163"/>
      <w:bookmarkEnd w:id="8164"/>
      <w:r>
        <w:rPr>
          <w:rFonts w:hint="eastAsia"/>
          <w:color w:val="auto"/>
          <w:highlight w:val="none"/>
        </w:rPr>
        <w:t>安装</w:t>
      </w:r>
      <w:bookmarkEnd w:id="8165"/>
    </w:p>
    <w:p>
      <w:pPr>
        <w:pStyle w:val="217"/>
        <w:rPr>
          <w:color w:val="auto"/>
          <w:highlight w:val="none"/>
        </w:rPr>
      </w:pPr>
      <w:r>
        <w:rPr>
          <w:rFonts w:hint="eastAsia"/>
          <w:color w:val="auto"/>
          <w:highlight w:val="none"/>
        </w:rPr>
        <w:t>给水系统主要是水泵、人工手动取水龙头以及水表、阀门安装。按照国家相关规范严格要求，保证施工质量和使用功能。</w:t>
      </w:r>
    </w:p>
    <w:p>
      <w:pPr>
        <w:rPr>
          <w:color w:val="auto"/>
          <w:highlight w:val="none"/>
        </w:rPr>
      </w:pPr>
    </w:p>
    <w:p>
      <w:pPr>
        <w:pStyle w:val="188"/>
        <w:spacing w:before="120" w:after="120"/>
        <w:outlineLvl w:val="1"/>
        <w:rPr>
          <w:color w:val="auto"/>
          <w:highlight w:val="none"/>
        </w:rPr>
      </w:pPr>
      <w:bookmarkStart w:id="8166" w:name="_Toc66634519"/>
      <w:bookmarkStart w:id="8167" w:name="_Toc69114260"/>
      <w:bookmarkStart w:id="8168" w:name="_Toc66890514"/>
      <w:bookmarkStart w:id="8169" w:name="_Toc505345831"/>
      <w:r>
        <w:rPr>
          <w:rFonts w:hint="eastAsia"/>
          <w:color w:val="auto"/>
          <w:highlight w:val="none"/>
        </w:rPr>
        <w:t>第</w:t>
      </w:r>
      <w:r>
        <w:rPr>
          <w:color w:val="auto"/>
          <w:highlight w:val="none"/>
        </w:rPr>
        <w:t>5</w:t>
      </w:r>
      <w:r>
        <w:rPr>
          <w:rFonts w:hint="eastAsia"/>
          <w:color w:val="auto"/>
          <w:highlight w:val="none"/>
        </w:rPr>
        <w:t>章</w:t>
      </w:r>
      <w:r>
        <w:rPr>
          <w:color w:val="auto"/>
          <w:highlight w:val="none"/>
        </w:rPr>
        <w:t xml:space="preserve">  </w:t>
      </w:r>
      <w:r>
        <w:rPr>
          <w:rFonts w:hint="eastAsia"/>
          <w:color w:val="auto"/>
          <w:highlight w:val="none"/>
        </w:rPr>
        <w:t>排水工程施工工艺流程和施工方法</w:t>
      </w:r>
      <w:bookmarkEnd w:id="8166"/>
      <w:bookmarkEnd w:id="8167"/>
      <w:bookmarkEnd w:id="8168"/>
      <w:bookmarkEnd w:id="8169"/>
    </w:p>
    <w:p>
      <w:pPr>
        <w:pStyle w:val="113"/>
        <w:spacing w:before="120" w:after="120"/>
        <w:outlineLvl w:val="2"/>
        <w:rPr>
          <w:color w:val="auto"/>
          <w:highlight w:val="none"/>
        </w:rPr>
      </w:pPr>
      <w:bookmarkStart w:id="8170" w:name="_Toc66890515"/>
      <w:bookmarkStart w:id="8171" w:name="_Toc505345832"/>
      <w:bookmarkStart w:id="8172" w:name="_Toc69114261"/>
      <w:bookmarkStart w:id="8173" w:name="_Toc66634520"/>
      <w:r>
        <w:rPr>
          <w:color w:val="auto"/>
          <w:highlight w:val="none"/>
        </w:rPr>
        <w:t xml:space="preserve">5.1 </w:t>
      </w:r>
      <w:r>
        <w:rPr>
          <w:rFonts w:hint="eastAsia"/>
          <w:color w:val="auto"/>
          <w:highlight w:val="none"/>
        </w:rPr>
        <w:t>施工工艺流程</w:t>
      </w:r>
      <w:bookmarkEnd w:id="8170"/>
      <w:bookmarkEnd w:id="8171"/>
      <w:bookmarkEnd w:id="8172"/>
      <w:bookmarkEnd w:id="8173"/>
    </w:p>
    <w:p>
      <w:pPr>
        <w:pStyle w:val="217"/>
        <w:rPr>
          <w:color w:val="auto"/>
          <w:highlight w:val="none"/>
        </w:rPr>
      </w:pPr>
      <w:r>
        <w:rPr>
          <w:rFonts w:hint="eastAsia"/>
          <w:color w:val="auto"/>
          <w:highlight w:val="none"/>
        </w:rPr>
        <w:t>测量放线</w:t>
      </w:r>
      <w:r>
        <w:rPr>
          <w:color w:val="auto"/>
          <w:highlight w:val="none"/>
        </w:rPr>
        <w:t>—</w:t>
      </w:r>
      <w:r>
        <w:rPr>
          <w:rFonts w:hint="eastAsia"/>
          <w:color w:val="auto"/>
          <w:highlight w:val="none"/>
        </w:rPr>
        <w:t>开挖沟槽</w:t>
      </w:r>
      <w:r>
        <w:rPr>
          <w:color w:val="auto"/>
          <w:highlight w:val="none"/>
        </w:rPr>
        <w:t>—</w:t>
      </w:r>
      <w:r>
        <w:rPr>
          <w:rFonts w:hint="eastAsia"/>
          <w:color w:val="auto"/>
          <w:highlight w:val="none"/>
        </w:rPr>
        <w:t>铺设管道</w:t>
      </w:r>
      <w:r>
        <w:rPr>
          <w:color w:val="auto"/>
          <w:highlight w:val="none"/>
        </w:rPr>
        <w:t>—</w:t>
      </w:r>
      <w:r>
        <w:rPr>
          <w:rFonts w:hint="eastAsia"/>
          <w:color w:val="auto"/>
          <w:highlight w:val="none"/>
        </w:rPr>
        <w:t>闭水试验</w:t>
      </w:r>
      <w:r>
        <w:rPr>
          <w:color w:val="auto"/>
          <w:highlight w:val="none"/>
        </w:rPr>
        <w:t>—</w:t>
      </w:r>
      <w:r>
        <w:rPr>
          <w:rFonts w:hint="eastAsia"/>
          <w:color w:val="auto"/>
          <w:highlight w:val="none"/>
        </w:rPr>
        <w:t>验收</w:t>
      </w:r>
      <w:r>
        <w:rPr>
          <w:color w:val="auto"/>
          <w:highlight w:val="none"/>
        </w:rPr>
        <w:t>—</w:t>
      </w:r>
      <w:r>
        <w:rPr>
          <w:rFonts w:hint="eastAsia"/>
          <w:color w:val="auto"/>
          <w:highlight w:val="none"/>
        </w:rPr>
        <w:t>回填</w:t>
      </w:r>
    </w:p>
    <w:p>
      <w:pPr>
        <w:pStyle w:val="113"/>
        <w:spacing w:before="120" w:after="120"/>
        <w:outlineLvl w:val="2"/>
        <w:rPr>
          <w:rStyle w:val="294"/>
          <w:color w:val="auto"/>
          <w:sz w:val="20"/>
          <w:highlight w:val="none"/>
        </w:rPr>
      </w:pPr>
      <w:bookmarkStart w:id="8174" w:name="_Toc66634521"/>
      <w:bookmarkStart w:id="8175" w:name="_Toc69114262"/>
      <w:bookmarkStart w:id="8176" w:name="_Toc505345833"/>
      <w:bookmarkStart w:id="8177" w:name="_Toc66890516"/>
      <w:r>
        <w:rPr>
          <w:rStyle w:val="294"/>
          <w:color w:val="auto"/>
          <w:sz w:val="20"/>
          <w:highlight w:val="none"/>
        </w:rPr>
        <w:t xml:space="preserve">5.2 </w:t>
      </w:r>
      <w:r>
        <w:rPr>
          <w:rStyle w:val="294"/>
          <w:rFonts w:hint="eastAsia"/>
          <w:color w:val="auto"/>
          <w:sz w:val="20"/>
          <w:highlight w:val="none"/>
        </w:rPr>
        <w:t>开挖沟槽</w:t>
      </w:r>
      <w:bookmarkEnd w:id="8174"/>
      <w:bookmarkEnd w:id="8175"/>
      <w:bookmarkEnd w:id="8176"/>
      <w:bookmarkEnd w:id="8177"/>
    </w:p>
    <w:p>
      <w:pPr>
        <w:pStyle w:val="217"/>
        <w:rPr>
          <w:color w:val="auto"/>
          <w:highlight w:val="none"/>
        </w:rPr>
      </w:pPr>
      <w:r>
        <w:rPr>
          <w:rFonts w:hint="eastAsia"/>
          <w:color w:val="auto"/>
          <w:highlight w:val="none"/>
        </w:rPr>
        <w:t>开挖沟槽的施工程序是定位放线、挖槽、地沟基层处理、验收。</w:t>
      </w:r>
    </w:p>
    <w:p>
      <w:pPr>
        <w:pStyle w:val="217"/>
        <w:rPr>
          <w:color w:val="auto"/>
          <w:highlight w:val="none"/>
        </w:rPr>
      </w:pPr>
      <w:r>
        <w:rPr>
          <w:color w:val="auto"/>
          <w:highlight w:val="none"/>
        </w:rPr>
        <w:t>1.</w:t>
      </w:r>
      <w:r>
        <w:rPr>
          <w:rFonts w:hint="eastAsia"/>
          <w:color w:val="auto"/>
          <w:highlight w:val="none"/>
        </w:rPr>
        <w:t>定位放线</w:t>
      </w:r>
    </w:p>
    <w:p>
      <w:pPr>
        <w:pStyle w:val="217"/>
        <w:rPr>
          <w:color w:val="auto"/>
          <w:highlight w:val="none"/>
        </w:rPr>
      </w:pPr>
      <w:r>
        <w:rPr>
          <w:rFonts w:hint="eastAsia"/>
          <w:color w:val="auto"/>
          <w:highlight w:val="none"/>
        </w:rPr>
        <w:t>先按施工图测出管道的坐标及走向后，在按施工图图示方位打桩放线，确定沟槽位置、宽度。</w:t>
      </w:r>
    </w:p>
    <w:p>
      <w:pPr>
        <w:pStyle w:val="217"/>
        <w:rPr>
          <w:color w:val="auto"/>
          <w:highlight w:val="none"/>
        </w:rPr>
      </w:pPr>
      <w:r>
        <w:rPr>
          <w:color w:val="auto"/>
          <w:highlight w:val="none"/>
        </w:rPr>
        <w:t>2.</w:t>
      </w:r>
      <w:r>
        <w:rPr>
          <w:rFonts w:hint="eastAsia"/>
          <w:color w:val="auto"/>
          <w:highlight w:val="none"/>
        </w:rPr>
        <w:t>挖槽</w:t>
      </w:r>
    </w:p>
    <w:p>
      <w:pPr>
        <w:pStyle w:val="217"/>
        <w:rPr>
          <w:color w:val="auto"/>
          <w:highlight w:val="none"/>
        </w:rPr>
      </w:pPr>
      <w:r>
        <w:rPr>
          <w:rFonts w:hint="eastAsia"/>
          <w:color w:val="auto"/>
          <w:highlight w:val="none"/>
        </w:rPr>
        <w:t>采用人工挖槽，槽帮必须放坡，定为</w:t>
      </w:r>
      <w:r>
        <w:rPr>
          <w:color w:val="auto"/>
          <w:highlight w:val="none"/>
        </w:rPr>
        <w:t>1:0.33</w:t>
      </w:r>
      <w:r>
        <w:rPr>
          <w:rFonts w:hint="eastAsia"/>
          <w:color w:val="auto"/>
          <w:highlight w:val="none"/>
        </w:rPr>
        <w:t>，土方堆放在沟槽的一侧，土堆底边与沟边的距离不得小于</w:t>
      </w:r>
      <w:r>
        <w:rPr>
          <w:color w:val="auto"/>
          <w:highlight w:val="none"/>
        </w:rPr>
        <w:t>0.5m</w:t>
      </w:r>
      <w:r>
        <w:rPr>
          <w:rFonts w:hint="eastAsia"/>
          <w:color w:val="auto"/>
          <w:highlight w:val="none"/>
        </w:rPr>
        <w:t>。</w:t>
      </w:r>
    </w:p>
    <w:p>
      <w:pPr>
        <w:pStyle w:val="217"/>
        <w:rPr>
          <w:color w:val="auto"/>
          <w:highlight w:val="none"/>
        </w:rPr>
      </w:pPr>
      <w:r>
        <w:rPr>
          <w:color w:val="auto"/>
          <w:highlight w:val="none"/>
        </w:rPr>
        <w:t>3.</w:t>
      </w:r>
      <w:r>
        <w:rPr>
          <w:rFonts w:hint="eastAsia"/>
          <w:color w:val="auto"/>
          <w:highlight w:val="none"/>
        </w:rPr>
        <w:t>地沟基层处理</w:t>
      </w:r>
    </w:p>
    <w:p>
      <w:pPr>
        <w:pStyle w:val="217"/>
        <w:rPr>
          <w:color w:val="auto"/>
          <w:highlight w:val="none"/>
        </w:rPr>
      </w:pPr>
      <w:r>
        <w:rPr>
          <w:rFonts w:hint="eastAsia"/>
          <w:color w:val="auto"/>
          <w:highlight w:val="none"/>
        </w:rPr>
        <w:t>要求沟底是坚实的自然土层，松土层夯实，挖掉大于</w:t>
      </w:r>
      <w:r>
        <w:rPr>
          <w:color w:val="auto"/>
          <w:highlight w:val="none"/>
        </w:rPr>
        <w:t>150mm</w:t>
      </w:r>
      <w:r>
        <w:rPr>
          <w:rFonts w:hint="eastAsia"/>
          <w:color w:val="auto"/>
          <w:highlight w:val="none"/>
        </w:rPr>
        <w:t>块石后，铺回填土，整平夯实或用黄沙铺平。</w:t>
      </w:r>
    </w:p>
    <w:p>
      <w:pPr>
        <w:pStyle w:val="217"/>
        <w:rPr>
          <w:color w:val="auto"/>
          <w:highlight w:val="none"/>
        </w:rPr>
      </w:pPr>
      <w:r>
        <w:rPr>
          <w:color w:val="auto"/>
          <w:highlight w:val="none"/>
        </w:rPr>
        <w:t>4.</w:t>
      </w:r>
      <w:r>
        <w:rPr>
          <w:rFonts w:hint="eastAsia"/>
          <w:color w:val="auto"/>
          <w:highlight w:val="none"/>
        </w:rPr>
        <w:t>验收</w:t>
      </w:r>
    </w:p>
    <w:p>
      <w:pPr>
        <w:pStyle w:val="217"/>
        <w:rPr>
          <w:color w:val="auto"/>
          <w:highlight w:val="none"/>
        </w:rPr>
      </w:pPr>
      <w:r>
        <w:rPr>
          <w:rFonts w:hint="eastAsia"/>
          <w:color w:val="auto"/>
          <w:highlight w:val="none"/>
        </w:rPr>
        <w:t>槽底清理完毕后根据施工图检查管沟坐标、深度、平直程度，如局部超挖，则应进行换填处理，检验合格后进行下道工序。</w:t>
      </w:r>
    </w:p>
    <w:p>
      <w:pPr>
        <w:pStyle w:val="113"/>
        <w:spacing w:before="120" w:after="120"/>
        <w:outlineLvl w:val="2"/>
        <w:rPr>
          <w:color w:val="auto"/>
          <w:highlight w:val="none"/>
        </w:rPr>
      </w:pPr>
      <w:bookmarkStart w:id="8178" w:name="_Toc66890517"/>
      <w:bookmarkStart w:id="8179" w:name="_Toc505345834"/>
      <w:bookmarkStart w:id="8180" w:name="_Toc69114263"/>
      <w:bookmarkStart w:id="8181" w:name="_Toc66634522"/>
      <w:r>
        <w:rPr>
          <w:color w:val="auto"/>
          <w:highlight w:val="none"/>
        </w:rPr>
        <w:t xml:space="preserve">5.3 </w:t>
      </w:r>
      <w:r>
        <w:rPr>
          <w:rFonts w:hint="eastAsia"/>
          <w:color w:val="auto"/>
          <w:highlight w:val="none"/>
        </w:rPr>
        <w:t>铺设管道</w:t>
      </w:r>
      <w:bookmarkEnd w:id="8178"/>
      <w:bookmarkEnd w:id="8179"/>
      <w:bookmarkEnd w:id="8180"/>
      <w:bookmarkEnd w:id="8181"/>
    </w:p>
    <w:p>
      <w:pPr>
        <w:pStyle w:val="217"/>
        <w:rPr>
          <w:color w:val="auto"/>
          <w:highlight w:val="none"/>
        </w:rPr>
      </w:pPr>
      <w:r>
        <w:rPr>
          <w:rFonts w:hint="eastAsia"/>
          <w:color w:val="auto"/>
          <w:highlight w:val="none"/>
        </w:rPr>
        <w:t>包括下管和稳管、管道接口处理。</w:t>
      </w:r>
    </w:p>
    <w:p>
      <w:pPr>
        <w:rPr>
          <w:color w:val="auto"/>
          <w:highlight w:val="none"/>
        </w:rPr>
      </w:pPr>
    </w:p>
    <w:p>
      <w:pPr>
        <w:pStyle w:val="188"/>
        <w:spacing w:before="120" w:after="120"/>
        <w:outlineLvl w:val="1"/>
        <w:rPr>
          <w:color w:val="auto"/>
          <w:highlight w:val="none"/>
        </w:rPr>
      </w:pPr>
      <w:bookmarkStart w:id="8182" w:name="_Toc505345835"/>
      <w:bookmarkStart w:id="8183" w:name="_Toc66890518"/>
      <w:bookmarkStart w:id="8184" w:name="_Toc66634523"/>
      <w:bookmarkStart w:id="8185" w:name="_Toc69114264"/>
      <w:r>
        <w:rPr>
          <w:rFonts w:hint="eastAsia"/>
          <w:color w:val="auto"/>
          <w:highlight w:val="none"/>
        </w:rPr>
        <w:t>第</w:t>
      </w:r>
      <w:r>
        <w:rPr>
          <w:color w:val="auto"/>
          <w:highlight w:val="none"/>
        </w:rPr>
        <w:t>6</w:t>
      </w:r>
      <w:r>
        <w:rPr>
          <w:rFonts w:hint="eastAsia"/>
          <w:color w:val="auto"/>
          <w:highlight w:val="none"/>
        </w:rPr>
        <w:t>章</w:t>
      </w:r>
      <w:r>
        <w:rPr>
          <w:color w:val="auto"/>
          <w:highlight w:val="none"/>
        </w:rPr>
        <w:t xml:space="preserve">  </w:t>
      </w:r>
      <w:r>
        <w:rPr>
          <w:rFonts w:hint="eastAsia"/>
          <w:color w:val="auto"/>
          <w:highlight w:val="none"/>
        </w:rPr>
        <w:t>电气工程施工工艺流程和施工方法</w:t>
      </w:r>
      <w:bookmarkEnd w:id="8182"/>
      <w:bookmarkEnd w:id="8183"/>
      <w:bookmarkEnd w:id="8184"/>
      <w:bookmarkEnd w:id="8185"/>
    </w:p>
    <w:p>
      <w:pPr>
        <w:pStyle w:val="217"/>
        <w:rPr>
          <w:color w:val="auto"/>
          <w:highlight w:val="none"/>
        </w:rPr>
      </w:pPr>
      <w:r>
        <w:rPr>
          <w:rFonts w:hint="eastAsia"/>
          <w:color w:val="auto"/>
          <w:highlight w:val="none"/>
        </w:rPr>
        <w:t>在庭院照明工程施工过程中，主要分为以下几大部分：施工前准备、电缆敷设、配电箱安装、灯具安装、电缆井的制作安装。</w:t>
      </w:r>
    </w:p>
    <w:p>
      <w:pPr>
        <w:pStyle w:val="113"/>
        <w:spacing w:before="120" w:after="120"/>
        <w:outlineLvl w:val="2"/>
        <w:rPr>
          <w:rStyle w:val="306"/>
          <w:b w:val="0"/>
          <w:color w:val="auto"/>
          <w:sz w:val="36"/>
          <w:szCs w:val="20"/>
          <w:highlight w:val="none"/>
        </w:rPr>
      </w:pPr>
      <w:bookmarkStart w:id="8186" w:name="_Toc66890519"/>
      <w:bookmarkStart w:id="8187" w:name="_Toc505345836"/>
      <w:bookmarkStart w:id="8188" w:name="_Toc69114265"/>
      <w:bookmarkStart w:id="8189" w:name="_Toc66634524"/>
      <w:r>
        <w:rPr>
          <w:rStyle w:val="306"/>
          <w:b w:val="0"/>
          <w:color w:val="auto"/>
          <w:sz w:val="36"/>
          <w:szCs w:val="20"/>
          <w:highlight w:val="none"/>
        </w:rPr>
        <w:t xml:space="preserve">6.1 </w:t>
      </w:r>
      <w:r>
        <w:rPr>
          <w:rStyle w:val="306"/>
          <w:rFonts w:hint="eastAsia"/>
          <w:b w:val="0"/>
          <w:color w:val="auto"/>
          <w:sz w:val="36"/>
          <w:szCs w:val="20"/>
          <w:highlight w:val="none"/>
        </w:rPr>
        <w:t>施工前准备</w:t>
      </w:r>
      <w:bookmarkEnd w:id="8186"/>
      <w:bookmarkEnd w:id="8187"/>
      <w:bookmarkEnd w:id="8188"/>
      <w:bookmarkEnd w:id="8189"/>
    </w:p>
    <w:p>
      <w:pPr>
        <w:pStyle w:val="217"/>
        <w:rPr>
          <w:color w:val="auto"/>
          <w:highlight w:val="none"/>
        </w:rPr>
      </w:pPr>
      <w:r>
        <w:rPr>
          <w:color w:val="auto"/>
          <w:highlight w:val="none"/>
        </w:rPr>
        <w:t>1.</w:t>
      </w:r>
      <w:r>
        <w:rPr>
          <w:rFonts w:hint="eastAsia"/>
          <w:color w:val="auto"/>
          <w:highlight w:val="none"/>
        </w:rPr>
        <w:t>在具体施工前首先要熟悉电气系统图，包括动力配电系统图和照明配电系统图中的电缆型号、规格、敷设方式及电缆编号，熟悉配电箱中开关类型、控制方案，了解灯具数量、种类等。</w:t>
      </w:r>
    </w:p>
    <w:p>
      <w:pPr>
        <w:pStyle w:val="217"/>
        <w:rPr>
          <w:color w:val="auto"/>
          <w:highlight w:val="none"/>
        </w:rPr>
      </w:pPr>
      <w:r>
        <w:rPr>
          <w:color w:val="auto"/>
          <w:highlight w:val="none"/>
        </w:rPr>
        <w:t>2.</w:t>
      </w:r>
      <w:r>
        <w:rPr>
          <w:rFonts w:hint="eastAsia"/>
          <w:color w:val="auto"/>
          <w:highlight w:val="none"/>
        </w:rPr>
        <w:t>熟悉电气接线图，包括电气设备与电器设备之间的电线或电缆连接、设备之间线路的型号、敷设方式和回路编号，了解配电箱、灯具的具体位置，电缆走向等。</w:t>
      </w:r>
    </w:p>
    <w:p>
      <w:pPr>
        <w:pStyle w:val="217"/>
        <w:rPr>
          <w:color w:val="auto"/>
          <w:highlight w:val="none"/>
        </w:rPr>
      </w:pPr>
      <w:r>
        <w:rPr>
          <w:color w:val="auto"/>
          <w:highlight w:val="none"/>
        </w:rPr>
        <w:t>3.</w:t>
      </w:r>
      <w:r>
        <w:rPr>
          <w:rFonts w:hint="eastAsia"/>
          <w:color w:val="auto"/>
          <w:highlight w:val="none"/>
        </w:rPr>
        <w:t>根据图纸准备材料，向施工人员做技术交底，做好施工前的准备工作。</w:t>
      </w:r>
    </w:p>
    <w:p>
      <w:pPr>
        <w:pStyle w:val="113"/>
        <w:spacing w:before="120" w:after="120"/>
        <w:outlineLvl w:val="2"/>
        <w:rPr>
          <w:color w:val="auto"/>
          <w:highlight w:val="none"/>
        </w:rPr>
      </w:pPr>
      <w:bookmarkStart w:id="8190" w:name="_Toc66890520"/>
      <w:bookmarkStart w:id="8191" w:name="_Toc505345837"/>
      <w:bookmarkStart w:id="8192" w:name="_Toc69114266"/>
      <w:bookmarkStart w:id="8193" w:name="_Toc66634525"/>
      <w:r>
        <w:rPr>
          <w:color w:val="auto"/>
          <w:highlight w:val="none"/>
        </w:rPr>
        <w:t xml:space="preserve">6.2 </w:t>
      </w:r>
      <w:r>
        <w:rPr>
          <w:rFonts w:hint="eastAsia"/>
          <w:color w:val="auto"/>
          <w:highlight w:val="none"/>
        </w:rPr>
        <w:t>电缆敷设</w:t>
      </w:r>
      <w:bookmarkEnd w:id="8190"/>
      <w:bookmarkEnd w:id="8191"/>
      <w:bookmarkEnd w:id="8192"/>
      <w:bookmarkEnd w:id="8193"/>
    </w:p>
    <w:p>
      <w:pPr>
        <w:pStyle w:val="217"/>
        <w:rPr>
          <w:color w:val="auto"/>
          <w:highlight w:val="none"/>
        </w:rPr>
      </w:pPr>
      <w:r>
        <w:rPr>
          <w:rFonts w:hint="eastAsia"/>
          <w:color w:val="auto"/>
          <w:highlight w:val="none"/>
        </w:rPr>
        <w:t>在该部分施工中包括电缆定位放线、电缆沟开挖、电缆敷设、电缆沟回填几部分。</w:t>
      </w:r>
    </w:p>
    <w:p>
      <w:pPr>
        <w:pStyle w:val="217"/>
        <w:rPr>
          <w:color w:val="auto"/>
          <w:highlight w:val="none"/>
        </w:rPr>
      </w:pPr>
      <w:r>
        <w:rPr>
          <w:color w:val="auto"/>
          <w:highlight w:val="none"/>
        </w:rPr>
        <w:t>1.</w:t>
      </w:r>
      <w:r>
        <w:rPr>
          <w:rFonts w:hint="eastAsia"/>
          <w:color w:val="auto"/>
          <w:highlight w:val="none"/>
        </w:rPr>
        <w:t>电缆定位放线</w:t>
      </w:r>
    </w:p>
    <w:p>
      <w:pPr>
        <w:pStyle w:val="217"/>
        <w:rPr>
          <w:color w:val="auto"/>
          <w:highlight w:val="none"/>
        </w:rPr>
      </w:pPr>
      <w:r>
        <w:rPr>
          <w:rFonts w:hint="eastAsia"/>
          <w:color w:val="auto"/>
          <w:highlight w:val="none"/>
        </w:rPr>
        <w:t>先按施工图找出电缆的走向后，按图示方位打桩放线，确定电缆敷设位置、开挖宽度、深度等及灯具位置，以便于电缆连接。</w:t>
      </w:r>
    </w:p>
    <w:p>
      <w:pPr>
        <w:pStyle w:val="217"/>
        <w:rPr>
          <w:color w:val="auto"/>
          <w:highlight w:val="none"/>
        </w:rPr>
      </w:pPr>
      <w:r>
        <w:rPr>
          <w:color w:val="auto"/>
          <w:highlight w:val="none"/>
        </w:rPr>
        <w:t>2.</w:t>
      </w:r>
      <w:r>
        <w:rPr>
          <w:rFonts w:hint="eastAsia"/>
          <w:color w:val="auto"/>
          <w:highlight w:val="none"/>
        </w:rPr>
        <w:t>电缆沟开挖</w:t>
      </w:r>
    </w:p>
    <w:p>
      <w:pPr>
        <w:pStyle w:val="217"/>
        <w:rPr>
          <w:color w:val="auto"/>
          <w:highlight w:val="none"/>
        </w:rPr>
      </w:pPr>
      <w:r>
        <w:rPr>
          <w:rFonts w:hint="eastAsia"/>
          <w:color w:val="auto"/>
          <w:highlight w:val="none"/>
        </w:rPr>
        <w:t>采用人工挖槽，槽梆必须按</w:t>
      </w:r>
      <w:r>
        <w:rPr>
          <w:color w:val="auto"/>
          <w:highlight w:val="none"/>
        </w:rPr>
        <w:t>1:0.33</w:t>
      </w:r>
      <w:r>
        <w:rPr>
          <w:rFonts w:hint="eastAsia"/>
          <w:color w:val="auto"/>
          <w:highlight w:val="none"/>
        </w:rPr>
        <w:t>放坡，开挖出的土方堆放在沟槽的一侧。若在砂土或在砂壤土地区施工，如果沟槽与当地的主风向相交，应将土方堆置在沟槽的下风口一侧，以免刮风造成自然回填。土堆边缘与沟边的距离不得小于</w:t>
      </w:r>
      <w:r>
        <w:rPr>
          <w:color w:val="auto"/>
          <w:highlight w:val="none"/>
        </w:rPr>
        <w:t>0.5</w:t>
      </w:r>
      <w:r>
        <w:rPr>
          <w:rFonts w:hint="eastAsia"/>
          <w:color w:val="auto"/>
          <w:highlight w:val="none"/>
        </w:rPr>
        <w:t>米，堆土高度不得超过</w:t>
      </w:r>
      <w:r>
        <w:rPr>
          <w:color w:val="auto"/>
          <w:highlight w:val="none"/>
        </w:rPr>
        <w:t>1.5</w:t>
      </w:r>
      <w:r>
        <w:rPr>
          <w:rFonts w:hint="eastAsia"/>
          <w:color w:val="auto"/>
          <w:highlight w:val="none"/>
        </w:rPr>
        <w:t>米，堆土时注意不得掩埋消火栓、管道闸阀、雨水口、测量标志及各种地下管道的井盖，且不得妨碍其正常使用。开槽中若遇有蓁他专业的管道、电缆、地下构筑物或文物古迹等时，应及时与甲方、有关单位及设计部门联系，协同处理。要求沟底是坚实的自然土层，若为松土层夯实。若沟槽底部为石块、砖砾等硬物时，可将槽床多挖深</w:t>
      </w:r>
      <w:r>
        <w:rPr>
          <w:color w:val="auto"/>
          <w:highlight w:val="none"/>
        </w:rPr>
        <w:t>100</w:t>
      </w:r>
      <w:r>
        <w:rPr>
          <w:rFonts w:hint="eastAsia"/>
          <w:color w:val="auto"/>
          <w:highlight w:val="none"/>
        </w:rPr>
        <w:t>－</w:t>
      </w:r>
      <w:r>
        <w:rPr>
          <w:color w:val="auto"/>
          <w:highlight w:val="none"/>
        </w:rPr>
        <w:t>200mm</w:t>
      </w:r>
      <w:r>
        <w:rPr>
          <w:rFonts w:hint="eastAsia"/>
          <w:color w:val="auto"/>
          <w:highlight w:val="none"/>
        </w:rPr>
        <w:t>，清除石块等硬物，再用砂土回填夯实。</w:t>
      </w:r>
    </w:p>
    <w:p>
      <w:pPr>
        <w:pStyle w:val="217"/>
        <w:rPr>
          <w:color w:val="auto"/>
          <w:highlight w:val="none"/>
        </w:rPr>
      </w:pPr>
      <w:r>
        <w:rPr>
          <w:color w:val="auto"/>
          <w:highlight w:val="none"/>
        </w:rPr>
        <w:t>3.</w:t>
      </w:r>
      <w:r>
        <w:rPr>
          <w:rFonts w:hint="eastAsia"/>
          <w:color w:val="auto"/>
          <w:highlight w:val="none"/>
        </w:rPr>
        <w:t>电缆敷设</w:t>
      </w:r>
    </w:p>
    <w:p>
      <w:pPr>
        <w:pStyle w:val="217"/>
        <w:rPr>
          <w:color w:val="auto"/>
          <w:highlight w:val="none"/>
        </w:rPr>
      </w:pPr>
      <w:r>
        <w:rPr>
          <w:rFonts w:hint="eastAsia"/>
          <w:color w:val="auto"/>
          <w:highlight w:val="none"/>
        </w:rPr>
        <w:t>电缆为聚氯乙烯</w:t>
      </w:r>
      <w:r>
        <w:rPr>
          <w:color w:val="auto"/>
          <w:highlight w:val="none"/>
        </w:rPr>
        <w:t>YJV</w:t>
      </w:r>
      <w:r>
        <w:rPr>
          <w:rFonts w:hint="eastAsia"/>
          <w:color w:val="auto"/>
          <w:highlight w:val="none"/>
        </w:rPr>
        <w:t>电缆均采用穿管保护形式，埋深不低于</w:t>
      </w:r>
      <w:r>
        <w:rPr>
          <w:color w:val="auto"/>
          <w:highlight w:val="none"/>
        </w:rPr>
        <w:t>0.8m</w:t>
      </w:r>
      <w:r>
        <w:rPr>
          <w:rFonts w:hint="eastAsia"/>
          <w:color w:val="auto"/>
          <w:highlight w:val="none"/>
        </w:rPr>
        <w:t>。在过铺装面及过路处均加套管保护。为保证电缆在穿管时外皮不受损伤，将套管两端打喇叭口，并去除毛刺。保证安装中所用电缆、电缆附件（如终端头等）应符合国家现行技术标准的规定，具备合格证、生产许可证、检验报告等相应技术文件；电缆型号、规格、长度等符合设计要求，附件材料齐全。电缆两端封闭严格，内部不应受潮，并保证在施工使用过程中，随用随断，断完后及时将电缆头密封好。电缆存放库房内要通风，保证室内空气干燥，存放时不应交叉重叠。电缆敷设时，弯曲半径不小于电缆外径的</w:t>
      </w:r>
      <w:r>
        <w:rPr>
          <w:color w:val="auto"/>
          <w:highlight w:val="none"/>
        </w:rPr>
        <w:t>8</w:t>
      </w:r>
      <w:r>
        <w:rPr>
          <w:rFonts w:hint="eastAsia"/>
          <w:color w:val="auto"/>
          <w:highlight w:val="none"/>
        </w:rPr>
        <w:t>倍。电缆铺设前先在电缆沟内铺砂不低于</w:t>
      </w:r>
      <w:r>
        <w:rPr>
          <w:color w:val="auto"/>
          <w:highlight w:val="none"/>
        </w:rPr>
        <w:t>10cm</w:t>
      </w:r>
      <w:r>
        <w:rPr>
          <w:rFonts w:hint="eastAsia"/>
          <w:color w:val="auto"/>
          <w:highlight w:val="none"/>
        </w:rPr>
        <w:t>，电缆敷设完后再铺砂</w:t>
      </w:r>
      <w:r>
        <w:rPr>
          <w:color w:val="auto"/>
          <w:highlight w:val="none"/>
        </w:rPr>
        <w:t>5cm</w:t>
      </w:r>
      <w:r>
        <w:rPr>
          <w:rFonts w:hint="eastAsia"/>
          <w:color w:val="auto"/>
          <w:highlight w:val="none"/>
        </w:rPr>
        <w:t>，然后根据电缆根数确定盖砖或盖板。</w:t>
      </w:r>
    </w:p>
    <w:p>
      <w:pPr>
        <w:pStyle w:val="217"/>
        <w:rPr>
          <w:color w:val="auto"/>
          <w:highlight w:val="none"/>
        </w:rPr>
      </w:pPr>
      <w:r>
        <w:rPr>
          <w:color w:val="auto"/>
          <w:highlight w:val="none"/>
        </w:rPr>
        <w:t>4.</w:t>
      </w:r>
      <w:r>
        <w:rPr>
          <w:rFonts w:hint="eastAsia"/>
          <w:color w:val="auto"/>
          <w:highlight w:val="none"/>
        </w:rPr>
        <w:t>电缆沟回填</w:t>
      </w:r>
    </w:p>
    <w:p>
      <w:pPr>
        <w:pStyle w:val="217"/>
        <w:rPr>
          <w:color w:val="auto"/>
          <w:highlight w:val="none"/>
        </w:rPr>
      </w:pPr>
      <w:r>
        <w:rPr>
          <w:rFonts w:hint="eastAsia"/>
          <w:color w:val="auto"/>
          <w:highlight w:val="none"/>
        </w:rPr>
        <w:t>电缆铺砂盖砖（板）完毕后并经业主、监理验收合格后方可进行沟槽回填，宜采用人工回填。一般采用原土分层回填，其中不应含有砖瓦、砾石或其他杂质硬物。禁止用石块或砖砾等杂物回填。回填采用符合要求的原土，要求用轻夯或踩实的方案分层回填，一次填土</w:t>
      </w:r>
      <w:r>
        <w:rPr>
          <w:color w:val="auto"/>
          <w:highlight w:val="none"/>
        </w:rPr>
        <w:t>100</w:t>
      </w:r>
      <w:r>
        <w:rPr>
          <w:rFonts w:hint="eastAsia"/>
          <w:color w:val="auto"/>
          <w:highlight w:val="none"/>
        </w:rPr>
        <w:t>－</w:t>
      </w:r>
      <w:r>
        <w:rPr>
          <w:color w:val="auto"/>
          <w:highlight w:val="none"/>
        </w:rPr>
        <w:t>150mm</w:t>
      </w:r>
      <w:r>
        <w:rPr>
          <w:rFonts w:hint="eastAsia"/>
          <w:color w:val="auto"/>
          <w:highlight w:val="none"/>
        </w:rPr>
        <w:t>。在回填至电缆上</w:t>
      </w:r>
      <w:r>
        <w:rPr>
          <w:color w:val="auto"/>
          <w:highlight w:val="none"/>
        </w:rPr>
        <w:t>50cm</w:t>
      </w:r>
      <w:r>
        <w:rPr>
          <w:rFonts w:hint="eastAsia"/>
          <w:color w:val="auto"/>
          <w:highlight w:val="none"/>
        </w:rPr>
        <w:t>后，可用小型打夯机夯实。直至回填到高出地面</w:t>
      </w:r>
      <w:r>
        <w:rPr>
          <w:color w:val="auto"/>
          <w:highlight w:val="none"/>
        </w:rPr>
        <w:t>100mm</w:t>
      </w:r>
      <w:r>
        <w:rPr>
          <w:rFonts w:hint="eastAsia"/>
          <w:color w:val="auto"/>
          <w:highlight w:val="none"/>
        </w:rPr>
        <w:t>左右为止。回填到位后必须对整个沟槽进行水夯，使回填土充分下沉，以免绿化工程完成后出现局部下陷，影响绿化效果。</w:t>
      </w:r>
    </w:p>
    <w:p>
      <w:pPr>
        <w:pStyle w:val="113"/>
        <w:spacing w:before="120" w:after="120"/>
        <w:outlineLvl w:val="2"/>
        <w:rPr>
          <w:color w:val="auto"/>
          <w:highlight w:val="none"/>
        </w:rPr>
      </w:pPr>
      <w:bookmarkStart w:id="8194" w:name="_Toc505345838"/>
      <w:bookmarkStart w:id="8195" w:name="_Toc66890521"/>
      <w:bookmarkStart w:id="8196" w:name="_Toc66634526"/>
      <w:bookmarkStart w:id="8197" w:name="_Toc69114267"/>
      <w:r>
        <w:rPr>
          <w:color w:val="auto"/>
          <w:highlight w:val="none"/>
        </w:rPr>
        <w:t xml:space="preserve">6.3 </w:t>
      </w:r>
      <w:r>
        <w:rPr>
          <w:rFonts w:hint="eastAsia"/>
          <w:color w:val="auto"/>
          <w:highlight w:val="none"/>
        </w:rPr>
        <w:t>配电箱安装</w:t>
      </w:r>
      <w:bookmarkEnd w:id="8194"/>
      <w:bookmarkEnd w:id="8195"/>
      <w:bookmarkEnd w:id="8196"/>
      <w:bookmarkEnd w:id="8197"/>
    </w:p>
    <w:p>
      <w:pPr>
        <w:pStyle w:val="217"/>
        <w:rPr>
          <w:color w:val="auto"/>
          <w:highlight w:val="none"/>
        </w:rPr>
      </w:pPr>
      <w:r>
        <w:rPr>
          <w:rFonts w:hint="eastAsia"/>
          <w:color w:val="auto"/>
          <w:highlight w:val="none"/>
        </w:rPr>
        <w:t>在该部分施工中包括配电箱基础制作、配电箱安装、配电箱接地装置安装、电缆头制作安装几部分。</w:t>
      </w:r>
    </w:p>
    <w:p>
      <w:pPr>
        <w:pStyle w:val="217"/>
        <w:rPr>
          <w:color w:val="auto"/>
          <w:highlight w:val="none"/>
        </w:rPr>
      </w:pPr>
      <w:r>
        <w:rPr>
          <w:color w:val="auto"/>
          <w:highlight w:val="none"/>
        </w:rPr>
        <w:t>1.</w:t>
      </w:r>
      <w:r>
        <w:rPr>
          <w:rFonts w:hint="eastAsia"/>
          <w:color w:val="auto"/>
          <w:highlight w:val="none"/>
        </w:rPr>
        <w:t>配电箱基础制作</w:t>
      </w:r>
    </w:p>
    <w:p>
      <w:pPr>
        <w:pStyle w:val="217"/>
        <w:rPr>
          <w:color w:val="auto"/>
          <w:highlight w:val="none"/>
        </w:rPr>
      </w:pPr>
      <w:r>
        <w:rPr>
          <w:rFonts w:hint="eastAsia"/>
          <w:color w:val="auto"/>
          <w:highlight w:val="none"/>
        </w:rPr>
        <w:t>首先确定配电箱位置，然后根据标高确定基础高低。根据基础施工图要求和配电箱尺寸，用混凝土制作基础座，基础座中间加钢筋骨架确保基础坚固。在浇注基础座混凝土时，在混凝土初凝前在其上方设置方钢或基础完成后打膨胀螺栓用于固定箱体。</w:t>
      </w:r>
    </w:p>
    <w:p>
      <w:pPr>
        <w:pStyle w:val="217"/>
        <w:rPr>
          <w:color w:val="auto"/>
          <w:highlight w:val="none"/>
        </w:rPr>
      </w:pPr>
      <w:r>
        <w:rPr>
          <w:color w:val="auto"/>
          <w:highlight w:val="none"/>
        </w:rPr>
        <w:t>2.</w:t>
      </w:r>
      <w:r>
        <w:rPr>
          <w:rFonts w:hint="eastAsia"/>
          <w:color w:val="auto"/>
          <w:highlight w:val="none"/>
        </w:rPr>
        <w:t>配电箱安装</w:t>
      </w:r>
    </w:p>
    <w:p>
      <w:pPr>
        <w:pStyle w:val="217"/>
        <w:rPr>
          <w:color w:val="auto"/>
          <w:highlight w:val="none"/>
        </w:rPr>
      </w:pPr>
      <w:r>
        <w:rPr>
          <w:rFonts w:hint="eastAsia"/>
          <w:color w:val="auto"/>
          <w:highlight w:val="none"/>
        </w:rPr>
        <w:t>在安装配电箱前首先熟悉施工图纸中的系统图，理清各个回路控制，熟悉箱内各开关控制设备，然后根据图纸接线。保证配电箱内配线合理、美观，同时对接头的每个点进行刷锡处理。接线完毕后，要根据图纸再复检一次，确保无误且甲方、监理验收合格后方可进和调试和试运行。调试时保证有两人在场。</w:t>
      </w:r>
    </w:p>
    <w:p>
      <w:pPr>
        <w:pStyle w:val="217"/>
        <w:rPr>
          <w:color w:val="auto"/>
          <w:highlight w:val="none"/>
        </w:rPr>
      </w:pPr>
      <w:r>
        <w:rPr>
          <w:color w:val="auto"/>
          <w:highlight w:val="none"/>
        </w:rPr>
        <w:t>3.</w:t>
      </w:r>
      <w:r>
        <w:rPr>
          <w:rFonts w:hint="eastAsia"/>
          <w:color w:val="auto"/>
          <w:highlight w:val="none"/>
        </w:rPr>
        <w:t>配电箱接地装置安装</w:t>
      </w:r>
    </w:p>
    <w:p>
      <w:pPr>
        <w:pStyle w:val="217"/>
        <w:rPr>
          <w:color w:val="auto"/>
          <w:highlight w:val="none"/>
        </w:rPr>
      </w:pPr>
      <w:r>
        <w:rPr>
          <w:rFonts w:hint="eastAsia"/>
          <w:color w:val="auto"/>
          <w:highlight w:val="none"/>
        </w:rPr>
        <w:t>保护接地做到确保人身安全，防止间接点将电器设备向外部导电；重复接地要求做到与主体地线重复连接，同一电路的所有电缆的金属外壳或铠装在线路两端应接地。每个配电箱都有一个接地系统，一般用接地钎子或镀锌钢管做接地极，用圆钢做接地导线，每个系统至少要有两组接地极并保证摇测电阻值符合设计要求，否则继续增加接地极直到符合设计要求为止。接地导线要尽可能的直、短。</w:t>
      </w:r>
    </w:p>
    <w:p>
      <w:pPr>
        <w:pStyle w:val="217"/>
        <w:rPr>
          <w:color w:val="auto"/>
          <w:highlight w:val="none"/>
        </w:rPr>
      </w:pPr>
      <w:r>
        <w:rPr>
          <w:color w:val="auto"/>
          <w:highlight w:val="none"/>
        </w:rPr>
        <w:t>4.</w:t>
      </w:r>
      <w:r>
        <w:rPr>
          <w:rFonts w:hint="eastAsia"/>
          <w:color w:val="auto"/>
          <w:highlight w:val="none"/>
        </w:rPr>
        <w:t>电缆头制作安装</w:t>
      </w:r>
    </w:p>
    <w:p>
      <w:pPr>
        <w:pStyle w:val="217"/>
        <w:rPr>
          <w:color w:val="auto"/>
          <w:highlight w:val="none"/>
        </w:rPr>
      </w:pPr>
      <w:r>
        <w:rPr>
          <w:rFonts w:hint="eastAsia"/>
          <w:color w:val="auto"/>
          <w:highlight w:val="none"/>
        </w:rPr>
        <w:t>在制作电缆头时要严格按规范规定进行施工。导线连接时要保证缠绕紧密以减小接触电阻，防止导线过热。电缆头干包时首先要进行抹涮锡膏、涮锡的工作，保证不漏涮且没有锡疙瘩，然后进行绝缘胶布和防水胶布的包裹，既要保证绝缘性能和防水性能，又要保证电缆散热，不可包裹过厚。当电缆头处于地下或地上潮湿环境中时，要使用电缆热缩头来进行电缆连接。在使用电缆热缩头时，要做到使热缩管受热适当，既要保证热缩后防水严密又要不能将热缩管烤化烤穿。</w:t>
      </w:r>
    </w:p>
    <w:p>
      <w:pPr>
        <w:pStyle w:val="113"/>
        <w:spacing w:before="120" w:after="120"/>
        <w:outlineLvl w:val="2"/>
        <w:rPr>
          <w:color w:val="auto"/>
          <w:highlight w:val="none"/>
        </w:rPr>
      </w:pPr>
      <w:bookmarkStart w:id="8198" w:name="_Toc505345839"/>
      <w:bookmarkStart w:id="8199" w:name="_Toc66634527"/>
      <w:bookmarkStart w:id="8200" w:name="_Toc66890522"/>
      <w:bookmarkStart w:id="8201" w:name="_Toc69114268"/>
      <w:r>
        <w:rPr>
          <w:color w:val="auto"/>
          <w:highlight w:val="none"/>
        </w:rPr>
        <w:t xml:space="preserve">6.4 </w:t>
      </w:r>
      <w:r>
        <w:rPr>
          <w:rFonts w:hint="eastAsia"/>
          <w:color w:val="auto"/>
          <w:highlight w:val="none"/>
        </w:rPr>
        <w:t>灯具安装</w:t>
      </w:r>
      <w:bookmarkEnd w:id="8198"/>
      <w:bookmarkEnd w:id="8199"/>
      <w:bookmarkEnd w:id="8200"/>
      <w:bookmarkEnd w:id="8201"/>
    </w:p>
    <w:p>
      <w:pPr>
        <w:pStyle w:val="217"/>
        <w:rPr>
          <w:color w:val="auto"/>
          <w:highlight w:val="none"/>
        </w:rPr>
      </w:pPr>
      <w:r>
        <w:rPr>
          <w:rFonts w:hint="eastAsia"/>
          <w:color w:val="auto"/>
          <w:highlight w:val="none"/>
        </w:rPr>
        <w:t>在该部分施工中包括灯具基础制作、灯具安装、灯具接地装置安装、电缆头制作安装几部分。</w:t>
      </w:r>
    </w:p>
    <w:p>
      <w:pPr>
        <w:pStyle w:val="217"/>
        <w:rPr>
          <w:color w:val="auto"/>
          <w:highlight w:val="none"/>
        </w:rPr>
      </w:pPr>
      <w:r>
        <w:rPr>
          <w:color w:val="auto"/>
          <w:highlight w:val="none"/>
        </w:rPr>
        <w:t>1.</w:t>
      </w:r>
      <w:r>
        <w:rPr>
          <w:rFonts w:hint="eastAsia"/>
          <w:color w:val="auto"/>
          <w:highlight w:val="none"/>
        </w:rPr>
        <w:t>灯具基础制作</w:t>
      </w:r>
    </w:p>
    <w:p>
      <w:pPr>
        <w:pStyle w:val="217"/>
        <w:rPr>
          <w:color w:val="auto"/>
          <w:highlight w:val="none"/>
        </w:rPr>
      </w:pPr>
      <w:r>
        <w:rPr>
          <w:rFonts w:hint="eastAsia"/>
          <w:color w:val="auto"/>
          <w:highlight w:val="none"/>
        </w:rPr>
        <w:t>首先确定灯具位置，然后根据标高确定基础高度。根据基础施工图要求和灯具底座尺寸，用混凝土制作基础座，基础座中间加钢筋骨架确保基础坚固。在浇注基础座混凝土时，在混凝土初凝前在其上方放入紧固螺栓或基础完成后打膨胀螺栓用于固定灯具。</w:t>
      </w:r>
    </w:p>
    <w:p>
      <w:pPr>
        <w:pStyle w:val="217"/>
        <w:rPr>
          <w:color w:val="auto"/>
          <w:highlight w:val="none"/>
        </w:rPr>
      </w:pPr>
      <w:r>
        <w:rPr>
          <w:color w:val="auto"/>
          <w:highlight w:val="none"/>
        </w:rPr>
        <w:t>2.</w:t>
      </w:r>
      <w:r>
        <w:rPr>
          <w:rFonts w:hint="eastAsia"/>
          <w:color w:val="auto"/>
          <w:highlight w:val="none"/>
        </w:rPr>
        <w:t>灯具安装</w:t>
      </w:r>
    </w:p>
    <w:p>
      <w:pPr>
        <w:pStyle w:val="217"/>
        <w:rPr>
          <w:color w:val="auto"/>
          <w:highlight w:val="none"/>
        </w:rPr>
      </w:pPr>
      <w:r>
        <w:rPr>
          <w:rFonts w:hint="eastAsia"/>
          <w:color w:val="auto"/>
          <w:highlight w:val="none"/>
        </w:rPr>
        <w:t>在安装灯具前首先对电缆进行绝缘测试和回路测试，对所有灯具进行通电调试，确信电缆绝缘良好且回路正确，无短路或断路情况，灯具合格后方可进行灯具安装。安装后保证灯具竖直，再同一排的灯具在一条直线上。灯具固定稳固，无摇晃现象。接线安装完毕后检查各个回路是否与图纸一致，根据图纸再复检一次，确保无误且甲方、监理验收合格后方可进行调试和试运行。调试时保证有两人在场。重要灯具安装应做样板方式安装，安装完成一套，请甲方及监理人员共同检查，</w:t>
      </w:r>
      <w:r>
        <w:rPr>
          <w:rFonts w:hint="eastAsia"/>
          <w:color w:val="auto"/>
          <w:highlight w:val="none"/>
          <w:lang w:eastAsia="zh-CN"/>
        </w:rPr>
        <w:t>书面</w:t>
      </w:r>
      <w:r>
        <w:rPr>
          <w:rFonts w:hint="eastAsia"/>
          <w:color w:val="auto"/>
          <w:highlight w:val="none"/>
        </w:rPr>
        <w:t>同意后再进行安装。</w:t>
      </w:r>
    </w:p>
    <w:p>
      <w:pPr>
        <w:pStyle w:val="217"/>
        <w:rPr>
          <w:color w:val="auto"/>
          <w:highlight w:val="none"/>
        </w:rPr>
      </w:pPr>
      <w:r>
        <w:rPr>
          <w:color w:val="auto"/>
          <w:highlight w:val="none"/>
        </w:rPr>
        <w:t>3.</w:t>
      </w:r>
      <w:r>
        <w:rPr>
          <w:rFonts w:hint="eastAsia"/>
          <w:color w:val="auto"/>
          <w:highlight w:val="none"/>
        </w:rPr>
        <w:t>灯具接地装置安装</w:t>
      </w:r>
    </w:p>
    <w:p>
      <w:pPr>
        <w:pStyle w:val="217"/>
        <w:rPr>
          <w:color w:val="auto"/>
          <w:highlight w:val="none"/>
        </w:rPr>
      </w:pPr>
      <w:r>
        <w:rPr>
          <w:rFonts w:hint="eastAsia"/>
          <w:color w:val="auto"/>
          <w:highlight w:val="none"/>
        </w:rPr>
        <w:t>为确保用电安全，防止因为灯具漏电或阴雨天高杆灯被雷击而导致发生危险，每个回路系统都安装一个二次接地系统，即在回路中间做一组接地极（若回路很长时，可以回路终点增加一组接地极）接电缆中的保护线和灯杆（若电缆无保护线也可接电缆中的电缆铠），同时用摇表进行摇测，保证摇测电阻值符合设计要求，否则继续增加接的极值到符合设计要求为止。</w:t>
      </w:r>
    </w:p>
    <w:p>
      <w:pPr>
        <w:pStyle w:val="217"/>
        <w:rPr>
          <w:color w:val="auto"/>
          <w:highlight w:val="none"/>
        </w:rPr>
      </w:pPr>
      <w:r>
        <w:rPr>
          <w:rFonts w:hint="eastAsia"/>
          <w:color w:val="auto"/>
          <w:highlight w:val="none"/>
        </w:rPr>
        <w:t>电缆头制作能，又要保证电缆散热，不可包裹过厚。当电缆头处于地下或地上潮湿环境中时，要使用电缆热缩头来进行电缆连接。在使用电缆热缩头时，要做到使热缩管受热适当，既要保证热缩后防水严密又要不能将热缩管烤化烤穿。</w:t>
      </w:r>
    </w:p>
    <w:p>
      <w:pPr>
        <w:pStyle w:val="113"/>
        <w:spacing w:before="120" w:after="120"/>
        <w:outlineLvl w:val="2"/>
        <w:rPr>
          <w:color w:val="auto"/>
          <w:highlight w:val="none"/>
        </w:rPr>
      </w:pPr>
      <w:bookmarkStart w:id="8202" w:name="_Toc66634528"/>
      <w:bookmarkStart w:id="8203" w:name="_Toc66890523"/>
      <w:bookmarkStart w:id="8204" w:name="_Toc505345840"/>
      <w:bookmarkStart w:id="8205" w:name="_Toc69114269"/>
      <w:r>
        <w:rPr>
          <w:color w:val="auto"/>
          <w:highlight w:val="none"/>
        </w:rPr>
        <w:t xml:space="preserve">6.5 </w:t>
      </w:r>
      <w:r>
        <w:rPr>
          <w:rFonts w:hint="eastAsia"/>
          <w:color w:val="auto"/>
          <w:highlight w:val="none"/>
        </w:rPr>
        <w:t>电缆井的制作安装</w:t>
      </w:r>
      <w:bookmarkEnd w:id="8202"/>
      <w:bookmarkEnd w:id="8203"/>
      <w:bookmarkEnd w:id="8204"/>
      <w:bookmarkEnd w:id="8205"/>
      <w:r>
        <w:rPr>
          <w:color w:val="auto"/>
          <w:highlight w:val="none"/>
        </w:rPr>
        <w:t xml:space="preserve"> </w:t>
      </w:r>
    </w:p>
    <w:p>
      <w:pPr>
        <w:pStyle w:val="217"/>
        <w:rPr>
          <w:color w:val="auto"/>
          <w:highlight w:val="none"/>
        </w:rPr>
      </w:pPr>
      <w:r>
        <w:rPr>
          <w:color w:val="auto"/>
          <w:highlight w:val="none"/>
        </w:rPr>
        <w:t>1.</w:t>
      </w:r>
      <w:r>
        <w:rPr>
          <w:rFonts w:hint="eastAsia"/>
          <w:color w:val="auto"/>
          <w:highlight w:val="none"/>
        </w:rPr>
        <w:t>电缆井砌筑</w:t>
      </w:r>
    </w:p>
    <w:p>
      <w:pPr>
        <w:pStyle w:val="217"/>
        <w:rPr>
          <w:color w:val="auto"/>
          <w:highlight w:val="none"/>
        </w:rPr>
      </w:pPr>
      <w:r>
        <w:rPr>
          <w:rFonts w:hint="eastAsia"/>
          <w:color w:val="auto"/>
          <w:highlight w:val="none"/>
        </w:rPr>
        <w:t>根据现场情况和设计要求，及图纸指定地点砌筑电缆井，要做到电缆井防水良好、结构坚固。</w:t>
      </w:r>
    </w:p>
    <w:p>
      <w:pPr>
        <w:pStyle w:val="217"/>
        <w:rPr>
          <w:color w:val="auto"/>
          <w:highlight w:val="none"/>
        </w:rPr>
      </w:pPr>
      <w:r>
        <w:rPr>
          <w:color w:val="auto"/>
          <w:highlight w:val="none"/>
        </w:rPr>
        <w:t>2.</w:t>
      </w:r>
      <w:r>
        <w:rPr>
          <w:rFonts w:hint="eastAsia"/>
          <w:color w:val="auto"/>
          <w:highlight w:val="none"/>
        </w:rPr>
        <w:t>电缆井防水</w:t>
      </w:r>
    </w:p>
    <w:p>
      <w:pPr>
        <w:pStyle w:val="217"/>
        <w:rPr>
          <w:color w:val="auto"/>
          <w:highlight w:val="none"/>
        </w:rPr>
      </w:pPr>
      <w:r>
        <w:rPr>
          <w:rFonts w:hint="eastAsia"/>
          <w:color w:val="auto"/>
          <w:highlight w:val="none"/>
        </w:rPr>
        <w:t>在电缆过电缆井时要做穿墙保护管，此时要做穿墙管防水处理。先将管口去毛刺、打坡口，然后里外做防腐处理，安装好后用防水沥青或防膨胀胶进行封堵，以保证防水。</w:t>
      </w:r>
    </w:p>
    <w:p>
      <w:pPr>
        <w:pStyle w:val="217"/>
        <w:rPr>
          <w:color w:val="auto"/>
          <w:highlight w:val="none"/>
        </w:rPr>
      </w:pPr>
      <w:r>
        <w:rPr>
          <w:color w:val="auto"/>
          <w:highlight w:val="none"/>
        </w:rPr>
        <w:t>3.</w:t>
      </w:r>
      <w:r>
        <w:rPr>
          <w:rFonts w:hint="eastAsia"/>
          <w:color w:val="auto"/>
          <w:highlight w:val="none"/>
        </w:rPr>
        <w:t>安装</w:t>
      </w:r>
    </w:p>
    <w:p>
      <w:pPr>
        <w:pStyle w:val="217"/>
        <w:rPr>
          <w:color w:val="auto"/>
          <w:highlight w:val="none"/>
        </w:rPr>
      </w:pPr>
      <w:r>
        <w:rPr>
          <w:rFonts w:hint="eastAsia"/>
          <w:color w:val="auto"/>
          <w:highlight w:val="none"/>
        </w:rPr>
        <w:t>在制作电缆头时要严格按规范规定进行施工。导线连接时要保证缠绕紧密以减小接触电阻，防止导线过热。电缆头干包时首先要进行抹涮锡膏、涮锡的工作，保证不漏涮且没有锡疙瘩，然后进行绝缘胶布和防水胶布的包裹，既要保证绝缘性能和防水性。</w:t>
      </w:r>
      <w:bookmarkStart w:id="8206" w:name="_Toc503702866"/>
    </w:p>
    <w:p>
      <w:pPr>
        <w:widowControl/>
        <w:jc w:val="left"/>
        <w:rPr>
          <w:rFonts w:ascii="宋体" w:hAnsi="宋体"/>
          <w:color w:val="auto"/>
          <w:sz w:val="24"/>
          <w:szCs w:val="24"/>
          <w:highlight w:val="none"/>
        </w:rPr>
      </w:pPr>
      <w:r>
        <w:rPr>
          <w:color w:val="auto"/>
          <w:highlight w:val="none"/>
        </w:rPr>
        <w:br w:type="page"/>
      </w:r>
    </w:p>
    <w:p>
      <w:pPr>
        <w:widowControl/>
        <w:jc w:val="left"/>
        <w:rPr>
          <w:color w:val="auto"/>
          <w:highlight w:val="none"/>
        </w:rPr>
      </w:pPr>
    </w:p>
    <w:p>
      <w:pPr>
        <w:widowControl/>
        <w:jc w:val="left"/>
        <w:rPr>
          <w:color w:val="auto"/>
          <w:highlight w:val="none"/>
        </w:rPr>
      </w:pPr>
    </w:p>
    <w:p>
      <w:pPr>
        <w:widowControl/>
        <w:jc w:val="left"/>
        <w:rPr>
          <w:color w:val="auto"/>
          <w:highlight w:val="none"/>
        </w:rPr>
      </w:pPr>
    </w:p>
    <w:p>
      <w:pPr>
        <w:widowControl/>
        <w:jc w:val="left"/>
        <w:rPr>
          <w:color w:val="auto"/>
          <w:highlight w:val="none"/>
        </w:rPr>
      </w:pPr>
    </w:p>
    <w:p>
      <w:pPr>
        <w:widowControl/>
        <w:jc w:val="left"/>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17"/>
        <w:ind w:firstLine="0" w:firstLineChars="0"/>
        <w:rPr>
          <w:color w:val="auto"/>
          <w:highlight w:val="none"/>
        </w:rPr>
      </w:pPr>
    </w:p>
    <w:p>
      <w:pPr>
        <w:pStyle w:val="102"/>
        <w:outlineLvl w:val="0"/>
        <w:rPr>
          <w:color w:val="auto"/>
          <w:highlight w:val="none"/>
        </w:rPr>
      </w:pPr>
      <w:bookmarkStart w:id="8207" w:name="_Toc69114270"/>
      <w:bookmarkStart w:id="8208" w:name="_Toc66890524"/>
      <w:bookmarkStart w:id="8209" w:name="_Toc66634529"/>
      <w:bookmarkStart w:id="8210" w:name="_Toc505345841"/>
      <w:r>
        <w:rPr>
          <w:rFonts w:hint="eastAsia"/>
          <w:color w:val="auto"/>
          <w:highlight w:val="none"/>
        </w:rPr>
        <w:t>第十部分</w:t>
      </w:r>
      <w:r>
        <w:rPr>
          <w:color w:val="auto"/>
          <w:highlight w:val="none"/>
        </w:rPr>
        <w:t xml:space="preserve">  BIM</w:t>
      </w:r>
      <w:r>
        <w:rPr>
          <w:rFonts w:hint="eastAsia"/>
          <w:color w:val="auto"/>
          <w:highlight w:val="none"/>
        </w:rPr>
        <w:t>工作要求</w:t>
      </w:r>
      <w:bookmarkEnd w:id="8206"/>
      <w:bookmarkEnd w:id="8207"/>
      <w:bookmarkEnd w:id="8208"/>
      <w:bookmarkEnd w:id="8209"/>
      <w:bookmarkEnd w:id="8210"/>
    </w:p>
    <w:p>
      <w:pPr>
        <w:widowControl/>
        <w:jc w:val="left"/>
        <w:rPr>
          <w:rFonts w:ascii="黑体" w:hAnsi="黑体" w:eastAsia="黑体"/>
          <w:b/>
          <w:color w:val="auto"/>
          <w:sz w:val="32"/>
          <w:szCs w:val="32"/>
          <w:highlight w:val="none"/>
        </w:rPr>
      </w:pPr>
      <w:bookmarkStart w:id="8211" w:name="_Toc505345842"/>
      <w:bookmarkStart w:id="8212" w:name="_Toc503702867"/>
      <w:r>
        <w:rPr>
          <w:color w:val="auto"/>
          <w:highlight w:val="none"/>
        </w:rPr>
        <w:br w:type="page"/>
      </w:r>
    </w:p>
    <w:p>
      <w:pPr>
        <w:pStyle w:val="188"/>
        <w:spacing w:before="120" w:after="120"/>
        <w:outlineLvl w:val="1"/>
        <w:rPr>
          <w:color w:val="auto"/>
          <w:highlight w:val="none"/>
        </w:rPr>
      </w:pPr>
      <w:bookmarkStart w:id="8213" w:name="_Toc66634530"/>
      <w:bookmarkStart w:id="8214" w:name="_Toc69114271"/>
      <w:bookmarkStart w:id="8215" w:name="_Toc66890525"/>
      <w:r>
        <w:rPr>
          <w:rFonts w:hint="eastAsia"/>
          <w:color w:val="auto"/>
          <w:highlight w:val="none"/>
        </w:rPr>
        <w:t>第</w:t>
      </w:r>
      <w:r>
        <w:rPr>
          <w:color w:val="auto"/>
          <w:highlight w:val="none"/>
        </w:rPr>
        <w:t>1</w:t>
      </w:r>
      <w:r>
        <w:rPr>
          <w:rFonts w:hint="eastAsia"/>
          <w:color w:val="auto"/>
          <w:highlight w:val="none"/>
        </w:rPr>
        <w:t>章</w:t>
      </w:r>
      <w:r>
        <w:rPr>
          <w:color w:val="auto"/>
          <w:highlight w:val="none"/>
        </w:rPr>
        <w:t xml:space="preserve">  </w:t>
      </w:r>
      <w:r>
        <w:rPr>
          <w:rFonts w:hint="eastAsia"/>
          <w:color w:val="auto"/>
          <w:highlight w:val="none"/>
        </w:rPr>
        <w:t>概述</w:t>
      </w:r>
      <w:bookmarkEnd w:id="8211"/>
      <w:bookmarkEnd w:id="8212"/>
      <w:bookmarkEnd w:id="8213"/>
      <w:bookmarkEnd w:id="8214"/>
      <w:bookmarkEnd w:id="8215"/>
    </w:p>
    <w:p>
      <w:pPr>
        <w:pStyle w:val="113"/>
        <w:spacing w:before="120" w:after="120"/>
        <w:outlineLvl w:val="2"/>
        <w:rPr>
          <w:color w:val="auto"/>
          <w:highlight w:val="none"/>
        </w:rPr>
      </w:pPr>
      <w:bookmarkStart w:id="8216" w:name="_Toc503702868"/>
      <w:bookmarkStart w:id="8217" w:name="_Toc69114272"/>
      <w:bookmarkStart w:id="8218" w:name="_Toc505345843"/>
      <w:bookmarkStart w:id="8219" w:name="_Toc66890526"/>
      <w:bookmarkStart w:id="8220" w:name="_Toc66634531"/>
      <w:r>
        <w:rPr>
          <w:color w:val="auto"/>
          <w:highlight w:val="none"/>
        </w:rPr>
        <w:t xml:space="preserve">1.1 </w:t>
      </w:r>
      <w:r>
        <w:rPr>
          <w:rFonts w:hint="eastAsia"/>
          <w:color w:val="auto"/>
          <w:highlight w:val="none"/>
        </w:rPr>
        <w:t>施工阶段</w:t>
      </w:r>
      <w:r>
        <w:rPr>
          <w:color w:val="auto"/>
          <w:highlight w:val="none"/>
        </w:rPr>
        <w:t>BIM</w:t>
      </w:r>
      <w:r>
        <w:rPr>
          <w:rFonts w:hint="eastAsia"/>
          <w:color w:val="auto"/>
          <w:highlight w:val="none"/>
        </w:rPr>
        <w:t>应用目的</w:t>
      </w:r>
      <w:bookmarkEnd w:id="8216"/>
      <w:bookmarkEnd w:id="8217"/>
      <w:bookmarkEnd w:id="8218"/>
      <w:bookmarkEnd w:id="8219"/>
      <w:bookmarkEnd w:id="8220"/>
    </w:p>
    <w:p>
      <w:pPr>
        <w:pStyle w:val="217"/>
        <w:rPr>
          <w:color w:val="auto"/>
          <w:highlight w:val="none"/>
        </w:rPr>
      </w:pPr>
      <w:r>
        <w:rPr>
          <w:rFonts w:hint="eastAsia"/>
          <w:color w:val="auto"/>
          <w:highlight w:val="none"/>
        </w:rPr>
        <w:t>通过施工阶段</w:t>
      </w:r>
      <w:r>
        <w:rPr>
          <w:color w:val="auto"/>
          <w:highlight w:val="none"/>
        </w:rPr>
        <w:t>BIM</w:t>
      </w:r>
      <w:r>
        <w:rPr>
          <w:rFonts w:hint="eastAsia"/>
          <w:color w:val="auto"/>
          <w:highlight w:val="none"/>
        </w:rPr>
        <w:t>应用，辅助施工过程中深化方案的优化制定，协调工程进度优化，通过施工阶段的质量控制，减少项目建设成本，并最终提交符合运维需求的竣工</w:t>
      </w:r>
      <w:r>
        <w:rPr>
          <w:color w:val="auto"/>
          <w:highlight w:val="none"/>
        </w:rPr>
        <w:t>BIM</w:t>
      </w:r>
      <w:r>
        <w:rPr>
          <w:rFonts w:hint="eastAsia"/>
          <w:color w:val="auto"/>
          <w:highlight w:val="none"/>
        </w:rPr>
        <w:t>数据。</w:t>
      </w:r>
    </w:p>
    <w:p>
      <w:pPr>
        <w:pStyle w:val="113"/>
        <w:spacing w:before="120" w:after="120"/>
        <w:outlineLvl w:val="2"/>
        <w:rPr>
          <w:color w:val="auto"/>
          <w:highlight w:val="none"/>
        </w:rPr>
      </w:pPr>
      <w:bookmarkStart w:id="8221" w:name="_Toc66634532"/>
      <w:bookmarkStart w:id="8222" w:name="_Toc505345844"/>
      <w:bookmarkStart w:id="8223" w:name="_Toc503702869"/>
      <w:bookmarkStart w:id="8224" w:name="_Toc66890527"/>
      <w:bookmarkStart w:id="8225" w:name="_Toc69114273"/>
      <w:r>
        <w:rPr>
          <w:color w:val="auto"/>
          <w:highlight w:val="none"/>
        </w:rPr>
        <w:t xml:space="preserve">1.2 </w:t>
      </w:r>
      <w:r>
        <w:rPr>
          <w:rFonts w:hint="eastAsia"/>
          <w:color w:val="auto"/>
          <w:highlight w:val="none"/>
        </w:rPr>
        <w:t>施工阶段</w:t>
      </w:r>
      <w:r>
        <w:rPr>
          <w:color w:val="auto"/>
          <w:highlight w:val="none"/>
        </w:rPr>
        <w:t>BIM</w:t>
      </w:r>
      <w:r>
        <w:rPr>
          <w:rFonts w:hint="eastAsia"/>
          <w:color w:val="auto"/>
          <w:highlight w:val="none"/>
        </w:rPr>
        <w:t>应用相关工作规范</w:t>
      </w:r>
      <w:bookmarkEnd w:id="8221"/>
      <w:bookmarkEnd w:id="8222"/>
      <w:bookmarkEnd w:id="8223"/>
      <w:bookmarkEnd w:id="8224"/>
      <w:bookmarkEnd w:id="8225"/>
    </w:p>
    <w:p>
      <w:pPr>
        <w:pStyle w:val="217"/>
        <w:rPr>
          <w:color w:val="auto"/>
          <w:highlight w:val="none"/>
        </w:rPr>
      </w:pPr>
      <w:r>
        <w:rPr>
          <w:rFonts w:hint="eastAsia"/>
          <w:color w:val="auto"/>
          <w:highlight w:val="none"/>
        </w:rPr>
        <w:t>本项目承包人应执行发包人</w:t>
      </w:r>
      <w:r>
        <w:rPr>
          <w:color w:val="auto"/>
          <w:highlight w:val="none"/>
        </w:rPr>
        <w:t>BIM</w:t>
      </w:r>
      <w:r>
        <w:rPr>
          <w:rFonts w:hint="eastAsia"/>
          <w:color w:val="auto"/>
          <w:highlight w:val="none"/>
        </w:rPr>
        <w:t>实施管理标准及其附录</w:t>
      </w:r>
      <w:r>
        <w:rPr>
          <w:color w:val="auto"/>
          <w:highlight w:val="none"/>
        </w:rPr>
        <w:t>BIM</w:t>
      </w:r>
      <w:r>
        <w:rPr>
          <w:rFonts w:hint="eastAsia"/>
          <w:color w:val="auto"/>
          <w:highlight w:val="none"/>
        </w:rPr>
        <w:t>实施导则（以上标准及导则以招标人已在官网上公布的最新版本为准）、合同中有关</w:t>
      </w:r>
      <w:r>
        <w:rPr>
          <w:color w:val="auto"/>
          <w:highlight w:val="none"/>
        </w:rPr>
        <w:t>BIM</w:t>
      </w:r>
      <w:r>
        <w:rPr>
          <w:rFonts w:hint="eastAsia"/>
          <w:color w:val="auto"/>
          <w:highlight w:val="none"/>
        </w:rPr>
        <w:t>实施要求的相关条款及本项目《项目</w:t>
      </w:r>
      <w:r>
        <w:rPr>
          <w:color w:val="auto"/>
          <w:highlight w:val="none"/>
        </w:rPr>
        <w:t>BIM</w:t>
      </w:r>
      <w:r>
        <w:rPr>
          <w:rFonts w:hint="eastAsia"/>
          <w:color w:val="auto"/>
          <w:highlight w:val="none"/>
        </w:rPr>
        <w:t>技术标准》的相关内容。</w:t>
      </w:r>
    </w:p>
    <w:p>
      <w:pPr>
        <w:pStyle w:val="113"/>
        <w:spacing w:before="120" w:after="120"/>
        <w:outlineLvl w:val="2"/>
        <w:rPr>
          <w:color w:val="auto"/>
          <w:highlight w:val="none"/>
        </w:rPr>
      </w:pPr>
      <w:bookmarkStart w:id="8226" w:name="_Toc66890528"/>
      <w:bookmarkStart w:id="8227" w:name="_Toc69114274"/>
      <w:bookmarkStart w:id="8228" w:name="_Toc66634533"/>
      <w:bookmarkStart w:id="8229" w:name="_Toc505345845"/>
      <w:bookmarkStart w:id="8230" w:name="_Toc503702870"/>
      <w:r>
        <w:rPr>
          <w:color w:val="auto"/>
          <w:highlight w:val="none"/>
        </w:rPr>
        <w:t xml:space="preserve">1.3 </w:t>
      </w:r>
      <w:r>
        <w:rPr>
          <w:rFonts w:hint="eastAsia"/>
          <w:color w:val="auto"/>
          <w:highlight w:val="none"/>
        </w:rPr>
        <w:t>知识产权</w:t>
      </w:r>
      <w:bookmarkEnd w:id="8226"/>
      <w:bookmarkEnd w:id="8227"/>
      <w:bookmarkEnd w:id="8228"/>
      <w:bookmarkEnd w:id="8229"/>
      <w:bookmarkEnd w:id="8230"/>
    </w:p>
    <w:p>
      <w:pPr>
        <w:pStyle w:val="217"/>
        <w:rPr>
          <w:color w:val="auto"/>
          <w:highlight w:val="none"/>
        </w:rPr>
      </w:pPr>
      <w:r>
        <w:rPr>
          <w:rFonts w:hint="eastAsia"/>
          <w:color w:val="auto"/>
          <w:highlight w:val="none"/>
        </w:rPr>
        <w:t>本项目所有的</w:t>
      </w:r>
      <w:r>
        <w:rPr>
          <w:color w:val="auto"/>
          <w:highlight w:val="none"/>
        </w:rPr>
        <w:t>BIM</w:t>
      </w:r>
      <w:r>
        <w:rPr>
          <w:rFonts w:hint="eastAsia"/>
          <w:color w:val="auto"/>
          <w:highlight w:val="none"/>
        </w:rPr>
        <w:t>成果及相应模型、数据资料的产权均归发包人所有，未经发包人允许，承包人不得私自保存、下载、应用及对外发布。</w:t>
      </w:r>
    </w:p>
    <w:p>
      <w:pPr>
        <w:pStyle w:val="188"/>
        <w:spacing w:before="120" w:after="120"/>
        <w:outlineLvl w:val="1"/>
        <w:rPr>
          <w:color w:val="auto"/>
          <w:highlight w:val="none"/>
        </w:rPr>
      </w:pPr>
      <w:bookmarkStart w:id="8231" w:name="_Toc505345846"/>
      <w:bookmarkStart w:id="8232" w:name="_Toc66634534"/>
      <w:bookmarkStart w:id="8233" w:name="_Toc66890529"/>
      <w:bookmarkStart w:id="8234" w:name="_Toc503702871"/>
      <w:bookmarkStart w:id="8235" w:name="_Toc69114275"/>
      <w:r>
        <w:rPr>
          <w:rFonts w:hint="eastAsia"/>
          <w:color w:val="auto"/>
          <w:highlight w:val="none"/>
        </w:rPr>
        <w:t>第</w:t>
      </w:r>
      <w:r>
        <w:rPr>
          <w:color w:val="auto"/>
          <w:highlight w:val="none"/>
        </w:rPr>
        <w:t>2</w:t>
      </w:r>
      <w:r>
        <w:rPr>
          <w:rFonts w:hint="eastAsia"/>
          <w:color w:val="auto"/>
          <w:highlight w:val="none"/>
        </w:rPr>
        <w:t>章</w:t>
      </w:r>
      <w:r>
        <w:rPr>
          <w:color w:val="auto"/>
          <w:highlight w:val="none"/>
        </w:rPr>
        <w:t xml:space="preserve">  </w:t>
      </w:r>
      <w:r>
        <w:rPr>
          <w:rFonts w:hint="eastAsia"/>
          <w:color w:val="auto"/>
          <w:highlight w:val="none"/>
        </w:rPr>
        <w:t>施工阶段</w:t>
      </w:r>
      <w:r>
        <w:rPr>
          <w:color w:val="auto"/>
          <w:highlight w:val="none"/>
        </w:rPr>
        <w:t>BIM</w:t>
      </w:r>
      <w:r>
        <w:rPr>
          <w:rFonts w:hint="eastAsia"/>
          <w:color w:val="auto"/>
          <w:highlight w:val="none"/>
        </w:rPr>
        <w:t>工作基础条件</w:t>
      </w:r>
      <w:bookmarkEnd w:id="8231"/>
      <w:bookmarkEnd w:id="8232"/>
      <w:bookmarkEnd w:id="8233"/>
      <w:bookmarkEnd w:id="8234"/>
      <w:bookmarkEnd w:id="8235"/>
    </w:p>
    <w:p>
      <w:pPr>
        <w:pStyle w:val="113"/>
        <w:spacing w:before="120" w:after="120"/>
        <w:outlineLvl w:val="2"/>
        <w:rPr>
          <w:color w:val="auto"/>
          <w:highlight w:val="none"/>
        </w:rPr>
      </w:pPr>
      <w:bookmarkStart w:id="8236" w:name="_Toc66634535"/>
      <w:bookmarkStart w:id="8237" w:name="_Toc498254806"/>
      <w:bookmarkStart w:id="8238" w:name="_Toc66890530"/>
      <w:bookmarkStart w:id="8239" w:name="_Toc505345847"/>
      <w:bookmarkStart w:id="8240" w:name="_Toc503702872"/>
      <w:bookmarkStart w:id="8241" w:name="_Toc69114276"/>
      <w:r>
        <w:rPr>
          <w:color w:val="auto"/>
          <w:highlight w:val="none"/>
        </w:rPr>
        <w:t xml:space="preserve">2.1 </w:t>
      </w:r>
      <w:r>
        <w:rPr>
          <w:rFonts w:hint="eastAsia"/>
          <w:color w:val="auto"/>
          <w:highlight w:val="none"/>
        </w:rPr>
        <w:t>承包人自行需要配置的应用环境</w:t>
      </w:r>
      <w:bookmarkEnd w:id="8236"/>
      <w:bookmarkEnd w:id="8237"/>
      <w:bookmarkEnd w:id="8238"/>
      <w:bookmarkEnd w:id="8239"/>
      <w:bookmarkEnd w:id="8240"/>
      <w:bookmarkEnd w:id="8241"/>
    </w:p>
    <w:p>
      <w:pPr>
        <w:pStyle w:val="217"/>
        <w:rPr>
          <w:color w:val="auto"/>
          <w:highlight w:val="none"/>
        </w:rPr>
      </w:pPr>
      <w:r>
        <w:rPr>
          <w:rFonts w:hint="eastAsia"/>
          <w:color w:val="auto"/>
          <w:highlight w:val="none"/>
        </w:rPr>
        <w:t>以下</w:t>
      </w:r>
      <w:r>
        <w:rPr>
          <w:color w:val="auto"/>
          <w:highlight w:val="none"/>
        </w:rPr>
        <w:t>BIM</w:t>
      </w:r>
      <w:r>
        <w:rPr>
          <w:rFonts w:hint="eastAsia"/>
          <w:color w:val="auto"/>
          <w:highlight w:val="none"/>
        </w:rPr>
        <w:t>应用环境需要，承包人自行配置，进行施工阶段的</w:t>
      </w:r>
      <w:r>
        <w:rPr>
          <w:color w:val="auto"/>
          <w:highlight w:val="none"/>
        </w:rPr>
        <w:t>BIM</w:t>
      </w:r>
      <w:r>
        <w:rPr>
          <w:rFonts w:hint="eastAsia"/>
          <w:color w:val="auto"/>
          <w:highlight w:val="none"/>
        </w:rPr>
        <w:t>应用。</w:t>
      </w:r>
    </w:p>
    <w:p>
      <w:pPr>
        <w:pStyle w:val="172"/>
        <w:rPr>
          <w:color w:val="auto"/>
          <w:highlight w:val="none"/>
        </w:rPr>
      </w:pPr>
      <w:r>
        <w:rPr>
          <w:color w:val="auto"/>
          <w:highlight w:val="none"/>
        </w:rPr>
        <w:t xml:space="preserve">2.1.1 </w:t>
      </w:r>
      <w:r>
        <w:rPr>
          <w:rFonts w:hint="eastAsia"/>
          <w:color w:val="auto"/>
          <w:highlight w:val="none"/>
        </w:rPr>
        <w:t>硬件环境</w:t>
      </w:r>
    </w:p>
    <w:p>
      <w:pPr>
        <w:pStyle w:val="217"/>
        <w:rPr>
          <w:color w:val="auto"/>
          <w:highlight w:val="none"/>
        </w:rPr>
      </w:pPr>
      <w:r>
        <w:rPr>
          <w:rFonts w:hint="eastAsia"/>
          <w:color w:val="auto"/>
          <w:highlight w:val="none"/>
        </w:rPr>
        <w:t>承包人应确保配备项目使用的硬件设备包括</w:t>
      </w:r>
      <w:r>
        <w:rPr>
          <w:color w:val="auto"/>
          <w:highlight w:val="none"/>
        </w:rPr>
        <w:t>BIM</w:t>
      </w:r>
      <w:r>
        <w:rPr>
          <w:rFonts w:hint="eastAsia"/>
          <w:color w:val="auto"/>
          <w:highlight w:val="none"/>
        </w:rPr>
        <w:t>服务器、</w:t>
      </w:r>
      <w:r>
        <w:rPr>
          <w:color w:val="auto"/>
          <w:highlight w:val="none"/>
        </w:rPr>
        <w:t>BIM</w:t>
      </w:r>
      <w:r>
        <w:rPr>
          <w:rFonts w:hint="eastAsia"/>
          <w:color w:val="auto"/>
          <w:highlight w:val="none"/>
        </w:rPr>
        <w:t>建模专用高性能电脑、</w:t>
      </w:r>
      <w:r>
        <w:rPr>
          <w:color w:val="auto"/>
          <w:highlight w:val="none"/>
        </w:rPr>
        <w:t>BIM</w:t>
      </w:r>
      <w:r>
        <w:rPr>
          <w:rFonts w:hint="eastAsia"/>
          <w:color w:val="auto"/>
          <w:highlight w:val="none"/>
        </w:rPr>
        <w:t>应用与汇报笔记本。要求服务器有较高的</w:t>
      </w:r>
      <w:r>
        <w:rPr>
          <w:color w:val="auto"/>
          <w:highlight w:val="none"/>
        </w:rPr>
        <w:t>CPU</w:t>
      </w:r>
      <w:r>
        <w:rPr>
          <w:rFonts w:hint="eastAsia"/>
          <w:color w:val="auto"/>
          <w:highlight w:val="none"/>
        </w:rPr>
        <w:t>处理能力，服务器需支持</w:t>
      </w:r>
      <w:r>
        <w:rPr>
          <w:color w:val="auto"/>
          <w:highlight w:val="none"/>
        </w:rPr>
        <w:t>GPU</w:t>
      </w:r>
      <w:r>
        <w:rPr>
          <w:rFonts w:hint="eastAsia"/>
          <w:color w:val="auto"/>
          <w:highlight w:val="none"/>
        </w:rPr>
        <w:t>虚拟化技术，以及支持高清虚拟桌面协议，可以满足直接在服务器的虚拟机上浏览查看</w:t>
      </w:r>
      <w:r>
        <w:rPr>
          <w:color w:val="auto"/>
          <w:highlight w:val="none"/>
        </w:rPr>
        <w:t>BIM</w:t>
      </w:r>
      <w:r>
        <w:rPr>
          <w:rFonts w:hint="eastAsia"/>
          <w:color w:val="auto"/>
          <w:highlight w:val="none"/>
        </w:rPr>
        <w:t>模型；</w:t>
      </w:r>
      <w:r>
        <w:rPr>
          <w:color w:val="auto"/>
          <w:highlight w:val="none"/>
        </w:rPr>
        <w:t>BIM</w:t>
      </w:r>
      <w:r>
        <w:rPr>
          <w:rFonts w:hint="eastAsia"/>
          <w:color w:val="auto"/>
          <w:highlight w:val="none"/>
        </w:rPr>
        <w:t>建模专用高性能电脑要求有较高的</w:t>
      </w:r>
      <w:r>
        <w:rPr>
          <w:color w:val="auto"/>
          <w:highlight w:val="none"/>
        </w:rPr>
        <w:t>CPU</w:t>
      </w:r>
      <w:r>
        <w:rPr>
          <w:rFonts w:hint="eastAsia"/>
          <w:color w:val="auto"/>
          <w:highlight w:val="none"/>
        </w:rPr>
        <w:t>处理能力，具有高性能专业图形显卡，大内存，大硬盘空间；</w:t>
      </w:r>
      <w:r>
        <w:rPr>
          <w:color w:val="auto"/>
          <w:highlight w:val="none"/>
        </w:rPr>
        <w:t>BIM</w:t>
      </w:r>
      <w:r>
        <w:rPr>
          <w:rFonts w:hint="eastAsia"/>
          <w:color w:val="auto"/>
          <w:highlight w:val="none"/>
        </w:rPr>
        <w:t>应用与汇报笔记本电脑应具有较强的</w:t>
      </w:r>
      <w:r>
        <w:rPr>
          <w:color w:val="auto"/>
          <w:highlight w:val="none"/>
        </w:rPr>
        <w:t>CPU</w:t>
      </w:r>
      <w:r>
        <w:rPr>
          <w:rFonts w:hint="eastAsia"/>
          <w:color w:val="auto"/>
          <w:highlight w:val="none"/>
        </w:rPr>
        <w:t>计算能力，独立显卡，</w:t>
      </w:r>
      <w:r>
        <w:rPr>
          <w:color w:val="auto"/>
          <w:highlight w:val="none"/>
        </w:rPr>
        <w:t>16G</w:t>
      </w:r>
      <w:r>
        <w:rPr>
          <w:rFonts w:hint="eastAsia"/>
          <w:color w:val="auto"/>
          <w:highlight w:val="none"/>
        </w:rPr>
        <w:t>以上内存和</w:t>
      </w:r>
      <w:r>
        <w:rPr>
          <w:color w:val="auto"/>
          <w:highlight w:val="none"/>
        </w:rPr>
        <w:t>500G</w:t>
      </w:r>
      <w:r>
        <w:rPr>
          <w:rFonts w:hint="eastAsia"/>
          <w:color w:val="auto"/>
          <w:highlight w:val="none"/>
        </w:rPr>
        <w:t>以上硬盘。</w:t>
      </w:r>
    </w:p>
    <w:p>
      <w:pPr>
        <w:pStyle w:val="217"/>
        <w:rPr>
          <w:color w:val="auto"/>
          <w:highlight w:val="none"/>
        </w:rPr>
      </w:pPr>
      <w:r>
        <w:rPr>
          <w:rFonts w:hint="eastAsia"/>
          <w:color w:val="auto"/>
          <w:highlight w:val="none"/>
        </w:rPr>
        <w:t>承包人应确保配备满足软件操作和模型应用要求的足够数量硬件设备。此硬件配置由施工单位自行承担费用，项目结束后，其资产归属施工单位所有。</w:t>
      </w:r>
    </w:p>
    <w:p>
      <w:pPr>
        <w:pStyle w:val="172"/>
        <w:rPr>
          <w:color w:val="auto"/>
          <w:highlight w:val="none"/>
        </w:rPr>
      </w:pPr>
      <w:r>
        <w:rPr>
          <w:color w:val="auto"/>
          <w:highlight w:val="none"/>
        </w:rPr>
        <w:t xml:space="preserve">2.1.2 </w:t>
      </w:r>
      <w:r>
        <w:rPr>
          <w:rFonts w:hint="eastAsia"/>
          <w:color w:val="auto"/>
          <w:highlight w:val="none"/>
        </w:rPr>
        <w:t>软件环境</w:t>
      </w:r>
    </w:p>
    <w:p>
      <w:pPr>
        <w:pStyle w:val="217"/>
        <w:rPr>
          <w:color w:val="auto"/>
          <w:highlight w:val="none"/>
        </w:rPr>
      </w:pPr>
      <w:r>
        <w:rPr>
          <w:rFonts w:hint="eastAsia"/>
          <w:color w:val="auto"/>
          <w:highlight w:val="none"/>
        </w:rPr>
        <w:t>软件包括服务器操作系统、虚拟化软件、桌面操作系统、建模软件、</w:t>
      </w:r>
      <w:r>
        <w:rPr>
          <w:color w:val="auto"/>
          <w:highlight w:val="none"/>
        </w:rPr>
        <w:t>BIM</w:t>
      </w:r>
      <w:r>
        <w:rPr>
          <w:rFonts w:hint="eastAsia"/>
          <w:color w:val="auto"/>
          <w:highlight w:val="none"/>
        </w:rPr>
        <w:t>专项应用软件。软件应选择满足项目需要的主流成熟软件产品和版本，不同</w:t>
      </w:r>
      <w:r>
        <w:rPr>
          <w:color w:val="auto"/>
          <w:highlight w:val="none"/>
        </w:rPr>
        <w:t>BIM</w:t>
      </w:r>
      <w:r>
        <w:rPr>
          <w:rFonts w:hint="eastAsia"/>
          <w:color w:val="auto"/>
          <w:highlight w:val="none"/>
        </w:rPr>
        <w:t>软件之间应该具备</w:t>
      </w:r>
      <w:r>
        <w:rPr>
          <w:color w:val="auto"/>
          <w:highlight w:val="none"/>
        </w:rPr>
        <w:t>BIM</w:t>
      </w:r>
      <w:r>
        <w:rPr>
          <w:rFonts w:hint="eastAsia"/>
          <w:color w:val="auto"/>
          <w:highlight w:val="none"/>
        </w:rPr>
        <w:t>模型共享互通能力。</w:t>
      </w:r>
    </w:p>
    <w:p>
      <w:pPr>
        <w:pStyle w:val="217"/>
        <w:rPr>
          <w:color w:val="auto"/>
          <w:highlight w:val="none"/>
        </w:rPr>
      </w:pPr>
      <w:r>
        <w:rPr>
          <w:rFonts w:hint="eastAsia"/>
          <w:color w:val="auto"/>
          <w:highlight w:val="none"/>
        </w:rPr>
        <w:t>项目</w:t>
      </w:r>
      <w:r>
        <w:rPr>
          <w:color w:val="auto"/>
          <w:highlight w:val="none"/>
        </w:rPr>
        <w:t>BIM</w:t>
      </w:r>
      <w:r>
        <w:rPr>
          <w:rFonts w:hint="eastAsia"/>
          <w:color w:val="auto"/>
          <w:highlight w:val="none"/>
        </w:rPr>
        <w:t>各专业建模软件配置如下，各专业自行配置的软件需保证模型能在</w:t>
      </w:r>
      <w:r>
        <w:rPr>
          <w:color w:val="auto"/>
          <w:highlight w:val="none"/>
        </w:rPr>
        <w:t>Revit</w:t>
      </w:r>
      <w:r>
        <w:rPr>
          <w:rFonts w:hint="eastAsia"/>
          <w:color w:val="auto"/>
          <w:highlight w:val="none"/>
        </w:rPr>
        <w:t>或</w:t>
      </w:r>
      <w:r>
        <w:rPr>
          <w:color w:val="auto"/>
          <w:highlight w:val="none"/>
        </w:rPr>
        <w:t>Navisworks</w:t>
      </w:r>
      <w:r>
        <w:rPr>
          <w:rFonts w:hint="eastAsia"/>
          <w:color w:val="auto"/>
          <w:highlight w:val="none"/>
        </w:rPr>
        <w:t>中整合。软件版本应根据招标人指示按需升级，所用软件需为正版软件。</w:t>
      </w:r>
    </w:p>
    <w:tbl>
      <w:tblPr>
        <w:tblStyle w:val="43"/>
        <w:tblW w:w="8780" w:type="dxa"/>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3"/>
        <w:gridCol w:w="1662"/>
        <w:gridCol w:w="2655"/>
        <w:gridCol w:w="3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43" w:type="dxa"/>
            <w:noWrap w:val="0"/>
            <w:vAlign w:val="center"/>
          </w:tcPr>
          <w:p>
            <w:pPr>
              <w:rPr>
                <w:color w:val="auto"/>
                <w:kern w:val="0"/>
                <w:sz w:val="20"/>
                <w:szCs w:val="20"/>
                <w:highlight w:val="none"/>
              </w:rPr>
            </w:pPr>
            <w:r>
              <w:rPr>
                <w:rFonts w:hint="eastAsia"/>
                <w:color w:val="auto"/>
                <w:kern w:val="0"/>
                <w:sz w:val="20"/>
                <w:szCs w:val="20"/>
                <w:highlight w:val="none"/>
              </w:rPr>
              <w:t>序号</w:t>
            </w:r>
          </w:p>
        </w:tc>
        <w:tc>
          <w:tcPr>
            <w:tcW w:w="1662" w:type="dxa"/>
            <w:noWrap w:val="0"/>
            <w:vAlign w:val="center"/>
          </w:tcPr>
          <w:p>
            <w:pPr>
              <w:rPr>
                <w:color w:val="auto"/>
                <w:kern w:val="0"/>
                <w:sz w:val="20"/>
                <w:szCs w:val="20"/>
                <w:highlight w:val="none"/>
              </w:rPr>
            </w:pPr>
            <w:r>
              <w:rPr>
                <w:rFonts w:hint="eastAsia"/>
                <w:color w:val="auto"/>
                <w:kern w:val="0"/>
                <w:sz w:val="20"/>
                <w:szCs w:val="20"/>
                <w:highlight w:val="none"/>
              </w:rPr>
              <w:t>专业</w:t>
            </w:r>
          </w:p>
        </w:tc>
        <w:tc>
          <w:tcPr>
            <w:tcW w:w="2655" w:type="dxa"/>
            <w:noWrap w:val="0"/>
            <w:vAlign w:val="center"/>
          </w:tcPr>
          <w:p>
            <w:pPr>
              <w:rPr>
                <w:color w:val="auto"/>
                <w:kern w:val="0"/>
                <w:sz w:val="20"/>
                <w:szCs w:val="20"/>
                <w:highlight w:val="none"/>
              </w:rPr>
            </w:pPr>
            <w:r>
              <w:rPr>
                <w:rFonts w:hint="eastAsia"/>
                <w:color w:val="auto"/>
                <w:kern w:val="0"/>
                <w:sz w:val="20"/>
                <w:szCs w:val="20"/>
                <w:highlight w:val="none"/>
              </w:rPr>
              <w:t>软件名称</w:t>
            </w:r>
          </w:p>
        </w:tc>
        <w:tc>
          <w:tcPr>
            <w:tcW w:w="3720" w:type="dxa"/>
            <w:noWrap w:val="0"/>
            <w:vAlign w:val="center"/>
          </w:tcPr>
          <w:p>
            <w:pPr>
              <w:rPr>
                <w:color w:val="auto"/>
                <w:kern w:val="0"/>
                <w:sz w:val="20"/>
                <w:szCs w:val="20"/>
                <w:highlight w:val="none"/>
              </w:rPr>
            </w:pPr>
            <w:r>
              <w:rPr>
                <w:rFonts w:hint="eastAsia"/>
                <w:color w:val="auto"/>
                <w:kern w:val="0"/>
                <w:sz w:val="20"/>
                <w:szCs w:val="20"/>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43" w:type="dxa"/>
            <w:noWrap w:val="0"/>
            <w:vAlign w:val="center"/>
          </w:tcPr>
          <w:p>
            <w:pPr>
              <w:rPr>
                <w:color w:val="auto"/>
                <w:kern w:val="0"/>
                <w:sz w:val="20"/>
                <w:szCs w:val="20"/>
                <w:highlight w:val="none"/>
              </w:rPr>
            </w:pPr>
            <w:r>
              <w:rPr>
                <w:color w:val="auto"/>
                <w:kern w:val="0"/>
                <w:sz w:val="20"/>
                <w:szCs w:val="20"/>
                <w:highlight w:val="none"/>
              </w:rPr>
              <w:t>1</w:t>
            </w:r>
          </w:p>
        </w:tc>
        <w:tc>
          <w:tcPr>
            <w:tcW w:w="1662" w:type="dxa"/>
            <w:noWrap w:val="0"/>
            <w:vAlign w:val="center"/>
          </w:tcPr>
          <w:p>
            <w:pPr>
              <w:rPr>
                <w:color w:val="auto"/>
                <w:kern w:val="0"/>
                <w:sz w:val="20"/>
                <w:szCs w:val="20"/>
                <w:highlight w:val="none"/>
              </w:rPr>
            </w:pPr>
            <w:r>
              <w:rPr>
                <w:rFonts w:hint="eastAsia"/>
                <w:color w:val="auto"/>
                <w:kern w:val="0"/>
                <w:sz w:val="20"/>
                <w:szCs w:val="20"/>
                <w:highlight w:val="none"/>
              </w:rPr>
              <w:t>土建</w:t>
            </w:r>
          </w:p>
        </w:tc>
        <w:tc>
          <w:tcPr>
            <w:tcW w:w="2655" w:type="dxa"/>
            <w:noWrap w:val="0"/>
            <w:vAlign w:val="center"/>
          </w:tcPr>
          <w:p>
            <w:pPr>
              <w:rPr>
                <w:color w:val="auto"/>
                <w:kern w:val="0"/>
                <w:sz w:val="20"/>
                <w:szCs w:val="20"/>
                <w:highlight w:val="none"/>
              </w:rPr>
            </w:pPr>
            <w:r>
              <w:rPr>
                <w:color w:val="auto"/>
                <w:kern w:val="0"/>
                <w:sz w:val="20"/>
                <w:szCs w:val="20"/>
                <w:highlight w:val="none"/>
              </w:rPr>
              <w:t>Revit 2016</w:t>
            </w:r>
          </w:p>
        </w:tc>
        <w:tc>
          <w:tcPr>
            <w:tcW w:w="3720" w:type="dxa"/>
            <w:noWrap w:val="0"/>
            <w:vAlign w:val="center"/>
          </w:tcPr>
          <w:p>
            <w:pPr>
              <w:rPr>
                <w:color w:val="auto"/>
                <w:kern w:val="0"/>
                <w:sz w:val="20"/>
                <w:szCs w:val="20"/>
                <w:highlight w:val="none"/>
              </w:rPr>
            </w:pPr>
            <w:r>
              <w:rPr>
                <w:rFonts w:hint="eastAsia"/>
                <w:color w:val="auto"/>
                <w:kern w:val="0"/>
                <w:sz w:val="20"/>
                <w:szCs w:val="20"/>
                <w:highlight w:val="none"/>
              </w:rPr>
              <w:t>土建</w:t>
            </w:r>
            <w:r>
              <w:rPr>
                <w:color w:val="auto"/>
                <w:kern w:val="0"/>
                <w:sz w:val="20"/>
                <w:szCs w:val="20"/>
                <w:highlight w:val="none"/>
              </w:rPr>
              <w:t>BIM</w:t>
            </w:r>
            <w:r>
              <w:rPr>
                <w:rFonts w:hint="eastAsia"/>
                <w:color w:val="auto"/>
                <w:kern w:val="0"/>
                <w:sz w:val="20"/>
                <w:szCs w:val="20"/>
                <w:highlight w:val="none"/>
              </w:rPr>
              <w:t>团队配置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43" w:type="dxa"/>
            <w:noWrap w:val="0"/>
            <w:vAlign w:val="center"/>
          </w:tcPr>
          <w:p>
            <w:pPr>
              <w:rPr>
                <w:color w:val="auto"/>
                <w:kern w:val="0"/>
                <w:sz w:val="20"/>
                <w:szCs w:val="20"/>
                <w:highlight w:val="none"/>
              </w:rPr>
            </w:pPr>
            <w:r>
              <w:rPr>
                <w:color w:val="auto"/>
                <w:kern w:val="0"/>
                <w:sz w:val="20"/>
                <w:szCs w:val="20"/>
                <w:highlight w:val="none"/>
              </w:rPr>
              <w:t>2</w:t>
            </w:r>
          </w:p>
        </w:tc>
        <w:tc>
          <w:tcPr>
            <w:tcW w:w="1662" w:type="dxa"/>
            <w:noWrap w:val="0"/>
            <w:vAlign w:val="center"/>
          </w:tcPr>
          <w:p>
            <w:pPr>
              <w:rPr>
                <w:color w:val="auto"/>
                <w:kern w:val="0"/>
                <w:sz w:val="20"/>
                <w:szCs w:val="20"/>
                <w:highlight w:val="none"/>
              </w:rPr>
            </w:pPr>
            <w:r>
              <w:rPr>
                <w:rFonts w:hint="eastAsia"/>
                <w:color w:val="auto"/>
                <w:kern w:val="0"/>
                <w:sz w:val="20"/>
                <w:szCs w:val="20"/>
                <w:highlight w:val="none"/>
              </w:rPr>
              <w:t>机电</w:t>
            </w:r>
          </w:p>
        </w:tc>
        <w:tc>
          <w:tcPr>
            <w:tcW w:w="2655" w:type="dxa"/>
            <w:noWrap w:val="0"/>
            <w:vAlign w:val="center"/>
          </w:tcPr>
          <w:p>
            <w:pPr>
              <w:rPr>
                <w:color w:val="auto"/>
                <w:kern w:val="0"/>
                <w:sz w:val="20"/>
                <w:szCs w:val="20"/>
                <w:highlight w:val="none"/>
              </w:rPr>
            </w:pPr>
            <w:r>
              <w:rPr>
                <w:color w:val="auto"/>
                <w:kern w:val="0"/>
                <w:sz w:val="20"/>
                <w:szCs w:val="20"/>
                <w:highlight w:val="none"/>
              </w:rPr>
              <w:t>Revit 2016</w:t>
            </w:r>
            <w:r>
              <w:rPr>
                <w:rFonts w:hint="eastAsia"/>
                <w:color w:val="auto"/>
                <w:kern w:val="0"/>
                <w:sz w:val="20"/>
                <w:szCs w:val="20"/>
                <w:highlight w:val="none"/>
              </w:rPr>
              <w:t>、</w:t>
            </w:r>
            <w:r>
              <w:rPr>
                <w:color w:val="auto"/>
                <w:kern w:val="0"/>
                <w:sz w:val="20"/>
                <w:szCs w:val="20"/>
                <w:highlight w:val="none"/>
              </w:rPr>
              <w:t>MagiCAD</w:t>
            </w:r>
          </w:p>
        </w:tc>
        <w:tc>
          <w:tcPr>
            <w:tcW w:w="3720" w:type="dxa"/>
            <w:noWrap w:val="0"/>
            <w:vAlign w:val="center"/>
          </w:tcPr>
          <w:p>
            <w:pPr>
              <w:rPr>
                <w:color w:val="auto"/>
                <w:kern w:val="0"/>
                <w:sz w:val="20"/>
                <w:szCs w:val="20"/>
                <w:highlight w:val="none"/>
              </w:rPr>
            </w:pPr>
            <w:r>
              <w:rPr>
                <w:rFonts w:hint="eastAsia"/>
                <w:color w:val="auto"/>
                <w:kern w:val="0"/>
                <w:sz w:val="20"/>
                <w:szCs w:val="20"/>
                <w:highlight w:val="none"/>
              </w:rPr>
              <w:t>机电专业自行配置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43" w:type="dxa"/>
            <w:noWrap w:val="0"/>
            <w:vAlign w:val="center"/>
          </w:tcPr>
          <w:p>
            <w:pPr>
              <w:rPr>
                <w:color w:val="auto"/>
                <w:kern w:val="0"/>
                <w:sz w:val="20"/>
                <w:szCs w:val="20"/>
                <w:highlight w:val="none"/>
              </w:rPr>
            </w:pPr>
            <w:r>
              <w:rPr>
                <w:color w:val="auto"/>
                <w:kern w:val="0"/>
                <w:sz w:val="20"/>
                <w:szCs w:val="20"/>
                <w:highlight w:val="none"/>
              </w:rPr>
              <w:t>3</w:t>
            </w:r>
          </w:p>
        </w:tc>
        <w:tc>
          <w:tcPr>
            <w:tcW w:w="1662" w:type="dxa"/>
            <w:noWrap w:val="0"/>
            <w:vAlign w:val="center"/>
          </w:tcPr>
          <w:p>
            <w:pPr>
              <w:rPr>
                <w:color w:val="auto"/>
                <w:kern w:val="0"/>
                <w:sz w:val="20"/>
                <w:szCs w:val="20"/>
                <w:highlight w:val="none"/>
              </w:rPr>
            </w:pPr>
            <w:r>
              <w:rPr>
                <w:rFonts w:hint="eastAsia"/>
                <w:color w:val="auto"/>
                <w:kern w:val="0"/>
                <w:sz w:val="20"/>
                <w:szCs w:val="20"/>
                <w:highlight w:val="none"/>
              </w:rPr>
              <w:t>钢结构</w:t>
            </w:r>
          </w:p>
        </w:tc>
        <w:tc>
          <w:tcPr>
            <w:tcW w:w="2655" w:type="dxa"/>
            <w:noWrap w:val="0"/>
            <w:vAlign w:val="center"/>
          </w:tcPr>
          <w:p>
            <w:pPr>
              <w:rPr>
                <w:color w:val="auto"/>
                <w:kern w:val="0"/>
                <w:sz w:val="20"/>
                <w:szCs w:val="20"/>
                <w:highlight w:val="none"/>
              </w:rPr>
            </w:pPr>
            <w:r>
              <w:rPr>
                <w:color w:val="auto"/>
                <w:kern w:val="0"/>
                <w:sz w:val="20"/>
                <w:szCs w:val="20"/>
                <w:highlight w:val="none"/>
              </w:rPr>
              <w:t>Revit 2016</w:t>
            </w:r>
            <w:r>
              <w:rPr>
                <w:rFonts w:hint="eastAsia"/>
                <w:color w:val="auto"/>
                <w:kern w:val="0"/>
                <w:sz w:val="20"/>
                <w:szCs w:val="20"/>
                <w:highlight w:val="none"/>
              </w:rPr>
              <w:t>、</w:t>
            </w:r>
            <w:r>
              <w:rPr>
                <w:color w:val="auto"/>
                <w:kern w:val="0"/>
                <w:sz w:val="20"/>
                <w:szCs w:val="20"/>
                <w:highlight w:val="none"/>
              </w:rPr>
              <w:t>Tekla 21</w:t>
            </w:r>
          </w:p>
        </w:tc>
        <w:tc>
          <w:tcPr>
            <w:tcW w:w="3720" w:type="dxa"/>
            <w:noWrap w:val="0"/>
            <w:vAlign w:val="center"/>
          </w:tcPr>
          <w:p>
            <w:pPr>
              <w:rPr>
                <w:color w:val="auto"/>
                <w:kern w:val="0"/>
                <w:sz w:val="20"/>
                <w:szCs w:val="20"/>
                <w:highlight w:val="none"/>
              </w:rPr>
            </w:pPr>
            <w:r>
              <w:rPr>
                <w:rFonts w:hint="eastAsia"/>
                <w:color w:val="auto"/>
                <w:kern w:val="0"/>
                <w:sz w:val="20"/>
                <w:szCs w:val="20"/>
                <w:highlight w:val="none"/>
              </w:rPr>
              <w:t>钢结构专业自行配置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43" w:type="dxa"/>
            <w:noWrap w:val="0"/>
            <w:vAlign w:val="center"/>
          </w:tcPr>
          <w:p>
            <w:pPr>
              <w:rPr>
                <w:color w:val="auto"/>
                <w:kern w:val="0"/>
                <w:sz w:val="20"/>
                <w:szCs w:val="20"/>
                <w:highlight w:val="none"/>
              </w:rPr>
            </w:pPr>
            <w:r>
              <w:rPr>
                <w:color w:val="auto"/>
                <w:kern w:val="0"/>
                <w:sz w:val="20"/>
                <w:szCs w:val="20"/>
                <w:highlight w:val="none"/>
              </w:rPr>
              <w:t>4</w:t>
            </w:r>
          </w:p>
        </w:tc>
        <w:tc>
          <w:tcPr>
            <w:tcW w:w="1662" w:type="dxa"/>
            <w:noWrap w:val="0"/>
            <w:vAlign w:val="center"/>
          </w:tcPr>
          <w:p>
            <w:pPr>
              <w:rPr>
                <w:color w:val="auto"/>
                <w:kern w:val="0"/>
                <w:sz w:val="20"/>
                <w:szCs w:val="20"/>
                <w:highlight w:val="none"/>
              </w:rPr>
            </w:pPr>
            <w:r>
              <w:rPr>
                <w:rFonts w:hint="eastAsia"/>
                <w:color w:val="auto"/>
                <w:kern w:val="0"/>
                <w:sz w:val="20"/>
                <w:szCs w:val="20"/>
                <w:highlight w:val="none"/>
              </w:rPr>
              <w:t>装饰（幕墙）</w:t>
            </w:r>
          </w:p>
        </w:tc>
        <w:tc>
          <w:tcPr>
            <w:tcW w:w="2655" w:type="dxa"/>
            <w:noWrap w:val="0"/>
            <w:vAlign w:val="center"/>
          </w:tcPr>
          <w:p>
            <w:pPr>
              <w:rPr>
                <w:color w:val="auto"/>
                <w:kern w:val="0"/>
                <w:sz w:val="20"/>
                <w:szCs w:val="20"/>
                <w:highlight w:val="none"/>
              </w:rPr>
            </w:pPr>
            <w:r>
              <w:rPr>
                <w:color w:val="auto"/>
                <w:kern w:val="0"/>
                <w:sz w:val="20"/>
                <w:szCs w:val="20"/>
                <w:highlight w:val="none"/>
              </w:rPr>
              <w:t>Revit 2016</w:t>
            </w:r>
          </w:p>
        </w:tc>
        <w:tc>
          <w:tcPr>
            <w:tcW w:w="3720" w:type="dxa"/>
            <w:noWrap w:val="0"/>
            <w:vAlign w:val="center"/>
          </w:tcPr>
          <w:p>
            <w:pPr>
              <w:rPr>
                <w:color w:val="auto"/>
                <w:kern w:val="0"/>
                <w:sz w:val="20"/>
                <w:szCs w:val="20"/>
                <w:highlight w:val="none"/>
              </w:rPr>
            </w:pPr>
            <w:r>
              <w:rPr>
                <w:rFonts w:hint="eastAsia"/>
                <w:color w:val="auto"/>
                <w:kern w:val="0"/>
                <w:sz w:val="20"/>
                <w:szCs w:val="20"/>
                <w:highlight w:val="none"/>
              </w:rPr>
              <w:t>装饰（幕墙）专业承包单位方自行配置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43" w:type="dxa"/>
            <w:noWrap w:val="0"/>
            <w:vAlign w:val="center"/>
          </w:tcPr>
          <w:p>
            <w:pPr>
              <w:rPr>
                <w:color w:val="auto"/>
                <w:kern w:val="0"/>
                <w:sz w:val="20"/>
                <w:szCs w:val="20"/>
                <w:highlight w:val="none"/>
              </w:rPr>
            </w:pPr>
            <w:r>
              <w:rPr>
                <w:color w:val="auto"/>
                <w:kern w:val="0"/>
                <w:sz w:val="20"/>
                <w:szCs w:val="20"/>
                <w:highlight w:val="none"/>
              </w:rPr>
              <w:t>5</w:t>
            </w:r>
          </w:p>
        </w:tc>
        <w:tc>
          <w:tcPr>
            <w:tcW w:w="1662" w:type="dxa"/>
            <w:noWrap w:val="0"/>
            <w:vAlign w:val="center"/>
          </w:tcPr>
          <w:p>
            <w:pPr>
              <w:rPr>
                <w:color w:val="auto"/>
                <w:kern w:val="0"/>
                <w:sz w:val="20"/>
                <w:szCs w:val="20"/>
                <w:highlight w:val="none"/>
              </w:rPr>
            </w:pPr>
            <w:r>
              <w:rPr>
                <w:rFonts w:hint="eastAsia"/>
                <w:color w:val="auto"/>
                <w:kern w:val="0"/>
                <w:sz w:val="20"/>
                <w:szCs w:val="20"/>
                <w:highlight w:val="none"/>
              </w:rPr>
              <w:t>其他专业</w:t>
            </w:r>
          </w:p>
        </w:tc>
        <w:tc>
          <w:tcPr>
            <w:tcW w:w="2655" w:type="dxa"/>
            <w:noWrap w:val="0"/>
            <w:vAlign w:val="center"/>
          </w:tcPr>
          <w:p>
            <w:pPr>
              <w:rPr>
                <w:color w:val="auto"/>
                <w:kern w:val="0"/>
                <w:sz w:val="20"/>
                <w:szCs w:val="20"/>
                <w:highlight w:val="none"/>
              </w:rPr>
            </w:pPr>
            <w:r>
              <w:rPr>
                <w:rFonts w:hint="eastAsia"/>
                <w:color w:val="auto"/>
                <w:kern w:val="0"/>
                <w:sz w:val="20"/>
                <w:szCs w:val="20"/>
                <w:highlight w:val="none"/>
              </w:rPr>
              <w:t>其他专业软件</w:t>
            </w:r>
          </w:p>
        </w:tc>
        <w:tc>
          <w:tcPr>
            <w:tcW w:w="3720" w:type="dxa"/>
            <w:noWrap w:val="0"/>
            <w:vAlign w:val="center"/>
          </w:tcPr>
          <w:p>
            <w:pPr>
              <w:rPr>
                <w:color w:val="auto"/>
                <w:kern w:val="0"/>
                <w:sz w:val="20"/>
                <w:szCs w:val="20"/>
                <w:highlight w:val="none"/>
              </w:rPr>
            </w:pPr>
            <w:r>
              <w:rPr>
                <w:rFonts w:hint="eastAsia"/>
                <w:color w:val="auto"/>
                <w:kern w:val="0"/>
                <w:sz w:val="20"/>
                <w:szCs w:val="20"/>
                <w:highlight w:val="none"/>
              </w:rPr>
              <w:t>其他专业承包单位自行配置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43" w:type="dxa"/>
            <w:noWrap w:val="0"/>
            <w:vAlign w:val="center"/>
          </w:tcPr>
          <w:p>
            <w:pPr>
              <w:rPr>
                <w:color w:val="auto"/>
                <w:kern w:val="0"/>
                <w:sz w:val="20"/>
                <w:szCs w:val="20"/>
                <w:highlight w:val="none"/>
              </w:rPr>
            </w:pPr>
            <w:r>
              <w:rPr>
                <w:color w:val="auto"/>
                <w:kern w:val="0"/>
                <w:sz w:val="20"/>
                <w:szCs w:val="20"/>
                <w:highlight w:val="none"/>
              </w:rPr>
              <w:t>6</w:t>
            </w:r>
          </w:p>
        </w:tc>
        <w:tc>
          <w:tcPr>
            <w:tcW w:w="1662" w:type="dxa"/>
            <w:noWrap w:val="0"/>
            <w:vAlign w:val="center"/>
          </w:tcPr>
          <w:p>
            <w:pPr>
              <w:rPr>
                <w:color w:val="auto"/>
                <w:kern w:val="0"/>
                <w:sz w:val="20"/>
                <w:szCs w:val="20"/>
                <w:highlight w:val="none"/>
              </w:rPr>
            </w:pPr>
            <w:r>
              <w:rPr>
                <w:color w:val="auto"/>
                <w:kern w:val="0"/>
                <w:sz w:val="20"/>
                <w:szCs w:val="20"/>
                <w:highlight w:val="none"/>
              </w:rPr>
              <w:t>BIM</w:t>
            </w:r>
            <w:r>
              <w:rPr>
                <w:rFonts w:hint="eastAsia"/>
                <w:color w:val="auto"/>
                <w:kern w:val="0"/>
                <w:sz w:val="20"/>
                <w:szCs w:val="20"/>
                <w:highlight w:val="none"/>
              </w:rPr>
              <w:t>应用软件</w:t>
            </w:r>
          </w:p>
        </w:tc>
        <w:tc>
          <w:tcPr>
            <w:tcW w:w="2655" w:type="dxa"/>
            <w:noWrap w:val="0"/>
            <w:vAlign w:val="center"/>
          </w:tcPr>
          <w:p>
            <w:pPr>
              <w:rPr>
                <w:color w:val="auto"/>
                <w:kern w:val="0"/>
                <w:sz w:val="20"/>
                <w:szCs w:val="20"/>
                <w:highlight w:val="none"/>
              </w:rPr>
            </w:pPr>
            <w:r>
              <w:rPr>
                <w:rFonts w:hint="eastAsia"/>
                <w:color w:val="auto"/>
                <w:kern w:val="0"/>
                <w:sz w:val="20"/>
                <w:szCs w:val="20"/>
                <w:highlight w:val="none"/>
              </w:rPr>
              <w:t>由承包商自行决定</w:t>
            </w:r>
          </w:p>
        </w:tc>
        <w:tc>
          <w:tcPr>
            <w:tcW w:w="3720" w:type="dxa"/>
            <w:noWrap w:val="0"/>
            <w:vAlign w:val="center"/>
          </w:tcPr>
          <w:p>
            <w:pPr>
              <w:rPr>
                <w:color w:val="auto"/>
                <w:kern w:val="0"/>
                <w:sz w:val="20"/>
                <w:szCs w:val="20"/>
                <w:highlight w:val="none"/>
              </w:rPr>
            </w:pPr>
            <w:r>
              <w:rPr>
                <w:color w:val="auto"/>
                <w:kern w:val="0"/>
                <w:sz w:val="20"/>
                <w:szCs w:val="20"/>
                <w:highlight w:val="none"/>
              </w:rPr>
              <w:t>4D \5D</w:t>
            </w:r>
            <w:r>
              <w:rPr>
                <w:rFonts w:hint="eastAsia"/>
                <w:color w:val="auto"/>
                <w:kern w:val="0"/>
                <w:sz w:val="20"/>
                <w:szCs w:val="20"/>
                <w:highlight w:val="none"/>
              </w:rPr>
              <w:t>应用软件，招标人及相关管理方具有使用权至本项目结束，并承包人的</w:t>
            </w:r>
            <w:r>
              <w:rPr>
                <w:color w:val="auto"/>
                <w:kern w:val="0"/>
                <w:sz w:val="20"/>
                <w:szCs w:val="20"/>
                <w:highlight w:val="none"/>
              </w:rPr>
              <w:t>BIM</w:t>
            </w:r>
            <w:r>
              <w:rPr>
                <w:rFonts w:hint="eastAsia"/>
                <w:color w:val="auto"/>
                <w:kern w:val="0"/>
                <w:sz w:val="20"/>
                <w:szCs w:val="20"/>
                <w:highlight w:val="none"/>
              </w:rPr>
              <w:t>任务完成为止</w:t>
            </w:r>
          </w:p>
        </w:tc>
      </w:tr>
    </w:tbl>
    <w:p>
      <w:pPr>
        <w:pStyle w:val="172"/>
        <w:rPr>
          <w:color w:val="auto"/>
          <w:highlight w:val="none"/>
        </w:rPr>
      </w:pPr>
      <w:r>
        <w:rPr>
          <w:color w:val="auto"/>
          <w:highlight w:val="none"/>
        </w:rPr>
        <w:t xml:space="preserve">2.1.3 </w:t>
      </w:r>
      <w:r>
        <w:rPr>
          <w:rFonts w:hint="eastAsia"/>
          <w:color w:val="auto"/>
          <w:highlight w:val="none"/>
        </w:rPr>
        <w:t>网络环境</w:t>
      </w:r>
    </w:p>
    <w:p>
      <w:pPr>
        <w:pStyle w:val="217"/>
        <w:rPr>
          <w:color w:val="auto"/>
          <w:highlight w:val="none"/>
        </w:rPr>
      </w:pPr>
      <w:r>
        <w:rPr>
          <w:rFonts w:hint="eastAsia"/>
          <w:color w:val="auto"/>
          <w:highlight w:val="none"/>
        </w:rPr>
        <w:t>网络包括专用网络设备，包括防火墙、路由器、交换机，其中局域网络要求为</w:t>
      </w:r>
      <w:r>
        <w:rPr>
          <w:color w:val="auto"/>
          <w:highlight w:val="none"/>
        </w:rPr>
        <w:t>1000M</w:t>
      </w:r>
      <w:r>
        <w:rPr>
          <w:rFonts w:hint="eastAsia"/>
          <w:color w:val="auto"/>
          <w:highlight w:val="none"/>
        </w:rPr>
        <w:t>局域、与互联网要求达到</w:t>
      </w:r>
      <w:r>
        <w:rPr>
          <w:color w:val="auto"/>
          <w:highlight w:val="none"/>
        </w:rPr>
        <w:t>200M</w:t>
      </w:r>
      <w:r>
        <w:rPr>
          <w:rFonts w:hint="eastAsia"/>
          <w:color w:val="auto"/>
          <w:highlight w:val="none"/>
        </w:rPr>
        <w:t>到互联网的互联网连接速度。</w:t>
      </w:r>
    </w:p>
    <w:p>
      <w:pPr>
        <w:pStyle w:val="217"/>
        <w:rPr>
          <w:color w:val="auto"/>
          <w:highlight w:val="none"/>
        </w:rPr>
      </w:pPr>
      <w:r>
        <w:rPr>
          <w:rFonts w:hint="eastAsia"/>
          <w:color w:val="auto"/>
          <w:highlight w:val="none"/>
        </w:rPr>
        <w:t>承包人应在投标文件中提供专门的软硬件网络环境方案。硬件具体配置最低要求如下：</w:t>
      </w:r>
    </w:p>
    <w:p>
      <w:pPr>
        <w:pStyle w:val="217"/>
        <w:rPr>
          <w:color w:val="auto"/>
          <w:highlight w:val="none"/>
        </w:rPr>
      </w:pPr>
      <w:r>
        <w:rPr>
          <w:rFonts w:hint="eastAsia"/>
          <w:color w:val="auto"/>
          <w:highlight w:val="none"/>
        </w:rPr>
        <w:t>个人电脑配置：</w:t>
      </w:r>
    </w:p>
    <w:tbl>
      <w:tblPr>
        <w:tblStyle w:val="43"/>
        <w:tblpPr w:leftFromText="180" w:rightFromText="180" w:vertAnchor="text" w:horzAnchor="page" w:tblpX="1819" w:tblpY="466"/>
        <w:tblOverlap w:val="never"/>
        <w:tblW w:w="87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5296"/>
        <w:gridCol w:w="895"/>
        <w:gridCol w:w="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noWrap w:val="0"/>
            <w:vAlign w:val="center"/>
          </w:tcPr>
          <w:p>
            <w:pPr>
              <w:rPr>
                <w:color w:val="auto"/>
                <w:highlight w:val="none"/>
              </w:rPr>
            </w:pPr>
            <w:r>
              <w:rPr>
                <w:rFonts w:hint="eastAsia"/>
                <w:color w:val="auto"/>
                <w:highlight w:val="none"/>
              </w:rPr>
              <w:t>机型</w:t>
            </w:r>
          </w:p>
        </w:tc>
        <w:tc>
          <w:tcPr>
            <w:tcW w:w="1417" w:type="dxa"/>
            <w:noWrap w:val="0"/>
            <w:vAlign w:val="center"/>
          </w:tcPr>
          <w:p>
            <w:pPr>
              <w:rPr>
                <w:color w:val="auto"/>
                <w:highlight w:val="none"/>
              </w:rPr>
            </w:pPr>
          </w:p>
        </w:tc>
        <w:tc>
          <w:tcPr>
            <w:tcW w:w="5296" w:type="dxa"/>
            <w:noWrap w:val="0"/>
            <w:vAlign w:val="center"/>
          </w:tcPr>
          <w:p>
            <w:pPr>
              <w:rPr>
                <w:color w:val="auto"/>
                <w:highlight w:val="none"/>
              </w:rPr>
            </w:pPr>
            <w:r>
              <w:rPr>
                <w:rFonts w:hint="eastAsia"/>
                <w:color w:val="auto"/>
                <w:highlight w:val="none"/>
              </w:rPr>
              <w:t>招标文件最低要求</w:t>
            </w:r>
          </w:p>
        </w:tc>
        <w:tc>
          <w:tcPr>
            <w:tcW w:w="895" w:type="dxa"/>
            <w:noWrap w:val="0"/>
            <w:vAlign w:val="center"/>
          </w:tcPr>
          <w:p>
            <w:pPr>
              <w:rPr>
                <w:color w:val="auto"/>
                <w:highlight w:val="none"/>
              </w:rPr>
            </w:pPr>
            <w:r>
              <w:rPr>
                <w:rFonts w:hint="eastAsia"/>
                <w:color w:val="auto"/>
                <w:highlight w:val="none"/>
              </w:rPr>
              <w:t>投标参数情况</w:t>
            </w:r>
          </w:p>
        </w:tc>
        <w:tc>
          <w:tcPr>
            <w:tcW w:w="559" w:type="dxa"/>
            <w:noWrap w:val="0"/>
            <w:vAlign w:val="center"/>
          </w:tcPr>
          <w:p>
            <w:pPr>
              <w:rPr>
                <w:color w:val="auto"/>
                <w:highlight w:val="none"/>
              </w:rPr>
            </w:pPr>
            <w:r>
              <w:rPr>
                <w:rFonts w:hint="eastAsia"/>
                <w:color w:val="auto"/>
                <w:highlight w:val="none"/>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noWrap w:val="0"/>
            <w:vAlign w:val="center"/>
          </w:tcPr>
          <w:p>
            <w:pPr>
              <w:rPr>
                <w:color w:val="auto"/>
                <w:highlight w:val="none"/>
              </w:rPr>
            </w:pPr>
          </w:p>
        </w:tc>
        <w:tc>
          <w:tcPr>
            <w:tcW w:w="1417" w:type="dxa"/>
            <w:noWrap w:val="0"/>
            <w:vAlign w:val="center"/>
          </w:tcPr>
          <w:p>
            <w:pPr>
              <w:rPr>
                <w:color w:val="auto"/>
                <w:highlight w:val="none"/>
              </w:rPr>
            </w:pPr>
            <w:r>
              <w:rPr>
                <w:color w:val="auto"/>
                <w:highlight w:val="none"/>
              </w:rPr>
              <w:t>CPU</w:t>
            </w:r>
            <w:r>
              <w:rPr>
                <w:rFonts w:hint="eastAsia"/>
                <w:color w:val="auto"/>
                <w:highlight w:val="none"/>
              </w:rPr>
              <w:t>类型：</w:t>
            </w:r>
          </w:p>
        </w:tc>
        <w:tc>
          <w:tcPr>
            <w:tcW w:w="5296" w:type="dxa"/>
            <w:noWrap w:val="0"/>
            <w:vAlign w:val="center"/>
          </w:tcPr>
          <w:p>
            <w:pPr>
              <w:rPr>
                <w:color w:val="auto"/>
                <w:highlight w:val="none"/>
              </w:rPr>
            </w:pPr>
            <w:r>
              <w:rPr>
                <w:rFonts w:hint="eastAsia"/>
                <w:color w:val="auto"/>
                <w:highlight w:val="none"/>
              </w:rPr>
              <w:t>智能英特尔</w:t>
            </w:r>
            <w:r>
              <w:rPr>
                <w:color w:val="auto"/>
                <w:highlight w:val="none"/>
              </w:rPr>
              <w:t xml:space="preserve"> </w:t>
            </w:r>
            <w:r>
              <w:rPr>
                <w:rFonts w:hint="eastAsia"/>
                <w:color w:val="auto"/>
                <w:highlight w:val="none"/>
              </w:rPr>
              <w:t>酷睿</w:t>
            </w:r>
            <w:r>
              <w:rPr>
                <w:color w:val="auto"/>
                <w:highlight w:val="none"/>
              </w:rPr>
              <w:t>i7-3770</w:t>
            </w:r>
            <w:r>
              <w:rPr>
                <w:rFonts w:hint="eastAsia"/>
                <w:color w:val="auto"/>
                <w:highlight w:val="none"/>
              </w:rPr>
              <w:t>处理器</w:t>
            </w:r>
          </w:p>
        </w:tc>
        <w:tc>
          <w:tcPr>
            <w:tcW w:w="895" w:type="dxa"/>
            <w:noWrap w:val="0"/>
            <w:vAlign w:val="center"/>
          </w:tcPr>
          <w:p>
            <w:pPr>
              <w:rPr>
                <w:color w:val="auto"/>
                <w:highlight w:val="none"/>
              </w:rPr>
            </w:pPr>
          </w:p>
        </w:tc>
        <w:tc>
          <w:tcPr>
            <w:tcW w:w="559"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noWrap w:val="0"/>
            <w:vAlign w:val="center"/>
          </w:tcPr>
          <w:p>
            <w:pPr>
              <w:rPr>
                <w:color w:val="auto"/>
                <w:highlight w:val="none"/>
              </w:rPr>
            </w:pPr>
          </w:p>
        </w:tc>
        <w:tc>
          <w:tcPr>
            <w:tcW w:w="1417" w:type="dxa"/>
            <w:noWrap w:val="0"/>
            <w:vAlign w:val="center"/>
          </w:tcPr>
          <w:p>
            <w:pPr>
              <w:rPr>
                <w:color w:val="auto"/>
                <w:highlight w:val="none"/>
              </w:rPr>
            </w:pPr>
            <w:r>
              <w:rPr>
                <w:rFonts w:hint="eastAsia"/>
                <w:color w:val="auto"/>
                <w:highlight w:val="none"/>
              </w:rPr>
              <w:t>内存：</w:t>
            </w:r>
          </w:p>
        </w:tc>
        <w:tc>
          <w:tcPr>
            <w:tcW w:w="5296" w:type="dxa"/>
            <w:noWrap w:val="0"/>
            <w:vAlign w:val="center"/>
          </w:tcPr>
          <w:p>
            <w:pPr>
              <w:rPr>
                <w:color w:val="auto"/>
                <w:highlight w:val="none"/>
              </w:rPr>
            </w:pPr>
            <w:r>
              <w:rPr>
                <w:color w:val="auto"/>
                <w:highlight w:val="none"/>
              </w:rPr>
              <w:t>16GB</w:t>
            </w:r>
            <w:r>
              <w:rPr>
                <w:rFonts w:hint="eastAsia"/>
                <w:color w:val="auto"/>
                <w:highlight w:val="none"/>
              </w:rPr>
              <w:t>（</w:t>
            </w:r>
            <w:r>
              <w:rPr>
                <w:color w:val="auto"/>
                <w:highlight w:val="none"/>
              </w:rPr>
              <w:t>2x8GB</w:t>
            </w:r>
            <w:r>
              <w:rPr>
                <w:rFonts w:hint="eastAsia"/>
                <w:color w:val="auto"/>
                <w:highlight w:val="none"/>
              </w:rPr>
              <w:t>）</w:t>
            </w:r>
            <w:r>
              <w:rPr>
                <w:color w:val="auto"/>
                <w:highlight w:val="none"/>
              </w:rPr>
              <w:t>DDR3 1600MHz SDRAM</w:t>
            </w:r>
            <w:r>
              <w:rPr>
                <w:rFonts w:hint="eastAsia"/>
                <w:color w:val="auto"/>
                <w:highlight w:val="none"/>
              </w:rPr>
              <w:t>内存</w:t>
            </w:r>
          </w:p>
        </w:tc>
        <w:tc>
          <w:tcPr>
            <w:tcW w:w="895" w:type="dxa"/>
            <w:noWrap w:val="0"/>
            <w:vAlign w:val="center"/>
          </w:tcPr>
          <w:p>
            <w:pPr>
              <w:rPr>
                <w:color w:val="auto"/>
                <w:highlight w:val="none"/>
              </w:rPr>
            </w:pPr>
          </w:p>
        </w:tc>
        <w:tc>
          <w:tcPr>
            <w:tcW w:w="559"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noWrap w:val="0"/>
            <w:vAlign w:val="center"/>
          </w:tcPr>
          <w:p>
            <w:pPr>
              <w:rPr>
                <w:color w:val="auto"/>
                <w:highlight w:val="none"/>
              </w:rPr>
            </w:pPr>
          </w:p>
        </w:tc>
        <w:tc>
          <w:tcPr>
            <w:tcW w:w="1417" w:type="dxa"/>
            <w:noWrap w:val="0"/>
            <w:vAlign w:val="center"/>
          </w:tcPr>
          <w:p>
            <w:pPr>
              <w:rPr>
                <w:color w:val="auto"/>
                <w:highlight w:val="none"/>
              </w:rPr>
            </w:pPr>
            <w:r>
              <w:rPr>
                <w:rFonts w:hint="eastAsia"/>
                <w:color w:val="auto"/>
                <w:highlight w:val="none"/>
              </w:rPr>
              <w:t>显卡：</w:t>
            </w:r>
          </w:p>
        </w:tc>
        <w:tc>
          <w:tcPr>
            <w:tcW w:w="5296" w:type="dxa"/>
            <w:noWrap w:val="0"/>
            <w:vAlign w:val="center"/>
          </w:tcPr>
          <w:p>
            <w:pPr>
              <w:rPr>
                <w:color w:val="auto"/>
                <w:highlight w:val="none"/>
              </w:rPr>
            </w:pPr>
            <w:r>
              <w:rPr>
                <w:color w:val="auto"/>
                <w:highlight w:val="none"/>
              </w:rPr>
              <w:t>2GB NVidia K2000,</w:t>
            </w:r>
            <w:r>
              <w:rPr>
                <w:rFonts w:hint="eastAsia"/>
                <w:color w:val="auto"/>
                <w:highlight w:val="none"/>
              </w:rPr>
              <w:t>含</w:t>
            </w:r>
            <w:r>
              <w:rPr>
                <w:color w:val="auto"/>
                <w:highlight w:val="none"/>
              </w:rPr>
              <w:t>DVI-VGA</w:t>
            </w:r>
            <w:r>
              <w:rPr>
                <w:rFonts w:hint="eastAsia"/>
                <w:color w:val="auto"/>
                <w:highlight w:val="none"/>
              </w:rPr>
              <w:t>适配器</w:t>
            </w:r>
          </w:p>
        </w:tc>
        <w:tc>
          <w:tcPr>
            <w:tcW w:w="895" w:type="dxa"/>
            <w:noWrap w:val="0"/>
            <w:vAlign w:val="center"/>
          </w:tcPr>
          <w:p>
            <w:pPr>
              <w:rPr>
                <w:color w:val="auto"/>
                <w:highlight w:val="none"/>
              </w:rPr>
            </w:pPr>
          </w:p>
        </w:tc>
        <w:tc>
          <w:tcPr>
            <w:tcW w:w="559"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noWrap w:val="0"/>
            <w:vAlign w:val="center"/>
          </w:tcPr>
          <w:p>
            <w:pPr>
              <w:rPr>
                <w:color w:val="auto"/>
                <w:highlight w:val="none"/>
              </w:rPr>
            </w:pPr>
          </w:p>
        </w:tc>
        <w:tc>
          <w:tcPr>
            <w:tcW w:w="1417" w:type="dxa"/>
            <w:noWrap w:val="0"/>
            <w:vAlign w:val="center"/>
          </w:tcPr>
          <w:p>
            <w:pPr>
              <w:rPr>
                <w:color w:val="auto"/>
                <w:highlight w:val="none"/>
              </w:rPr>
            </w:pPr>
            <w:r>
              <w:rPr>
                <w:color w:val="auto"/>
                <w:highlight w:val="none"/>
              </w:rPr>
              <w:t>USB</w:t>
            </w:r>
            <w:r>
              <w:rPr>
                <w:rFonts w:hint="eastAsia"/>
                <w:color w:val="auto"/>
                <w:highlight w:val="none"/>
              </w:rPr>
              <w:t>接口</w:t>
            </w:r>
          </w:p>
        </w:tc>
        <w:tc>
          <w:tcPr>
            <w:tcW w:w="5296" w:type="dxa"/>
            <w:noWrap w:val="0"/>
            <w:vAlign w:val="center"/>
          </w:tcPr>
          <w:p>
            <w:pPr>
              <w:rPr>
                <w:color w:val="auto"/>
                <w:highlight w:val="none"/>
              </w:rPr>
            </w:pPr>
            <w:r>
              <w:rPr>
                <w:rFonts w:hint="eastAsia"/>
                <w:color w:val="auto"/>
                <w:highlight w:val="none"/>
              </w:rPr>
              <w:t>不低于</w:t>
            </w:r>
            <w:r>
              <w:rPr>
                <w:color w:val="auto"/>
                <w:highlight w:val="none"/>
              </w:rPr>
              <w:t>4</w:t>
            </w:r>
            <w:r>
              <w:rPr>
                <w:rFonts w:hint="eastAsia"/>
                <w:color w:val="auto"/>
                <w:highlight w:val="none"/>
              </w:rPr>
              <w:t>个</w:t>
            </w:r>
          </w:p>
        </w:tc>
        <w:tc>
          <w:tcPr>
            <w:tcW w:w="895" w:type="dxa"/>
            <w:noWrap w:val="0"/>
            <w:vAlign w:val="center"/>
          </w:tcPr>
          <w:p>
            <w:pPr>
              <w:rPr>
                <w:color w:val="auto"/>
                <w:highlight w:val="none"/>
              </w:rPr>
            </w:pPr>
          </w:p>
        </w:tc>
        <w:tc>
          <w:tcPr>
            <w:tcW w:w="559"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noWrap w:val="0"/>
            <w:vAlign w:val="center"/>
          </w:tcPr>
          <w:p>
            <w:pPr>
              <w:rPr>
                <w:color w:val="auto"/>
                <w:highlight w:val="none"/>
              </w:rPr>
            </w:pPr>
          </w:p>
        </w:tc>
        <w:tc>
          <w:tcPr>
            <w:tcW w:w="1417" w:type="dxa"/>
            <w:noWrap w:val="0"/>
            <w:vAlign w:val="center"/>
          </w:tcPr>
          <w:p>
            <w:pPr>
              <w:rPr>
                <w:color w:val="auto"/>
                <w:highlight w:val="none"/>
              </w:rPr>
            </w:pPr>
            <w:r>
              <w:rPr>
                <w:rFonts w:hint="eastAsia"/>
                <w:color w:val="auto"/>
                <w:highlight w:val="none"/>
              </w:rPr>
              <w:t>标准声卡</w:t>
            </w:r>
          </w:p>
        </w:tc>
        <w:tc>
          <w:tcPr>
            <w:tcW w:w="5296" w:type="dxa"/>
            <w:noWrap w:val="0"/>
            <w:vAlign w:val="center"/>
          </w:tcPr>
          <w:p>
            <w:pPr>
              <w:rPr>
                <w:color w:val="auto"/>
                <w:highlight w:val="none"/>
              </w:rPr>
            </w:pPr>
            <w:r>
              <w:rPr>
                <w:rFonts w:hint="eastAsia"/>
                <w:color w:val="auto"/>
                <w:highlight w:val="none"/>
              </w:rPr>
              <w:t>集成</w:t>
            </w:r>
          </w:p>
        </w:tc>
        <w:tc>
          <w:tcPr>
            <w:tcW w:w="895" w:type="dxa"/>
            <w:noWrap w:val="0"/>
            <w:vAlign w:val="center"/>
          </w:tcPr>
          <w:p>
            <w:pPr>
              <w:rPr>
                <w:color w:val="auto"/>
                <w:highlight w:val="none"/>
              </w:rPr>
            </w:pPr>
          </w:p>
        </w:tc>
        <w:tc>
          <w:tcPr>
            <w:tcW w:w="559"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noWrap w:val="0"/>
            <w:vAlign w:val="center"/>
          </w:tcPr>
          <w:p>
            <w:pPr>
              <w:rPr>
                <w:color w:val="auto"/>
                <w:highlight w:val="none"/>
              </w:rPr>
            </w:pPr>
          </w:p>
        </w:tc>
        <w:tc>
          <w:tcPr>
            <w:tcW w:w="1417" w:type="dxa"/>
            <w:noWrap w:val="0"/>
            <w:vAlign w:val="center"/>
          </w:tcPr>
          <w:p>
            <w:pPr>
              <w:rPr>
                <w:color w:val="auto"/>
                <w:highlight w:val="none"/>
              </w:rPr>
            </w:pPr>
            <w:r>
              <w:rPr>
                <w:rFonts w:hint="eastAsia"/>
                <w:color w:val="auto"/>
                <w:highlight w:val="none"/>
              </w:rPr>
              <w:t>硬盘</w:t>
            </w:r>
          </w:p>
        </w:tc>
        <w:tc>
          <w:tcPr>
            <w:tcW w:w="5296" w:type="dxa"/>
            <w:noWrap w:val="0"/>
            <w:vAlign w:val="center"/>
          </w:tcPr>
          <w:p>
            <w:pPr>
              <w:rPr>
                <w:color w:val="auto"/>
                <w:highlight w:val="none"/>
              </w:rPr>
            </w:pPr>
            <w:r>
              <w:rPr>
                <w:color w:val="auto"/>
                <w:highlight w:val="none"/>
              </w:rPr>
              <w:t>1TB 7200RPM3.5</w:t>
            </w:r>
            <w:r>
              <w:rPr>
                <w:rFonts w:hint="eastAsia"/>
                <w:color w:val="auto"/>
                <w:highlight w:val="none"/>
              </w:rPr>
              <w:t>’’硬盘</w:t>
            </w:r>
          </w:p>
        </w:tc>
        <w:tc>
          <w:tcPr>
            <w:tcW w:w="895" w:type="dxa"/>
            <w:noWrap w:val="0"/>
            <w:vAlign w:val="center"/>
          </w:tcPr>
          <w:p>
            <w:pPr>
              <w:rPr>
                <w:color w:val="auto"/>
                <w:highlight w:val="none"/>
              </w:rPr>
            </w:pPr>
          </w:p>
        </w:tc>
        <w:tc>
          <w:tcPr>
            <w:tcW w:w="559"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noWrap w:val="0"/>
            <w:vAlign w:val="center"/>
          </w:tcPr>
          <w:p>
            <w:pPr>
              <w:rPr>
                <w:color w:val="auto"/>
                <w:highlight w:val="none"/>
              </w:rPr>
            </w:pPr>
          </w:p>
        </w:tc>
        <w:tc>
          <w:tcPr>
            <w:tcW w:w="1417" w:type="dxa"/>
            <w:noWrap w:val="0"/>
            <w:vAlign w:val="center"/>
          </w:tcPr>
          <w:p>
            <w:pPr>
              <w:rPr>
                <w:color w:val="auto"/>
                <w:highlight w:val="none"/>
              </w:rPr>
            </w:pPr>
            <w:r>
              <w:rPr>
                <w:rFonts w:hint="eastAsia"/>
                <w:color w:val="auto"/>
                <w:highlight w:val="none"/>
              </w:rPr>
              <w:t>网卡</w:t>
            </w:r>
          </w:p>
        </w:tc>
        <w:tc>
          <w:tcPr>
            <w:tcW w:w="5296" w:type="dxa"/>
            <w:noWrap w:val="0"/>
            <w:vAlign w:val="center"/>
          </w:tcPr>
          <w:p>
            <w:pPr>
              <w:rPr>
                <w:color w:val="auto"/>
                <w:highlight w:val="none"/>
              </w:rPr>
            </w:pPr>
            <w:r>
              <w:rPr>
                <w:color w:val="auto"/>
                <w:highlight w:val="none"/>
              </w:rPr>
              <w:t>10/100/1000M</w:t>
            </w:r>
            <w:r>
              <w:rPr>
                <w:rFonts w:hint="eastAsia"/>
                <w:color w:val="auto"/>
                <w:highlight w:val="none"/>
              </w:rPr>
              <w:t>以太网卡</w:t>
            </w:r>
          </w:p>
        </w:tc>
        <w:tc>
          <w:tcPr>
            <w:tcW w:w="895" w:type="dxa"/>
            <w:noWrap w:val="0"/>
            <w:vAlign w:val="center"/>
          </w:tcPr>
          <w:p>
            <w:pPr>
              <w:rPr>
                <w:color w:val="auto"/>
                <w:highlight w:val="none"/>
              </w:rPr>
            </w:pPr>
          </w:p>
        </w:tc>
        <w:tc>
          <w:tcPr>
            <w:tcW w:w="559"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noWrap w:val="0"/>
            <w:vAlign w:val="center"/>
          </w:tcPr>
          <w:p>
            <w:pPr>
              <w:rPr>
                <w:color w:val="auto"/>
                <w:highlight w:val="none"/>
              </w:rPr>
            </w:pPr>
          </w:p>
        </w:tc>
        <w:tc>
          <w:tcPr>
            <w:tcW w:w="1417" w:type="dxa"/>
            <w:noWrap w:val="0"/>
            <w:vAlign w:val="center"/>
          </w:tcPr>
          <w:p>
            <w:pPr>
              <w:rPr>
                <w:color w:val="auto"/>
                <w:highlight w:val="none"/>
              </w:rPr>
            </w:pPr>
            <w:r>
              <w:rPr>
                <w:rFonts w:hint="eastAsia"/>
                <w:color w:val="auto"/>
                <w:highlight w:val="none"/>
              </w:rPr>
              <w:t>屏幕大小</w:t>
            </w:r>
          </w:p>
        </w:tc>
        <w:tc>
          <w:tcPr>
            <w:tcW w:w="5296" w:type="dxa"/>
            <w:noWrap w:val="0"/>
            <w:vAlign w:val="center"/>
          </w:tcPr>
          <w:p>
            <w:pPr>
              <w:rPr>
                <w:color w:val="auto"/>
                <w:highlight w:val="none"/>
              </w:rPr>
            </w:pPr>
            <w:r>
              <w:rPr>
                <w:color w:val="auto"/>
                <w:highlight w:val="none"/>
              </w:rPr>
              <w:t>22</w:t>
            </w:r>
            <w:r>
              <w:rPr>
                <w:rFonts w:hint="eastAsia"/>
                <w:color w:val="auto"/>
                <w:highlight w:val="none"/>
              </w:rPr>
              <w:t>’’宽频</w:t>
            </w:r>
            <w:r>
              <w:rPr>
                <w:color w:val="auto"/>
                <w:highlight w:val="none"/>
              </w:rPr>
              <w:t xml:space="preserve"> LED </w:t>
            </w:r>
            <w:r>
              <w:rPr>
                <w:rFonts w:hint="eastAsia"/>
                <w:color w:val="auto"/>
                <w:highlight w:val="none"/>
              </w:rPr>
              <w:t>背光显示器</w:t>
            </w:r>
            <w:r>
              <w:rPr>
                <w:color w:val="auto"/>
                <w:highlight w:val="none"/>
              </w:rPr>
              <w:t xml:space="preserve"> </w:t>
            </w:r>
            <w:r>
              <w:rPr>
                <w:rFonts w:hint="eastAsia"/>
                <w:color w:val="auto"/>
                <w:highlight w:val="none"/>
              </w:rPr>
              <w:t>，双显示器</w:t>
            </w:r>
          </w:p>
        </w:tc>
        <w:tc>
          <w:tcPr>
            <w:tcW w:w="895" w:type="dxa"/>
            <w:noWrap w:val="0"/>
            <w:vAlign w:val="center"/>
          </w:tcPr>
          <w:p>
            <w:pPr>
              <w:rPr>
                <w:color w:val="auto"/>
                <w:highlight w:val="none"/>
              </w:rPr>
            </w:pPr>
          </w:p>
        </w:tc>
        <w:tc>
          <w:tcPr>
            <w:tcW w:w="559"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noWrap w:val="0"/>
            <w:vAlign w:val="center"/>
          </w:tcPr>
          <w:p>
            <w:pPr>
              <w:rPr>
                <w:color w:val="auto"/>
                <w:highlight w:val="none"/>
              </w:rPr>
            </w:pPr>
          </w:p>
        </w:tc>
        <w:tc>
          <w:tcPr>
            <w:tcW w:w="1417" w:type="dxa"/>
            <w:noWrap w:val="0"/>
            <w:vAlign w:val="center"/>
          </w:tcPr>
          <w:p>
            <w:pPr>
              <w:rPr>
                <w:color w:val="auto"/>
                <w:highlight w:val="none"/>
              </w:rPr>
            </w:pPr>
            <w:r>
              <w:rPr>
                <w:rFonts w:hint="eastAsia"/>
                <w:color w:val="auto"/>
                <w:highlight w:val="none"/>
              </w:rPr>
              <w:t>光驱</w:t>
            </w:r>
          </w:p>
        </w:tc>
        <w:tc>
          <w:tcPr>
            <w:tcW w:w="5296" w:type="dxa"/>
            <w:noWrap w:val="0"/>
            <w:vAlign w:val="center"/>
          </w:tcPr>
          <w:p>
            <w:pPr>
              <w:rPr>
                <w:color w:val="auto"/>
                <w:highlight w:val="none"/>
              </w:rPr>
            </w:pPr>
            <w:r>
              <w:rPr>
                <w:color w:val="auto"/>
                <w:highlight w:val="none"/>
              </w:rPr>
              <w:t xml:space="preserve">16X </w:t>
            </w:r>
            <w:r>
              <w:rPr>
                <w:rFonts w:hint="eastAsia"/>
                <w:color w:val="auto"/>
                <w:highlight w:val="none"/>
              </w:rPr>
              <w:t>最大可变速</w:t>
            </w:r>
            <w:r>
              <w:rPr>
                <w:color w:val="auto"/>
                <w:highlight w:val="none"/>
              </w:rPr>
              <w:t xml:space="preserve"> DVD-ROM</w:t>
            </w:r>
            <w:r>
              <w:rPr>
                <w:rFonts w:hint="eastAsia"/>
                <w:color w:val="auto"/>
                <w:highlight w:val="none"/>
              </w:rPr>
              <w:t>光驱，适用于</w:t>
            </w:r>
            <w:r>
              <w:rPr>
                <w:color w:val="auto"/>
                <w:highlight w:val="none"/>
              </w:rPr>
              <w:t>MT</w:t>
            </w:r>
            <w:r>
              <w:rPr>
                <w:rFonts w:hint="eastAsia"/>
                <w:color w:val="auto"/>
                <w:highlight w:val="none"/>
              </w:rPr>
              <w:t>和</w:t>
            </w:r>
            <w:r>
              <w:rPr>
                <w:color w:val="auto"/>
                <w:highlight w:val="none"/>
              </w:rPr>
              <w:t>DT</w:t>
            </w:r>
          </w:p>
        </w:tc>
        <w:tc>
          <w:tcPr>
            <w:tcW w:w="895" w:type="dxa"/>
            <w:noWrap w:val="0"/>
            <w:vAlign w:val="center"/>
          </w:tcPr>
          <w:p>
            <w:pPr>
              <w:rPr>
                <w:color w:val="auto"/>
                <w:highlight w:val="none"/>
              </w:rPr>
            </w:pPr>
          </w:p>
        </w:tc>
        <w:tc>
          <w:tcPr>
            <w:tcW w:w="559"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noWrap w:val="0"/>
            <w:vAlign w:val="center"/>
          </w:tcPr>
          <w:p>
            <w:pPr>
              <w:rPr>
                <w:color w:val="auto"/>
                <w:highlight w:val="none"/>
              </w:rPr>
            </w:pPr>
          </w:p>
        </w:tc>
        <w:tc>
          <w:tcPr>
            <w:tcW w:w="1417" w:type="dxa"/>
            <w:noWrap w:val="0"/>
            <w:vAlign w:val="center"/>
          </w:tcPr>
          <w:p>
            <w:pPr>
              <w:rPr>
                <w:color w:val="auto"/>
                <w:highlight w:val="none"/>
              </w:rPr>
            </w:pPr>
            <w:r>
              <w:rPr>
                <w:rFonts w:hint="eastAsia"/>
                <w:color w:val="auto"/>
                <w:highlight w:val="none"/>
              </w:rPr>
              <w:t>键盘</w:t>
            </w:r>
          </w:p>
        </w:tc>
        <w:tc>
          <w:tcPr>
            <w:tcW w:w="5296" w:type="dxa"/>
            <w:noWrap w:val="0"/>
            <w:vAlign w:val="center"/>
          </w:tcPr>
          <w:p>
            <w:pPr>
              <w:rPr>
                <w:color w:val="auto"/>
                <w:highlight w:val="none"/>
              </w:rPr>
            </w:pPr>
            <w:r>
              <w:rPr>
                <w:color w:val="auto"/>
                <w:highlight w:val="none"/>
              </w:rPr>
              <w:t>USB</w:t>
            </w:r>
            <w:r>
              <w:rPr>
                <w:rFonts w:hint="eastAsia"/>
                <w:color w:val="auto"/>
                <w:highlight w:val="none"/>
              </w:rPr>
              <w:t>防水键盘</w:t>
            </w:r>
          </w:p>
        </w:tc>
        <w:tc>
          <w:tcPr>
            <w:tcW w:w="895" w:type="dxa"/>
            <w:noWrap w:val="0"/>
            <w:vAlign w:val="center"/>
          </w:tcPr>
          <w:p>
            <w:pPr>
              <w:rPr>
                <w:color w:val="auto"/>
                <w:highlight w:val="none"/>
              </w:rPr>
            </w:pPr>
          </w:p>
        </w:tc>
        <w:tc>
          <w:tcPr>
            <w:tcW w:w="559"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noWrap w:val="0"/>
            <w:vAlign w:val="center"/>
          </w:tcPr>
          <w:p>
            <w:pPr>
              <w:rPr>
                <w:color w:val="auto"/>
                <w:highlight w:val="none"/>
              </w:rPr>
            </w:pPr>
          </w:p>
        </w:tc>
        <w:tc>
          <w:tcPr>
            <w:tcW w:w="1417" w:type="dxa"/>
            <w:noWrap w:val="0"/>
            <w:vAlign w:val="center"/>
          </w:tcPr>
          <w:p>
            <w:pPr>
              <w:rPr>
                <w:color w:val="auto"/>
                <w:highlight w:val="none"/>
              </w:rPr>
            </w:pPr>
            <w:r>
              <w:rPr>
                <w:rFonts w:hint="eastAsia"/>
                <w:color w:val="auto"/>
                <w:highlight w:val="none"/>
              </w:rPr>
              <w:t>鼠标</w:t>
            </w:r>
          </w:p>
        </w:tc>
        <w:tc>
          <w:tcPr>
            <w:tcW w:w="5296" w:type="dxa"/>
            <w:noWrap w:val="0"/>
            <w:vAlign w:val="center"/>
          </w:tcPr>
          <w:p>
            <w:pPr>
              <w:rPr>
                <w:color w:val="auto"/>
                <w:highlight w:val="none"/>
              </w:rPr>
            </w:pPr>
            <w:r>
              <w:rPr>
                <w:color w:val="auto"/>
                <w:highlight w:val="none"/>
              </w:rPr>
              <w:t>USB</w:t>
            </w:r>
            <w:r>
              <w:rPr>
                <w:rFonts w:hint="eastAsia"/>
                <w:color w:val="auto"/>
                <w:highlight w:val="none"/>
              </w:rPr>
              <w:t>光电鼠标</w:t>
            </w:r>
          </w:p>
        </w:tc>
        <w:tc>
          <w:tcPr>
            <w:tcW w:w="895" w:type="dxa"/>
            <w:noWrap w:val="0"/>
            <w:vAlign w:val="center"/>
          </w:tcPr>
          <w:p>
            <w:pPr>
              <w:rPr>
                <w:color w:val="auto"/>
                <w:highlight w:val="none"/>
              </w:rPr>
            </w:pPr>
          </w:p>
        </w:tc>
        <w:tc>
          <w:tcPr>
            <w:tcW w:w="559"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noWrap w:val="0"/>
            <w:vAlign w:val="center"/>
          </w:tcPr>
          <w:p>
            <w:pPr>
              <w:rPr>
                <w:color w:val="auto"/>
                <w:highlight w:val="none"/>
              </w:rPr>
            </w:pPr>
          </w:p>
        </w:tc>
        <w:tc>
          <w:tcPr>
            <w:tcW w:w="1417" w:type="dxa"/>
            <w:noWrap w:val="0"/>
            <w:vAlign w:val="center"/>
          </w:tcPr>
          <w:p>
            <w:pPr>
              <w:rPr>
                <w:color w:val="auto"/>
                <w:highlight w:val="none"/>
              </w:rPr>
            </w:pPr>
            <w:r>
              <w:rPr>
                <w:rFonts w:hint="eastAsia"/>
                <w:color w:val="auto"/>
                <w:highlight w:val="none"/>
              </w:rPr>
              <w:t>串口数</w:t>
            </w:r>
          </w:p>
        </w:tc>
        <w:tc>
          <w:tcPr>
            <w:tcW w:w="5296" w:type="dxa"/>
            <w:noWrap w:val="0"/>
            <w:vAlign w:val="center"/>
          </w:tcPr>
          <w:p>
            <w:pPr>
              <w:rPr>
                <w:color w:val="auto"/>
                <w:highlight w:val="none"/>
              </w:rPr>
            </w:pPr>
            <w:r>
              <w:rPr>
                <w:rFonts w:hint="eastAsia"/>
                <w:color w:val="auto"/>
                <w:highlight w:val="none"/>
              </w:rPr>
              <w:t>不低于</w:t>
            </w:r>
            <w:r>
              <w:rPr>
                <w:color w:val="auto"/>
                <w:highlight w:val="none"/>
              </w:rPr>
              <w:t>1</w:t>
            </w:r>
            <w:r>
              <w:rPr>
                <w:rFonts w:hint="eastAsia"/>
                <w:color w:val="auto"/>
                <w:highlight w:val="none"/>
              </w:rPr>
              <w:t>个</w:t>
            </w:r>
          </w:p>
        </w:tc>
        <w:tc>
          <w:tcPr>
            <w:tcW w:w="895" w:type="dxa"/>
            <w:noWrap w:val="0"/>
            <w:vAlign w:val="center"/>
          </w:tcPr>
          <w:p>
            <w:pPr>
              <w:rPr>
                <w:color w:val="auto"/>
                <w:highlight w:val="none"/>
              </w:rPr>
            </w:pPr>
          </w:p>
        </w:tc>
        <w:tc>
          <w:tcPr>
            <w:tcW w:w="559"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noWrap w:val="0"/>
            <w:vAlign w:val="center"/>
          </w:tcPr>
          <w:p>
            <w:pPr>
              <w:rPr>
                <w:color w:val="auto"/>
                <w:highlight w:val="none"/>
              </w:rPr>
            </w:pPr>
          </w:p>
        </w:tc>
        <w:tc>
          <w:tcPr>
            <w:tcW w:w="1417" w:type="dxa"/>
            <w:noWrap w:val="0"/>
            <w:vAlign w:val="center"/>
          </w:tcPr>
          <w:p>
            <w:pPr>
              <w:rPr>
                <w:color w:val="auto"/>
                <w:highlight w:val="none"/>
              </w:rPr>
            </w:pPr>
            <w:r>
              <w:rPr>
                <w:rFonts w:hint="eastAsia"/>
                <w:color w:val="auto"/>
                <w:highlight w:val="none"/>
              </w:rPr>
              <w:t>机箱</w:t>
            </w:r>
          </w:p>
        </w:tc>
        <w:tc>
          <w:tcPr>
            <w:tcW w:w="5296" w:type="dxa"/>
            <w:noWrap w:val="0"/>
            <w:vAlign w:val="center"/>
          </w:tcPr>
          <w:p>
            <w:pPr>
              <w:rPr>
                <w:color w:val="auto"/>
                <w:highlight w:val="none"/>
              </w:rPr>
            </w:pPr>
          </w:p>
        </w:tc>
        <w:tc>
          <w:tcPr>
            <w:tcW w:w="895" w:type="dxa"/>
            <w:noWrap w:val="0"/>
            <w:vAlign w:val="center"/>
          </w:tcPr>
          <w:p>
            <w:pPr>
              <w:rPr>
                <w:color w:val="auto"/>
                <w:highlight w:val="none"/>
              </w:rPr>
            </w:pPr>
          </w:p>
        </w:tc>
        <w:tc>
          <w:tcPr>
            <w:tcW w:w="559"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noWrap w:val="0"/>
            <w:vAlign w:val="center"/>
          </w:tcPr>
          <w:p>
            <w:pPr>
              <w:rPr>
                <w:color w:val="auto"/>
                <w:highlight w:val="none"/>
              </w:rPr>
            </w:pPr>
          </w:p>
        </w:tc>
        <w:tc>
          <w:tcPr>
            <w:tcW w:w="1417" w:type="dxa"/>
            <w:noWrap w:val="0"/>
            <w:vAlign w:val="center"/>
          </w:tcPr>
          <w:p>
            <w:pPr>
              <w:rPr>
                <w:color w:val="auto"/>
                <w:highlight w:val="none"/>
              </w:rPr>
            </w:pPr>
            <w:r>
              <w:rPr>
                <w:rFonts w:hint="eastAsia"/>
                <w:color w:val="auto"/>
                <w:highlight w:val="none"/>
              </w:rPr>
              <w:t>操作系统</w:t>
            </w:r>
          </w:p>
        </w:tc>
        <w:tc>
          <w:tcPr>
            <w:tcW w:w="5296" w:type="dxa"/>
            <w:noWrap w:val="0"/>
            <w:vAlign w:val="center"/>
          </w:tcPr>
          <w:p>
            <w:pPr>
              <w:rPr>
                <w:color w:val="auto"/>
                <w:highlight w:val="none"/>
              </w:rPr>
            </w:pPr>
            <w:r>
              <w:rPr>
                <w:rFonts w:hint="eastAsia"/>
                <w:color w:val="auto"/>
                <w:highlight w:val="none"/>
              </w:rPr>
              <w:t>中文</w:t>
            </w:r>
            <w:r>
              <w:rPr>
                <w:color w:val="auto"/>
                <w:highlight w:val="none"/>
              </w:rPr>
              <w:t xml:space="preserve">Windows 7 Pro 64 </w:t>
            </w:r>
            <w:r>
              <w:rPr>
                <w:rFonts w:hint="eastAsia"/>
                <w:color w:val="auto"/>
                <w:highlight w:val="none"/>
              </w:rPr>
              <w:t>版</w:t>
            </w:r>
          </w:p>
        </w:tc>
        <w:tc>
          <w:tcPr>
            <w:tcW w:w="895" w:type="dxa"/>
            <w:noWrap w:val="0"/>
            <w:vAlign w:val="center"/>
          </w:tcPr>
          <w:p>
            <w:pPr>
              <w:rPr>
                <w:color w:val="auto"/>
                <w:highlight w:val="none"/>
              </w:rPr>
            </w:pPr>
          </w:p>
        </w:tc>
        <w:tc>
          <w:tcPr>
            <w:tcW w:w="559" w:type="dxa"/>
            <w:noWrap w:val="0"/>
            <w:vAlign w:val="center"/>
          </w:tcPr>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34" w:type="dxa"/>
            <w:noWrap w:val="0"/>
            <w:vAlign w:val="center"/>
          </w:tcPr>
          <w:p>
            <w:pPr>
              <w:rPr>
                <w:color w:val="auto"/>
                <w:highlight w:val="none"/>
              </w:rPr>
            </w:pPr>
          </w:p>
        </w:tc>
        <w:tc>
          <w:tcPr>
            <w:tcW w:w="1417" w:type="dxa"/>
            <w:noWrap w:val="0"/>
            <w:vAlign w:val="center"/>
          </w:tcPr>
          <w:p>
            <w:pPr>
              <w:rPr>
                <w:color w:val="auto"/>
                <w:highlight w:val="none"/>
              </w:rPr>
            </w:pPr>
            <w:r>
              <w:rPr>
                <w:rFonts w:hint="eastAsia"/>
                <w:color w:val="auto"/>
                <w:highlight w:val="none"/>
              </w:rPr>
              <w:t>服务认证</w:t>
            </w:r>
          </w:p>
          <w:p>
            <w:pPr>
              <w:rPr>
                <w:color w:val="auto"/>
                <w:highlight w:val="none"/>
              </w:rPr>
            </w:pPr>
            <w:r>
              <w:rPr>
                <w:rFonts w:hint="eastAsia"/>
                <w:color w:val="auto"/>
                <w:highlight w:val="none"/>
              </w:rPr>
              <w:t>整机认证</w:t>
            </w:r>
          </w:p>
        </w:tc>
        <w:tc>
          <w:tcPr>
            <w:tcW w:w="5296" w:type="dxa"/>
            <w:noWrap w:val="0"/>
            <w:vAlign w:val="center"/>
          </w:tcPr>
          <w:p>
            <w:pPr>
              <w:rPr>
                <w:color w:val="auto"/>
                <w:highlight w:val="none"/>
              </w:rPr>
            </w:pPr>
            <w:r>
              <w:rPr>
                <w:rFonts w:hint="eastAsia"/>
                <w:color w:val="auto"/>
                <w:highlight w:val="none"/>
              </w:rPr>
              <w:t>生产厂商整机（含显示器）五年有限保修，五年硬盘不回收，门到桌安装验机（要求</w:t>
            </w:r>
            <w:r>
              <w:rPr>
                <w:color w:val="auto"/>
                <w:highlight w:val="none"/>
              </w:rPr>
              <w:t>7*24</w:t>
            </w:r>
            <w:r>
              <w:rPr>
                <w:rFonts w:hint="eastAsia"/>
                <w:color w:val="auto"/>
                <w:highlight w:val="none"/>
              </w:rPr>
              <w:t>全年无休服务，第二自然日上门，提供门到桌的安装验机服务，厂家在当地有维修站，提供厂家大客户专家专人</w:t>
            </w:r>
            <w:r>
              <w:rPr>
                <w:color w:val="auto"/>
                <w:highlight w:val="none"/>
              </w:rPr>
              <w:t>400</w:t>
            </w:r>
            <w:r>
              <w:rPr>
                <w:rFonts w:hint="eastAsia"/>
                <w:color w:val="auto"/>
                <w:highlight w:val="none"/>
              </w:rPr>
              <w:t>和</w:t>
            </w:r>
            <w:r>
              <w:rPr>
                <w:color w:val="auto"/>
                <w:highlight w:val="none"/>
              </w:rPr>
              <w:t>800</w:t>
            </w:r>
            <w:r>
              <w:rPr>
                <w:rFonts w:hint="eastAsia"/>
                <w:color w:val="auto"/>
                <w:highlight w:val="none"/>
              </w:rPr>
              <w:t>售后服务热线电话）</w:t>
            </w:r>
          </w:p>
        </w:tc>
        <w:tc>
          <w:tcPr>
            <w:tcW w:w="895" w:type="dxa"/>
            <w:noWrap w:val="0"/>
            <w:vAlign w:val="center"/>
          </w:tcPr>
          <w:p>
            <w:pPr>
              <w:rPr>
                <w:color w:val="auto"/>
                <w:highlight w:val="none"/>
              </w:rPr>
            </w:pPr>
          </w:p>
        </w:tc>
        <w:tc>
          <w:tcPr>
            <w:tcW w:w="559" w:type="dxa"/>
            <w:noWrap w:val="0"/>
            <w:vAlign w:val="center"/>
          </w:tcPr>
          <w:p>
            <w:pPr>
              <w:rPr>
                <w:color w:val="auto"/>
                <w:highlight w:val="none"/>
              </w:rPr>
            </w:pPr>
          </w:p>
        </w:tc>
      </w:tr>
    </w:tbl>
    <w:p>
      <w:pPr>
        <w:rPr>
          <w:color w:val="auto"/>
          <w:highlight w:val="none"/>
        </w:rPr>
      </w:pPr>
    </w:p>
    <w:p>
      <w:pPr>
        <w:pStyle w:val="113"/>
        <w:spacing w:before="120" w:after="120"/>
        <w:outlineLvl w:val="2"/>
        <w:rPr>
          <w:color w:val="auto"/>
          <w:highlight w:val="none"/>
        </w:rPr>
      </w:pPr>
      <w:bookmarkStart w:id="8242" w:name="_Toc505345848"/>
      <w:bookmarkStart w:id="8243" w:name="_Toc66890531"/>
      <w:bookmarkStart w:id="8244" w:name="_Toc69114277"/>
      <w:bookmarkStart w:id="8245" w:name="_Toc66634536"/>
      <w:bookmarkStart w:id="8246" w:name="_Toc503702873"/>
      <w:r>
        <w:rPr>
          <w:color w:val="auto"/>
          <w:highlight w:val="none"/>
        </w:rPr>
        <w:t xml:space="preserve">2.2 </w:t>
      </w:r>
      <w:r>
        <w:rPr>
          <w:rFonts w:hint="eastAsia"/>
          <w:color w:val="auto"/>
          <w:highlight w:val="none"/>
        </w:rPr>
        <w:t>招标人提供的</w:t>
      </w:r>
      <w:r>
        <w:rPr>
          <w:color w:val="auto"/>
          <w:highlight w:val="none"/>
        </w:rPr>
        <w:t>BIM</w:t>
      </w:r>
      <w:r>
        <w:rPr>
          <w:rFonts w:hint="eastAsia"/>
          <w:color w:val="auto"/>
          <w:highlight w:val="none"/>
        </w:rPr>
        <w:t>工作基础</w:t>
      </w:r>
      <w:bookmarkEnd w:id="8242"/>
      <w:bookmarkEnd w:id="8243"/>
      <w:bookmarkEnd w:id="8244"/>
      <w:bookmarkEnd w:id="8245"/>
      <w:bookmarkEnd w:id="8246"/>
    </w:p>
    <w:p>
      <w:pPr>
        <w:pStyle w:val="217"/>
        <w:rPr>
          <w:color w:val="auto"/>
          <w:highlight w:val="none"/>
        </w:rPr>
      </w:pPr>
      <w:r>
        <w:rPr>
          <w:color w:val="auto"/>
          <w:highlight w:val="none"/>
        </w:rPr>
        <w:t>1.</w:t>
      </w:r>
      <w:r>
        <w:rPr>
          <w:rFonts w:hint="eastAsia"/>
          <w:color w:val="auto"/>
          <w:highlight w:val="none"/>
        </w:rPr>
        <w:t>工作平台</w:t>
      </w:r>
    </w:p>
    <w:p>
      <w:pPr>
        <w:pStyle w:val="217"/>
        <w:rPr>
          <w:color w:val="auto"/>
          <w:highlight w:val="none"/>
        </w:rPr>
      </w:pPr>
      <w:r>
        <w:rPr>
          <w:rFonts w:hint="eastAsia"/>
          <w:color w:val="auto"/>
          <w:highlight w:val="none"/>
        </w:rPr>
        <w:t>招标人将提供发包人</w:t>
      </w:r>
      <w:r>
        <w:rPr>
          <w:color w:val="auto"/>
          <w:highlight w:val="none"/>
        </w:rPr>
        <w:t>BIM</w:t>
      </w:r>
      <w:r>
        <w:rPr>
          <w:rFonts w:hint="eastAsia"/>
          <w:color w:val="auto"/>
          <w:highlight w:val="none"/>
        </w:rPr>
        <w:t>项目管理平台，用于开展相关</w:t>
      </w:r>
      <w:r>
        <w:rPr>
          <w:color w:val="auto"/>
          <w:highlight w:val="none"/>
        </w:rPr>
        <w:t>BIM</w:t>
      </w:r>
      <w:r>
        <w:rPr>
          <w:rFonts w:hint="eastAsia"/>
          <w:color w:val="auto"/>
          <w:highlight w:val="none"/>
        </w:rPr>
        <w:t>工作。</w:t>
      </w:r>
    </w:p>
    <w:p>
      <w:pPr>
        <w:pStyle w:val="217"/>
        <w:rPr>
          <w:color w:val="auto"/>
          <w:highlight w:val="none"/>
        </w:rPr>
      </w:pPr>
      <w:r>
        <w:rPr>
          <w:color w:val="auto"/>
          <w:highlight w:val="none"/>
        </w:rPr>
        <w:t>2.BIM</w:t>
      </w:r>
      <w:r>
        <w:rPr>
          <w:rFonts w:hint="eastAsia"/>
          <w:color w:val="auto"/>
          <w:highlight w:val="none"/>
        </w:rPr>
        <w:t>标准</w:t>
      </w:r>
    </w:p>
    <w:p>
      <w:pPr>
        <w:pStyle w:val="217"/>
        <w:rPr>
          <w:color w:val="auto"/>
          <w:highlight w:val="none"/>
        </w:rPr>
      </w:pPr>
      <w:bookmarkStart w:id="8247" w:name="_Toc498254805"/>
      <w:r>
        <w:rPr>
          <w:rFonts w:hint="eastAsia"/>
          <w:color w:val="auto"/>
          <w:highlight w:val="none"/>
        </w:rPr>
        <w:t>本项目聘请专业</w:t>
      </w:r>
      <w:r>
        <w:rPr>
          <w:color w:val="auto"/>
          <w:highlight w:val="none"/>
        </w:rPr>
        <w:t>BIM</w:t>
      </w:r>
      <w:r>
        <w:rPr>
          <w:rFonts w:hint="eastAsia"/>
          <w:color w:val="auto"/>
          <w:highlight w:val="none"/>
        </w:rPr>
        <w:t>咨询顾问</w:t>
      </w:r>
      <w:bookmarkEnd w:id="8247"/>
      <w:r>
        <w:rPr>
          <w:rFonts w:hint="eastAsia"/>
          <w:color w:val="auto"/>
          <w:highlight w:val="none"/>
        </w:rPr>
        <w:t>编制《项目</w:t>
      </w:r>
      <w:r>
        <w:rPr>
          <w:color w:val="auto"/>
          <w:highlight w:val="none"/>
        </w:rPr>
        <w:t>BIM</w:t>
      </w:r>
      <w:r>
        <w:rPr>
          <w:rFonts w:hint="eastAsia"/>
          <w:color w:val="auto"/>
          <w:highlight w:val="none"/>
        </w:rPr>
        <w:t>技术标准》，承包人须按照该标准进行相应工作，最终成果需交由</w:t>
      </w:r>
      <w:r>
        <w:rPr>
          <w:color w:val="auto"/>
          <w:highlight w:val="none"/>
        </w:rPr>
        <w:t>BIM</w:t>
      </w:r>
      <w:r>
        <w:rPr>
          <w:rFonts w:hint="eastAsia"/>
          <w:color w:val="auto"/>
          <w:highlight w:val="none"/>
        </w:rPr>
        <w:t>咨询顾问审核通过。</w:t>
      </w:r>
    </w:p>
    <w:p>
      <w:pPr>
        <w:pStyle w:val="188"/>
        <w:spacing w:before="120" w:after="120"/>
        <w:outlineLvl w:val="1"/>
        <w:rPr>
          <w:color w:val="auto"/>
          <w:highlight w:val="none"/>
        </w:rPr>
      </w:pPr>
      <w:bookmarkStart w:id="8248" w:name="_Toc503702874"/>
      <w:bookmarkStart w:id="8249" w:name="_Toc66890532"/>
      <w:bookmarkStart w:id="8250" w:name="_Toc66634537"/>
      <w:bookmarkStart w:id="8251" w:name="_Toc69114278"/>
      <w:bookmarkStart w:id="8252" w:name="_Toc505345849"/>
      <w:r>
        <w:rPr>
          <w:rFonts w:hint="eastAsia"/>
          <w:color w:val="auto"/>
          <w:highlight w:val="none"/>
        </w:rPr>
        <w:t>第</w:t>
      </w:r>
      <w:r>
        <w:rPr>
          <w:color w:val="auto"/>
          <w:highlight w:val="none"/>
        </w:rPr>
        <w:t>3</w:t>
      </w:r>
      <w:r>
        <w:rPr>
          <w:rFonts w:hint="eastAsia"/>
          <w:color w:val="auto"/>
          <w:highlight w:val="none"/>
        </w:rPr>
        <w:t>章</w:t>
      </w:r>
      <w:r>
        <w:rPr>
          <w:color w:val="auto"/>
          <w:highlight w:val="none"/>
        </w:rPr>
        <w:t xml:space="preserve">  </w:t>
      </w:r>
      <w:r>
        <w:rPr>
          <w:rFonts w:hint="eastAsia"/>
          <w:color w:val="auto"/>
          <w:highlight w:val="none"/>
        </w:rPr>
        <w:t>施工总包</w:t>
      </w:r>
      <w:r>
        <w:rPr>
          <w:color w:val="auto"/>
          <w:highlight w:val="none"/>
        </w:rPr>
        <w:t>BIM</w:t>
      </w:r>
      <w:r>
        <w:rPr>
          <w:rFonts w:hint="eastAsia"/>
          <w:color w:val="auto"/>
          <w:highlight w:val="none"/>
        </w:rPr>
        <w:t>工作内容</w:t>
      </w:r>
      <w:bookmarkEnd w:id="8248"/>
      <w:bookmarkEnd w:id="8249"/>
      <w:bookmarkEnd w:id="8250"/>
      <w:bookmarkEnd w:id="8251"/>
      <w:bookmarkEnd w:id="8252"/>
    </w:p>
    <w:p>
      <w:pPr>
        <w:pStyle w:val="113"/>
        <w:spacing w:before="120" w:after="120"/>
        <w:outlineLvl w:val="2"/>
        <w:rPr>
          <w:color w:val="auto"/>
          <w:highlight w:val="none"/>
        </w:rPr>
      </w:pPr>
      <w:bookmarkStart w:id="8253" w:name="_Toc66890533"/>
      <w:bookmarkStart w:id="8254" w:name="_Toc69114279"/>
      <w:bookmarkStart w:id="8255" w:name="_Toc503702875"/>
      <w:bookmarkStart w:id="8256" w:name="_Toc66634538"/>
      <w:bookmarkStart w:id="8257" w:name="_Toc505345850"/>
      <w:r>
        <w:rPr>
          <w:color w:val="auto"/>
          <w:highlight w:val="none"/>
        </w:rPr>
        <w:t xml:space="preserve">3.1 </w:t>
      </w:r>
      <w:r>
        <w:rPr>
          <w:rFonts w:hint="eastAsia"/>
          <w:color w:val="auto"/>
          <w:highlight w:val="none"/>
        </w:rPr>
        <w:t>准备阶段</w:t>
      </w:r>
      <w:r>
        <w:rPr>
          <w:color w:val="auto"/>
          <w:highlight w:val="none"/>
        </w:rPr>
        <w:t>BIM</w:t>
      </w:r>
      <w:r>
        <w:rPr>
          <w:rFonts w:hint="eastAsia"/>
          <w:color w:val="auto"/>
          <w:highlight w:val="none"/>
        </w:rPr>
        <w:t>工作内容</w:t>
      </w:r>
      <w:bookmarkEnd w:id="8253"/>
      <w:bookmarkEnd w:id="8254"/>
      <w:bookmarkEnd w:id="8255"/>
      <w:bookmarkEnd w:id="8256"/>
      <w:bookmarkEnd w:id="8257"/>
    </w:p>
    <w:p>
      <w:pPr>
        <w:pStyle w:val="217"/>
        <w:rPr>
          <w:color w:val="auto"/>
          <w:highlight w:val="none"/>
        </w:rPr>
      </w:pPr>
      <w:r>
        <w:rPr>
          <w:color w:val="auto"/>
          <w:highlight w:val="none"/>
        </w:rPr>
        <w:t>BIM</w:t>
      </w:r>
      <w:r>
        <w:rPr>
          <w:rFonts w:hint="eastAsia"/>
          <w:color w:val="auto"/>
          <w:highlight w:val="none"/>
        </w:rPr>
        <w:t>实施前期准备工作是</w:t>
      </w:r>
      <w:r>
        <w:rPr>
          <w:color w:val="auto"/>
          <w:highlight w:val="none"/>
        </w:rPr>
        <w:t>BIM</w:t>
      </w:r>
      <w:r>
        <w:rPr>
          <w:rFonts w:hint="eastAsia"/>
          <w:color w:val="auto"/>
          <w:highlight w:val="none"/>
        </w:rPr>
        <w:t>实施的重要内容，做好准备阶段的各项工作，是后续</w:t>
      </w:r>
      <w:r>
        <w:rPr>
          <w:color w:val="auto"/>
          <w:highlight w:val="none"/>
        </w:rPr>
        <w:t>BIM</w:t>
      </w:r>
      <w:r>
        <w:rPr>
          <w:rFonts w:hint="eastAsia"/>
          <w:color w:val="auto"/>
          <w:highlight w:val="none"/>
        </w:rPr>
        <w:t>顺利实施的重要保障。</w:t>
      </w:r>
      <w:r>
        <w:rPr>
          <w:color w:val="auto"/>
          <w:highlight w:val="none"/>
        </w:rPr>
        <w:t xml:space="preserve">    </w:t>
      </w:r>
    </w:p>
    <w:p>
      <w:pPr>
        <w:pStyle w:val="217"/>
        <w:numPr>
          <w:ilvl w:val="0"/>
          <w:numId w:val="22"/>
        </w:numPr>
        <w:ind w:left="0" w:firstLine="480"/>
        <w:rPr>
          <w:color w:val="auto"/>
          <w:highlight w:val="none"/>
        </w:rPr>
      </w:pPr>
      <w:r>
        <w:rPr>
          <w:rFonts w:hint="eastAsia"/>
          <w:color w:val="auto"/>
          <w:highlight w:val="none"/>
        </w:rPr>
        <w:t>按照招标人要求组建项目</w:t>
      </w:r>
      <w:r>
        <w:rPr>
          <w:color w:val="auto"/>
          <w:highlight w:val="none"/>
        </w:rPr>
        <w:t>BIM</w:t>
      </w:r>
      <w:r>
        <w:rPr>
          <w:rFonts w:hint="eastAsia"/>
          <w:color w:val="auto"/>
          <w:highlight w:val="none"/>
        </w:rPr>
        <w:t>团队，明确团队工作人员的岗位和职责。</w:t>
      </w:r>
    </w:p>
    <w:p>
      <w:pPr>
        <w:pStyle w:val="217"/>
        <w:numPr>
          <w:ilvl w:val="0"/>
          <w:numId w:val="22"/>
        </w:numPr>
        <w:ind w:left="0" w:firstLine="480"/>
        <w:rPr>
          <w:color w:val="auto"/>
          <w:highlight w:val="none"/>
        </w:rPr>
      </w:pPr>
      <w:r>
        <w:rPr>
          <w:rFonts w:hint="eastAsia"/>
          <w:color w:val="auto"/>
          <w:highlight w:val="none"/>
        </w:rPr>
        <w:t>按照招标人要求完成自身</w:t>
      </w:r>
      <w:r>
        <w:rPr>
          <w:color w:val="auto"/>
          <w:highlight w:val="none"/>
        </w:rPr>
        <w:t>BIM</w:t>
      </w:r>
      <w:r>
        <w:rPr>
          <w:rFonts w:hint="eastAsia"/>
          <w:color w:val="auto"/>
          <w:highlight w:val="none"/>
        </w:rPr>
        <w:t>工作所需相关软硬件及网络环境的配置，确保后续</w:t>
      </w:r>
      <w:r>
        <w:rPr>
          <w:color w:val="auto"/>
          <w:highlight w:val="none"/>
        </w:rPr>
        <w:t>BIM</w:t>
      </w:r>
      <w:r>
        <w:rPr>
          <w:rFonts w:hint="eastAsia"/>
          <w:color w:val="auto"/>
          <w:highlight w:val="none"/>
        </w:rPr>
        <w:t>工作顺利开展。</w:t>
      </w:r>
    </w:p>
    <w:p>
      <w:pPr>
        <w:pStyle w:val="113"/>
        <w:spacing w:before="120" w:after="120"/>
        <w:outlineLvl w:val="2"/>
        <w:rPr>
          <w:color w:val="auto"/>
          <w:szCs w:val="22"/>
          <w:highlight w:val="none"/>
        </w:rPr>
      </w:pPr>
      <w:bookmarkStart w:id="8258" w:name="_Toc505345851"/>
      <w:bookmarkStart w:id="8259" w:name="_Toc66890534"/>
      <w:bookmarkStart w:id="8260" w:name="_Toc66634539"/>
      <w:bookmarkStart w:id="8261" w:name="_Toc69114280"/>
      <w:r>
        <w:rPr>
          <w:color w:val="auto"/>
          <w:szCs w:val="22"/>
          <w:highlight w:val="none"/>
        </w:rPr>
        <w:t>3.2  BIM</w:t>
      </w:r>
      <w:r>
        <w:rPr>
          <w:rFonts w:hint="eastAsia"/>
          <w:color w:val="auto"/>
          <w:szCs w:val="22"/>
          <w:highlight w:val="none"/>
        </w:rPr>
        <w:t>实施阶段工作内容</w:t>
      </w:r>
      <w:bookmarkEnd w:id="8258"/>
      <w:bookmarkEnd w:id="8259"/>
      <w:bookmarkEnd w:id="8260"/>
      <w:bookmarkEnd w:id="8261"/>
    </w:p>
    <w:p>
      <w:pPr>
        <w:pStyle w:val="217"/>
        <w:rPr>
          <w:color w:val="auto"/>
          <w:highlight w:val="none"/>
        </w:rPr>
      </w:pPr>
      <w:r>
        <w:rPr>
          <w:color w:val="auto"/>
          <w:highlight w:val="none"/>
        </w:rPr>
        <w:t>BIM</w:t>
      </w:r>
      <w:r>
        <w:rPr>
          <w:rFonts w:hint="eastAsia"/>
          <w:color w:val="auto"/>
          <w:highlight w:val="none"/>
        </w:rPr>
        <w:t>实施阶段的工作，施工过程的价值实现和管理、竣工移交的各项内容，是</w:t>
      </w:r>
      <w:r>
        <w:rPr>
          <w:color w:val="auto"/>
          <w:highlight w:val="none"/>
        </w:rPr>
        <w:t>BIM</w:t>
      </w:r>
      <w:r>
        <w:rPr>
          <w:rFonts w:hint="eastAsia"/>
          <w:color w:val="auto"/>
          <w:highlight w:val="none"/>
        </w:rPr>
        <w:t>工程管理服务工作的核心，也是工程项目管理</w:t>
      </w:r>
      <w:r>
        <w:rPr>
          <w:color w:val="auto"/>
          <w:highlight w:val="none"/>
        </w:rPr>
        <w:t>BIM</w:t>
      </w:r>
      <w:r>
        <w:rPr>
          <w:rFonts w:hint="eastAsia"/>
          <w:color w:val="auto"/>
          <w:highlight w:val="none"/>
        </w:rPr>
        <w:t>实施的重点。</w:t>
      </w:r>
      <w:r>
        <w:rPr>
          <w:color w:val="auto"/>
          <w:highlight w:val="none"/>
        </w:rPr>
        <w:t xml:space="preserve"> </w:t>
      </w:r>
    </w:p>
    <w:p>
      <w:pPr>
        <w:pStyle w:val="172"/>
        <w:rPr>
          <w:color w:val="auto"/>
          <w:highlight w:val="none"/>
        </w:rPr>
      </w:pPr>
      <w:r>
        <w:rPr>
          <w:color w:val="auto"/>
          <w:highlight w:val="none"/>
        </w:rPr>
        <w:t xml:space="preserve">3.2.1 </w:t>
      </w:r>
      <w:r>
        <w:rPr>
          <w:rFonts w:hint="eastAsia"/>
          <w:color w:val="auto"/>
          <w:highlight w:val="none"/>
        </w:rPr>
        <w:t>模型工作</w:t>
      </w:r>
    </w:p>
    <w:p>
      <w:pPr>
        <w:spacing w:line="360" w:lineRule="auto"/>
        <w:ind w:firstLine="420" w:firstLineChars="200"/>
        <w:rPr>
          <w:rFonts w:ascii="宋体"/>
          <w:color w:val="auto"/>
          <w:szCs w:val="21"/>
          <w:highlight w:val="none"/>
        </w:rPr>
      </w:pPr>
      <w:r>
        <w:rPr>
          <w:color w:val="auto"/>
          <w:highlight w:val="none"/>
        </w:rPr>
        <w:t>1.</w:t>
      </w:r>
      <w:r>
        <w:rPr>
          <w:rFonts w:ascii="宋体" w:hAnsi="宋体"/>
          <w:color w:val="auto"/>
          <w:szCs w:val="21"/>
          <w:highlight w:val="none"/>
        </w:rPr>
        <w:t xml:space="preserve"> </w:t>
      </w:r>
      <w:r>
        <w:rPr>
          <w:rFonts w:hint="eastAsia"/>
          <w:color w:val="auto"/>
          <w:highlight w:val="none"/>
        </w:rPr>
        <w:t>承包人需根据招标人提供的施工蓝图，按照</w:t>
      </w:r>
      <w:r>
        <w:rPr>
          <w:color w:val="auto"/>
          <w:highlight w:val="none"/>
        </w:rPr>
        <w:t>BIM</w:t>
      </w:r>
      <w:r>
        <w:rPr>
          <w:rFonts w:hint="eastAsia"/>
          <w:color w:val="auto"/>
          <w:highlight w:val="none"/>
        </w:rPr>
        <w:t>咨询顾问提供的《项目</w:t>
      </w:r>
      <w:r>
        <w:rPr>
          <w:color w:val="auto"/>
          <w:highlight w:val="none"/>
        </w:rPr>
        <w:t>BIM</w:t>
      </w:r>
      <w:r>
        <w:rPr>
          <w:rFonts w:hint="eastAsia"/>
          <w:color w:val="auto"/>
          <w:highlight w:val="none"/>
        </w:rPr>
        <w:t>技术标准》建立</w:t>
      </w:r>
      <w:r>
        <w:rPr>
          <w:rFonts w:hint="eastAsia" w:ascii="宋体" w:hAnsi="宋体"/>
          <w:color w:val="auto"/>
          <w:szCs w:val="21"/>
          <w:highlight w:val="none"/>
        </w:rPr>
        <w:t>承包人及承包范围内的各专业分包（包括但不限于建筑、结构、机电、幕墙、钢结构、装饰、室外场地、小市政等）和运营商的</w:t>
      </w:r>
      <w:r>
        <w:rPr>
          <w:rFonts w:ascii="宋体" w:hAnsi="宋体"/>
          <w:color w:val="auto"/>
          <w:szCs w:val="21"/>
          <w:highlight w:val="none"/>
        </w:rPr>
        <w:t>BIM</w:t>
      </w:r>
      <w:r>
        <w:rPr>
          <w:rFonts w:hint="eastAsia" w:ascii="宋体" w:hAnsi="宋体"/>
          <w:color w:val="auto"/>
          <w:szCs w:val="21"/>
          <w:highlight w:val="none"/>
        </w:rPr>
        <w:t>模型及相关信息的录入，并负责模型的深化和维护</w:t>
      </w:r>
      <w:r>
        <w:rPr>
          <w:rFonts w:hint="eastAsia"/>
          <w:color w:val="auto"/>
          <w:highlight w:val="none"/>
        </w:rPr>
        <w:t>，</w:t>
      </w:r>
      <w:r>
        <w:rPr>
          <w:color w:val="auto"/>
          <w:highlight w:val="none"/>
        </w:rPr>
        <w:t>BIM</w:t>
      </w:r>
      <w:r>
        <w:rPr>
          <w:rFonts w:hint="eastAsia"/>
          <w:color w:val="auto"/>
          <w:highlight w:val="none"/>
        </w:rPr>
        <w:t>模型成果需交由</w:t>
      </w:r>
      <w:r>
        <w:rPr>
          <w:color w:val="auto"/>
          <w:highlight w:val="none"/>
        </w:rPr>
        <w:t>BIM</w:t>
      </w:r>
      <w:r>
        <w:rPr>
          <w:rFonts w:hint="eastAsia"/>
          <w:color w:val="auto"/>
          <w:highlight w:val="none"/>
        </w:rPr>
        <w:t>咨询顾问审核并通过。</w:t>
      </w:r>
    </w:p>
    <w:p>
      <w:pPr>
        <w:pStyle w:val="217"/>
        <w:rPr>
          <w:color w:val="auto"/>
          <w:highlight w:val="none"/>
        </w:rPr>
      </w:pPr>
      <w:r>
        <w:rPr>
          <w:color w:val="auto"/>
          <w:highlight w:val="none"/>
        </w:rPr>
        <w:t>2.</w:t>
      </w:r>
      <w:r>
        <w:rPr>
          <w:rFonts w:hint="eastAsia"/>
          <w:color w:val="auto"/>
          <w:highlight w:val="none"/>
        </w:rPr>
        <w:t>承包人应利用</w:t>
      </w:r>
      <w:r>
        <w:rPr>
          <w:color w:val="auto"/>
          <w:highlight w:val="none"/>
        </w:rPr>
        <w:t>BIM</w:t>
      </w:r>
      <w:r>
        <w:rPr>
          <w:rFonts w:hint="eastAsia"/>
          <w:color w:val="auto"/>
          <w:highlight w:val="none"/>
        </w:rPr>
        <w:t>技术配合开展施工阶段专业深化设计工作，最终形成专业深化模型成果，满足</w:t>
      </w:r>
      <w:r>
        <w:rPr>
          <w:color w:val="auto"/>
          <w:highlight w:val="none"/>
        </w:rPr>
        <w:t>BIM</w:t>
      </w:r>
      <w:r>
        <w:rPr>
          <w:rFonts w:hint="eastAsia"/>
          <w:color w:val="auto"/>
          <w:highlight w:val="none"/>
        </w:rPr>
        <w:t>咨询顾问提供的相关专业深化建模标准，最终成果需交由</w:t>
      </w:r>
      <w:r>
        <w:rPr>
          <w:color w:val="auto"/>
          <w:highlight w:val="none"/>
        </w:rPr>
        <w:t>BIM</w:t>
      </w:r>
      <w:r>
        <w:rPr>
          <w:rFonts w:hint="eastAsia"/>
          <w:color w:val="auto"/>
          <w:highlight w:val="none"/>
        </w:rPr>
        <w:t>咨询顾问审核通过。</w:t>
      </w:r>
    </w:p>
    <w:p>
      <w:pPr>
        <w:pStyle w:val="217"/>
        <w:rPr>
          <w:color w:val="auto"/>
          <w:highlight w:val="none"/>
        </w:rPr>
      </w:pPr>
      <w:r>
        <w:rPr>
          <w:color w:val="auto"/>
          <w:highlight w:val="none"/>
        </w:rPr>
        <w:t>3.</w:t>
      </w:r>
      <w:r>
        <w:rPr>
          <w:rFonts w:hint="eastAsia"/>
          <w:color w:val="auto"/>
          <w:highlight w:val="none"/>
        </w:rPr>
        <w:t>承包人应按照招标人要求对专业分包建立的</w:t>
      </w:r>
      <w:r>
        <w:rPr>
          <w:color w:val="auto"/>
          <w:highlight w:val="none"/>
        </w:rPr>
        <w:t>BIM</w:t>
      </w:r>
      <w:r>
        <w:rPr>
          <w:rFonts w:hint="eastAsia"/>
          <w:color w:val="auto"/>
          <w:highlight w:val="none"/>
        </w:rPr>
        <w:t>模型及相关数据、资料进行审查，对审查合格的成果进行汇总整合并在模型中添加、补充、完善相应的信息，整合过的全专业模型及相关数据、资料交由</w:t>
      </w:r>
      <w:r>
        <w:rPr>
          <w:color w:val="auto"/>
          <w:highlight w:val="none"/>
        </w:rPr>
        <w:t>BIM</w:t>
      </w:r>
      <w:r>
        <w:rPr>
          <w:rFonts w:hint="eastAsia"/>
          <w:color w:val="auto"/>
          <w:highlight w:val="none"/>
        </w:rPr>
        <w:t>咨询顾问审核。</w:t>
      </w:r>
    </w:p>
    <w:p>
      <w:pPr>
        <w:pStyle w:val="217"/>
        <w:rPr>
          <w:color w:val="auto"/>
          <w:highlight w:val="none"/>
        </w:rPr>
      </w:pPr>
      <w:r>
        <w:rPr>
          <w:color w:val="auto"/>
          <w:highlight w:val="none"/>
        </w:rPr>
        <w:t>4.</w:t>
      </w:r>
      <w:r>
        <w:rPr>
          <w:rFonts w:hint="eastAsia"/>
          <w:color w:val="auto"/>
          <w:highlight w:val="none"/>
        </w:rPr>
        <w:t>审查、整合、完善并提交与竣工图纸一致的全专业模型及相关信息、竣工模型应满足竣工模型验收标准，包含施工过程中所产生的信息，能够为运维阶段提供数据支持，为工程款项支付提供辅助支持，竣工模型需交由</w:t>
      </w:r>
      <w:r>
        <w:rPr>
          <w:color w:val="auto"/>
          <w:highlight w:val="none"/>
        </w:rPr>
        <w:t>BIM</w:t>
      </w:r>
      <w:r>
        <w:rPr>
          <w:rFonts w:hint="eastAsia"/>
          <w:color w:val="auto"/>
          <w:highlight w:val="none"/>
        </w:rPr>
        <w:t>咨询顾问审查。</w:t>
      </w:r>
    </w:p>
    <w:p>
      <w:pPr>
        <w:pStyle w:val="172"/>
        <w:rPr>
          <w:color w:val="auto"/>
          <w:szCs w:val="22"/>
          <w:highlight w:val="none"/>
        </w:rPr>
      </w:pPr>
      <w:r>
        <w:rPr>
          <w:color w:val="auto"/>
          <w:szCs w:val="22"/>
          <w:highlight w:val="none"/>
        </w:rPr>
        <w:t>3.2.2</w:t>
      </w:r>
      <w:r>
        <w:rPr>
          <w:rFonts w:hint="eastAsia"/>
          <w:color w:val="auto"/>
          <w:szCs w:val="22"/>
          <w:highlight w:val="none"/>
        </w:rPr>
        <w:t>管理工作</w:t>
      </w:r>
    </w:p>
    <w:p>
      <w:pPr>
        <w:pStyle w:val="217"/>
        <w:rPr>
          <w:color w:val="auto"/>
          <w:highlight w:val="none"/>
        </w:rPr>
      </w:pPr>
      <w:r>
        <w:rPr>
          <w:color w:val="auto"/>
          <w:highlight w:val="none"/>
        </w:rPr>
        <w:t>1.</w:t>
      </w:r>
      <w:r>
        <w:rPr>
          <w:rFonts w:hint="eastAsia"/>
          <w:color w:val="auto"/>
          <w:highlight w:val="none"/>
        </w:rPr>
        <w:t>承包人应服从项目管理单位及</w:t>
      </w:r>
      <w:r>
        <w:rPr>
          <w:color w:val="auto"/>
          <w:highlight w:val="none"/>
        </w:rPr>
        <w:t>BIM</w:t>
      </w:r>
      <w:r>
        <w:rPr>
          <w:rFonts w:hint="eastAsia"/>
          <w:color w:val="auto"/>
          <w:highlight w:val="none"/>
        </w:rPr>
        <w:t>咨询顾问的现场协调管理，以</w:t>
      </w:r>
      <w:r>
        <w:rPr>
          <w:color w:val="auto"/>
          <w:highlight w:val="none"/>
        </w:rPr>
        <w:t>BIM</w:t>
      </w:r>
      <w:r>
        <w:rPr>
          <w:rFonts w:hint="eastAsia"/>
          <w:color w:val="auto"/>
          <w:highlight w:val="none"/>
        </w:rPr>
        <w:t>技术协助招标人、</w:t>
      </w:r>
      <w:r>
        <w:rPr>
          <w:color w:val="auto"/>
          <w:highlight w:val="none"/>
        </w:rPr>
        <w:t>BIM</w:t>
      </w:r>
      <w:r>
        <w:rPr>
          <w:rFonts w:hint="eastAsia"/>
          <w:color w:val="auto"/>
          <w:highlight w:val="none"/>
        </w:rPr>
        <w:t>顾问开展施工方</w:t>
      </w:r>
      <w:r>
        <w:rPr>
          <w:color w:val="auto"/>
          <w:highlight w:val="none"/>
        </w:rPr>
        <w:t>BIM</w:t>
      </w:r>
      <w:r>
        <w:rPr>
          <w:rFonts w:hint="eastAsia"/>
          <w:color w:val="auto"/>
          <w:highlight w:val="none"/>
        </w:rPr>
        <w:t>管理工作，包括但不限于：施工</w:t>
      </w:r>
      <w:r>
        <w:rPr>
          <w:color w:val="auto"/>
          <w:highlight w:val="none"/>
        </w:rPr>
        <w:t>BIM</w:t>
      </w:r>
      <w:r>
        <w:rPr>
          <w:rFonts w:hint="eastAsia"/>
          <w:color w:val="auto"/>
          <w:highlight w:val="none"/>
        </w:rPr>
        <w:t>总包管理；实施总承包合同范围内的</w:t>
      </w:r>
      <w:r>
        <w:rPr>
          <w:color w:val="auto"/>
          <w:highlight w:val="none"/>
        </w:rPr>
        <w:t>BIM</w:t>
      </w:r>
      <w:r>
        <w:rPr>
          <w:rFonts w:hint="eastAsia"/>
          <w:color w:val="auto"/>
          <w:highlight w:val="none"/>
        </w:rPr>
        <w:t>工作。</w:t>
      </w:r>
    </w:p>
    <w:p>
      <w:pPr>
        <w:pStyle w:val="217"/>
        <w:rPr>
          <w:color w:val="auto"/>
          <w:highlight w:val="none"/>
        </w:rPr>
      </w:pPr>
      <w:r>
        <w:rPr>
          <w:color w:val="auto"/>
          <w:highlight w:val="none"/>
        </w:rPr>
        <w:t>2.</w:t>
      </w:r>
      <w:r>
        <w:rPr>
          <w:rFonts w:hint="eastAsia"/>
          <w:color w:val="auto"/>
          <w:highlight w:val="none"/>
        </w:rPr>
        <w:t>承包人负责协调管理各专业承包人</w:t>
      </w:r>
      <w:r>
        <w:rPr>
          <w:color w:val="auto"/>
          <w:highlight w:val="none"/>
        </w:rPr>
        <w:t>/</w:t>
      </w:r>
      <w:r>
        <w:rPr>
          <w:rFonts w:hint="eastAsia"/>
          <w:color w:val="auto"/>
          <w:highlight w:val="none"/>
        </w:rPr>
        <w:t>供应商的</w:t>
      </w:r>
      <w:r>
        <w:rPr>
          <w:color w:val="auto"/>
          <w:highlight w:val="none"/>
        </w:rPr>
        <w:t>BIM</w:t>
      </w:r>
      <w:r>
        <w:rPr>
          <w:rFonts w:hint="eastAsia"/>
          <w:color w:val="auto"/>
          <w:highlight w:val="none"/>
        </w:rPr>
        <w:t>工作，建立</w:t>
      </w:r>
      <w:r>
        <w:rPr>
          <w:color w:val="auto"/>
          <w:highlight w:val="none"/>
        </w:rPr>
        <w:t>BIM</w:t>
      </w:r>
      <w:r>
        <w:rPr>
          <w:rFonts w:hint="eastAsia"/>
          <w:color w:val="auto"/>
          <w:highlight w:val="none"/>
        </w:rPr>
        <w:t>的协调机制、形成</w:t>
      </w:r>
      <w:r>
        <w:rPr>
          <w:color w:val="auto"/>
          <w:highlight w:val="none"/>
        </w:rPr>
        <w:t>BIM</w:t>
      </w:r>
      <w:r>
        <w:rPr>
          <w:rFonts w:hint="eastAsia"/>
          <w:color w:val="auto"/>
          <w:highlight w:val="none"/>
        </w:rPr>
        <w:t>工作流程、建立</w:t>
      </w:r>
      <w:r>
        <w:rPr>
          <w:color w:val="auto"/>
          <w:highlight w:val="none"/>
        </w:rPr>
        <w:t>BIM</w:t>
      </w:r>
      <w:r>
        <w:rPr>
          <w:rFonts w:hint="eastAsia"/>
          <w:color w:val="auto"/>
          <w:highlight w:val="none"/>
        </w:rPr>
        <w:t>评价体系。按</w:t>
      </w:r>
      <w:r>
        <w:rPr>
          <w:color w:val="auto"/>
          <w:highlight w:val="none"/>
        </w:rPr>
        <w:t>BIM</w:t>
      </w:r>
      <w:r>
        <w:rPr>
          <w:rFonts w:hint="eastAsia"/>
          <w:color w:val="auto"/>
          <w:highlight w:val="none"/>
        </w:rPr>
        <w:t>咨询顾问编制的相关</w:t>
      </w:r>
      <w:r>
        <w:rPr>
          <w:color w:val="auto"/>
          <w:highlight w:val="none"/>
        </w:rPr>
        <w:t>BIM</w:t>
      </w:r>
      <w:r>
        <w:rPr>
          <w:rFonts w:hint="eastAsia"/>
          <w:color w:val="auto"/>
          <w:highlight w:val="none"/>
        </w:rPr>
        <w:t>标准对施工阶段专业分包的</w:t>
      </w:r>
      <w:r>
        <w:rPr>
          <w:color w:val="auto"/>
          <w:highlight w:val="none"/>
        </w:rPr>
        <w:t>BIM</w:t>
      </w:r>
      <w:r>
        <w:rPr>
          <w:rFonts w:hint="eastAsia"/>
          <w:color w:val="auto"/>
          <w:highlight w:val="none"/>
        </w:rPr>
        <w:t>成果进行审查并整合，提交审核报告。</w:t>
      </w:r>
    </w:p>
    <w:p>
      <w:pPr>
        <w:pStyle w:val="217"/>
        <w:rPr>
          <w:color w:val="auto"/>
          <w:highlight w:val="none"/>
        </w:rPr>
      </w:pPr>
      <w:r>
        <w:rPr>
          <w:color w:val="auto"/>
          <w:highlight w:val="none"/>
        </w:rPr>
        <w:t>3.</w:t>
      </w:r>
      <w:r>
        <w:rPr>
          <w:rFonts w:hint="eastAsia"/>
          <w:color w:val="auto"/>
          <w:highlight w:val="none"/>
        </w:rPr>
        <w:t>根据</w:t>
      </w:r>
      <w:r>
        <w:rPr>
          <w:color w:val="auto"/>
          <w:highlight w:val="none"/>
        </w:rPr>
        <w:t>BIM</w:t>
      </w:r>
      <w:r>
        <w:rPr>
          <w:rFonts w:hint="eastAsia"/>
          <w:color w:val="auto"/>
          <w:highlight w:val="none"/>
        </w:rPr>
        <w:t>会议机制，参加招标人</w:t>
      </w:r>
      <w:r>
        <w:rPr>
          <w:color w:val="auto"/>
          <w:highlight w:val="none"/>
        </w:rPr>
        <w:t>/BIM</w:t>
      </w:r>
      <w:r>
        <w:rPr>
          <w:rFonts w:hint="eastAsia"/>
          <w:color w:val="auto"/>
          <w:highlight w:val="none"/>
        </w:rPr>
        <w:t>咨询顾问，组织召开的施工</w:t>
      </w:r>
      <w:r>
        <w:rPr>
          <w:color w:val="auto"/>
          <w:highlight w:val="none"/>
        </w:rPr>
        <w:t>BIM</w:t>
      </w:r>
      <w:r>
        <w:rPr>
          <w:rFonts w:hint="eastAsia"/>
          <w:color w:val="auto"/>
          <w:highlight w:val="none"/>
        </w:rPr>
        <w:t>例会，向招标人总结前期</w:t>
      </w:r>
      <w:r>
        <w:rPr>
          <w:color w:val="auto"/>
          <w:highlight w:val="none"/>
        </w:rPr>
        <w:t>BIM</w:t>
      </w:r>
      <w:r>
        <w:rPr>
          <w:rFonts w:hint="eastAsia"/>
          <w:color w:val="auto"/>
          <w:highlight w:val="none"/>
        </w:rPr>
        <w:t>工作，上报</w:t>
      </w:r>
      <w:r>
        <w:rPr>
          <w:color w:val="auto"/>
          <w:highlight w:val="none"/>
        </w:rPr>
        <w:t>BIM</w:t>
      </w:r>
      <w:r>
        <w:rPr>
          <w:rFonts w:hint="eastAsia"/>
          <w:color w:val="auto"/>
          <w:highlight w:val="none"/>
        </w:rPr>
        <w:t>工作计划。</w:t>
      </w:r>
    </w:p>
    <w:p>
      <w:pPr>
        <w:pStyle w:val="172"/>
        <w:rPr>
          <w:color w:val="auto"/>
          <w:highlight w:val="none"/>
        </w:rPr>
      </w:pPr>
      <w:r>
        <w:rPr>
          <w:color w:val="auto"/>
          <w:highlight w:val="none"/>
        </w:rPr>
        <w:t xml:space="preserve">3.2.3 </w:t>
      </w:r>
      <w:r>
        <w:rPr>
          <w:rFonts w:hint="eastAsia"/>
          <w:color w:val="auto"/>
          <w:highlight w:val="none"/>
        </w:rPr>
        <w:t>其他工作</w:t>
      </w:r>
    </w:p>
    <w:p>
      <w:pPr>
        <w:pStyle w:val="217"/>
        <w:rPr>
          <w:color w:val="auto"/>
          <w:highlight w:val="none"/>
        </w:rPr>
      </w:pPr>
      <w:r>
        <w:rPr>
          <w:color w:val="auto"/>
          <w:highlight w:val="none"/>
        </w:rPr>
        <w:t>1.</w:t>
      </w:r>
      <w:r>
        <w:rPr>
          <w:rFonts w:hint="eastAsia"/>
          <w:color w:val="auto"/>
          <w:highlight w:val="none"/>
        </w:rPr>
        <w:t>承包人需服从招标人管理，在平台上开展相关</w:t>
      </w:r>
      <w:r>
        <w:rPr>
          <w:color w:val="auto"/>
          <w:highlight w:val="none"/>
        </w:rPr>
        <w:t>BIM</w:t>
      </w:r>
      <w:r>
        <w:rPr>
          <w:rFonts w:hint="eastAsia"/>
          <w:color w:val="auto"/>
          <w:highlight w:val="none"/>
        </w:rPr>
        <w:t>工作。</w:t>
      </w:r>
    </w:p>
    <w:p>
      <w:pPr>
        <w:pStyle w:val="217"/>
        <w:rPr>
          <w:color w:val="auto"/>
          <w:highlight w:val="none"/>
        </w:rPr>
      </w:pPr>
      <w:r>
        <w:rPr>
          <w:color w:val="auto"/>
          <w:highlight w:val="none"/>
        </w:rPr>
        <w:t>2.</w:t>
      </w:r>
      <w:r>
        <w:rPr>
          <w:rFonts w:hint="eastAsia"/>
          <w:color w:val="auto"/>
          <w:highlight w:val="none"/>
        </w:rPr>
        <w:t>配合完成招标人的宣传工作，同时应协助招标人申报各类奖项，提供相应的素材和报奖资料。</w:t>
      </w:r>
    </w:p>
    <w:p>
      <w:pPr>
        <w:pStyle w:val="217"/>
        <w:rPr>
          <w:color w:val="auto"/>
          <w:highlight w:val="none"/>
        </w:rPr>
      </w:pPr>
      <w:r>
        <w:rPr>
          <w:color w:val="auto"/>
          <w:highlight w:val="none"/>
        </w:rPr>
        <w:t>3.</w:t>
      </w:r>
      <w:r>
        <w:rPr>
          <w:rFonts w:hint="eastAsia"/>
          <w:color w:val="auto"/>
          <w:highlight w:val="none"/>
        </w:rPr>
        <w:t>鉴于本项目的特殊性，中标后承包人向发包人派遣</w:t>
      </w:r>
      <w:r>
        <w:rPr>
          <w:color w:val="auto"/>
          <w:highlight w:val="none"/>
        </w:rPr>
        <w:t>3</w:t>
      </w:r>
      <w:r>
        <w:rPr>
          <w:rFonts w:hint="eastAsia"/>
          <w:color w:val="auto"/>
          <w:highlight w:val="none"/>
        </w:rPr>
        <w:t>名工作人员，工作期限两年，工资</w:t>
      </w:r>
      <w:r>
        <w:rPr>
          <w:color w:val="auto"/>
          <w:highlight w:val="none"/>
        </w:rPr>
        <w:t>5000~8000</w:t>
      </w:r>
      <w:r>
        <w:rPr>
          <w:rFonts w:hint="eastAsia"/>
          <w:color w:val="auto"/>
          <w:highlight w:val="none"/>
        </w:rPr>
        <w:t>元</w:t>
      </w:r>
      <w:r>
        <w:rPr>
          <w:color w:val="auto"/>
          <w:highlight w:val="none"/>
        </w:rPr>
        <w:t>/</w:t>
      </w:r>
      <w:r>
        <w:rPr>
          <w:rFonts w:hint="eastAsia"/>
          <w:color w:val="auto"/>
          <w:highlight w:val="none"/>
        </w:rPr>
        <w:t>月（税前），此费用已包含在投标报价中，发包人不另外支付。</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）工作内容中标后由发包人根据项目情况具体拟定；</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）中标后，承包人根据发包人提出的条件进行社会招聘，由发包人进行面试</w:t>
      </w:r>
      <w:r>
        <w:rPr>
          <w:rFonts w:hint="eastAsia"/>
          <w:color w:val="auto"/>
          <w:highlight w:val="none"/>
          <w:lang w:eastAsia="zh-CN"/>
        </w:rPr>
        <w:t>并书面</w:t>
      </w:r>
      <w:r>
        <w:rPr>
          <w:rFonts w:hint="eastAsia"/>
          <w:color w:val="auto"/>
          <w:highlight w:val="none"/>
        </w:rPr>
        <w:t>同意后承包人与其办理聘用手续。聘用期间工作人员达不到发包人工作要求的，发包人有权更换，承包人需另外招聘工作人员直至发包人满意。</w:t>
      </w:r>
    </w:p>
    <w:p>
      <w:pPr>
        <w:pStyle w:val="217"/>
        <w:rPr>
          <w:color w:val="auto"/>
          <w:highlight w:val="none"/>
        </w:rPr>
      </w:pPr>
      <w:r>
        <w:rPr>
          <w:rFonts w:hint="eastAsia"/>
          <w:color w:val="auto"/>
          <w:highlight w:val="none"/>
        </w:rPr>
        <w:t>（</w:t>
      </w:r>
      <w:r>
        <w:rPr>
          <w:color w:val="auto"/>
          <w:highlight w:val="none"/>
        </w:rPr>
        <w:t>3</w:t>
      </w:r>
      <w:r>
        <w:rPr>
          <w:rFonts w:hint="eastAsia"/>
          <w:color w:val="auto"/>
          <w:highlight w:val="none"/>
        </w:rPr>
        <w:t>）派遣工作人员的日常考勤考核由发包人负责。</w:t>
      </w:r>
    </w:p>
    <w:p>
      <w:pPr>
        <w:pStyle w:val="113"/>
        <w:spacing w:before="120" w:after="120"/>
        <w:outlineLvl w:val="2"/>
        <w:rPr>
          <w:color w:val="auto"/>
          <w:szCs w:val="22"/>
          <w:highlight w:val="none"/>
        </w:rPr>
      </w:pPr>
      <w:bookmarkStart w:id="8262" w:name="_Toc505345852"/>
      <w:bookmarkStart w:id="8263" w:name="_Toc69114281"/>
      <w:bookmarkStart w:id="8264" w:name="_Toc66634540"/>
      <w:bookmarkStart w:id="8265" w:name="_Toc66890535"/>
      <w:r>
        <w:rPr>
          <w:color w:val="auto"/>
          <w:szCs w:val="22"/>
          <w:highlight w:val="none"/>
        </w:rPr>
        <w:t>3.3  BIM</w:t>
      </w:r>
      <w:r>
        <w:rPr>
          <w:rFonts w:hint="eastAsia"/>
          <w:color w:val="auto"/>
          <w:szCs w:val="22"/>
          <w:highlight w:val="none"/>
        </w:rPr>
        <w:t>实施进度要求</w:t>
      </w:r>
      <w:bookmarkEnd w:id="8262"/>
      <w:bookmarkEnd w:id="8263"/>
      <w:bookmarkEnd w:id="8264"/>
      <w:bookmarkEnd w:id="8265"/>
    </w:p>
    <w:p>
      <w:pPr>
        <w:rPr>
          <w:color w:val="auto"/>
          <w:highlight w:val="none"/>
        </w:rPr>
      </w:pPr>
      <w:r>
        <w:rPr>
          <w:color w:val="auto"/>
          <w:highlight w:val="none"/>
        </w:rPr>
        <w:t xml:space="preserve">     </w:t>
      </w:r>
    </w:p>
    <w:tbl>
      <w:tblPr>
        <w:tblStyle w:val="43"/>
        <w:tblW w:w="8931" w:type="dxa"/>
        <w:tblInd w:w="-176" w:type="dxa"/>
        <w:tblLayout w:type="fixed"/>
        <w:tblCellMar>
          <w:top w:w="0" w:type="dxa"/>
          <w:left w:w="108" w:type="dxa"/>
          <w:bottom w:w="0" w:type="dxa"/>
          <w:right w:w="108" w:type="dxa"/>
        </w:tblCellMar>
      </w:tblPr>
      <w:tblGrid>
        <w:gridCol w:w="901"/>
        <w:gridCol w:w="3059"/>
        <w:gridCol w:w="4971"/>
      </w:tblGrid>
      <w:tr>
        <w:tblPrEx>
          <w:tblCellMar>
            <w:top w:w="0" w:type="dxa"/>
            <w:left w:w="108" w:type="dxa"/>
            <w:bottom w:w="0" w:type="dxa"/>
            <w:right w:w="108" w:type="dxa"/>
          </w:tblCellMar>
        </w:tblPrEx>
        <w:trPr>
          <w:trHeight w:val="567" w:hRule="atLeast"/>
        </w:trPr>
        <w:tc>
          <w:tcPr>
            <w:tcW w:w="901" w:type="dxa"/>
            <w:tcBorders>
              <w:top w:val="single" w:color="000000" w:sz="2" w:space="0"/>
              <w:left w:val="single" w:color="000000" w:sz="2" w:space="0"/>
              <w:bottom w:val="single" w:color="000000" w:sz="2" w:space="0"/>
              <w:right w:val="single" w:color="000000" w:sz="2" w:space="0"/>
            </w:tcBorders>
            <w:shd w:val="clear" w:color="auto" w:fill="FFFFFF"/>
            <w:noWrap w:val="0"/>
            <w:vAlign w:val="center"/>
          </w:tcPr>
          <w:p>
            <w:pPr>
              <w:rPr>
                <w:color w:val="auto"/>
                <w:highlight w:val="none"/>
              </w:rPr>
            </w:pPr>
            <w:r>
              <w:rPr>
                <w:rFonts w:hint="eastAsia"/>
                <w:color w:val="auto"/>
                <w:highlight w:val="none"/>
              </w:rPr>
              <w:t>序号</w:t>
            </w:r>
          </w:p>
        </w:tc>
        <w:tc>
          <w:tcPr>
            <w:tcW w:w="3059" w:type="dxa"/>
            <w:tcBorders>
              <w:top w:val="single" w:color="000000" w:sz="2" w:space="0"/>
              <w:left w:val="single" w:color="000000" w:sz="2" w:space="0"/>
              <w:bottom w:val="single" w:color="000000" w:sz="2" w:space="0"/>
              <w:right w:val="single" w:color="000000" w:sz="2" w:space="0"/>
            </w:tcBorders>
            <w:shd w:val="clear" w:color="auto" w:fill="FFFFFF"/>
            <w:noWrap w:val="0"/>
            <w:vAlign w:val="center"/>
          </w:tcPr>
          <w:p>
            <w:pPr>
              <w:rPr>
                <w:color w:val="auto"/>
                <w:highlight w:val="none"/>
              </w:rPr>
            </w:pPr>
            <w:r>
              <w:rPr>
                <w:rFonts w:hint="eastAsia"/>
                <w:color w:val="auto"/>
                <w:highlight w:val="none"/>
              </w:rPr>
              <w:t>内容</w:t>
            </w:r>
          </w:p>
        </w:tc>
        <w:tc>
          <w:tcPr>
            <w:tcW w:w="4971" w:type="dxa"/>
            <w:tcBorders>
              <w:top w:val="single" w:color="000000" w:sz="2" w:space="0"/>
              <w:left w:val="single" w:color="000000" w:sz="2" w:space="0"/>
              <w:bottom w:val="single" w:color="000000" w:sz="2" w:space="0"/>
              <w:right w:val="single" w:color="000000" w:sz="2" w:space="0"/>
            </w:tcBorders>
            <w:shd w:val="clear" w:color="auto" w:fill="FFFFFF"/>
            <w:noWrap w:val="0"/>
            <w:vAlign w:val="center"/>
          </w:tcPr>
          <w:p>
            <w:pPr>
              <w:rPr>
                <w:color w:val="auto"/>
                <w:highlight w:val="none"/>
              </w:rPr>
            </w:pPr>
            <w:r>
              <w:rPr>
                <w:rFonts w:hint="eastAsia"/>
                <w:color w:val="auto"/>
                <w:highlight w:val="none"/>
              </w:rPr>
              <w:t>时间</w:t>
            </w:r>
          </w:p>
        </w:tc>
      </w:tr>
      <w:tr>
        <w:tblPrEx>
          <w:tblCellMar>
            <w:top w:w="0" w:type="dxa"/>
            <w:left w:w="108" w:type="dxa"/>
            <w:bottom w:w="0" w:type="dxa"/>
            <w:right w:w="108" w:type="dxa"/>
          </w:tblCellMar>
        </w:tblPrEx>
        <w:trPr>
          <w:trHeight w:val="567" w:hRule="atLeast"/>
        </w:trPr>
        <w:tc>
          <w:tcPr>
            <w:tcW w:w="901" w:type="dxa"/>
            <w:tcBorders>
              <w:top w:val="single" w:color="000000" w:sz="2" w:space="0"/>
              <w:left w:val="single" w:color="000000" w:sz="2" w:space="0"/>
              <w:bottom w:val="single" w:color="000000" w:sz="2" w:space="0"/>
              <w:right w:val="single" w:color="000000" w:sz="2" w:space="0"/>
            </w:tcBorders>
            <w:shd w:val="clear" w:color="auto" w:fill="FFFFFF"/>
            <w:noWrap w:val="0"/>
            <w:vAlign w:val="center"/>
          </w:tcPr>
          <w:p>
            <w:pPr>
              <w:rPr>
                <w:color w:val="auto"/>
                <w:highlight w:val="none"/>
              </w:rPr>
            </w:pPr>
            <w:r>
              <w:rPr>
                <w:color w:val="auto"/>
                <w:highlight w:val="none"/>
              </w:rPr>
              <w:t>1</w:t>
            </w:r>
          </w:p>
        </w:tc>
        <w:tc>
          <w:tcPr>
            <w:tcW w:w="3059" w:type="dxa"/>
            <w:tcBorders>
              <w:top w:val="single" w:color="000000" w:sz="2" w:space="0"/>
              <w:left w:val="single" w:color="000000" w:sz="2" w:space="0"/>
              <w:bottom w:val="single" w:color="000000" w:sz="2" w:space="0"/>
              <w:right w:val="single" w:color="000000" w:sz="2" w:space="0"/>
            </w:tcBorders>
            <w:shd w:val="clear" w:color="auto" w:fill="FFFFFF"/>
            <w:noWrap w:val="0"/>
            <w:vAlign w:val="center"/>
          </w:tcPr>
          <w:p>
            <w:pPr>
              <w:rPr>
                <w:color w:val="auto"/>
                <w:highlight w:val="none"/>
              </w:rPr>
            </w:pPr>
            <w:r>
              <w:rPr>
                <w:color w:val="auto"/>
                <w:highlight w:val="none"/>
              </w:rPr>
              <w:t>BIM</w:t>
            </w:r>
            <w:r>
              <w:rPr>
                <w:rFonts w:hint="eastAsia"/>
                <w:color w:val="auto"/>
                <w:highlight w:val="none"/>
              </w:rPr>
              <w:t>准备阶段</w:t>
            </w:r>
          </w:p>
        </w:tc>
        <w:tc>
          <w:tcPr>
            <w:tcW w:w="4971" w:type="dxa"/>
            <w:tcBorders>
              <w:top w:val="single" w:color="000000" w:sz="2" w:space="0"/>
              <w:left w:val="single" w:color="000000" w:sz="2" w:space="0"/>
              <w:bottom w:val="single" w:color="000000" w:sz="2" w:space="0"/>
              <w:right w:val="single" w:color="000000" w:sz="2" w:space="0"/>
            </w:tcBorders>
            <w:shd w:val="clear" w:color="auto" w:fill="FFFFFF"/>
            <w:noWrap w:val="0"/>
            <w:vAlign w:val="center"/>
          </w:tcPr>
          <w:p>
            <w:pPr>
              <w:rPr>
                <w:color w:val="auto"/>
                <w:highlight w:val="none"/>
              </w:rPr>
            </w:pPr>
            <w:r>
              <w:rPr>
                <w:rFonts w:hint="eastAsia"/>
                <w:color w:val="auto"/>
                <w:highlight w:val="none"/>
              </w:rPr>
              <w:t>合同签定后</w:t>
            </w:r>
            <w:r>
              <w:rPr>
                <w:color w:val="auto"/>
                <w:highlight w:val="none"/>
              </w:rPr>
              <w:t>10</w:t>
            </w:r>
            <w:r>
              <w:rPr>
                <w:rFonts w:hint="eastAsia"/>
                <w:color w:val="auto"/>
                <w:highlight w:val="none"/>
              </w:rPr>
              <w:t>个工作日起进行交付，施工准备阶段之前完成。</w:t>
            </w:r>
          </w:p>
        </w:tc>
      </w:tr>
      <w:tr>
        <w:tblPrEx>
          <w:tblCellMar>
            <w:top w:w="0" w:type="dxa"/>
            <w:left w:w="108" w:type="dxa"/>
            <w:bottom w:w="0" w:type="dxa"/>
            <w:right w:w="108" w:type="dxa"/>
          </w:tblCellMar>
        </w:tblPrEx>
        <w:trPr>
          <w:trHeight w:val="567" w:hRule="atLeast"/>
        </w:trPr>
        <w:tc>
          <w:tcPr>
            <w:tcW w:w="901" w:type="dxa"/>
            <w:tcBorders>
              <w:top w:val="single" w:color="000000" w:sz="2" w:space="0"/>
              <w:left w:val="single" w:color="000000" w:sz="2" w:space="0"/>
              <w:bottom w:val="single" w:color="000000" w:sz="2" w:space="0"/>
              <w:right w:val="single" w:color="000000" w:sz="2" w:space="0"/>
            </w:tcBorders>
            <w:shd w:val="clear" w:color="auto" w:fill="E0E0E0"/>
            <w:noWrap w:val="0"/>
            <w:vAlign w:val="center"/>
          </w:tcPr>
          <w:p>
            <w:pPr>
              <w:rPr>
                <w:color w:val="auto"/>
                <w:highlight w:val="none"/>
              </w:rPr>
            </w:pPr>
            <w:r>
              <w:rPr>
                <w:color w:val="auto"/>
                <w:highlight w:val="none"/>
              </w:rPr>
              <w:t>2</w:t>
            </w:r>
          </w:p>
        </w:tc>
        <w:tc>
          <w:tcPr>
            <w:tcW w:w="3059" w:type="dxa"/>
            <w:tcBorders>
              <w:top w:val="single" w:color="000000" w:sz="2" w:space="0"/>
              <w:left w:val="single" w:color="000000" w:sz="2" w:space="0"/>
              <w:bottom w:val="single" w:color="000000" w:sz="2" w:space="0"/>
              <w:right w:val="single" w:color="000000" w:sz="2" w:space="0"/>
            </w:tcBorders>
            <w:shd w:val="clear" w:color="auto" w:fill="E0E0E0"/>
            <w:noWrap w:val="0"/>
            <w:vAlign w:val="center"/>
          </w:tcPr>
          <w:p>
            <w:pPr>
              <w:rPr>
                <w:color w:val="auto"/>
                <w:highlight w:val="none"/>
              </w:rPr>
            </w:pPr>
            <w:r>
              <w:rPr>
                <w:rFonts w:hint="eastAsia"/>
                <w:color w:val="auto"/>
                <w:highlight w:val="none"/>
              </w:rPr>
              <w:t>信息平台搭建协助与部署</w:t>
            </w:r>
          </w:p>
        </w:tc>
        <w:tc>
          <w:tcPr>
            <w:tcW w:w="4971" w:type="dxa"/>
            <w:tcBorders>
              <w:top w:val="single" w:color="000000" w:sz="2" w:space="0"/>
              <w:left w:val="single" w:color="000000" w:sz="2" w:space="0"/>
              <w:bottom w:val="single" w:color="000000" w:sz="2" w:space="0"/>
              <w:right w:val="single" w:color="000000" w:sz="2" w:space="0"/>
            </w:tcBorders>
            <w:shd w:val="clear" w:color="auto" w:fill="E0E0E0"/>
            <w:noWrap w:val="0"/>
            <w:vAlign w:val="center"/>
          </w:tcPr>
          <w:p>
            <w:pPr>
              <w:rPr>
                <w:color w:val="auto"/>
                <w:highlight w:val="none"/>
              </w:rPr>
            </w:pPr>
            <w:r>
              <w:rPr>
                <w:rFonts w:hint="eastAsia"/>
                <w:color w:val="auto"/>
                <w:highlight w:val="none"/>
              </w:rPr>
              <w:t>合同签订后</w:t>
            </w:r>
            <w:r>
              <w:rPr>
                <w:color w:val="auto"/>
                <w:highlight w:val="none"/>
              </w:rPr>
              <w:t>15</w:t>
            </w:r>
            <w:r>
              <w:rPr>
                <w:rFonts w:hint="eastAsia"/>
                <w:color w:val="auto"/>
                <w:highlight w:val="none"/>
              </w:rPr>
              <w:t>个工作日起进行部署交付，施工准备阶段之前完成。</w:t>
            </w:r>
          </w:p>
        </w:tc>
      </w:tr>
      <w:tr>
        <w:tblPrEx>
          <w:tblCellMar>
            <w:top w:w="0" w:type="dxa"/>
            <w:left w:w="108" w:type="dxa"/>
            <w:bottom w:w="0" w:type="dxa"/>
            <w:right w:w="108" w:type="dxa"/>
          </w:tblCellMar>
        </w:tblPrEx>
        <w:trPr>
          <w:trHeight w:val="567" w:hRule="atLeast"/>
        </w:trPr>
        <w:tc>
          <w:tcPr>
            <w:tcW w:w="901" w:type="dxa"/>
            <w:tcBorders>
              <w:top w:val="single" w:color="000000" w:sz="2" w:space="0"/>
              <w:left w:val="single" w:color="000000" w:sz="2" w:space="0"/>
              <w:bottom w:val="single" w:color="000000" w:sz="2" w:space="0"/>
              <w:right w:val="single" w:color="000000" w:sz="2" w:space="0"/>
            </w:tcBorders>
            <w:shd w:val="clear" w:color="auto" w:fill="FFFFFF"/>
            <w:noWrap w:val="0"/>
            <w:vAlign w:val="center"/>
          </w:tcPr>
          <w:p>
            <w:pPr>
              <w:rPr>
                <w:color w:val="auto"/>
                <w:highlight w:val="none"/>
              </w:rPr>
            </w:pPr>
            <w:r>
              <w:rPr>
                <w:color w:val="auto"/>
                <w:highlight w:val="none"/>
              </w:rPr>
              <w:t>3</w:t>
            </w:r>
          </w:p>
        </w:tc>
        <w:tc>
          <w:tcPr>
            <w:tcW w:w="3059" w:type="dxa"/>
            <w:tcBorders>
              <w:top w:val="single" w:color="000000" w:sz="2" w:space="0"/>
              <w:left w:val="single" w:color="000000" w:sz="2" w:space="0"/>
              <w:bottom w:val="single" w:color="000000" w:sz="2" w:space="0"/>
              <w:right w:val="single" w:color="000000" w:sz="2" w:space="0"/>
            </w:tcBorders>
            <w:shd w:val="clear" w:color="auto" w:fill="FFFFFF"/>
            <w:noWrap w:val="0"/>
            <w:vAlign w:val="center"/>
          </w:tcPr>
          <w:p>
            <w:pPr>
              <w:rPr>
                <w:color w:val="auto"/>
                <w:highlight w:val="none"/>
              </w:rPr>
            </w:pPr>
            <w:r>
              <w:rPr>
                <w:rFonts w:hint="eastAsia"/>
                <w:color w:val="auto"/>
                <w:highlight w:val="none"/>
              </w:rPr>
              <w:t>施工准备阶段</w:t>
            </w:r>
            <w:r>
              <w:rPr>
                <w:color w:val="auto"/>
                <w:highlight w:val="none"/>
              </w:rPr>
              <w:t>BIM</w:t>
            </w:r>
            <w:r>
              <w:rPr>
                <w:rFonts w:hint="eastAsia"/>
                <w:color w:val="auto"/>
                <w:highlight w:val="none"/>
              </w:rPr>
              <w:t>应用实施</w:t>
            </w:r>
          </w:p>
        </w:tc>
        <w:tc>
          <w:tcPr>
            <w:tcW w:w="4971" w:type="dxa"/>
            <w:tcBorders>
              <w:top w:val="single" w:color="000000" w:sz="2" w:space="0"/>
              <w:left w:val="single" w:color="000000" w:sz="2" w:space="0"/>
              <w:bottom w:val="single" w:color="000000" w:sz="2" w:space="0"/>
              <w:right w:val="single" w:color="000000" w:sz="2" w:space="0"/>
            </w:tcBorders>
            <w:shd w:val="clear" w:color="auto" w:fill="FFFFFF"/>
            <w:noWrap w:val="0"/>
            <w:vAlign w:val="center"/>
          </w:tcPr>
          <w:p>
            <w:pPr>
              <w:rPr>
                <w:color w:val="auto"/>
                <w:highlight w:val="none"/>
              </w:rPr>
            </w:pPr>
            <w:r>
              <w:rPr>
                <w:color w:val="auto"/>
                <w:highlight w:val="none"/>
              </w:rPr>
              <w:t>BIM</w:t>
            </w:r>
            <w:r>
              <w:rPr>
                <w:rFonts w:hint="eastAsia"/>
                <w:color w:val="auto"/>
                <w:highlight w:val="none"/>
              </w:rPr>
              <w:t>准备工作结束，施工开工之前完成。</w:t>
            </w:r>
          </w:p>
        </w:tc>
      </w:tr>
      <w:tr>
        <w:tblPrEx>
          <w:tblCellMar>
            <w:top w:w="0" w:type="dxa"/>
            <w:left w:w="108" w:type="dxa"/>
            <w:bottom w:w="0" w:type="dxa"/>
            <w:right w:w="108" w:type="dxa"/>
          </w:tblCellMar>
        </w:tblPrEx>
        <w:trPr>
          <w:trHeight w:val="567" w:hRule="atLeast"/>
        </w:trPr>
        <w:tc>
          <w:tcPr>
            <w:tcW w:w="901" w:type="dxa"/>
            <w:tcBorders>
              <w:top w:val="single" w:color="000000" w:sz="2" w:space="0"/>
              <w:left w:val="single" w:color="000000" w:sz="2" w:space="0"/>
              <w:bottom w:val="single" w:color="000000" w:sz="2" w:space="0"/>
              <w:right w:val="single" w:color="000000" w:sz="2" w:space="0"/>
            </w:tcBorders>
            <w:shd w:val="clear" w:color="auto" w:fill="E0E0E0"/>
            <w:noWrap w:val="0"/>
            <w:vAlign w:val="center"/>
          </w:tcPr>
          <w:p>
            <w:pPr>
              <w:rPr>
                <w:color w:val="auto"/>
                <w:highlight w:val="none"/>
              </w:rPr>
            </w:pPr>
            <w:r>
              <w:rPr>
                <w:color w:val="auto"/>
                <w:highlight w:val="none"/>
              </w:rPr>
              <w:t>4</w:t>
            </w:r>
          </w:p>
        </w:tc>
        <w:tc>
          <w:tcPr>
            <w:tcW w:w="3059" w:type="dxa"/>
            <w:tcBorders>
              <w:top w:val="single" w:color="000000" w:sz="2" w:space="0"/>
              <w:left w:val="single" w:color="000000" w:sz="2" w:space="0"/>
              <w:bottom w:val="single" w:color="000000" w:sz="2" w:space="0"/>
              <w:right w:val="single" w:color="000000" w:sz="2" w:space="0"/>
            </w:tcBorders>
            <w:shd w:val="clear" w:color="auto" w:fill="E0E0E0"/>
            <w:noWrap w:val="0"/>
            <w:vAlign w:val="center"/>
          </w:tcPr>
          <w:p>
            <w:pPr>
              <w:rPr>
                <w:color w:val="auto"/>
                <w:highlight w:val="none"/>
              </w:rPr>
            </w:pPr>
            <w:r>
              <w:rPr>
                <w:rFonts w:hint="eastAsia"/>
                <w:color w:val="auto"/>
                <w:highlight w:val="none"/>
              </w:rPr>
              <w:t>施工实施阶段</w:t>
            </w:r>
            <w:r>
              <w:rPr>
                <w:color w:val="auto"/>
                <w:highlight w:val="none"/>
              </w:rPr>
              <w:t>BIM</w:t>
            </w:r>
            <w:r>
              <w:rPr>
                <w:rFonts w:hint="eastAsia"/>
                <w:color w:val="auto"/>
                <w:highlight w:val="none"/>
              </w:rPr>
              <w:t>应用实施</w:t>
            </w:r>
          </w:p>
        </w:tc>
        <w:tc>
          <w:tcPr>
            <w:tcW w:w="4971" w:type="dxa"/>
            <w:tcBorders>
              <w:top w:val="single" w:color="000000" w:sz="2" w:space="0"/>
              <w:left w:val="single" w:color="000000" w:sz="2" w:space="0"/>
              <w:bottom w:val="single" w:color="000000" w:sz="2" w:space="0"/>
              <w:right w:val="single" w:color="000000" w:sz="2" w:space="0"/>
            </w:tcBorders>
            <w:shd w:val="clear" w:color="auto" w:fill="E0E0E0"/>
            <w:noWrap w:val="0"/>
            <w:vAlign w:val="center"/>
          </w:tcPr>
          <w:p>
            <w:pPr>
              <w:rPr>
                <w:color w:val="auto"/>
                <w:highlight w:val="none"/>
              </w:rPr>
            </w:pPr>
            <w:r>
              <w:rPr>
                <w:rFonts w:hint="eastAsia"/>
                <w:color w:val="auto"/>
                <w:highlight w:val="none"/>
              </w:rPr>
              <w:t>与实际施工进度同步实施，施工结束时完成。</w:t>
            </w:r>
          </w:p>
        </w:tc>
      </w:tr>
      <w:tr>
        <w:tblPrEx>
          <w:tblCellMar>
            <w:top w:w="0" w:type="dxa"/>
            <w:left w:w="108" w:type="dxa"/>
            <w:bottom w:w="0" w:type="dxa"/>
            <w:right w:w="108" w:type="dxa"/>
          </w:tblCellMar>
        </w:tblPrEx>
        <w:trPr>
          <w:trHeight w:val="567" w:hRule="atLeast"/>
        </w:trPr>
        <w:tc>
          <w:tcPr>
            <w:tcW w:w="901" w:type="dxa"/>
            <w:tcBorders>
              <w:top w:val="single" w:color="000000" w:sz="2" w:space="0"/>
              <w:left w:val="single" w:color="000000" w:sz="2" w:space="0"/>
              <w:bottom w:val="single" w:color="000000" w:sz="2" w:space="0"/>
              <w:right w:val="single" w:color="000000" w:sz="2" w:space="0"/>
            </w:tcBorders>
            <w:shd w:val="clear" w:color="auto" w:fill="FFFFFF"/>
            <w:noWrap w:val="0"/>
            <w:vAlign w:val="center"/>
          </w:tcPr>
          <w:p>
            <w:pPr>
              <w:rPr>
                <w:color w:val="auto"/>
                <w:highlight w:val="none"/>
              </w:rPr>
            </w:pPr>
            <w:r>
              <w:rPr>
                <w:color w:val="auto"/>
                <w:highlight w:val="none"/>
              </w:rPr>
              <w:t>5</w:t>
            </w:r>
          </w:p>
        </w:tc>
        <w:tc>
          <w:tcPr>
            <w:tcW w:w="3059" w:type="dxa"/>
            <w:tcBorders>
              <w:top w:val="single" w:color="000000" w:sz="2" w:space="0"/>
              <w:left w:val="single" w:color="000000" w:sz="2" w:space="0"/>
              <w:bottom w:val="single" w:color="000000" w:sz="2" w:space="0"/>
              <w:right w:val="single" w:color="000000" w:sz="2" w:space="0"/>
            </w:tcBorders>
            <w:shd w:val="clear" w:color="auto" w:fill="FFFFFF"/>
            <w:noWrap w:val="0"/>
            <w:vAlign w:val="center"/>
          </w:tcPr>
          <w:p>
            <w:pPr>
              <w:rPr>
                <w:color w:val="auto"/>
                <w:highlight w:val="none"/>
              </w:rPr>
            </w:pPr>
            <w:r>
              <w:rPr>
                <w:rFonts w:hint="eastAsia"/>
                <w:color w:val="auto"/>
                <w:highlight w:val="none"/>
              </w:rPr>
              <w:t>竣工实施阶段</w:t>
            </w:r>
            <w:r>
              <w:rPr>
                <w:color w:val="auto"/>
                <w:highlight w:val="none"/>
              </w:rPr>
              <w:t>BIM</w:t>
            </w:r>
            <w:r>
              <w:rPr>
                <w:rFonts w:hint="eastAsia"/>
                <w:color w:val="auto"/>
                <w:highlight w:val="none"/>
              </w:rPr>
              <w:t>应用实施</w:t>
            </w:r>
          </w:p>
        </w:tc>
        <w:tc>
          <w:tcPr>
            <w:tcW w:w="4971" w:type="dxa"/>
            <w:tcBorders>
              <w:top w:val="single" w:color="000000" w:sz="2" w:space="0"/>
              <w:left w:val="single" w:color="000000" w:sz="2" w:space="0"/>
              <w:bottom w:val="single" w:color="000000" w:sz="2" w:space="0"/>
              <w:right w:val="single" w:color="000000" w:sz="2" w:space="0"/>
            </w:tcBorders>
            <w:shd w:val="clear" w:color="auto" w:fill="FFFFFF"/>
            <w:noWrap w:val="0"/>
            <w:vAlign w:val="center"/>
          </w:tcPr>
          <w:p>
            <w:pPr>
              <w:rPr>
                <w:color w:val="auto"/>
                <w:highlight w:val="none"/>
              </w:rPr>
            </w:pPr>
            <w:r>
              <w:rPr>
                <w:rFonts w:hint="eastAsia"/>
                <w:color w:val="auto"/>
                <w:highlight w:val="none"/>
              </w:rPr>
              <w:t>与阶段竣工和综合竣工进度同步实施，与工程移交同步完成。</w:t>
            </w:r>
          </w:p>
        </w:tc>
      </w:tr>
      <w:tr>
        <w:tblPrEx>
          <w:tblCellMar>
            <w:top w:w="0" w:type="dxa"/>
            <w:left w:w="108" w:type="dxa"/>
            <w:bottom w:w="0" w:type="dxa"/>
            <w:right w:w="108" w:type="dxa"/>
          </w:tblCellMar>
        </w:tblPrEx>
        <w:trPr>
          <w:trHeight w:val="567" w:hRule="atLeast"/>
        </w:trPr>
        <w:tc>
          <w:tcPr>
            <w:tcW w:w="901" w:type="dxa"/>
            <w:tcBorders>
              <w:top w:val="single" w:color="000000" w:sz="2" w:space="0"/>
              <w:left w:val="single" w:color="000000" w:sz="2" w:space="0"/>
              <w:bottom w:val="single" w:color="000000" w:sz="2" w:space="0"/>
              <w:right w:val="single" w:color="000000" w:sz="2" w:space="0"/>
            </w:tcBorders>
            <w:shd w:val="clear" w:color="auto" w:fill="E0E0E0"/>
            <w:noWrap w:val="0"/>
            <w:vAlign w:val="center"/>
          </w:tcPr>
          <w:p>
            <w:pPr>
              <w:rPr>
                <w:color w:val="auto"/>
                <w:highlight w:val="none"/>
              </w:rPr>
            </w:pPr>
            <w:r>
              <w:rPr>
                <w:color w:val="auto"/>
                <w:highlight w:val="none"/>
              </w:rPr>
              <w:t>6</w:t>
            </w:r>
          </w:p>
        </w:tc>
        <w:tc>
          <w:tcPr>
            <w:tcW w:w="3059" w:type="dxa"/>
            <w:tcBorders>
              <w:top w:val="single" w:color="000000" w:sz="2" w:space="0"/>
              <w:left w:val="single" w:color="000000" w:sz="2" w:space="0"/>
              <w:bottom w:val="single" w:color="000000" w:sz="2" w:space="0"/>
              <w:right w:val="single" w:color="000000" w:sz="2" w:space="0"/>
            </w:tcBorders>
            <w:shd w:val="clear" w:color="auto" w:fill="E0E0E0"/>
            <w:noWrap w:val="0"/>
            <w:vAlign w:val="center"/>
          </w:tcPr>
          <w:p>
            <w:pPr>
              <w:rPr>
                <w:color w:val="auto"/>
                <w:highlight w:val="none"/>
              </w:rPr>
            </w:pPr>
            <w:r>
              <w:rPr>
                <w:color w:val="auto"/>
                <w:highlight w:val="none"/>
              </w:rPr>
              <w:t>BIM</w:t>
            </w:r>
            <w:r>
              <w:rPr>
                <w:rFonts w:hint="eastAsia"/>
                <w:color w:val="auto"/>
                <w:highlight w:val="none"/>
              </w:rPr>
              <w:t>运维数据接口开发实施</w:t>
            </w:r>
          </w:p>
        </w:tc>
        <w:tc>
          <w:tcPr>
            <w:tcW w:w="4971" w:type="dxa"/>
            <w:tcBorders>
              <w:top w:val="single" w:color="000000" w:sz="2" w:space="0"/>
              <w:left w:val="single" w:color="000000" w:sz="2" w:space="0"/>
              <w:bottom w:val="single" w:color="000000" w:sz="2" w:space="0"/>
              <w:right w:val="single" w:color="000000" w:sz="2" w:space="0"/>
            </w:tcBorders>
            <w:shd w:val="clear" w:color="auto" w:fill="E0E0E0"/>
            <w:noWrap w:val="0"/>
            <w:vAlign w:val="center"/>
          </w:tcPr>
          <w:p>
            <w:pPr>
              <w:rPr>
                <w:color w:val="auto"/>
                <w:highlight w:val="none"/>
              </w:rPr>
            </w:pPr>
            <w:r>
              <w:rPr>
                <w:rFonts w:hint="eastAsia"/>
                <w:color w:val="auto"/>
                <w:highlight w:val="none"/>
              </w:rPr>
              <w:t>在工程移交同时，保证与运维阶段</w:t>
            </w:r>
            <w:r>
              <w:rPr>
                <w:color w:val="auto"/>
                <w:highlight w:val="none"/>
              </w:rPr>
              <w:t>BIM</w:t>
            </w:r>
            <w:r>
              <w:rPr>
                <w:rFonts w:hint="eastAsia"/>
                <w:color w:val="auto"/>
                <w:highlight w:val="none"/>
              </w:rPr>
              <w:t>实施衔接。</w:t>
            </w:r>
          </w:p>
        </w:tc>
      </w:tr>
    </w:tbl>
    <w:p>
      <w:pPr>
        <w:rPr>
          <w:color w:val="auto"/>
          <w:highlight w:val="none"/>
        </w:rPr>
      </w:pPr>
    </w:p>
    <w:p>
      <w:pPr>
        <w:widowControl/>
        <w:jc w:val="left"/>
        <w:rPr>
          <w:color w:val="auto"/>
          <w:highlight w:val="none"/>
        </w:rPr>
      </w:pPr>
      <w:r>
        <w:rPr>
          <w:color w:val="auto"/>
          <w:highlight w:val="none"/>
        </w:rPr>
        <w:br w:type="page"/>
      </w:r>
    </w:p>
    <w:p>
      <w:pPr>
        <w:pStyle w:val="188"/>
        <w:spacing w:before="120" w:after="120"/>
        <w:outlineLvl w:val="1"/>
        <w:rPr>
          <w:color w:val="auto"/>
          <w:highlight w:val="none"/>
        </w:rPr>
      </w:pPr>
      <w:bookmarkStart w:id="8266" w:name="_Toc503702876"/>
      <w:bookmarkStart w:id="8267" w:name="_Toc69114282"/>
      <w:bookmarkStart w:id="8268" w:name="_Toc66634541"/>
      <w:bookmarkStart w:id="8269" w:name="_Toc505345853"/>
      <w:bookmarkStart w:id="8270" w:name="_Toc66890536"/>
      <w:r>
        <w:rPr>
          <w:rFonts w:hint="eastAsia"/>
          <w:color w:val="auto"/>
          <w:highlight w:val="none"/>
        </w:rPr>
        <w:t>第</w:t>
      </w:r>
      <w:r>
        <w:rPr>
          <w:color w:val="auto"/>
          <w:highlight w:val="none"/>
        </w:rPr>
        <w:t>4</w:t>
      </w:r>
      <w:r>
        <w:rPr>
          <w:rFonts w:hint="eastAsia"/>
          <w:color w:val="auto"/>
          <w:highlight w:val="none"/>
        </w:rPr>
        <w:t>章</w:t>
      </w:r>
      <w:r>
        <w:rPr>
          <w:color w:val="auto"/>
          <w:highlight w:val="none"/>
        </w:rPr>
        <w:t xml:space="preserve">  BIM</w:t>
      </w:r>
      <w:r>
        <w:rPr>
          <w:rFonts w:hint="eastAsia"/>
          <w:color w:val="auto"/>
          <w:highlight w:val="none"/>
        </w:rPr>
        <w:t>模型成果交付内容</w:t>
      </w:r>
      <w:bookmarkEnd w:id="8266"/>
      <w:bookmarkEnd w:id="8267"/>
      <w:bookmarkEnd w:id="8268"/>
      <w:bookmarkEnd w:id="8269"/>
      <w:bookmarkEnd w:id="8270"/>
    </w:p>
    <w:p>
      <w:pPr>
        <w:pStyle w:val="113"/>
        <w:spacing w:before="120" w:after="120"/>
        <w:outlineLvl w:val="2"/>
        <w:rPr>
          <w:color w:val="auto"/>
          <w:highlight w:val="none"/>
        </w:rPr>
      </w:pPr>
      <w:bookmarkStart w:id="8271" w:name="_Toc66634542"/>
      <w:bookmarkStart w:id="8272" w:name="_Toc498254811"/>
      <w:bookmarkStart w:id="8273" w:name="_Toc69114283"/>
      <w:bookmarkStart w:id="8274" w:name="_Toc503702877"/>
      <w:bookmarkStart w:id="8275" w:name="_Toc505345854"/>
      <w:bookmarkStart w:id="8276" w:name="_Toc66890537"/>
      <w:r>
        <w:rPr>
          <w:color w:val="auto"/>
          <w:highlight w:val="none"/>
        </w:rPr>
        <w:t>4.1  BIM</w:t>
      </w:r>
      <w:r>
        <w:rPr>
          <w:rFonts w:hint="eastAsia"/>
          <w:color w:val="auto"/>
          <w:highlight w:val="none"/>
        </w:rPr>
        <w:t>成果的技术要求</w:t>
      </w:r>
      <w:bookmarkEnd w:id="8271"/>
      <w:bookmarkEnd w:id="8272"/>
      <w:bookmarkEnd w:id="8273"/>
      <w:bookmarkEnd w:id="8274"/>
      <w:bookmarkEnd w:id="8275"/>
      <w:bookmarkEnd w:id="8276"/>
    </w:p>
    <w:p>
      <w:pPr>
        <w:pStyle w:val="217"/>
        <w:rPr>
          <w:color w:val="auto"/>
          <w:highlight w:val="none"/>
        </w:rPr>
      </w:pPr>
      <w:r>
        <w:rPr>
          <w:color w:val="auto"/>
          <w:highlight w:val="none"/>
        </w:rPr>
        <w:t>1.</w:t>
      </w:r>
      <w:r>
        <w:rPr>
          <w:rFonts w:hint="eastAsia"/>
          <w:color w:val="auto"/>
          <w:highlight w:val="none"/>
        </w:rPr>
        <w:t>施工阶段</w:t>
      </w:r>
      <w:r>
        <w:rPr>
          <w:color w:val="auto"/>
          <w:highlight w:val="none"/>
        </w:rPr>
        <w:t>BIM</w:t>
      </w:r>
      <w:r>
        <w:rPr>
          <w:rFonts w:hint="eastAsia"/>
          <w:color w:val="auto"/>
          <w:highlight w:val="none"/>
        </w:rPr>
        <w:t>模型成果，在招标文件约定的范围内，与同期所交付的二维深化设计图纸内容一致；当模型与任何的图纸发生不一致的时候，应以图纸为准，立即修改模型使两者一致，否则不予验收。</w:t>
      </w:r>
    </w:p>
    <w:p>
      <w:pPr>
        <w:pStyle w:val="217"/>
        <w:rPr>
          <w:color w:val="auto"/>
          <w:highlight w:val="none"/>
        </w:rPr>
      </w:pPr>
      <w:r>
        <w:rPr>
          <w:color w:val="auto"/>
          <w:highlight w:val="none"/>
        </w:rPr>
        <w:t>2.</w:t>
      </w:r>
      <w:r>
        <w:rPr>
          <w:rFonts w:hint="eastAsia"/>
          <w:color w:val="auto"/>
          <w:highlight w:val="none"/>
        </w:rPr>
        <w:t>承包人在</w:t>
      </w:r>
      <w:r>
        <w:rPr>
          <w:color w:val="auto"/>
          <w:highlight w:val="none"/>
        </w:rPr>
        <w:t>BIM</w:t>
      </w:r>
      <w:r>
        <w:rPr>
          <w:rFonts w:hint="eastAsia"/>
          <w:color w:val="auto"/>
          <w:highlight w:val="none"/>
        </w:rPr>
        <w:t>工作实施前，应根据合同所约定的</w:t>
      </w:r>
      <w:r>
        <w:rPr>
          <w:color w:val="auto"/>
          <w:highlight w:val="none"/>
        </w:rPr>
        <w:t>BIM</w:t>
      </w:r>
      <w:r>
        <w:rPr>
          <w:rFonts w:hint="eastAsia"/>
          <w:color w:val="auto"/>
          <w:highlight w:val="none"/>
        </w:rPr>
        <w:t>内容，向招标人提交</w:t>
      </w:r>
      <w:r>
        <w:rPr>
          <w:color w:val="auto"/>
          <w:highlight w:val="none"/>
        </w:rPr>
        <w:t>BIM</w:t>
      </w:r>
      <w:r>
        <w:rPr>
          <w:rFonts w:hint="eastAsia"/>
          <w:color w:val="auto"/>
          <w:highlight w:val="none"/>
        </w:rPr>
        <w:t>模型成果及应用成果交付计划，并在</w:t>
      </w:r>
      <w:r>
        <w:rPr>
          <w:color w:val="auto"/>
          <w:highlight w:val="none"/>
        </w:rPr>
        <w:t>BIM</w:t>
      </w:r>
      <w:r>
        <w:rPr>
          <w:rFonts w:hint="eastAsia"/>
          <w:color w:val="auto"/>
          <w:highlight w:val="none"/>
        </w:rPr>
        <w:t>工作过程中接受招标人的管理与监督。</w:t>
      </w:r>
    </w:p>
    <w:p>
      <w:pPr>
        <w:pStyle w:val="217"/>
        <w:rPr>
          <w:color w:val="auto"/>
          <w:highlight w:val="none"/>
        </w:rPr>
      </w:pPr>
      <w:r>
        <w:rPr>
          <w:color w:val="auto"/>
          <w:highlight w:val="none"/>
        </w:rPr>
        <w:t>3.</w:t>
      </w:r>
      <w:r>
        <w:rPr>
          <w:rFonts w:hint="eastAsia"/>
          <w:color w:val="auto"/>
          <w:highlight w:val="none"/>
        </w:rPr>
        <w:t>承包人在提交</w:t>
      </w:r>
      <w:r>
        <w:rPr>
          <w:color w:val="auto"/>
          <w:highlight w:val="none"/>
        </w:rPr>
        <w:t>BIM</w:t>
      </w:r>
      <w:r>
        <w:rPr>
          <w:rFonts w:hint="eastAsia"/>
          <w:color w:val="auto"/>
          <w:highlight w:val="none"/>
        </w:rPr>
        <w:t>成果时，</w:t>
      </w:r>
      <w:r>
        <w:rPr>
          <w:color w:val="auto"/>
          <w:highlight w:val="none"/>
        </w:rPr>
        <w:t>BIM</w:t>
      </w:r>
      <w:r>
        <w:rPr>
          <w:rFonts w:hint="eastAsia"/>
          <w:color w:val="auto"/>
          <w:highlight w:val="none"/>
        </w:rPr>
        <w:t>负责人应将</w:t>
      </w:r>
      <w:r>
        <w:rPr>
          <w:color w:val="auto"/>
          <w:highlight w:val="none"/>
        </w:rPr>
        <w:t>BIM</w:t>
      </w:r>
      <w:r>
        <w:rPr>
          <w:rFonts w:hint="eastAsia"/>
          <w:color w:val="auto"/>
          <w:highlight w:val="none"/>
        </w:rPr>
        <w:t>成果交付函件、验收单、</w:t>
      </w:r>
      <w:r>
        <w:rPr>
          <w:color w:val="auto"/>
          <w:highlight w:val="none"/>
        </w:rPr>
        <w:t>BIM</w:t>
      </w:r>
      <w:r>
        <w:rPr>
          <w:rFonts w:hint="eastAsia"/>
          <w:color w:val="auto"/>
          <w:highlight w:val="none"/>
        </w:rPr>
        <w:t>成果文件一并提交</w:t>
      </w:r>
      <w:r>
        <w:rPr>
          <w:color w:val="auto"/>
          <w:highlight w:val="none"/>
        </w:rPr>
        <w:t>BIM</w:t>
      </w:r>
      <w:r>
        <w:rPr>
          <w:rFonts w:hint="eastAsia"/>
          <w:color w:val="auto"/>
          <w:highlight w:val="none"/>
        </w:rPr>
        <w:t>顾问，由</w:t>
      </w:r>
      <w:r>
        <w:rPr>
          <w:color w:val="auto"/>
          <w:highlight w:val="none"/>
        </w:rPr>
        <w:t>BIM</w:t>
      </w:r>
      <w:r>
        <w:rPr>
          <w:rFonts w:hint="eastAsia"/>
          <w:color w:val="auto"/>
          <w:highlight w:val="none"/>
        </w:rPr>
        <w:t>顾问签发</w:t>
      </w:r>
      <w:r>
        <w:rPr>
          <w:color w:val="auto"/>
          <w:highlight w:val="none"/>
        </w:rPr>
        <w:t>BIM</w:t>
      </w:r>
      <w:r>
        <w:rPr>
          <w:rFonts w:hint="eastAsia"/>
          <w:color w:val="auto"/>
          <w:highlight w:val="none"/>
        </w:rPr>
        <w:t>成果交付函件、验收单，并经项目管理单位审核通过后提交招标人存档。</w:t>
      </w:r>
    </w:p>
    <w:p>
      <w:pPr>
        <w:pStyle w:val="113"/>
        <w:spacing w:before="120" w:after="120"/>
        <w:outlineLvl w:val="2"/>
        <w:rPr>
          <w:color w:val="auto"/>
          <w:highlight w:val="none"/>
        </w:rPr>
      </w:pPr>
      <w:bookmarkStart w:id="8277" w:name="_Toc503702878"/>
      <w:bookmarkStart w:id="8278" w:name="_Toc505345855"/>
      <w:bookmarkStart w:id="8279" w:name="_Toc69114284"/>
      <w:bookmarkStart w:id="8280" w:name="_Toc66890538"/>
      <w:bookmarkStart w:id="8281" w:name="_Toc498254812"/>
      <w:bookmarkStart w:id="8282" w:name="_Toc66634543"/>
      <w:r>
        <w:rPr>
          <w:color w:val="auto"/>
          <w:highlight w:val="none"/>
        </w:rPr>
        <w:t>4.2  BIM</w:t>
      </w:r>
      <w:r>
        <w:rPr>
          <w:rFonts w:hint="eastAsia"/>
          <w:color w:val="auto"/>
          <w:highlight w:val="none"/>
        </w:rPr>
        <w:t>成果格式</w:t>
      </w:r>
      <w:bookmarkEnd w:id="8277"/>
      <w:bookmarkEnd w:id="8278"/>
      <w:bookmarkEnd w:id="8279"/>
      <w:bookmarkEnd w:id="8280"/>
      <w:bookmarkEnd w:id="8281"/>
      <w:bookmarkEnd w:id="8282"/>
    </w:p>
    <w:p>
      <w:pPr>
        <w:pStyle w:val="217"/>
        <w:rPr>
          <w:color w:val="auto"/>
          <w:highlight w:val="none"/>
        </w:rPr>
      </w:pPr>
      <w:r>
        <w:rPr>
          <w:color w:val="auto"/>
          <w:highlight w:val="none"/>
        </w:rPr>
        <w:t>1.BIM</w:t>
      </w:r>
      <w:r>
        <w:rPr>
          <w:rFonts w:hint="eastAsia"/>
          <w:color w:val="auto"/>
          <w:highlight w:val="none"/>
        </w:rPr>
        <w:t>应用成果必须提供原始可编辑模型文件格式，对于同类文件格式应使用统一的版本，浏览审核模型格式需交付</w:t>
      </w:r>
      <w:r>
        <w:rPr>
          <w:color w:val="auto"/>
          <w:highlight w:val="none"/>
        </w:rPr>
        <w:t>nwd</w:t>
      </w:r>
      <w:r>
        <w:rPr>
          <w:rFonts w:hint="eastAsia"/>
          <w:color w:val="auto"/>
          <w:highlight w:val="none"/>
        </w:rPr>
        <w:t>格式文件，或其他专业软件可浏览格式，但需转为</w:t>
      </w:r>
      <w:r>
        <w:rPr>
          <w:color w:val="auto"/>
          <w:highlight w:val="none"/>
        </w:rPr>
        <w:t>NWD</w:t>
      </w:r>
      <w:r>
        <w:rPr>
          <w:rFonts w:hint="eastAsia"/>
          <w:color w:val="auto"/>
          <w:highlight w:val="none"/>
        </w:rPr>
        <w:t>格式；</w:t>
      </w:r>
    </w:p>
    <w:p>
      <w:pPr>
        <w:pStyle w:val="217"/>
        <w:rPr>
          <w:color w:val="auto"/>
          <w:highlight w:val="none"/>
        </w:rPr>
      </w:pPr>
      <w:r>
        <w:rPr>
          <w:color w:val="auto"/>
          <w:highlight w:val="none"/>
        </w:rPr>
        <w:t>2.</w:t>
      </w:r>
      <w:r>
        <w:rPr>
          <w:rFonts w:hint="eastAsia"/>
          <w:color w:val="auto"/>
          <w:highlight w:val="none"/>
        </w:rPr>
        <w:t>在</w:t>
      </w:r>
      <w:r>
        <w:rPr>
          <w:color w:val="auto"/>
          <w:highlight w:val="none"/>
        </w:rPr>
        <w:t>BIM</w:t>
      </w:r>
      <w:r>
        <w:rPr>
          <w:rFonts w:hint="eastAsia"/>
          <w:color w:val="auto"/>
          <w:highlight w:val="none"/>
        </w:rPr>
        <w:t>技术应用过程中所产生的各种分析报告等由</w:t>
      </w:r>
      <w:r>
        <w:rPr>
          <w:color w:val="auto"/>
          <w:highlight w:val="none"/>
        </w:rPr>
        <w:t>Word</w:t>
      </w:r>
      <w:r>
        <w:rPr>
          <w:rFonts w:hint="eastAsia"/>
          <w:color w:val="auto"/>
          <w:highlight w:val="none"/>
        </w:rPr>
        <w:t>、</w:t>
      </w:r>
      <w:r>
        <w:rPr>
          <w:color w:val="auto"/>
          <w:highlight w:val="none"/>
        </w:rPr>
        <w:t>Excel</w:t>
      </w:r>
      <w:r>
        <w:rPr>
          <w:rFonts w:hint="eastAsia"/>
          <w:color w:val="auto"/>
          <w:highlight w:val="none"/>
        </w:rPr>
        <w:t>、</w:t>
      </w:r>
      <w:r>
        <w:rPr>
          <w:color w:val="auto"/>
          <w:highlight w:val="none"/>
        </w:rPr>
        <w:t>PowerPoint</w:t>
      </w:r>
      <w:r>
        <w:rPr>
          <w:rFonts w:hint="eastAsia"/>
          <w:color w:val="auto"/>
          <w:highlight w:val="none"/>
        </w:rPr>
        <w:t>软件生成的相应格式的文件，在交付时统一转换为</w:t>
      </w:r>
      <w:r>
        <w:rPr>
          <w:color w:val="auto"/>
          <w:highlight w:val="none"/>
        </w:rPr>
        <w:t>pdf</w:t>
      </w:r>
      <w:r>
        <w:rPr>
          <w:rFonts w:hint="eastAsia"/>
          <w:color w:val="auto"/>
          <w:highlight w:val="none"/>
        </w:rPr>
        <w:t>格式，同时提交原文件；</w:t>
      </w:r>
    </w:p>
    <w:p>
      <w:pPr>
        <w:pStyle w:val="217"/>
        <w:rPr>
          <w:color w:val="auto"/>
          <w:highlight w:val="none"/>
        </w:rPr>
      </w:pPr>
      <w:r>
        <w:rPr>
          <w:color w:val="auto"/>
          <w:highlight w:val="none"/>
        </w:rPr>
        <w:t>3.</w:t>
      </w:r>
      <w:r>
        <w:rPr>
          <w:rFonts w:hint="eastAsia"/>
          <w:color w:val="auto"/>
          <w:highlight w:val="none"/>
        </w:rPr>
        <w:t>按照施工项目要求，针对指定位置经软件进行渲染生成的图片，格式为</w:t>
      </w:r>
      <w:r>
        <w:rPr>
          <w:color w:val="auto"/>
          <w:highlight w:val="none"/>
        </w:rPr>
        <w:t>jpg</w:t>
      </w:r>
      <w:r>
        <w:rPr>
          <w:rFonts w:hint="eastAsia"/>
          <w:color w:val="auto"/>
          <w:highlight w:val="none"/>
        </w:rPr>
        <w:t>或</w:t>
      </w:r>
      <w:r>
        <w:rPr>
          <w:color w:val="auto"/>
          <w:highlight w:val="none"/>
        </w:rPr>
        <w:t>png</w:t>
      </w:r>
      <w:r>
        <w:rPr>
          <w:rFonts w:hint="eastAsia"/>
          <w:color w:val="auto"/>
          <w:highlight w:val="none"/>
        </w:rPr>
        <w:t>且分辨率不小于</w:t>
      </w:r>
      <w:r>
        <w:rPr>
          <w:color w:val="auto"/>
          <w:highlight w:val="none"/>
        </w:rPr>
        <w:t>1280*720</w:t>
      </w:r>
      <w:r>
        <w:rPr>
          <w:rFonts w:hint="eastAsia"/>
          <w:color w:val="auto"/>
          <w:highlight w:val="none"/>
        </w:rPr>
        <w:t>；</w:t>
      </w:r>
    </w:p>
    <w:p>
      <w:pPr>
        <w:pStyle w:val="217"/>
        <w:rPr>
          <w:color w:val="auto"/>
          <w:highlight w:val="none"/>
        </w:rPr>
      </w:pPr>
      <w:r>
        <w:rPr>
          <w:color w:val="auto"/>
          <w:highlight w:val="none"/>
        </w:rPr>
        <w:t>4.</w:t>
      </w:r>
      <w:r>
        <w:rPr>
          <w:rFonts w:hint="eastAsia"/>
          <w:color w:val="auto"/>
          <w:highlight w:val="none"/>
        </w:rPr>
        <w:t>模拟动画、视频要求以</w:t>
      </w:r>
      <w:r>
        <w:rPr>
          <w:color w:val="auto"/>
          <w:highlight w:val="none"/>
        </w:rPr>
        <w:t>WMV</w:t>
      </w:r>
      <w:r>
        <w:rPr>
          <w:rFonts w:hint="eastAsia"/>
          <w:color w:val="auto"/>
          <w:highlight w:val="none"/>
        </w:rPr>
        <w:t>、</w:t>
      </w:r>
      <w:r>
        <w:rPr>
          <w:color w:val="auto"/>
          <w:highlight w:val="none"/>
        </w:rPr>
        <w:t>AVI</w:t>
      </w:r>
      <w:r>
        <w:rPr>
          <w:rFonts w:hint="eastAsia"/>
          <w:color w:val="auto"/>
          <w:highlight w:val="none"/>
        </w:rPr>
        <w:t>或</w:t>
      </w:r>
      <w:r>
        <w:rPr>
          <w:color w:val="auto"/>
          <w:highlight w:val="none"/>
        </w:rPr>
        <w:t>MP4</w:t>
      </w:r>
      <w:r>
        <w:rPr>
          <w:rFonts w:hint="eastAsia"/>
          <w:color w:val="auto"/>
          <w:highlight w:val="none"/>
        </w:rPr>
        <w:t>格式交付，原始分辨率不小于</w:t>
      </w:r>
      <w:r>
        <w:rPr>
          <w:color w:val="auto"/>
          <w:highlight w:val="none"/>
        </w:rPr>
        <w:t>1920*1080</w:t>
      </w:r>
      <w:r>
        <w:rPr>
          <w:rFonts w:hint="eastAsia"/>
          <w:color w:val="auto"/>
          <w:highlight w:val="none"/>
        </w:rPr>
        <w:t>，帧率不少于</w:t>
      </w:r>
      <w:r>
        <w:rPr>
          <w:color w:val="auto"/>
          <w:highlight w:val="none"/>
        </w:rPr>
        <w:t>25</w:t>
      </w:r>
      <w:r>
        <w:rPr>
          <w:rFonts w:hint="eastAsia"/>
          <w:color w:val="auto"/>
          <w:highlight w:val="none"/>
        </w:rPr>
        <w:t>帧</w:t>
      </w:r>
      <w:r>
        <w:rPr>
          <w:color w:val="auto"/>
          <w:highlight w:val="none"/>
        </w:rPr>
        <w:t>/</w:t>
      </w:r>
      <w:r>
        <w:rPr>
          <w:rFonts w:hint="eastAsia"/>
          <w:color w:val="auto"/>
          <w:highlight w:val="none"/>
        </w:rPr>
        <w:t>秒。</w:t>
      </w:r>
    </w:p>
    <w:p>
      <w:pPr>
        <w:pStyle w:val="113"/>
        <w:spacing w:before="120" w:after="120"/>
        <w:outlineLvl w:val="2"/>
        <w:rPr>
          <w:color w:val="auto"/>
          <w:highlight w:val="none"/>
        </w:rPr>
      </w:pPr>
      <w:bookmarkStart w:id="8283" w:name="_Toc503702879"/>
      <w:bookmarkStart w:id="8284" w:name="_Toc66634544"/>
      <w:bookmarkStart w:id="8285" w:name="_Toc69114285"/>
      <w:bookmarkStart w:id="8286" w:name="_Toc66890539"/>
      <w:bookmarkStart w:id="8287" w:name="_Toc505345856"/>
      <w:r>
        <w:rPr>
          <w:color w:val="auto"/>
          <w:highlight w:val="none"/>
        </w:rPr>
        <w:t xml:space="preserve">4.3 </w:t>
      </w:r>
      <w:r>
        <w:rPr>
          <w:rFonts w:hint="eastAsia"/>
          <w:color w:val="auto"/>
          <w:highlight w:val="none"/>
        </w:rPr>
        <w:t>施工阶段</w:t>
      </w:r>
      <w:r>
        <w:rPr>
          <w:color w:val="auto"/>
          <w:highlight w:val="none"/>
        </w:rPr>
        <w:t>BIM</w:t>
      </w:r>
      <w:r>
        <w:rPr>
          <w:rFonts w:hint="eastAsia"/>
          <w:color w:val="auto"/>
          <w:highlight w:val="none"/>
        </w:rPr>
        <w:t>应用成果</w:t>
      </w:r>
      <w:bookmarkEnd w:id="8283"/>
      <w:bookmarkEnd w:id="8284"/>
      <w:bookmarkEnd w:id="8285"/>
      <w:bookmarkEnd w:id="8286"/>
      <w:bookmarkEnd w:id="8287"/>
    </w:p>
    <w:p>
      <w:pPr>
        <w:pStyle w:val="217"/>
        <w:rPr>
          <w:color w:val="auto"/>
          <w:highlight w:val="none"/>
        </w:rPr>
      </w:pPr>
      <w:r>
        <w:rPr>
          <w:rFonts w:hint="eastAsia"/>
          <w:color w:val="auto"/>
          <w:highlight w:val="none"/>
        </w:rPr>
        <w:t>承包人应按照招标单位安排及</w:t>
      </w:r>
      <w:r>
        <w:rPr>
          <w:color w:val="auto"/>
          <w:highlight w:val="none"/>
        </w:rPr>
        <w:t>BIM</w:t>
      </w:r>
      <w:r>
        <w:rPr>
          <w:rFonts w:hint="eastAsia"/>
          <w:color w:val="auto"/>
          <w:highlight w:val="none"/>
        </w:rPr>
        <w:t>实施进度要求，准时交付满足标准的相应阶段</w:t>
      </w:r>
      <w:r>
        <w:rPr>
          <w:color w:val="auto"/>
          <w:highlight w:val="none"/>
        </w:rPr>
        <w:t>BIM</w:t>
      </w:r>
      <w:r>
        <w:rPr>
          <w:rFonts w:hint="eastAsia"/>
          <w:color w:val="auto"/>
          <w:highlight w:val="none"/>
        </w:rPr>
        <w:t>模型及应用成果并通过验收，确保</w:t>
      </w:r>
      <w:r>
        <w:rPr>
          <w:color w:val="auto"/>
          <w:highlight w:val="none"/>
        </w:rPr>
        <w:t>BIM</w:t>
      </w:r>
      <w:r>
        <w:rPr>
          <w:rFonts w:hint="eastAsia"/>
          <w:color w:val="auto"/>
          <w:highlight w:val="none"/>
        </w:rPr>
        <w:t>应用在施工阶段发挥作用。具体应用成果如下：</w:t>
      </w:r>
    </w:p>
    <w:p>
      <w:pPr>
        <w:pStyle w:val="217"/>
        <w:rPr>
          <w:color w:val="auto"/>
          <w:highlight w:val="none"/>
        </w:rPr>
      </w:pPr>
      <w:r>
        <w:rPr>
          <w:color w:val="auto"/>
          <w:highlight w:val="none"/>
        </w:rPr>
        <w:t>1.</w:t>
      </w:r>
      <w:r>
        <w:rPr>
          <w:rFonts w:hint="eastAsia"/>
          <w:color w:val="auto"/>
          <w:highlight w:val="none"/>
        </w:rPr>
        <w:t>施工阶段</w:t>
      </w:r>
      <w:r>
        <w:rPr>
          <w:color w:val="auto"/>
          <w:highlight w:val="none"/>
        </w:rPr>
        <w:t>BIM</w:t>
      </w:r>
      <w:r>
        <w:rPr>
          <w:rFonts w:hint="eastAsia"/>
          <w:color w:val="auto"/>
          <w:highlight w:val="none"/>
        </w:rPr>
        <w:t>实施方案</w:t>
      </w:r>
    </w:p>
    <w:p>
      <w:pPr>
        <w:pStyle w:val="217"/>
        <w:rPr>
          <w:color w:val="auto"/>
          <w:highlight w:val="none"/>
        </w:rPr>
      </w:pPr>
      <w:r>
        <w:rPr>
          <w:color w:val="auto"/>
          <w:highlight w:val="none"/>
        </w:rPr>
        <w:t>2.</w:t>
      </w:r>
      <w:r>
        <w:rPr>
          <w:rFonts w:hint="eastAsia"/>
          <w:color w:val="auto"/>
          <w:highlight w:val="none"/>
        </w:rPr>
        <w:t>施工图设计模型（根据施工蓝图建立）</w:t>
      </w:r>
    </w:p>
    <w:p>
      <w:pPr>
        <w:pStyle w:val="217"/>
        <w:rPr>
          <w:color w:val="auto"/>
          <w:highlight w:val="none"/>
        </w:rPr>
      </w:pPr>
      <w:r>
        <w:rPr>
          <w:color w:val="auto"/>
          <w:highlight w:val="none"/>
        </w:rPr>
        <w:t>3.</w:t>
      </w:r>
      <w:r>
        <w:rPr>
          <w:rFonts w:hint="eastAsia"/>
          <w:color w:val="auto"/>
          <w:highlight w:val="none"/>
        </w:rPr>
        <w:t>室外场地、校园道路及校区园林绿化模型</w:t>
      </w:r>
    </w:p>
    <w:p>
      <w:pPr>
        <w:pStyle w:val="217"/>
        <w:rPr>
          <w:color w:val="auto"/>
          <w:highlight w:val="none"/>
        </w:rPr>
      </w:pPr>
      <w:r>
        <w:rPr>
          <w:color w:val="auto"/>
          <w:highlight w:val="none"/>
        </w:rPr>
        <w:t>4.</w:t>
      </w:r>
      <w:r>
        <w:rPr>
          <w:rFonts w:hint="eastAsia"/>
          <w:color w:val="auto"/>
          <w:highlight w:val="none"/>
        </w:rPr>
        <w:t>管线综合分析报告、及对应</w:t>
      </w:r>
      <w:r>
        <w:rPr>
          <w:color w:val="auto"/>
          <w:highlight w:val="none"/>
        </w:rPr>
        <w:t>BIM</w:t>
      </w:r>
      <w:r>
        <w:rPr>
          <w:rFonts w:hint="eastAsia"/>
          <w:color w:val="auto"/>
          <w:highlight w:val="none"/>
        </w:rPr>
        <w:t>机电深化模型（包含室外管线）</w:t>
      </w:r>
    </w:p>
    <w:p>
      <w:pPr>
        <w:pStyle w:val="217"/>
        <w:rPr>
          <w:color w:val="auto"/>
          <w:highlight w:val="none"/>
        </w:rPr>
      </w:pPr>
      <w:r>
        <w:rPr>
          <w:color w:val="auto"/>
          <w:highlight w:val="none"/>
        </w:rPr>
        <w:t>5.</w:t>
      </w:r>
      <w:r>
        <w:rPr>
          <w:rFonts w:hint="eastAsia"/>
          <w:color w:val="auto"/>
          <w:highlight w:val="none"/>
        </w:rPr>
        <w:t>钢结构、幕墙、装饰装修等专业深化模型</w:t>
      </w:r>
    </w:p>
    <w:p>
      <w:pPr>
        <w:pStyle w:val="217"/>
        <w:rPr>
          <w:color w:val="auto"/>
          <w:highlight w:val="none"/>
        </w:rPr>
      </w:pPr>
      <w:r>
        <w:rPr>
          <w:color w:val="auto"/>
          <w:highlight w:val="none"/>
        </w:rPr>
        <w:t>6.</w:t>
      </w:r>
      <w:r>
        <w:rPr>
          <w:rFonts w:hint="eastAsia"/>
          <w:color w:val="auto"/>
          <w:highlight w:val="none"/>
        </w:rPr>
        <w:t>施工阶段复杂节点模型</w:t>
      </w:r>
    </w:p>
    <w:p>
      <w:pPr>
        <w:pStyle w:val="217"/>
        <w:rPr>
          <w:color w:val="auto"/>
          <w:highlight w:val="none"/>
        </w:rPr>
      </w:pPr>
      <w:r>
        <w:rPr>
          <w:color w:val="auto"/>
          <w:highlight w:val="none"/>
        </w:rPr>
        <w:t>7.</w:t>
      </w:r>
      <w:r>
        <w:rPr>
          <w:rFonts w:hint="eastAsia"/>
          <w:color w:val="auto"/>
          <w:highlight w:val="none"/>
        </w:rPr>
        <w:t>施工场地布置动态模拟（含场布方案文档）</w:t>
      </w:r>
    </w:p>
    <w:p>
      <w:pPr>
        <w:pStyle w:val="217"/>
        <w:rPr>
          <w:color w:val="auto"/>
          <w:highlight w:val="none"/>
        </w:rPr>
      </w:pPr>
      <w:r>
        <w:rPr>
          <w:color w:val="auto"/>
          <w:highlight w:val="none"/>
        </w:rPr>
        <w:t>8.</w:t>
      </w:r>
      <w:r>
        <w:rPr>
          <w:rFonts w:hint="eastAsia"/>
          <w:color w:val="auto"/>
          <w:highlight w:val="none"/>
        </w:rPr>
        <w:t>施工设备安装模拟（含设备清单文档）</w:t>
      </w:r>
    </w:p>
    <w:p>
      <w:pPr>
        <w:pStyle w:val="217"/>
        <w:rPr>
          <w:color w:val="auto"/>
          <w:highlight w:val="none"/>
        </w:rPr>
      </w:pPr>
      <w:r>
        <w:rPr>
          <w:color w:val="auto"/>
          <w:highlight w:val="none"/>
        </w:rPr>
        <w:t>9.</w:t>
      </w:r>
      <w:r>
        <w:rPr>
          <w:rFonts w:hint="eastAsia"/>
          <w:color w:val="auto"/>
          <w:highlight w:val="none"/>
        </w:rPr>
        <w:t>施工进度模拟（含施工进度计划文档）</w:t>
      </w:r>
    </w:p>
    <w:p>
      <w:pPr>
        <w:pStyle w:val="217"/>
        <w:rPr>
          <w:color w:val="auto"/>
          <w:highlight w:val="none"/>
        </w:rPr>
      </w:pPr>
      <w:r>
        <w:rPr>
          <w:color w:val="auto"/>
          <w:highlight w:val="none"/>
        </w:rPr>
        <w:t>10.</w:t>
      </w:r>
      <w:r>
        <w:rPr>
          <w:rFonts w:hint="eastAsia"/>
          <w:color w:val="auto"/>
          <w:highlight w:val="none"/>
        </w:rPr>
        <w:t>施工工艺模拟（含施工技术交底文档）</w:t>
      </w:r>
    </w:p>
    <w:p>
      <w:pPr>
        <w:pStyle w:val="217"/>
        <w:rPr>
          <w:color w:val="auto"/>
          <w:highlight w:val="none"/>
        </w:rPr>
      </w:pPr>
      <w:r>
        <w:rPr>
          <w:color w:val="auto"/>
          <w:highlight w:val="none"/>
        </w:rPr>
        <w:t>11.</w:t>
      </w:r>
      <w:r>
        <w:rPr>
          <w:rFonts w:hint="eastAsia"/>
          <w:color w:val="auto"/>
          <w:highlight w:val="none"/>
        </w:rPr>
        <w:t>施工节点验收可视化视频展示</w:t>
      </w:r>
    </w:p>
    <w:p>
      <w:pPr>
        <w:pStyle w:val="217"/>
        <w:rPr>
          <w:color w:val="auto"/>
          <w:highlight w:val="none"/>
        </w:rPr>
      </w:pPr>
      <w:r>
        <w:rPr>
          <w:color w:val="auto"/>
          <w:highlight w:val="none"/>
        </w:rPr>
        <w:t>12.</w:t>
      </w:r>
      <w:r>
        <w:rPr>
          <w:rFonts w:hint="eastAsia"/>
          <w:color w:val="auto"/>
          <w:highlight w:val="none"/>
        </w:rPr>
        <w:t>施工阶段工程量统计分析报告及工程量清单</w:t>
      </w:r>
    </w:p>
    <w:p>
      <w:pPr>
        <w:pStyle w:val="217"/>
        <w:rPr>
          <w:color w:val="auto"/>
          <w:highlight w:val="none"/>
        </w:rPr>
      </w:pPr>
      <w:r>
        <w:rPr>
          <w:color w:val="auto"/>
          <w:highlight w:val="none"/>
        </w:rPr>
        <w:t>13.</w:t>
      </w:r>
      <w:r>
        <w:rPr>
          <w:rFonts w:hint="eastAsia"/>
          <w:color w:val="auto"/>
          <w:highlight w:val="none"/>
        </w:rPr>
        <w:t>施工竣工模型</w:t>
      </w:r>
    </w:p>
    <w:p>
      <w:pPr>
        <w:pStyle w:val="188"/>
        <w:spacing w:before="120" w:after="120"/>
        <w:outlineLvl w:val="1"/>
        <w:rPr>
          <w:color w:val="auto"/>
          <w:highlight w:val="none"/>
        </w:rPr>
      </w:pPr>
      <w:bookmarkStart w:id="8288" w:name="_Toc69114286"/>
      <w:bookmarkStart w:id="8289" w:name="_Toc505345857"/>
      <w:bookmarkStart w:id="8290" w:name="_Toc66634545"/>
      <w:bookmarkStart w:id="8291" w:name="_Toc503702880"/>
      <w:bookmarkStart w:id="8292" w:name="_Toc66890540"/>
      <w:r>
        <w:rPr>
          <w:rFonts w:hint="eastAsia"/>
          <w:color w:val="auto"/>
          <w:highlight w:val="none"/>
        </w:rPr>
        <w:t>第</w:t>
      </w:r>
      <w:r>
        <w:rPr>
          <w:color w:val="auto"/>
          <w:highlight w:val="none"/>
        </w:rPr>
        <w:t>5</w:t>
      </w:r>
      <w:r>
        <w:rPr>
          <w:rFonts w:hint="eastAsia"/>
          <w:color w:val="auto"/>
          <w:highlight w:val="none"/>
        </w:rPr>
        <w:t>章</w:t>
      </w:r>
      <w:r>
        <w:rPr>
          <w:color w:val="auto"/>
          <w:highlight w:val="none"/>
        </w:rPr>
        <w:t xml:space="preserve">  BIM</w:t>
      </w:r>
      <w:r>
        <w:rPr>
          <w:rFonts w:hint="eastAsia"/>
          <w:color w:val="auto"/>
          <w:highlight w:val="none"/>
        </w:rPr>
        <w:t>工作及服务团队要求</w:t>
      </w:r>
      <w:bookmarkEnd w:id="8288"/>
      <w:bookmarkEnd w:id="8289"/>
      <w:bookmarkEnd w:id="8290"/>
      <w:bookmarkEnd w:id="8291"/>
      <w:bookmarkEnd w:id="8292"/>
    </w:p>
    <w:p>
      <w:pPr>
        <w:pStyle w:val="113"/>
        <w:spacing w:before="120" w:after="120"/>
        <w:outlineLvl w:val="2"/>
        <w:rPr>
          <w:color w:val="auto"/>
          <w:highlight w:val="none"/>
        </w:rPr>
      </w:pPr>
      <w:bookmarkStart w:id="8293" w:name="_Toc503702881"/>
      <w:bookmarkStart w:id="8294" w:name="_Toc505345858"/>
      <w:bookmarkStart w:id="8295" w:name="_Toc66890541"/>
      <w:bookmarkStart w:id="8296" w:name="_Toc66634546"/>
      <w:bookmarkStart w:id="8297" w:name="_Toc69114287"/>
      <w:r>
        <w:rPr>
          <w:color w:val="auto"/>
          <w:highlight w:val="none"/>
        </w:rPr>
        <w:t xml:space="preserve">5.1 </w:t>
      </w:r>
      <w:r>
        <w:rPr>
          <w:rFonts w:hint="eastAsia"/>
          <w:color w:val="auto"/>
          <w:highlight w:val="none"/>
        </w:rPr>
        <w:t>建模及管理要求</w:t>
      </w:r>
      <w:bookmarkEnd w:id="8293"/>
      <w:bookmarkEnd w:id="8294"/>
      <w:bookmarkEnd w:id="8295"/>
      <w:bookmarkEnd w:id="8296"/>
      <w:bookmarkEnd w:id="8297"/>
    </w:p>
    <w:p>
      <w:pPr>
        <w:pStyle w:val="172"/>
        <w:rPr>
          <w:color w:val="auto"/>
          <w:highlight w:val="none"/>
        </w:rPr>
      </w:pPr>
      <w:r>
        <w:rPr>
          <w:color w:val="auto"/>
          <w:highlight w:val="none"/>
        </w:rPr>
        <w:t xml:space="preserve">5.1.1 </w:t>
      </w:r>
      <w:r>
        <w:rPr>
          <w:rFonts w:hint="eastAsia"/>
          <w:color w:val="auto"/>
          <w:highlight w:val="none"/>
        </w:rPr>
        <w:t>建模要求</w:t>
      </w:r>
    </w:p>
    <w:p>
      <w:pPr>
        <w:pStyle w:val="217"/>
        <w:rPr>
          <w:color w:val="auto"/>
          <w:highlight w:val="none"/>
        </w:rPr>
      </w:pPr>
      <w:r>
        <w:rPr>
          <w:rFonts w:hint="eastAsia"/>
          <w:color w:val="auto"/>
          <w:highlight w:val="none"/>
        </w:rPr>
        <w:t>创建</w:t>
      </w:r>
      <w:r>
        <w:rPr>
          <w:color w:val="auto"/>
          <w:highlight w:val="none"/>
        </w:rPr>
        <w:t>BIM</w:t>
      </w:r>
      <w:r>
        <w:rPr>
          <w:rFonts w:hint="eastAsia"/>
          <w:color w:val="auto"/>
          <w:highlight w:val="none"/>
        </w:rPr>
        <w:t>模型：承包人须利用发包人提供的设计文件等资料，创建施工</w:t>
      </w:r>
      <w:r>
        <w:rPr>
          <w:color w:val="auto"/>
          <w:highlight w:val="none"/>
        </w:rPr>
        <w:t>BIM</w:t>
      </w:r>
      <w:r>
        <w:rPr>
          <w:rFonts w:hint="eastAsia"/>
          <w:color w:val="auto"/>
          <w:highlight w:val="none"/>
        </w:rPr>
        <w:t>模型，</w:t>
      </w:r>
      <w:r>
        <w:rPr>
          <w:color w:val="auto"/>
          <w:highlight w:val="none"/>
        </w:rPr>
        <w:t>BIM</w:t>
      </w:r>
      <w:r>
        <w:rPr>
          <w:rFonts w:hint="eastAsia"/>
          <w:color w:val="auto"/>
          <w:highlight w:val="none"/>
        </w:rPr>
        <w:t>模型包括土建、机电、幕墙模型，详细深度按后面要求，并建立设备</w:t>
      </w:r>
      <w:r>
        <w:rPr>
          <w:color w:val="auto"/>
          <w:highlight w:val="none"/>
        </w:rPr>
        <w:t>BIM</w:t>
      </w:r>
      <w:r>
        <w:rPr>
          <w:rFonts w:hint="eastAsia"/>
          <w:color w:val="auto"/>
          <w:highlight w:val="none"/>
        </w:rPr>
        <w:t>族库，根据创建的</w:t>
      </w:r>
      <w:r>
        <w:rPr>
          <w:color w:val="auto"/>
          <w:highlight w:val="none"/>
        </w:rPr>
        <w:t>BIM</w:t>
      </w:r>
      <w:r>
        <w:rPr>
          <w:rFonts w:hint="eastAsia"/>
          <w:color w:val="auto"/>
          <w:highlight w:val="none"/>
        </w:rPr>
        <w:t>模型进行专项</w:t>
      </w:r>
      <w:r>
        <w:rPr>
          <w:color w:val="auto"/>
          <w:highlight w:val="none"/>
        </w:rPr>
        <w:t>BIM</w:t>
      </w:r>
      <w:r>
        <w:rPr>
          <w:rFonts w:hint="eastAsia"/>
          <w:color w:val="auto"/>
          <w:highlight w:val="none"/>
        </w:rPr>
        <w:t>应用工作，向发包人按阶段要求提交</w:t>
      </w:r>
      <w:r>
        <w:rPr>
          <w:color w:val="auto"/>
          <w:highlight w:val="none"/>
        </w:rPr>
        <w:t>BIM</w:t>
      </w:r>
      <w:r>
        <w:rPr>
          <w:rFonts w:hint="eastAsia"/>
          <w:color w:val="auto"/>
          <w:highlight w:val="none"/>
        </w:rPr>
        <w:t>模型，以及应用结果数据，包括图表和视频成果文件。建模细度不低于附件</w:t>
      </w:r>
      <w:r>
        <w:rPr>
          <w:color w:val="auto"/>
          <w:highlight w:val="none"/>
        </w:rPr>
        <w:t>3</w:t>
      </w:r>
      <w:r>
        <w:rPr>
          <w:rFonts w:hint="eastAsia"/>
          <w:color w:val="auto"/>
          <w:highlight w:val="none"/>
        </w:rPr>
        <w:t>：《各专业</w:t>
      </w:r>
      <w:r>
        <w:rPr>
          <w:color w:val="auto"/>
          <w:highlight w:val="none"/>
        </w:rPr>
        <w:t>BIM</w:t>
      </w:r>
      <w:r>
        <w:rPr>
          <w:rFonts w:hint="eastAsia"/>
          <w:color w:val="auto"/>
          <w:highlight w:val="none"/>
        </w:rPr>
        <w:t>模型建模详细要求表》要求，具体要求参照《项目</w:t>
      </w:r>
      <w:r>
        <w:rPr>
          <w:color w:val="auto"/>
          <w:highlight w:val="none"/>
        </w:rPr>
        <w:t>BIM</w:t>
      </w:r>
      <w:r>
        <w:rPr>
          <w:rFonts w:hint="eastAsia"/>
          <w:color w:val="auto"/>
          <w:highlight w:val="none"/>
        </w:rPr>
        <w:t>技术标准》。</w:t>
      </w:r>
    </w:p>
    <w:p>
      <w:pPr>
        <w:pStyle w:val="119"/>
        <w:rPr>
          <w:color w:val="auto"/>
          <w:highlight w:val="none"/>
        </w:rPr>
      </w:pPr>
      <w:bookmarkStart w:id="8298" w:name="_Toc463007643"/>
      <w:bookmarkStart w:id="8299" w:name="_Toc457218836"/>
      <w:r>
        <w:rPr>
          <w:color w:val="auto"/>
          <w:highlight w:val="none"/>
        </w:rPr>
        <w:t xml:space="preserve">5.1.1.1 </w:t>
      </w:r>
      <w:r>
        <w:rPr>
          <w:rFonts w:hint="eastAsia"/>
          <w:color w:val="auto"/>
          <w:highlight w:val="none"/>
        </w:rPr>
        <w:t>建筑部分</w:t>
      </w:r>
      <w:bookmarkEnd w:id="8298"/>
      <w:bookmarkEnd w:id="8299"/>
      <w:r>
        <w:rPr>
          <w:rFonts w:hint="eastAsia"/>
          <w:color w:val="auto"/>
          <w:highlight w:val="none"/>
        </w:rPr>
        <w:t>模型与服务内容</w:t>
      </w:r>
    </w:p>
    <w:p>
      <w:pPr>
        <w:pStyle w:val="217"/>
        <w:rPr>
          <w:color w:val="auto"/>
          <w:highlight w:val="none"/>
        </w:rPr>
      </w:pPr>
      <w:r>
        <w:rPr>
          <w:rFonts w:hint="eastAsia"/>
          <w:color w:val="auto"/>
          <w:highlight w:val="none"/>
        </w:rPr>
        <w:t>包括但不限于：</w:t>
      </w:r>
    </w:p>
    <w:p>
      <w:pPr>
        <w:pStyle w:val="217"/>
        <w:rPr>
          <w:color w:val="auto"/>
          <w:highlight w:val="none"/>
        </w:rPr>
      </w:pPr>
      <w:r>
        <w:rPr>
          <w:color w:val="auto"/>
          <w:highlight w:val="none"/>
        </w:rPr>
        <w:t>1.</w:t>
      </w:r>
      <w:r>
        <w:rPr>
          <w:rFonts w:hint="eastAsia"/>
          <w:color w:val="auto"/>
          <w:highlight w:val="none"/>
        </w:rPr>
        <w:t>图纸上所含的建筑构件信息，包括但不限于建筑隔墙、防火门及防火卷帘、窗、建筑楼板、楼梯、扶梯、坡道、台阶、扶手栏杆、车库设计、人防设计、消防设计、留洞、防水材料、保温材料等。</w:t>
      </w:r>
    </w:p>
    <w:p>
      <w:pPr>
        <w:pStyle w:val="217"/>
        <w:rPr>
          <w:color w:val="auto"/>
          <w:highlight w:val="none"/>
        </w:rPr>
      </w:pPr>
      <w:r>
        <w:rPr>
          <w:color w:val="auto"/>
          <w:highlight w:val="none"/>
        </w:rPr>
        <w:t>2.</w:t>
      </w:r>
      <w:r>
        <w:rPr>
          <w:rFonts w:hint="eastAsia"/>
          <w:color w:val="auto"/>
          <w:highlight w:val="none"/>
        </w:rPr>
        <w:t>模型全面反映图纸轴线标注信息。</w:t>
      </w:r>
    </w:p>
    <w:p>
      <w:pPr>
        <w:pStyle w:val="217"/>
        <w:rPr>
          <w:color w:val="auto"/>
          <w:highlight w:val="none"/>
        </w:rPr>
      </w:pPr>
      <w:r>
        <w:rPr>
          <w:color w:val="auto"/>
          <w:highlight w:val="none"/>
        </w:rPr>
        <w:t>3.</w:t>
      </w:r>
      <w:r>
        <w:rPr>
          <w:rFonts w:hint="eastAsia"/>
          <w:color w:val="auto"/>
          <w:highlight w:val="none"/>
        </w:rPr>
        <w:t>场地模型：在模型中对本项目与周边建筑间距、退线距离进行追踪，并对其变化进行预警。反映设计地形、种植地形、硬质铺地及周边道路等。体现不同材质交界面，如建筑墙体、幕墙与室外地面交界面，各种管线与室外地面及基层之关系等。</w:t>
      </w:r>
    </w:p>
    <w:p>
      <w:pPr>
        <w:pStyle w:val="119"/>
        <w:rPr>
          <w:color w:val="auto"/>
          <w:highlight w:val="none"/>
        </w:rPr>
      </w:pPr>
      <w:bookmarkStart w:id="8300" w:name="_Toc463007644"/>
      <w:bookmarkStart w:id="8301" w:name="_Toc457218837"/>
      <w:r>
        <w:rPr>
          <w:color w:val="auto"/>
          <w:highlight w:val="none"/>
        </w:rPr>
        <w:t xml:space="preserve">5.1.1.2 </w:t>
      </w:r>
      <w:r>
        <w:rPr>
          <w:rFonts w:hint="eastAsia"/>
          <w:color w:val="auto"/>
          <w:highlight w:val="none"/>
        </w:rPr>
        <w:t>结构部分</w:t>
      </w:r>
      <w:bookmarkEnd w:id="8300"/>
      <w:bookmarkEnd w:id="8301"/>
      <w:r>
        <w:rPr>
          <w:rFonts w:hint="eastAsia"/>
          <w:color w:val="auto"/>
          <w:highlight w:val="none"/>
        </w:rPr>
        <w:t>模型与服务内容</w:t>
      </w:r>
    </w:p>
    <w:p>
      <w:pPr>
        <w:pStyle w:val="217"/>
        <w:rPr>
          <w:color w:val="auto"/>
          <w:highlight w:val="none"/>
        </w:rPr>
      </w:pPr>
      <w:r>
        <w:rPr>
          <w:rFonts w:hint="eastAsia"/>
          <w:color w:val="auto"/>
          <w:highlight w:val="none"/>
        </w:rPr>
        <w:t>包括但不限于：</w:t>
      </w:r>
    </w:p>
    <w:p>
      <w:pPr>
        <w:pStyle w:val="217"/>
        <w:rPr>
          <w:color w:val="auto"/>
          <w:highlight w:val="none"/>
        </w:rPr>
      </w:pPr>
      <w:r>
        <w:rPr>
          <w:color w:val="auto"/>
          <w:highlight w:val="none"/>
        </w:rPr>
        <w:t>1.</w:t>
      </w:r>
      <w:r>
        <w:rPr>
          <w:rFonts w:hint="eastAsia"/>
          <w:color w:val="auto"/>
          <w:highlight w:val="none"/>
        </w:rPr>
        <w:t>图纸上所含的结构构件信息，包括但不限于结构梁、结构楼板、基础底板、竖向构件（墙身、柱）、楼梯（含梯梁）、基坑与承台、坡道（含坡道梁）、车库设计、人防设计、消防设计、预留洞等。</w:t>
      </w:r>
    </w:p>
    <w:p>
      <w:pPr>
        <w:pStyle w:val="217"/>
        <w:rPr>
          <w:color w:val="auto"/>
          <w:highlight w:val="none"/>
        </w:rPr>
      </w:pPr>
      <w:r>
        <w:rPr>
          <w:color w:val="auto"/>
          <w:highlight w:val="none"/>
        </w:rPr>
        <w:t>2.</w:t>
      </w:r>
      <w:r>
        <w:rPr>
          <w:rFonts w:hint="eastAsia"/>
          <w:color w:val="auto"/>
          <w:highlight w:val="none"/>
        </w:rPr>
        <w:t>钢结构：及时正确反映钢结构平面（包含板边、标高、升降板、板上开洞），各类钢结构构件（钢梁、钢柱、钢桁架、牛腿、环板、组合楼板）的类型、钢材等级和截面尺寸，钢结构连接节点，钢结构构件留洞（钢结构梁、板、柱上留洞），压型钢板应反映类型和受力方向。</w:t>
      </w:r>
    </w:p>
    <w:p>
      <w:pPr>
        <w:pStyle w:val="217"/>
        <w:rPr>
          <w:color w:val="auto"/>
          <w:highlight w:val="none"/>
        </w:rPr>
      </w:pPr>
      <w:r>
        <w:rPr>
          <w:color w:val="auto"/>
          <w:highlight w:val="none"/>
        </w:rPr>
        <w:t>3.</w:t>
      </w:r>
      <w:r>
        <w:rPr>
          <w:rFonts w:hint="eastAsia"/>
          <w:color w:val="auto"/>
          <w:highlight w:val="none"/>
        </w:rPr>
        <w:t>混凝土结构：</w:t>
      </w:r>
    </w:p>
    <w:p>
      <w:pPr>
        <w:pStyle w:val="217"/>
        <w:rPr>
          <w:color w:val="auto"/>
          <w:highlight w:val="none"/>
        </w:rPr>
      </w:pPr>
      <w:r>
        <w:rPr>
          <w:rFonts w:hint="eastAsia"/>
          <w:color w:val="auto"/>
          <w:highlight w:val="none"/>
        </w:rPr>
        <w:t>（</w:t>
      </w:r>
      <w:r>
        <w:rPr>
          <w:color w:val="auto"/>
          <w:highlight w:val="none"/>
        </w:rPr>
        <w:t>1</w:t>
      </w:r>
      <w:r>
        <w:rPr>
          <w:rFonts w:hint="eastAsia"/>
          <w:color w:val="auto"/>
          <w:highlight w:val="none"/>
        </w:rPr>
        <w:t>）及时正确反映混凝土平面（包括基础、基础梁、设备基础、基础底板、柱、板边、标高、升降板、梁、楼板洞、墙洞、楼梯、钢构缝）、混凝土构件类型、混凝土强度等级和截面尺寸（基础、基础梁、设备基础、基础底板、筏板、梁、柱截面尺寸、支撑截面尺寸、板厚、墙厚、牛腿截面）。</w:t>
      </w:r>
    </w:p>
    <w:p>
      <w:pPr>
        <w:pStyle w:val="217"/>
        <w:rPr>
          <w:color w:val="auto"/>
          <w:highlight w:val="none"/>
        </w:rPr>
      </w:pPr>
      <w:r>
        <w:rPr>
          <w:rFonts w:hint="eastAsia"/>
          <w:color w:val="auto"/>
          <w:highlight w:val="none"/>
        </w:rPr>
        <w:t>（</w:t>
      </w:r>
      <w:r>
        <w:rPr>
          <w:color w:val="auto"/>
          <w:highlight w:val="none"/>
        </w:rPr>
        <w:t>2</w:t>
      </w:r>
      <w:r>
        <w:rPr>
          <w:rFonts w:hint="eastAsia"/>
          <w:color w:val="auto"/>
          <w:highlight w:val="none"/>
        </w:rPr>
        <w:t>）型钢混凝土构件和钢管混凝土构件需要同时包含混凝土截面和钢截面的信息。</w:t>
      </w:r>
    </w:p>
    <w:p>
      <w:pPr>
        <w:pStyle w:val="217"/>
        <w:rPr>
          <w:color w:val="auto"/>
          <w:highlight w:val="none"/>
        </w:rPr>
      </w:pPr>
      <w:r>
        <w:rPr>
          <w:rFonts w:hint="eastAsia"/>
          <w:color w:val="auto"/>
          <w:highlight w:val="none"/>
        </w:rPr>
        <w:t>对业主制定的典型及复杂的钢结构节点、型钢混凝土节点、钢管混凝土节点，按照业主要求进行建立。</w:t>
      </w:r>
    </w:p>
    <w:p>
      <w:pPr>
        <w:pStyle w:val="119"/>
        <w:rPr>
          <w:color w:val="auto"/>
          <w:highlight w:val="none"/>
        </w:rPr>
      </w:pPr>
      <w:bookmarkStart w:id="8302" w:name="_Toc457218838"/>
      <w:bookmarkStart w:id="8303" w:name="_Toc463007645"/>
      <w:r>
        <w:rPr>
          <w:color w:val="auto"/>
          <w:highlight w:val="none"/>
        </w:rPr>
        <w:t xml:space="preserve">5.1.1.3 </w:t>
      </w:r>
      <w:r>
        <w:rPr>
          <w:rFonts w:hint="eastAsia"/>
          <w:color w:val="auto"/>
          <w:highlight w:val="none"/>
        </w:rPr>
        <w:t>机电部分</w:t>
      </w:r>
      <w:bookmarkEnd w:id="8302"/>
      <w:bookmarkEnd w:id="8303"/>
      <w:r>
        <w:rPr>
          <w:rFonts w:hint="eastAsia"/>
          <w:color w:val="auto"/>
          <w:highlight w:val="none"/>
        </w:rPr>
        <w:t>模型与服务内容</w:t>
      </w:r>
    </w:p>
    <w:p>
      <w:pPr>
        <w:pStyle w:val="217"/>
        <w:rPr>
          <w:color w:val="auto"/>
          <w:highlight w:val="none"/>
        </w:rPr>
      </w:pPr>
      <w:r>
        <w:rPr>
          <w:rFonts w:hint="eastAsia"/>
          <w:color w:val="auto"/>
          <w:highlight w:val="none"/>
        </w:rPr>
        <w:t>包括但不限于：</w:t>
      </w:r>
    </w:p>
    <w:p>
      <w:pPr>
        <w:pStyle w:val="217"/>
        <w:rPr>
          <w:color w:val="auto"/>
          <w:highlight w:val="none"/>
        </w:rPr>
      </w:pPr>
      <w:r>
        <w:rPr>
          <w:color w:val="auto"/>
          <w:highlight w:val="none"/>
        </w:rPr>
        <w:t>1.</w:t>
      </w:r>
      <w:r>
        <w:rPr>
          <w:rFonts w:hint="eastAsia"/>
          <w:color w:val="auto"/>
          <w:highlight w:val="none"/>
        </w:rPr>
        <w:t>暖通（风）：风管管道、管件、风阀、设备的位置及尺寸；必须体现风管材质、保温材质和厚度。</w:t>
      </w:r>
    </w:p>
    <w:p>
      <w:pPr>
        <w:pStyle w:val="217"/>
        <w:rPr>
          <w:color w:val="auto"/>
          <w:highlight w:val="none"/>
        </w:rPr>
      </w:pPr>
      <w:r>
        <w:rPr>
          <w:color w:val="auto"/>
          <w:highlight w:val="none"/>
        </w:rPr>
        <w:t>2.</w:t>
      </w:r>
      <w:r>
        <w:rPr>
          <w:rFonts w:hint="eastAsia"/>
          <w:color w:val="auto"/>
          <w:highlight w:val="none"/>
        </w:rPr>
        <w:t>暖通（水）：管径</w:t>
      </w:r>
      <w:r>
        <w:rPr>
          <w:color w:val="auto"/>
          <w:highlight w:val="none"/>
        </w:rPr>
        <w:t>DN50</w:t>
      </w:r>
      <w:r>
        <w:rPr>
          <w:rFonts w:hint="eastAsia"/>
          <w:color w:val="auto"/>
          <w:highlight w:val="none"/>
        </w:rPr>
        <w:t>以上（包括</w:t>
      </w:r>
      <w:r>
        <w:rPr>
          <w:color w:val="auto"/>
          <w:highlight w:val="none"/>
        </w:rPr>
        <w:t>DN50</w:t>
      </w:r>
      <w:r>
        <w:rPr>
          <w:rFonts w:hint="eastAsia"/>
          <w:color w:val="auto"/>
          <w:highlight w:val="none"/>
        </w:rPr>
        <w:t>）的管道、管件、阀门、设备的位置及尺寸。必须体现管道材质、保温材质和厚度。</w:t>
      </w:r>
    </w:p>
    <w:p>
      <w:pPr>
        <w:pStyle w:val="217"/>
        <w:rPr>
          <w:color w:val="auto"/>
          <w:highlight w:val="none"/>
        </w:rPr>
      </w:pPr>
      <w:r>
        <w:rPr>
          <w:color w:val="auto"/>
          <w:highlight w:val="none"/>
        </w:rPr>
        <w:t>3.</w:t>
      </w:r>
      <w:r>
        <w:rPr>
          <w:rFonts w:hint="eastAsia"/>
          <w:color w:val="auto"/>
          <w:highlight w:val="none"/>
        </w:rPr>
        <w:t>给排水：管径</w:t>
      </w:r>
      <w:r>
        <w:rPr>
          <w:color w:val="auto"/>
          <w:highlight w:val="none"/>
        </w:rPr>
        <w:t>DN50</w:t>
      </w:r>
      <w:r>
        <w:rPr>
          <w:rFonts w:hint="eastAsia"/>
          <w:color w:val="auto"/>
          <w:highlight w:val="none"/>
        </w:rPr>
        <w:t>以上（包括</w:t>
      </w:r>
      <w:r>
        <w:rPr>
          <w:color w:val="auto"/>
          <w:highlight w:val="none"/>
        </w:rPr>
        <w:t>DN50</w:t>
      </w:r>
      <w:r>
        <w:rPr>
          <w:rFonts w:hint="eastAsia"/>
          <w:color w:val="auto"/>
          <w:highlight w:val="none"/>
        </w:rPr>
        <w:t>）的管道、管件、阀门、水泵、设备的位置及尺寸。必须体现管道材质、保温材质和厚度。</w:t>
      </w:r>
    </w:p>
    <w:p>
      <w:pPr>
        <w:pStyle w:val="217"/>
        <w:rPr>
          <w:color w:val="auto"/>
          <w:highlight w:val="none"/>
        </w:rPr>
      </w:pPr>
      <w:r>
        <w:rPr>
          <w:color w:val="auto"/>
          <w:highlight w:val="none"/>
        </w:rPr>
        <w:t>4.</w:t>
      </w:r>
      <w:r>
        <w:rPr>
          <w:rFonts w:hint="eastAsia"/>
          <w:color w:val="auto"/>
          <w:highlight w:val="none"/>
        </w:rPr>
        <w:t>消防：管径</w:t>
      </w:r>
      <w:r>
        <w:rPr>
          <w:color w:val="auto"/>
          <w:highlight w:val="none"/>
        </w:rPr>
        <w:t>DN50</w:t>
      </w:r>
      <w:r>
        <w:rPr>
          <w:rFonts w:hint="eastAsia"/>
          <w:color w:val="auto"/>
          <w:highlight w:val="none"/>
        </w:rPr>
        <w:t>以上（包括</w:t>
      </w:r>
      <w:r>
        <w:rPr>
          <w:color w:val="auto"/>
          <w:highlight w:val="none"/>
        </w:rPr>
        <w:t>DN50</w:t>
      </w:r>
      <w:r>
        <w:rPr>
          <w:rFonts w:hint="eastAsia"/>
          <w:color w:val="auto"/>
          <w:highlight w:val="none"/>
        </w:rPr>
        <w:t>）的管道、管件、阀门、设备的位置及尺寸。</w:t>
      </w:r>
    </w:p>
    <w:p>
      <w:pPr>
        <w:pStyle w:val="217"/>
        <w:rPr>
          <w:color w:val="auto"/>
          <w:highlight w:val="none"/>
        </w:rPr>
      </w:pPr>
      <w:r>
        <w:rPr>
          <w:color w:val="auto"/>
          <w:highlight w:val="none"/>
        </w:rPr>
        <w:t>5.</w:t>
      </w:r>
      <w:r>
        <w:rPr>
          <w:rFonts w:hint="eastAsia"/>
          <w:color w:val="auto"/>
          <w:highlight w:val="none"/>
        </w:rPr>
        <w:t>供电：桥架、变配电设备位置及尺寸。</w:t>
      </w:r>
    </w:p>
    <w:p>
      <w:pPr>
        <w:pStyle w:val="217"/>
        <w:rPr>
          <w:color w:val="auto"/>
          <w:highlight w:val="none"/>
        </w:rPr>
      </w:pPr>
      <w:r>
        <w:rPr>
          <w:color w:val="auto"/>
          <w:highlight w:val="none"/>
        </w:rPr>
        <w:t>6.</w:t>
      </w:r>
      <w:r>
        <w:rPr>
          <w:rFonts w:hint="eastAsia"/>
          <w:color w:val="auto"/>
          <w:highlight w:val="none"/>
        </w:rPr>
        <w:t>弱电：桥架、控制箱、传感设备和终端设备的位置及尺寸。</w:t>
      </w:r>
    </w:p>
    <w:p>
      <w:pPr>
        <w:pStyle w:val="217"/>
        <w:rPr>
          <w:color w:val="auto"/>
          <w:highlight w:val="none"/>
        </w:rPr>
      </w:pPr>
      <w:r>
        <w:rPr>
          <w:color w:val="auto"/>
          <w:highlight w:val="none"/>
        </w:rPr>
        <w:t>7.</w:t>
      </w:r>
      <w:r>
        <w:rPr>
          <w:rFonts w:hint="eastAsia"/>
          <w:color w:val="auto"/>
          <w:highlight w:val="none"/>
        </w:rPr>
        <w:t>照明：配电箱位置及尺寸。</w:t>
      </w:r>
    </w:p>
    <w:p>
      <w:pPr>
        <w:pStyle w:val="217"/>
        <w:rPr>
          <w:color w:val="auto"/>
          <w:highlight w:val="none"/>
        </w:rPr>
      </w:pPr>
      <w:r>
        <w:rPr>
          <w:color w:val="auto"/>
          <w:highlight w:val="none"/>
        </w:rPr>
        <w:t>8.</w:t>
      </w:r>
      <w:r>
        <w:rPr>
          <w:rFonts w:hint="eastAsia"/>
          <w:color w:val="auto"/>
          <w:highlight w:val="none"/>
        </w:rPr>
        <w:t>大、小市政要求：与项目有关的大小市政管线、坡度、阀门、市政井等。</w:t>
      </w:r>
    </w:p>
    <w:p>
      <w:pPr>
        <w:pStyle w:val="217"/>
        <w:rPr>
          <w:color w:val="auto"/>
          <w:highlight w:val="none"/>
        </w:rPr>
      </w:pPr>
      <w:r>
        <w:rPr>
          <w:color w:val="auto"/>
          <w:highlight w:val="none"/>
        </w:rPr>
        <w:t>9.</w:t>
      </w:r>
      <w:r>
        <w:rPr>
          <w:rFonts w:hint="eastAsia"/>
          <w:color w:val="auto"/>
          <w:highlight w:val="none"/>
        </w:rPr>
        <w:t>其它机电部分。</w:t>
      </w:r>
    </w:p>
    <w:p>
      <w:pPr>
        <w:pStyle w:val="119"/>
        <w:rPr>
          <w:color w:val="auto"/>
          <w:highlight w:val="none"/>
        </w:rPr>
      </w:pPr>
      <w:bookmarkStart w:id="8304" w:name="_Toc457218839"/>
      <w:bookmarkStart w:id="8305" w:name="_Toc463007646"/>
      <w:r>
        <w:rPr>
          <w:color w:val="auto"/>
          <w:highlight w:val="none"/>
        </w:rPr>
        <w:t xml:space="preserve">5.1.1.4 </w:t>
      </w:r>
      <w:r>
        <w:rPr>
          <w:rFonts w:hint="eastAsia"/>
          <w:color w:val="auto"/>
          <w:highlight w:val="none"/>
        </w:rPr>
        <w:t>幕墙部分</w:t>
      </w:r>
      <w:bookmarkEnd w:id="8304"/>
      <w:bookmarkEnd w:id="8305"/>
      <w:r>
        <w:rPr>
          <w:rFonts w:hint="eastAsia"/>
          <w:color w:val="auto"/>
          <w:highlight w:val="none"/>
        </w:rPr>
        <w:t>模型与服务内容</w:t>
      </w:r>
    </w:p>
    <w:p>
      <w:pPr>
        <w:pStyle w:val="217"/>
        <w:rPr>
          <w:color w:val="auto"/>
          <w:highlight w:val="none"/>
        </w:rPr>
      </w:pPr>
      <w:r>
        <w:rPr>
          <w:rFonts w:hint="eastAsia"/>
          <w:color w:val="auto"/>
          <w:highlight w:val="none"/>
        </w:rPr>
        <w:t>包括但不限于：</w:t>
      </w:r>
    </w:p>
    <w:p>
      <w:pPr>
        <w:pStyle w:val="217"/>
        <w:rPr>
          <w:color w:val="auto"/>
          <w:highlight w:val="none"/>
        </w:rPr>
      </w:pPr>
      <w:r>
        <w:rPr>
          <w:color w:val="auto"/>
          <w:highlight w:val="none"/>
        </w:rPr>
        <w:t>1.</w:t>
      </w:r>
      <w:r>
        <w:rPr>
          <w:rFonts w:hint="eastAsia"/>
          <w:color w:val="auto"/>
          <w:highlight w:val="none"/>
        </w:rPr>
        <w:t>玻璃幕墙（含面材、保温、龙骨及必要的转接件）</w:t>
      </w:r>
    </w:p>
    <w:p>
      <w:pPr>
        <w:pStyle w:val="217"/>
        <w:rPr>
          <w:color w:val="auto"/>
          <w:highlight w:val="none"/>
        </w:rPr>
      </w:pPr>
      <w:r>
        <w:rPr>
          <w:color w:val="auto"/>
          <w:highlight w:val="none"/>
        </w:rPr>
        <w:t>2.</w:t>
      </w:r>
      <w:r>
        <w:rPr>
          <w:rFonts w:hint="eastAsia"/>
          <w:color w:val="auto"/>
          <w:highlight w:val="none"/>
        </w:rPr>
        <w:t>铝板、钢板及其他金属幕墙</w:t>
      </w:r>
    </w:p>
    <w:p>
      <w:pPr>
        <w:pStyle w:val="217"/>
        <w:rPr>
          <w:color w:val="auto"/>
          <w:highlight w:val="none"/>
        </w:rPr>
      </w:pPr>
      <w:r>
        <w:rPr>
          <w:color w:val="auto"/>
          <w:highlight w:val="none"/>
        </w:rPr>
        <w:t>3.</w:t>
      </w:r>
      <w:r>
        <w:rPr>
          <w:rFonts w:hint="eastAsia"/>
          <w:color w:val="auto"/>
          <w:highlight w:val="none"/>
        </w:rPr>
        <w:t>石材幕墙（含面材、保温、龙骨及必要的转接件）</w:t>
      </w:r>
    </w:p>
    <w:p>
      <w:pPr>
        <w:pStyle w:val="217"/>
        <w:rPr>
          <w:color w:val="auto"/>
          <w:highlight w:val="none"/>
        </w:rPr>
      </w:pPr>
      <w:r>
        <w:rPr>
          <w:color w:val="auto"/>
          <w:highlight w:val="none"/>
        </w:rPr>
        <w:t>4.</w:t>
      </w:r>
      <w:r>
        <w:rPr>
          <w:rFonts w:hint="eastAsia"/>
          <w:color w:val="auto"/>
          <w:highlight w:val="none"/>
        </w:rPr>
        <w:t>玻璃采光天窗（含幕墙面材、支撑龙骨及相关辅助构件）</w:t>
      </w:r>
    </w:p>
    <w:p>
      <w:pPr>
        <w:pStyle w:val="217"/>
        <w:rPr>
          <w:color w:val="auto"/>
          <w:highlight w:val="none"/>
        </w:rPr>
      </w:pPr>
      <w:r>
        <w:rPr>
          <w:color w:val="auto"/>
          <w:highlight w:val="none"/>
        </w:rPr>
        <w:t>5.</w:t>
      </w:r>
      <w:r>
        <w:rPr>
          <w:rFonts w:hint="eastAsia"/>
          <w:color w:val="auto"/>
          <w:highlight w:val="none"/>
        </w:rPr>
        <w:t>入口雨蓬（含完成面材料、钢结构及相关辅助构件）</w:t>
      </w:r>
    </w:p>
    <w:p>
      <w:pPr>
        <w:pStyle w:val="217"/>
        <w:rPr>
          <w:color w:val="auto"/>
          <w:highlight w:val="none"/>
        </w:rPr>
      </w:pPr>
      <w:r>
        <w:rPr>
          <w:color w:val="auto"/>
          <w:highlight w:val="none"/>
        </w:rPr>
        <w:t>6.</w:t>
      </w:r>
      <w:r>
        <w:rPr>
          <w:rFonts w:hint="eastAsia"/>
          <w:color w:val="auto"/>
          <w:highlight w:val="none"/>
        </w:rPr>
        <w:t>可开启扇、可开启门、消防排烟窗（含窗扇框、门扇框及把手等相关配套可视五金）</w:t>
      </w:r>
    </w:p>
    <w:p>
      <w:pPr>
        <w:pStyle w:val="217"/>
        <w:rPr>
          <w:color w:val="auto"/>
          <w:highlight w:val="none"/>
        </w:rPr>
      </w:pPr>
      <w:r>
        <w:rPr>
          <w:color w:val="auto"/>
          <w:highlight w:val="none"/>
        </w:rPr>
        <w:t>7.</w:t>
      </w:r>
      <w:r>
        <w:rPr>
          <w:rFonts w:hint="eastAsia"/>
          <w:color w:val="auto"/>
          <w:highlight w:val="none"/>
        </w:rPr>
        <w:t>铝合金格栅、百叶（含幕墙面材及相关辅助构件）</w:t>
      </w:r>
    </w:p>
    <w:p>
      <w:pPr>
        <w:pStyle w:val="217"/>
        <w:rPr>
          <w:color w:val="auto"/>
          <w:highlight w:val="none"/>
        </w:rPr>
      </w:pPr>
      <w:r>
        <w:rPr>
          <w:color w:val="auto"/>
          <w:highlight w:val="none"/>
        </w:rPr>
        <w:t>8.</w:t>
      </w:r>
      <w:r>
        <w:rPr>
          <w:rFonts w:hint="eastAsia"/>
          <w:color w:val="auto"/>
          <w:highlight w:val="none"/>
        </w:rPr>
        <w:t>部分埋件（含预埋件、后补埋件）</w:t>
      </w:r>
    </w:p>
    <w:p>
      <w:pPr>
        <w:pStyle w:val="217"/>
        <w:rPr>
          <w:color w:val="auto"/>
          <w:highlight w:val="none"/>
        </w:rPr>
      </w:pPr>
      <w:r>
        <w:rPr>
          <w:color w:val="auto"/>
          <w:highlight w:val="none"/>
        </w:rPr>
        <w:t>9.</w:t>
      </w:r>
      <w:r>
        <w:rPr>
          <w:rFonts w:hint="eastAsia"/>
          <w:color w:val="auto"/>
          <w:highlight w:val="none"/>
        </w:rPr>
        <w:t>室外吊顶（含幕墙面材及相关辅助构件，室外照明灯具、摄像头及所有与其连接的外露设备）</w:t>
      </w:r>
    </w:p>
    <w:p>
      <w:pPr>
        <w:pStyle w:val="217"/>
        <w:rPr>
          <w:color w:val="auto"/>
          <w:highlight w:val="none"/>
        </w:rPr>
      </w:pPr>
      <w:r>
        <w:rPr>
          <w:color w:val="auto"/>
          <w:highlight w:val="none"/>
        </w:rPr>
        <w:t>10.</w:t>
      </w:r>
      <w:r>
        <w:rPr>
          <w:rFonts w:hint="eastAsia"/>
          <w:color w:val="auto"/>
          <w:highlight w:val="none"/>
        </w:rPr>
        <w:t>室外栏杆、栏板（含相关辅助构件）</w:t>
      </w:r>
    </w:p>
    <w:p>
      <w:pPr>
        <w:pStyle w:val="217"/>
        <w:rPr>
          <w:color w:val="auto"/>
          <w:highlight w:val="none"/>
        </w:rPr>
      </w:pPr>
      <w:r>
        <w:rPr>
          <w:color w:val="auto"/>
          <w:highlight w:val="none"/>
        </w:rPr>
        <w:t>11.</w:t>
      </w:r>
      <w:r>
        <w:rPr>
          <w:rFonts w:hint="eastAsia"/>
          <w:color w:val="auto"/>
          <w:highlight w:val="none"/>
        </w:rPr>
        <w:t>室外围挡（含钢结构及相关辅助构件）</w:t>
      </w:r>
    </w:p>
    <w:p>
      <w:pPr>
        <w:pStyle w:val="217"/>
        <w:rPr>
          <w:color w:val="auto"/>
          <w:highlight w:val="none"/>
        </w:rPr>
      </w:pPr>
      <w:r>
        <w:rPr>
          <w:color w:val="auto"/>
          <w:highlight w:val="none"/>
        </w:rPr>
        <w:t>12.</w:t>
      </w:r>
      <w:r>
        <w:rPr>
          <w:rFonts w:hint="eastAsia"/>
          <w:color w:val="auto"/>
          <w:highlight w:val="none"/>
        </w:rPr>
        <w:t>擦窗机、擦窗机轨道、维护用安全绳导轨</w:t>
      </w:r>
    </w:p>
    <w:p>
      <w:pPr>
        <w:pStyle w:val="172"/>
        <w:rPr>
          <w:color w:val="auto"/>
          <w:highlight w:val="none"/>
        </w:rPr>
      </w:pPr>
      <w:r>
        <w:rPr>
          <w:color w:val="auto"/>
          <w:highlight w:val="none"/>
        </w:rPr>
        <w:t xml:space="preserve">5.1.2 </w:t>
      </w:r>
      <w:r>
        <w:rPr>
          <w:rFonts w:hint="eastAsia"/>
          <w:color w:val="auto"/>
          <w:highlight w:val="none"/>
        </w:rPr>
        <w:t>深化设计模型要求</w:t>
      </w:r>
    </w:p>
    <w:p>
      <w:pPr>
        <w:pStyle w:val="217"/>
        <w:rPr>
          <w:color w:val="auto"/>
          <w:highlight w:val="none"/>
        </w:rPr>
      </w:pPr>
      <w:r>
        <w:rPr>
          <w:rFonts w:hint="eastAsia"/>
          <w:color w:val="auto"/>
          <w:highlight w:val="none"/>
        </w:rPr>
        <w:t>承包人根据</w:t>
      </w:r>
      <w:r>
        <w:rPr>
          <w:color w:val="auto"/>
          <w:highlight w:val="none"/>
        </w:rPr>
        <w:t>BIM</w:t>
      </w:r>
      <w:r>
        <w:rPr>
          <w:rFonts w:hint="eastAsia"/>
          <w:color w:val="auto"/>
          <w:highlight w:val="none"/>
        </w:rPr>
        <w:t>模型，依据专业要求，对模型进行深化，消除各专业碰撞，形成深化后的</w:t>
      </w:r>
      <w:r>
        <w:rPr>
          <w:color w:val="auto"/>
          <w:highlight w:val="none"/>
        </w:rPr>
        <w:t>BIM</w:t>
      </w:r>
      <w:r>
        <w:rPr>
          <w:rFonts w:hint="eastAsia"/>
          <w:color w:val="auto"/>
          <w:highlight w:val="none"/>
        </w:rPr>
        <w:t>模型，该深化结果经发包人确认后，按深化后的</w:t>
      </w:r>
      <w:r>
        <w:rPr>
          <w:color w:val="auto"/>
          <w:highlight w:val="none"/>
        </w:rPr>
        <w:t>BIM</w:t>
      </w:r>
      <w:r>
        <w:rPr>
          <w:rFonts w:hint="eastAsia"/>
          <w:color w:val="auto"/>
          <w:highlight w:val="none"/>
        </w:rPr>
        <w:t>模型进行施工。深化设计模型建模要求参照《项目</w:t>
      </w:r>
      <w:r>
        <w:rPr>
          <w:color w:val="auto"/>
          <w:highlight w:val="none"/>
        </w:rPr>
        <w:t>BIM</w:t>
      </w:r>
      <w:r>
        <w:rPr>
          <w:rFonts w:hint="eastAsia"/>
          <w:color w:val="auto"/>
          <w:highlight w:val="none"/>
        </w:rPr>
        <w:t>技术标准》。</w:t>
      </w:r>
    </w:p>
    <w:p>
      <w:pPr>
        <w:pStyle w:val="172"/>
        <w:rPr>
          <w:color w:val="auto"/>
          <w:highlight w:val="none"/>
        </w:rPr>
      </w:pPr>
      <w:r>
        <w:rPr>
          <w:color w:val="auto"/>
          <w:highlight w:val="none"/>
        </w:rPr>
        <w:t xml:space="preserve">5.1.3 </w:t>
      </w:r>
      <w:r>
        <w:rPr>
          <w:rFonts w:hint="eastAsia"/>
          <w:color w:val="auto"/>
          <w:highlight w:val="none"/>
        </w:rPr>
        <w:t>管理要求</w:t>
      </w:r>
    </w:p>
    <w:p>
      <w:pPr>
        <w:pStyle w:val="217"/>
        <w:rPr>
          <w:color w:val="auto"/>
          <w:highlight w:val="none"/>
        </w:rPr>
      </w:pPr>
      <w:r>
        <w:rPr>
          <w:color w:val="auto"/>
          <w:highlight w:val="none"/>
        </w:rPr>
        <w:t>1.</w:t>
      </w:r>
      <w:r>
        <w:rPr>
          <w:rFonts w:hint="eastAsia"/>
          <w:color w:val="auto"/>
          <w:highlight w:val="none"/>
        </w:rPr>
        <w:t>承包人应统筹管理各专业承包单位</w:t>
      </w:r>
      <w:r>
        <w:rPr>
          <w:color w:val="auto"/>
          <w:highlight w:val="none"/>
        </w:rPr>
        <w:t>/</w:t>
      </w:r>
      <w:r>
        <w:rPr>
          <w:rFonts w:hint="eastAsia"/>
          <w:color w:val="auto"/>
          <w:highlight w:val="none"/>
        </w:rPr>
        <w:t>供应商施工阶段的</w:t>
      </w:r>
      <w:r>
        <w:rPr>
          <w:color w:val="auto"/>
          <w:highlight w:val="none"/>
        </w:rPr>
        <w:t>BIM</w:t>
      </w:r>
      <w:r>
        <w:rPr>
          <w:rFonts w:hint="eastAsia"/>
          <w:color w:val="auto"/>
          <w:highlight w:val="none"/>
        </w:rPr>
        <w:t>模型。在项目结束时，承包人应对专业承包单位</w:t>
      </w:r>
      <w:r>
        <w:rPr>
          <w:color w:val="auto"/>
          <w:highlight w:val="none"/>
        </w:rPr>
        <w:t>/</w:t>
      </w:r>
      <w:r>
        <w:rPr>
          <w:rFonts w:hint="eastAsia"/>
          <w:color w:val="auto"/>
          <w:highlight w:val="none"/>
        </w:rPr>
        <w:t>供应商提交的竣工</w:t>
      </w:r>
      <w:r>
        <w:rPr>
          <w:color w:val="auto"/>
          <w:highlight w:val="none"/>
        </w:rPr>
        <w:t>BIM</w:t>
      </w:r>
      <w:r>
        <w:rPr>
          <w:rFonts w:hint="eastAsia"/>
          <w:color w:val="auto"/>
          <w:highlight w:val="none"/>
        </w:rPr>
        <w:t>模型，</w:t>
      </w:r>
      <w:r>
        <w:rPr>
          <w:color w:val="auto"/>
          <w:highlight w:val="none"/>
        </w:rPr>
        <w:t>BIM</w:t>
      </w:r>
      <w:r>
        <w:rPr>
          <w:rFonts w:hint="eastAsia"/>
          <w:color w:val="auto"/>
          <w:highlight w:val="none"/>
        </w:rPr>
        <w:t>应用资料和相关数据等，进行真实准确的审核和集成；竣工模型包括但不限于：土建竣工模型、钢结构竣工模型、暖通竣工模型、电气竣工模型、给排水竣工模型、机房设备竣工模型、智能化、消防、充电桩、幕墙、市政、室内装饰其他相关竣工模型进行整合，形成项目全专业竣工模型；</w:t>
      </w:r>
    </w:p>
    <w:p>
      <w:pPr>
        <w:pStyle w:val="217"/>
        <w:rPr>
          <w:color w:val="auto"/>
          <w:highlight w:val="none"/>
        </w:rPr>
      </w:pPr>
      <w:r>
        <w:rPr>
          <w:color w:val="auto"/>
          <w:highlight w:val="none"/>
        </w:rPr>
        <w:t>2</w:t>
      </w:r>
      <w:r>
        <w:rPr>
          <w:rFonts w:hint="eastAsia"/>
          <w:color w:val="auto"/>
          <w:highlight w:val="none"/>
        </w:rPr>
        <w:t>承包人须按要求与发包人指定单位配合，提供必要</w:t>
      </w:r>
      <w:r>
        <w:rPr>
          <w:color w:val="auto"/>
          <w:highlight w:val="none"/>
        </w:rPr>
        <w:t>BIM</w:t>
      </w:r>
      <w:r>
        <w:rPr>
          <w:rFonts w:hint="eastAsia"/>
          <w:color w:val="auto"/>
          <w:highlight w:val="none"/>
        </w:rPr>
        <w:t>模型数据和文件，共享资源，协同应用，提供工程决策依据。</w:t>
      </w:r>
    </w:p>
    <w:p>
      <w:pPr>
        <w:pStyle w:val="217"/>
        <w:rPr>
          <w:color w:val="auto"/>
          <w:highlight w:val="none"/>
        </w:rPr>
      </w:pPr>
      <w:r>
        <w:rPr>
          <w:color w:val="auto"/>
          <w:highlight w:val="none"/>
        </w:rPr>
        <w:t>3.</w:t>
      </w:r>
      <w:r>
        <w:rPr>
          <w:rFonts w:hint="eastAsia"/>
          <w:color w:val="auto"/>
          <w:highlight w:val="none"/>
        </w:rPr>
        <w:t>根据</w:t>
      </w:r>
      <w:r>
        <w:rPr>
          <w:color w:val="auto"/>
          <w:highlight w:val="none"/>
        </w:rPr>
        <w:t>BIM</w:t>
      </w:r>
      <w:r>
        <w:rPr>
          <w:rFonts w:hint="eastAsia"/>
          <w:color w:val="auto"/>
          <w:highlight w:val="none"/>
        </w:rPr>
        <w:t>会议机制，参加招标人</w:t>
      </w:r>
      <w:r>
        <w:rPr>
          <w:color w:val="auto"/>
          <w:highlight w:val="none"/>
        </w:rPr>
        <w:t>/BIM</w:t>
      </w:r>
      <w:r>
        <w:rPr>
          <w:rFonts w:hint="eastAsia"/>
          <w:color w:val="auto"/>
          <w:highlight w:val="none"/>
        </w:rPr>
        <w:t>顾问方，组织召开施工</w:t>
      </w:r>
      <w:r>
        <w:rPr>
          <w:color w:val="auto"/>
          <w:highlight w:val="none"/>
        </w:rPr>
        <w:t>BIM</w:t>
      </w:r>
      <w:r>
        <w:rPr>
          <w:rFonts w:hint="eastAsia"/>
          <w:color w:val="auto"/>
          <w:highlight w:val="none"/>
        </w:rPr>
        <w:t>例会，向招标人总结前期</w:t>
      </w:r>
      <w:r>
        <w:rPr>
          <w:color w:val="auto"/>
          <w:highlight w:val="none"/>
        </w:rPr>
        <w:t>BIM</w:t>
      </w:r>
      <w:r>
        <w:rPr>
          <w:rFonts w:hint="eastAsia"/>
          <w:color w:val="auto"/>
          <w:highlight w:val="none"/>
        </w:rPr>
        <w:t>工作，上报</w:t>
      </w:r>
      <w:r>
        <w:rPr>
          <w:color w:val="auto"/>
          <w:highlight w:val="none"/>
        </w:rPr>
        <w:t>BIM</w:t>
      </w:r>
      <w:r>
        <w:rPr>
          <w:rFonts w:hint="eastAsia"/>
          <w:color w:val="auto"/>
          <w:highlight w:val="none"/>
        </w:rPr>
        <w:t>工作计划。</w:t>
      </w:r>
    </w:p>
    <w:p>
      <w:pPr>
        <w:pStyle w:val="217"/>
        <w:rPr>
          <w:color w:val="auto"/>
          <w:highlight w:val="none"/>
        </w:rPr>
      </w:pPr>
      <w:r>
        <w:rPr>
          <w:color w:val="auto"/>
          <w:highlight w:val="none"/>
        </w:rPr>
        <w:t>4.</w:t>
      </w:r>
      <w:r>
        <w:rPr>
          <w:rFonts w:hint="eastAsia"/>
          <w:color w:val="auto"/>
          <w:highlight w:val="none"/>
        </w:rPr>
        <w:t>对于其他未建立</w:t>
      </w:r>
      <w:r>
        <w:rPr>
          <w:color w:val="auto"/>
          <w:highlight w:val="none"/>
        </w:rPr>
        <w:t>BIM</w:t>
      </w:r>
      <w:r>
        <w:rPr>
          <w:rFonts w:hint="eastAsia"/>
          <w:color w:val="auto"/>
          <w:highlight w:val="none"/>
        </w:rPr>
        <w:t>模型的专业承包单位和供应商，配合专业承包单位完成</w:t>
      </w:r>
      <w:r>
        <w:rPr>
          <w:color w:val="auto"/>
          <w:highlight w:val="none"/>
        </w:rPr>
        <w:t>BIM</w:t>
      </w:r>
      <w:r>
        <w:rPr>
          <w:rFonts w:hint="eastAsia"/>
          <w:color w:val="auto"/>
          <w:highlight w:val="none"/>
        </w:rPr>
        <w:t>模型。当专业承包单位不具备建模能力或总包与专业承包单位之间没有相关协议要求时，应由总包负责模型的搭建，其具体组织形式，由承包人自行安排，但模型的深度与信息，应满足招标人单位的建模要求和运维要求，业主的运维服务提供数据支撑。</w:t>
      </w:r>
    </w:p>
    <w:p>
      <w:pPr>
        <w:pStyle w:val="217"/>
        <w:rPr>
          <w:color w:val="auto"/>
          <w:highlight w:val="none"/>
        </w:rPr>
      </w:pPr>
      <w:r>
        <w:rPr>
          <w:color w:val="auto"/>
          <w:highlight w:val="none"/>
        </w:rPr>
        <w:t>5.</w:t>
      </w:r>
      <w:r>
        <w:rPr>
          <w:rFonts w:hint="eastAsia"/>
          <w:color w:val="auto"/>
          <w:highlight w:val="none"/>
        </w:rPr>
        <w:t>工程档案管理：建立</w:t>
      </w:r>
      <w:r>
        <w:rPr>
          <w:color w:val="auto"/>
          <w:highlight w:val="none"/>
        </w:rPr>
        <w:t>BIM</w:t>
      </w:r>
      <w:r>
        <w:rPr>
          <w:rFonts w:hint="eastAsia"/>
          <w:color w:val="auto"/>
          <w:highlight w:val="none"/>
        </w:rPr>
        <w:t>信息电子工程档案资料库，将构建（设备）、资料一一对应，统一存档。</w:t>
      </w:r>
    </w:p>
    <w:p>
      <w:pPr>
        <w:pStyle w:val="113"/>
        <w:spacing w:before="120" w:after="120"/>
        <w:outlineLvl w:val="2"/>
        <w:rPr>
          <w:color w:val="auto"/>
          <w:highlight w:val="none"/>
        </w:rPr>
      </w:pPr>
      <w:bookmarkStart w:id="8306" w:name="_Toc505345859"/>
      <w:bookmarkStart w:id="8307" w:name="_Toc66634547"/>
      <w:bookmarkStart w:id="8308" w:name="_Toc503702882"/>
      <w:bookmarkStart w:id="8309" w:name="_Toc69114288"/>
      <w:bookmarkStart w:id="8310" w:name="_Toc66890542"/>
      <w:r>
        <w:rPr>
          <w:color w:val="auto"/>
          <w:highlight w:val="none"/>
        </w:rPr>
        <w:t>5.2  BIM</w:t>
      </w:r>
      <w:r>
        <w:rPr>
          <w:rFonts w:hint="eastAsia"/>
          <w:color w:val="auto"/>
          <w:highlight w:val="none"/>
        </w:rPr>
        <w:t>技术服务要求</w:t>
      </w:r>
      <w:bookmarkEnd w:id="8306"/>
      <w:bookmarkEnd w:id="8307"/>
      <w:bookmarkEnd w:id="8308"/>
      <w:bookmarkEnd w:id="8309"/>
      <w:bookmarkEnd w:id="8310"/>
    </w:p>
    <w:p>
      <w:pPr>
        <w:pStyle w:val="217"/>
        <w:rPr>
          <w:color w:val="auto"/>
          <w:highlight w:val="none"/>
        </w:rPr>
      </w:pPr>
      <w:r>
        <w:rPr>
          <w:color w:val="auto"/>
          <w:highlight w:val="none"/>
        </w:rPr>
        <w:t>1.</w:t>
      </w:r>
      <w:r>
        <w:rPr>
          <w:rFonts w:hint="eastAsia"/>
          <w:color w:val="auto"/>
          <w:highlight w:val="none"/>
        </w:rPr>
        <w:t>组织开展施工阶段管线综合工作，精确解决图纸中仍存在的各专业碰撞问题，确保各专业施工顺利、高效开展。</w:t>
      </w:r>
    </w:p>
    <w:p>
      <w:pPr>
        <w:pStyle w:val="217"/>
        <w:rPr>
          <w:color w:val="auto"/>
          <w:highlight w:val="none"/>
        </w:rPr>
      </w:pPr>
      <w:r>
        <w:rPr>
          <w:color w:val="auto"/>
          <w:highlight w:val="none"/>
        </w:rPr>
        <w:t>2.</w:t>
      </w:r>
      <w:r>
        <w:rPr>
          <w:rFonts w:hint="eastAsia"/>
          <w:color w:val="auto"/>
          <w:highlight w:val="none"/>
        </w:rPr>
        <w:t>组织结构专业洞口预留预埋优化，减少后期施工变更。</w:t>
      </w:r>
    </w:p>
    <w:p>
      <w:pPr>
        <w:pStyle w:val="217"/>
        <w:rPr>
          <w:color w:val="auto"/>
          <w:highlight w:val="none"/>
        </w:rPr>
      </w:pPr>
      <w:r>
        <w:rPr>
          <w:color w:val="auto"/>
          <w:highlight w:val="none"/>
        </w:rPr>
        <w:t>3.</w:t>
      </w:r>
      <w:r>
        <w:rPr>
          <w:rFonts w:hint="eastAsia"/>
          <w:color w:val="auto"/>
          <w:highlight w:val="none"/>
        </w:rPr>
        <w:t>组织施工现场工艺</w:t>
      </w:r>
      <w:r>
        <w:rPr>
          <w:color w:val="auto"/>
          <w:highlight w:val="none"/>
        </w:rPr>
        <w:t>BIM</w:t>
      </w:r>
      <w:r>
        <w:rPr>
          <w:rFonts w:hint="eastAsia"/>
          <w:color w:val="auto"/>
          <w:highlight w:val="none"/>
        </w:rPr>
        <w:t>指导方案编制和实施</w:t>
      </w:r>
    </w:p>
    <w:p>
      <w:pPr>
        <w:pStyle w:val="217"/>
        <w:rPr>
          <w:color w:val="auto"/>
          <w:highlight w:val="none"/>
        </w:rPr>
      </w:pPr>
      <w:r>
        <w:rPr>
          <w:color w:val="auto"/>
          <w:highlight w:val="none"/>
        </w:rPr>
        <w:t>4.</w:t>
      </w:r>
      <w:r>
        <w:rPr>
          <w:rFonts w:hint="eastAsia"/>
          <w:color w:val="auto"/>
          <w:highlight w:val="none"/>
        </w:rPr>
        <w:t>组织重点大型机电设备安装模拟，论证安装方案的可实施性。</w:t>
      </w:r>
    </w:p>
    <w:p>
      <w:pPr>
        <w:pStyle w:val="217"/>
        <w:rPr>
          <w:color w:val="auto"/>
          <w:highlight w:val="none"/>
        </w:rPr>
      </w:pPr>
      <w:r>
        <w:rPr>
          <w:color w:val="auto"/>
          <w:highlight w:val="none"/>
        </w:rPr>
        <w:t>5.</w:t>
      </w:r>
      <w:r>
        <w:rPr>
          <w:rFonts w:hint="eastAsia"/>
          <w:color w:val="auto"/>
          <w:highlight w:val="none"/>
        </w:rPr>
        <w:t>结合施工单位的总进度计划及投资计划，为招标人提供</w:t>
      </w:r>
      <w:r>
        <w:rPr>
          <w:color w:val="auto"/>
          <w:highlight w:val="none"/>
        </w:rPr>
        <w:t>4D</w:t>
      </w:r>
      <w:r>
        <w:rPr>
          <w:rFonts w:hint="eastAsia"/>
          <w:color w:val="auto"/>
          <w:highlight w:val="none"/>
        </w:rPr>
        <w:t>、</w:t>
      </w:r>
      <w:r>
        <w:rPr>
          <w:color w:val="auto"/>
          <w:highlight w:val="none"/>
        </w:rPr>
        <w:t>5D</w:t>
      </w:r>
      <w:r>
        <w:rPr>
          <w:rFonts w:hint="eastAsia"/>
          <w:color w:val="auto"/>
          <w:highlight w:val="none"/>
        </w:rPr>
        <w:t>施工模拟。</w:t>
      </w:r>
    </w:p>
    <w:p>
      <w:pPr>
        <w:pStyle w:val="217"/>
        <w:rPr>
          <w:color w:val="auto"/>
          <w:highlight w:val="none"/>
        </w:rPr>
      </w:pPr>
      <w:r>
        <w:rPr>
          <w:color w:val="auto"/>
          <w:highlight w:val="none"/>
        </w:rPr>
        <w:t>6.</w:t>
      </w:r>
      <w:r>
        <w:rPr>
          <w:rFonts w:hint="eastAsia"/>
          <w:color w:val="auto"/>
          <w:highlight w:val="none"/>
        </w:rPr>
        <w:t>进度控制：承包人根据</w:t>
      </w:r>
      <w:r>
        <w:rPr>
          <w:color w:val="auto"/>
          <w:highlight w:val="none"/>
        </w:rPr>
        <w:t>BIM</w:t>
      </w:r>
      <w:r>
        <w:rPr>
          <w:rFonts w:hint="eastAsia"/>
          <w:color w:val="auto"/>
          <w:highlight w:val="none"/>
        </w:rPr>
        <w:t>模型和工程进度安排以及实际施工情况，在项目周例会、月例会上，通过模型汇报工程计划进度、实际进度，反映进度偏差。</w:t>
      </w:r>
    </w:p>
    <w:p>
      <w:pPr>
        <w:pStyle w:val="217"/>
        <w:rPr>
          <w:color w:val="auto"/>
          <w:highlight w:val="none"/>
        </w:rPr>
      </w:pPr>
      <w:r>
        <w:rPr>
          <w:color w:val="auto"/>
          <w:highlight w:val="none"/>
        </w:rPr>
        <w:t>7.</w:t>
      </w:r>
      <w:r>
        <w:rPr>
          <w:rFonts w:hint="eastAsia"/>
          <w:color w:val="auto"/>
          <w:highlight w:val="none"/>
        </w:rPr>
        <w:t>承包人应用</w:t>
      </w:r>
      <w:r>
        <w:rPr>
          <w:color w:val="auto"/>
          <w:highlight w:val="none"/>
        </w:rPr>
        <w:t>BIM</w:t>
      </w:r>
      <w:r>
        <w:rPr>
          <w:rFonts w:hint="eastAsia"/>
          <w:color w:val="auto"/>
          <w:highlight w:val="none"/>
        </w:rPr>
        <w:t>模型进行与监理、发包人、设计单位、指定专业承包人单位的沟通，应用该</w:t>
      </w:r>
      <w:r>
        <w:rPr>
          <w:color w:val="auto"/>
          <w:highlight w:val="none"/>
        </w:rPr>
        <w:t>BIM</w:t>
      </w:r>
      <w:r>
        <w:rPr>
          <w:rFonts w:hint="eastAsia"/>
          <w:color w:val="auto"/>
          <w:highlight w:val="none"/>
        </w:rPr>
        <w:t>模型进行施工班组的施工交底。</w:t>
      </w:r>
    </w:p>
    <w:p>
      <w:pPr>
        <w:pStyle w:val="217"/>
        <w:rPr>
          <w:color w:val="auto"/>
          <w:highlight w:val="none"/>
        </w:rPr>
      </w:pPr>
      <w:r>
        <w:rPr>
          <w:color w:val="auto"/>
          <w:highlight w:val="none"/>
        </w:rPr>
        <w:t>8.</w:t>
      </w:r>
      <w:r>
        <w:rPr>
          <w:rFonts w:hint="eastAsia"/>
          <w:color w:val="auto"/>
          <w:highlight w:val="none"/>
        </w:rPr>
        <w:t>根据设计变更修改维护模型和统计工程量变化。</w:t>
      </w:r>
    </w:p>
    <w:p>
      <w:pPr>
        <w:pStyle w:val="217"/>
        <w:rPr>
          <w:color w:val="auto"/>
          <w:highlight w:val="none"/>
        </w:rPr>
      </w:pPr>
      <w:r>
        <w:rPr>
          <w:color w:val="auto"/>
          <w:highlight w:val="none"/>
        </w:rPr>
        <w:t>9.</w:t>
      </w:r>
      <w:r>
        <w:rPr>
          <w:rFonts w:hint="eastAsia"/>
          <w:color w:val="auto"/>
          <w:highlight w:val="none"/>
        </w:rPr>
        <w:t>进行工程量统计，辅助造价管理，创建预算</w:t>
      </w:r>
      <w:r>
        <w:rPr>
          <w:color w:val="auto"/>
          <w:highlight w:val="none"/>
        </w:rPr>
        <w:t>BIM</w:t>
      </w:r>
      <w:r>
        <w:rPr>
          <w:rFonts w:hint="eastAsia"/>
          <w:color w:val="auto"/>
          <w:highlight w:val="none"/>
        </w:rPr>
        <w:t>模型，准确统计工程量、产值，进行成本管控。</w:t>
      </w:r>
    </w:p>
    <w:p>
      <w:pPr>
        <w:pStyle w:val="217"/>
        <w:rPr>
          <w:color w:val="auto"/>
          <w:highlight w:val="none"/>
        </w:rPr>
      </w:pPr>
      <w:r>
        <w:rPr>
          <w:color w:val="auto"/>
          <w:highlight w:val="none"/>
        </w:rPr>
        <w:t>10.</w:t>
      </w:r>
      <w:r>
        <w:rPr>
          <w:rFonts w:hint="eastAsia"/>
          <w:color w:val="auto"/>
          <w:highlight w:val="none"/>
        </w:rPr>
        <w:t>施工阶段信息模型深化并按施工需要输出相应节点施工图纸（包含但不限于管线套管预留预埋图、管线综合安装界面图、施工节点大样图等），指导机电安装及现场土建施工。</w:t>
      </w:r>
    </w:p>
    <w:p>
      <w:pPr>
        <w:pStyle w:val="217"/>
        <w:rPr>
          <w:color w:val="auto"/>
          <w:highlight w:val="none"/>
        </w:rPr>
      </w:pPr>
      <w:r>
        <w:rPr>
          <w:color w:val="auto"/>
          <w:highlight w:val="none"/>
        </w:rPr>
        <w:t>11.</w:t>
      </w:r>
      <w:r>
        <w:rPr>
          <w:rFonts w:hint="eastAsia"/>
          <w:color w:val="auto"/>
          <w:highlight w:val="none"/>
        </w:rPr>
        <w:t>制作复杂施工节点模拟，指导现场施工。</w:t>
      </w:r>
    </w:p>
    <w:p>
      <w:pPr>
        <w:pStyle w:val="217"/>
        <w:rPr>
          <w:color w:val="auto"/>
          <w:highlight w:val="none"/>
        </w:rPr>
      </w:pPr>
      <w:r>
        <w:rPr>
          <w:color w:val="auto"/>
          <w:highlight w:val="none"/>
        </w:rPr>
        <w:t>12.</w:t>
      </w:r>
      <w:r>
        <w:rPr>
          <w:rFonts w:hint="eastAsia"/>
          <w:color w:val="auto"/>
          <w:highlight w:val="none"/>
        </w:rPr>
        <w:t>施工方案模拟：承包人应分析本项目特点和技术难点，对重大施工方案采用虚拟仿真技术展示施工工艺流程，优化施工方案，保障施工顺利进行。</w:t>
      </w:r>
    </w:p>
    <w:p>
      <w:pPr>
        <w:pStyle w:val="217"/>
        <w:rPr>
          <w:color w:val="auto"/>
          <w:highlight w:val="none"/>
        </w:rPr>
      </w:pPr>
      <w:r>
        <w:rPr>
          <w:color w:val="auto"/>
          <w:highlight w:val="none"/>
        </w:rPr>
        <w:t>13.</w:t>
      </w:r>
      <w:r>
        <w:rPr>
          <w:rFonts w:hint="eastAsia"/>
          <w:color w:val="auto"/>
          <w:highlight w:val="none"/>
        </w:rPr>
        <w:t>搭建施工（含业主指定承包商及使用方在内）现场场地模型（如板房、施工通道、塔吊、垂直运输、货物堆放、转场等）</w:t>
      </w:r>
    </w:p>
    <w:p>
      <w:pPr>
        <w:pStyle w:val="217"/>
        <w:rPr>
          <w:color w:val="auto"/>
          <w:highlight w:val="none"/>
        </w:rPr>
      </w:pPr>
      <w:r>
        <w:rPr>
          <w:color w:val="auto"/>
          <w:highlight w:val="none"/>
        </w:rPr>
        <w:t>14.</w:t>
      </w:r>
      <w:r>
        <w:rPr>
          <w:rFonts w:hint="eastAsia"/>
          <w:color w:val="auto"/>
          <w:highlight w:val="none"/>
        </w:rPr>
        <w:t>材料过程控制：获取准确实物量，制定采购计划，主材管控，材料垂直运输控制。</w:t>
      </w:r>
    </w:p>
    <w:p>
      <w:pPr>
        <w:pStyle w:val="217"/>
        <w:rPr>
          <w:color w:val="auto"/>
          <w:highlight w:val="none"/>
        </w:rPr>
      </w:pPr>
      <w:r>
        <w:rPr>
          <w:color w:val="auto"/>
          <w:highlight w:val="none"/>
        </w:rPr>
        <w:t>15.</w:t>
      </w:r>
      <w:r>
        <w:rPr>
          <w:rFonts w:hint="eastAsia"/>
          <w:color w:val="auto"/>
          <w:highlight w:val="none"/>
        </w:rPr>
        <w:t>制作指定路线漫游动画和渲染图片（主要功能房间及设备机房，建筑外观等）。</w:t>
      </w:r>
    </w:p>
    <w:p>
      <w:pPr>
        <w:pStyle w:val="217"/>
        <w:rPr>
          <w:color w:val="auto"/>
          <w:highlight w:val="none"/>
        </w:rPr>
      </w:pPr>
      <w:r>
        <w:rPr>
          <w:color w:val="auto"/>
          <w:highlight w:val="none"/>
        </w:rPr>
        <w:t>16.</w:t>
      </w:r>
      <w:r>
        <w:rPr>
          <w:rFonts w:hint="eastAsia"/>
          <w:color w:val="auto"/>
          <w:highlight w:val="none"/>
        </w:rPr>
        <w:t>维护修改施工阶段和竣工的信息模型。</w:t>
      </w:r>
    </w:p>
    <w:p>
      <w:pPr>
        <w:pStyle w:val="217"/>
        <w:rPr>
          <w:color w:val="auto"/>
          <w:highlight w:val="none"/>
        </w:rPr>
      </w:pPr>
    </w:p>
    <w:p>
      <w:pPr>
        <w:pStyle w:val="113"/>
        <w:spacing w:before="120" w:after="120"/>
        <w:outlineLvl w:val="2"/>
        <w:rPr>
          <w:color w:val="auto"/>
          <w:highlight w:val="none"/>
        </w:rPr>
      </w:pPr>
      <w:bookmarkStart w:id="8311" w:name="_Toc66890543"/>
      <w:bookmarkStart w:id="8312" w:name="_Toc503702883"/>
      <w:bookmarkStart w:id="8313" w:name="_Toc66634548"/>
      <w:bookmarkStart w:id="8314" w:name="_Toc69114289"/>
      <w:bookmarkStart w:id="8315" w:name="_Toc505345860"/>
      <w:r>
        <w:rPr>
          <w:color w:val="auto"/>
          <w:highlight w:val="none"/>
        </w:rPr>
        <w:t xml:space="preserve">5.3 </w:t>
      </w:r>
      <w:r>
        <w:rPr>
          <w:rFonts w:hint="eastAsia"/>
          <w:color w:val="auto"/>
          <w:highlight w:val="none"/>
        </w:rPr>
        <w:t>技术团队要求</w:t>
      </w:r>
      <w:bookmarkEnd w:id="8311"/>
      <w:bookmarkEnd w:id="8312"/>
      <w:bookmarkEnd w:id="8313"/>
      <w:bookmarkEnd w:id="8314"/>
      <w:bookmarkEnd w:id="8315"/>
    </w:p>
    <w:p>
      <w:pPr>
        <w:pStyle w:val="217"/>
        <w:rPr>
          <w:color w:val="auto"/>
          <w:highlight w:val="none"/>
        </w:rPr>
      </w:pPr>
      <w:r>
        <w:rPr>
          <w:color w:val="auto"/>
          <w:highlight w:val="none"/>
        </w:rPr>
        <w:t>1.</w:t>
      </w:r>
      <w:r>
        <w:rPr>
          <w:rFonts w:hint="eastAsia"/>
          <w:color w:val="auto"/>
          <w:highlight w:val="none"/>
        </w:rPr>
        <w:t>承包人须拥有齐备的</w:t>
      </w:r>
      <w:r>
        <w:rPr>
          <w:color w:val="auto"/>
          <w:highlight w:val="none"/>
        </w:rPr>
        <w:t>BIM</w:t>
      </w:r>
      <w:r>
        <w:rPr>
          <w:rFonts w:hint="eastAsia"/>
          <w:color w:val="auto"/>
          <w:highlight w:val="none"/>
        </w:rPr>
        <w:t>服务电脑设备和具有实践经验的</w:t>
      </w:r>
      <w:r>
        <w:rPr>
          <w:color w:val="auto"/>
          <w:highlight w:val="none"/>
        </w:rPr>
        <w:t>BIM</w:t>
      </w:r>
      <w:r>
        <w:rPr>
          <w:rFonts w:hint="eastAsia"/>
          <w:color w:val="auto"/>
          <w:highlight w:val="none"/>
        </w:rPr>
        <w:t>技术团队。</w:t>
      </w:r>
    </w:p>
    <w:p>
      <w:pPr>
        <w:pStyle w:val="217"/>
        <w:rPr>
          <w:color w:val="auto"/>
          <w:highlight w:val="none"/>
        </w:rPr>
      </w:pPr>
      <w:r>
        <w:rPr>
          <w:color w:val="auto"/>
          <w:highlight w:val="none"/>
        </w:rPr>
        <w:t>2.</w:t>
      </w:r>
      <w:r>
        <w:rPr>
          <w:rFonts w:hint="eastAsia"/>
          <w:color w:val="auto"/>
          <w:highlight w:val="none"/>
        </w:rPr>
        <w:t>现场施工配合人员需掌握</w:t>
      </w:r>
      <w:r>
        <w:rPr>
          <w:color w:val="auto"/>
          <w:highlight w:val="none"/>
        </w:rPr>
        <w:t>BIM</w:t>
      </w:r>
      <w:r>
        <w:rPr>
          <w:rFonts w:hint="eastAsia"/>
          <w:color w:val="auto"/>
          <w:highlight w:val="none"/>
        </w:rPr>
        <w:t>操作，并能准确组织和指导施工人员按照模型信息施工。</w:t>
      </w:r>
    </w:p>
    <w:p>
      <w:pPr>
        <w:pStyle w:val="217"/>
        <w:rPr>
          <w:color w:val="auto"/>
          <w:highlight w:val="none"/>
        </w:rPr>
      </w:pPr>
      <w:r>
        <w:rPr>
          <w:color w:val="auto"/>
          <w:highlight w:val="none"/>
        </w:rPr>
        <w:t>3.BIM</w:t>
      </w:r>
      <w:r>
        <w:rPr>
          <w:rFonts w:hint="eastAsia"/>
          <w:color w:val="auto"/>
          <w:highlight w:val="none"/>
        </w:rPr>
        <w:t>技术团队组成及人员条件</w:t>
      </w:r>
    </w:p>
    <w:tbl>
      <w:tblPr>
        <w:tblStyle w:val="43"/>
        <w:tblW w:w="83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96"/>
        <w:gridCol w:w="966"/>
        <w:gridCol w:w="2651"/>
        <w:gridCol w:w="32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496" w:type="dxa"/>
            <w:noWrap w:val="0"/>
            <w:vAlign w:val="center"/>
          </w:tcPr>
          <w:p>
            <w:pPr>
              <w:rPr>
                <w:color w:val="auto"/>
                <w:highlight w:val="none"/>
              </w:rPr>
            </w:pPr>
          </w:p>
        </w:tc>
        <w:tc>
          <w:tcPr>
            <w:tcW w:w="966" w:type="dxa"/>
            <w:noWrap w:val="0"/>
            <w:vAlign w:val="center"/>
          </w:tcPr>
          <w:p>
            <w:pPr>
              <w:rPr>
                <w:color w:val="auto"/>
                <w:highlight w:val="none"/>
              </w:rPr>
            </w:pPr>
            <w:r>
              <w:rPr>
                <w:rFonts w:hint="eastAsia"/>
                <w:color w:val="auto"/>
                <w:highlight w:val="none"/>
              </w:rPr>
              <w:t>人数</w:t>
            </w:r>
          </w:p>
        </w:tc>
        <w:tc>
          <w:tcPr>
            <w:tcW w:w="2651" w:type="dxa"/>
            <w:noWrap w:val="0"/>
            <w:vAlign w:val="center"/>
          </w:tcPr>
          <w:p>
            <w:pPr>
              <w:rPr>
                <w:color w:val="auto"/>
                <w:highlight w:val="none"/>
              </w:rPr>
            </w:pPr>
            <w:r>
              <w:rPr>
                <w:color w:val="auto"/>
                <w:highlight w:val="none"/>
              </w:rPr>
              <w:t>BIM</w:t>
            </w:r>
            <w:r>
              <w:rPr>
                <w:rFonts w:hint="eastAsia"/>
                <w:color w:val="auto"/>
                <w:highlight w:val="none"/>
              </w:rPr>
              <w:t>工作年限</w:t>
            </w:r>
          </w:p>
        </w:tc>
        <w:tc>
          <w:tcPr>
            <w:tcW w:w="3251" w:type="dxa"/>
            <w:noWrap w:val="0"/>
            <w:vAlign w:val="center"/>
          </w:tcPr>
          <w:p>
            <w:pPr>
              <w:rPr>
                <w:color w:val="auto"/>
                <w:highlight w:val="none"/>
              </w:rPr>
            </w:pPr>
            <w:r>
              <w:rPr>
                <w:rFonts w:hint="eastAsia"/>
                <w:color w:val="auto"/>
                <w:highlight w:val="none"/>
              </w:rPr>
              <w:t>技术程度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496" w:type="dxa"/>
            <w:noWrap w:val="0"/>
            <w:vAlign w:val="center"/>
          </w:tcPr>
          <w:p>
            <w:pPr>
              <w:rPr>
                <w:color w:val="auto"/>
                <w:highlight w:val="none"/>
              </w:rPr>
            </w:pPr>
            <w:r>
              <w:rPr>
                <w:color w:val="auto"/>
                <w:highlight w:val="none"/>
              </w:rPr>
              <w:t>BIM</w:t>
            </w:r>
            <w:r>
              <w:rPr>
                <w:rFonts w:hint="eastAsia"/>
                <w:color w:val="auto"/>
                <w:highlight w:val="none"/>
              </w:rPr>
              <w:t>项目管理</w:t>
            </w:r>
          </w:p>
        </w:tc>
        <w:tc>
          <w:tcPr>
            <w:tcW w:w="966" w:type="dxa"/>
            <w:noWrap w:val="0"/>
            <w:vAlign w:val="center"/>
          </w:tcPr>
          <w:p>
            <w:pPr>
              <w:rPr>
                <w:color w:val="auto"/>
                <w:highlight w:val="none"/>
              </w:rPr>
            </w:pPr>
            <w:r>
              <w:rPr>
                <w:color w:val="auto"/>
                <w:highlight w:val="none"/>
              </w:rPr>
              <w:t>1</w:t>
            </w:r>
            <w:r>
              <w:rPr>
                <w:rFonts w:hint="eastAsia"/>
                <w:color w:val="auto"/>
                <w:highlight w:val="none"/>
              </w:rPr>
              <w:t>人以上</w:t>
            </w:r>
          </w:p>
        </w:tc>
        <w:tc>
          <w:tcPr>
            <w:tcW w:w="2651" w:type="dxa"/>
            <w:noWrap w:val="0"/>
            <w:vAlign w:val="center"/>
          </w:tcPr>
          <w:p>
            <w:pPr>
              <w:rPr>
                <w:color w:val="auto"/>
                <w:highlight w:val="none"/>
              </w:rPr>
            </w:pPr>
            <w:r>
              <w:rPr>
                <w:color w:val="auto"/>
                <w:highlight w:val="none"/>
              </w:rPr>
              <w:t>2</w:t>
            </w:r>
            <w:r>
              <w:rPr>
                <w:rFonts w:hint="eastAsia"/>
                <w:color w:val="auto"/>
                <w:highlight w:val="none"/>
              </w:rPr>
              <w:t>年以上（含</w:t>
            </w:r>
            <w:r>
              <w:rPr>
                <w:color w:val="auto"/>
                <w:highlight w:val="none"/>
              </w:rPr>
              <w:t>2</w:t>
            </w:r>
            <w:r>
              <w:rPr>
                <w:rFonts w:hint="eastAsia"/>
                <w:color w:val="auto"/>
                <w:highlight w:val="none"/>
              </w:rPr>
              <w:t>年）</w:t>
            </w:r>
          </w:p>
        </w:tc>
        <w:tc>
          <w:tcPr>
            <w:tcW w:w="3251" w:type="dxa"/>
            <w:noWrap w:val="0"/>
            <w:vAlign w:val="center"/>
          </w:tcPr>
          <w:p>
            <w:pPr>
              <w:rPr>
                <w:color w:val="auto"/>
                <w:highlight w:val="none"/>
              </w:rPr>
            </w:pPr>
            <w:r>
              <w:rPr>
                <w:rFonts w:hint="eastAsia"/>
                <w:color w:val="auto"/>
                <w:highlight w:val="none"/>
              </w:rPr>
              <w:t>熟练</w:t>
            </w:r>
            <w:r>
              <w:rPr>
                <w:color w:val="auto"/>
                <w:highlight w:val="none"/>
              </w:rPr>
              <w:t>BIM</w:t>
            </w:r>
            <w:r>
              <w:rPr>
                <w:rFonts w:hint="eastAsia"/>
                <w:color w:val="auto"/>
                <w:highlight w:val="none"/>
              </w:rPr>
              <w:t>系统及项目管理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496" w:type="dxa"/>
            <w:noWrap w:val="0"/>
            <w:vAlign w:val="center"/>
          </w:tcPr>
          <w:p>
            <w:pPr>
              <w:rPr>
                <w:color w:val="auto"/>
                <w:highlight w:val="none"/>
              </w:rPr>
            </w:pPr>
            <w:r>
              <w:rPr>
                <w:rFonts w:hint="eastAsia"/>
                <w:color w:val="auto"/>
                <w:highlight w:val="none"/>
              </w:rPr>
              <w:t>项目成员</w:t>
            </w:r>
          </w:p>
        </w:tc>
        <w:tc>
          <w:tcPr>
            <w:tcW w:w="966" w:type="dxa"/>
            <w:noWrap w:val="0"/>
            <w:vAlign w:val="center"/>
          </w:tcPr>
          <w:p>
            <w:pPr>
              <w:rPr>
                <w:color w:val="auto"/>
                <w:highlight w:val="none"/>
              </w:rPr>
            </w:pPr>
            <w:r>
              <w:rPr>
                <w:rFonts w:hint="eastAsia"/>
                <w:color w:val="auto"/>
                <w:highlight w:val="none"/>
              </w:rPr>
              <w:t>若干</w:t>
            </w:r>
          </w:p>
        </w:tc>
        <w:tc>
          <w:tcPr>
            <w:tcW w:w="2651" w:type="dxa"/>
            <w:noWrap w:val="0"/>
            <w:vAlign w:val="center"/>
          </w:tcPr>
          <w:p>
            <w:pPr>
              <w:rPr>
                <w:color w:val="auto"/>
                <w:highlight w:val="none"/>
              </w:rPr>
            </w:pPr>
            <w:r>
              <w:rPr>
                <w:color w:val="auto"/>
                <w:highlight w:val="none"/>
              </w:rPr>
              <w:t>1</w:t>
            </w:r>
            <w:r>
              <w:rPr>
                <w:rFonts w:hint="eastAsia"/>
                <w:color w:val="auto"/>
                <w:highlight w:val="none"/>
              </w:rPr>
              <w:t>年以上（含一年）</w:t>
            </w:r>
          </w:p>
        </w:tc>
        <w:tc>
          <w:tcPr>
            <w:tcW w:w="3251" w:type="dxa"/>
            <w:noWrap w:val="0"/>
            <w:vAlign w:val="center"/>
          </w:tcPr>
          <w:p>
            <w:pPr>
              <w:rPr>
                <w:color w:val="auto"/>
                <w:highlight w:val="none"/>
              </w:rPr>
            </w:pPr>
            <w:r>
              <w:rPr>
                <w:rFonts w:hint="eastAsia"/>
                <w:color w:val="auto"/>
                <w:highlight w:val="none"/>
              </w:rPr>
              <w:t>熟练</w:t>
            </w:r>
            <w:r>
              <w:rPr>
                <w:color w:val="auto"/>
                <w:highlight w:val="none"/>
              </w:rPr>
              <w:t>BIM</w:t>
            </w:r>
            <w:r>
              <w:rPr>
                <w:rFonts w:hint="eastAsia"/>
                <w:color w:val="auto"/>
                <w:highlight w:val="none"/>
              </w:rPr>
              <w:t>工具操作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496" w:type="dxa"/>
            <w:noWrap w:val="0"/>
            <w:vAlign w:val="center"/>
          </w:tcPr>
          <w:p>
            <w:pPr>
              <w:rPr>
                <w:color w:val="auto"/>
                <w:highlight w:val="none"/>
              </w:rPr>
            </w:pPr>
            <w:r>
              <w:rPr>
                <w:rFonts w:hint="eastAsia"/>
                <w:color w:val="auto"/>
                <w:highlight w:val="none"/>
              </w:rPr>
              <w:t>施工配合</w:t>
            </w:r>
          </w:p>
        </w:tc>
        <w:tc>
          <w:tcPr>
            <w:tcW w:w="966" w:type="dxa"/>
            <w:noWrap w:val="0"/>
            <w:vAlign w:val="center"/>
          </w:tcPr>
          <w:p>
            <w:pPr>
              <w:rPr>
                <w:color w:val="auto"/>
                <w:highlight w:val="none"/>
              </w:rPr>
            </w:pPr>
            <w:r>
              <w:rPr>
                <w:rFonts w:hint="eastAsia"/>
                <w:color w:val="auto"/>
                <w:highlight w:val="none"/>
              </w:rPr>
              <w:t>若干</w:t>
            </w:r>
          </w:p>
        </w:tc>
        <w:tc>
          <w:tcPr>
            <w:tcW w:w="2651" w:type="dxa"/>
            <w:noWrap w:val="0"/>
            <w:vAlign w:val="center"/>
          </w:tcPr>
          <w:p>
            <w:pPr>
              <w:rPr>
                <w:color w:val="auto"/>
                <w:highlight w:val="none"/>
              </w:rPr>
            </w:pPr>
            <w:r>
              <w:rPr>
                <w:rFonts w:hint="eastAsia"/>
                <w:color w:val="auto"/>
                <w:highlight w:val="none"/>
              </w:rPr>
              <w:t>无</w:t>
            </w:r>
          </w:p>
        </w:tc>
        <w:tc>
          <w:tcPr>
            <w:tcW w:w="3251" w:type="dxa"/>
            <w:noWrap w:val="0"/>
            <w:vAlign w:val="center"/>
          </w:tcPr>
          <w:p>
            <w:pPr>
              <w:rPr>
                <w:color w:val="auto"/>
                <w:highlight w:val="none"/>
              </w:rPr>
            </w:pPr>
            <w:r>
              <w:rPr>
                <w:rFonts w:hint="eastAsia"/>
                <w:color w:val="auto"/>
                <w:highlight w:val="none"/>
              </w:rPr>
              <w:t>掌握</w:t>
            </w:r>
            <w:r>
              <w:rPr>
                <w:color w:val="auto"/>
                <w:highlight w:val="none"/>
              </w:rPr>
              <w:t>BIM</w:t>
            </w:r>
            <w:r>
              <w:rPr>
                <w:rFonts w:hint="eastAsia"/>
                <w:color w:val="auto"/>
                <w:highlight w:val="none"/>
              </w:rPr>
              <w:t>操作</w:t>
            </w:r>
          </w:p>
        </w:tc>
      </w:tr>
    </w:tbl>
    <w:p>
      <w:pPr>
        <w:rPr>
          <w:rFonts w:ascii="宋体"/>
          <w:vanish/>
          <w:color w:val="auto"/>
          <w:sz w:val="24"/>
          <w:szCs w:val="24"/>
          <w:highlight w:val="none"/>
        </w:rPr>
      </w:pPr>
    </w:p>
    <w:tbl>
      <w:tblPr>
        <w:tblStyle w:val="43"/>
        <w:tblpPr w:leftFromText="180" w:rightFromText="180" w:vertAnchor="text" w:horzAnchor="page" w:tblpX="1729" w:tblpY="451"/>
        <w:tblOverlap w:val="never"/>
        <w:tblW w:w="8931" w:type="dxa"/>
        <w:tblInd w:w="0" w:type="dxa"/>
        <w:tblLayout w:type="fixed"/>
        <w:tblCellMar>
          <w:top w:w="0" w:type="dxa"/>
          <w:left w:w="108" w:type="dxa"/>
          <w:bottom w:w="0" w:type="dxa"/>
          <w:right w:w="108" w:type="dxa"/>
        </w:tblCellMar>
      </w:tblPr>
      <w:tblGrid>
        <w:gridCol w:w="616"/>
        <w:gridCol w:w="802"/>
        <w:gridCol w:w="1276"/>
        <w:gridCol w:w="1417"/>
        <w:gridCol w:w="851"/>
        <w:gridCol w:w="850"/>
        <w:gridCol w:w="1985"/>
        <w:gridCol w:w="1134"/>
      </w:tblGrid>
      <w:tr>
        <w:tblPrEx>
          <w:tblCellMar>
            <w:top w:w="0" w:type="dxa"/>
            <w:left w:w="108" w:type="dxa"/>
            <w:bottom w:w="0" w:type="dxa"/>
            <w:right w:w="108" w:type="dxa"/>
          </w:tblCellMar>
        </w:tblPrEx>
        <w:trPr>
          <w:trHeight w:val="567" w:hRule="atLeast"/>
        </w:trPr>
        <w:tc>
          <w:tcPr>
            <w:tcW w:w="616" w:type="dxa"/>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序号</w:t>
            </w:r>
          </w:p>
        </w:tc>
        <w:tc>
          <w:tcPr>
            <w:tcW w:w="802" w:type="dxa"/>
            <w:tcBorders>
              <w:top w:val="single" w:color="auto" w:sz="4" w:space="0"/>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姓名</w:t>
            </w:r>
          </w:p>
        </w:tc>
        <w:tc>
          <w:tcPr>
            <w:tcW w:w="1276" w:type="dxa"/>
            <w:tcBorders>
              <w:top w:val="single" w:color="auto" w:sz="4" w:space="0"/>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公司任职</w:t>
            </w:r>
          </w:p>
        </w:tc>
        <w:tc>
          <w:tcPr>
            <w:tcW w:w="1417" w:type="dxa"/>
            <w:tcBorders>
              <w:top w:val="single" w:color="auto" w:sz="4" w:space="0"/>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拟在本项目任职</w:t>
            </w:r>
          </w:p>
        </w:tc>
        <w:tc>
          <w:tcPr>
            <w:tcW w:w="851" w:type="dxa"/>
            <w:tcBorders>
              <w:top w:val="single" w:color="auto" w:sz="4" w:space="0"/>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学历</w:t>
            </w:r>
          </w:p>
        </w:tc>
        <w:tc>
          <w:tcPr>
            <w:tcW w:w="850" w:type="dxa"/>
            <w:tcBorders>
              <w:top w:val="single" w:color="auto" w:sz="4" w:space="0"/>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职称</w:t>
            </w:r>
          </w:p>
        </w:tc>
        <w:tc>
          <w:tcPr>
            <w:tcW w:w="1985" w:type="dxa"/>
            <w:tcBorders>
              <w:top w:val="single" w:color="auto" w:sz="4" w:space="0"/>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主要工程业绩及证明材料</w:t>
            </w:r>
          </w:p>
        </w:tc>
        <w:tc>
          <w:tcPr>
            <w:tcW w:w="1134" w:type="dxa"/>
            <w:tcBorders>
              <w:top w:val="single" w:color="auto" w:sz="4" w:space="0"/>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备注</w:t>
            </w:r>
          </w:p>
        </w:tc>
      </w:tr>
      <w:tr>
        <w:tblPrEx>
          <w:tblCellMar>
            <w:top w:w="0" w:type="dxa"/>
            <w:left w:w="108" w:type="dxa"/>
            <w:bottom w:w="0" w:type="dxa"/>
            <w:right w:w="108" w:type="dxa"/>
          </w:tblCellMar>
        </w:tblPrEx>
        <w:trPr>
          <w:trHeight w:val="567" w:hRule="atLeast"/>
        </w:trPr>
        <w:tc>
          <w:tcPr>
            <w:tcW w:w="616" w:type="dxa"/>
            <w:tcBorders>
              <w:top w:val="nil"/>
              <w:left w:val="single" w:color="auto" w:sz="4" w:space="0"/>
              <w:bottom w:val="single" w:color="auto" w:sz="4" w:space="0"/>
              <w:right w:val="single" w:color="auto" w:sz="4" w:space="0"/>
            </w:tcBorders>
            <w:noWrap w:val="0"/>
            <w:vAlign w:val="center"/>
          </w:tcPr>
          <w:p>
            <w:pPr>
              <w:rPr>
                <w:color w:val="auto"/>
                <w:highlight w:val="none"/>
              </w:rPr>
            </w:pPr>
            <w:r>
              <w:rPr>
                <w:color w:val="auto"/>
                <w:highlight w:val="none"/>
              </w:rPr>
              <w:t>1</w:t>
            </w:r>
          </w:p>
        </w:tc>
        <w:tc>
          <w:tcPr>
            <w:tcW w:w="802" w:type="dxa"/>
            <w:tcBorders>
              <w:top w:val="nil"/>
              <w:left w:val="nil"/>
              <w:bottom w:val="single" w:color="auto" w:sz="4" w:space="0"/>
              <w:right w:val="single" w:color="auto" w:sz="4" w:space="0"/>
            </w:tcBorders>
            <w:noWrap w:val="0"/>
            <w:vAlign w:val="center"/>
          </w:tcPr>
          <w:p>
            <w:pPr>
              <w:rPr>
                <w:color w:val="auto"/>
                <w:highlight w:val="none"/>
              </w:rPr>
            </w:pPr>
          </w:p>
        </w:tc>
        <w:tc>
          <w:tcPr>
            <w:tcW w:w="1276" w:type="dxa"/>
            <w:tcBorders>
              <w:top w:val="nil"/>
              <w:left w:val="nil"/>
              <w:bottom w:val="single" w:color="auto" w:sz="4" w:space="0"/>
              <w:right w:val="single" w:color="auto" w:sz="4" w:space="0"/>
            </w:tcBorders>
            <w:noWrap w:val="0"/>
            <w:vAlign w:val="center"/>
          </w:tcPr>
          <w:p>
            <w:pPr>
              <w:rPr>
                <w:color w:val="auto"/>
                <w:highlight w:val="none"/>
              </w:rPr>
            </w:pPr>
          </w:p>
        </w:tc>
        <w:tc>
          <w:tcPr>
            <w:tcW w:w="1417" w:type="dxa"/>
            <w:tcBorders>
              <w:top w:val="nil"/>
              <w:left w:val="nil"/>
              <w:bottom w:val="single" w:color="auto" w:sz="4" w:space="0"/>
              <w:right w:val="single" w:color="auto" w:sz="4" w:space="0"/>
            </w:tcBorders>
            <w:noWrap w:val="0"/>
            <w:vAlign w:val="center"/>
          </w:tcPr>
          <w:p>
            <w:pPr>
              <w:rPr>
                <w:color w:val="auto"/>
                <w:highlight w:val="none"/>
              </w:rPr>
            </w:pPr>
          </w:p>
        </w:tc>
        <w:tc>
          <w:tcPr>
            <w:tcW w:w="851" w:type="dxa"/>
            <w:tcBorders>
              <w:top w:val="nil"/>
              <w:left w:val="nil"/>
              <w:bottom w:val="single" w:color="auto" w:sz="4" w:space="0"/>
              <w:right w:val="single" w:color="auto" w:sz="4" w:space="0"/>
            </w:tcBorders>
            <w:noWrap w:val="0"/>
            <w:vAlign w:val="center"/>
          </w:tcPr>
          <w:p>
            <w:pPr>
              <w:rPr>
                <w:color w:val="auto"/>
                <w:highlight w:val="none"/>
              </w:rPr>
            </w:pPr>
          </w:p>
        </w:tc>
        <w:tc>
          <w:tcPr>
            <w:tcW w:w="850" w:type="dxa"/>
            <w:tcBorders>
              <w:top w:val="nil"/>
              <w:left w:val="nil"/>
              <w:bottom w:val="single" w:color="auto" w:sz="4" w:space="0"/>
              <w:right w:val="single" w:color="auto" w:sz="4" w:space="0"/>
            </w:tcBorders>
            <w:noWrap w:val="0"/>
            <w:vAlign w:val="center"/>
          </w:tcPr>
          <w:p>
            <w:pPr>
              <w:rPr>
                <w:color w:val="auto"/>
                <w:highlight w:val="none"/>
              </w:rPr>
            </w:pPr>
          </w:p>
        </w:tc>
        <w:tc>
          <w:tcPr>
            <w:tcW w:w="1985" w:type="dxa"/>
            <w:tcBorders>
              <w:top w:val="nil"/>
              <w:left w:val="nil"/>
              <w:bottom w:val="single" w:color="auto" w:sz="4" w:space="0"/>
              <w:right w:val="single" w:color="auto" w:sz="4" w:space="0"/>
            </w:tcBorders>
            <w:noWrap w:val="0"/>
            <w:vAlign w:val="center"/>
          </w:tcPr>
          <w:p>
            <w:pPr>
              <w:rPr>
                <w:color w:val="auto"/>
                <w:highlight w:val="none"/>
              </w:rPr>
            </w:pPr>
          </w:p>
        </w:tc>
        <w:tc>
          <w:tcPr>
            <w:tcW w:w="1134" w:type="dxa"/>
            <w:tcBorders>
              <w:top w:val="nil"/>
              <w:left w:val="nil"/>
              <w:bottom w:val="single" w:color="auto" w:sz="4" w:space="0"/>
              <w:right w:val="single" w:color="auto" w:sz="4" w:space="0"/>
            </w:tcBorders>
            <w:noWrap w:val="0"/>
            <w:vAlign w:val="center"/>
          </w:tcPr>
          <w:p>
            <w:pPr>
              <w:rPr>
                <w:color w:val="auto"/>
                <w:highlight w:val="none"/>
              </w:rPr>
            </w:pPr>
          </w:p>
        </w:tc>
      </w:tr>
      <w:tr>
        <w:tblPrEx>
          <w:tblCellMar>
            <w:top w:w="0" w:type="dxa"/>
            <w:left w:w="108" w:type="dxa"/>
            <w:bottom w:w="0" w:type="dxa"/>
            <w:right w:w="108" w:type="dxa"/>
          </w:tblCellMar>
        </w:tblPrEx>
        <w:trPr>
          <w:trHeight w:val="567" w:hRule="atLeast"/>
        </w:trPr>
        <w:tc>
          <w:tcPr>
            <w:tcW w:w="616" w:type="dxa"/>
            <w:tcBorders>
              <w:top w:val="nil"/>
              <w:left w:val="single" w:color="auto" w:sz="4" w:space="0"/>
              <w:bottom w:val="single" w:color="auto" w:sz="4" w:space="0"/>
              <w:right w:val="single" w:color="auto" w:sz="4" w:space="0"/>
            </w:tcBorders>
            <w:noWrap w:val="0"/>
            <w:vAlign w:val="center"/>
          </w:tcPr>
          <w:p>
            <w:pPr>
              <w:rPr>
                <w:color w:val="auto"/>
                <w:highlight w:val="none"/>
              </w:rPr>
            </w:pPr>
            <w:r>
              <w:rPr>
                <w:color w:val="auto"/>
                <w:highlight w:val="none"/>
              </w:rPr>
              <w:t>2</w:t>
            </w:r>
          </w:p>
        </w:tc>
        <w:tc>
          <w:tcPr>
            <w:tcW w:w="802" w:type="dxa"/>
            <w:tcBorders>
              <w:top w:val="nil"/>
              <w:left w:val="nil"/>
              <w:bottom w:val="single" w:color="auto" w:sz="4" w:space="0"/>
              <w:right w:val="single" w:color="auto" w:sz="4" w:space="0"/>
            </w:tcBorders>
            <w:noWrap w:val="0"/>
            <w:vAlign w:val="center"/>
          </w:tcPr>
          <w:p>
            <w:pPr>
              <w:rPr>
                <w:color w:val="auto"/>
                <w:highlight w:val="none"/>
              </w:rPr>
            </w:pPr>
          </w:p>
        </w:tc>
        <w:tc>
          <w:tcPr>
            <w:tcW w:w="1276" w:type="dxa"/>
            <w:tcBorders>
              <w:top w:val="nil"/>
              <w:left w:val="nil"/>
              <w:bottom w:val="single" w:color="auto" w:sz="4" w:space="0"/>
              <w:right w:val="single" w:color="auto" w:sz="4" w:space="0"/>
            </w:tcBorders>
            <w:noWrap w:val="0"/>
            <w:vAlign w:val="center"/>
          </w:tcPr>
          <w:p>
            <w:pPr>
              <w:rPr>
                <w:color w:val="auto"/>
                <w:highlight w:val="none"/>
              </w:rPr>
            </w:pPr>
          </w:p>
        </w:tc>
        <w:tc>
          <w:tcPr>
            <w:tcW w:w="1417" w:type="dxa"/>
            <w:tcBorders>
              <w:top w:val="nil"/>
              <w:left w:val="nil"/>
              <w:bottom w:val="single" w:color="auto" w:sz="4" w:space="0"/>
              <w:right w:val="single" w:color="auto" w:sz="4" w:space="0"/>
            </w:tcBorders>
            <w:noWrap w:val="0"/>
            <w:vAlign w:val="center"/>
          </w:tcPr>
          <w:p>
            <w:pPr>
              <w:rPr>
                <w:color w:val="auto"/>
                <w:highlight w:val="none"/>
              </w:rPr>
            </w:pPr>
          </w:p>
        </w:tc>
        <w:tc>
          <w:tcPr>
            <w:tcW w:w="851" w:type="dxa"/>
            <w:tcBorders>
              <w:top w:val="nil"/>
              <w:left w:val="nil"/>
              <w:bottom w:val="single" w:color="auto" w:sz="4" w:space="0"/>
              <w:right w:val="single" w:color="auto" w:sz="4" w:space="0"/>
            </w:tcBorders>
            <w:noWrap w:val="0"/>
            <w:vAlign w:val="center"/>
          </w:tcPr>
          <w:p>
            <w:pPr>
              <w:rPr>
                <w:color w:val="auto"/>
                <w:highlight w:val="none"/>
              </w:rPr>
            </w:pPr>
          </w:p>
        </w:tc>
        <w:tc>
          <w:tcPr>
            <w:tcW w:w="850" w:type="dxa"/>
            <w:tcBorders>
              <w:top w:val="nil"/>
              <w:left w:val="nil"/>
              <w:bottom w:val="single" w:color="auto" w:sz="4" w:space="0"/>
              <w:right w:val="single" w:color="auto" w:sz="4" w:space="0"/>
            </w:tcBorders>
            <w:noWrap w:val="0"/>
            <w:vAlign w:val="center"/>
          </w:tcPr>
          <w:p>
            <w:pPr>
              <w:rPr>
                <w:color w:val="auto"/>
                <w:highlight w:val="none"/>
              </w:rPr>
            </w:pPr>
          </w:p>
        </w:tc>
        <w:tc>
          <w:tcPr>
            <w:tcW w:w="1985" w:type="dxa"/>
            <w:tcBorders>
              <w:top w:val="nil"/>
              <w:left w:val="nil"/>
              <w:bottom w:val="single" w:color="auto" w:sz="4" w:space="0"/>
              <w:right w:val="single" w:color="auto" w:sz="4" w:space="0"/>
            </w:tcBorders>
            <w:noWrap w:val="0"/>
            <w:vAlign w:val="center"/>
          </w:tcPr>
          <w:p>
            <w:pPr>
              <w:rPr>
                <w:color w:val="auto"/>
                <w:highlight w:val="none"/>
              </w:rPr>
            </w:pPr>
          </w:p>
        </w:tc>
        <w:tc>
          <w:tcPr>
            <w:tcW w:w="1134" w:type="dxa"/>
            <w:tcBorders>
              <w:top w:val="nil"/>
              <w:left w:val="nil"/>
              <w:bottom w:val="single" w:color="auto" w:sz="4" w:space="0"/>
              <w:right w:val="single" w:color="auto" w:sz="4" w:space="0"/>
            </w:tcBorders>
            <w:noWrap w:val="0"/>
            <w:vAlign w:val="center"/>
          </w:tcPr>
          <w:p>
            <w:pPr>
              <w:rPr>
                <w:color w:val="auto"/>
                <w:highlight w:val="none"/>
              </w:rPr>
            </w:pPr>
          </w:p>
        </w:tc>
      </w:tr>
      <w:tr>
        <w:tblPrEx>
          <w:tblCellMar>
            <w:top w:w="0" w:type="dxa"/>
            <w:left w:w="108" w:type="dxa"/>
            <w:bottom w:w="0" w:type="dxa"/>
            <w:right w:w="108" w:type="dxa"/>
          </w:tblCellMar>
        </w:tblPrEx>
        <w:trPr>
          <w:trHeight w:val="567" w:hRule="atLeast"/>
        </w:trPr>
        <w:tc>
          <w:tcPr>
            <w:tcW w:w="616" w:type="dxa"/>
            <w:tcBorders>
              <w:top w:val="nil"/>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w:t>
            </w:r>
          </w:p>
        </w:tc>
        <w:tc>
          <w:tcPr>
            <w:tcW w:w="802" w:type="dxa"/>
            <w:tcBorders>
              <w:top w:val="nil"/>
              <w:left w:val="nil"/>
              <w:bottom w:val="single" w:color="auto" w:sz="4" w:space="0"/>
              <w:right w:val="single" w:color="auto" w:sz="4" w:space="0"/>
            </w:tcBorders>
            <w:noWrap w:val="0"/>
            <w:vAlign w:val="center"/>
          </w:tcPr>
          <w:p>
            <w:pPr>
              <w:rPr>
                <w:color w:val="auto"/>
                <w:highlight w:val="none"/>
              </w:rPr>
            </w:pPr>
          </w:p>
        </w:tc>
        <w:tc>
          <w:tcPr>
            <w:tcW w:w="1276" w:type="dxa"/>
            <w:tcBorders>
              <w:top w:val="nil"/>
              <w:left w:val="nil"/>
              <w:bottom w:val="single" w:color="auto" w:sz="4" w:space="0"/>
              <w:right w:val="single" w:color="auto" w:sz="4" w:space="0"/>
            </w:tcBorders>
            <w:noWrap w:val="0"/>
            <w:vAlign w:val="center"/>
          </w:tcPr>
          <w:p>
            <w:pPr>
              <w:rPr>
                <w:color w:val="auto"/>
                <w:highlight w:val="none"/>
              </w:rPr>
            </w:pPr>
          </w:p>
        </w:tc>
        <w:tc>
          <w:tcPr>
            <w:tcW w:w="1417" w:type="dxa"/>
            <w:tcBorders>
              <w:top w:val="nil"/>
              <w:left w:val="nil"/>
              <w:bottom w:val="single" w:color="auto" w:sz="4" w:space="0"/>
              <w:right w:val="single" w:color="auto" w:sz="4" w:space="0"/>
            </w:tcBorders>
            <w:noWrap w:val="0"/>
            <w:vAlign w:val="center"/>
          </w:tcPr>
          <w:p>
            <w:pPr>
              <w:rPr>
                <w:color w:val="auto"/>
                <w:highlight w:val="none"/>
              </w:rPr>
            </w:pPr>
          </w:p>
        </w:tc>
        <w:tc>
          <w:tcPr>
            <w:tcW w:w="851" w:type="dxa"/>
            <w:tcBorders>
              <w:top w:val="nil"/>
              <w:left w:val="nil"/>
              <w:bottom w:val="single" w:color="auto" w:sz="4" w:space="0"/>
              <w:right w:val="single" w:color="auto" w:sz="4" w:space="0"/>
            </w:tcBorders>
            <w:noWrap w:val="0"/>
            <w:vAlign w:val="center"/>
          </w:tcPr>
          <w:p>
            <w:pPr>
              <w:rPr>
                <w:color w:val="auto"/>
                <w:highlight w:val="none"/>
              </w:rPr>
            </w:pPr>
          </w:p>
        </w:tc>
        <w:tc>
          <w:tcPr>
            <w:tcW w:w="850" w:type="dxa"/>
            <w:tcBorders>
              <w:top w:val="nil"/>
              <w:left w:val="nil"/>
              <w:bottom w:val="single" w:color="auto" w:sz="4" w:space="0"/>
              <w:right w:val="single" w:color="auto" w:sz="4" w:space="0"/>
            </w:tcBorders>
            <w:noWrap w:val="0"/>
            <w:vAlign w:val="center"/>
          </w:tcPr>
          <w:p>
            <w:pPr>
              <w:rPr>
                <w:color w:val="auto"/>
                <w:highlight w:val="none"/>
              </w:rPr>
            </w:pPr>
          </w:p>
        </w:tc>
        <w:tc>
          <w:tcPr>
            <w:tcW w:w="1985" w:type="dxa"/>
            <w:tcBorders>
              <w:top w:val="nil"/>
              <w:left w:val="nil"/>
              <w:bottom w:val="single" w:color="auto" w:sz="4" w:space="0"/>
              <w:right w:val="single" w:color="auto" w:sz="4" w:space="0"/>
            </w:tcBorders>
            <w:noWrap w:val="0"/>
            <w:vAlign w:val="center"/>
          </w:tcPr>
          <w:p>
            <w:pPr>
              <w:rPr>
                <w:color w:val="auto"/>
                <w:highlight w:val="none"/>
              </w:rPr>
            </w:pPr>
          </w:p>
        </w:tc>
        <w:tc>
          <w:tcPr>
            <w:tcW w:w="1134" w:type="dxa"/>
            <w:tcBorders>
              <w:top w:val="nil"/>
              <w:left w:val="nil"/>
              <w:bottom w:val="single" w:color="auto" w:sz="4" w:space="0"/>
              <w:right w:val="single" w:color="auto" w:sz="4" w:space="0"/>
            </w:tcBorders>
            <w:noWrap w:val="0"/>
            <w:vAlign w:val="center"/>
          </w:tcPr>
          <w:p>
            <w:pPr>
              <w:rPr>
                <w:color w:val="auto"/>
                <w:highlight w:val="none"/>
              </w:rPr>
            </w:pPr>
          </w:p>
        </w:tc>
      </w:tr>
    </w:tbl>
    <w:p>
      <w:pPr>
        <w:rPr>
          <w:color w:val="auto"/>
          <w:highlight w:val="none"/>
        </w:rPr>
      </w:pPr>
      <w:r>
        <w:rPr>
          <w:color w:val="auto"/>
          <w:highlight w:val="none"/>
        </w:rPr>
        <w:t>BIM</w:t>
      </w:r>
      <w:r>
        <w:rPr>
          <w:rFonts w:hint="eastAsia"/>
          <w:color w:val="auto"/>
          <w:highlight w:val="none"/>
        </w:rPr>
        <w:t>团队投标时填写人员汇总表。</w:t>
      </w:r>
    </w:p>
    <w:p>
      <w:pPr>
        <w:pStyle w:val="113"/>
        <w:spacing w:before="120" w:after="120"/>
        <w:rPr>
          <w:color w:val="auto"/>
          <w:szCs w:val="22"/>
          <w:highlight w:val="none"/>
        </w:rPr>
      </w:pPr>
      <w:bookmarkStart w:id="8316" w:name="_Toc505345861"/>
    </w:p>
    <w:p>
      <w:pPr>
        <w:pStyle w:val="113"/>
        <w:spacing w:before="120" w:after="120"/>
        <w:outlineLvl w:val="2"/>
        <w:rPr>
          <w:color w:val="auto"/>
          <w:highlight w:val="none"/>
        </w:rPr>
      </w:pPr>
      <w:bookmarkStart w:id="8317" w:name="_Toc66634549"/>
      <w:bookmarkStart w:id="8318" w:name="_Toc69114290"/>
      <w:bookmarkStart w:id="8319" w:name="_Toc66890544"/>
      <w:r>
        <w:rPr>
          <w:color w:val="auto"/>
          <w:szCs w:val="22"/>
          <w:highlight w:val="none"/>
        </w:rPr>
        <w:t xml:space="preserve">5.4 </w:t>
      </w:r>
      <w:bookmarkEnd w:id="8316"/>
      <w:r>
        <w:rPr>
          <w:color w:val="auto"/>
          <w:szCs w:val="22"/>
          <w:highlight w:val="none"/>
        </w:rPr>
        <w:t>各</w:t>
      </w:r>
      <w:r>
        <w:rPr>
          <w:rFonts w:hint="eastAsia"/>
          <w:color w:val="auto"/>
          <w:highlight w:val="none"/>
        </w:rPr>
        <w:t>专业</w:t>
      </w:r>
      <w:r>
        <w:rPr>
          <w:color w:val="auto"/>
          <w:highlight w:val="none"/>
        </w:rPr>
        <w:t>BIM</w:t>
      </w:r>
      <w:r>
        <w:rPr>
          <w:rFonts w:hint="eastAsia"/>
          <w:color w:val="auto"/>
          <w:highlight w:val="none"/>
        </w:rPr>
        <w:t>模型建模要求：</w:t>
      </w:r>
      <w:bookmarkEnd w:id="8317"/>
      <w:bookmarkEnd w:id="8318"/>
      <w:bookmarkEnd w:id="8319"/>
    </w:p>
    <w:p>
      <w:pPr>
        <w:pStyle w:val="217"/>
        <w:rPr>
          <w:color w:val="auto"/>
          <w:highlight w:val="none"/>
        </w:rPr>
      </w:pPr>
      <w:r>
        <w:rPr>
          <w:rFonts w:hint="eastAsia"/>
          <w:color w:val="auto"/>
          <w:highlight w:val="none"/>
        </w:rPr>
        <w:t>承包人需按照招标人要求完成</w:t>
      </w:r>
      <w:r>
        <w:rPr>
          <w:color w:val="auto"/>
          <w:highlight w:val="none"/>
        </w:rPr>
        <w:t>BIM</w:t>
      </w:r>
      <w:r>
        <w:rPr>
          <w:rFonts w:hint="eastAsia"/>
          <w:color w:val="auto"/>
          <w:highlight w:val="none"/>
        </w:rPr>
        <w:t>工作所需相关软硬件及网络环境的配置，确保后续</w:t>
      </w:r>
      <w:r>
        <w:rPr>
          <w:color w:val="auto"/>
          <w:highlight w:val="none"/>
        </w:rPr>
        <w:t>BIM</w:t>
      </w:r>
      <w:r>
        <w:rPr>
          <w:rFonts w:hint="eastAsia"/>
          <w:color w:val="auto"/>
          <w:highlight w:val="none"/>
        </w:rPr>
        <w:t>工作顺利开展。</w:t>
      </w:r>
    </w:p>
    <w:p>
      <w:pPr>
        <w:ind w:firstLine="480" w:firstLineChars="200"/>
        <w:rPr>
          <w:rFonts w:ascii="宋体" w:hAnsi="宋体"/>
          <w:color w:val="auto"/>
          <w:sz w:val="24"/>
          <w:szCs w:val="24"/>
          <w:highlight w:val="none"/>
        </w:rPr>
      </w:pPr>
      <w:r>
        <w:rPr>
          <w:rFonts w:hint="eastAsia" w:ascii="宋体" w:hAnsi="宋体"/>
          <w:color w:val="auto"/>
          <w:sz w:val="24"/>
          <w:szCs w:val="24"/>
          <w:highlight w:val="none"/>
        </w:rPr>
        <w:t>各专业</w:t>
      </w:r>
      <w:r>
        <w:rPr>
          <w:rFonts w:ascii="宋体" w:hAnsi="宋体"/>
          <w:color w:val="auto"/>
          <w:sz w:val="24"/>
          <w:szCs w:val="24"/>
          <w:highlight w:val="none"/>
        </w:rPr>
        <w:t>BIM</w:t>
      </w:r>
      <w:r>
        <w:rPr>
          <w:rFonts w:hint="eastAsia" w:ascii="宋体" w:hAnsi="宋体"/>
          <w:color w:val="auto"/>
          <w:sz w:val="24"/>
          <w:szCs w:val="24"/>
          <w:highlight w:val="none"/>
        </w:rPr>
        <w:t>模型建模详细要求表：</w:t>
      </w:r>
    </w:p>
    <w:p>
      <w:pPr>
        <w:rPr>
          <w:color w:val="auto"/>
          <w:highlight w:val="none"/>
        </w:rPr>
      </w:pPr>
    </w:p>
    <w:tbl>
      <w:tblPr>
        <w:tblStyle w:val="43"/>
        <w:tblpPr w:leftFromText="180" w:rightFromText="180" w:vertAnchor="text" w:tblpY="1"/>
        <w:tblOverlap w:val="never"/>
        <w:tblW w:w="9287" w:type="dxa"/>
        <w:tblInd w:w="0" w:type="dxa"/>
        <w:tblLayout w:type="fixed"/>
        <w:tblCellMar>
          <w:top w:w="0" w:type="dxa"/>
          <w:left w:w="108" w:type="dxa"/>
          <w:bottom w:w="0" w:type="dxa"/>
          <w:right w:w="108" w:type="dxa"/>
        </w:tblCellMar>
      </w:tblPr>
      <w:tblGrid>
        <w:gridCol w:w="1050"/>
        <w:gridCol w:w="1027"/>
        <w:gridCol w:w="1497"/>
        <w:gridCol w:w="5713"/>
      </w:tblGrid>
      <w:tr>
        <w:tblPrEx>
          <w:tblCellMar>
            <w:top w:w="0" w:type="dxa"/>
            <w:left w:w="108" w:type="dxa"/>
            <w:bottom w:w="0" w:type="dxa"/>
            <w:right w:w="108" w:type="dxa"/>
          </w:tblCellMar>
        </w:tblPrEx>
        <w:trPr>
          <w:trHeight w:val="567" w:hRule="atLeast"/>
          <w:tblHeader/>
        </w:trPr>
        <w:tc>
          <w:tcPr>
            <w:tcW w:w="3574" w:type="dxa"/>
            <w:gridSpan w:val="3"/>
            <w:tcBorders>
              <w:top w:val="single" w:color="auto" w:sz="8" w:space="0"/>
              <w:left w:val="single" w:color="auto" w:sz="8" w:space="0"/>
              <w:bottom w:val="single" w:color="000000" w:sz="8" w:space="0"/>
              <w:right w:val="single" w:color="000000" w:sz="8" w:space="0"/>
            </w:tcBorders>
            <w:noWrap w:val="0"/>
            <w:vAlign w:val="center"/>
          </w:tcPr>
          <w:p>
            <w:pPr>
              <w:rPr>
                <w:color w:val="auto"/>
                <w:highlight w:val="none"/>
              </w:rPr>
            </w:pPr>
            <w:r>
              <w:rPr>
                <w:rFonts w:hint="eastAsia"/>
                <w:color w:val="auto"/>
                <w:highlight w:val="none"/>
              </w:rPr>
              <w:t>引用的基础模型元素</w:t>
            </w:r>
          </w:p>
        </w:tc>
        <w:tc>
          <w:tcPr>
            <w:tcW w:w="5713" w:type="dxa"/>
            <w:tcBorders>
              <w:top w:val="single" w:color="auto" w:sz="8" w:space="0"/>
              <w:left w:val="nil"/>
              <w:bottom w:val="single" w:color="auto" w:sz="8" w:space="0"/>
              <w:right w:val="single" w:color="auto" w:sz="8" w:space="0"/>
            </w:tcBorders>
            <w:noWrap w:val="0"/>
            <w:vAlign w:val="center"/>
          </w:tcPr>
          <w:p>
            <w:pPr>
              <w:rPr>
                <w:color w:val="auto"/>
                <w:highlight w:val="none"/>
              </w:rPr>
            </w:pPr>
            <w:r>
              <w:rPr>
                <w:rFonts w:hint="eastAsia"/>
                <w:color w:val="auto"/>
                <w:highlight w:val="none"/>
              </w:rPr>
              <w:t>基础模型元素索引信息（包括墙、梁、柱、板、建筑空间、楼层、场地、属性定义、属性集等）</w:t>
            </w:r>
          </w:p>
        </w:tc>
      </w:tr>
      <w:tr>
        <w:tblPrEx>
          <w:tblCellMar>
            <w:top w:w="0" w:type="dxa"/>
            <w:left w:w="108" w:type="dxa"/>
            <w:bottom w:w="0" w:type="dxa"/>
            <w:right w:w="108" w:type="dxa"/>
          </w:tblCellMar>
        </w:tblPrEx>
        <w:trPr>
          <w:trHeight w:val="567" w:hRule="atLeast"/>
        </w:trPr>
        <w:tc>
          <w:tcPr>
            <w:tcW w:w="1050" w:type="dxa"/>
            <w:vMerge w:val="restart"/>
            <w:tcBorders>
              <w:top w:val="single" w:color="auto" w:sz="8" w:space="0"/>
              <w:left w:val="single" w:color="auto" w:sz="8" w:space="0"/>
              <w:bottom w:val="single" w:color="000000" w:sz="8" w:space="0"/>
              <w:right w:val="single" w:color="auto" w:sz="8" w:space="0"/>
            </w:tcBorders>
            <w:noWrap w:val="0"/>
            <w:vAlign w:val="center"/>
          </w:tcPr>
          <w:p>
            <w:pPr>
              <w:rPr>
                <w:color w:val="auto"/>
                <w:highlight w:val="none"/>
              </w:rPr>
            </w:pPr>
            <w:r>
              <w:rPr>
                <w:rFonts w:hint="eastAsia"/>
                <w:color w:val="auto"/>
                <w:highlight w:val="none"/>
              </w:rPr>
              <w:t>建筑专业</w:t>
            </w:r>
          </w:p>
        </w:tc>
        <w:tc>
          <w:tcPr>
            <w:tcW w:w="2524" w:type="dxa"/>
            <w:gridSpan w:val="2"/>
            <w:tcBorders>
              <w:top w:val="single" w:color="auto" w:sz="8" w:space="0"/>
              <w:left w:val="nil"/>
              <w:bottom w:val="single" w:color="auto" w:sz="8" w:space="0"/>
              <w:right w:val="single" w:color="000000" w:sz="8" w:space="0"/>
            </w:tcBorders>
            <w:noWrap w:val="0"/>
            <w:vAlign w:val="center"/>
          </w:tcPr>
          <w:p>
            <w:pPr>
              <w:rPr>
                <w:color w:val="auto"/>
                <w:highlight w:val="none"/>
              </w:rPr>
            </w:pPr>
            <w:r>
              <w:rPr>
                <w:rFonts w:hint="eastAsia"/>
                <w:color w:val="auto"/>
                <w:highlight w:val="none"/>
              </w:rPr>
              <w:t>门</w:t>
            </w:r>
          </w:p>
        </w:tc>
        <w:tc>
          <w:tcPr>
            <w:tcW w:w="5713" w:type="dxa"/>
            <w:tcBorders>
              <w:top w:val="nil"/>
              <w:left w:val="nil"/>
              <w:bottom w:val="single" w:color="auto" w:sz="8" w:space="0"/>
              <w:right w:val="single" w:color="auto" w:sz="8" w:space="0"/>
            </w:tcBorders>
            <w:noWrap w:val="0"/>
            <w:vAlign w:val="center"/>
          </w:tcPr>
          <w:p>
            <w:pPr>
              <w:rPr>
                <w:color w:val="auto"/>
                <w:highlight w:val="none"/>
              </w:rPr>
            </w:pPr>
            <w:r>
              <w:rPr>
                <w:rFonts w:hint="eastAsia"/>
                <w:color w:val="auto"/>
                <w:highlight w:val="none"/>
              </w:rPr>
              <w:t>名称，几何信息（如长、宽、厚度），定位（轴线，标高），类型（如双扇、扇开门、推拉门、折叠门、卷帘门），材料（如材料层、密度、导热系数），工程量（如体积、重量、表面积、涂料面积）</w:t>
            </w:r>
          </w:p>
        </w:tc>
      </w:tr>
      <w:tr>
        <w:tblPrEx>
          <w:tblCellMar>
            <w:top w:w="0" w:type="dxa"/>
            <w:left w:w="108" w:type="dxa"/>
            <w:bottom w:w="0" w:type="dxa"/>
            <w:right w:w="108" w:type="dxa"/>
          </w:tblCellMar>
        </w:tblPrEx>
        <w:trPr>
          <w:trHeight w:val="567" w:hRule="atLeast"/>
        </w:trPr>
        <w:tc>
          <w:tcPr>
            <w:tcW w:w="1050" w:type="dxa"/>
            <w:vMerge w:val="continue"/>
            <w:tcBorders>
              <w:top w:val="single" w:color="auto" w:sz="8" w:space="0"/>
              <w:left w:val="single" w:color="auto" w:sz="8" w:space="0"/>
              <w:bottom w:val="single" w:color="000000" w:sz="8" w:space="0"/>
              <w:right w:val="single" w:color="auto" w:sz="8" w:space="0"/>
            </w:tcBorders>
            <w:noWrap w:val="0"/>
            <w:vAlign w:val="center"/>
          </w:tcPr>
          <w:p>
            <w:pPr>
              <w:rPr>
                <w:color w:val="auto"/>
                <w:highlight w:val="none"/>
              </w:rPr>
            </w:pPr>
          </w:p>
        </w:tc>
        <w:tc>
          <w:tcPr>
            <w:tcW w:w="2524" w:type="dxa"/>
            <w:gridSpan w:val="2"/>
            <w:tcBorders>
              <w:top w:val="single" w:color="auto" w:sz="8" w:space="0"/>
              <w:left w:val="nil"/>
              <w:bottom w:val="single" w:color="auto" w:sz="8" w:space="0"/>
              <w:right w:val="single" w:color="000000" w:sz="8" w:space="0"/>
            </w:tcBorders>
            <w:noWrap w:val="0"/>
            <w:vAlign w:val="center"/>
          </w:tcPr>
          <w:p>
            <w:pPr>
              <w:rPr>
                <w:color w:val="auto"/>
                <w:highlight w:val="none"/>
              </w:rPr>
            </w:pPr>
            <w:r>
              <w:rPr>
                <w:rFonts w:hint="eastAsia"/>
                <w:color w:val="auto"/>
                <w:highlight w:val="none"/>
              </w:rPr>
              <w:t>窗</w:t>
            </w:r>
          </w:p>
        </w:tc>
        <w:tc>
          <w:tcPr>
            <w:tcW w:w="5713" w:type="dxa"/>
            <w:tcBorders>
              <w:top w:val="nil"/>
              <w:left w:val="nil"/>
              <w:bottom w:val="single" w:color="auto" w:sz="8" w:space="0"/>
              <w:right w:val="single" w:color="auto" w:sz="8" w:space="0"/>
            </w:tcBorders>
            <w:noWrap w:val="0"/>
            <w:vAlign w:val="center"/>
          </w:tcPr>
          <w:p>
            <w:pPr>
              <w:rPr>
                <w:color w:val="auto"/>
                <w:highlight w:val="none"/>
              </w:rPr>
            </w:pPr>
            <w:r>
              <w:rPr>
                <w:rFonts w:hint="eastAsia"/>
                <w:color w:val="auto"/>
                <w:highlight w:val="none"/>
              </w:rPr>
              <w:t>名称，几何信息（如长、宽、厚度），定位（轴线，标高），类型（如平开窗、推拉窗、百叶窗），材料（如材料层、密度、导热系数），工程量（如体积、重量、表面积、涂料面积）</w:t>
            </w:r>
          </w:p>
        </w:tc>
      </w:tr>
      <w:tr>
        <w:tblPrEx>
          <w:tblCellMar>
            <w:top w:w="0" w:type="dxa"/>
            <w:left w:w="108" w:type="dxa"/>
            <w:bottom w:w="0" w:type="dxa"/>
            <w:right w:w="108" w:type="dxa"/>
          </w:tblCellMar>
        </w:tblPrEx>
        <w:trPr>
          <w:trHeight w:val="567" w:hRule="atLeast"/>
        </w:trPr>
        <w:tc>
          <w:tcPr>
            <w:tcW w:w="1050" w:type="dxa"/>
            <w:vMerge w:val="continue"/>
            <w:tcBorders>
              <w:top w:val="single" w:color="auto" w:sz="8" w:space="0"/>
              <w:left w:val="single" w:color="auto" w:sz="8" w:space="0"/>
              <w:bottom w:val="single" w:color="000000" w:sz="8" w:space="0"/>
              <w:right w:val="single" w:color="auto" w:sz="8" w:space="0"/>
            </w:tcBorders>
            <w:noWrap w:val="0"/>
            <w:vAlign w:val="center"/>
          </w:tcPr>
          <w:p>
            <w:pPr>
              <w:rPr>
                <w:color w:val="auto"/>
                <w:highlight w:val="none"/>
              </w:rPr>
            </w:pPr>
          </w:p>
        </w:tc>
        <w:tc>
          <w:tcPr>
            <w:tcW w:w="2524" w:type="dxa"/>
            <w:gridSpan w:val="2"/>
            <w:tcBorders>
              <w:top w:val="single" w:color="auto" w:sz="8" w:space="0"/>
              <w:left w:val="nil"/>
              <w:bottom w:val="single" w:color="auto" w:sz="8" w:space="0"/>
              <w:right w:val="single" w:color="000000" w:sz="8" w:space="0"/>
            </w:tcBorders>
            <w:noWrap w:val="0"/>
            <w:vAlign w:val="center"/>
          </w:tcPr>
          <w:p>
            <w:pPr>
              <w:rPr>
                <w:color w:val="auto"/>
                <w:highlight w:val="none"/>
              </w:rPr>
            </w:pPr>
            <w:r>
              <w:rPr>
                <w:rFonts w:hint="eastAsia"/>
                <w:color w:val="auto"/>
                <w:highlight w:val="none"/>
              </w:rPr>
              <w:t>台阶</w:t>
            </w:r>
          </w:p>
        </w:tc>
        <w:tc>
          <w:tcPr>
            <w:tcW w:w="5713" w:type="dxa"/>
            <w:tcBorders>
              <w:top w:val="nil"/>
              <w:left w:val="nil"/>
              <w:bottom w:val="single" w:color="auto" w:sz="8" w:space="0"/>
              <w:right w:val="single" w:color="auto" w:sz="8" w:space="0"/>
            </w:tcBorders>
            <w:noWrap w:val="0"/>
            <w:vAlign w:val="center"/>
          </w:tcPr>
          <w:p>
            <w:pPr>
              <w:rPr>
                <w:color w:val="auto"/>
                <w:highlight w:val="none"/>
              </w:rPr>
            </w:pPr>
            <w:r>
              <w:rPr>
                <w:rFonts w:hint="eastAsia"/>
                <w:color w:val="auto"/>
                <w:highlight w:val="none"/>
              </w:rPr>
              <w:t>名称，几何信息（如台阶长、宽、高度、突缘长度），定位（轴线，标高），材料（如材料强度、密度），工程量（如体积、重量、表面积）</w:t>
            </w:r>
          </w:p>
        </w:tc>
      </w:tr>
      <w:tr>
        <w:tblPrEx>
          <w:tblCellMar>
            <w:top w:w="0" w:type="dxa"/>
            <w:left w:w="108" w:type="dxa"/>
            <w:bottom w:w="0" w:type="dxa"/>
            <w:right w:w="108" w:type="dxa"/>
          </w:tblCellMar>
        </w:tblPrEx>
        <w:trPr>
          <w:trHeight w:val="567" w:hRule="atLeast"/>
        </w:trPr>
        <w:tc>
          <w:tcPr>
            <w:tcW w:w="1050" w:type="dxa"/>
            <w:vMerge w:val="continue"/>
            <w:tcBorders>
              <w:top w:val="single" w:color="auto" w:sz="8" w:space="0"/>
              <w:left w:val="single" w:color="auto" w:sz="8" w:space="0"/>
              <w:bottom w:val="single" w:color="000000" w:sz="8" w:space="0"/>
              <w:right w:val="single" w:color="auto" w:sz="8" w:space="0"/>
            </w:tcBorders>
            <w:noWrap w:val="0"/>
            <w:vAlign w:val="center"/>
          </w:tcPr>
          <w:p>
            <w:pPr>
              <w:rPr>
                <w:color w:val="auto"/>
                <w:highlight w:val="none"/>
              </w:rPr>
            </w:pPr>
          </w:p>
        </w:tc>
        <w:tc>
          <w:tcPr>
            <w:tcW w:w="2524" w:type="dxa"/>
            <w:gridSpan w:val="2"/>
            <w:tcBorders>
              <w:top w:val="single" w:color="auto" w:sz="8" w:space="0"/>
              <w:left w:val="nil"/>
              <w:bottom w:val="single" w:color="auto" w:sz="8" w:space="0"/>
              <w:right w:val="single" w:color="000000" w:sz="8" w:space="0"/>
            </w:tcBorders>
            <w:noWrap w:val="0"/>
            <w:vAlign w:val="center"/>
          </w:tcPr>
          <w:p>
            <w:pPr>
              <w:rPr>
                <w:color w:val="auto"/>
                <w:highlight w:val="none"/>
              </w:rPr>
            </w:pPr>
            <w:r>
              <w:rPr>
                <w:rFonts w:hint="eastAsia"/>
                <w:color w:val="auto"/>
                <w:highlight w:val="none"/>
              </w:rPr>
              <w:t>扶手</w:t>
            </w:r>
          </w:p>
        </w:tc>
        <w:tc>
          <w:tcPr>
            <w:tcW w:w="5713" w:type="dxa"/>
            <w:tcBorders>
              <w:top w:val="nil"/>
              <w:left w:val="nil"/>
              <w:bottom w:val="single" w:color="auto" w:sz="8" w:space="0"/>
              <w:right w:val="single" w:color="auto" w:sz="8" w:space="0"/>
            </w:tcBorders>
            <w:noWrap w:val="0"/>
            <w:vAlign w:val="center"/>
          </w:tcPr>
          <w:p>
            <w:pPr>
              <w:rPr>
                <w:color w:val="auto"/>
                <w:highlight w:val="none"/>
              </w:rPr>
            </w:pPr>
            <w:r>
              <w:rPr>
                <w:rFonts w:hint="eastAsia"/>
                <w:color w:val="auto"/>
                <w:highlight w:val="none"/>
              </w:rPr>
              <w:t>几何信息（如长度、高度、样式），定位（轴线，标高），材料（如材料层、密度）、关联构件</w:t>
            </w:r>
          </w:p>
        </w:tc>
      </w:tr>
      <w:tr>
        <w:tblPrEx>
          <w:tblCellMar>
            <w:top w:w="0" w:type="dxa"/>
            <w:left w:w="108" w:type="dxa"/>
            <w:bottom w:w="0" w:type="dxa"/>
            <w:right w:w="108" w:type="dxa"/>
          </w:tblCellMar>
        </w:tblPrEx>
        <w:trPr>
          <w:trHeight w:val="567" w:hRule="atLeast"/>
        </w:trPr>
        <w:tc>
          <w:tcPr>
            <w:tcW w:w="1050" w:type="dxa"/>
            <w:vMerge w:val="continue"/>
            <w:tcBorders>
              <w:top w:val="single" w:color="auto" w:sz="8" w:space="0"/>
              <w:left w:val="single" w:color="auto" w:sz="8" w:space="0"/>
              <w:bottom w:val="single" w:color="000000" w:sz="8" w:space="0"/>
              <w:right w:val="single" w:color="auto" w:sz="8" w:space="0"/>
            </w:tcBorders>
            <w:noWrap w:val="0"/>
            <w:vAlign w:val="center"/>
          </w:tcPr>
          <w:p>
            <w:pPr>
              <w:rPr>
                <w:color w:val="auto"/>
                <w:highlight w:val="none"/>
              </w:rPr>
            </w:pPr>
          </w:p>
        </w:tc>
        <w:tc>
          <w:tcPr>
            <w:tcW w:w="2524" w:type="dxa"/>
            <w:gridSpan w:val="2"/>
            <w:tcBorders>
              <w:top w:val="single" w:color="auto" w:sz="8" w:space="0"/>
              <w:left w:val="nil"/>
              <w:bottom w:val="single" w:color="auto" w:sz="8" w:space="0"/>
              <w:right w:val="single" w:color="000000" w:sz="8" w:space="0"/>
            </w:tcBorders>
            <w:noWrap w:val="0"/>
            <w:vAlign w:val="center"/>
          </w:tcPr>
          <w:p>
            <w:pPr>
              <w:rPr>
                <w:color w:val="auto"/>
                <w:highlight w:val="none"/>
              </w:rPr>
            </w:pPr>
            <w:r>
              <w:rPr>
                <w:rFonts w:hint="eastAsia"/>
                <w:color w:val="auto"/>
                <w:highlight w:val="none"/>
              </w:rPr>
              <w:t>面层</w:t>
            </w:r>
          </w:p>
        </w:tc>
        <w:tc>
          <w:tcPr>
            <w:tcW w:w="5713" w:type="dxa"/>
            <w:tcBorders>
              <w:top w:val="nil"/>
              <w:left w:val="nil"/>
              <w:bottom w:val="single" w:color="auto" w:sz="8" w:space="0"/>
              <w:right w:val="single" w:color="auto" w:sz="8" w:space="0"/>
            </w:tcBorders>
            <w:noWrap w:val="0"/>
            <w:vAlign w:val="center"/>
          </w:tcPr>
          <w:p>
            <w:pPr>
              <w:rPr>
                <w:color w:val="auto"/>
                <w:highlight w:val="none"/>
              </w:rPr>
            </w:pPr>
            <w:r>
              <w:rPr>
                <w:rFonts w:hint="eastAsia"/>
                <w:color w:val="auto"/>
                <w:highlight w:val="none"/>
              </w:rPr>
              <w:t>几何信息（如长度、覆盖面域），材料（如材料层、密度、导热系数），工程量（如体积、重量、表面积、涂料面积），关联构件</w:t>
            </w:r>
          </w:p>
        </w:tc>
      </w:tr>
      <w:tr>
        <w:tblPrEx>
          <w:tblCellMar>
            <w:top w:w="0" w:type="dxa"/>
            <w:left w:w="108" w:type="dxa"/>
            <w:bottom w:w="0" w:type="dxa"/>
            <w:right w:w="108" w:type="dxa"/>
          </w:tblCellMar>
        </w:tblPrEx>
        <w:trPr>
          <w:trHeight w:val="567" w:hRule="atLeast"/>
        </w:trPr>
        <w:tc>
          <w:tcPr>
            <w:tcW w:w="1050" w:type="dxa"/>
            <w:vMerge w:val="continue"/>
            <w:tcBorders>
              <w:top w:val="single" w:color="auto" w:sz="8" w:space="0"/>
              <w:left w:val="single" w:color="auto" w:sz="8" w:space="0"/>
              <w:bottom w:val="single" w:color="000000" w:sz="8" w:space="0"/>
              <w:right w:val="single" w:color="auto" w:sz="8" w:space="0"/>
            </w:tcBorders>
            <w:noWrap w:val="0"/>
            <w:vAlign w:val="center"/>
          </w:tcPr>
          <w:p>
            <w:pPr>
              <w:rPr>
                <w:color w:val="auto"/>
                <w:highlight w:val="none"/>
              </w:rPr>
            </w:pPr>
          </w:p>
        </w:tc>
        <w:tc>
          <w:tcPr>
            <w:tcW w:w="2524" w:type="dxa"/>
            <w:gridSpan w:val="2"/>
            <w:tcBorders>
              <w:top w:val="single" w:color="auto" w:sz="8" w:space="0"/>
              <w:left w:val="nil"/>
              <w:bottom w:val="single" w:color="auto" w:sz="8" w:space="0"/>
              <w:right w:val="single" w:color="000000" w:sz="8" w:space="0"/>
            </w:tcBorders>
            <w:noWrap w:val="0"/>
            <w:vAlign w:val="center"/>
          </w:tcPr>
          <w:p>
            <w:pPr>
              <w:rPr>
                <w:color w:val="auto"/>
                <w:highlight w:val="none"/>
              </w:rPr>
            </w:pPr>
            <w:r>
              <w:rPr>
                <w:rFonts w:hint="eastAsia"/>
                <w:color w:val="auto"/>
                <w:highlight w:val="none"/>
              </w:rPr>
              <w:t>幕墙</w:t>
            </w:r>
          </w:p>
        </w:tc>
        <w:tc>
          <w:tcPr>
            <w:tcW w:w="5713" w:type="dxa"/>
            <w:tcBorders>
              <w:top w:val="nil"/>
              <w:left w:val="nil"/>
              <w:bottom w:val="single" w:color="auto" w:sz="8" w:space="0"/>
              <w:right w:val="single" w:color="auto" w:sz="8" w:space="0"/>
            </w:tcBorders>
            <w:noWrap w:val="0"/>
            <w:vAlign w:val="center"/>
          </w:tcPr>
          <w:p>
            <w:pPr>
              <w:rPr>
                <w:color w:val="auto"/>
                <w:highlight w:val="none"/>
              </w:rPr>
            </w:pPr>
            <w:r>
              <w:rPr>
                <w:rFonts w:hint="eastAsia"/>
                <w:color w:val="auto"/>
                <w:highlight w:val="none"/>
              </w:rPr>
              <w:t>几何信息（如厚度、覆盖面域），材料（如材料层、密度、导热系数），工程量（如体积、重量、表面积、涂料面积），关联构件</w:t>
            </w:r>
          </w:p>
        </w:tc>
      </w:tr>
      <w:tr>
        <w:tblPrEx>
          <w:tblCellMar>
            <w:top w:w="0" w:type="dxa"/>
            <w:left w:w="108" w:type="dxa"/>
            <w:bottom w:w="0" w:type="dxa"/>
            <w:right w:w="108" w:type="dxa"/>
          </w:tblCellMar>
        </w:tblPrEx>
        <w:trPr>
          <w:trHeight w:val="567" w:hRule="atLeast"/>
        </w:trPr>
        <w:tc>
          <w:tcPr>
            <w:tcW w:w="1050" w:type="dxa"/>
            <w:vMerge w:val="restart"/>
            <w:tcBorders>
              <w:top w:val="nil"/>
              <w:left w:val="single" w:color="auto" w:sz="8" w:space="0"/>
              <w:bottom w:val="single" w:color="000000" w:sz="8" w:space="0"/>
              <w:right w:val="single" w:color="auto" w:sz="8" w:space="0"/>
            </w:tcBorders>
            <w:noWrap w:val="0"/>
            <w:vAlign w:val="center"/>
          </w:tcPr>
          <w:p>
            <w:pPr>
              <w:rPr>
                <w:color w:val="auto"/>
                <w:highlight w:val="none"/>
              </w:rPr>
            </w:pPr>
            <w:r>
              <w:rPr>
                <w:rFonts w:hint="eastAsia"/>
                <w:color w:val="auto"/>
                <w:highlight w:val="none"/>
              </w:rPr>
              <w:t>结构专业</w:t>
            </w:r>
          </w:p>
        </w:tc>
        <w:tc>
          <w:tcPr>
            <w:tcW w:w="2524" w:type="dxa"/>
            <w:gridSpan w:val="2"/>
            <w:tcBorders>
              <w:top w:val="single" w:color="auto" w:sz="8" w:space="0"/>
              <w:left w:val="nil"/>
              <w:bottom w:val="single" w:color="auto" w:sz="8" w:space="0"/>
              <w:right w:val="single" w:color="000000" w:sz="8" w:space="0"/>
            </w:tcBorders>
            <w:noWrap w:val="0"/>
            <w:vAlign w:val="center"/>
          </w:tcPr>
          <w:p>
            <w:pPr>
              <w:rPr>
                <w:color w:val="auto"/>
                <w:highlight w:val="none"/>
              </w:rPr>
            </w:pPr>
            <w:r>
              <w:rPr>
                <w:rFonts w:hint="eastAsia"/>
                <w:color w:val="auto"/>
                <w:highlight w:val="none"/>
              </w:rPr>
              <w:t>引用的基础模型元素</w:t>
            </w:r>
          </w:p>
        </w:tc>
        <w:tc>
          <w:tcPr>
            <w:tcW w:w="5713" w:type="dxa"/>
            <w:tcBorders>
              <w:top w:val="nil"/>
              <w:left w:val="nil"/>
              <w:bottom w:val="single" w:color="auto" w:sz="8" w:space="0"/>
              <w:right w:val="single" w:color="auto" w:sz="8" w:space="0"/>
            </w:tcBorders>
            <w:noWrap w:val="0"/>
            <w:vAlign w:val="center"/>
          </w:tcPr>
          <w:p>
            <w:pPr>
              <w:rPr>
                <w:color w:val="auto"/>
                <w:highlight w:val="none"/>
              </w:rPr>
            </w:pPr>
            <w:r>
              <w:rPr>
                <w:rFonts w:hint="eastAsia"/>
                <w:color w:val="auto"/>
                <w:highlight w:val="none"/>
              </w:rPr>
              <w:t>基础模型元素的索引信息（包括墙、梁、柱、板、建筑空间、楼层、场地、属性定义、属性集等）</w:t>
            </w:r>
          </w:p>
        </w:tc>
      </w:tr>
      <w:tr>
        <w:tblPrEx>
          <w:tblCellMar>
            <w:top w:w="0" w:type="dxa"/>
            <w:left w:w="108" w:type="dxa"/>
            <w:bottom w:w="0" w:type="dxa"/>
            <w:right w:w="108" w:type="dxa"/>
          </w:tblCellMar>
        </w:tblPrEx>
        <w:trPr>
          <w:trHeight w:val="567" w:hRule="atLeast"/>
        </w:trPr>
        <w:tc>
          <w:tcPr>
            <w:tcW w:w="1050" w:type="dxa"/>
            <w:vMerge w:val="continue"/>
            <w:tcBorders>
              <w:top w:val="nil"/>
              <w:left w:val="single" w:color="auto" w:sz="8" w:space="0"/>
              <w:bottom w:val="single" w:color="000000" w:sz="8" w:space="0"/>
              <w:right w:val="single" w:color="auto" w:sz="8" w:space="0"/>
            </w:tcBorders>
            <w:noWrap w:val="0"/>
            <w:vAlign w:val="center"/>
          </w:tcPr>
          <w:p>
            <w:pPr>
              <w:rPr>
                <w:color w:val="auto"/>
                <w:highlight w:val="none"/>
              </w:rPr>
            </w:pPr>
          </w:p>
        </w:tc>
        <w:tc>
          <w:tcPr>
            <w:tcW w:w="2524" w:type="dxa"/>
            <w:gridSpan w:val="2"/>
            <w:tcBorders>
              <w:top w:val="single" w:color="auto" w:sz="8" w:space="0"/>
              <w:left w:val="nil"/>
              <w:bottom w:val="single" w:color="auto" w:sz="8" w:space="0"/>
              <w:right w:val="single" w:color="000000" w:sz="8" w:space="0"/>
            </w:tcBorders>
            <w:noWrap w:val="0"/>
            <w:vAlign w:val="center"/>
          </w:tcPr>
          <w:p>
            <w:pPr>
              <w:rPr>
                <w:color w:val="auto"/>
                <w:highlight w:val="none"/>
              </w:rPr>
            </w:pPr>
            <w:r>
              <w:rPr>
                <w:rFonts w:hint="eastAsia"/>
                <w:color w:val="auto"/>
                <w:highlight w:val="none"/>
              </w:rPr>
              <w:t>结构构件（梁、柱、墙、板）</w:t>
            </w:r>
          </w:p>
        </w:tc>
        <w:tc>
          <w:tcPr>
            <w:tcW w:w="5713" w:type="dxa"/>
            <w:tcBorders>
              <w:top w:val="nil"/>
              <w:left w:val="nil"/>
              <w:bottom w:val="single" w:color="auto" w:sz="8" w:space="0"/>
              <w:right w:val="single" w:color="auto" w:sz="8" w:space="0"/>
            </w:tcBorders>
            <w:noWrap w:val="0"/>
            <w:vAlign w:val="center"/>
          </w:tcPr>
          <w:p>
            <w:pPr>
              <w:rPr>
                <w:color w:val="auto"/>
                <w:highlight w:val="none"/>
              </w:rPr>
            </w:pPr>
            <w:r>
              <w:rPr>
                <w:rFonts w:hint="eastAsia"/>
                <w:color w:val="auto"/>
                <w:highlight w:val="none"/>
              </w:rPr>
              <w:t>名称，计算尺寸（如长、宽、高），材料力学性能（如弹性模量、泊松比、型号等）结构分析信息（如约束条件，边界条件等）</w:t>
            </w:r>
          </w:p>
        </w:tc>
      </w:tr>
      <w:tr>
        <w:tblPrEx>
          <w:tblCellMar>
            <w:top w:w="0" w:type="dxa"/>
            <w:left w:w="108" w:type="dxa"/>
            <w:bottom w:w="0" w:type="dxa"/>
            <w:right w:w="108" w:type="dxa"/>
          </w:tblCellMar>
        </w:tblPrEx>
        <w:trPr>
          <w:trHeight w:val="567" w:hRule="atLeast"/>
        </w:trPr>
        <w:tc>
          <w:tcPr>
            <w:tcW w:w="1050" w:type="dxa"/>
            <w:vMerge w:val="continue"/>
            <w:tcBorders>
              <w:top w:val="nil"/>
              <w:left w:val="single" w:color="auto" w:sz="8" w:space="0"/>
              <w:bottom w:val="single" w:color="000000" w:sz="8" w:space="0"/>
              <w:right w:val="single" w:color="auto" w:sz="8" w:space="0"/>
            </w:tcBorders>
            <w:noWrap w:val="0"/>
            <w:vAlign w:val="center"/>
          </w:tcPr>
          <w:p>
            <w:pPr>
              <w:rPr>
                <w:color w:val="auto"/>
                <w:highlight w:val="none"/>
              </w:rPr>
            </w:pPr>
          </w:p>
        </w:tc>
        <w:tc>
          <w:tcPr>
            <w:tcW w:w="2524" w:type="dxa"/>
            <w:gridSpan w:val="2"/>
            <w:tcBorders>
              <w:top w:val="single" w:color="auto" w:sz="8" w:space="0"/>
              <w:left w:val="nil"/>
              <w:bottom w:val="single" w:color="auto" w:sz="8" w:space="0"/>
              <w:right w:val="single" w:color="000000" w:sz="8" w:space="0"/>
            </w:tcBorders>
            <w:noWrap w:val="0"/>
            <w:vAlign w:val="center"/>
          </w:tcPr>
          <w:p>
            <w:pPr>
              <w:rPr>
                <w:color w:val="auto"/>
                <w:highlight w:val="none"/>
              </w:rPr>
            </w:pPr>
            <w:r>
              <w:rPr>
                <w:rFonts w:hint="eastAsia"/>
                <w:color w:val="auto"/>
                <w:highlight w:val="none"/>
              </w:rPr>
              <w:t>基础</w:t>
            </w:r>
          </w:p>
        </w:tc>
        <w:tc>
          <w:tcPr>
            <w:tcW w:w="5713" w:type="dxa"/>
            <w:tcBorders>
              <w:top w:val="nil"/>
              <w:left w:val="nil"/>
              <w:bottom w:val="single" w:color="auto" w:sz="8" w:space="0"/>
              <w:right w:val="single" w:color="auto" w:sz="8" w:space="0"/>
            </w:tcBorders>
            <w:noWrap w:val="0"/>
            <w:vAlign w:val="center"/>
          </w:tcPr>
          <w:p>
            <w:pPr>
              <w:rPr>
                <w:color w:val="auto"/>
                <w:highlight w:val="none"/>
              </w:rPr>
            </w:pPr>
            <w:r>
              <w:rPr>
                <w:rFonts w:hint="eastAsia"/>
                <w:color w:val="auto"/>
                <w:highlight w:val="none"/>
              </w:rPr>
              <w:t>名称，几何信息（如长、宽、高），定位（轴线，标高），工程量（如体积），计算尺寸，材料力学性能（如弹性模量、泊松比、型号等），结构分析信息（如约束条件，边界条件等）</w:t>
            </w:r>
          </w:p>
        </w:tc>
      </w:tr>
      <w:tr>
        <w:tblPrEx>
          <w:tblCellMar>
            <w:top w:w="0" w:type="dxa"/>
            <w:left w:w="108" w:type="dxa"/>
            <w:bottom w:w="0" w:type="dxa"/>
            <w:right w:w="108" w:type="dxa"/>
          </w:tblCellMar>
        </w:tblPrEx>
        <w:trPr>
          <w:trHeight w:val="567" w:hRule="atLeast"/>
        </w:trPr>
        <w:tc>
          <w:tcPr>
            <w:tcW w:w="1050" w:type="dxa"/>
            <w:vMerge w:val="continue"/>
            <w:tcBorders>
              <w:top w:val="nil"/>
              <w:left w:val="single" w:color="auto" w:sz="8" w:space="0"/>
              <w:bottom w:val="single" w:color="000000" w:sz="8" w:space="0"/>
              <w:right w:val="single" w:color="auto" w:sz="8" w:space="0"/>
            </w:tcBorders>
            <w:noWrap w:val="0"/>
            <w:vAlign w:val="center"/>
          </w:tcPr>
          <w:p>
            <w:pPr>
              <w:rPr>
                <w:color w:val="auto"/>
                <w:highlight w:val="none"/>
              </w:rPr>
            </w:pPr>
          </w:p>
        </w:tc>
        <w:tc>
          <w:tcPr>
            <w:tcW w:w="2524" w:type="dxa"/>
            <w:gridSpan w:val="2"/>
            <w:tcBorders>
              <w:top w:val="single" w:color="auto" w:sz="8" w:space="0"/>
              <w:left w:val="nil"/>
              <w:bottom w:val="single" w:color="auto" w:sz="8" w:space="0"/>
              <w:right w:val="single" w:color="000000" w:sz="8" w:space="0"/>
            </w:tcBorders>
            <w:noWrap w:val="0"/>
            <w:vAlign w:val="center"/>
          </w:tcPr>
          <w:p>
            <w:pPr>
              <w:rPr>
                <w:color w:val="auto"/>
                <w:highlight w:val="none"/>
              </w:rPr>
            </w:pPr>
            <w:r>
              <w:rPr>
                <w:rFonts w:hint="eastAsia"/>
                <w:color w:val="auto"/>
                <w:highlight w:val="none"/>
              </w:rPr>
              <w:t>桩</w:t>
            </w:r>
          </w:p>
        </w:tc>
        <w:tc>
          <w:tcPr>
            <w:tcW w:w="5713" w:type="dxa"/>
            <w:tcBorders>
              <w:top w:val="nil"/>
              <w:left w:val="nil"/>
              <w:bottom w:val="single" w:color="auto" w:sz="8" w:space="0"/>
              <w:right w:val="single" w:color="auto" w:sz="8" w:space="0"/>
            </w:tcBorders>
            <w:noWrap w:val="0"/>
            <w:vAlign w:val="center"/>
          </w:tcPr>
          <w:p>
            <w:pPr>
              <w:rPr>
                <w:color w:val="auto"/>
                <w:highlight w:val="none"/>
              </w:rPr>
            </w:pPr>
            <w:r>
              <w:rPr>
                <w:rFonts w:hint="eastAsia"/>
                <w:color w:val="auto"/>
                <w:highlight w:val="none"/>
              </w:rPr>
              <w:t>名称，几何信息（如长、宽、高）、定位（轴线，标高），计算尺寸，材料力学性能（如弹性模量、泊松比、型号等）结构分析信息（如约束条件，边界条件等）</w:t>
            </w:r>
          </w:p>
        </w:tc>
      </w:tr>
      <w:tr>
        <w:tblPrEx>
          <w:tblCellMar>
            <w:top w:w="0" w:type="dxa"/>
            <w:left w:w="108" w:type="dxa"/>
            <w:bottom w:w="0" w:type="dxa"/>
            <w:right w:w="108" w:type="dxa"/>
          </w:tblCellMar>
        </w:tblPrEx>
        <w:trPr>
          <w:trHeight w:val="567" w:hRule="atLeast"/>
        </w:trPr>
        <w:tc>
          <w:tcPr>
            <w:tcW w:w="1050" w:type="dxa"/>
            <w:vMerge w:val="continue"/>
            <w:tcBorders>
              <w:top w:val="nil"/>
              <w:left w:val="single" w:color="auto" w:sz="8" w:space="0"/>
              <w:bottom w:val="single" w:color="000000" w:sz="8" w:space="0"/>
              <w:right w:val="single" w:color="auto" w:sz="8" w:space="0"/>
            </w:tcBorders>
            <w:noWrap w:val="0"/>
            <w:vAlign w:val="center"/>
          </w:tcPr>
          <w:p>
            <w:pPr>
              <w:rPr>
                <w:color w:val="auto"/>
                <w:highlight w:val="none"/>
              </w:rPr>
            </w:pPr>
          </w:p>
        </w:tc>
        <w:tc>
          <w:tcPr>
            <w:tcW w:w="2524" w:type="dxa"/>
            <w:gridSpan w:val="2"/>
            <w:tcBorders>
              <w:top w:val="single" w:color="auto" w:sz="8" w:space="0"/>
              <w:left w:val="nil"/>
              <w:bottom w:val="single" w:color="auto" w:sz="8" w:space="0"/>
              <w:right w:val="single" w:color="000000" w:sz="8" w:space="0"/>
            </w:tcBorders>
            <w:noWrap w:val="0"/>
            <w:vAlign w:val="center"/>
          </w:tcPr>
          <w:p>
            <w:pPr>
              <w:rPr>
                <w:color w:val="auto"/>
                <w:highlight w:val="none"/>
              </w:rPr>
            </w:pPr>
            <w:r>
              <w:rPr>
                <w:rFonts w:hint="eastAsia"/>
                <w:color w:val="auto"/>
                <w:highlight w:val="none"/>
              </w:rPr>
              <w:t>钢结构</w:t>
            </w:r>
          </w:p>
        </w:tc>
        <w:tc>
          <w:tcPr>
            <w:tcW w:w="5713" w:type="dxa"/>
            <w:tcBorders>
              <w:top w:val="nil"/>
              <w:left w:val="nil"/>
              <w:bottom w:val="single" w:color="auto" w:sz="8" w:space="0"/>
              <w:right w:val="single" w:color="auto" w:sz="8" w:space="0"/>
            </w:tcBorders>
            <w:noWrap w:val="0"/>
            <w:vAlign w:val="center"/>
          </w:tcPr>
          <w:p>
            <w:pPr>
              <w:rPr>
                <w:color w:val="auto"/>
                <w:highlight w:val="none"/>
              </w:rPr>
            </w:pPr>
            <w:r>
              <w:rPr>
                <w:rFonts w:hint="eastAsia"/>
                <w:color w:val="auto"/>
                <w:highlight w:val="none"/>
              </w:rPr>
              <w:t>钢结构杆件、连接件，几何信息、材料信息、工程量（长度、重量等）</w:t>
            </w:r>
          </w:p>
        </w:tc>
      </w:tr>
      <w:tr>
        <w:tblPrEx>
          <w:tblCellMar>
            <w:top w:w="0" w:type="dxa"/>
            <w:left w:w="108" w:type="dxa"/>
            <w:bottom w:w="0" w:type="dxa"/>
            <w:right w:w="108" w:type="dxa"/>
          </w:tblCellMar>
        </w:tblPrEx>
        <w:trPr>
          <w:trHeight w:val="567" w:hRule="atLeast"/>
        </w:trPr>
        <w:tc>
          <w:tcPr>
            <w:tcW w:w="1050" w:type="dxa"/>
            <w:vMerge w:val="continue"/>
            <w:tcBorders>
              <w:top w:val="nil"/>
              <w:left w:val="single" w:color="auto" w:sz="8" w:space="0"/>
              <w:bottom w:val="single" w:color="000000" w:sz="8" w:space="0"/>
              <w:right w:val="single" w:color="auto" w:sz="8" w:space="0"/>
            </w:tcBorders>
            <w:noWrap w:val="0"/>
            <w:vAlign w:val="center"/>
          </w:tcPr>
          <w:p>
            <w:pPr>
              <w:rPr>
                <w:color w:val="auto"/>
                <w:highlight w:val="none"/>
              </w:rPr>
            </w:pPr>
          </w:p>
        </w:tc>
        <w:tc>
          <w:tcPr>
            <w:tcW w:w="2524" w:type="dxa"/>
            <w:gridSpan w:val="2"/>
            <w:tcBorders>
              <w:top w:val="single" w:color="auto" w:sz="8" w:space="0"/>
              <w:left w:val="nil"/>
              <w:bottom w:val="single" w:color="auto" w:sz="8" w:space="0"/>
              <w:right w:val="single" w:color="000000" w:sz="8" w:space="0"/>
            </w:tcBorders>
            <w:noWrap w:val="0"/>
            <w:vAlign w:val="center"/>
          </w:tcPr>
          <w:p>
            <w:pPr>
              <w:rPr>
                <w:color w:val="auto"/>
                <w:highlight w:val="none"/>
              </w:rPr>
            </w:pPr>
            <w:r>
              <w:rPr>
                <w:rFonts w:hint="eastAsia"/>
                <w:color w:val="auto"/>
                <w:highlight w:val="none"/>
              </w:rPr>
              <w:t>其它构件</w:t>
            </w:r>
          </w:p>
        </w:tc>
        <w:tc>
          <w:tcPr>
            <w:tcW w:w="5713" w:type="dxa"/>
            <w:tcBorders>
              <w:top w:val="nil"/>
              <w:left w:val="nil"/>
              <w:bottom w:val="single" w:color="auto" w:sz="8" w:space="0"/>
              <w:right w:val="single" w:color="auto" w:sz="8" w:space="0"/>
            </w:tcBorders>
            <w:noWrap w:val="0"/>
            <w:vAlign w:val="center"/>
          </w:tcPr>
          <w:p>
            <w:pPr>
              <w:rPr>
                <w:color w:val="auto"/>
                <w:highlight w:val="none"/>
              </w:rPr>
            </w:pPr>
            <w:r>
              <w:rPr>
                <w:rFonts w:hint="eastAsia"/>
                <w:color w:val="auto"/>
                <w:highlight w:val="none"/>
              </w:rPr>
              <w:t>名称，几何信息（如长、直径、面积），定位（轴线，标高）、计算尺寸（如长、直径、面积），材料力学性能（如材料型号、等级），结构分析信息，工程量，关联构件）</w:t>
            </w:r>
          </w:p>
        </w:tc>
      </w:tr>
      <w:tr>
        <w:tblPrEx>
          <w:tblCellMar>
            <w:top w:w="0" w:type="dxa"/>
            <w:left w:w="108" w:type="dxa"/>
            <w:bottom w:w="0" w:type="dxa"/>
            <w:right w:w="108" w:type="dxa"/>
          </w:tblCellMar>
        </w:tblPrEx>
        <w:trPr>
          <w:trHeight w:val="567" w:hRule="atLeast"/>
        </w:trPr>
        <w:tc>
          <w:tcPr>
            <w:tcW w:w="1050" w:type="dxa"/>
            <w:vMerge w:val="restart"/>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暖通专业</w:t>
            </w:r>
          </w:p>
        </w:tc>
        <w:tc>
          <w:tcPr>
            <w:tcW w:w="2524" w:type="dxa"/>
            <w:gridSpan w:val="2"/>
            <w:tcBorders>
              <w:top w:val="single" w:color="auto" w:sz="4" w:space="0"/>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引用的基础模型元素</w:t>
            </w:r>
          </w:p>
        </w:tc>
        <w:tc>
          <w:tcPr>
            <w:tcW w:w="5713" w:type="dxa"/>
            <w:tcBorders>
              <w:top w:val="single" w:color="auto" w:sz="4" w:space="0"/>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基础模型元素的索引信息（包括墙、板、建筑空间、楼层、场地、属性定义、属性集等）</w:t>
            </w:r>
          </w:p>
        </w:tc>
      </w:tr>
      <w:tr>
        <w:tblPrEx>
          <w:tblCellMar>
            <w:top w:w="0" w:type="dxa"/>
            <w:left w:w="108" w:type="dxa"/>
            <w:bottom w:w="0" w:type="dxa"/>
            <w:right w:w="108" w:type="dxa"/>
          </w:tblCellMar>
        </w:tblPrEx>
        <w:trPr>
          <w:trHeight w:val="567" w:hRule="atLeast"/>
        </w:trPr>
        <w:tc>
          <w:tcPr>
            <w:tcW w:w="1050" w:type="dxa"/>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restart"/>
            <w:tcBorders>
              <w:top w:val="nil"/>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空调设备</w:t>
            </w: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锅炉、火炉</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名称，几何信息（主要指尺寸大小），定位（轴线，标高），工程量（如体积、重量），类型（如型号、用途、输入电压、功率）</w:t>
            </w:r>
          </w:p>
        </w:tc>
      </w:tr>
      <w:tr>
        <w:tblPrEx>
          <w:tblCellMar>
            <w:top w:w="0" w:type="dxa"/>
            <w:left w:w="108" w:type="dxa"/>
            <w:bottom w:w="0" w:type="dxa"/>
            <w:right w:w="108" w:type="dxa"/>
          </w:tblCellMar>
        </w:tblPrEx>
        <w:trPr>
          <w:trHeight w:val="567" w:hRule="atLeast"/>
        </w:trPr>
        <w:tc>
          <w:tcPr>
            <w:tcW w:w="1050" w:type="dxa"/>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制冷设备（如冷水机、凉水塔、蒸发式冷气机等）</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名称，几何信息（主要指尺寸大小），定位（轴线，标高），工程量（如体积、重量），类型信息（如型号、输入电压、功率、制冷范围）</w:t>
            </w:r>
          </w:p>
        </w:tc>
      </w:tr>
      <w:tr>
        <w:tblPrEx>
          <w:tblCellMar>
            <w:top w:w="0" w:type="dxa"/>
            <w:left w:w="108" w:type="dxa"/>
            <w:bottom w:w="0" w:type="dxa"/>
            <w:right w:w="108" w:type="dxa"/>
          </w:tblCellMar>
        </w:tblPrEx>
        <w:trPr>
          <w:trHeight w:val="567" w:hRule="atLeast"/>
        </w:trPr>
        <w:tc>
          <w:tcPr>
            <w:tcW w:w="1050" w:type="dxa"/>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湿度调节器</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名称，几何信息（主要指尺寸大小），定位（轴线，标高），工程量（如体积、重量），类型信息（如型号、调节范围）</w:t>
            </w:r>
          </w:p>
        </w:tc>
      </w:tr>
      <w:tr>
        <w:tblPrEx>
          <w:tblCellMar>
            <w:top w:w="0" w:type="dxa"/>
            <w:left w:w="108" w:type="dxa"/>
            <w:bottom w:w="0" w:type="dxa"/>
            <w:right w:w="108" w:type="dxa"/>
          </w:tblCellMar>
        </w:tblPrEx>
        <w:trPr>
          <w:trHeight w:val="567" w:hRule="atLeast"/>
        </w:trPr>
        <w:tc>
          <w:tcPr>
            <w:tcW w:w="1050" w:type="dxa"/>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restart"/>
            <w:tcBorders>
              <w:top w:val="nil"/>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通风设备</w:t>
            </w: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空气压缩机</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名称，几何信息（主要指尺寸大小），定位（轴线，标高），工程量（如体积、重量），类型信息（如型号、用途、输入电压、功率）</w:t>
            </w:r>
          </w:p>
        </w:tc>
      </w:tr>
      <w:tr>
        <w:tblPrEx>
          <w:tblCellMar>
            <w:top w:w="0" w:type="dxa"/>
            <w:left w:w="108" w:type="dxa"/>
            <w:bottom w:w="0" w:type="dxa"/>
            <w:right w:w="108" w:type="dxa"/>
          </w:tblCellMar>
        </w:tblPrEx>
        <w:trPr>
          <w:trHeight w:val="567" w:hRule="atLeast"/>
        </w:trPr>
        <w:tc>
          <w:tcPr>
            <w:tcW w:w="1050" w:type="dxa"/>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风扇、风机</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名称，几何信息（主要指尺寸大小），定位（轴线，标高），工程量（如体积、重量），类型信息（如型号、用途、输入电压、功率）</w:t>
            </w:r>
          </w:p>
        </w:tc>
      </w:tr>
      <w:tr>
        <w:tblPrEx>
          <w:tblCellMar>
            <w:top w:w="0" w:type="dxa"/>
            <w:left w:w="108" w:type="dxa"/>
            <w:bottom w:w="0" w:type="dxa"/>
            <w:right w:w="108" w:type="dxa"/>
          </w:tblCellMar>
        </w:tblPrEx>
        <w:trPr>
          <w:trHeight w:val="567" w:hRule="atLeast"/>
        </w:trPr>
        <w:tc>
          <w:tcPr>
            <w:tcW w:w="1050" w:type="dxa"/>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102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集水设备</w:t>
            </w: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水箱</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名称，几何信息（主要指尺寸大小），定位（轴线，标高），工程量（如体积、重量），类型信息（如型号、用途）</w:t>
            </w:r>
          </w:p>
        </w:tc>
      </w:tr>
      <w:tr>
        <w:tblPrEx>
          <w:tblCellMar>
            <w:top w:w="0" w:type="dxa"/>
            <w:left w:w="108" w:type="dxa"/>
            <w:bottom w:w="0" w:type="dxa"/>
            <w:right w:w="108" w:type="dxa"/>
          </w:tblCellMar>
        </w:tblPrEx>
        <w:trPr>
          <w:trHeight w:val="567" w:hRule="atLeast"/>
        </w:trPr>
        <w:tc>
          <w:tcPr>
            <w:tcW w:w="1050" w:type="dxa"/>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restart"/>
            <w:tcBorders>
              <w:top w:val="nil"/>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管道</w:t>
            </w: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风管</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几何信息（如截面），定位（如轴线，标高）类型（如排风管、供风管、回风管、新风管、换风管），材料（如材料及内外涂层），工程量（如重量）</w:t>
            </w:r>
          </w:p>
        </w:tc>
      </w:tr>
      <w:tr>
        <w:tblPrEx>
          <w:tblCellMar>
            <w:top w:w="0" w:type="dxa"/>
            <w:left w:w="108" w:type="dxa"/>
            <w:bottom w:w="0" w:type="dxa"/>
            <w:right w:w="108" w:type="dxa"/>
          </w:tblCellMar>
        </w:tblPrEx>
        <w:trPr>
          <w:trHeight w:val="567" w:hRule="atLeast"/>
        </w:trPr>
        <w:tc>
          <w:tcPr>
            <w:tcW w:w="1050" w:type="dxa"/>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冷却水管</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几何信息（如截面），定位（如轴线，标高），类型（如供水管、回水管、排水管），材料（如材料内外涂层），工程量（如重量）</w:t>
            </w:r>
          </w:p>
        </w:tc>
      </w:tr>
      <w:tr>
        <w:tblPrEx>
          <w:tblCellMar>
            <w:top w:w="0" w:type="dxa"/>
            <w:left w:w="108" w:type="dxa"/>
            <w:bottom w:w="0" w:type="dxa"/>
            <w:right w:w="108" w:type="dxa"/>
          </w:tblCellMar>
        </w:tblPrEx>
        <w:trPr>
          <w:trHeight w:val="567" w:hRule="atLeast"/>
        </w:trPr>
        <w:tc>
          <w:tcPr>
            <w:tcW w:w="1050" w:type="dxa"/>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管道支架与托架</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几何信息（如几何实体索引），定位（如轴线，标高），类型（如型钢类型、管夹类型），材料（如材料及内外涂层），工程量（如重量），结构分析信息（如抗拉、抗弯）</w:t>
            </w:r>
          </w:p>
        </w:tc>
      </w:tr>
      <w:tr>
        <w:tblPrEx>
          <w:tblCellMar>
            <w:top w:w="0" w:type="dxa"/>
            <w:left w:w="108" w:type="dxa"/>
            <w:bottom w:w="0" w:type="dxa"/>
            <w:right w:w="108" w:type="dxa"/>
          </w:tblCellMar>
        </w:tblPrEx>
        <w:trPr>
          <w:trHeight w:val="567" w:hRule="atLeast"/>
        </w:trPr>
        <w:tc>
          <w:tcPr>
            <w:tcW w:w="1050" w:type="dxa"/>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管件连接件</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几何信息（如几何实体索引），定位（如轴线，标高），类型（如</w:t>
            </w:r>
            <w:r>
              <w:rPr>
                <w:color w:val="auto"/>
                <w:highlight w:val="none"/>
              </w:rPr>
              <w:t>L</w:t>
            </w:r>
            <w:r>
              <w:rPr>
                <w:rFonts w:hint="eastAsia"/>
                <w:color w:val="auto"/>
                <w:highlight w:val="none"/>
              </w:rPr>
              <w:t>弯头、</w:t>
            </w:r>
            <w:r>
              <w:rPr>
                <w:color w:val="auto"/>
                <w:highlight w:val="none"/>
              </w:rPr>
              <w:t>T</w:t>
            </w:r>
            <w:r>
              <w:rPr>
                <w:rFonts w:hint="eastAsia"/>
                <w:color w:val="auto"/>
                <w:highlight w:val="none"/>
              </w:rPr>
              <w:t>弯头），材料（如材料及内外涂层），工程量信息（如重量），结构分析信息（如抗拉、抗弯）</w:t>
            </w:r>
          </w:p>
        </w:tc>
      </w:tr>
      <w:tr>
        <w:tblPrEx>
          <w:tblCellMar>
            <w:top w:w="0" w:type="dxa"/>
            <w:left w:w="108" w:type="dxa"/>
            <w:bottom w:w="0" w:type="dxa"/>
            <w:right w:w="108" w:type="dxa"/>
          </w:tblCellMar>
        </w:tblPrEx>
        <w:trPr>
          <w:trHeight w:val="567" w:hRule="atLeast"/>
        </w:trPr>
        <w:tc>
          <w:tcPr>
            <w:tcW w:w="1050" w:type="dxa"/>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102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过滤设备</w:t>
            </w: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空气过滤器、通风调节器、扩散器</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名称，几何信息（主要指尺寸大小），定位（轴线，标高），工程量（如体积、重量），类型（如型号、调节范围）</w:t>
            </w:r>
          </w:p>
        </w:tc>
      </w:tr>
      <w:tr>
        <w:tblPrEx>
          <w:tblCellMar>
            <w:top w:w="0" w:type="dxa"/>
            <w:left w:w="108" w:type="dxa"/>
            <w:bottom w:w="0" w:type="dxa"/>
            <w:right w:w="108" w:type="dxa"/>
          </w:tblCellMar>
        </w:tblPrEx>
        <w:trPr>
          <w:trHeight w:val="567" w:hRule="atLeast"/>
        </w:trPr>
        <w:tc>
          <w:tcPr>
            <w:tcW w:w="1050" w:type="dxa"/>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102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分布控制设备</w:t>
            </w: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二氧化碳传感器、一氧化碳传感器</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几何信息（主要指尺寸大小），定位（轴线，标高），工程量（如体积、重量），类型信息（如型号、敏感度）</w:t>
            </w:r>
          </w:p>
        </w:tc>
      </w:tr>
      <w:tr>
        <w:tblPrEx>
          <w:tblCellMar>
            <w:top w:w="0" w:type="dxa"/>
            <w:left w:w="108" w:type="dxa"/>
            <w:bottom w:w="0" w:type="dxa"/>
            <w:right w:w="108" w:type="dxa"/>
          </w:tblCellMar>
        </w:tblPrEx>
        <w:trPr>
          <w:trHeight w:val="567" w:hRule="atLeast"/>
        </w:trPr>
        <w:tc>
          <w:tcPr>
            <w:tcW w:w="1050" w:type="dxa"/>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restart"/>
            <w:tcBorders>
              <w:top w:val="nil"/>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其它部件</w:t>
            </w: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减震器、隔震器、</w:t>
            </w:r>
          </w:p>
        </w:tc>
        <w:tc>
          <w:tcPr>
            <w:tcW w:w="5713" w:type="dxa"/>
            <w:vMerge w:val="restart"/>
            <w:tcBorders>
              <w:top w:val="nil"/>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几何信息（主要指尺寸大小），定位（轴线，标高），工程量（如体积、重量），类型信息（如型号、隔震能力）</w:t>
            </w:r>
          </w:p>
        </w:tc>
      </w:tr>
      <w:tr>
        <w:tblPrEx>
          <w:tblCellMar>
            <w:top w:w="0" w:type="dxa"/>
            <w:left w:w="108" w:type="dxa"/>
            <w:bottom w:w="0" w:type="dxa"/>
            <w:right w:w="108" w:type="dxa"/>
          </w:tblCellMar>
        </w:tblPrEx>
        <w:trPr>
          <w:trHeight w:val="567" w:hRule="atLeast"/>
        </w:trPr>
        <w:tc>
          <w:tcPr>
            <w:tcW w:w="1050" w:type="dxa"/>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阻尼器</w:t>
            </w:r>
          </w:p>
        </w:tc>
        <w:tc>
          <w:tcPr>
            <w:tcW w:w="5713"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r>
      <w:tr>
        <w:tblPrEx>
          <w:tblCellMar>
            <w:top w:w="0" w:type="dxa"/>
            <w:left w:w="108" w:type="dxa"/>
            <w:bottom w:w="0" w:type="dxa"/>
            <w:right w:w="108" w:type="dxa"/>
          </w:tblCellMar>
        </w:tblPrEx>
        <w:trPr>
          <w:trHeight w:val="567" w:hRule="atLeast"/>
        </w:trPr>
        <w:tc>
          <w:tcPr>
            <w:tcW w:w="1050" w:type="dxa"/>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几管消音装置</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几何信息（主要指尺寸大小），定位（轴线、标高），工程量（如体积、重量），类型信息</w:t>
            </w:r>
          </w:p>
        </w:tc>
      </w:tr>
      <w:tr>
        <w:tblPrEx>
          <w:tblCellMar>
            <w:top w:w="0" w:type="dxa"/>
            <w:left w:w="108" w:type="dxa"/>
            <w:bottom w:w="0" w:type="dxa"/>
            <w:right w:w="108" w:type="dxa"/>
          </w:tblCellMar>
        </w:tblPrEx>
        <w:trPr>
          <w:trHeight w:val="567" w:hRule="atLeast"/>
        </w:trPr>
        <w:tc>
          <w:tcPr>
            <w:tcW w:w="1050" w:type="dxa"/>
            <w:vMerge w:val="restart"/>
            <w:tcBorders>
              <w:top w:val="nil"/>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给排水专业</w:t>
            </w:r>
          </w:p>
        </w:tc>
        <w:tc>
          <w:tcPr>
            <w:tcW w:w="1027" w:type="dxa"/>
            <w:vMerge w:val="restart"/>
            <w:tcBorders>
              <w:top w:val="single" w:color="auto" w:sz="4" w:space="0"/>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管道</w:t>
            </w:r>
          </w:p>
        </w:tc>
        <w:tc>
          <w:tcPr>
            <w:tcW w:w="1497" w:type="dxa"/>
            <w:tcBorders>
              <w:top w:val="single" w:color="auto" w:sz="4" w:space="0"/>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供水系统管道</w:t>
            </w:r>
          </w:p>
        </w:tc>
        <w:tc>
          <w:tcPr>
            <w:tcW w:w="5713" w:type="dxa"/>
            <w:vMerge w:val="restart"/>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几何信息（如截面），定位（如轴线，标高），类型（如型号），材料（如材料及内外涂层），工程量信息（如重量）</w:t>
            </w:r>
          </w:p>
        </w:tc>
      </w:tr>
      <w:tr>
        <w:tblPrEx>
          <w:tblCellMar>
            <w:top w:w="0" w:type="dxa"/>
            <w:left w:w="108" w:type="dxa"/>
            <w:bottom w:w="0" w:type="dxa"/>
            <w:right w:w="108" w:type="dxa"/>
          </w:tblCellMar>
        </w:tblPrEx>
        <w:trPr>
          <w:trHeight w:val="567" w:hRule="atLeast"/>
        </w:trPr>
        <w:tc>
          <w:tcPr>
            <w:tcW w:w="1050"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continue"/>
            <w:tcBorders>
              <w:top w:val="single" w:color="auto" w:sz="4" w:space="0"/>
              <w:left w:val="nil"/>
              <w:bottom w:val="single" w:color="auto" w:sz="4" w:space="0"/>
              <w:right w:val="single" w:color="auto" w:sz="4" w:space="0"/>
            </w:tcBorders>
            <w:noWrap w:val="0"/>
            <w:vAlign w:val="center"/>
          </w:tcPr>
          <w:p>
            <w:pPr>
              <w:rPr>
                <w:color w:val="auto"/>
                <w:highlight w:val="none"/>
              </w:rPr>
            </w:pPr>
          </w:p>
        </w:tc>
        <w:tc>
          <w:tcPr>
            <w:tcW w:w="1497" w:type="dxa"/>
            <w:tcBorders>
              <w:top w:val="single" w:color="auto" w:sz="4" w:space="0"/>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排水系统管道</w:t>
            </w:r>
          </w:p>
        </w:tc>
        <w:tc>
          <w:tcPr>
            <w:tcW w:w="5713" w:type="dxa"/>
            <w:vMerge w:val="continue"/>
            <w:tcBorders>
              <w:top w:val="nil"/>
              <w:left w:val="nil"/>
              <w:bottom w:val="single" w:color="auto" w:sz="4" w:space="0"/>
              <w:right w:val="single" w:color="auto" w:sz="4" w:space="0"/>
            </w:tcBorders>
            <w:noWrap w:val="0"/>
            <w:vAlign w:val="center"/>
          </w:tcPr>
          <w:p>
            <w:pPr>
              <w:rPr>
                <w:color w:val="auto"/>
                <w:highlight w:val="none"/>
              </w:rPr>
            </w:pPr>
          </w:p>
        </w:tc>
      </w:tr>
      <w:tr>
        <w:tblPrEx>
          <w:tblCellMar>
            <w:top w:w="0" w:type="dxa"/>
            <w:left w:w="108" w:type="dxa"/>
            <w:bottom w:w="0" w:type="dxa"/>
            <w:right w:w="108" w:type="dxa"/>
          </w:tblCellMar>
        </w:tblPrEx>
        <w:trPr>
          <w:trHeight w:val="567" w:hRule="atLeast"/>
        </w:trPr>
        <w:tc>
          <w:tcPr>
            <w:tcW w:w="1050"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continue"/>
            <w:tcBorders>
              <w:top w:val="single" w:color="auto" w:sz="4" w:space="0"/>
              <w:left w:val="nil"/>
              <w:bottom w:val="single" w:color="auto" w:sz="4" w:space="0"/>
              <w:right w:val="single" w:color="auto" w:sz="4" w:space="0"/>
            </w:tcBorders>
            <w:noWrap w:val="0"/>
            <w:vAlign w:val="center"/>
          </w:tcPr>
          <w:p>
            <w:pPr>
              <w:rPr>
                <w:color w:val="auto"/>
                <w:highlight w:val="none"/>
              </w:rPr>
            </w:pPr>
          </w:p>
        </w:tc>
        <w:tc>
          <w:tcPr>
            <w:tcW w:w="1497" w:type="dxa"/>
            <w:tcBorders>
              <w:top w:val="single" w:color="auto" w:sz="4" w:space="0"/>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管道支架与托架</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几何信息（如几何实体索引），定位（如轴线，标高），类型（如型钢类型、管夹类型），材料（如材料及内外涂层）</w:t>
            </w:r>
          </w:p>
        </w:tc>
      </w:tr>
      <w:tr>
        <w:tblPrEx>
          <w:tblCellMar>
            <w:top w:w="0" w:type="dxa"/>
            <w:left w:w="108" w:type="dxa"/>
            <w:bottom w:w="0" w:type="dxa"/>
            <w:right w:w="108" w:type="dxa"/>
          </w:tblCellMar>
        </w:tblPrEx>
        <w:trPr>
          <w:trHeight w:val="567" w:hRule="atLeast"/>
        </w:trPr>
        <w:tc>
          <w:tcPr>
            <w:tcW w:w="1050"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continue"/>
            <w:tcBorders>
              <w:top w:val="single" w:color="auto" w:sz="4" w:space="0"/>
              <w:left w:val="nil"/>
              <w:bottom w:val="single" w:color="auto" w:sz="4" w:space="0"/>
              <w:right w:val="single" w:color="auto" w:sz="4" w:space="0"/>
            </w:tcBorders>
            <w:noWrap w:val="0"/>
            <w:vAlign w:val="center"/>
          </w:tcPr>
          <w:p>
            <w:pPr>
              <w:rPr>
                <w:color w:val="auto"/>
                <w:highlight w:val="none"/>
              </w:rPr>
            </w:pP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管件（连接件）</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几何信息（如几何实体索引），定位（如轴线，标高），类型（如</w:t>
            </w:r>
            <w:r>
              <w:rPr>
                <w:color w:val="auto"/>
                <w:highlight w:val="none"/>
              </w:rPr>
              <w:t>L</w:t>
            </w:r>
            <w:r>
              <w:rPr>
                <w:rFonts w:hint="eastAsia"/>
                <w:color w:val="auto"/>
                <w:highlight w:val="none"/>
              </w:rPr>
              <w:t>弯头、</w:t>
            </w:r>
            <w:r>
              <w:rPr>
                <w:color w:val="auto"/>
                <w:highlight w:val="none"/>
              </w:rPr>
              <w:t>T</w:t>
            </w:r>
            <w:r>
              <w:rPr>
                <w:rFonts w:hint="eastAsia"/>
                <w:color w:val="auto"/>
                <w:highlight w:val="none"/>
              </w:rPr>
              <w:t>弯头），材料（如材料及内外涂层）</w:t>
            </w:r>
          </w:p>
        </w:tc>
      </w:tr>
      <w:tr>
        <w:tblPrEx>
          <w:tblCellMar>
            <w:top w:w="0" w:type="dxa"/>
            <w:left w:w="108" w:type="dxa"/>
            <w:bottom w:w="0" w:type="dxa"/>
            <w:right w:w="108" w:type="dxa"/>
          </w:tblCellMar>
        </w:tblPrEx>
        <w:trPr>
          <w:trHeight w:val="567" w:hRule="atLeast"/>
        </w:trPr>
        <w:tc>
          <w:tcPr>
            <w:tcW w:w="1050"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02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泵送设备</w:t>
            </w: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泵</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名称，几何信息（主要指尺寸大小），定位（轴线，标高），工程量（如体积、重量），类型信息（如型号、用途、输入电压、功率）</w:t>
            </w:r>
          </w:p>
        </w:tc>
      </w:tr>
      <w:tr>
        <w:tblPrEx>
          <w:tblCellMar>
            <w:top w:w="0" w:type="dxa"/>
            <w:left w:w="108" w:type="dxa"/>
            <w:bottom w:w="0" w:type="dxa"/>
            <w:right w:w="108" w:type="dxa"/>
          </w:tblCellMar>
        </w:tblPrEx>
        <w:trPr>
          <w:trHeight w:val="567" w:hRule="atLeast"/>
        </w:trPr>
        <w:tc>
          <w:tcPr>
            <w:tcW w:w="1050"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02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控制设备</w:t>
            </w: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分布控制板和分布控制传感器</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几何信息（主要指尺寸大小），定位（轴线，标高），工程量（如体积、重量），类型信息（如型号、敏感度）</w:t>
            </w:r>
          </w:p>
        </w:tc>
      </w:tr>
      <w:tr>
        <w:tblPrEx>
          <w:tblCellMar>
            <w:top w:w="0" w:type="dxa"/>
            <w:left w:w="108" w:type="dxa"/>
            <w:bottom w:w="0" w:type="dxa"/>
            <w:right w:w="108" w:type="dxa"/>
          </w:tblCellMar>
        </w:tblPrEx>
        <w:trPr>
          <w:trHeight w:val="567" w:hRule="atLeast"/>
        </w:trPr>
        <w:tc>
          <w:tcPr>
            <w:tcW w:w="1050"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02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集水设备</w:t>
            </w: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储水装置、压力容器</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几何信息（主要指尺寸大小），定位（轴线，标高），工程量（如体积、重量），类型（如型号、用途）</w:t>
            </w:r>
          </w:p>
        </w:tc>
      </w:tr>
      <w:tr>
        <w:tblPrEx>
          <w:tblCellMar>
            <w:top w:w="0" w:type="dxa"/>
            <w:left w:w="108" w:type="dxa"/>
            <w:bottom w:w="0" w:type="dxa"/>
            <w:right w:w="108" w:type="dxa"/>
          </w:tblCellMar>
        </w:tblPrEx>
        <w:trPr>
          <w:trHeight w:val="567" w:hRule="atLeast"/>
        </w:trPr>
        <w:tc>
          <w:tcPr>
            <w:tcW w:w="1050"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restart"/>
            <w:tcBorders>
              <w:top w:val="nil"/>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水处理设备</w:t>
            </w: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截油池、截砂池</w:t>
            </w:r>
          </w:p>
        </w:tc>
        <w:tc>
          <w:tcPr>
            <w:tcW w:w="5713" w:type="dxa"/>
            <w:vMerge w:val="restart"/>
            <w:tcBorders>
              <w:top w:val="nil"/>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几何信息（主要指尺寸大小），定位（轴线，标高），工程量（如体积、重量），类型信息（如型号、调节范围）</w:t>
            </w:r>
          </w:p>
        </w:tc>
      </w:tr>
      <w:tr>
        <w:tblPrEx>
          <w:tblCellMar>
            <w:top w:w="0" w:type="dxa"/>
            <w:left w:w="108" w:type="dxa"/>
            <w:bottom w:w="0" w:type="dxa"/>
            <w:right w:w="108" w:type="dxa"/>
          </w:tblCellMar>
        </w:tblPrEx>
        <w:trPr>
          <w:trHeight w:val="567" w:hRule="atLeast"/>
        </w:trPr>
        <w:tc>
          <w:tcPr>
            <w:tcW w:w="1050"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集水和污水池</w:t>
            </w:r>
          </w:p>
        </w:tc>
        <w:tc>
          <w:tcPr>
            <w:tcW w:w="5713"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r>
      <w:tr>
        <w:tblPrEx>
          <w:tblCellMar>
            <w:top w:w="0" w:type="dxa"/>
            <w:left w:w="108" w:type="dxa"/>
            <w:bottom w:w="0" w:type="dxa"/>
            <w:right w:w="108" w:type="dxa"/>
          </w:tblCellMar>
        </w:tblPrEx>
        <w:trPr>
          <w:trHeight w:val="567" w:hRule="atLeast"/>
        </w:trPr>
        <w:tc>
          <w:tcPr>
            <w:tcW w:w="1050" w:type="dxa"/>
            <w:vMerge w:val="restart"/>
            <w:tcBorders>
              <w:top w:val="nil"/>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电气专业</w:t>
            </w:r>
          </w:p>
        </w:tc>
        <w:tc>
          <w:tcPr>
            <w:tcW w:w="2524" w:type="dxa"/>
            <w:gridSpan w:val="2"/>
            <w:tcBorders>
              <w:top w:val="single" w:color="auto" w:sz="4" w:space="0"/>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引用的基础模型元素</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基础模型元素的索引信息（包括墙、板、建筑空间、楼层、场地、属性定义、属性集等）</w:t>
            </w:r>
          </w:p>
        </w:tc>
      </w:tr>
      <w:tr>
        <w:tblPrEx>
          <w:tblCellMar>
            <w:top w:w="0" w:type="dxa"/>
            <w:left w:w="108" w:type="dxa"/>
            <w:bottom w:w="0" w:type="dxa"/>
            <w:right w:w="108" w:type="dxa"/>
          </w:tblCellMar>
        </w:tblPrEx>
        <w:trPr>
          <w:trHeight w:val="567" w:hRule="atLeast"/>
        </w:trPr>
        <w:tc>
          <w:tcPr>
            <w:tcW w:w="1050"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restart"/>
            <w:tcBorders>
              <w:top w:val="nil"/>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管线</w:t>
            </w: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电缆接线盒</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几何信息（主要指尺寸大小），定位（轴线，标高），工程量（如体积、重量），类型信息（如型号、接头数量）</w:t>
            </w:r>
          </w:p>
        </w:tc>
      </w:tr>
      <w:tr>
        <w:tblPrEx>
          <w:tblCellMar>
            <w:top w:w="0" w:type="dxa"/>
            <w:left w:w="108" w:type="dxa"/>
            <w:bottom w:w="0" w:type="dxa"/>
            <w:right w:w="108" w:type="dxa"/>
          </w:tblCellMar>
        </w:tblPrEx>
        <w:trPr>
          <w:trHeight w:val="567" w:hRule="atLeast"/>
        </w:trPr>
        <w:tc>
          <w:tcPr>
            <w:tcW w:w="1050"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电缆</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几何信息（如截面），定位（如轴线，标高），类型（如型号，功率，电流与电压限值），材料，工程量信息（如重量）</w:t>
            </w:r>
          </w:p>
        </w:tc>
      </w:tr>
      <w:tr>
        <w:tblPrEx>
          <w:tblCellMar>
            <w:top w:w="0" w:type="dxa"/>
            <w:left w:w="108" w:type="dxa"/>
            <w:bottom w:w="0" w:type="dxa"/>
            <w:right w:w="108" w:type="dxa"/>
          </w:tblCellMar>
        </w:tblPrEx>
        <w:trPr>
          <w:trHeight w:val="567" w:hRule="atLeast"/>
        </w:trPr>
        <w:tc>
          <w:tcPr>
            <w:tcW w:w="1050"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管道支架与托架</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几何信息（如几何实体索引），定位（如轴线，标高），类型（如型钢类型、管夹类型），材料</w:t>
            </w:r>
          </w:p>
        </w:tc>
      </w:tr>
      <w:tr>
        <w:tblPrEx>
          <w:tblCellMar>
            <w:top w:w="0" w:type="dxa"/>
            <w:left w:w="108" w:type="dxa"/>
            <w:bottom w:w="0" w:type="dxa"/>
            <w:right w:w="108" w:type="dxa"/>
          </w:tblCellMar>
        </w:tblPrEx>
        <w:trPr>
          <w:trHeight w:val="567" w:hRule="atLeast"/>
        </w:trPr>
        <w:tc>
          <w:tcPr>
            <w:tcW w:w="1050"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管件</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几何信息（如几何实体索引），定位（如轴线，标高），类型（如</w:t>
            </w:r>
            <w:r>
              <w:rPr>
                <w:color w:val="auto"/>
                <w:highlight w:val="none"/>
              </w:rPr>
              <w:t>L</w:t>
            </w:r>
            <w:r>
              <w:rPr>
                <w:rFonts w:hint="eastAsia"/>
                <w:color w:val="auto"/>
                <w:highlight w:val="none"/>
              </w:rPr>
              <w:t>弯头、</w:t>
            </w:r>
            <w:r>
              <w:rPr>
                <w:color w:val="auto"/>
                <w:highlight w:val="none"/>
              </w:rPr>
              <w:t>T</w:t>
            </w:r>
            <w:r>
              <w:rPr>
                <w:rFonts w:hint="eastAsia"/>
                <w:color w:val="auto"/>
                <w:highlight w:val="none"/>
              </w:rPr>
              <w:t>弯头），材料信息（如材料及内外涂层）</w:t>
            </w:r>
          </w:p>
        </w:tc>
      </w:tr>
      <w:tr>
        <w:tblPrEx>
          <w:tblCellMar>
            <w:top w:w="0" w:type="dxa"/>
            <w:left w:w="108" w:type="dxa"/>
            <w:bottom w:w="0" w:type="dxa"/>
            <w:right w:w="108" w:type="dxa"/>
          </w:tblCellMar>
        </w:tblPrEx>
        <w:trPr>
          <w:trHeight w:val="567" w:hRule="atLeast"/>
        </w:trPr>
        <w:tc>
          <w:tcPr>
            <w:tcW w:w="1050"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配电板</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几何信息（主要指尺寸大小），定位（轴线，标高），工程量（如体积、重量），类型信息（如型号）</w:t>
            </w:r>
          </w:p>
        </w:tc>
      </w:tr>
      <w:tr>
        <w:tblPrEx>
          <w:tblCellMar>
            <w:top w:w="0" w:type="dxa"/>
            <w:left w:w="108" w:type="dxa"/>
            <w:bottom w:w="0" w:type="dxa"/>
            <w:right w:w="108" w:type="dxa"/>
          </w:tblCellMar>
        </w:tblPrEx>
        <w:trPr>
          <w:trHeight w:val="567" w:hRule="atLeast"/>
        </w:trPr>
        <w:tc>
          <w:tcPr>
            <w:tcW w:w="1050"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安全装置</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几何信息（主要指尺寸大小），定位（轴线，标高），工程量（如体积、重量），类型（如型号，跳闸限值）</w:t>
            </w:r>
          </w:p>
        </w:tc>
      </w:tr>
      <w:tr>
        <w:tblPrEx>
          <w:tblCellMar>
            <w:top w:w="0" w:type="dxa"/>
            <w:left w:w="108" w:type="dxa"/>
            <w:bottom w:w="0" w:type="dxa"/>
            <w:right w:w="108" w:type="dxa"/>
          </w:tblCellMar>
        </w:tblPrEx>
        <w:trPr>
          <w:trHeight w:val="567" w:hRule="atLeast"/>
        </w:trPr>
        <w:tc>
          <w:tcPr>
            <w:tcW w:w="1050"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restart"/>
            <w:tcBorders>
              <w:top w:val="nil"/>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储电设备</w:t>
            </w: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储电器</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名称，几何信息（主要指尺寸大小），定位（轴线，标高），工程量（如体积、重量），类型信息（如型号、容易）</w:t>
            </w:r>
          </w:p>
        </w:tc>
      </w:tr>
      <w:tr>
        <w:tblPrEx>
          <w:tblCellMar>
            <w:top w:w="0" w:type="dxa"/>
            <w:left w:w="108" w:type="dxa"/>
            <w:bottom w:w="0" w:type="dxa"/>
            <w:right w:w="108" w:type="dxa"/>
          </w:tblCellMar>
        </w:tblPrEx>
        <w:trPr>
          <w:trHeight w:val="567" w:hRule="atLeast"/>
        </w:trPr>
        <w:tc>
          <w:tcPr>
            <w:tcW w:w="1050"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发电机</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名称，几何信息（主要指尺寸大小），定位（轴线，标高），工程量（如体积、重量），类型（如型号、用途、输入功率、输出功率、额定电压）</w:t>
            </w:r>
          </w:p>
        </w:tc>
      </w:tr>
      <w:tr>
        <w:tblPrEx>
          <w:tblCellMar>
            <w:top w:w="0" w:type="dxa"/>
            <w:left w:w="108" w:type="dxa"/>
            <w:bottom w:w="0" w:type="dxa"/>
            <w:right w:w="108" w:type="dxa"/>
          </w:tblCellMar>
        </w:tblPrEx>
        <w:trPr>
          <w:trHeight w:val="567" w:hRule="atLeast"/>
        </w:trPr>
        <w:tc>
          <w:tcPr>
            <w:tcW w:w="1050"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电动机</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名称，几何信息（主要指尺寸大小），定位（轴线，标高），工程量（如体积、重量），类型（如型号、用途、输入电压、功率）</w:t>
            </w:r>
          </w:p>
        </w:tc>
      </w:tr>
      <w:tr>
        <w:tblPrEx>
          <w:tblCellMar>
            <w:top w:w="0" w:type="dxa"/>
            <w:left w:w="108" w:type="dxa"/>
            <w:bottom w:w="0" w:type="dxa"/>
            <w:right w:w="108" w:type="dxa"/>
          </w:tblCellMar>
        </w:tblPrEx>
        <w:trPr>
          <w:trHeight w:val="567" w:hRule="atLeast"/>
        </w:trPr>
        <w:tc>
          <w:tcPr>
            <w:tcW w:w="1050"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电机连接</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几何信息（主要指尺寸大小），定位（轴线，标高），工程量（如体积、重量），类型信息（如型号、连接方式）</w:t>
            </w:r>
          </w:p>
        </w:tc>
      </w:tr>
      <w:tr>
        <w:tblPrEx>
          <w:tblCellMar>
            <w:top w:w="0" w:type="dxa"/>
            <w:left w:w="108" w:type="dxa"/>
            <w:bottom w:w="0" w:type="dxa"/>
            <w:right w:w="108" w:type="dxa"/>
          </w:tblCellMar>
        </w:tblPrEx>
        <w:trPr>
          <w:trHeight w:val="567" w:hRule="atLeast"/>
        </w:trPr>
        <w:tc>
          <w:tcPr>
            <w:tcW w:w="1050"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太阳能设备</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名称，几何信息（主要指尺寸大小），定位（轴线，标高），工程量（如面积、重量），类型（如型号、功率）</w:t>
            </w:r>
          </w:p>
        </w:tc>
      </w:tr>
      <w:tr>
        <w:tblPrEx>
          <w:tblCellMar>
            <w:top w:w="0" w:type="dxa"/>
            <w:left w:w="108" w:type="dxa"/>
            <w:bottom w:w="0" w:type="dxa"/>
            <w:right w:w="108" w:type="dxa"/>
          </w:tblCellMar>
        </w:tblPrEx>
        <w:trPr>
          <w:trHeight w:val="567" w:hRule="atLeast"/>
        </w:trPr>
        <w:tc>
          <w:tcPr>
            <w:tcW w:w="1050"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变压器</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名称，几何信息（主要指尺寸大小），定位（轴线，标高），类型（如型号、用途、输入电压、输出电压）</w:t>
            </w:r>
          </w:p>
        </w:tc>
      </w:tr>
      <w:tr>
        <w:tblPrEx>
          <w:tblCellMar>
            <w:top w:w="0" w:type="dxa"/>
            <w:left w:w="108" w:type="dxa"/>
            <w:bottom w:w="0" w:type="dxa"/>
            <w:right w:w="108" w:type="dxa"/>
          </w:tblCellMar>
        </w:tblPrEx>
        <w:trPr>
          <w:trHeight w:val="567" w:hRule="atLeast"/>
        </w:trPr>
        <w:tc>
          <w:tcPr>
            <w:tcW w:w="1050"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restart"/>
            <w:tcBorders>
              <w:top w:val="nil"/>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终端</w:t>
            </w: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视听电器</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几何信息（主要指尺寸大小），定位（轴线，标高），类型（如型号、功率）</w:t>
            </w:r>
          </w:p>
        </w:tc>
      </w:tr>
      <w:tr>
        <w:tblPrEx>
          <w:tblCellMar>
            <w:top w:w="0" w:type="dxa"/>
            <w:left w:w="108" w:type="dxa"/>
            <w:bottom w:w="0" w:type="dxa"/>
            <w:right w:w="108" w:type="dxa"/>
          </w:tblCellMar>
        </w:tblPrEx>
        <w:trPr>
          <w:trHeight w:val="567" w:hRule="atLeast"/>
        </w:trPr>
        <w:tc>
          <w:tcPr>
            <w:tcW w:w="1050"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灯</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几何信息（主要指尺寸大小），定位（轴线，标高），类型（如型号、功率）</w:t>
            </w:r>
          </w:p>
        </w:tc>
      </w:tr>
      <w:tr>
        <w:tblPrEx>
          <w:tblCellMar>
            <w:top w:w="0" w:type="dxa"/>
            <w:left w:w="108" w:type="dxa"/>
            <w:bottom w:w="0" w:type="dxa"/>
            <w:right w:w="108" w:type="dxa"/>
          </w:tblCellMar>
        </w:tblPrEx>
        <w:trPr>
          <w:trHeight w:val="567" w:hRule="atLeast"/>
        </w:trPr>
        <w:tc>
          <w:tcPr>
            <w:tcW w:w="1050"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灯具</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几何信息（主要指尺寸大小），定位（轴线，标高），类型（如型号）</w:t>
            </w:r>
          </w:p>
        </w:tc>
      </w:tr>
      <w:tr>
        <w:tblPrEx>
          <w:tblCellMar>
            <w:top w:w="0" w:type="dxa"/>
            <w:left w:w="108" w:type="dxa"/>
            <w:bottom w:w="0" w:type="dxa"/>
            <w:right w:w="108" w:type="dxa"/>
          </w:tblCellMar>
        </w:tblPrEx>
        <w:trPr>
          <w:trHeight w:val="567" w:hRule="atLeast"/>
        </w:trPr>
        <w:tc>
          <w:tcPr>
            <w:tcW w:w="1050"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电源插座</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几何信息（主要指尺寸大小），定位（轴线，标高），类型（如型号、插座形式、插头数量）</w:t>
            </w:r>
          </w:p>
        </w:tc>
      </w:tr>
      <w:tr>
        <w:tblPrEx>
          <w:tblCellMar>
            <w:top w:w="0" w:type="dxa"/>
            <w:left w:w="108" w:type="dxa"/>
            <w:bottom w:w="0" w:type="dxa"/>
            <w:right w:w="108" w:type="dxa"/>
          </w:tblCellMar>
        </w:tblPrEx>
        <w:trPr>
          <w:trHeight w:val="567" w:hRule="atLeast"/>
        </w:trPr>
        <w:tc>
          <w:tcPr>
            <w:tcW w:w="1050"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497"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普通开关</w:t>
            </w:r>
          </w:p>
        </w:tc>
        <w:tc>
          <w:tcPr>
            <w:tcW w:w="5713" w:type="dxa"/>
            <w:tcBorders>
              <w:top w:val="nil"/>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几何信息（主要指尺寸大小），定位（轴线，标高），类型（如型号）</w:t>
            </w:r>
          </w:p>
        </w:tc>
      </w:tr>
      <w:tr>
        <w:tblPrEx>
          <w:tblCellMar>
            <w:top w:w="0" w:type="dxa"/>
            <w:left w:w="108" w:type="dxa"/>
            <w:bottom w:w="0" w:type="dxa"/>
            <w:right w:w="108" w:type="dxa"/>
          </w:tblCellMar>
        </w:tblPrEx>
        <w:trPr>
          <w:trHeight w:val="567" w:hRule="atLeast"/>
        </w:trPr>
        <w:tc>
          <w:tcPr>
            <w:tcW w:w="1050"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497" w:type="dxa"/>
            <w:tcBorders>
              <w:top w:val="single" w:color="auto" w:sz="4" w:space="0"/>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监控摄像头</w:t>
            </w:r>
          </w:p>
        </w:tc>
        <w:tc>
          <w:tcPr>
            <w:tcW w:w="5713" w:type="dxa"/>
            <w:tcBorders>
              <w:top w:val="single" w:color="auto" w:sz="4" w:space="0"/>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几何信息（主要指尺寸大小），定位（轴线，标高），类型（如型号、功率）</w:t>
            </w:r>
          </w:p>
        </w:tc>
      </w:tr>
      <w:tr>
        <w:tblPrEx>
          <w:tblCellMar>
            <w:top w:w="0" w:type="dxa"/>
            <w:left w:w="108" w:type="dxa"/>
            <w:bottom w:w="0" w:type="dxa"/>
            <w:right w:w="108" w:type="dxa"/>
          </w:tblCellMar>
        </w:tblPrEx>
        <w:trPr>
          <w:trHeight w:val="567" w:hRule="atLeast"/>
        </w:trPr>
        <w:tc>
          <w:tcPr>
            <w:tcW w:w="1050"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027" w:type="dxa"/>
            <w:vMerge w:val="continue"/>
            <w:tcBorders>
              <w:top w:val="nil"/>
              <w:left w:val="single" w:color="auto" w:sz="4" w:space="0"/>
              <w:bottom w:val="single" w:color="auto" w:sz="4" w:space="0"/>
              <w:right w:val="single" w:color="auto" w:sz="4" w:space="0"/>
            </w:tcBorders>
            <w:noWrap w:val="0"/>
            <w:vAlign w:val="center"/>
          </w:tcPr>
          <w:p>
            <w:pPr>
              <w:rPr>
                <w:color w:val="auto"/>
                <w:highlight w:val="none"/>
              </w:rPr>
            </w:pPr>
          </w:p>
        </w:tc>
        <w:tc>
          <w:tcPr>
            <w:tcW w:w="1497" w:type="dxa"/>
            <w:tcBorders>
              <w:top w:val="single" w:color="auto" w:sz="4" w:space="0"/>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门禁控制器</w:t>
            </w:r>
          </w:p>
        </w:tc>
        <w:tc>
          <w:tcPr>
            <w:tcW w:w="5713" w:type="dxa"/>
            <w:tcBorders>
              <w:top w:val="single" w:color="auto" w:sz="4" w:space="0"/>
              <w:left w:val="nil"/>
              <w:bottom w:val="single" w:color="auto" w:sz="4" w:space="0"/>
              <w:right w:val="single" w:color="auto" w:sz="4" w:space="0"/>
            </w:tcBorders>
            <w:noWrap w:val="0"/>
            <w:vAlign w:val="center"/>
          </w:tcPr>
          <w:p>
            <w:pPr>
              <w:rPr>
                <w:color w:val="auto"/>
                <w:highlight w:val="none"/>
              </w:rPr>
            </w:pPr>
            <w:r>
              <w:rPr>
                <w:rFonts w:hint="eastAsia"/>
                <w:color w:val="auto"/>
                <w:highlight w:val="none"/>
              </w:rPr>
              <w:t>几何信息（主要指尺寸大小），定位（轴线，标高），类型（如型号、功率）</w:t>
            </w:r>
          </w:p>
        </w:tc>
      </w:tr>
      <w:tr>
        <w:tblPrEx>
          <w:tblCellMar>
            <w:top w:w="0" w:type="dxa"/>
            <w:left w:w="108" w:type="dxa"/>
            <w:bottom w:w="0" w:type="dxa"/>
            <w:right w:w="108" w:type="dxa"/>
          </w:tblCellMar>
        </w:tblPrEx>
        <w:trPr>
          <w:trHeight w:val="567" w:hRule="atLeast"/>
        </w:trPr>
        <w:tc>
          <w:tcPr>
            <w:tcW w:w="9287" w:type="dxa"/>
            <w:gridSpan w:val="4"/>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r>
              <w:rPr>
                <w:rFonts w:hint="eastAsia"/>
                <w:color w:val="auto"/>
                <w:highlight w:val="none"/>
              </w:rPr>
              <w:t>注：须为所有机电设备搭建基础模型，且录入基础信息。</w:t>
            </w:r>
          </w:p>
        </w:tc>
      </w:tr>
    </w:tbl>
    <w:p>
      <w:pPr>
        <w:pStyle w:val="159"/>
        <w:spacing w:after="200" w:line="440" w:lineRule="exact"/>
        <w:rPr>
          <w:rFonts w:ascii="宋体" w:hAnsi="宋体" w:cs="宋体"/>
          <w:b/>
          <w:bCs/>
          <w:color w:val="auto"/>
          <w:sz w:val="24"/>
          <w:highlight w:val="none"/>
        </w:rPr>
      </w:pPr>
    </w:p>
    <w:p>
      <w:pPr>
        <w:pStyle w:val="159"/>
        <w:spacing w:after="200" w:line="440" w:lineRule="exact"/>
        <w:rPr>
          <w:rFonts w:ascii="宋体" w:hAnsi="宋体" w:cs="宋体"/>
          <w:b/>
          <w:bCs/>
          <w:color w:val="auto"/>
          <w:sz w:val="24"/>
          <w:highlight w:val="none"/>
        </w:rPr>
        <w:sectPr>
          <w:headerReference r:id="rId12" w:type="default"/>
          <w:pgSz w:w="11907" w:h="16840"/>
          <w:pgMar w:top="1418" w:right="1418" w:bottom="1418" w:left="1418" w:header="851" w:footer="992" w:gutter="0"/>
          <w:cols w:space="720" w:num="1"/>
          <w:docGrid w:linePitch="312" w:charSpace="0"/>
        </w:sectPr>
      </w:pPr>
    </w:p>
    <w:p>
      <w:pPr>
        <w:keepNext/>
        <w:keepLines/>
        <w:spacing w:line="360" w:lineRule="auto"/>
        <w:jc w:val="center"/>
        <w:outlineLvl w:val="0"/>
        <w:rPr>
          <w:rFonts w:hint="eastAsia" w:ascii="黑体" w:eastAsia="黑体"/>
          <w:color w:val="auto"/>
          <w:sz w:val="42"/>
          <w:szCs w:val="42"/>
          <w:highlight w:val="none"/>
        </w:rPr>
      </w:pPr>
      <w:bookmarkStart w:id="8320" w:name="_Toc69114291"/>
      <w:r>
        <w:rPr>
          <w:rFonts w:hint="eastAsia" w:ascii="黑体" w:eastAsia="黑体"/>
          <w:color w:val="auto"/>
          <w:sz w:val="42"/>
          <w:szCs w:val="42"/>
          <w:highlight w:val="none"/>
        </w:rPr>
        <w:t>补充合同条款</w:t>
      </w:r>
      <w:bookmarkEnd w:id="8320"/>
    </w:p>
    <w:p>
      <w:pPr>
        <w:keepNext/>
        <w:keepLines/>
        <w:spacing w:line="360" w:lineRule="auto"/>
        <w:jc w:val="left"/>
        <w:outlineLvl w:val="0"/>
        <w:rPr>
          <w:rFonts w:hint="eastAsia" w:ascii="黑体" w:eastAsia="黑体"/>
          <w:color w:val="auto"/>
          <w:sz w:val="42"/>
          <w:szCs w:val="42"/>
          <w:highlight w:val="none"/>
        </w:rPr>
      </w:pPr>
      <w:bookmarkStart w:id="8321" w:name="_Toc69114292"/>
      <w:r>
        <w:rPr>
          <w:rFonts w:hint="eastAsia" w:ascii="宋体" w:hAnsi="Times New Roman"/>
          <w:b/>
          <w:bCs/>
          <w:color w:val="auto"/>
          <w:sz w:val="24"/>
          <w:highlight w:val="none"/>
        </w:rPr>
        <w:t>本补充合同条款由发包人根据项目具体情况相应调整，仅供参考。</w:t>
      </w:r>
      <w:bookmarkEnd w:id="8321"/>
    </w:p>
    <w:p>
      <w:pPr>
        <w:pStyle w:val="64"/>
        <w:numPr>
          <w:ilvl w:val="1"/>
          <w:numId w:val="0"/>
        </w:numPr>
        <w:spacing w:before="120" w:after="120" w:line="360" w:lineRule="auto"/>
        <w:jc w:val="both"/>
        <w:rPr>
          <w:rFonts w:ascii="宋体" w:hAnsi="宋体"/>
          <w:color w:val="auto"/>
          <w:sz w:val="28"/>
          <w:szCs w:val="28"/>
          <w:highlight w:val="none"/>
        </w:rPr>
      </w:pPr>
      <w:bookmarkStart w:id="8322" w:name="_Toc69114293"/>
      <w:bookmarkStart w:id="8323" w:name="_Toc21531"/>
      <w:r>
        <w:rPr>
          <w:rFonts w:hint="eastAsia" w:ascii="宋体" w:hAnsi="宋体"/>
          <w:color w:val="auto"/>
          <w:sz w:val="28"/>
          <w:szCs w:val="28"/>
          <w:highlight w:val="none"/>
        </w:rPr>
        <w:t>一、现状地形、地貌的确认</w:t>
      </w:r>
      <w:bookmarkEnd w:id="8322"/>
      <w:bookmarkEnd w:id="8323"/>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1.发包前发包人已组织勘察单位对地形标高进行复核，以复核结果报告及施工图纸为准，中标后发包人不再对原地形标高进行量测，承包人应认真查看发包人提供的地形图及复核报告，自行踏勘并考虑风险。</w:t>
      </w:r>
    </w:p>
    <w:p>
      <w:pPr>
        <w:overflowPunct w:val="0"/>
        <w:adjustRightInd w:val="0"/>
        <w:snapToGrid w:val="0"/>
        <w:spacing w:line="360" w:lineRule="auto"/>
        <w:ind w:firstLine="420" w:firstLineChars="200"/>
        <w:rPr>
          <w:rFonts w:hint="eastAsia" w:ascii="宋体"/>
          <w:color w:val="auto"/>
          <w:sz w:val="24"/>
          <w:highlight w:val="none"/>
        </w:rPr>
      </w:pPr>
      <w:r>
        <w:rPr>
          <w:rFonts w:hint="eastAsia" w:ascii="宋体" w:hAnsi="宋体" w:cs="宋体"/>
          <w:color w:val="auto"/>
          <w:szCs w:val="21"/>
          <w:highlight w:val="none"/>
        </w:rPr>
        <w:t>2.本工程承包人应在中标公示截止后即进驻现场保护现场原地形地貌，费用考虑在相应清单子目单价内不另行计价。</w:t>
      </w:r>
    </w:p>
    <w:p>
      <w:pPr>
        <w:pStyle w:val="64"/>
        <w:numPr>
          <w:ilvl w:val="1"/>
          <w:numId w:val="0"/>
        </w:numPr>
        <w:spacing w:before="120" w:after="120" w:line="360" w:lineRule="auto"/>
        <w:jc w:val="both"/>
        <w:rPr>
          <w:rFonts w:ascii="宋体" w:hAnsi="宋体"/>
          <w:color w:val="auto"/>
          <w:sz w:val="28"/>
          <w:szCs w:val="28"/>
          <w:highlight w:val="none"/>
        </w:rPr>
      </w:pPr>
      <w:bookmarkStart w:id="8324" w:name="_Toc69114294"/>
      <w:bookmarkStart w:id="8325" w:name="_Toc25253"/>
      <w:r>
        <w:rPr>
          <w:rFonts w:hint="eastAsia" w:ascii="宋体" w:hAnsi="宋体"/>
          <w:color w:val="auto"/>
          <w:sz w:val="28"/>
          <w:szCs w:val="28"/>
          <w:highlight w:val="none"/>
        </w:rPr>
        <w:t>二、工程量清单的补充说明</w:t>
      </w:r>
      <w:bookmarkEnd w:id="8324"/>
      <w:bookmarkEnd w:id="8325"/>
    </w:p>
    <w:p>
      <w:pPr>
        <w:overflowPunct w:val="0"/>
        <w:adjustRightInd w:val="0"/>
        <w:snapToGrid w:val="0"/>
        <w:spacing w:line="360" w:lineRule="auto"/>
        <w:ind w:firstLine="420" w:firstLineChars="200"/>
        <w:outlineLvl w:val="2"/>
        <w:rPr>
          <w:rFonts w:hint="eastAsia" w:ascii="宋体" w:hAnsi="宋体" w:cs="宋体"/>
          <w:b/>
          <w:bCs/>
          <w:color w:val="auto"/>
          <w:szCs w:val="21"/>
          <w:highlight w:val="none"/>
          <w:lang w:val="en-GB"/>
        </w:rPr>
      </w:pPr>
      <w:bookmarkStart w:id="8326" w:name="_Toc69114295"/>
      <w:r>
        <w:rPr>
          <w:rFonts w:hint="eastAsia" w:ascii="宋体" w:hAnsi="宋体" w:cs="宋体"/>
          <w:b/>
          <w:bCs/>
          <w:color w:val="auto"/>
          <w:szCs w:val="21"/>
          <w:highlight w:val="none"/>
        </w:rPr>
        <w:t>1</w:t>
      </w:r>
      <w:r>
        <w:rPr>
          <w:rFonts w:hint="eastAsia" w:ascii="宋体" w:hAnsi="宋体" w:cs="宋体"/>
          <w:b/>
          <w:bCs/>
          <w:color w:val="auto"/>
          <w:szCs w:val="21"/>
          <w:highlight w:val="none"/>
          <w:lang w:val="en-GB"/>
        </w:rPr>
        <w:t>、现场施工条件</w:t>
      </w:r>
      <w:bookmarkEnd w:id="8326"/>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承包人应综合考虑现场施工条件和所需费用以及可能带来影响工期等问题，承包人应自行全面评估其风险，结算时不作调整（包括：现场道路等级、对外交通、工地供电电压范围和供电质量、供水、生活及服务设施、施工期间排水、工地保卫、照明通讯、环保、消防及临时房屋建筑和公用设施要求）。</w:t>
      </w:r>
    </w:p>
    <w:p>
      <w:pPr>
        <w:overflowPunct w:val="0"/>
        <w:adjustRightInd w:val="0"/>
        <w:snapToGrid w:val="0"/>
        <w:spacing w:line="360" w:lineRule="auto"/>
        <w:ind w:firstLine="420" w:firstLineChars="200"/>
        <w:outlineLvl w:val="2"/>
        <w:rPr>
          <w:rFonts w:hint="eastAsia" w:ascii="宋体" w:hAnsi="宋体" w:cs="宋体"/>
          <w:b/>
          <w:bCs/>
          <w:color w:val="auto"/>
          <w:szCs w:val="21"/>
          <w:highlight w:val="none"/>
          <w:lang w:val="en-GB"/>
        </w:rPr>
      </w:pPr>
      <w:bookmarkStart w:id="8327" w:name="_Toc69114296"/>
      <w:r>
        <w:rPr>
          <w:rFonts w:hint="eastAsia" w:ascii="宋体" w:hAnsi="宋体" w:cs="宋体"/>
          <w:b/>
          <w:bCs/>
          <w:color w:val="auto"/>
          <w:szCs w:val="21"/>
          <w:highlight w:val="none"/>
        </w:rPr>
        <w:t>2</w:t>
      </w:r>
      <w:r>
        <w:rPr>
          <w:rFonts w:hint="eastAsia" w:ascii="宋体" w:hAnsi="宋体" w:cs="宋体"/>
          <w:b/>
          <w:bCs/>
          <w:color w:val="auto"/>
          <w:szCs w:val="21"/>
          <w:highlight w:val="none"/>
          <w:lang w:val="en-GB"/>
        </w:rPr>
        <w:t>、余泥渣土运距及弃置费</w:t>
      </w:r>
      <w:bookmarkEnd w:id="8327"/>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2.1若本工程若有可利用土方可调配至发包人在建的其他项目，承包人在施工过程中要服从甲方统一调配管理，结算时调配土方运距及工程量按实计取，弃置费不予计取。</w:t>
      </w:r>
    </w:p>
    <w:p>
      <w:pPr>
        <w:overflowPunct w:val="0"/>
        <w:adjustRightInd w:val="0"/>
        <w:snapToGrid w:val="0"/>
        <w:spacing w:line="360" w:lineRule="auto"/>
        <w:ind w:firstLine="420" w:firstLineChars="200"/>
        <w:rPr>
          <w:rFonts w:hint="eastAsia" w:ascii="宋体" w:hAnsi="宋体" w:eastAsia="等线" w:cs="宋体"/>
          <w:color w:val="auto"/>
          <w:szCs w:val="21"/>
          <w:highlight w:val="none"/>
          <w:lang w:eastAsia="zh-CN"/>
        </w:rPr>
      </w:pPr>
      <w:r>
        <w:rPr>
          <w:rFonts w:hint="eastAsia" w:ascii="宋体" w:hAnsi="宋体" w:cs="宋体"/>
          <w:color w:val="auto"/>
          <w:szCs w:val="21"/>
          <w:highlight w:val="none"/>
        </w:rPr>
        <w:t>2.2若在项目实施过程中有不可利用余泥渣土弃置到土方收纳弃置场，则结算时不可利用余泥渣土外运以发包人、监理单位和施工单位三方确认的实际运距为准，工程量</w:t>
      </w:r>
      <w:r>
        <w:rPr>
          <w:rFonts w:hint="eastAsia" w:ascii="宋体" w:hAnsi="宋体" w:cs="宋体"/>
          <w:color w:val="auto"/>
          <w:szCs w:val="21"/>
          <w:highlight w:val="none"/>
          <w:lang w:val="en-US" w:eastAsia="zh-CN"/>
        </w:rPr>
        <w:t>经</w:t>
      </w:r>
      <w:r>
        <w:rPr>
          <w:rFonts w:hint="eastAsia" w:ascii="宋体" w:hAnsi="宋体" w:cs="宋体"/>
          <w:color w:val="auto"/>
          <w:szCs w:val="21"/>
          <w:highlight w:val="none"/>
        </w:rPr>
        <w:t>发包人、监理单位和施工单位三方确认</w:t>
      </w:r>
      <w:r>
        <w:rPr>
          <w:rFonts w:hint="eastAsia" w:ascii="宋体" w:hAnsi="宋体" w:cs="宋体"/>
          <w:color w:val="auto"/>
          <w:szCs w:val="21"/>
          <w:highlight w:val="none"/>
          <w:lang w:val="en-US" w:eastAsia="zh-CN"/>
        </w:rPr>
        <w:t>后</w:t>
      </w:r>
      <w:r>
        <w:rPr>
          <w:rFonts w:hint="eastAsia" w:ascii="宋体" w:hAnsi="宋体" w:cs="宋体"/>
          <w:color w:val="auto"/>
          <w:szCs w:val="21"/>
          <w:highlight w:val="none"/>
        </w:rPr>
        <w:t>按实计量</w:t>
      </w:r>
      <w:r>
        <w:rPr>
          <w:rFonts w:hint="eastAsia" w:ascii="宋体" w:hAnsi="宋体" w:cs="宋体"/>
          <w:color w:val="auto"/>
          <w:szCs w:val="21"/>
          <w:highlight w:val="none"/>
          <w:lang w:eastAsia="zh-CN"/>
        </w:rPr>
        <w:t>，</w:t>
      </w:r>
      <w:r>
        <w:rPr>
          <w:rFonts w:hint="eastAsia" w:ascii="宋体" w:hAnsi="宋体" w:cs="宋体"/>
          <w:color w:val="auto"/>
          <w:szCs w:val="21"/>
          <w:highlight w:val="none"/>
        </w:rPr>
        <w:t>弃置费按实际发生费用计取并提供相关票据</w:t>
      </w:r>
      <w:r>
        <w:rPr>
          <w:rFonts w:hint="eastAsia" w:ascii="宋体" w:hAnsi="宋体" w:cs="宋体"/>
          <w:color w:val="auto"/>
          <w:szCs w:val="21"/>
          <w:highlight w:val="none"/>
          <w:lang w:eastAsia="zh-CN"/>
        </w:rPr>
        <w:t>。</w:t>
      </w:r>
    </w:p>
    <w:p>
      <w:pPr>
        <w:overflowPunct w:val="0"/>
        <w:adjustRightInd w:val="0"/>
        <w:snapToGrid w:val="0"/>
        <w:spacing w:line="360" w:lineRule="auto"/>
        <w:ind w:firstLine="420" w:firstLineChars="200"/>
        <w:outlineLvl w:val="2"/>
        <w:rPr>
          <w:rFonts w:hint="eastAsia" w:ascii="宋体" w:hAnsi="宋体" w:cs="宋体"/>
          <w:b/>
          <w:bCs/>
          <w:color w:val="auto"/>
          <w:szCs w:val="21"/>
          <w:highlight w:val="none"/>
          <w:lang w:val="en-GB"/>
        </w:rPr>
      </w:pPr>
      <w:bookmarkStart w:id="8328" w:name="_Toc69114297"/>
      <w:r>
        <w:rPr>
          <w:rFonts w:hint="eastAsia" w:ascii="宋体" w:hAnsi="宋体" w:cs="宋体"/>
          <w:b/>
          <w:bCs/>
          <w:color w:val="auto"/>
          <w:szCs w:val="21"/>
          <w:highlight w:val="none"/>
        </w:rPr>
        <w:t>3</w:t>
      </w:r>
      <w:r>
        <w:rPr>
          <w:rFonts w:hint="eastAsia" w:ascii="宋体" w:hAnsi="宋体" w:cs="宋体"/>
          <w:b/>
          <w:bCs/>
          <w:color w:val="auto"/>
          <w:szCs w:val="21"/>
          <w:highlight w:val="none"/>
          <w:lang w:val="en-GB"/>
        </w:rPr>
        <w:t>、拆除工程计价规定</w:t>
      </w:r>
      <w:bookmarkEnd w:id="8328"/>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现场需要拆除的工程量，由发包人、监理工程师和承包人三方联测计量并签字确认，作为最终结算量。必要时发包人有权委托本项目勘察单位或另行委托第三方测量机构进行测量，监理人见证测量过程，最终以该测量结果为准。</w:t>
      </w:r>
    </w:p>
    <w:p>
      <w:pPr>
        <w:overflowPunct w:val="0"/>
        <w:adjustRightInd w:val="0"/>
        <w:snapToGrid w:val="0"/>
        <w:spacing w:line="360" w:lineRule="auto"/>
        <w:ind w:firstLine="420" w:firstLineChars="200"/>
        <w:outlineLvl w:val="2"/>
        <w:rPr>
          <w:rFonts w:hint="eastAsia" w:ascii="宋体" w:hAnsi="宋体" w:cs="宋体"/>
          <w:b/>
          <w:bCs/>
          <w:color w:val="auto"/>
          <w:szCs w:val="21"/>
          <w:highlight w:val="none"/>
          <w:lang w:val="en-GB"/>
        </w:rPr>
      </w:pPr>
      <w:bookmarkStart w:id="8329" w:name="_Toc69114298"/>
      <w:r>
        <w:rPr>
          <w:rFonts w:hint="eastAsia" w:ascii="宋体" w:hAnsi="宋体" w:cs="宋体"/>
          <w:b/>
          <w:bCs/>
          <w:color w:val="auto"/>
          <w:szCs w:val="21"/>
          <w:highlight w:val="none"/>
        </w:rPr>
        <w:t>4</w:t>
      </w:r>
      <w:r>
        <w:rPr>
          <w:rFonts w:hint="eastAsia" w:ascii="宋体" w:hAnsi="宋体" w:cs="宋体"/>
          <w:b/>
          <w:bCs/>
          <w:color w:val="auto"/>
          <w:szCs w:val="21"/>
          <w:highlight w:val="none"/>
          <w:lang w:val="en-GB"/>
        </w:rPr>
        <w:t>、措施项目清单的补充说明</w:t>
      </w:r>
      <w:bookmarkEnd w:id="8329"/>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措施项目清单原则上为包干费用（安全网、施工临时围挡、基坑内场地硬底化除外），结算时一般不作调整〔专用条款11.5款所列情形〕。</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rPr>
        <w:t>4</w:t>
      </w:r>
      <w:r>
        <w:rPr>
          <w:rFonts w:hint="eastAsia" w:ascii="宋体" w:hAnsi="宋体" w:cs="宋体"/>
          <w:color w:val="auto"/>
          <w:szCs w:val="21"/>
          <w:highlight w:val="none"/>
          <w:lang w:val="en-GB"/>
        </w:rPr>
        <w:t>.1施工现场安全文明施工措施费</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安全文明施工措施费用为非竞争性费用，以招标公示的金额计取，承包人投标报价时不得更改。若承包人的文明施工未能满足《深圳市建设工程现场文明施工管理办法》而被投诉的，每被投诉一次扣除2000元的施工现场安全文明施工措施费。另外，若现场的安全文明施工工作未按经监理工程师审批同意的方案实施，或监理工程师验收不合格的，则该项费用不予计量和支付。承包人在接到监理工程师的整改通知，在通知要求期限内拒不整改的，发包人有权委托第三方实施该项内容，费用由承包人承担。</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根据《深圳市建设工程计价费率标准》（2018）规定，■安全网、■施工临时围挡、■基坑内场地硬地化属于安全文明措施费的内容，结算时按实计取，造价不下浮。</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rPr>
        <w:t>4</w:t>
      </w:r>
      <w:r>
        <w:rPr>
          <w:rFonts w:hint="eastAsia" w:ascii="宋体" w:hAnsi="宋体" w:cs="宋体"/>
          <w:color w:val="auto"/>
          <w:szCs w:val="21"/>
          <w:highlight w:val="none"/>
          <w:lang w:val="en-GB"/>
        </w:rPr>
        <w:t>.2大型机械设备进出场及安拆</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大型机械或大型设施使用的管理按规定的要求进行报批。根据现场的实际情况，整个施工过程可能存在多次进退场，此费用不再单独计取，承包人须自行考虑投标风险。</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rPr>
        <w:t>□4</w:t>
      </w:r>
      <w:r>
        <w:rPr>
          <w:rFonts w:hint="eastAsia" w:ascii="宋体" w:hAnsi="宋体" w:cs="宋体"/>
          <w:color w:val="auto"/>
          <w:szCs w:val="21"/>
          <w:highlight w:val="none"/>
          <w:lang w:val="en-GB"/>
        </w:rPr>
        <w:t>.3赶工费用</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承包人应充分考虑工程因赶工而投入大量的施工人员、管理人员、材料及机械设备，此费用不再单独计取，承包人须自行考虑投标风险。无论本工期是否超出合同工期，本工程不考虑赶工措施费。</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4.4既有管线的保护</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工程红线范围内可能存在高低压电线、通讯电缆和地下管道，在整个施工期间，承包人应采取强有力的保护措施，确保既有通信、高低压电线、直埋电缆、给水、排水及燃气管道等的安全。该项费用由承包人承担，承包人须考虑投标风险。</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rPr>
        <w:t>4</w:t>
      </w:r>
      <w:r>
        <w:rPr>
          <w:rFonts w:hint="eastAsia" w:ascii="宋体" w:hAnsi="宋体" w:cs="宋体"/>
          <w:color w:val="auto"/>
          <w:szCs w:val="21"/>
          <w:highlight w:val="none"/>
          <w:lang w:val="en-GB"/>
        </w:rPr>
        <w:t>.5红线外租地</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红线范围外租地按租赁面积为/平方米，租赁期为/个月考虑，该项费用由承包人根据实际情况在工程相应措施费项目中自行投标报价，结算时不再调整，承包人须考虑投标风险。租赁期满后，承包人应恢复临时用地至使用前的使用条件。</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□红线范围外租地由承包人自行考虑，且该项费用由承包人根据实际情况在投标报价下浮率中考虑，结算时不予计取，承包人须考虑投标风险。租赁期满后，承包人应恢复临时用地至使用前的使用条件。</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4.6专业工程施工交叉的配合</w:t>
      </w:r>
    </w:p>
    <w:p>
      <w:pPr>
        <w:overflowPunct w:val="0"/>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为保证项目的总工期，本项目土建工程施工期间，如有其它专业工程也需要同时进行施工作业，并且势必与土建工程的施工作业产生交叉，承包人应积极配合，尽可能给其它专业工程施工提供工作面及其它有利条件（如场地、接水、接电等），承包人要考虑由于交叉施工配合而引起的一切费用，该项费用视为已包含在投标报价中，但发包人指定分包商时，可按相关规定另行计取总包服务费。□该项目有        专业工程由发包人指定分包商。招标文件中列明的对发包人指定分包商的总包服务费为         。</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4.7交通维护、疏解</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施工期间，承包人必须做好出入口交通疏解及维护工作，确保施工车辆、人员进出安全，及出入口影响范围内交通安全。</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施工过程中经政府部门批准的交通维护、疏解方案产生的相关措施费用，由专用条款11.5条约定；其余交通维护、疏解相关措施费由承包人在投标报价中自行考虑，结算时不作调整。</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4.8 已完工程及设备保护</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从开工之日起，承包人应保证所有已完工程成品、半成品不受任何损坏并满足使用要求，若保护期间发生损坏、丢失，承包人应自行负责解决并承担费用；同时全面负责照管与维护工程和将用于或安装工程中的材料、设备，直到工程交工证书签发之日为止。在此期间所发生的工程保护、照管与维护费用承包人承担，承包人须自行考虑投标风险。</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rPr>
        <w:t>4</w:t>
      </w:r>
      <w:r>
        <w:rPr>
          <w:rFonts w:hint="eastAsia" w:ascii="宋体" w:hAnsi="宋体" w:cs="宋体"/>
          <w:color w:val="auto"/>
          <w:szCs w:val="21"/>
          <w:highlight w:val="none"/>
          <w:lang w:val="en-GB"/>
        </w:rPr>
        <w:t>.9临时用水、用电</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sym w:font="Wingdings 2" w:char="0052"/>
      </w:r>
      <w:r>
        <w:rPr>
          <w:rFonts w:hint="eastAsia" w:ascii="宋体" w:hAnsi="宋体" w:cs="宋体"/>
          <w:color w:val="auto"/>
          <w:szCs w:val="21"/>
          <w:highlight w:val="none"/>
        </w:rPr>
        <w:t>本工程临时用水、用电按           考虑，承包人承担一切相关费用，包括初（报）装手续的办理、接口、安装、恢复以及使用期间的水、电费缴纳等，施工期间，承包人还应做好临时管线维护工作，保证施工及生活用水、用电及时供给。上述工作所发生的费用由承包人在投标报价中自行考虑，结算时不予调整，承包人在投标时需考虑投标风险。若因非承包人的原因发生多次迁移，迁移费用另行按实计量。</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工程临时用水、用电由承包人自行考虑，并承担一切相关费用，包括初（报）装手续的办理、接口、安装、恢复以及使用期间的水、电费缴纳等，施工期间，承包人还应做好临时管线维护工作，保证施工及生活用水、用电及时供给。上述工作所发生的费用由承包人在投标报价中自行考虑，结算时不予调整，承包人在投标时需考虑投标风险。若因非承包人的原因发生多次迁移，迁移费用另行按实计量。</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rPr>
        <w:t>4</w:t>
      </w:r>
      <w:r>
        <w:rPr>
          <w:rFonts w:hint="eastAsia" w:ascii="宋体" w:hAnsi="宋体" w:cs="宋体"/>
          <w:color w:val="auto"/>
          <w:szCs w:val="21"/>
          <w:highlight w:val="none"/>
          <w:lang w:val="en-GB"/>
        </w:rPr>
        <w:t>.10临时施工道路</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红线范围内的临时施工道路费用，由承包人自行解决，此费用视为包含在投标报价中，承包人在投标时需充分考虑并承担由此产生的费用风险。红线范围以外其他确实需要修筑临时道路的，承包人编制相应的方案，报发包人、监理工程师审批</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同意，方可实施并予以计量。</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rPr>
        <w:t>4</w:t>
      </w:r>
      <w:r>
        <w:rPr>
          <w:rFonts w:hint="eastAsia" w:ascii="宋体" w:hAnsi="宋体" w:cs="宋体"/>
          <w:color w:val="auto"/>
          <w:szCs w:val="21"/>
          <w:highlight w:val="none"/>
          <w:lang w:val="en-GB"/>
        </w:rPr>
        <w:t>.11洗车池修建及维护费</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承包人应在施工场内道路与施工场外道路主要接驳处(即用于施工车辆出口通道位置)至少修建1个洗车池（洗车池结构形式见附图或按质量安全监督站要求修建）并配备自动压力冲洗设备，洗车池前应设立分道栏杆，所在施工车辆均应从设有洗车池的路口通过。本项工作发生费用视为已包含在安全文明施工措施费中。           </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rPr>
        <w:t>4</w:t>
      </w:r>
      <w:r>
        <w:rPr>
          <w:rFonts w:hint="eastAsia" w:ascii="宋体" w:hAnsi="宋体" w:cs="宋体"/>
          <w:color w:val="auto"/>
          <w:szCs w:val="21"/>
          <w:highlight w:val="none"/>
          <w:lang w:val="en-GB"/>
        </w:rPr>
        <w:t>.12施工降、排水</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GB"/>
        </w:rPr>
        <w:t>为确保整个工地排水畅通，满足周边村民出行及施工需要，各承包人应根据施工现场的具体情况修筑临时排水沟，在有需要位置设置沉砂池，排水沟的修筑应满足招标人和监理工程师的要求。在整个施工期间确保排水畅通。施工排水、降水</w:t>
      </w:r>
      <w:r>
        <w:rPr>
          <w:rFonts w:hint="eastAsia" w:ascii="宋体" w:hAnsi="宋体" w:cs="宋体"/>
          <w:color w:val="auto"/>
          <w:szCs w:val="21"/>
          <w:highlight w:val="none"/>
        </w:rPr>
        <w:t>必须</w:t>
      </w:r>
      <w:r>
        <w:rPr>
          <w:rFonts w:hint="eastAsia" w:ascii="宋体" w:hAnsi="宋体" w:cs="宋体"/>
          <w:color w:val="auto"/>
          <w:szCs w:val="21"/>
          <w:highlight w:val="none"/>
          <w:lang w:val="en-GB"/>
        </w:rPr>
        <w:t>还应包括但不局限于施工围堰、基槽、基坑、沟槽的抽排水，修建与红线外排洪沟的连接管和渠道并进行必要的软基处理，既有管道的疏通，雨季排水设施、施工导流、防洪排涝、防台风等一切措施费用。承包人还应对施工场区现状污水、雨水管线和管井淤塞情况进行充分调查。</w:t>
      </w:r>
      <w:r>
        <w:rPr>
          <w:rFonts w:hint="eastAsia" w:ascii="宋体" w:hAnsi="宋体" w:cs="宋体"/>
          <w:color w:val="auto"/>
          <w:szCs w:val="21"/>
          <w:highlight w:val="none"/>
        </w:rPr>
        <w:t>□该项工作按         ，</w:t>
      </w:r>
      <w:r>
        <w:rPr>
          <w:rFonts w:hint="eastAsia" w:ascii="宋体" w:hAnsi="宋体" w:cs="宋体"/>
          <w:color w:val="auto"/>
          <w:szCs w:val="21"/>
          <w:highlight w:val="none"/>
          <w:lang w:val="en-GB"/>
        </w:rPr>
        <w:t>该项</w:t>
      </w:r>
      <w:r>
        <w:rPr>
          <w:rFonts w:hint="eastAsia" w:ascii="宋体" w:hAnsi="宋体" w:cs="宋体"/>
          <w:color w:val="auto"/>
          <w:szCs w:val="21"/>
          <w:highlight w:val="none"/>
        </w:rPr>
        <w:t>费用由承包人在投标报价中自行考</w:t>
      </w:r>
      <w:r>
        <w:rPr>
          <w:rFonts w:hint="eastAsia" w:ascii="宋体" w:hAnsi="宋体" w:cs="宋体"/>
          <w:color w:val="auto"/>
          <w:szCs w:val="21"/>
          <w:highlight w:val="none"/>
          <w:lang w:val="en-GB"/>
        </w:rPr>
        <w:t>虑，结算时不再调整，承包人须考虑投标风险。</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rPr>
        <w:t>4</w:t>
      </w:r>
      <w:r>
        <w:rPr>
          <w:rFonts w:hint="eastAsia" w:ascii="宋体" w:hAnsi="宋体" w:cs="宋体"/>
          <w:color w:val="auto"/>
          <w:szCs w:val="21"/>
          <w:highlight w:val="none"/>
          <w:lang w:val="en-GB"/>
        </w:rPr>
        <w:t>.13为发包人、</w:t>
      </w:r>
      <w:r>
        <w:rPr>
          <w:rFonts w:hint="eastAsia" w:ascii="宋体" w:hAnsi="宋体" w:cs="宋体"/>
          <w:color w:val="auto"/>
          <w:szCs w:val="21"/>
          <w:highlight w:val="none"/>
        </w:rPr>
        <w:t>检测</w:t>
      </w:r>
      <w:r>
        <w:rPr>
          <w:rFonts w:hint="eastAsia" w:ascii="宋体" w:hAnsi="宋体" w:cs="宋体"/>
          <w:color w:val="auto"/>
          <w:szCs w:val="21"/>
          <w:highlight w:val="none"/>
          <w:lang w:val="en-GB"/>
        </w:rPr>
        <w:t>和监理提供的服务</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rPr>
        <w:t>4</w:t>
      </w:r>
      <w:r>
        <w:rPr>
          <w:rFonts w:hint="eastAsia" w:ascii="宋体" w:hAnsi="宋体" w:cs="宋体"/>
          <w:color w:val="auto"/>
          <w:szCs w:val="21"/>
          <w:highlight w:val="none"/>
          <w:lang w:val="en-GB"/>
        </w:rPr>
        <w:t>.13.1为发包人、</w:t>
      </w:r>
      <w:r>
        <w:rPr>
          <w:rFonts w:hint="eastAsia" w:ascii="宋体" w:hAnsi="宋体" w:cs="宋体"/>
          <w:color w:val="auto"/>
          <w:szCs w:val="21"/>
          <w:highlight w:val="none"/>
        </w:rPr>
        <w:t>检测</w:t>
      </w:r>
      <w:r>
        <w:rPr>
          <w:rFonts w:hint="eastAsia" w:ascii="宋体" w:hAnsi="宋体" w:cs="宋体"/>
          <w:color w:val="auto"/>
          <w:szCs w:val="21"/>
          <w:highlight w:val="none"/>
          <w:lang w:val="en-GB"/>
        </w:rPr>
        <w:t>和监理提供的用于工程建设和管理的服务</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承包人应在取得中标通知书30天内</w:t>
      </w:r>
      <w:r>
        <w:rPr>
          <w:rFonts w:hint="eastAsia" w:ascii="宋体" w:hAnsi="宋体" w:cs="宋体"/>
          <w:color w:val="auto"/>
          <w:szCs w:val="21"/>
          <w:highlight w:val="none"/>
        </w:rPr>
        <w:t>按招标文件要求</w:t>
      </w:r>
      <w:r>
        <w:rPr>
          <w:rFonts w:hint="eastAsia" w:ascii="宋体" w:hAnsi="宋体" w:cs="宋体"/>
          <w:color w:val="auto"/>
          <w:szCs w:val="21"/>
          <w:highlight w:val="none"/>
          <w:lang w:val="en-GB"/>
        </w:rPr>
        <w:t>提供以下经发包人、监理工程师认可的办公用房及设施。</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该项费用由承包人根据实际情况在工程相应措施费项目中自行投标报价，结算时不再调整；</w:t>
      </w:r>
    </w:p>
    <w:p>
      <w:pPr>
        <w:overflowPunct w:val="0"/>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该项费用包含在投标报价中，结算时不再计取。</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如承包人未能按照以上要求为发包人和监理工程师提供所需的房屋及设施，发包人有权建造、购买或租用上述未提供的房屋设施以及雇佣他人维护、保养、清理等工作，所需费用一律由承包人承担，并在应付给承包人的价款中扣除。</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rPr>
        <w:t>□4</w:t>
      </w:r>
      <w:r>
        <w:rPr>
          <w:rFonts w:hint="eastAsia" w:ascii="宋体" w:hAnsi="宋体" w:cs="宋体"/>
          <w:color w:val="auto"/>
          <w:szCs w:val="21"/>
          <w:highlight w:val="none"/>
          <w:lang w:val="en-GB"/>
        </w:rPr>
        <w:t>.13.2为发包人提供交通设施服务</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具体要求见专用条款8.1.5</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该项费用由承包人根据实际情况在工程相应措施费项目中自行投标报价，结算时不再调整；</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该项费用包含在投标报价中，结算时不再计取。</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4.14 水土保持措施费</w:t>
      </w:r>
    </w:p>
    <w:p>
      <w:pPr>
        <w:overflowPunct w:val="0"/>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根据水土保持相关意见，完成相关措施协助水土保持单位进行水土保持监测和水土保持设施验收的工作。</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该项费用由承包人根据实际情况在工程相应措施费项目中自行投标报价，结算时不再调整；</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sym w:font="Wingdings 2" w:char="00A3"/>
      </w:r>
      <w:r>
        <w:rPr>
          <w:rFonts w:hint="eastAsia" w:ascii="宋体" w:hAnsi="宋体" w:cs="宋体"/>
          <w:color w:val="auto"/>
          <w:szCs w:val="21"/>
          <w:highlight w:val="none"/>
        </w:rPr>
        <w:t>该项费用包含在投标报价中，结算时不再计取。</w:t>
      </w:r>
    </w:p>
    <w:p>
      <w:pPr>
        <w:overflowPunct w:val="0"/>
        <w:adjustRightInd w:val="0"/>
        <w:snapToGrid w:val="0"/>
        <w:spacing w:line="360" w:lineRule="auto"/>
        <w:ind w:firstLine="420" w:firstLineChars="200"/>
        <w:outlineLvl w:val="2"/>
        <w:rPr>
          <w:rFonts w:hint="eastAsia" w:ascii="宋体" w:hAnsi="宋体" w:cs="宋体"/>
          <w:b/>
          <w:bCs/>
          <w:color w:val="auto"/>
          <w:szCs w:val="21"/>
          <w:highlight w:val="none"/>
          <w:lang w:val="en-GB"/>
        </w:rPr>
      </w:pPr>
      <w:bookmarkStart w:id="8330" w:name="_Toc69114299"/>
      <w:r>
        <w:rPr>
          <w:rFonts w:hint="eastAsia" w:ascii="宋体" w:hAnsi="宋体" w:cs="宋体"/>
          <w:b/>
          <w:bCs/>
          <w:color w:val="auto"/>
          <w:szCs w:val="21"/>
          <w:highlight w:val="none"/>
        </w:rPr>
        <w:t>5</w:t>
      </w:r>
      <w:r>
        <w:rPr>
          <w:rFonts w:hint="eastAsia" w:ascii="宋体" w:hAnsi="宋体" w:cs="宋体"/>
          <w:b/>
          <w:bCs/>
          <w:color w:val="auto"/>
          <w:szCs w:val="21"/>
          <w:highlight w:val="none"/>
          <w:lang w:val="en-GB"/>
        </w:rPr>
        <w:t>. 视频监控系统</w:t>
      </w:r>
      <w:bookmarkEnd w:id="8330"/>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承包人应采用租赁方式使用视频监控系统，满足深圳市住房和建设局的规定，与之相关的一切费用在安全文明施工措施费列支, 其投标风险由承包人自行考虑，结算时发包人将不另行增加任何费用。</w:t>
      </w:r>
    </w:p>
    <w:p>
      <w:pPr>
        <w:overflowPunct w:val="0"/>
        <w:adjustRightInd w:val="0"/>
        <w:snapToGrid w:val="0"/>
        <w:spacing w:line="360" w:lineRule="auto"/>
        <w:ind w:firstLine="420" w:firstLineChars="200"/>
        <w:outlineLvl w:val="2"/>
        <w:rPr>
          <w:rFonts w:hint="eastAsia" w:ascii="宋体" w:hAnsi="宋体" w:cs="宋体"/>
          <w:b/>
          <w:bCs/>
          <w:color w:val="auto"/>
          <w:szCs w:val="21"/>
          <w:highlight w:val="none"/>
          <w:lang w:val="en-GB"/>
        </w:rPr>
      </w:pPr>
      <w:bookmarkStart w:id="8331" w:name="_Toc69114300"/>
      <w:r>
        <w:rPr>
          <w:rFonts w:hint="eastAsia" w:ascii="宋体" w:hAnsi="宋体" w:cs="宋体"/>
          <w:b/>
          <w:bCs/>
          <w:color w:val="auto"/>
          <w:szCs w:val="21"/>
          <w:highlight w:val="none"/>
        </w:rPr>
        <w:t>6</w:t>
      </w:r>
      <w:r>
        <w:rPr>
          <w:rFonts w:hint="eastAsia" w:ascii="宋体" w:hAnsi="宋体" w:cs="宋体"/>
          <w:b/>
          <w:bCs/>
          <w:color w:val="auto"/>
          <w:szCs w:val="21"/>
          <w:highlight w:val="none"/>
          <w:lang w:val="en-GB"/>
        </w:rPr>
        <w:t>、</w:t>
      </w:r>
      <w:r>
        <w:rPr>
          <w:rFonts w:hint="eastAsia" w:ascii="宋体" w:hAnsi="宋体" w:cs="宋体"/>
          <w:b/>
          <w:bCs/>
          <w:color w:val="auto"/>
          <w:szCs w:val="21"/>
          <w:highlight w:val="none"/>
        </w:rPr>
        <w:t>厂拌水泥石粉渣（碎石）运距、钢构件运距、成品预制构件运距</w:t>
      </w:r>
      <w:bookmarkEnd w:id="8331"/>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工程■厂拌水泥石粉渣（碎石）运距为5公里，■钢构件运距为15公里，■成品预制构件运距运距为15公里，■回填土运距为1公里，■回填种植土的运距为1公里计取，上述运距结算时不因实际运距不同而调整，承包人须考虑投标风险。</w:t>
      </w:r>
    </w:p>
    <w:p>
      <w:pPr>
        <w:overflowPunct w:val="0"/>
        <w:adjustRightInd w:val="0"/>
        <w:snapToGrid w:val="0"/>
        <w:spacing w:line="360" w:lineRule="auto"/>
        <w:ind w:firstLine="420" w:firstLineChars="200"/>
        <w:outlineLvl w:val="2"/>
        <w:rPr>
          <w:rFonts w:hint="eastAsia" w:ascii="宋体" w:hAnsi="宋体" w:cs="宋体"/>
          <w:b/>
          <w:bCs/>
          <w:color w:val="auto"/>
          <w:szCs w:val="21"/>
          <w:highlight w:val="none"/>
        </w:rPr>
      </w:pPr>
      <w:bookmarkStart w:id="8332" w:name="_Toc69114301"/>
      <w:r>
        <w:rPr>
          <w:rFonts w:hint="eastAsia" w:ascii="宋体" w:hAnsi="宋体" w:cs="宋体"/>
          <w:b/>
          <w:bCs/>
          <w:color w:val="auto"/>
          <w:szCs w:val="21"/>
          <w:highlight w:val="none"/>
        </w:rPr>
        <w:t>7、树木迁移</w:t>
      </w:r>
      <w:bookmarkEnd w:id="8332"/>
    </w:p>
    <w:p>
      <w:pPr>
        <w:overflowPunct w:val="0"/>
        <w:adjustRightInd w:val="0"/>
        <w:snapToGrid w:val="0"/>
        <w:spacing w:line="360" w:lineRule="auto"/>
        <w:ind w:firstLine="420" w:firstLineChars="200"/>
        <w:rPr>
          <w:rFonts w:hint="eastAsia" w:ascii="宋体" w:hAnsi="宋体" w:cs="Courier New"/>
          <w:color w:val="auto"/>
          <w:sz w:val="24"/>
          <w:szCs w:val="24"/>
          <w:highlight w:val="none"/>
        </w:rPr>
      </w:pPr>
      <w:r>
        <w:rPr>
          <w:rFonts w:hint="eastAsia" w:ascii="宋体" w:hAnsi="宋体" w:cs="宋体"/>
          <w:color w:val="auto"/>
          <w:szCs w:val="21"/>
          <w:highlight w:val="none"/>
        </w:rPr>
        <w:t>本工程树木迁移距离暂按5KM计取，结算时迁移距离、数量按实计取，成活养护期按3个月计取，承包人须考虑投标风险。</w:t>
      </w:r>
    </w:p>
    <w:p>
      <w:pPr>
        <w:pStyle w:val="125"/>
        <w:spacing w:after="200" w:line="360" w:lineRule="auto"/>
        <w:ind w:firstLine="420" w:firstLineChars="150"/>
        <w:outlineLvl w:val="1"/>
        <w:rPr>
          <w:rFonts w:hint="eastAsia" w:ascii="黑体" w:eastAsia="黑体"/>
          <w:color w:val="auto"/>
          <w:sz w:val="42"/>
          <w:szCs w:val="42"/>
          <w:highlight w:val="none"/>
        </w:rPr>
      </w:pPr>
      <w:bookmarkStart w:id="8333" w:name="_Toc69114302"/>
      <w:bookmarkStart w:id="8334" w:name="_Toc16760"/>
      <w:r>
        <w:rPr>
          <w:rFonts w:hint="eastAsia"/>
          <w:b/>
          <w:bCs/>
          <w:color w:val="auto"/>
          <w:sz w:val="28"/>
          <w:szCs w:val="28"/>
          <w:highlight w:val="none"/>
        </w:rPr>
        <w:t>三、工程管理的补充说明</w:t>
      </w:r>
      <w:bookmarkEnd w:id="8333"/>
      <w:bookmarkEnd w:id="8334"/>
    </w:p>
    <w:p>
      <w:pPr>
        <w:overflowPunct w:val="0"/>
        <w:adjustRightInd w:val="0"/>
        <w:snapToGrid w:val="0"/>
        <w:spacing w:line="360" w:lineRule="auto"/>
        <w:ind w:firstLine="600" w:firstLineChars="200"/>
        <w:outlineLvl w:val="2"/>
        <w:rPr>
          <w:rFonts w:hint="eastAsia" w:ascii="宋体" w:hAnsi="宋体" w:cs="宋体"/>
          <w:b/>
          <w:bCs/>
          <w:color w:val="auto"/>
          <w:sz w:val="30"/>
          <w:szCs w:val="30"/>
          <w:highlight w:val="none"/>
        </w:rPr>
      </w:pPr>
      <w:bookmarkStart w:id="8335" w:name="_Toc69114303"/>
      <w:r>
        <w:rPr>
          <w:rFonts w:ascii="宋体" w:hAnsi="宋体" w:cs="宋体"/>
          <w:b/>
          <w:bCs/>
          <w:color w:val="auto"/>
          <w:sz w:val="30"/>
          <w:szCs w:val="30"/>
          <w:highlight w:val="none"/>
        </w:rPr>
        <w:t>1</w:t>
      </w:r>
      <w:r>
        <w:rPr>
          <w:rFonts w:hint="eastAsia" w:ascii="宋体" w:hAnsi="宋体" w:cs="宋体"/>
          <w:b/>
          <w:bCs/>
          <w:color w:val="auto"/>
          <w:sz w:val="30"/>
          <w:szCs w:val="30"/>
          <w:highlight w:val="none"/>
        </w:rPr>
        <w:t>、劳务队伍“工匠”要求</w:t>
      </w:r>
      <w:bookmarkEnd w:id="8335"/>
    </w:p>
    <w:p>
      <w:pPr>
        <w:keepNext/>
        <w:keepLines/>
        <w:spacing w:before="120" w:beforeLines="50" w:after="120" w:afterLines="50" w:line="360" w:lineRule="auto"/>
        <w:ind w:firstLine="726"/>
        <w:outlineLvl w:val="3"/>
        <w:rPr>
          <w:rFonts w:hint="eastAsia" w:ascii="宋体" w:hAnsi="宋体" w:cs="宋体"/>
          <w:b/>
          <w:bCs/>
          <w:color w:val="auto"/>
          <w:sz w:val="24"/>
          <w:szCs w:val="24"/>
          <w:highlight w:val="none"/>
        </w:rPr>
      </w:pPr>
      <w:r>
        <w:rPr>
          <w:rFonts w:ascii="宋体" w:hAnsi="宋体" w:cs="宋体"/>
          <w:b/>
          <w:bCs/>
          <w:color w:val="auto"/>
          <w:sz w:val="24"/>
          <w:szCs w:val="24"/>
          <w:highlight w:val="none"/>
        </w:rPr>
        <w:t xml:space="preserve">1.1 </w:t>
      </w:r>
      <w:r>
        <w:rPr>
          <w:rFonts w:hint="eastAsia" w:ascii="宋体" w:hAnsi="宋体" w:cs="宋体"/>
          <w:b/>
          <w:bCs/>
          <w:color w:val="auto"/>
          <w:sz w:val="24"/>
          <w:szCs w:val="24"/>
          <w:highlight w:val="none"/>
        </w:rPr>
        <w:t>承包人须建立工匠课堂</w:t>
      </w:r>
    </w:p>
    <w:p>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为弘扬“工匠精神”，开工令下发后20天内，承包人须建立工匠课堂。工匠课堂具体要求如下：</w:t>
      </w:r>
    </w:p>
    <w:p>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（1）工匠课堂必须有完善的管理机制、工匠培训机制及奖励机制，并配备相应的培训资金；</w:t>
      </w:r>
    </w:p>
    <w:p>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（2）设置专门工匠课堂（可与会议室合并）；</w:t>
      </w:r>
    </w:p>
    <w:p>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（3）培训形式可灵活开展，包含课堂培训、现场教学及实体参观学习等。</w:t>
      </w:r>
    </w:p>
    <w:p>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（4）相关培训宣传及责任要求应完成上墙工作。</w:t>
      </w:r>
    </w:p>
    <w:p>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（5）承包人每周需开展一次课堂培训，所有进场员工每月应接受一次课堂培训。</w:t>
      </w:r>
    </w:p>
    <w:p>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（6）承包人应在培训开展前向监理报备培训课件及培训计划，具体课件根据工地现场需求准备。所有培训资料向监理报备并接受监理及发包人对工匠课堂的抽查。</w:t>
      </w:r>
    </w:p>
    <w:p>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（7）未开展工匠课堂的，承包人需向发包人支付违约金10万元；每周未按要求报备课件并开展培训的，承包人需向发包人支付违约金1万元/次。</w:t>
      </w:r>
    </w:p>
    <w:p>
      <w:pPr>
        <w:keepNext/>
        <w:keepLines/>
        <w:spacing w:before="120" w:beforeLines="50" w:after="120" w:afterLines="50" w:line="360" w:lineRule="auto"/>
        <w:ind w:firstLine="726"/>
        <w:outlineLvl w:val="3"/>
        <w:rPr>
          <w:rFonts w:ascii="宋体" w:hAnsi="宋体" w:cs="宋体"/>
          <w:b/>
          <w:bCs/>
          <w:color w:val="auto"/>
          <w:sz w:val="24"/>
          <w:szCs w:val="24"/>
          <w:highlight w:val="none"/>
        </w:rPr>
      </w:pPr>
      <w:r>
        <w:rPr>
          <w:rFonts w:ascii="宋体" w:hAnsi="宋体" w:cs="宋体"/>
          <w:b/>
          <w:bCs/>
          <w:color w:val="auto"/>
          <w:sz w:val="24"/>
          <w:szCs w:val="24"/>
          <w:highlight w:val="none"/>
        </w:rPr>
        <w:t>1</w:t>
      </w:r>
      <w:r>
        <w:rPr>
          <w:rFonts w:hint="eastAsia" w:ascii="宋体" w:hAnsi="宋体" w:cs="宋体"/>
          <w:b/>
          <w:bCs/>
          <w:color w:val="auto"/>
          <w:sz w:val="24"/>
          <w:szCs w:val="24"/>
          <w:highlight w:val="none"/>
        </w:rPr>
        <w:t>.2</w:t>
      </w:r>
      <w:r>
        <w:rPr>
          <w:rFonts w:ascii="宋体" w:hAnsi="宋体" w:cs="宋体"/>
          <w:b/>
          <w:bCs/>
          <w:color w:val="auto"/>
          <w:sz w:val="24"/>
          <w:szCs w:val="24"/>
          <w:highlight w:val="none"/>
        </w:rPr>
        <w:t xml:space="preserve"> </w:t>
      </w:r>
      <w:r>
        <w:rPr>
          <w:rFonts w:hint="eastAsia" w:ascii="宋体" w:hAnsi="宋体" w:cs="宋体"/>
          <w:b/>
          <w:bCs/>
          <w:color w:val="auto"/>
          <w:sz w:val="24"/>
          <w:szCs w:val="24"/>
          <w:highlight w:val="none"/>
        </w:rPr>
        <w:t>承包人上报监理工程师审查</w:t>
      </w:r>
    </w:p>
    <w:p>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根据工程进场时序，劳务队伍进场前，承包人需将劳务队伍实际情况专项上报监理工程师及发包人进行审查，劳务队伍中熟练工人比例应达到50%以上，且应按投标阶段提供的工种人数进行配置。承包人每季度可对熟练工人人员名单进行一次调整，每次调整不应超过30%，调整后人员名单应上报监理和发包人审核确定，发包人将对确定后的熟练工人实操能力进行抽检。承包人如未按上述要求进行劳务队伍配备，将支付违约金5万元/次。</w:t>
      </w:r>
    </w:p>
    <w:p>
      <w:pPr>
        <w:keepNext/>
        <w:keepLines/>
        <w:spacing w:before="120" w:beforeLines="50" w:after="120" w:afterLines="50" w:line="360" w:lineRule="auto"/>
        <w:ind w:firstLine="726"/>
        <w:outlineLvl w:val="3"/>
        <w:rPr>
          <w:rFonts w:ascii="宋体" w:hAnsi="宋体" w:cs="宋体"/>
          <w:b/>
          <w:bCs/>
          <w:color w:val="auto"/>
          <w:sz w:val="24"/>
          <w:szCs w:val="24"/>
          <w:highlight w:val="none"/>
        </w:rPr>
      </w:pPr>
      <w:r>
        <w:rPr>
          <w:rFonts w:ascii="宋体" w:hAnsi="宋体" w:cs="宋体"/>
          <w:b/>
          <w:bCs/>
          <w:color w:val="auto"/>
          <w:sz w:val="24"/>
          <w:szCs w:val="24"/>
          <w:highlight w:val="none"/>
        </w:rPr>
        <w:t>1</w:t>
      </w:r>
      <w:r>
        <w:rPr>
          <w:rFonts w:hint="eastAsia" w:ascii="宋体" w:hAnsi="宋体" w:cs="宋体"/>
          <w:b/>
          <w:bCs/>
          <w:color w:val="auto"/>
          <w:sz w:val="24"/>
          <w:szCs w:val="24"/>
          <w:highlight w:val="none"/>
        </w:rPr>
        <w:t>.3</w:t>
      </w:r>
      <w:r>
        <w:rPr>
          <w:rFonts w:ascii="宋体" w:hAnsi="宋体" w:cs="宋体"/>
          <w:b/>
          <w:bCs/>
          <w:color w:val="auto"/>
          <w:sz w:val="24"/>
          <w:szCs w:val="24"/>
          <w:highlight w:val="none"/>
        </w:rPr>
        <w:t xml:space="preserve"> </w:t>
      </w:r>
      <w:r>
        <w:rPr>
          <w:rFonts w:hint="eastAsia" w:ascii="宋体" w:hAnsi="宋体" w:cs="宋体"/>
          <w:b/>
          <w:bCs/>
          <w:color w:val="auto"/>
          <w:sz w:val="24"/>
          <w:szCs w:val="24"/>
          <w:highlight w:val="none"/>
        </w:rPr>
        <w:t>熟练工人的审验</w:t>
      </w:r>
    </w:p>
    <w:p>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如对实施工艺有特殊要求的，劳务队伍中的熟练工人尚需经总设计师予以确认。对于本工程内的特殊专业工程，承包人应以“工匠”精神为目标，派驻具备工艺要求的熟练工人队伍完成，熟练工人队伍的确认以对应工程样板段（大样）审验合格为准。</w:t>
      </w:r>
    </w:p>
    <w:p>
      <w:pPr>
        <w:keepNext/>
        <w:keepLines/>
        <w:spacing w:before="120" w:beforeLines="50" w:after="120" w:afterLines="50" w:line="360" w:lineRule="auto"/>
        <w:ind w:firstLine="726"/>
        <w:outlineLvl w:val="3"/>
        <w:rPr>
          <w:rFonts w:hint="eastAsia" w:ascii="宋体" w:hAnsi="宋体" w:cs="宋体"/>
          <w:b/>
          <w:bCs/>
          <w:color w:val="auto"/>
          <w:sz w:val="24"/>
          <w:szCs w:val="24"/>
          <w:highlight w:val="none"/>
        </w:rPr>
      </w:pPr>
      <w:r>
        <w:rPr>
          <w:rFonts w:ascii="宋体" w:hAnsi="宋体" w:cs="宋体"/>
          <w:b/>
          <w:bCs/>
          <w:color w:val="auto"/>
          <w:sz w:val="24"/>
          <w:szCs w:val="24"/>
          <w:highlight w:val="none"/>
        </w:rPr>
        <w:t>1</w:t>
      </w:r>
      <w:r>
        <w:rPr>
          <w:rFonts w:hint="eastAsia" w:ascii="宋体" w:hAnsi="宋体" w:cs="宋体"/>
          <w:b/>
          <w:bCs/>
          <w:color w:val="auto"/>
          <w:sz w:val="24"/>
          <w:szCs w:val="24"/>
          <w:highlight w:val="none"/>
        </w:rPr>
        <w:t>.4</w:t>
      </w:r>
      <w:r>
        <w:rPr>
          <w:rFonts w:ascii="宋体" w:hAnsi="宋体" w:cs="宋体"/>
          <w:b/>
          <w:bCs/>
          <w:color w:val="auto"/>
          <w:sz w:val="24"/>
          <w:szCs w:val="24"/>
          <w:highlight w:val="none"/>
        </w:rPr>
        <w:t xml:space="preserve"> </w:t>
      </w:r>
      <w:r>
        <w:rPr>
          <w:rFonts w:hint="eastAsia" w:ascii="宋体" w:hAnsi="宋体" w:cs="宋体"/>
          <w:b/>
          <w:bCs/>
          <w:color w:val="auto"/>
          <w:sz w:val="24"/>
          <w:szCs w:val="24"/>
          <w:highlight w:val="none"/>
        </w:rPr>
        <w:t>承包人组织劳动竞赛</w:t>
      </w:r>
    </w:p>
    <w:p>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为创造高品质工程建设氛围，发扬工匠精神，激励工匠，承包人每季度需开展一次劳动竞赛，劳动竞赛由承包人承办，竞赛相关工种根据工程建设时序设定，相关费用由承包人各自承担，承包人应在中标净下浮率考虑，发包人不另行计取费用。劳动竞赛应为竞赛中优秀的熟练工人颁发证书，具体奖励细则由承包人制定并上报发包人审批后实施。发包人将对每次劳动竞赛过程进行监督和检查。</w:t>
      </w:r>
    </w:p>
    <w:p>
      <w:pPr>
        <w:keepNext/>
        <w:keepLines/>
        <w:spacing w:before="120" w:beforeLines="50" w:after="120" w:afterLines="50" w:line="360" w:lineRule="auto"/>
        <w:ind w:firstLine="726"/>
        <w:outlineLvl w:val="3"/>
        <w:rPr>
          <w:rFonts w:ascii="宋体" w:hAnsi="宋体" w:cs="宋体"/>
          <w:b/>
          <w:bCs/>
          <w:color w:val="auto"/>
          <w:sz w:val="24"/>
          <w:szCs w:val="24"/>
          <w:highlight w:val="none"/>
        </w:rPr>
      </w:pPr>
      <w:r>
        <w:rPr>
          <w:rFonts w:ascii="宋体" w:hAnsi="宋体" w:cs="宋体"/>
          <w:b/>
          <w:bCs/>
          <w:color w:val="auto"/>
          <w:sz w:val="24"/>
          <w:szCs w:val="24"/>
          <w:highlight w:val="none"/>
        </w:rPr>
        <w:t>1</w:t>
      </w:r>
      <w:r>
        <w:rPr>
          <w:rFonts w:hint="eastAsia" w:ascii="宋体" w:hAnsi="宋体" w:cs="宋体"/>
          <w:b/>
          <w:bCs/>
          <w:color w:val="auto"/>
          <w:sz w:val="24"/>
          <w:szCs w:val="24"/>
          <w:highlight w:val="none"/>
        </w:rPr>
        <w:t>.5 技术培训</w:t>
      </w:r>
    </w:p>
    <w:p>
      <w:pPr>
        <w:autoSpaceDE w:val="0"/>
        <w:autoSpaceDN w:val="0"/>
        <w:adjustRightIn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承包人应定期（至少每周一次）对劳务队伍进行技术培训（工匠培训），并且需提供培训记录。</w:t>
      </w:r>
    </w:p>
    <w:p>
      <w:pPr>
        <w:keepNext/>
        <w:keepLines/>
        <w:spacing w:before="120" w:beforeLines="50" w:after="120" w:afterLines="50" w:line="360" w:lineRule="auto"/>
        <w:ind w:firstLine="600" w:firstLineChars="200"/>
        <w:outlineLvl w:val="2"/>
        <w:rPr>
          <w:rFonts w:hint="eastAsia" w:ascii="宋体" w:hAnsi="宋体" w:cs="宋体"/>
          <w:b/>
          <w:bCs/>
          <w:color w:val="auto"/>
          <w:sz w:val="30"/>
          <w:szCs w:val="30"/>
          <w:highlight w:val="none"/>
        </w:rPr>
      </w:pPr>
      <w:bookmarkStart w:id="8336" w:name="_Toc69114304"/>
      <w:r>
        <w:rPr>
          <w:rFonts w:ascii="宋体" w:hAnsi="宋体" w:cs="宋体"/>
          <w:b/>
          <w:bCs/>
          <w:color w:val="auto"/>
          <w:sz w:val="30"/>
          <w:szCs w:val="30"/>
          <w:highlight w:val="none"/>
        </w:rPr>
        <w:t>2</w:t>
      </w:r>
      <w:r>
        <w:rPr>
          <w:rFonts w:hint="eastAsia" w:ascii="宋体" w:hAnsi="宋体" w:cs="宋体"/>
          <w:b/>
          <w:bCs/>
          <w:color w:val="auto"/>
          <w:sz w:val="30"/>
          <w:szCs w:val="30"/>
          <w:highlight w:val="none"/>
        </w:rPr>
        <w:t>、承包人对设计的建议权</w:t>
      </w:r>
      <w:bookmarkEnd w:id="8336"/>
    </w:p>
    <w:p>
      <w:pPr>
        <w:keepNext/>
        <w:keepLines/>
        <w:spacing w:before="120" w:beforeLines="50" w:after="120" w:afterLines="50" w:line="360" w:lineRule="auto"/>
        <w:ind w:firstLine="726"/>
        <w:outlineLvl w:val="3"/>
        <w:rPr>
          <w:rFonts w:hint="eastAsia" w:ascii="宋体" w:hAnsi="宋体" w:cs="宋体"/>
          <w:b/>
          <w:bCs/>
          <w:color w:val="auto"/>
          <w:sz w:val="24"/>
          <w:szCs w:val="24"/>
          <w:highlight w:val="none"/>
        </w:rPr>
      </w:pPr>
      <w:r>
        <w:rPr>
          <w:rFonts w:ascii="宋体" w:hAnsi="宋体" w:cs="宋体"/>
          <w:b/>
          <w:bCs/>
          <w:color w:val="auto"/>
          <w:sz w:val="24"/>
          <w:szCs w:val="24"/>
          <w:highlight w:val="none"/>
        </w:rPr>
        <w:t xml:space="preserve">2.1 </w:t>
      </w:r>
      <w:r>
        <w:rPr>
          <w:rFonts w:hint="eastAsia" w:ascii="宋体" w:hAnsi="宋体" w:cs="宋体"/>
          <w:b/>
          <w:bCs/>
          <w:color w:val="auto"/>
          <w:sz w:val="24"/>
          <w:szCs w:val="24"/>
          <w:highlight w:val="none"/>
        </w:rPr>
        <w:t>承包人对过度设计的建议权</w:t>
      </w:r>
    </w:p>
    <w:p>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承包人在中标后1个月以内，应组织自身建筑、结构、水电、通风等专家对设计图纸进行审查，并针对过度设计提出合理化建议，报监理及发包人，发包人认为有必要修改设计图纸的，则按设计变更程序处理。</w:t>
      </w:r>
    </w:p>
    <w:p>
      <w:pPr>
        <w:keepNext/>
        <w:keepLines/>
        <w:spacing w:before="120" w:beforeLines="50" w:after="120" w:afterLines="50" w:line="360" w:lineRule="auto"/>
        <w:ind w:firstLine="726"/>
        <w:outlineLvl w:val="3"/>
        <w:rPr>
          <w:rFonts w:hint="eastAsia" w:ascii="宋体" w:hAnsi="宋体" w:cs="宋体"/>
          <w:b/>
          <w:bCs/>
          <w:color w:val="auto"/>
          <w:sz w:val="24"/>
          <w:szCs w:val="24"/>
          <w:highlight w:val="none"/>
        </w:rPr>
      </w:pPr>
      <w:r>
        <w:rPr>
          <w:rFonts w:ascii="宋体" w:hAnsi="宋体" w:cs="宋体"/>
          <w:b/>
          <w:bCs/>
          <w:color w:val="auto"/>
          <w:sz w:val="24"/>
          <w:szCs w:val="24"/>
          <w:highlight w:val="none"/>
        </w:rPr>
        <w:t xml:space="preserve">2.2 </w:t>
      </w:r>
      <w:r>
        <w:rPr>
          <w:rFonts w:hint="eastAsia" w:ascii="宋体" w:hAnsi="宋体" w:cs="宋体"/>
          <w:b/>
          <w:bCs/>
          <w:color w:val="auto"/>
          <w:sz w:val="24"/>
          <w:szCs w:val="24"/>
          <w:highlight w:val="none"/>
        </w:rPr>
        <w:t>承包人对高颜值设计的建议权</w:t>
      </w:r>
    </w:p>
    <w:p>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承包人在中标后1个月以内，应组织自身建筑、景观、室内设计等专家对设计图纸进行审查，并针对高颜值设计提出合理化建议，报监理及发包人，发包人认为有必要修改设计图纸的，则按设计变更程序处理。</w:t>
      </w:r>
    </w:p>
    <w:p>
      <w:pPr>
        <w:keepNext/>
        <w:keepLines/>
        <w:spacing w:before="120" w:beforeLines="50" w:after="120" w:afterLines="50" w:line="360" w:lineRule="auto"/>
        <w:ind w:firstLine="600" w:firstLineChars="200"/>
        <w:outlineLvl w:val="2"/>
        <w:rPr>
          <w:rFonts w:hint="eastAsia" w:ascii="宋体" w:hAnsi="宋体" w:cs="宋体"/>
          <w:b/>
          <w:bCs/>
          <w:color w:val="auto"/>
          <w:sz w:val="30"/>
          <w:szCs w:val="30"/>
          <w:highlight w:val="none"/>
        </w:rPr>
      </w:pPr>
      <w:bookmarkStart w:id="8337" w:name="_Toc69114305"/>
      <w:r>
        <w:rPr>
          <w:rFonts w:ascii="宋体" w:hAnsi="宋体" w:cs="宋体"/>
          <w:b/>
          <w:bCs/>
          <w:color w:val="auto"/>
          <w:sz w:val="30"/>
          <w:szCs w:val="30"/>
          <w:highlight w:val="none"/>
        </w:rPr>
        <w:t>3</w:t>
      </w:r>
      <w:r>
        <w:rPr>
          <w:rFonts w:hint="eastAsia" w:ascii="宋体" w:hAnsi="宋体" w:cs="宋体"/>
          <w:b/>
          <w:bCs/>
          <w:color w:val="auto"/>
          <w:sz w:val="30"/>
          <w:szCs w:val="30"/>
          <w:highlight w:val="none"/>
        </w:rPr>
        <w:t>、信访维稳</w:t>
      </w:r>
      <w:bookmarkEnd w:id="8337"/>
    </w:p>
    <w:p>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应按照《信访条例》《关于印发&lt;光明区群众诉求服务站建设方案&gt;的通知》，参照合同履约评价管理办法等相关文件要求，做好信访维稳、群众诉求服务等工作。承包人应在工期较长、用工规模50人以上或矛盾纠纷多发易发的建筑工地设置服务站，及时有效防范和化解建筑工地矛盾纠纷，不得发生越级进京、赴省、到市上访事项。因拖欠工人工资或分包商工程款而发生纠纷逾期未整改或引发群体性上访事件的，承包人当季履约评价应为不合格。</w:t>
      </w:r>
    </w:p>
    <w:p>
      <w:pPr>
        <w:keepNext/>
        <w:keepLines/>
        <w:spacing w:before="120" w:beforeLines="50" w:after="120" w:afterLines="50" w:line="360" w:lineRule="auto"/>
        <w:ind w:firstLine="600" w:firstLineChars="200"/>
        <w:outlineLvl w:val="2"/>
        <w:rPr>
          <w:rFonts w:hint="eastAsia" w:ascii="宋体" w:hAnsi="宋体" w:cs="宋体"/>
          <w:b/>
          <w:bCs/>
          <w:color w:val="auto"/>
          <w:sz w:val="30"/>
          <w:szCs w:val="30"/>
          <w:highlight w:val="none"/>
        </w:rPr>
      </w:pPr>
      <w:bookmarkStart w:id="8338" w:name="_Toc69114306"/>
      <w:r>
        <w:rPr>
          <w:rFonts w:ascii="宋体" w:hAnsi="宋体" w:cs="宋体"/>
          <w:b/>
          <w:bCs/>
          <w:color w:val="auto"/>
          <w:sz w:val="30"/>
          <w:szCs w:val="30"/>
          <w:highlight w:val="none"/>
        </w:rPr>
        <w:t>4</w:t>
      </w:r>
      <w:r>
        <w:rPr>
          <w:rFonts w:hint="eastAsia" w:ascii="宋体" w:hAnsi="宋体" w:cs="宋体"/>
          <w:b/>
          <w:bCs/>
          <w:color w:val="auto"/>
          <w:sz w:val="30"/>
          <w:szCs w:val="30"/>
          <w:highlight w:val="none"/>
        </w:rPr>
        <w:t>、扫黑除恶</w:t>
      </w:r>
      <w:bookmarkEnd w:id="8338"/>
    </w:p>
    <w:p>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承包人应按照中共中央、国务院发出的《关于开展扫黑除恶除恶专项斗争的通知》和省、市、区关于扫黑除恶专项斗争的有关工作部署，做好扫黑除恶宣传发动、涉黑涉恶线索摸排等相关工作。</w:t>
      </w:r>
    </w:p>
    <w:p>
      <w:pPr>
        <w:keepNext/>
        <w:keepLines/>
        <w:spacing w:before="120" w:beforeLines="50" w:after="120" w:afterLines="50" w:line="360" w:lineRule="auto"/>
        <w:ind w:firstLine="600" w:firstLineChars="200"/>
        <w:outlineLvl w:val="2"/>
        <w:rPr>
          <w:rFonts w:hint="eastAsia" w:ascii="宋体" w:hAnsi="宋体" w:cs="宋体"/>
          <w:b/>
          <w:bCs/>
          <w:color w:val="auto"/>
          <w:sz w:val="30"/>
          <w:szCs w:val="30"/>
          <w:highlight w:val="none"/>
        </w:rPr>
      </w:pPr>
      <w:bookmarkStart w:id="8339" w:name="_Toc69114307"/>
      <w:r>
        <w:rPr>
          <w:rFonts w:ascii="宋体" w:hAnsi="宋体" w:cs="宋体"/>
          <w:b/>
          <w:bCs/>
          <w:color w:val="auto"/>
          <w:sz w:val="30"/>
          <w:szCs w:val="30"/>
          <w:highlight w:val="none"/>
        </w:rPr>
        <w:t>5</w:t>
      </w:r>
      <w:r>
        <w:rPr>
          <w:rFonts w:hint="eastAsia" w:ascii="宋体" w:hAnsi="宋体" w:cs="宋体"/>
          <w:b/>
          <w:bCs/>
          <w:color w:val="auto"/>
          <w:sz w:val="30"/>
          <w:szCs w:val="30"/>
          <w:highlight w:val="none"/>
        </w:rPr>
        <w:t>、黄泥水问题</w:t>
      </w:r>
      <w:bookmarkEnd w:id="8339"/>
    </w:p>
    <w:p>
      <w:pPr>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对于因黄泥水问题局部整改而被责令停工整顿以及一年内发生2次及以上黄泥水外排问题的项目参建单位，发包人将视情况通报至光明区政府投资项目的各建设单位，6个月内不选择其作为供应商。具体办法参照水务部门相关规定执行。</w:t>
      </w:r>
    </w:p>
    <w:p>
      <w:pPr>
        <w:pStyle w:val="125"/>
        <w:keepNext/>
        <w:keepLines/>
        <w:spacing w:before="120" w:beforeLines="50" w:after="120" w:afterLines="50" w:line="360" w:lineRule="auto"/>
        <w:ind w:firstLine="600" w:firstLineChars="200"/>
        <w:outlineLvl w:val="2"/>
        <w:rPr>
          <w:rFonts w:ascii="宋体" w:hAnsi="宋体" w:cs="宋体"/>
          <w:b/>
          <w:bCs/>
          <w:color w:val="auto"/>
          <w:sz w:val="30"/>
          <w:szCs w:val="30"/>
          <w:highlight w:val="none"/>
          <w:lang w:val="en-GB"/>
        </w:rPr>
      </w:pPr>
      <w:bookmarkStart w:id="8340" w:name="_Toc69114308"/>
      <w:r>
        <w:rPr>
          <w:rFonts w:hint="eastAsia" w:ascii="宋体" w:hAnsi="宋体" w:cs="宋体"/>
          <w:b/>
          <w:bCs/>
          <w:color w:val="auto"/>
          <w:sz w:val="30"/>
          <w:szCs w:val="30"/>
          <w:highlight w:val="none"/>
        </w:rPr>
        <w:t>6</w:t>
      </w:r>
      <w:r>
        <w:rPr>
          <w:rFonts w:hint="eastAsia" w:ascii="宋体" w:hAnsi="宋体" w:cs="宋体"/>
          <w:b/>
          <w:bCs/>
          <w:color w:val="auto"/>
          <w:sz w:val="30"/>
          <w:szCs w:val="30"/>
          <w:highlight w:val="none"/>
          <w:lang w:val="en-GB"/>
        </w:rPr>
        <w:t>、商品砼、预拌砂浆</w:t>
      </w:r>
      <w:bookmarkEnd w:id="8340"/>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承包人要提供不少于三家适用于本工程商品混凝土供货商的名录，由发包人、监理等单位进行实地考察，同意后方可进行采购，否则，所造成的后果由承包商自负，发包人、监理考察所需费用由承包商承担，不再另行计价。</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本工程一律禁止使用自拌砂浆，所有工程部位均使用预拌砂浆。按上述规定进行供货商的选择，经发包人、监理确认</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同意后方可用于本工程。</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承包人所购买的预拌砼、预拌砂浆必须满足本工程的设计与施工要求，承包人要综合考虑材料采购、运距、运输车辆管理等一切费用，结算时不因运距等的改变而作调整。</w:t>
      </w:r>
    </w:p>
    <w:p>
      <w:pPr>
        <w:pStyle w:val="125"/>
        <w:keepNext/>
        <w:keepLines/>
        <w:spacing w:before="120" w:beforeLines="50" w:after="120" w:afterLines="50" w:line="360" w:lineRule="auto"/>
        <w:ind w:firstLine="480" w:firstLineChars="200"/>
        <w:outlineLvl w:val="2"/>
        <w:rPr>
          <w:rFonts w:ascii="宋体" w:hAnsi="宋体"/>
          <w:b/>
          <w:bCs/>
          <w:color w:val="auto"/>
          <w:sz w:val="24"/>
          <w:highlight w:val="none"/>
          <w:lang w:val="en-GB"/>
        </w:rPr>
      </w:pPr>
      <w:bookmarkStart w:id="8341" w:name="_Toc69114309"/>
      <w:r>
        <w:rPr>
          <w:rFonts w:hint="eastAsia" w:ascii="宋体" w:hAnsi="宋体"/>
          <w:b/>
          <w:bCs/>
          <w:color w:val="auto"/>
          <w:sz w:val="24"/>
          <w:highlight w:val="none"/>
        </w:rPr>
        <w:t>7</w:t>
      </w:r>
      <w:r>
        <w:rPr>
          <w:rFonts w:hint="eastAsia" w:ascii="宋体" w:hAnsi="宋体"/>
          <w:b/>
          <w:bCs/>
          <w:color w:val="auto"/>
          <w:sz w:val="24"/>
          <w:highlight w:val="none"/>
          <w:lang w:val="en-GB"/>
        </w:rPr>
        <w:t>、劳务</w:t>
      </w:r>
      <w:bookmarkEnd w:id="8341"/>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rPr>
        <w:t>7</w:t>
      </w:r>
      <w:r>
        <w:rPr>
          <w:rFonts w:hint="eastAsia" w:ascii="宋体" w:hAnsi="宋体" w:cs="宋体"/>
          <w:color w:val="auto"/>
          <w:szCs w:val="21"/>
          <w:highlight w:val="none"/>
          <w:lang w:val="en-GB"/>
        </w:rPr>
        <w:t>.1除合同另有规定外，承包人应自行聘（雇）用当地或其他来源的雇员，并负责支付上述人员的工资（包括住宿及交通等费用），以及进场和退场的一切费用。承包人聘（雇）员应在当地注册的劳务部门办理手续，并与他聘（雇）用的雇员（包括劳务工在内的所有工人）订立劳动合同协议，按国家规定提供劳动保护，明确劳动报酬等内容，并严格履行，及时足额支付工资等劳动报酬。承包人不得从为发包人或工程师服务的人员中招聘雇员。</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rPr>
        <w:t>7</w:t>
      </w:r>
      <w:r>
        <w:rPr>
          <w:rFonts w:hint="eastAsia" w:ascii="宋体" w:hAnsi="宋体" w:cs="宋体"/>
          <w:color w:val="auto"/>
          <w:szCs w:val="21"/>
          <w:highlight w:val="none"/>
          <w:lang w:val="en-GB"/>
        </w:rPr>
        <w:t>.2农民工用工及工资支付要求</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承包人不得以任何发包人的责任（如未按时支付工程款）为理由延期支付上述雇员的工资。承包人必须严格按照国家、省、市等有关规定支付劳务工工资、不得拖欠或克扣。对发包人支付的工程款，承包人须优先用于支付工人劳动报酬，确保不发生因拖欠工人工资而导致的停工闹事等事件。本项目发包人、承包人及监理须根据国办发【2016】1号文、深建市场〔2016〕34号文，《深圳市住房和建设局关于切实推进劳务工实名制和分账制管理工作落地的通知》（深建市场</w:t>
      </w:r>
      <w:r>
        <w:rPr>
          <w:rFonts w:hint="eastAsia" w:ascii="宋体" w:hAnsi="宋体" w:cs="宋体"/>
          <w:color w:val="auto"/>
          <w:szCs w:val="21"/>
          <w:highlight w:val="none"/>
        </w:rPr>
        <w:t>[2017]20号文）、《深圳市光明区劳资纠纷分类分级处置工作办法（试行）》（深光管办[2018]18号文）</w:t>
      </w:r>
      <w:r>
        <w:rPr>
          <w:rFonts w:hint="eastAsia" w:ascii="宋体" w:hAnsi="宋体" w:cs="宋体"/>
          <w:color w:val="auto"/>
          <w:szCs w:val="21"/>
          <w:highlight w:val="none"/>
          <w:lang w:val="en-GB"/>
        </w:rPr>
        <w:t>和国家、省、市、区其他相关文件规定的要求严格落实工人工资支付工作：</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①明确工资支付各方主体责任。全面落实企业对招用农民工的工资支付责任，督促各类企业严格依法将工资按月足额支付给农民工本人，严禁将工资发放给不具备用工主体资格的组织和个人。承包人对所承包工程项目的农民工工资支付负总责，分包企业（包括承包施工总承包企业发包工程的专业企业，下同）对所招用农民工的工资支付负直接责任，不得以工程款未到位等为由克扣或拖欠农民工工资，不得将合同应收工程款等经营风险转嫁给农民工。严格执行承包人欠薪清偿负责制及建设行业工资支付保证金制度。</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②严格规范劳动用工管理。承包人须依法与招用的农民工签订劳动合同并严格履行，建立职工名册并办理劳动用工备案。且必须先签订劳动合同后进场施工，实行农民工实名制管理制度，承包人须建立劳动计酬手册，记录施工现场作业农民工的身份信息、劳动考勤、工资结算等信息。承包人要加强对分包企业劳动用工和工资发放的监督管理，在工程项目部配备劳资专管员，建立施工人员进出场登记制度和考勤计量、工资支付等管理台账，实时掌握施工现场用工及其工资支付情况，不得以包代管。承包人和分包企业应将经农民工本人签字确认的工资支付书面记录保存两年以上备查。</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③推行银行代发工资制度。推动各类企业委托银行代发农民工工资。鼓励实行分包企业农民工工资委托施工总承包企业直接代发的办法。分包企业负责为招用的农民工申办银行个人工资账户并办理实名制工资支付银行卡，按月考核农民工工作量并编制工资支付表，经农民工本人签字确认后，交施工总承包企业委托银行通过其设立的农民工工资（劳务费）专用账户直接将工资划入农民工个人工资账户。</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④承包人对所承包工程项目的劳务工实名制工作负总责，分包单位（包括专业分包和劳务分包，下同）负直接责任。承包人和分包单位对建设项目工程款中的工人工资与其他款项实行分开银行账户管理，在商业银行设立工人工资支付专用账户用于支付工资。发包人直接发包的专业工程，由承包人落实“两制”管理。</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⑤承包人应当配备劳资管理员，建立用工管理台账，真实、准确记录工人名册、劳动合同、工程进度、工时、劳务承包款和工人工资支付情况等信息，并保存两年以上备查。</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rPr>
        <w:t>7</w:t>
      </w:r>
      <w:r>
        <w:rPr>
          <w:rFonts w:hint="eastAsia" w:ascii="宋体" w:hAnsi="宋体" w:cs="宋体"/>
          <w:color w:val="auto"/>
          <w:szCs w:val="21"/>
          <w:highlight w:val="none"/>
          <w:lang w:val="en-GB"/>
        </w:rPr>
        <w:t>.3承包人通过劳务公司分包劳务的，应将劳务发包给具有相应资质的劳务分包单位，并按照劳务分包合同约定及时足额支付劳务费用。承包人应在劳务分包合同中要求劳务分包单位对所有派遣人员投保意外伤害险，保险金额不得低于30万元/人。保险单复印件应提供一份给发包人备案，承包人未对劳务分包单位提出此类要求的，承包人与劳务分包单位承担连带责任。</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rPr>
        <w:t>7</w:t>
      </w:r>
      <w:r>
        <w:rPr>
          <w:rFonts w:hint="eastAsia" w:ascii="宋体" w:hAnsi="宋体" w:cs="宋体"/>
          <w:color w:val="auto"/>
          <w:szCs w:val="21"/>
          <w:highlight w:val="none"/>
          <w:lang w:val="en-GB"/>
        </w:rPr>
        <w:t>.4承包人有绝对义务避免发包人因实际施工人追索劳务费或工程款而将发包人诉至法庭或仲裁庭，为此，承包人和承包人的分包单位绝对不得将任何劳务发包给不具备劳务资质的单位和个人或者拖欠劳务费。若承包人或承包人的分包单位违反此条约定导致发包人被诉，则一切责任由承包人承担，所发生的所有费用（包括但不限于诉讼费、调查费、律师费、赔偿费、违约金等)全部由承包人承担，发包人有权将此等费用从任何应支付的工程款中扣除或没收履约保函中的相应金额。</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rPr>
        <w:t>7</w:t>
      </w:r>
      <w:r>
        <w:rPr>
          <w:rFonts w:hint="eastAsia" w:ascii="宋体" w:hAnsi="宋体" w:cs="宋体"/>
          <w:color w:val="auto"/>
          <w:szCs w:val="21"/>
          <w:highlight w:val="none"/>
          <w:lang w:val="en-GB"/>
        </w:rPr>
        <w:t>.5承包人在签署劳务分包合同前必须将拟签署的劳务分包合同报送发包人和工程师审查。经审查满足本合同劳务分包要求的，承包人方可签署；经审查不能满足本合同要求的，承包人必须按发包人和工师的要求修改后方可签署。承包人应在签署劳务分包合同的同时报壹份合同原件给发包人备案。若发包人或工程师发现工地上有未经备案的劳务分包合同的劳务单位或劳务班组或劳务人员在现场施工，发包人有权采取一切合理措施遣散此类单位或人员，发包人并有权解除本合同。</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rPr>
        <w:t>7</w:t>
      </w:r>
      <w:r>
        <w:rPr>
          <w:rFonts w:hint="eastAsia" w:ascii="宋体" w:hAnsi="宋体" w:cs="宋体"/>
          <w:color w:val="auto"/>
          <w:szCs w:val="21"/>
          <w:highlight w:val="none"/>
          <w:lang w:val="en-GB"/>
        </w:rPr>
        <w:t>.6承包人签订的劳务分包合同的副本应报送工程师审批备案。承包人不得以劳务分包为名行工程分包之实。如经发现，按承包人违约处理。</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rPr>
        <w:t>7</w:t>
      </w:r>
      <w:r>
        <w:rPr>
          <w:rFonts w:hint="eastAsia" w:ascii="宋体" w:hAnsi="宋体" w:cs="宋体"/>
          <w:color w:val="auto"/>
          <w:szCs w:val="21"/>
          <w:highlight w:val="none"/>
          <w:lang w:val="en-GB"/>
        </w:rPr>
        <w:t>.7如果工程师提出要求，承包人应向工程师提交一份详细的统计表，其格式和提交的间隔时间应符合工程师的规定。该表应填报承包人在现场的各类职员和各个工种、等级的工人人数，以及工程师要求的有关承包人装备等资料。</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rPr>
        <w:t>7</w:t>
      </w:r>
      <w:r>
        <w:rPr>
          <w:rFonts w:hint="eastAsia" w:ascii="宋体" w:hAnsi="宋体" w:cs="宋体"/>
          <w:color w:val="auto"/>
          <w:szCs w:val="21"/>
          <w:highlight w:val="none"/>
          <w:lang w:val="en-GB"/>
        </w:rPr>
        <w:t xml:space="preserve">.8总承包人不得以任何理由拖欠工人工资、分包商工程款、材料款及其它款项，若由此产生的纠纷或其它事故，承包人自行承担一切责任，与发包人无关，但若承包人不及时处理，发包人有权代承包人处理，由此产生的一切费用由发包人从承包人的工程款扣除。 </w:t>
      </w:r>
    </w:p>
    <w:p>
      <w:pPr>
        <w:pStyle w:val="125"/>
        <w:keepNext/>
        <w:keepLines/>
        <w:spacing w:before="120" w:beforeLines="50" w:after="120" w:afterLines="50" w:line="360" w:lineRule="auto"/>
        <w:ind w:firstLine="480" w:firstLineChars="200"/>
        <w:outlineLvl w:val="2"/>
        <w:rPr>
          <w:rFonts w:ascii="宋体"/>
          <w:b/>
          <w:bCs/>
          <w:color w:val="auto"/>
          <w:sz w:val="24"/>
          <w:highlight w:val="none"/>
        </w:rPr>
      </w:pPr>
      <w:bookmarkStart w:id="8342" w:name="_Toc69114310"/>
      <w:r>
        <w:rPr>
          <w:rFonts w:hint="eastAsia" w:ascii="宋体" w:hAnsi="宋体"/>
          <w:b/>
          <w:bCs/>
          <w:color w:val="auto"/>
          <w:sz w:val="24"/>
          <w:highlight w:val="none"/>
        </w:rPr>
        <w:t>8、征地拆迁的配合</w:t>
      </w:r>
      <w:bookmarkEnd w:id="8342"/>
    </w:p>
    <w:p>
      <w:pPr>
        <w:pStyle w:val="125"/>
        <w:widowControl/>
        <w:spacing w:after="200" w:line="360" w:lineRule="auto"/>
        <w:ind w:firstLine="567"/>
        <w:jc w:val="left"/>
        <w:rPr>
          <w:rFonts w:ascii="宋体"/>
          <w:color w:val="auto"/>
          <w:sz w:val="24"/>
          <w:highlight w:val="none"/>
        </w:rPr>
      </w:pPr>
      <w:r>
        <w:rPr>
          <w:rFonts w:hint="eastAsia" w:ascii="宋体" w:hAnsi="宋体" w:cs="宋体"/>
          <w:color w:val="auto"/>
          <w:szCs w:val="21"/>
          <w:highlight w:val="none"/>
        </w:rPr>
        <w:t>本工程存在征地、拆迁问题时，可能引起窝工、停工、多次进出场和看管场地等费用，承包人应充分考虑其风险，并不得因征地拆迁影响向发包人索赔相关费用。</w:t>
      </w:r>
    </w:p>
    <w:p>
      <w:pPr>
        <w:pStyle w:val="125"/>
        <w:keepNext/>
        <w:keepLines/>
        <w:spacing w:before="120" w:beforeLines="50" w:after="120" w:afterLines="50" w:line="360" w:lineRule="auto"/>
        <w:ind w:firstLine="480" w:firstLineChars="200"/>
        <w:outlineLvl w:val="2"/>
        <w:rPr>
          <w:rFonts w:ascii="宋体" w:hAnsi="宋体"/>
          <w:b/>
          <w:bCs/>
          <w:color w:val="auto"/>
          <w:sz w:val="24"/>
          <w:highlight w:val="none"/>
          <w:lang w:val="en-GB"/>
        </w:rPr>
      </w:pPr>
      <w:bookmarkStart w:id="8343" w:name="_Toc69114311"/>
      <w:r>
        <w:rPr>
          <w:rFonts w:hint="eastAsia" w:ascii="宋体" w:hAnsi="宋体"/>
          <w:b/>
          <w:bCs/>
          <w:color w:val="auto"/>
          <w:sz w:val="24"/>
          <w:highlight w:val="none"/>
        </w:rPr>
        <w:t>9</w:t>
      </w:r>
      <w:r>
        <w:rPr>
          <w:rFonts w:hint="eastAsia" w:ascii="宋体" w:hAnsi="宋体"/>
          <w:b/>
          <w:bCs/>
          <w:color w:val="auto"/>
          <w:sz w:val="24"/>
          <w:highlight w:val="none"/>
          <w:lang w:val="en-GB"/>
        </w:rPr>
        <w:t>、临时设施和临时承力工程的安全管理</w:t>
      </w:r>
      <w:bookmarkEnd w:id="8343"/>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工程临时设施（如起重、吊装等）和临时承力工程（如脚手架、支架、基坑临时支撑结构等）实行设计计算和检查验收制。临时设施和临时承力工程在制作前承包人必须请有资质的设计单位进行设计验算，并出具验算成果；承包人将计算资料、图纸和安全质量措施报监理工程师审查；对于大型临时工程设计，承包商应聘请专家来审查，并根据专家审查意见进行修改；使用前必须做承载或超载试验，经监理工程师检查验收合格后批准使用。</w:t>
      </w:r>
    </w:p>
    <w:p>
      <w:pPr>
        <w:pStyle w:val="125"/>
        <w:keepNext/>
        <w:keepLines/>
        <w:spacing w:before="120" w:beforeLines="50" w:after="120" w:afterLines="50" w:line="360" w:lineRule="auto"/>
        <w:ind w:firstLine="480" w:firstLineChars="200"/>
        <w:outlineLvl w:val="2"/>
        <w:rPr>
          <w:rFonts w:hint="eastAsia" w:ascii="宋体" w:hAnsi="宋体"/>
          <w:b/>
          <w:bCs/>
          <w:color w:val="auto"/>
          <w:sz w:val="24"/>
          <w:szCs w:val="22"/>
          <w:highlight w:val="none"/>
          <w:lang w:val="en-GB"/>
        </w:rPr>
      </w:pPr>
      <w:bookmarkStart w:id="8344" w:name="_Toc69114312"/>
      <w:r>
        <w:rPr>
          <w:rFonts w:hint="eastAsia" w:ascii="宋体" w:hAnsi="宋体"/>
          <w:b/>
          <w:bCs/>
          <w:color w:val="auto"/>
          <w:sz w:val="24"/>
          <w:szCs w:val="22"/>
          <w:highlight w:val="none"/>
        </w:rPr>
        <w:t>10、</w:t>
      </w:r>
      <w:r>
        <w:rPr>
          <w:rFonts w:hint="eastAsia" w:ascii="宋体" w:hAnsi="宋体"/>
          <w:b/>
          <w:bCs/>
          <w:color w:val="auto"/>
          <w:sz w:val="24"/>
          <w:szCs w:val="22"/>
          <w:highlight w:val="none"/>
          <w:lang w:val="en-GB"/>
        </w:rPr>
        <w:t>土石方取用</w:t>
      </w:r>
      <w:bookmarkEnd w:id="8344"/>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10.1承包人在土方工程施工过程中要服从甲方统一调配管理，如需借土回填，需优先从发包人在建的其他项目中进行调配，如需从非发包人在建的其他项目中借土回填，则应先征得发包人</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同意，未经发包人</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同意，私自借土回填的，每车按违约金人民币10万元处置。</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10.2本项目需从其他项目借土回填时，出土、收土方现场需安装相应管理设备及软件系统。该设备及系统由承包人负责采购安装，相关费用由承包人在投标报价中综合考虑，采购及安装前需报发包人</w:t>
      </w:r>
      <w:r>
        <w:rPr>
          <w:rFonts w:hint="eastAsia" w:ascii="宋体" w:hAnsi="宋体" w:cs="宋体"/>
          <w:color w:val="auto"/>
          <w:szCs w:val="21"/>
          <w:highlight w:val="none"/>
          <w:lang w:eastAsia="zh-CN"/>
        </w:rPr>
        <w:t>书面</w:t>
      </w:r>
      <w:r>
        <w:rPr>
          <w:rFonts w:hint="eastAsia" w:ascii="宋体" w:hAnsi="宋体" w:cs="宋体"/>
          <w:color w:val="auto"/>
          <w:szCs w:val="21"/>
          <w:highlight w:val="none"/>
        </w:rPr>
        <w:t>同意，该设备及系统使用及管理权归发包人所有。采购数量暂定为2套，具体数量以现场实际安装数量为准。</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10.3本工程的土方工程（包括弃土和借土）因统一调配或建设需要或受外围因素影响，产生二次或多次倒运情况的，需设置临时堆土点，相应场地平整、裸土覆盖、排水、水土保持等管理看护工作由承包人负责。运距按1km计取，结算时不作调整。其余因承包人自身原因在土石方实施中存在的</w:t>
      </w:r>
      <w:r>
        <w:rPr>
          <w:rFonts w:hint="eastAsia" w:ascii="宋体" w:hAnsi="宋体" w:cs="宋体"/>
          <w:color w:val="auto"/>
          <w:szCs w:val="21"/>
          <w:highlight w:val="none"/>
          <w:lang w:val="en-GB"/>
        </w:rPr>
        <w:t>二次或多次倒运，遵循补充条款第19条“土石方二次倒运”相关规定执行。</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10.4土方调配施工前，由收土项目总监组织出土和收土项目各参建单位对土质进行判定。不能形成统一意见时再由发包人组织各参建单位进行判定。</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10.5承包人已充分考察现场，了解实际工程地质情况，施工过程中，承包人必须按设计单位的支护方案和监理工程师审批的施工方案和安全措施施工，对土方工程因开挖深度和土质条件不同所采取的安全措施的全部费用已包含在投标价中，不因开挖深度和土壤类别变化而调整。</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10.6承包人进行绿化区域回填土土质要求：不得含有石块、垃圾等杂物，含砂量不大于15%或者施工图设计的其他要求。</w:t>
      </w:r>
    </w:p>
    <w:p>
      <w:pPr>
        <w:pStyle w:val="125"/>
        <w:keepNext/>
        <w:keepLines/>
        <w:spacing w:before="120" w:beforeLines="50" w:after="120" w:afterLines="50" w:line="360" w:lineRule="auto"/>
        <w:ind w:firstLine="480" w:firstLineChars="200"/>
        <w:outlineLvl w:val="2"/>
        <w:rPr>
          <w:rFonts w:ascii="宋体" w:hAnsi="宋体"/>
          <w:b/>
          <w:bCs/>
          <w:color w:val="auto"/>
          <w:sz w:val="24"/>
          <w:highlight w:val="none"/>
          <w:lang w:val="en-GB"/>
        </w:rPr>
      </w:pPr>
      <w:bookmarkStart w:id="8345" w:name="_Toc69114313"/>
      <w:r>
        <w:rPr>
          <w:rFonts w:hint="eastAsia" w:ascii="宋体" w:hAnsi="宋体"/>
          <w:b/>
          <w:bCs/>
          <w:color w:val="auto"/>
          <w:sz w:val="24"/>
          <w:highlight w:val="none"/>
        </w:rPr>
        <w:t>11</w:t>
      </w:r>
      <w:r>
        <w:rPr>
          <w:rFonts w:hint="eastAsia" w:ascii="宋体" w:hAnsi="宋体"/>
          <w:b/>
          <w:bCs/>
          <w:color w:val="auto"/>
          <w:sz w:val="24"/>
          <w:highlight w:val="none"/>
          <w:lang w:val="en-GB"/>
        </w:rPr>
        <w:t>、沥青砼</w:t>
      </w:r>
      <w:bookmarkEnd w:id="8345"/>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工程发包人不指定沥青砼取用点，由承包人自行解决，但所取沥青的质量必须满足本工程的设计与施工要求，沥青报价已综合考虑材料采购、运距、运输车辆管理、现场清运等一切费用。承包人要充分考察现场，并对由此而造成的一切费用充分考虑。取用地点、时间、运输线路承包人应取得行政主管部门的同意，不得由此带给发包人任何费用的增加。凡是因承包人措施不当而引起的罚款、索赔和指控等由承包人自行承担。当发包人指定地点时，承包人必须服从，并不得因此提出任何费用要求。承包人应充分考察现场，了解实际工程地质情况，对路面工程因各种条件不同所采取的施工方案和安全措施要考虑周全。施工过程中，承包人必须按设计单位的技术要求和监理工程师审批的施工方案和安全措施施工，费用不调整。</w:t>
      </w:r>
    </w:p>
    <w:p>
      <w:pPr>
        <w:pStyle w:val="125"/>
        <w:keepNext/>
        <w:keepLines/>
        <w:spacing w:before="120" w:beforeLines="50" w:after="120" w:afterLines="50" w:line="360" w:lineRule="auto"/>
        <w:ind w:firstLine="480" w:firstLineChars="200"/>
        <w:outlineLvl w:val="2"/>
        <w:rPr>
          <w:rFonts w:ascii="宋体" w:hAnsi="宋体"/>
          <w:b/>
          <w:bCs/>
          <w:color w:val="auto"/>
          <w:sz w:val="24"/>
          <w:highlight w:val="none"/>
          <w:lang w:val="en-GB"/>
        </w:rPr>
      </w:pPr>
      <w:bookmarkStart w:id="8346" w:name="_Toc69114314"/>
      <w:r>
        <w:rPr>
          <w:rFonts w:hint="eastAsia" w:ascii="宋体" w:hAnsi="宋体"/>
          <w:b/>
          <w:bCs/>
          <w:color w:val="auto"/>
          <w:sz w:val="24"/>
          <w:highlight w:val="none"/>
        </w:rPr>
        <w:t>12</w:t>
      </w:r>
      <w:r>
        <w:rPr>
          <w:rFonts w:hint="eastAsia" w:ascii="宋体" w:hAnsi="宋体"/>
          <w:b/>
          <w:bCs/>
          <w:color w:val="auto"/>
          <w:sz w:val="24"/>
          <w:highlight w:val="none"/>
          <w:lang w:val="en-GB"/>
        </w:rPr>
        <w:t>、承包人提供材料样板的约定</w:t>
      </w:r>
      <w:bookmarkEnd w:id="8346"/>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 包括但不限于：钢筋（所有型号）、钢结构管材（所有型号）、石材等主要外购材料、成品、半成品及设备、设施（具体按发包人及监理单位要求提供）必须在现场成列样品。</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12.2 样品线型和管型材料取500mm延米长度，片材取500X500mm单位面积，粉状、液态材料以无色透明500ml器皿封装或以单个商品完整包装、设备制成品以单个成品。所有样品必须附有明确的产品说明和承建单位、监理单位、发包单位三方确认标签。样板摆放在现场的样品成列间。</w:t>
      </w:r>
    </w:p>
    <w:p>
      <w:pPr>
        <w:pStyle w:val="125"/>
        <w:keepNext/>
        <w:keepLines/>
        <w:spacing w:before="120" w:beforeLines="50" w:after="120" w:afterLines="50" w:line="360" w:lineRule="auto"/>
        <w:ind w:firstLine="480" w:firstLineChars="200"/>
        <w:outlineLvl w:val="2"/>
        <w:rPr>
          <w:rFonts w:ascii="宋体" w:hAnsi="宋体"/>
          <w:b/>
          <w:bCs/>
          <w:color w:val="auto"/>
          <w:sz w:val="24"/>
          <w:highlight w:val="none"/>
          <w:lang w:val="en-GB"/>
        </w:rPr>
      </w:pPr>
      <w:bookmarkStart w:id="8347" w:name="_Toc69114315"/>
      <w:r>
        <w:rPr>
          <w:rFonts w:hint="eastAsia" w:ascii="宋体" w:hAnsi="宋体"/>
          <w:b/>
          <w:bCs/>
          <w:color w:val="auto"/>
          <w:sz w:val="24"/>
          <w:highlight w:val="none"/>
          <w:lang w:val="en-GB"/>
        </w:rPr>
        <w:t>1</w:t>
      </w:r>
      <w:r>
        <w:rPr>
          <w:rFonts w:hint="eastAsia" w:ascii="宋体" w:hAnsi="宋体"/>
          <w:b/>
          <w:bCs/>
          <w:color w:val="auto"/>
          <w:sz w:val="24"/>
          <w:highlight w:val="none"/>
        </w:rPr>
        <w:t>3</w:t>
      </w:r>
      <w:r>
        <w:rPr>
          <w:rFonts w:hint="eastAsia" w:ascii="宋体" w:hAnsi="宋体"/>
          <w:b/>
          <w:bCs/>
          <w:color w:val="auto"/>
          <w:sz w:val="24"/>
          <w:highlight w:val="none"/>
          <w:lang w:val="en-GB"/>
        </w:rPr>
        <w:t>、工程质量及安全生产管理违约金及奖励金规定</w:t>
      </w:r>
      <w:bookmarkEnd w:id="8347"/>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施工期间承包人必须严格执行国家、地方政府有关施工安全管理方面的法律、法规及规章制度。承包人应根据本工程实际安全施工要求，编制本工程的实施性安全组织设计，报监理工程师和发包人</w:t>
      </w:r>
      <w:r>
        <w:rPr>
          <w:rFonts w:hint="eastAsia" w:ascii="宋体" w:hAnsi="宋体" w:cs="宋体"/>
          <w:color w:val="auto"/>
          <w:szCs w:val="21"/>
          <w:highlight w:val="none"/>
          <w:lang w:val="en-GB" w:eastAsia="zh-CN"/>
        </w:rPr>
        <w:t>书面</w:t>
      </w:r>
      <w:r>
        <w:rPr>
          <w:rFonts w:hint="eastAsia" w:ascii="宋体" w:hAnsi="宋体" w:cs="宋体"/>
          <w:color w:val="auto"/>
          <w:szCs w:val="21"/>
          <w:highlight w:val="none"/>
          <w:lang w:val="en-GB"/>
        </w:rPr>
        <w:t>批准。该施组包括（但不限于）施工安全保证体系，安全生产责任制、安全生产管理规章制度、安全防护施工方案、施工安全评估、安全预控及保证措施，紧急应变措施，安全标识、警示和围护方案等。</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监理工程师和发包人在定期的检查中发现有安全问题或有违反安全管理制度的情况时，可视情节轻重，对承包人分别给予通报批评、警告、责令停工等</w:t>
      </w:r>
      <w:r>
        <w:rPr>
          <w:rFonts w:hint="eastAsia" w:ascii="宋体" w:hAnsi="宋体" w:cs="宋体"/>
          <w:color w:val="auto"/>
          <w:szCs w:val="21"/>
          <w:highlight w:val="none"/>
          <w:lang w:val="en-GB" w:eastAsia="zh-CN"/>
        </w:rPr>
        <w:t>措施</w:t>
      </w:r>
      <w:r>
        <w:rPr>
          <w:rFonts w:hint="eastAsia" w:ascii="宋体" w:hAnsi="宋体" w:cs="宋体"/>
          <w:color w:val="auto"/>
          <w:szCs w:val="21"/>
          <w:highlight w:val="none"/>
          <w:lang w:val="en-GB"/>
        </w:rPr>
        <w:t>，并将对承包单位收取一定数额的违约金，情节特别严重时或已造成安全事故的（无论事故性质的严重性），将作为不良记录报主管部门备案。具体工程质量及安全生产管理违约金标准如下：</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工程质量管理</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为了提高发包人在建工程质量管理水平，加强质量施工的监管力度，规范参与发包人组织的政府工程建设的施工单位和监理单位的行为，增强其守法、诚信及履约意识，促进其落实质量主体责任制度。发包人、监理及承包人需严格执行发包人制定的施工单位质量责任违约金标准一览系列表单。</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rPr>
        <w:t>13.1</w:t>
      </w:r>
      <w:r>
        <w:rPr>
          <w:rFonts w:hint="eastAsia" w:ascii="宋体" w:hAnsi="宋体" w:cs="宋体"/>
          <w:color w:val="auto"/>
          <w:szCs w:val="21"/>
          <w:highlight w:val="none"/>
          <w:lang w:val="en-GB"/>
        </w:rPr>
        <w:t>、对于检查中发现的质量缺陷或质量问题，如属于总承包单位违反《工程建设强制性条文》中有关工程建设施工（包括安装）及验收等综合性标准和重要的质量标准的，发包人对承包人每项每次处以5000元</w:t>
      </w:r>
      <w:r>
        <w:rPr>
          <w:rFonts w:hint="eastAsia" w:ascii="宋体" w:hAnsi="宋体" w:cs="宋体"/>
          <w:color w:val="auto"/>
          <w:szCs w:val="21"/>
          <w:highlight w:val="none"/>
          <w:lang w:val="en-GB" w:eastAsia="zh-CN"/>
        </w:rPr>
        <w:t>违约金</w:t>
      </w:r>
      <w:r>
        <w:rPr>
          <w:rFonts w:hint="eastAsia" w:ascii="宋体" w:hAnsi="宋体" w:cs="宋体"/>
          <w:color w:val="auto"/>
          <w:szCs w:val="21"/>
          <w:highlight w:val="none"/>
          <w:lang w:val="en-GB"/>
        </w:rPr>
        <w:t>，</w:t>
      </w:r>
      <w:r>
        <w:rPr>
          <w:rFonts w:hint="eastAsia" w:ascii="宋体" w:hAnsi="宋体" w:cs="宋体"/>
          <w:color w:val="auto"/>
          <w:szCs w:val="21"/>
          <w:highlight w:val="none"/>
          <w:lang w:val="en-GB" w:eastAsia="zh-CN"/>
        </w:rPr>
        <w:t>该项</w:t>
      </w:r>
      <w:r>
        <w:rPr>
          <w:rFonts w:hint="eastAsia" w:ascii="宋体" w:hAnsi="宋体" w:cs="宋体"/>
          <w:color w:val="auto"/>
          <w:szCs w:val="21"/>
          <w:highlight w:val="none"/>
          <w:lang w:val="en-GB"/>
        </w:rPr>
        <w:t>总</w:t>
      </w:r>
      <w:r>
        <w:rPr>
          <w:rFonts w:hint="eastAsia" w:ascii="宋体" w:hAnsi="宋体" w:cs="宋体"/>
          <w:color w:val="auto"/>
          <w:szCs w:val="21"/>
          <w:highlight w:val="none"/>
          <w:lang w:val="en-GB" w:eastAsia="zh-CN"/>
        </w:rPr>
        <w:t>违约金</w:t>
      </w:r>
      <w:r>
        <w:rPr>
          <w:rFonts w:hint="eastAsia" w:ascii="宋体" w:hAnsi="宋体" w:cs="宋体"/>
          <w:color w:val="auto"/>
          <w:szCs w:val="21"/>
          <w:highlight w:val="none"/>
          <w:lang w:val="en-GB"/>
        </w:rPr>
        <w:t>累计不超过合同价的0.5%，并责令承包人整改到位；</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rPr>
        <w:t>13.2</w:t>
      </w:r>
      <w:r>
        <w:rPr>
          <w:rFonts w:hint="eastAsia" w:ascii="宋体" w:hAnsi="宋体" w:cs="宋体"/>
          <w:color w:val="auto"/>
          <w:szCs w:val="21"/>
          <w:highlight w:val="none"/>
          <w:lang w:val="en-GB"/>
        </w:rPr>
        <w:t>、对于检查中发现的质量缺陷或质量问题，如属于总承包单位违反现行《深圳市建设工程质量管理条例》相关条款的，总承包单位除应承担相应法律责任外，发包人对承包人每项每次处以5000元</w:t>
      </w:r>
      <w:r>
        <w:rPr>
          <w:rFonts w:hint="eastAsia" w:ascii="宋体" w:hAnsi="宋体" w:cs="宋体"/>
          <w:color w:val="auto"/>
          <w:szCs w:val="21"/>
          <w:highlight w:val="none"/>
          <w:lang w:val="en-GB" w:eastAsia="zh-CN"/>
        </w:rPr>
        <w:t>违约金</w:t>
      </w:r>
      <w:r>
        <w:rPr>
          <w:rFonts w:hint="eastAsia" w:ascii="宋体" w:hAnsi="宋体" w:cs="宋体"/>
          <w:color w:val="auto"/>
          <w:szCs w:val="21"/>
          <w:highlight w:val="none"/>
          <w:lang w:val="en-GB"/>
        </w:rPr>
        <w:t>，</w:t>
      </w:r>
      <w:r>
        <w:rPr>
          <w:rFonts w:hint="eastAsia" w:ascii="宋体" w:hAnsi="宋体" w:cs="宋体"/>
          <w:color w:val="auto"/>
          <w:szCs w:val="21"/>
          <w:highlight w:val="none"/>
          <w:lang w:val="en-GB" w:eastAsia="zh-CN"/>
        </w:rPr>
        <w:t>该项</w:t>
      </w:r>
      <w:r>
        <w:rPr>
          <w:rFonts w:hint="eastAsia" w:ascii="宋体" w:hAnsi="宋体" w:cs="宋体"/>
          <w:color w:val="auto"/>
          <w:szCs w:val="21"/>
          <w:highlight w:val="none"/>
          <w:lang w:val="en-GB"/>
        </w:rPr>
        <w:t>总</w:t>
      </w:r>
      <w:r>
        <w:rPr>
          <w:rFonts w:hint="eastAsia" w:ascii="宋体" w:hAnsi="宋体" w:cs="宋体"/>
          <w:color w:val="auto"/>
          <w:szCs w:val="21"/>
          <w:highlight w:val="none"/>
          <w:lang w:val="en-GB" w:eastAsia="zh-CN"/>
        </w:rPr>
        <w:t>违约金</w:t>
      </w:r>
      <w:r>
        <w:rPr>
          <w:rFonts w:hint="eastAsia" w:ascii="宋体" w:hAnsi="宋体" w:cs="宋体"/>
          <w:color w:val="auto"/>
          <w:szCs w:val="21"/>
          <w:highlight w:val="none"/>
          <w:lang w:val="en-GB"/>
        </w:rPr>
        <w:t>累计不超过合同价的0.5%，并责令承包人整改到位；</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rPr>
        <w:t>13.3</w:t>
      </w:r>
      <w:r>
        <w:rPr>
          <w:rFonts w:hint="eastAsia" w:ascii="宋体" w:hAnsi="宋体" w:cs="宋体"/>
          <w:color w:val="auto"/>
          <w:szCs w:val="21"/>
          <w:highlight w:val="none"/>
          <w:lang w:val="en-GB"/>
        </w:rPr>
        <w:t>、对于施工中发生的质量事故，承包人除需履行法律及合同责任之外，对质量事故等级为一般事故的，发包人对承包人每项每次处以</w:t>
      </w:r>
      <w:r>
        <w:rPr>
          <w:rFonts w:hint="eastAsia" w:ascii="宋体" w:hAnsi="宋体" w:cs="宋体"/>
          <w:color w:val="auto"/>
          <w:szCs w:val="21"/>
          <w:highlight w:val="none"/>
        </w:rPr>
        <w:t>10</w:t>
      </w:r>
      <w:r>
        <w:rPr>
          <w:rFonts w:hint="eastAsia" w:ascii="宋体" w:hAnsi="宋体" w:cs="宋体"/>
          <w:color w:val="auto"/>
          <w:szCs w:val="21"/>
          <w:highlight w:val="none"/>
          <w:lang w:val="en-GB"/>
        </w:rPr>
        <w:t>000元</w:t>
      </w:r>
      <w:r>
        <w:rPr>
          <w:rFonts w:hint="eastAsia" w:ascii="宋体" w:hAnsi="宋体" w:cs="宋体"/>
          <w:color w:val="auto"/>
          <w:szCs w:val="21"/>
          <w:highlight w:val="none"/>
          <w:lang w:val="en-GB" w:eastAsia="zh-CN"/>
        </w:rPr>
        <w:t>违约金</w:t>
      </w:r>
      <w:r>
        <w:rPr>
          <w:rFonts w:hint="eastAsia" w:ascii="宋体" w:hAnsi="宋体" w:cs="宋体"/>
          <w:color w:val="auto"/>
          <w:szCs w:val="21"/>
          <w:highlight w:val="none"/>
          <w:lang w:val="en-GB"/>
        </w:rPr>
        <w:t>，发生严重、重大、特大质量事故的，发包人每次对承包人处以质量事故造成损失金额总额的5%的</w:t>
      </w:r>
      <w:r>
        <w:rPr>
          <w:rFonts w:hint="eastAsia" w:ascii="宋体" w:hAnsi="宋体" w:cs="宋体"/>
          <w:color w:val="auto"/>
          <w:szCs w:val="21"/>
          <w:highlight w:val="none"/>
          <w:lang w:val="en-GB" w:eastAsia="zh-CN"/>
        </w:rPr>
        <w:t>违约金</w:t>
      </w:r>
      <w:r>
        <w:rPr>
          <w:rFonts w:hint="eastAsia" w:ascii="宋体" w:hAnsi="宋体" w:cs="宋体"/>
          <w:color w:val="auto"/>
          <w:szCs w:val="21"/>
          <w:highlight w:val="none"/>
          <w:lang w:val="en-GB"/>
        </w:rPr>
        <w:t>，</w:t>
      </w:r>
      <w:r>
        <w:rPr>
          <w:rFonts w:hint="eastAsia" w:ascii="宋体" w:hAnsi="宋体" w:cs="宋体"/>
          <w:color w:val="auto"/>
          <w:szCs w:val="21"/>
          <w:highlight w:val="none"/>
          <w:lang w:val="en-GB" w:eastAsia="zh-CN"/>
        </w:rPr>
        <w:t>该项</w:t>
      </w:r>
      <w:r>
        <w:rPr>
          <w:rFonts w:hint="eastAsia" w:ascii="宋体" w:hAnsi="宋体" w:cs="宋体"/>
          <w:color w:val="auto"/>
          <w:szCs w:val="21"/>
          <w:highlight w:val="none"/>
          <w:lang w:val="en-GB"/>
        </w:rPr>
        <w:t>总</w:t>
      </w:r>
      <w:r>
        <w:rPr>
          <w:rFonts w:hint="eastAsia" w:ascii="宋体" w:hAnsi="宋体" w:cs="宋体"/>
          <w:color w:val="auto"/>
          <w:szCs w:val="21"/>
          <w:highlight w:val="none"/>
          <w:lang w:val="en-GB" w:eastAsia="zh-CN"/>
        </w:rPr>
        <w:t>违约金</w:t>
      </w:r>
      <w:r>
        <w:rPr>
          <w:rFonts w:hint="eastAsia" w:ascii="宋体" w:hAnsi="宋体" w:cs="宋体"/>
          <w:color w:val="auto"/>
          <w:szCs w:val="21"/>
          <w:highlight w:val="none"/>
          <w:lang w:val="en-GB"/>
        </w:rPr>
        <w:t>累计不超过合同价的0.5%。</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（二）安全生产管理</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 为了提高工程安全文明施工管理水平，加强安全文明施工监管力度，促进监理和施工单位落实安全生产主体责任，发包人、监理及承包人需严格执行发包人制定的施工单位安全文明施工一般责任违约金标准系列表单。</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安全生产管理的各项工作所发生的相关费用以总额形式计入安全文明施工措施费中（注明费用另列的除外，但具体的安全文明措施费用应单独列出），相关费用已在招标价中综合考虑，结算不予调整，监理将按规定要求逐项检查落实，如未实施或实施结果不满足规定要求的，监理工程师将对项目进行估价并相应扣除该部分安全文明施工措施费。</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1、对于检查中发现的安全隐患或安全问题，如属于总承包单位违反《工程建设强制性条文》中有关工程建设施工（包括安装）及验收等综合性标准和重要的安全防护标准的，发包人对承包人每项每次处以5000元</w:t>
      </w:r>
      <w:r>
        <w:rPr>
          <w:rFonts w:hint="eastAsia" w:ascii="宋体" w:hAnsi="宋体" w:cs="宋体"/>
          <w:color w:val="auto"/>
          <w:szCs w:val="21"/>
          <w:highlight w:val="none"/>
          <w:lang w:val="en-GB" w:eastAsia="zh-CN"/>
        </w:rPr>
        <w:t>违约金</w:t>
      </w:r>
      <w:r>
        <w:rPr>
          <w:rFonts w:hint="eastAsia" w:ascii="宋体" w:hAnsi="宋体" w:cs="宋体"/>
          <w:color w:val="auto"/>
          <w:szCs w:val="21"/>
          <w:highlight w:val="none"/>
          <w:lang w:val="en-GB"/>
        </w:rPr>
        <w:t>，</w:t>
      </w:r>
      <w:r>
        <w:rPr>
          <w:rFonts w:hint="eastAsia" w:ascii="宋体" w:hAnsi="宋体" w:cs="宋体"/>
          <w:color w:val="auto"/>
          <w:szCs w:val="21"/>
          <w:highlight w:val="none"/>
          <w:lang w:val="en-GB" w:eastAsia="zh-CN"/>
        </w:rPr>
        <w:t>该项</w:t>
      </w:r>
      <w:r>
        <w:rPr>
          <w:rFonts w:hint="eastAsia" w:ascii="宋体" w:hAnsi="宋体" w:cs="宋体"/>
          <w:color w:val="auto"/>
          <w:szCs w:val="21"/>
          <w:highlight w:val="none"/>
          <w:lang w:val="en-GB"/>
        </w:rPr>
        <w:t>总</w:t>
      </w:r>
      <w:r>
        <w:rPr>
          <w:rFonts w:hint="eastAsia" w:ascii="宋体" w:hAnsi="宋体" w:cs="宋体"/>
          <w:color w:val="auto"/>
          <w:szCs w:val="21"/>
          <w:highlight w:val="none"/>
          <w:lang w:val="en-GB" w:eastAsia="zh-CN"/>
        </w:rPr>
        <w:t>违约金</w:t>
      </w:r>
      <w:r>
        <w:rPr>
          <w:rFonts w:hint="eastAsia" w:ascii="宋体" w:hAnsi="宋体" w:cs="宋体"/>
          <w:color w:val="auto"/>
          <w:szCs w:val="21"/>
          <w:highlight w:val="none"/>
          <w:lang w:val="en-GB"/>
        </w:rPr>
        <w:t>累计不超过合同价的0.5%，并责令承包人整改到位；</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2、对于检查中发现的安全隐患或安全问题，如属于总承包单位违反现行《深圳经济特区建设工程施工安全条例》相关条款的，总承包单位除应承担相应法律责任外，发包人对承包人每项每次处以5000元</w:t>
      </w:r>
      <w:r>
        <w:rPr>
          <w:rFonts w:hint="eastAsia" w:ascii="宋体" w:hAnsi="宋体" w:cs="宋体"/>
          <w:color w:val="auto"/>
          <w:szCs w:val="21"/>
          <w:highlight w:val="none"/>
          <w:lang w:val="en-GB" w:eastAsia="zh-CN"/>
        </w:rPr>
        <w:t>违约金</w:t>
      </w:r>
      <w:r>
        <w:rPr>
          <w:rFonts w:hint="eastAsia" w:ascii="宋体" w:hAnsi="宋体" w:cs="宋体"/>
          <w:color w:val="auto"/>
          <w:szCs w:val="21"/>
          <w:highlight w:val="none"/>
          <w:lang w:val="en-GB"/>
        </w:rPr>
        <w:t>，</w:t>
      </w:r>
      <w:r>
        <w:rPr>
          <w:rFonts w:hint="eastAsia" w:ascii="宋体" w:hAnsi="宋体" w:cs="宋体"/>
          <w:color w:val="auto"/>
          <w:szCs w:val="21"/>
          <w:highlight w:val="none"/>
          <w:lang w:val="en-GB" w:eastAsia="zh-CN"/>
        </w:rPr>
        <w:t>该项</w:t>
      </w:r>
      <w:r>
        <w:rPr>
          <w:rFonts w:hint="eastAsia" w:ascii="宋体" w:hAnsi="宋体" w:cs="宋体"/>
          <w:color w:val="auto"/>
          <w:szCs w:val="21"/>
          <w:highlight w:val="none"/>
          <w:lang w:val="en-GB"/>
        </w:rPr>
        <w:t>总</w:t>
      </w:r>
      <w:r>
        <w:rPr>
          <w:rFonts w:hint="eastAsia" w:ascii="宋体" w:hAnsi="宋体" w:cs="宋体"/>
          <w:color w:val="auto"/>
          <w:szCs w:val="21"/>
          <w:highlight w:val="none"/>
          <w:lang w:val="en-GB" w:eastAsia="zh-CN"/>
        </w:rPr>
        <w:t>违约金</w:t>
      </w:r>
      <w:r>
        <w:rPr>
          <w:rFonts w:hint="eastAsia" w:ascii="宋体" w:hAnsi="宋体" w:cs="宋体"/>
          <w:color w:val="auto"/>
          <w:szCs w:val="21"/>
          <w:highlight w:val="none"/>
          <w:lang w:val="en-GB"/>
        </w:rPr>
        <w:t>累计不超过合同价的0.5%，并责令承包人整改到位；</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3、发包人每月至少组织一次施工现场安全管理责任单位参加的现场安全及文明施工联合检查，检查标准为《建筑施工安全检查标准》JGJ59-20</w:t>
      </w:r>
      <w:r>
        <w:rPr>
          <w:rFonts w:hint="eastAsia" w:ascii="宋体" w:hAnsi="宋体" w:cs="宋体"/>
          <w:color w:val="auto"/>
          <w:szCs w:val="21"/>
          <w:highlight w:val="none"/>
        </w:rPr>
        <w:t>11</w:t>
      </w:r>
      <w:r>
        <w:rPr>
          <w:rFonts w:hint="eastAsia" w:ascii="宋体" w:hAnsi="宋体" w:cs="宋体"/>
          <w:color w:val="auto"/>
          <w:szCs w:val="21"/>
          <w:highlight w:val="none"/>
          <w:lang w:val="en-GB"/>
        </w:rPr>
        <w:t>，如出现检查评定等级为不合格时，除承包人必须限期整改达到合格外，发包人对承包人每次处以</w:t>
      </w:r>
      <w:r>
        <w:rPr>
          <w:rFonts w:hint="eastAsia" w:ascii="宋体" w:hAnsi="宋体" w:cs="宋体"/>
          <w:color w:val="auto"/>
          <w:szCs w:val="21"/>
          <w:highlight w:val="none"/>
        </w:rPr>
        <w:t>10</w:t>
      </w:r>
      <w:r>
        <w:rPr>
          <w:rFonts w:hint="eastAsia" w:ascii="宋体" w:hAnsi="宋体" w:cs="宋体"/>
          <w:color w:val="auto"/>
          <w:szCs w:val="21"/>
          <w:highlight w:val="none"/>
          <w:lang w:val="en-GB"/>
        </w:rPr>
        <w:t>000元</w:t>
      </w:r>
      <w:r>
        <w:rPr>
          <w:rFonts w:hint="eastAsia" w:ascii="宋体" w:hAnsi="宋体" w:cs="宋体"/>
          <w:color w:val="auto"/>
          <w:szCs w:val="21"/>
          <w:highlight w:val="none"/>
          <w:lang w:val="en-GB" w:eastAsia="zh-CN"/>
        </w:rPr>
        <w:t>违约金</w:t>
      </w:r>
      <w:r>
        <w:rPr>
          <w:rFonts w:hint="eastAsia" w:ascii="宋体" w:hAnsi="宋体" w:cs="宋体"/>
          <w:color w:val="auto"/>
          <w:szCs w:val="21"/>
          <w:highlight w:val="none"/>
          <w:lang w:val="en-GB"/>
        </w:rPr>
        <w:t>，</w:t>
      </w:r>
      <w:r>
        <w:rPr>
          <w:rFonts w:hint="eastAsia" w:ascii="宋体" w:hAnsi="宋体" w:cs="宋体"/>
          <w:color w:val="auto"/>
          <w:szCs w:val="21"/>
          <w:highlight w:val="none"/>
          <w:lang w:val="en-GB" w:eastAsia="zh-CN"/>
        </w:rPr>
        <w:t>该项</w:t>
      </w:r>
      <w:r>
        <w:rPr>
          <w:rFonts w:hint="eastAsia" w:ascii="宋体" w:hAnsi="宋体" w:cs="宋体"/>
          <w:color w:val="auto"/>
          <w:szCs w:val="21"/>
          <w:highlight w:val="none"/>
          <w:lang w:val="en-GB"/>
        </w:rPr>
        <w:t>总</w:t>
      </w:r>
      <w:r>
        <w:rPr>
          <w:rFonts w:hint="eastAsia" w:ascii="宋体" w:hAnsi="宋体" w:cs="宋体"/>
          <w:color w:val="auto"/>
          <w:szCs w:val="21"/>
          <w:highlight w:val="none"/>
          <w:lang w:val="en-GB" w:eastAsia="zh-CN"/>
        </w:rPr>
        <w:t>违约金</w:t>
      </w:r>
      <w:r>
        <w:rPr>
          <w:rFonts w:hint="eastAsia" w:ascii="宋体" w:hAnsi="宋体" w:cs="宋体"/>
          <w:color w:val="auto"/>
          <w:szCs w:val="21"/>
          <w:highlight w:val="none"/>
          <w:lang w:val="en-GB"/>
        </w:rPr>
        <w:t>累计不超过合同价的0.5%。</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4、对于施工中发生的生产安全事故，承包人除需履行法律及合同责任之外，对按经济损失程度划分为一般损失、较大损失、重大损失、特大损失的各类事故，发包人每次对承包人处以安全生产事故损失金额总额的10%的</w:t>
      </w:r>
      <w:r>
        <w:rPr>
          <w:rFonts w:hint="eastAsia" w:ascii="宋体" w:hAnsi="宋体" w:cs="宋体"/>
          <w:color w:val="auto"/>
          <w:szCs w:val="21"/>
          <w:highlight w:val="none"/>
          <w:lang w:val="en-GB" w:eastAsia="zh-CN"/>
        </w:rPr>
        <w:t>违约金</w:t>
      </w:r>
      <w:r>
        <w:rPr>
          <w:rFonts w:hint="eastAsia" w:ascii="宋体" w:hAnsi="宋体" w:cs="宋体"/>
          <w:color w:val="auto"/>
          <w:szCs w:val="21"/>
          <w:highlight w:val="none"/>
          <w:lang w:val="en-GB"/>
        </w:rPr>
        <w:t>，</w:t>
      </w:r>
      <w:r>
        <w:rPr>
          <w:rFonts w:hint="eastAsia" w:ascii="宋体" w:hAnsi="宋体" w:cs="宋体"/>
          <w:color w:val="auto"/>
          <w:szCs w:val="21"/>
          <w:highlight w:val="none"/>
          <w:lang w:val="en-GB" w:eastAsia="zh-CN"/>
        </w:rPr>
        <w:t>该项</w:t>
      </w:r>
      <w:r>
        <w:rPr>
          <w:rFonts w:hint="eastAsia" w:ascii="宋体" w:hAnsi="宋体" w:cs="宋体"/>
          <w:color w:val="auto"/>
          <w:szCs w:val="21"/>
          <w:highlight w:val="none"/>
          <w:lang w:val="en-GB"/>
        </w:rPr>
        <w:t>总</w:t>
      </w:r>
      <w:r>
        <w:rPr>
          <w:rFonts w:hint="eastAsia" w:ascii="宋体" w:hAnsi="宋体" w:cs="宋体"/>
          <w:color w:val="auto"/>
          <w:szCs w:val="21"/>
          <w:highlight w:val="none"/>
          <w:lang w:val="en-GB" w:eastAsia="zh-CN"/>
        </w:rPr>
        <w:t>违约金</w:t>
      </w:r>
      <w:r>
        <w:rPr>
          <w:rFonts w:hint="eastAsia" w:ascii="宋体" w:hAnsi="宋体" w:cs="宋体"/>
          <w:color w:val="auto"/>
          <w:szCs w:val="21"/>
          <w:highlight w:val="none"/>
          <w:lang w:val="en-GB"/>
        </w:rPr>
        <w:t>累计不超过合同价的0.5%。</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5、承包人在签订施工合同的同时，须与发包人签订《工程安全施工责任状》。</w:t>
      </w:r>
    </w:p>
    <w:p>
      <w:pPr>
        <w:overflowPunct w:val="0"/>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为做好交通安全事故预防工作，承包人在施工前须制定占道施工方案、完善相关占道施工手续。占道施工前必须取得交通局等相关部门的许可，完善手续后方可施工，杜绝违章施工。如违反上述规定，承包人除应承担相应法律责任外，发包人对承包人此项处以20000元</w:t>
      </w:r>
      <w:r>
        <w:rPr>
          <w:rFonts w:hint="eastAsia" w:ascii="宋体" w:hAnsi="宋体" w:cs="宋体"/>
          <w:color w:val="auto"/>
          <w:szCs w:val="21"/>
          <w:highlight w:val="none"/>
          <w:lang w:eastAsia="zh-CN"/>
        </w:rPr>
        <w:t>违约金</w:t>
      </w:r>
      <w:r>
        <w:rPr>
          <w:rFonts w:hint="eastAsia" w:ascii="宋体" w:hAnsi="宋体" w:cs="宋体"/>
          <w:color w:val="auto"/>
          <w:szCs w:val="21"/>
          <w:highlight w:val="none"/>
        </w:rPr>
        <w:t>，</w:t>
      </w:r>
      <w:r>
        <w:rPr>
          <w:rFonts w:hint="eastAsia" w:ascii="宋体" w:hAnsi="宋体" w:cs="宋体"/>
          <w:color w:val="auto"/>
          <w:szCs w:val="21"/>
          <w:highlight w:val="none"/>
          <w:lang w:val="en-GB" w:eastAsia="zh-CN"/>
        </w:rPr>
        <w:t>该项</w:t>
      </w:r>
      <w:r>
        <w:rPr>
          <w:rFonts w:hint="eastAsia" w:ascii="宋体" w:hAnsi="宋体" w:cs="宋体"/>
          <w:color w:val="auto"/>
          <w:szCs w:val="21"/>
          <w:highlight w:val="none"/>
          <w:lang w:val="en-GB"/>
        </w:rPr>
        <w:t>总</w:t>
      </w:r>
      <w:r>
        <w:rPr>
          <w:rFonts w:hint="eastAsia" w:ascii="宋体" w:hAnsi="宋体" w:cs="宋体"/>
          <w:color w:val="auto"/>
          <w:szCs w:val="21"/>
          <w:highlight w:val="none"/>
          <w:lang w:val="en-GB" w:eastAsia="zh-CN"/>
        </w:rPr>
        <w:t>违约金</w:t>
      </w:r>
      <w:r>
        <w:rPr>
          <w:rFonts w:hint="eastAsia" w:ascii="宋体" w:hAnsi="宋体" w:cs="宋体"/>
          <w:color w:val="auto"/>
          <w:szCs w:val="21"/>
          <w:highlight w:val="none"/>
        </w:rPr>
        <w:t>累计不超过合同价的0.5%。</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（三）其他说明</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1、对于建设行政主管部门及其委托机构检查检测中发现的施工质量及安全生产问题，如承包人及其管理的分包单位受到计分、红黄色警示处理的，每计一分发包人对承包人处以2000元</w:t>
      </w:r>
      <w:r>
        <w:rPr>
          <w:rFonts w:hint="eastAsia" w:ascii="宋体" w:hAnsi="宋体" w:cs="宋体"/>
          <w:color w:val="auto"/>
          <w:szCs w:val="21"/>
          <w:highlight w:val="none"/>
          <w:lang w:val="en-GB" w:eastAsia="zh-CN"/>
        </w:rPr>
        <w:t>违约金</w:t>
      </w:r>
      <w:r>
        <w:rPr>
          <w:rFonts w:hint="eastAsia" w:ascii="宋体" w:hAnsi="宋体" w:cs="宋体"/>
          <w:color w:val="auto"/>
          <w:szCs w:val="21"/>
          <w:highlight w:val="none"/>
          <w:lang w:val="en-GB"/>
        </w:rPr>
        <w:t>，每次黄色警示发包人对承包人处以5000元</w:t>
      </w:r>
      <w:r>
        <w:rPr>
          <w:rFonts w:hint="eastAsia" w:ascii="宋体" w:hAnsi="宋体" w:cs="宋体"/>
          <w:color w:val="auto"/>
          <w:szCs w:val="21"/>
          <w:highlight w:val="none"/>
          <w:lang w:val="en-GB" w:eastAsia="zh-CN"/>
        </w:rPr>
        <w:t>违约金</w:t>
      </w:r>
      <w:r>
        <w:rPr>
          <w:rFonts w:hint="eastAsia" w:ascii="宋体" w:hAnsi="宋体" w:cs="宋体"/>
          <w:color w:val="auto"/>
          <w:szCs w:val="21"/>
          <w:highlight w:val="none"/>
          <w:lang w:val="en-GB"/>
        </w:rPr>
        <w:t>，每次红色警示发包人对承包人处以10000元</w:t>
      </w:r>
      <w:r>
        <w:rPr>
          <w:rFonts w:hint="eastAsia" w:ascii="宋体" w:hAnsi="宋体" w:cs="宋体"/>
          <w:color w:val="auto"/>
          <w:szCs w:val="21"/>
          <w:highlight w:val="none"/>
          <w:lang w:val="en-GB" w:eastAsia="zh-CN"/>
        </w:rPr>
        <w:t>违约金</w:t>
      </w:r>
      <w:r>
        <w:rPr>
          <w:rFonts w:hint="eastAsia" w:ascii="宋体" w:hAnsi="宋体" w:cs="宋体"/>
          <w:color w:val="auto"/>
          <w:szCs w:val="21"/>
          <w:highlight w:val="none"/>
          <w:lang w:val="en-GB"/>
        </w:rPr>
        <w:t>，</w:t>
      </w:r>
      <w:r>
        <w:rPr>
          <w:rFonts w:hint="eastAsia" w:ascii="宋体" w:hAnsi="宋体" w:cs="宋体"/>
          <w:color w:val="auto"/>
          <w:szCs w:val="21"/>
          <w:highlight w:val="none"/>
          <w:lang w:val="en-GB" w:eastAsia="zh-CN"/>
        </w:rPr>
        <w:t>该项</w:t>
      </w:r>
      <w:r>
        <w:rPr>
          <w:rFonts w:hint="eastAsia" w:ascii="宋体" w:hAnsi="宋体" w:cs="宋体"/>
          <w:color w:val="auto"/>
          <w:szCs w:val="21"/>
          <w:highlight w:val="none"/>
          <w:lang w:val="en-GB"/>
        </w:rPr>
        <w:t>总</w:t>
      </w:r>
      <w:r>
        <w:rPr>
          <w:rFonts w:hint="eastAsia" w:ascii="宋体" w:hAnsi="宋体" w:cs="宋体"/>
          <w:color w:val="auto"/>
          <w:szCs w:val="21"/>
          <w:highlight w:val="none"/>
          <w:lang w:val="en-GB" w:eastAsia="zh-CN"/>
        </w:rPr>
        <w:t>违约金</w:t>
      </w:r>
      <w:r>
        <w:rPr>
          <w:rFonts w:hint="eastAsia" w:ascii="宋体" w:hAnsi="宋体" w:cs="宋体"/>
          <w:color w:val="auto"/>
          <w:szCs w:val="21"/>
          <w:highlight w:val="none"/>
          <w:lang w:val="en-GB"/>
        </w:rPr>
        <w:t>累计不超过合同价的0.5%。</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2、发包人对承包人处以的工程质量及安全生产管理</w:t>
      </w:r>
      <w:r>
        <w:rPr>
          <w:rFonts w:hint="eastAsia" w:ascii="宋体" w:hAnsi="宋体" w:cs="宋体"/>
          <w:color w:val="auto"/>
          <w:szCs w:val="21"/>
          <w:highlight w:val="none"/>
          <w:lang w:val="en-GB" w:eastAsia="zh-CN"/>
        </w:rPr>
        <w:t>违约金</w:t>
      </w:r>
      <w:r>
        <w:rPr>
          <w:rFonts w:hint="eastAsia" w:ascii="宋体" w:hAnsi="宋体" w:cs="宋体"/>
          <w:color w:val="auto"/>
          <w:szCs w:val="21"/>
          <w:highlight w:val="none"/>
          <w:lang w:val="en-GB"/>
        </w:rPr>
        <w:t>，如在不同依据的条款中重复出现的，按金额最大值执行。在整个合同工期内，发包人向承包人收取的工程质量及安全管理</w:t>
      </w:r>
      <w:r>
        <w:rPr>
          <w:rFonts w:hint="eastAsia" w:ascii="宋体" w:hAnsi="宋体" w:cs="宋体"/>
          <w:color w:val="auto"/>
          <w:szCs w:val="21"/>
          <w:highlight w:val="none"/>
          <w:lang w:val="en-GB" w:eastAsia="zh-CN"/>
        </w:rPr>
        <w:t>违约金</w:t>
      </w:r>
      <w:r>
        <w:rPr>
          <w:rFonts w:hint="eastAsia" w:ascii="宋体" w:hAnsi="宋体" w:cs="宋体"/>
          <w:color w:val="auto"/>
          <w:szCs w:val="21"/>
          <w:highlight w:val="none"/>
          <w:lang w:val="en-GB"/>
        </w:rPr>
        <w:t>总额不超出合同总额的</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val="en-GB"/>
        </w:rPr>
        <w:t>%。</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3、发包人对承包人处以的</w:t>
      </w:r>
      <w:r>
        <w:rPr>
          <w:rFonts w:hint="eastAsia" w:ascii="宋体" w:hAnsi="宋体" w:cs="宋体"/>
          <w:color w:val="auto"/>
          <w:szCs w:val="21"/>
          <w:highlight w:val="none"/>
          <w:lang w:val="en-GB" w:eastAsia="zh-CN"/>
        </w:rPr>
        <w:t>违约金</w:t>
      </w:r>
      <w:r>
        <w:rPr>
          <w:rFonts w:hint="eastAsia" w:ascii="宋体" w:hAnsi="宋体" w:cs="宋体"/>
          <w:color w:val="auto"/>
          <w:szCs w:val="21"/>
          <w:highlight w:val="none"/>
          <w:lang w:val="en-GB"/>
        </w:rPr>
        <w:t>最终在竣工结算时一并结清。</w:t>
      </w:r>
    </w:p>
    <w:p>
      <w:pPr>
        <w:pStyle w:val="125"/>
        <w:keepNext/>
        <w:keepLines/>
        <w:spacing w:before="120" w:beforeLines="50" w:after="120" w:afterLines="50" w:line="360" w:lineRule="auto"/>
        <w:ind w:firstLine="480" w:firstLineChars="200"/>
        <w:outlineLvl w:val="2"/>
        <w:rPr>
          <w:rFonts w:ascii="宋体" w:hAnsi="宋体"/>
          <w:b/>
          <w:bCs/>
          <w:color w:val="auto"/>
          <w:sz w:val="24"/>
          <w:highlight w:val="none"/>
          <w:lang w:val="en-GB"/>
        </w:rPr>
      </w:pPr>
      <w:bookmarkStart w:id="8348" w:name="_Toc69114316"/>
      <w:r>
        <w:rPr>
          <w:rFonts w:hint="eastAsia" w:ascii="宋体" w:hAnsi="宋体"/>
          <w:b/>
          <w:bCs/>
          <w:color w:val="auto"/>
          <w:sz w:val="24"/>
          <w:highlight w:val="none"/>
        </w:rPr>
        <w:t>14</w:t>
      </w:r>
      <w:r>
        <w:rPr>
          <w:rFonts w:hint="eastAsia" w:ascii="宋体" w:hAnsi="宋体"/>
          <w:b/>
          <w:bCs/>
          <w:color w:val="auto"/>
          <w:sz w:val="24"/>
          <w:highlight w:val="none"/>
          <w:lang w:val="en-GB"/>
        </w:rPr>
        <w:t>、施工围挡</w:t>
      </w:r>
      <w:bookmarkEnd w:id="8348"/>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本工程所有临时区域周围及相邻既有道路、建筑等部位应采用经监理工程师批准的方案进行全封闭分隔围护。施工现场须设置连续封闭的围挡，参照《标准图集》的要求建设施工围挡。本工程临时围挡采用¨钢质材料；¨建筑废弃再生砌体材料；¨PVC材料。其中：</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（1）工期在半年以上的工程，应采用“装配式钢结构围挡类型A”，原则上同一工程应采用同一种材质；重点区域（包含城市主干道、重点出入口等）采用“烤漆面板围挡”；</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（2）工期在半年以下15 日以上的工程，采用PVC 围挡；</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（3）工期在15 日以下的工程，采用标准密扣式钢围栏（铁马）或水马围挡；</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（4）基坑、桩基施工阶段，倒边施工频繁的地铁、市政工程以及人流密集区的工程，不宜采用砌体围挡。</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（5）钢结构围挡自地面至围挡顶端（不含柱头和灯具）高度统一为2.5米，铁马和水马围挡高度统一为1米。</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6）施工围挡上应按照要求设置“五牌一图”，其余位置应设置公益广告或商业广告（铁马或水马围挡除外）。政府投资工程施工围挡原则上全部设置公益广告，其他工程设置公益广告面积不得少于工地围挡户外广告总面积的50%。</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（7）施工围挡装饰画面或广告画面与墙体的连接应确保连接可靠，牢固安全，制作精良，粘贴平整，连接构件不得裸露。</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8）原则上，城市主干道、城市中心区采用现代、简洁、明快的外观造型和画面风格，老城区采用具有岭南风情或仿古形式的外观造型和画面风格，景观道路、旅游区等结合区域景观定位采用相应风格的外观造型和画面风格。</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（9）围挡要符合市住房和建设局的相关规定。</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（10）施工临时围挡为安全文明措施费内容，结算时按实计取，造价不下浮。</w:t>
      </w:r>
    </w:p>
    <w:p>
      <w:pPr>
        <w:pStyle w:val="125"/>
        <w:keepNext/>
        <w:keepLines/>
        <w:spacing w:before="120" w:beforeLines="50" w:after="120" w:afterLines="50" w:line="360" w:lineRule="auto"/>
        <w:ind w:firstLine="480" w:firstLineChars="200"/>
        <w:outlineLvl w:val="2"/>
        <w:rPr>
          <w:rFonts w:ascii="宋体" w:hAnsi="宋体"/>
          <w:b/>
          <w:bCs/>
          <w:color w:val="auto"/>
          <w:sz w:val="24"/>
          <w:highlight w:val="none"/>
          <w:lang w:val="en-GB"/>
        </w:rPr>
      </w:pPr>
      <w:bookmarkStart w:id="8349" w:name="_Toc69114317"/>
      <w:r>
        <w:rPr>
          <w:rFonts w:hint="eastAsia" w:ascii="宋体" w:hAnsi="宋体"/>
          <w:b/>
          <w:bCs/>
          <w:color w:val="auto"/>
          <w:sz w:val="24"/>
          <w:highlight w:val="none"/>
        </w:rPr>
        <w:t>15</w:t>
      </w:r>
      <w:r>
        <w:rPr>
          <w:rFonts w:hint="eastAsia" w:ascii="宋体" w:hAnsi="宋体"/>
          <w:b/>
          <w:bCs/>
          <w:color w:val="auto"/>
          <w:sz w:val="24"/>
          <w:highlight w:val="none"/>
          <w:lang w:val="en-GB"/>
        </w:rPr>
        <w:t>、土石方二次倒运</w:t>
      </w:r>
      <w:bookmarkEnd w:id="8349"/>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本工程土石方施工中可能存在二次倒运或多次倒运，费用由承包人在投标报价中自行考虑，结算时不再调整，承包人须考虑投标风险。</w:t>
      </w:r>
    </w:p>
    <w:p>
      <w:pPr>
        <w:pStyle w:val="125"/>
        <w:keepNext/>
        <w:keepLines/>
        <w:spacing w:before="120" w:beforeLines="50" w:after="120" w:afterLines="50" w:line="360" w:lineRule="auto"/>
        <w:ind w:firstLine="480" w:firstLineChars="200"/>
        <w:outlineLvl w:val="2"/>
        <w:rPr>
          <w:rFonts w:ascii="宋体" w:hAnsi="宋体"/>
          <w:b/>
          <w:bCs/>
          <w:color w:val="auto"/>
          <w:sz w:val="24"/>
          <w:szCs w:val="22"/>
          <w:highlight w:val="none"/>
        </w:rPr>
      </w:pPr>
      <w:bookmarkStart w:id="8350" w:name="_Toc69114318"/>
      <w:r>
        <w:rPr>
          <w:rFonts w:hint="eastAsia" w:ascii="宋体" w:hAnsi="宋体"/>
          <w:b/>
          <w:bCs/>
          <w:color w:val="auto"/>
          <w:sz w:val="24"/>
          <w:szCs w:val="22"/>
          <w:highlight w:val="none"/>
        </w:rPr>
        <w:t>16、建筑材料、设备、苗木</w:t>
      </w:r>
      <w:bookmarkEnd w:id="8350"/>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本工程中各种建筑材料、设备及苗木的种类及数量详见施工图及工程量清单，施工过程中未经发包方许可不得改变。承包人在施工期间不得向发包人提出更改投标报价中的工程项目（即建筑材料、设备、苗木等）、数量、质量及规格等。</w:t>
      </w:r>
    </w:p>
    <w:p>
      <w:pPr>
        <w:pStyle w:val="125"/>
        <w:keepNext/>
        <w:keepLines/>
        <w:spacing w:before="120" w:beforeLines="50" w:after="120" w:afterLines="50" w:line="360" w:lineRule="auto"/>
        <w:ind w:firstLine="480" w:firstLineChars="200"/>
        <w:outlineLvl w:val="2"/>
        <w:rPr>
          <w:rFonts w:ascii="宋体" w:hAnsi="宋体"/>
          <w:b/>
          <w:bCs/>
          <w:color w:val="auto"/>
          <w:sz w:val="24"/>
          <w:highlight w:val="none"/>
        </w:rPr>
      </w:pPr>
      <w:bookmarkStart w:id="8351" w:name="_Toc69114319"/>
      <w:r>
        <w:rPr>
          <w:rFonts w:hint="eastAsia" w:ascii="宋体" w:hAnsi="宋体"/>
          <w:b/>
          <w:bCs/>
          <w:color w:val="auto"/>
          <w:sz w:val="24"/>
          <w:highlight w:val="none"/>
        </w:rPr>
        <w:t>17、“深圳蓝”可持续行动</w:t>
      </w:r>
      <w:bookmarkEnd w:id="8351"/>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 xml:space="preserve">为加强大气污染整治，提升环境空气质量，发包人、监理及承包人须根据《深圳市人民政府办公厅关于印发2018年“深圳蓝”可持续行动计划的通知》（深府办规[2018]6号）文件的要求严格落实有关规定，若相关新文件出台从其新规。其中：    </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（1）扬尘污染防治技术指标</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建设工程工地100%落实：施工围挡及外架100%全封闭；出入口及车行道100%硬底化；出入口100%安装冲洗设施；易起尘作业面100%湿法施工；裸露土及易起尘物料100%覆盖；出入口100%安装TSP 在线监测和视频监控系统。</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技术要求：各项扬尘防治措施必须符合《广东省建设工程施工扬尘污染防治管理办法（试行）》和《建设工程扬尘污染防治技术规范》（SZDB/Z247—2017）等要求。房屋工程、场平工程、地铁场站工程等每1000 平方米安装一台雾炮设施，道路工程、河道工程、管廊工程每100 米安装一台雾炮设施。施工作业期间作业面应持续喷水压尘。工地因未落实扬尘防治措施被公开通报的，发包人对承包人每次处以2万元</w:t>
      </w:r>
      <w:r>
        <w:rPr>
          <w:rFonts w:hint="eastAsia" w:ascii="宋体" w:hAnsi="宋体" w:cs="宋体"/>
          <w:color w:val="auto"/>
          <w:szCs w:val="21"/>
          <w:highlight w:val="none"/>
          <w:lang w:val="en-GB" w:eastAsia="zh-CN"/>
        </w:rPr>
        <w:t>违约金</w:t>
      </w:r>
      <w:r>
        <w:rPr>
          <w:rFonts w:hint="eastAsia" w:ascii="宋体" w:hAnsi="宋体" w:cs="宋体"/>
          <w:color w:val="auto"/>
          <w:szCs w:val="21"/>
          <w:highlight w:val="none"/>
          <w:lang w:val="en-GB"/>
        </w:rPr>
        <w:t>，</w:t>
      </w:r>
      <w:r>
        <w:rPr>
          <w:rFonts w:hint="eastAsia" w:ascii="宋体" w:hAnsi="宋体" w:cs="宋体"/>
          <w:color w:val="auto"/>
          <w:szCs w:val="21"/>
          <w:highlight w:val="none"/>
          <w:lang w:val="en-GB" w:eastAsia="zh-CN"/>
        </w:rPr>
        <w:t>该项违约金</w:t>
      </w:r>
      <w:r>
        <w:rPr>
          <w:rFonts w:hint="eastAsia" w:ascii="宋体" w:hAnsi="宋体" w:cs="宋体"/>
          <w:color w:val="auto"/>
          <w:szCs w:val="21"/>
          <w:highlight w:val="none"/>
          <w:lang w:val="en-GB"/>
        </w:rPr>
        <w:t>累计不超过合同价的0.5%。</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（2）非道路移动机械使用规定</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①必须使用符合《在用非道路移动机械用柴油机排气烟度排放限值及测量方法》（SZJG49-2015）要求的非道路移动机械；</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②禁止使用无法提供施工机械排气检测合格报告的非道路移动机械，并将非道路移动机械排气监管纳入工地文明施工日常管理。若承包人违规使用未达标准的非道路移动机械，则发包人对承包人每项每日（使用期间）处以5000元</w:t>
      </w:r>
      <w:r>
        <w:rPr>
          <w:rFonts w:hint="eastAsia" w:ascii="宋体" w:hAnsi="宋体" w:cs="宋体"/>
          <w:color w:val="auto"/>
          <w:szCs w:val="21"/>
          <w:highlight w:val="none"/>
          <w:lang w:val="en-GB" w:eastAsia="zh-CN"/>
        </w:rPr>
        <w:t>违约金</w:t>
      </w:r>
      <w:r>
        <w:rPr>
          <w:rFonts w:hint="eastAsia" w:ascii="宋体" w:hAnsi="宋体" w:cs="宋体"/>
          <w:color w:val="auto"/>
          <w:szCs w:val="21"/>
          <w:highlight w:val="none"/>
          <w:lang w:val="en-GB"/>
        </w:rPr>
        <w:t>，</w:t>
      </w:r>
      <w:r>
        <w:rPr>
          <w:rFonts w:hint="eastAsia" w:ascii="宋体" w:hAnsi="宋体" w:cs="宋体"/>
          <w:color w:val="auto"/>
          <w:szCs w:val="21"/>
          <w:highlight w:val="none"/>
          <w:lang w:val="en-GB" w:eastAsia="zh-CN"/>
        </w:rPr>
        <w:t>该项</w:t>
      </w:r>
      <w:r>
        <w:rPr>
          <w:rFonts w:hint="eastAsia" w:ascii="宋体" w:hAnsi="宋体" w:cs="宋体"/>
          <w:color w:val="auto"/>
          <w:szCs w:val="21"/>
          <w:highlight w:val="none"/>
          <w:lang w:val="en-GB"/>
        </w:rPr>
        <w:t>总</w:t>
      </w:r>
      <w:r>
        <w:rPr>
          <w:rFonts w:hint="eastAsia" w:ascii="宋体" w:hAnsi="宋体" w:cs="宋体"/>
          <w:color w:val="auto"/>
          <w:szCs w:val="21"/>
          <w:highlight w:val="none"/>
          <w:lang w:val="en-GB" w:eastAsia="zh-CN"/>
        </w:rPr>
        <w:t>违约金</w:t>
      </w:r>
      <w:r>
        <w:rPr>
          <w:rFonts w:hint="eastAsia" w:ascii="宋体" w:hAnsi="宋体" w:cs="宋体"/>
          <w:color w:val="auto"/>
          <w:szCs w:val="21"/>
          <w:highlight w:val="none"/>
          <w:lang w:val="en-GB"/>
        </w:rPr>
        <w:t>累计不超过合同价的0.5%，同时禁止该机械再次入场；</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③禁止在低排区内使用未加装DPF的国II及以下标准燃油挖掘机、装载机、堆土机、打桩机。若承包人违规使用，则发包人对承包人每项每日（使用期间）处以5000元</w:t>
      </w:r>
      <w:r>
        <w:rPr>
          <w:rFonts w:hint="eastAsia" w:ascii="宋体" w:hAnsi="宋体" w:cs="宋体"/>
          <w:color w:val="auto"/>
          <w:szCs w:val="21"/>
          <w:highlight w:val="none"/>
          <w:lang w:val="en-GB" w:eastAsia="zh-CN"/>
        </w:rPr>
        <w:t>违约金</w:t>
      </w:r>
      <w:r>
        <w:rPr>
          <w:rFonts w:hint="eastAsia" w:ascii="宋体" w:hAnsi="宋体" w:cs="宋体"/>
          <w:color w:val="auto"/>
          <w:szCs w:val="21"/>
          <w:highlight w:val="none"/>
          <w:lang w:val="en-GB"/>
        </w:rPr>
        <w:t>，</w:t>
      </w:r>
      <w:r>
        <w:rPr>
          <w:rFonts w:hint="eastAsia" w:ascii="宋体" w:hAnsi="宋体" w:cs="宋体"/>
          <w:color w:val="auto"/>
          <w:szCs w:val="21"/>
          <w:highlight w:val="none"/>
          <w:lang w:val="en-GB" w:eastAsia="zh-CN"/>
        </w:rPr>
        <w:t>该项</w:t>
      </w:r>
      <w:r>
        <w:rPr>
          <w:rFonts w:hint="eastAsia" w:ascii="宋体" w:hAnsi="宋体" w:cs="宋体"/>
          <w:color w:val="auto"/>
          <w:szCs w:val="21"/>
          <w:highlight w:val="none"/>
          <w:lang w:val="en-GB"/>
        </w:rPr>
        <w:t>总</w:t>
      </w:r>
      <w:r>
        <w:rPr>
          <w:rFonts w:hint="eastAsia" w:ascii="宋体" w:hAnsi="宋体" w:cs="宋体"/>
          <w:color w:val="auto"/>
          <w:szCs w:val="21"/>
          <w:highlight w:val="none"/>
          <w:lang w:val="en-GB" w:eastAsia="zh-CN"/>
        </w:rPr>
        <w:t>违约金</w:t>
      </w:r>
      <w:r>
        <w:rPr>
          <w:rFonts w:hint="eastAsia" w:ascii="宋体" w:hAnsi="宋体" w:cs="宋体"/>
          <w:color w:val="auto"/>
          <w:szCs w:val="21"/>
          <w:highlight w:val="none"/>
          <w:lang w:val="en-GB"/>
        </w:rPr>
        <w:t>累计不超过合同价的0.5%，同时禁止该机械再次入场。</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项目中存在交通安全设施类专业工程，须采购成品构件，严禁现场喷涂。道路桥梁、人行道护栏翻新、道路交通隔离栏翻新、道路标线和标识涂装作业，必须使用低挥发性有机物含量涂料。</w:t>
      </w:r>
    </w:p>
    <w:p>
      <w:pPr>
        <w:overflowPunct w:val="0"/>
        <w:adjustRightInd w:val="0"/>
        <w:snapToGrid w:val="0"/>
        <w:spacing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应急响应期间，除应急抢险外，承包人须全面停止建筑工地室外喷涂、粉刷等排放挥发性有机物的施工工作；须全面停止施工工地土石方作业和拆除工程；须全面停止道路桥梁、人行道护栏、道路交通隔离栏、道路标线和标识的涂装或翻新作业；须将裸土全覆盖；须对项目红线内及周边因施工污染的道路做好清扫工作。</w:t>
      </w:r>
    </w:p>
    <w:p>
      <w:pPr>
        <w:pStyle w:val="125"/>
        <w:keepNext/>
        <w:keepLines/>
        <w:spacing w:before="120" w:beforeLines="50" w:after="120" w:afterLines="50" w:line="360" w:lineRule="auto"/>
        <w:ind w:firstLine="480" w:firstLineChars="200"/>
        <w:outlineLvl w:val="2"/>
        <w:rPr>
          <w:rFonts w:hint="eastAsia" w:ascii="宋体" w:hAnsi="宋体"/>
          <w:b/>
          <w:bCs/>
          <w:color w:val="auto"/>
          <w:sz w:val="24"/>
          <w:szCs w:val="22"/>
          <w:highlight w:val="none"/>
        </w:rPr>
      </w:pPr>
      <w:bookmarkStart w:id="8352" w:name="_Toc69114320"/>
      <w:r>
        <w:rPr>
          <w:rFonts w:hint="eastAsia" w:ascii="宋体" w:hAnsi="宋体"/>
          <w:b/>
          <w:bCs/>
          <w:color w:val="auto"/>
          <w:sz w:val="24"/>
          <w:szCs w:val="22"/>
          <w:highlight w:val="none"/>
        </w:rPr>
        <w:t>18、信用管理</w:t>
      </w:r>
      <w:bookmarkEnd w:id="8352"/>
    </w:p>
    <w:p>
      <w:pPr>
        <w:keepNext/>
        <w:keepLines/>
        <w:spacing w:before="120" w:beforeLines="50" w:after="120" w:afterLines="50" w:line="360" w:lineRule="auto"/>
        <w:ind w:firstLine="420" w:firstLineChars="200"/>
        <w:rPr>
          <w:rFonts w:hint="eastAsia" w:ascii="宋体" w:hAnsi="宋体" w:cs="宋体"/>
          <w:color w:val="auto"/>
          <w:szCs w:val="21"/>
          <w:highlight w:val="none"/>
          <w:lang w:val="en-GB"/>
        </w:rPr>
      </w:pPr>
      <w:r>
        <w:rPr>
          <w:rFonts w:hint="eastAsia" w:ascii="宋体" w:hAnsi="宋体" w:cs="宋体"/>
          <w:color w:val="auto"/>
          <w:szCs w:val="21"/>
          <w:highlight w:val="none"/>
          <w:lang w:val="en-GB"/>
        </w:rPr>
        <w:t>本项目发包人、监理及承包人须根据《建筑市场信用管理暂行办法》及《深圳市建筑市场严重违法行为特别处理规定》和国家、省、市、区其他相关文件规定的要求严格落实信用管理工作，严格执行“黑名单”管理制度。</w:t>
      </w:r>
    </w:p>
    <w:p>
      <w:pPr>
        <w:pStyle w:val="125"/>
        <w:keepNext/>
        <w:keepLines/>
        <w:spacing w:before="120" w:beforeLines="50" w:after="120" w:afterLines="50" w:line="360" w:lineRule="auto"/>
        <w:ind w:firstLine="480" w:firstLineChars="200"/>
        <w:outlineLvl w:val="2"/>
        <w:rPr>
          <w:rFonts w:hint="eastAsia" w:ascii="宋体" w:hAnsi="宋体"/>
          <w:b/>
          <w:bCs/>
          <w:color w:val="auto"/>
          <w:sz w:val="24"/>
          <w:szCs w:val="22"/>
          <w:highlight w:val="none"/>
        </w:rPr>
      </w:pPr>
      <w:bookmarkStart w:id="8353" w:name="_Toc69114321"/>
      <w:r>
        <w:rPr>
          <w:rFonts w:hint="eastAsia" w:ascii="宋体" w:hAnsi="宋体"/>
          <w:b/>
          <w:bCs/>
          <w:color w:val="auto"/>
          <w:sz w:val="24"/>
          <w:szCs w:val="22"/>
          <w:highlight w:val="none"/>
        </w:rPr>
        <w:t>19、履约评价</w:t>
      </w:r>
      <w:bookmarkEnd w:id="8353"/>
    </w:p>
    <w:p>
      <w:pPr>
        <w:pStyle w:val="125"/>
        <w:spacing w:after="200" w:line="480" w:lineRule="exact"/>
        <w:rPr>
          <w:rFonts w:hint="eastAsia" w:ascii="宋体" w:hAnsi="宋体" w:cs="宋体"/>
          <w:color w:val="auto"/>
          <w:szCs w:val="21"/>
          <w:highlight w:val="none"/>
          <w:lang w:val="en-GB"/>
        </w:rPr>
      </w:pPr>
      <w:r>
        <w:rPr>
          <w:rFonts w:hint="eastAsia" w:ascii="宋体" w:hAnsi="宋体"/>
          <w:color w:val="auto"/>
          <w:sz w:val="24"/>
          <w:highlight w:val="none"/>
        </w:rPr>
        <w:t xml:space="preserve">  </w:t>
      </w:r>
      <w:r>
        <w:rPr>
          <w:rFonts w:hint="eastAsia" w:ascii="宋体" w:hAnsi="宋体" w:cs="宋体"/>
          <w:color w:val="auto"/>
          <w:szCs w:val="21"/>
          <w:highlight w:val="none"/>
          <w:lang w:val="en-GB"/>
        </w:rPr>
        <w:t xml:space="preserve">  根据发包人编制的履约评价办法，发包人将定期对承包人的履约情况进行评价，发包人有权将履约评价结果纳入日后招标定标环节，作为招标定标的依据之一。承包人知悉并同意，发包人可能会对履约评价办法进行修订，修订后的履约评价办法可以直接适用于本合同，发包人可以依据修订后的履约评价办法对承包人的履约情况进行评价，承包人放弃对此提出异议的权利。</w:t>
      </w:r>
    </w:p>
    <w:p>
      <w:pPr>
        <w:keepNext/>
        <w:keepLines/>
        <w:spacing w:line="360" w:lineRule="auto"/>
        <w:rPr>
          <w:bCs/>
          <w:color w:val="auto"/>
          <w:highlight w:val="none"/>
        </w:rPr>
      </w:pPr>
      <w:r>
        <w:rPr>
          <w:rFonts w:hint="eastAsia"/>
          <w:bCs/>
          <w:color w:val="auto"/>
          <w:highlight w:val="none"/>
        </w:rPr>
        <w:t>说明：</w:t>
      </w:r>
    </w:p>
    <w:p>
      <w:pPr>
        <w:pStyle w:val="125"/>
        <w:widowControl/>
        <w:spacing w:after="200" w:line="360" w:lineRule="auto"/>
        <w:ind w:firstLine="567"/>
        <w:jc w:val="left"/>
        <w:rPr>
          <w:bCs/>
          <w:color w:val="auto"/>
          <w:highlight w:val="none"/>
        </w:rPr>
      </w:pPr>
      <w:r>
        <w:rPr>
          <w:rFonts w:hint="eastAsia"/>
          <w:bCs/>
          <w:color w:val="auto"/>
          <w:highlight w:val="none"/>
        </w:rPr>
        <w:t>（1）承包人知悉并同意，发包人可能会对履约评价办法进行修订，修订后的履约评价办法可以直接适用于本合同，发包人可以依据修订后的履约评价办法对承包人的履约情况进行评价，承包人放弃对此提出异议的权利。</w:t>
      </w:r>
    </w:p>
    <w:p>
      <w:pPr>
        <w:pStyle w:val="125"/>
        <w:widowControl/>
        <w:spacing w:after="200" w:line="360" w:lineRule="auto"/>
        <w:ind w:firstLine="567"/>
        <w:jc w:val="left"/>
        <w:rPr>
          <w:rFonts w:hint="eastAsia" w:ascii="宋体" w:hAnsi="宋体" w:cs="宋体"/>
          <w:b/>
          <w:bCs/>
          <w:color w:val="auto"/>
          <w:sz w:val="24"/>
          <w:highlight w:val="none"/>
        </w:rPr>
      </w:pPr>
      <w:r>
        <w:rPr>
          <w:rFonts w:hint="eastAsia"/>
          <w:bCs/>
          <w:color w:val="auto"/>
          <w:highlight w:val="none"/>
        </w:rPr>
        <w:t>（2）委托人也可视情况需要在其门户网站或相关媒体发布履约评价相关信息。</w:t>
      </w:r>
    </w:p>
    <w:bookmarkEnd w:id="8354"/>
    <w:sectPr>
      <w:pgSz w:w="11907" w:h="16840"/>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Arial Narrow">
    <w:panose1 w:val="020B0606020202030204"/>
    <w:charset w:val="00"/>
    <w:family w:val="swiss"/>
    <w:pitch w:val="default"/>
    <w:sig w:usb0="00000287" w:usb1="00000800" w:usb2="00000000" w:usb3="00000000" w:csb0="2000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全真中明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
    <w:altName w:val="Times New Roman"/>
    <w:panose1 w:val="00000000000000000000"/>
    <w:charset w:val="00"/>
    <w:family w:val="roman"/>
    <w:pitch w:val="default"/>
    <w:sig w:usb0="00000000" w:usb1="00000000" w:usb2="00000000" w:usb3="00000000" w:csb0="00000001" w:csb1="00000000"/>
  </w:font>
  <w:font w:name="Arial Unicode MS">
    <w:panose1 w:val="020B0604020202020204"/>
    <w:charset w:val="86"/>
    <w:family w:val="roman"/>
    <w:pitch w:val="default"/>
    <w:sig w:usb0="FFFFFFFF" w:usb1="E9FFFFFF" w:usb2="0000003F" w:usb3="00000000" w:csb0="603F01FF" w:csb1="FFFF0000"/>
  </w:font>
  <w:font w:name="Microsoft YaHei UI">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Segoe UI Symbol">
    <w:panose1 w:val="020B0502040204020203"/>
    <w:charset w:val="00"/>
    <w:family w:val="swiss"/>
    <w:pitch w:val="default"/>
    <w:sig w:usb0="800001E3" w:usb1="1200FFEF" w:usb2="00040000" w:usb3="04000000" w:csb0="00000001" w:csb1="40000000"/>
  </w:font>
  <w:font w:name="Wingdings 2">
    <w:panose1 w:val="05020102010507070707"/>
    <w:charset w:val="02"/>
    <w:family w:val="roman"/>
    <w:pitch w:val="default"/>
    <w:sig w:usb0="00000000" w:usb1="00000000" w:usb2="00000000" w:usb3="00000000" w:csb0="80000000" w:csb1="00000000"/>
  </w:font>
  <w:font w:name="UniversalMath1 BT">
    <w:altName w:val="Symbol"/>
    <w:panose1 w:val="05050102010205020602"/>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inside" w:y="1"/>
      <w:rPr>
        <w:rStyle w:val="48"/>
      </w:rPr>
    </w:pPr>
    <w:r>
      <w:fldChar w:fldCharType="begin"/>
    </w:r>
    <w:r>
      <w:rPr>
        <w:rStyle w:val="48"/>
      </w:rPr>
      <w:instrText xml:space="preserve">PAGE  </w:instrText>
    </w:r>
    <w:r>
      <w:fldChar w:fldCharType="end"/>
    </w:r>
  </w:p>
  <w:p>
    <w:pPr>
      <w:pStyle w:val="2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fldChar w:fldCharType="begin"/>
    </w:r>
    <w:r>
      <w:instrText xml:space="preserve">PAGE   \* MERGEFORMAT</w:instrText>
    </w:r>
    <w:r>
      <w:fldChar w:fldCharType="separate"/>
    </w:r>
    <w:r>
      <w:rPr>
        <w:lang w:val="zh-CN"/>
      </w:rPr>
      <w:t>2</w:t>
    </w:r>
    <w:r>
      <w:fldChar w:fldCharType="end"/>
    </w:r>
  </w:p>
  <w:p>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fldChar w:fldCharType="begin"/>
    </w:r>
    <w:r>
      <w:instrText xml:space="preserve">PAGE   \* MERGEFORMAT</w:instrText>
    </w:r>
    <w:r>
      <w:fldChar w:fldCharType="separate"/>
    </w:r>
    <w:r>
      <w:rPr>
        <w:lang w:val="zh-CN"/>
      </w:rPr>
      <w:t>2</w:t>
    </w:r>
    <w:r>
      <w:fldChar w:fldCharType="end"/>
    </w:r>
  </w:p>
  <w:p>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fldChar w:fldCharType="begin"/>
    </w:r>
    <w:r>
      <w:instrText xml:space="preserve">PAGE   \* MERGEFORMAT</w:instrText>
    </w:r>
    <w:r>
      <w:fldChar w:fldCharType="separate"/>
    </w:r>
    <w:r>
      <w:rPr>
        <w:lang w:val="zh-CN"/>
      </w:rPr>
      <w:t>2</w:t>
    </w:r>
    <w:r>
      <w:fldChar w:fldCharType="end"/>
    </w:r>
  </w:p>
  <w:p>
    <w:pPr>
      <w:pStyle w:val="2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8"/>
      </w:rPr>
    </w:pPr>
    <w:r>
      <w:fldChar w:fldCharType="begin"/>
    </w:r>
    <w:r>
      <w:rPr>
        <w:rStyle w:val="48"/>
      </w:rPr>
      <w:instrText xml:space="preserve">PAGE  </w:instrText>
    </w:r>
    <w:r>
      <w:fldChar w:fldCharType="end"/>
    </w:r>
  </w:p>
  <w:p>
    <w:pPr>
      <w:pStyle w:val="26"/>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right"/>
    </w:pPr>
  </w:p>
  <w:p>
    <w:pPr>
      <w:pStyle w:val="2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EC66B9"/>
    <w:multiLevelType w:val="singleLevel"/>
    <w:tmpl w:val="93EC66B9"/>
    <w:lvl w:ilvl="0" w:tentative="0">
      <w:start w:val="1"/>
      <w:numFmt w:val="decimal"/>
      <w:suff w:val="nothing"/>
      <w:lvlText w:val="（%1）"/>
      <w:lvlJc w:val="left"/>
    </w:lvl>
  </w:abstractNum>
  <w:abstractNum w:abstractNumId="1">
    <w:nsid w:val="C4367C83"/>
    <w:multiLevelType w:val="singleLevel"/>
    <w:tmpl w:val="C4367C83"/>
    <w:lvl w:ilvl="0" w:tentative="0">
      <w:start w:val="1"/>
      <w:numFmt w:val="decimal"/>
      <w:suff w:val="nothing"/>
      <w:lvlText w:val="%1．"/>
      <w:lvlJc w:val="left"/>
      <w:pPr>
        <w:ind w:left="9662" w:firstLine="400"/>
      </w:pPr>
      <w:rPr>
        <w:rFonts w:hint="default" w:cs="Times New Roman"/>
      </w:rPr>
    </w:lvl>
  </w:abstractNum>
  <w:abstractNum w:abstractNumId="2">
    <w:nsid w:val="EBD27E8D"/>
    <w:multiLevelType w:val="singleLevel"/>
    <w:tmpl w:val="EBD27E8D"/>
    <w:lvl w:ilvl="0" w:tentative="0">
      <w:start w:val="1"/>
      <w:numFmt w:val="decimal"/>
      <w:suff w:val="nothing"/>
      <w:lvlText w:val="（%1）"/>
      <w:lvlJc w:val="left"/>
    </w:lvl>
  </w:abstractNum>
  <w:abstractNum w:abstractNumId="3">
    <w:nsid w:val="F57637F3"/>
    <w:multiLevelType w:val="singleLevel"/>
    <w:tmpl w:val="F57637F3"/>
    <w:lvl w:ilvl="0" w:tentative="0">
      <w:start w:val="2"/>
      <w:numFmt w:val="decimal"/>
      <w:suff w:val="nothing"/>
      <w:lvlText w:val="（%1）"/>
      <w:lvlJc w:val="left"/>
    </w:lvl>
  </w:abstractNum>
  <w:abstractNum w:abstractNumId="4">
    <w:nsid w:val="18287908"/>
    <w:multiLevelType w:val="multilevel"/>
    <w:tmpl w:val="1828790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AB725FB"/>
    <w:multiLevelType w:val="multilevel"/>
    <w:tmpl w:val="1AB725FB"/>
    <w:lvl w:ilvl="0" w:tentative="0">
      <w:start w:val="1"/>
      <w:numFmt w:val="decimal"/>
      <w:pStyle w:val="2"/>
      <w:lvlText w:val="%1、"/>
      <w:lvlJc w:val="left"/>
      <w:pPr>
        <w:tabs>
          <w:tab w:val="left" w:pos="687"/>
        </w:tabs>
        <w:ind w:left="687"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2C2B17BC"/>
    <w:multiLevelType w:val="multilevel"/>
    <w:tmpl w:val="2C2B17BC"/>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36C14BC8"/>
    <w:multiLevelType w:val="multilevel"/>
    <w:tmpl w:val="36C14BC8"/>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42A48DE"/>
    <w:multiLevelType w:val="multilevel"/>
    <w:tmpl w:val="442A48DE"/>
    <w:lvl w:ilvl="0" w:tentative="0">
      <w:start w:val="1"/>
      <w:numFmt w:val="decimal"/>
      <w:lvlText w:val="%1."/>
      <w:lvlJc w:val="left"/>
      <w:pPr>
        <w:tabs>
          <w:tab w:val="left" w:pos="425"/>
        </w:tabs>
        <w:ind w:left="425" w:hanging="425"/>
      </w:pPr>
      <w:rPr>
        <w:rFonts w:cs="Times New Roman"/>
      </w:rPr>
    </w:lvl>
    <w:lvl w:ilvl="1" w:tentative="0">
      <w:start w:val="1"/>
      <w:numFmt w:val="decimal"/>
      <w:lvlText w:val="%1.%2."/>
      <w:lvlJc w:val="left"/>
      <w:pPr>
        <w:tabs>
          <w:tab w:val="left" w:pos="567"/>
        </w:tabs>
        <w:ind w:left="567" w:hanging="567"/>
      </w:pPr>
      <w:rPr>
        <w:rFonts w:cs="Times New Roman"/>
      </w:rPr>
    </w:lvl>
    <w:lvl w:ilvl="2" w:tentative="0">
      <w:start w:val="1"/>
      <w:numFmt w:val="decimal"/>
      <w:pStyle w:val="4"/>
      <w:lvlText w:val="%1.%2.%3."/>
      <w:lvlJc w:val="left"/>
      <w:pPr>
        <w:tabs>
          <w:tab w:val="left" w:pos="709"/>
        </w:tabs>
        <w:ind w:left="709" w:hanging="709"/>
      </w:pPr>
      <w:rPr>
        <w:rFonts w:cs="Times New Roman"/>
      </w:rPr>
    </w:lvl>
    <w:lvl w:ilvl="3" w:tentative="0">
      <w:start w:val="1"/>
      <w:numFmt w:val="decimal"/>
      <w:lvlText w:val="%1.%2.%3.%4."/>
      <w:lvlJc w:val="left"/>
      <w:pPr>
        <w:tabs>
          <w:tab w:val="left" w:pos="851"/>
        </w:tabs>
        <w:ind w:left="851" w:hanging="851"/>
      </w:pPr>
      <w:rPr>
        <w:rFonts w:cs="Times New Roman"/>
      </w:rPr>
    </w:lvl>
    <w:lvl w:ilvl="4" w:tentative="0">
      <w:start w:val="1"/>
      <w:numFmt w:val="decimal"/>
      <w:lvlText w:val="%1.%2.%3.%4.%5."/>
      <w:lvlJc w:val="left"/>
      <w:pPr>
        <w:tabs>
          <w:tab w:val="left" w:pos="992"/>
        </w:tabs>
        <w:ind w:left="992" w:hanging="992"/>
      </w:pPr>
      <w:rPr>
        <w:rFonts w:cs="Times New Roman"/>
      </w:rPr>
    </w:lvl>
    <w:lvl w:ilvl="5" w:tentative="0">
      <w:start w:val="1"/>
      <w:numFmt w:val="decimal"/>
      <w:lvlText w:val="%1.%2.%3.%4.%5.%6."/>
      <w:lvlJc w:val="left"/>
      <w:pPr>
        <w:tabs>
          <w:tab w:val="left" w:pos="1134"/>
        </w:tabs>
        <w:ind w:left="1134" w:hanging="1134"/>
      </w:pPr>
      <w:rPr>
        <w:rFonts w:cs="Times New Roman"/>
      </w:rPr>
    </w:lvl>
    <w:lvl w:ilvl="6" w:tentative="0">
      <w:start w:val="1"/>
      <w:numFmt w:val="decimal"/>
      <w:lvlText w:val="%1.%2.%3.%4.%5.%6.%7."/>
      <w:lvlJc w:val="left"/>
      <w:pPr>
        <w:tabs>
          <w:tab w:val="left" w:pos="1276"/>
        </w:tabs>
        <w:ind w:left="1276" w:hanging="1276"/>
      </w:pPr>
      <w:rPr>
        <w:rFonts w:cs="Times New Roman"/>
      </w:rPr>
    </w:lvl>
    <w:lvl w:ilvl="7" w:tentative="0">
      <w:start w:val="1"/>
      <w:numFmt w:val="decimal"/>
      <w:lvlText w:val="%1.%2.%3.%4.%5.%6.%7.%8."/>
      <w:lvlJc w:val="left"/>
      <w:pPr>
        <w:tabs>
          <w:tab w:val="left" w:pos="1418"/>
        </w:tabs>
        <w:ind w:left="1418" w:hanging="1418"/>
      </w:pPr>
      <w:rPr>
        <w:rFonts w:cs="Times New Roman"/>
      </w:rPr>
    </w:lvl>
    <w:lvl w:ilvl="8" w:tentative="0">
      <w:start w:val="1"/>
      <w:numFmt w:val="decimal"/>
      <w:lvlText w:val="%1.%2.%3.%4.%5.%6.%7.%8.%9."/>
      <w:lvlJc w:val="left"/>
      <w:pPr>
        <w:tabs>
          <w:tab w:val="left" w:pos="1559"/>
        </w:tabs>
        <w:ind w:left="1559" w:hanging="1559"/>
      </w:pPr>
      <w:rPr>
        <w:rFonts w:cs="Times New Roman"/>
      </w:rPr>
    </w:lvl>
  </w:abstractNum>
  <w:abstractNum w:abstractNumId="9">
    <w:nsid w:val="474B38EA"/>
    <w:multiLevelType w:val="singleLevel"/>
    <w:tmpl w:val="474B38EA"/>
    <w:lvl w:ilvl="0" w:tentative="0">
      <w:start w:val="1"/>
      <w:numFmt w:val="lowerLetter"/>
      <w:suff w:val="nothing"/>
      <w:lvlText w:val="(%1)"/>
      <w:lvlJc w:val="left"/>
      <w:pPr>
        <w:ind w:left="0" w:firstLine="0"/>
      </w:pPr>
      <w:rPr>
        <w:rFonts w:hint="eastAsia"/>
      </w:rPr>
    </w:lvl>
  </w:abstractNum>
  <w:abstractNum w:abstractNumId="10">
    <w:nsid w:val="51EF72C4"/>
    <w:multiLevelType w:val="multilevel"/>
    <w:tmpl w:val="51EF72C4"/>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592FDE57"/>
    <w:multiLevelType w:val="singleLevel"/>
    <w:tmpl w:val="592FDE57"/>
    <w:lvl w:ilvl="0" w:tentative="0">
      <w:start w:val="1"/>
      <w:numFmt w:val="lowerLetter"/>
      <w:suff w:val="nothing"/>
      <w:lvlText w:val="(%1)"/>
      <w:lvlJc w:val="left"/>
    </w:lvl>
  </w:abstractNum>
  <w:abstractNum w:abstractNumId="12">
    <w:nsid w:val="59361BFF"/>
    <w:multiLevelType w:val="singleLevel"/>
    <w:tmpl w:val="59361BFF"/>
    <w:lvl w:ilvl="0" w:tentative="0">
      <w:start w:val="1"/>
      <w:numFmt w:val="lowerLetter"/>
      <w:suff w:val="nothing"/>
      <w:lvlText w:val="（%1）"/>
      <w:lvlJc w:val="left"/>
      <w:pPr>
        <w:ind w:left="0" w:firstLine="0"/>
      </w:pPr>
      <w:rPr>
        <w:lang w:val="en-US"/>
      </w:rPr>
    </w:lvl>
  </w:abstractNum>
  <w:abstractNum w:abstractNumId="13">
    <w:nsid w:val="5A8726FA"/>
    <w:multiLevelType w:val="multilevel"/>
    <w:tmpl w:val="5A8726FA"/>
    <w:lvl w:ilvl="0" w:tentative="0">
      <w:start w:val="1"/>
      <w:numFmt w:val="decimal"/>
      <w:lvlText w:val="%1）"/>
      <w:lvlJc w:val="left"/>
      <w:pPr>
        <w:ind w:left="846"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A8E4861"/>
    <w:multiLevelType w:val="multilevel"/>
    <w:tmpl w:val="5A8E4861"/>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5">
    <w:nsid w:val="5F3F3E31"/>
    <w:multiLevelType w:val="multilevel"/>
    <w:tmpl w:val="5F3F3E31"/>
    <w:lvl w:ilvl="0" w:tentative="0">
      <w:start w:val="8"/>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62DA6944"/>
    <w:multiLevelType w:val="singleLevel"/>
    <w:tmpl w:val="62DA6944"/>
    <w:lvl w:ilvl="0" w:tentative="0">
      <w:start w:val="1"/>
      <w:numFmt w:val="lowerLetter"/>
      <w:lvlText w:val="%1."/>
      <w:lvlJc w:val="left"/>
      <w:pPr>
        <w:tabs>
          <w:tab w:val="left" w:pos="312"/>
        </w:tabs>
        <w:ind w:left="545" w:firstLine="0"/>
      </w:pPr>
    </w:lvl>
  </w:abstractNum>
  <w:abstractNum w:abstractNumId="17">
    <w:nsid w:val="63546A4F"/>
    <w:multiLevelType w:val="multilevel"/>
    <w:tmpl w:val="63546A4F"/>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75F461B2"/>
    <w:multiLevelType w:val="multilevel"/>
    <w:tmpl w:val="75F461B2"/>
    <w:lvl w:ilvl="0" w:tentative="0">
      <w:start w:val="2"/>
      <w:numFmt w:val="upperLetter"/>
      <w:pStyle w:val="5"/>
      <w:lvlText w:val="%1."/>
      <w:lvlJc w:val="left"/>
      <w:pPr>
        <w:tabs>
          <w:tab w:val="left" w:pos="360"/>
        </w:tabs>
        <w:ind w:left="360" w:hanging="360"/>
      </w:pPr>
      <w:rPr>
        <w:rFonts w:hint="eastAsia" w:cs="Times New Roman"/>
      </w:rPr>
    </w:lvl>
    <w:lvl w:ilvl="1" w:tentative="0">
      <w:start w:val="25"/>
      <w:numFmt w:val="decimal"/>
      <w:lvlText w:val="%2、"/>
      <w:lvlJc w:val="left"/>
      <w:pPr>
        <w:tabs>
          <w:tab w:val="left" w:pos="840"/>
        </w:tabs>
        <w:ind w:left="840" w:hanging="420"/>
      </w:pPr>
      <w:rPr>
        <w:rFonts w:hint="eastAsia" w:cs="Times New Roman"/>
      </w:rPr>
    </w:lvl>
    <w:lvl w:ilvl="2" w:tentative="0">
      <w:start w:val="3"/>
      <w:numFmt w:val="japaneseCounting"/>
      <w:lvlText w:val="%3、"/>
      <w:lvlJc w:val="left"/>
      <w:pPr>
        <w:tabs>
          <w:tab w:val="left" w:pos="1260"/>
        </w:tabs>
        <w:ind w:left="1260" w:hanging="420"/>
      </w:pPr>
      <w:rPr>
        <w:rFonts w:hint="eastAsia" w:cs="Times New Roman"/>
      </w:rPr>
    </w:lvl>
    <w:lvl w:ilvl="3" w:tentative="0">
      <w:start w:val="1"/>
      <w:numFmt w:val="decimal"/>
      <w:lvlText w:val="（%4）"/>
      <w:lvlJc w:val="left"/>
      <w:pPr>
        <w:tabs>
          <w:tab w:val="left" w:pos="1980"/>
        </w:tabs>
        <w:ind w:left="1980" w:hanging="720"/>
      </w:pPr>
      <w:rPr>
        <w:rFonts w:hint="eastAsia"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9">
    <w:nsid w:val="785E78B3"/>
    <w:multiLevelType w:val="multilevel"/>
    <w:tmpl w:val="785E78B3"/>
    <w:lvl w:ilvl="0" w:tentative="0">
      <w:start w:val="1"/>
      <w:numFmt w:val="decimal"/>
      <w:lvlText w:val="%1."/>
      <w:lvlJc w:val="left"/>
      <w:pPr>
        <w:ind w:left="360" w:hanging="360"/>
      </w:pPr>
      <w:rPr>
        <w:rFonts w:hint="default"/>
      </w:rPr>
    </w:lvl>
    <w:lvl w:ilvl="1" w:tentative="0">
      <w:start w:val="2"/>
      <w:numFmt w:val="decimal"/>
      <w:isLgl/>
      <w:lvlText w:val="%1.%2"/>
      <w:lvlJc w:val="left"/>
      <w:pPr>
        <w:ind w:left="1069" w:hanging="360"/>
      </w:pPr>
      <w:rPr>
        <w:rFonts w:hint="default"/>
      </w:rPr>
    </w:lvl>
    <w:lvl w:ilvl="2" w:tentative="0">
      <w:start w:val="1"/>
      <w:numFmt w:val="decimal"/>
      <w:isLgl/>
      <w:lvlText w:val="%1.%2.%3"/>
      <w:lvlJc w:val="left"/>
      <w:pPr>
        <w:ind w:left="2138" w:hanging="720"/>
      </w:pPr>
      <w:rPr>
        <w:rFonts w:hint="default"/>
      </w:rPr>
    </w:lvl>
    <w:lvl w:ilvl="3" w:tentative="0">
      <w:start w:val="1"/>
      <w:numFmt w:val="decimal"/>
      <w:isLgl/>
      <w:lvlText w:val="%1.%2.%3.%4"/>
      <w:lvlJc w:val="left"/>
      <w:pPr>
        <w:ind w:left="3207" w:hanging="1080"/>
      </w:pPr>
      <w:rPr>
        <w:rFonts w:hint="default"/>
      </w:rPr>
    </w:lvl>
    <w:lvl w:ilvl="4" w:tentative="0">
      <w:start w:val="1"/>
      <w:numFmt w:val="decimal"/>
      <w:isLgl/>
      <w:lvlText w:val="%1.%2.%3.%4.%5"/>
      <w:lvlJc w:val="left"/>
      <w:pPr>
        <w:ind w:left="3916" w:hanging="1080"/>
      </w:pPr>
      <w:rPr>
        <w:rFonts w:hint="default"/>
      </w:rPr>
    </w:lvl>
    <w:lvl w:ilvl="5" w:tentative="0">
      <w:start w:val="1"/>
      <w:numFmt w:val="decimal"/>
      <w:isLgl/>
      <w:lvlText w:val="%1.%2.%3.%4.%5.%6"/>
      <w:lvlJc w:val="left"/>
      <w:pPr>
        <w:ind w:left="4985" w:hanging="1440"/>
      </w:pPr>
      <w:rPr>
        <w:rFonts w:hint="default"/>
      </w:rPr>
    </w:lvl>
    <w:lvl w:ilvl="6" w:tentative="0">
      <w:start w:val="1"/>
      <w:numFmt w:val="decimal"/>
      <w:isLgl/>
      <w:lvlText w:val="%1.%2.%3.%4.%5.%6.%7"/>
      <w:lvlJc w:val="left"/>
      <w:pPr>
        <w:ind w:left="6054" w:hanging="1800"/>
      </w:pPr>
      <w:rPr>
        <w:rFonts w:hint="default"/>
      </w:rPr>
    </w:lvl>
    <w:lvl w:ilvl="7" w:tentative="0">
      <w:start w:val="1"/>
      <w:numFmt w:val="decimal"/>
      <w:isLgl/>
      <w:lvlText w:val="%1.%2.%3.%4.%5.%6.%7.%8"/>
      <w:lvlJc w:val="left"/>
      <w:pPr>
        <w:ind w:left="6763" w:hanging="1800"/>
      </w:pPr>
      <w:rPr>
        <w:rFonts w:hint="default"/>
      </w:rPr>
    </w:lvl>
    <w:lvl w:ilvl="8" w:tentative="0">
      <w:start w:val="1"/>
      <w:numFmt w:val="decimal"/>
      <w:isLgl/>
      <w:lvlText w:val="%1.%2.%3.%4.%5.%6.%7.%8.%9"/>
      <w:lvlJc w:val="left"/>
      <w:pPr>
        <w:ind w:left="7832" w:hanging="2160"/>
      </w:pPr>
      <w:rPr>
        <w:rFonts w:hint="default"/>
      </w:rPr>
    </w:lvl>
  </w:abstractNum>
  <w:abstractNum w:abstractNumId="20">
    <w:nsid w:val="7A9629D6"/>
    <w:multiLevelType w:val="multilevel"/>
    <w:tmpl w:val="7A9629D6"/>
    <w:lvl w:ilvl="0" w:tentative="0">
      <w:start w:val="2"/>
      <w:numFmt w:val="bullet"/>
      <w:lvlText w:val="□"/>
      <w:lvlJc w:val="left"/>
      <w:pPr>
        <w:ind w:left="360" w:hanging="360"/>
      </w:pPr>
      <w:rPr>
        <w:rFonts w:hint="eastAsia" w:ascii="宋体" w:hAnsi="宋体" w:eastAsia="宋体" w:cs="宋体"/>
        <w:sz w:val="21"/>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7F484AA0"/>
    <w:multiLevelType w:val="multilevel"/>
    <w:tmpl w:val="7F484AA0"/>
    <w:lvl w:ilvl="0" w:tentative="0">
      <w:start w:val="1"/>
      <w:numFmt w:val="decimal"/>
      <w:lvlText w:val="%1"/>
      <w:lvlJc w:val="center"/>
      <w:pPr>
        <w:tabs>
          <w:tab w:val="left" w:pos="132"/>
        </w:tabs>
        <w:ind w:left="132" w:hanging="132"/>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8"/>
  </w:num>
  <w:num w:numId="3">
    <w:abstractNumId w:val="18"/>
  </w:num>
  <w:num w:numId="4">
    <w:abstractNumId w:val="20"/>
  </w:num>
  <w:num w:numId="5">
    <w:abstractNumId w:val="3"/>
  </w:num>
  <w:num w:numId="6">
    <w:abstractNumId w:val="11"/>
  </w:num>
  <w:num w:numId="7">
    <w:abstractNumId w:val="0"/>
  </w:num>
  <w:num w:numId="8">
    <w:abstractNumId w:val="9"/>
  </w:num>
  <w:num w:numId="9">
    <w:abstractNumId w:val="2"/>
  </w:num>
  <w:num w:numId="10">
    <w:abstractNumId w:val="16"/>
  </w:num>
  <w:num w:numId="11">
    <w:abstractNumId w:val="17"/>
  </w:num>
  <w:num w:numId="12">
    <w:abstractNumId w:val="12"/>
    <w:lvlOverride w:ilvl="0">
      <w:startOverride w:val="1"/>
    </w:lvlOverride>
  </w:num>
  <w:num w:numId="13">
    <w:abstractNumId w:val="4"/>
  </w:num>
  <w:num w:numId="14">
    <w:abstractNumId w:val="21"/>
  </w:num>
  <w:num w:numId="15">
    <w:abstractNumId w:val="15"/>
  </w:num>
  <w:num w:numId="16">
    <w:abstractNumId w:val="19"/>
  </w:num>
  <w:num w:numId="17">
    <w:abstractNumId w:val="10"/>
  </w:num>
  <w:num w:numId="18">
    <w:abstractNumId w:val="6"/>
  </w:num>
  <w:num w:numId="19">
    <w:abstractNumId w:val="7"/>
  </w:num>
  <w:num w:numId="20">
    <w:abstractNumId w:val="13"/>
  </w:num>
  <w:num w:numId="21">
    <w:abstractNumId w:val="14"/>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wMDUyZjEyZGMyZTMxZGQyZmY0NTQ0YmE2YjcxNjUifQ=="/>
  </w:docVars>
  <w:rsids>
    <w:rsidRoot w:val="00212D25"/>
    <w:rsid w:val="0000118D"/>
    <w:rsid w:val="00002FF1"/>
    <w:rsid w:val="000037AB"/>
    <w:rsid w:val="00003B19"/>
    <w:rsid w:val="00004610"/>
    <w:rsid w:val="00004D33"/>
    <w:rsid w:val="00004E3D"/>
    <w:rsid w:val="0000594B"/>
    <w:rsid w:val="00005D8B"/>
    <w:rsid w:val="00010E9E"/>
    <w:rsid w:val="000139F0"/>
    <w:rsid w:val="00014608"/>
    <w:rsid w:val="00014F10"/>
    <w:rsid w:val="00015137"/>
    <w:rsid w:val="000153B1"/>
    <w:rsid w:val="0001551D"/>
    <w:rsid w:val="00015C43"/>
    <w:rsid w:val="00016892"/>
    <w:rsid w:val="00020778"/>
    <w:rsid w:val="00020BB5"/>
    <w:rsid w:val="00022623"/>
    <w:rsid w:val="00024333"/>
    <w:rsid w:val="00024DEC"/>
    <w:rsid w:val="0003079D"/>
    <w:rsid w:val="00033B21"/>
    <w:rsid w:val="00034EC0"/>
    <w:rsid w:val="00035E85"/>
    <w:rsid w:val="00036008"/>
    <w:rsid w:val="00036BA2"/>
    <w:rsid w:val="00037247"/>
    <w:rsid w:val="00040F97"/>
    <w:rsid w:val="0004384F"/>
    <w:rsid w:val="000458F1"/>
    <w:rsid w:val="00045CB0"/>
    <w:rsid w:val="00046A67"/>
    <w:rsid w:val="000521FD"/>
    <w:rsid w:val="000527CC"/>
    <w:rsid w:val="00054200"/>
    <w:rsid w:val="000575DF"/>
    <w:rsid w:val="00060A4F"/>
    <w:rsid w:val="00061563"/>
    <w:rsid w:val="000618DC"/>
    <w:rsid w:val="000628B4"/>
    <w:rsid w:val="000628DF"/>
    <w:rsid w:val="0006632B"/>
    <w:rsid w:val="00066EB4"/>
    <w:rsid w:val="00070494"/>
    <w:rsid w:val="000718FC"/>
    <w:rsid w:val="00071FC5"/>
    <w:rsid w:val="00072BC2"/>
    <w:rsid w:val="00073765"/>
    <w:rsid w:val="00073DA2"/>
    <w:rsid w:val="000747ED"/>
    <w:rsid w:val="000758BF"/>
    <w:rsid w:val="00075CC4"/>
    <w:rsid w:val="00084330"/>
    <w:rsid w:val="00085761"/>
    <w:rsid w:val="000870FD"/>
    <w:rsid w:val="00091C20"/>
    <w:rsid w:val="0009324A"/>
    <w:rsid w:val="000934B2"/>
    <w:rsid w:val="00095EC9"/>
    <w:rsid w:val="000967F3"/>
    <w:rsid w:val="000A0BEA"/>
    <w:rsid w:val="000A0EAE"/>
    <w:rsid w:val="000A3BAB"/>
    <w:rsid w:val="000A5098"/>
    <w:rsid w:val="000A6575"/>
    <w:rsid w:val="000A6892"/>
    <w:rsid w:val="000B0D40"/>
    <w:rsid w:val="000B5BD0"/>
    <w:rsid w:val="000B7378"/>
    <w:rsid w:val="000C02BA"/>
    <w:rsid w:val="000C0F15"/>
    <w:rsid w:val="000C261B"/>
    <w:rsid w:val="000C3923"/>
    <w:rsid w:val="000C5409"/>
    <w:rsid w:val="000C6ADC"/>
    <w:rsid w:val="000C75DA"/>
    <w:rsid w:val="000C7C69"/>
    <w:rsid w:val="000D15FF"/>
    <w:rsid w:val="000D17FA"/>
    <w:rsid w:val="000D1F51"/>
    <w:rsid w:val="000D3808"/>
    <w:rsid w:val="000D68AE"/>
    <w:rsid w:val="000E0FDC"/>
    <w:rsid w:val="000E48F0"/>
    <w:rsid w:val="000F0427"/>
    <w:rsid w:val="000F235F"/>
    <w:rsid w:val="000F34F5"/>
    <w:rsid w:val="000F3DAB"/>
    <w:rsid w:val="000F7A3C"/>
    <w:rsid w:val="0010005C"/>
    <w:rsid w:val="00100856"/>
    <w:rsid w:val="00103478"/>
    <w:rsid w:val="00103FC1"/>
    <w:rsid w:val="001075F1"/>
    <w:rsid w:val="00107968"/>
    <w:rsid w:val="00110AC0"/>
    <w:rsid w:val="001137CA"/>
    <w:rsid w:val="00115595"/>
    <w:rsid w:val="001163FE"/>
    <w:rsid w:val="00120F12"/>
    <w:rsid w:val="001214C3"/>
    <w:rsid w:val="00121AFA"/>
    <w:rsid w:val="00121BBA"/>
    <w:rsid w:val="0012235F"/>
    <w:rsid w:val="00124292"/>
    <w:rsid w:val="001249C1"/>
    <w:rsid w:val="00125007"/>
    <w:rsid w:val="00126818"/>
    <w:rsid w:val="00126CC9"/>
    <w:rsid w:val="00127412"/>
    <w:rsid w:val="00131CF5"/>
    <w:rsid w:val="00131E6C"/>
    <w:rsid w:val="00132226"/>
    <w:rsid w:val="001324E9"/>
    <w:rsid w:val="00134C7F"/>
    <w:rsid w:val="00134CD6"/>
    <w:rsid w:val="001353F2"/>
    <w:rsid w:val="00135B40"/>
    <w:rsid w:val="001367EE"/>
    <w:rsid w:val="00137594"/>
    <w:rsid w:val="00137ECC"/>
    <w:rsid w:val="00137EF8"/>
    <w:rsid w:val="001412A6"/>
    <w:rsid w:val="00141BCD"/>
    <w:rsid w:val="00143124"/>
    <w:rsid w:val="0014592B"/>
    <w:rsid w:val="00147ACA"/>
    <w:rsid w:val="001506B2"/>
    <w:rsid w:val="00150F2B"/>
    <w:rsid w:val="001526DA"/>
    <w:rsid w:val="00153216"/>
    <w:rsid w:val="00153B80"/>
    <w:rsid w:val="001540AD"/>
    <w:rsid w:val="00155849"/>
    <w:rsid w:val="00156190"/>
    <w:rsid w:val="00156F30"/>
    <w:rsid w:val="00161E17"/>
    <w:rsid w:val="001627D9"/>
    <w:rsid w:val="00164507"/>
    <w:rsid w:val="00165398"/>
    <w:rsid w:val="00165DC6"/>
    <w:rsid w:val="00167C5A"/>
    <w:rsid w:val="00171982"/>
    <w:rsid w:val="00171F99"/>
    <w:rsid w:val="00173D3F"/>
    <w:rsid w:val="00175570"/>
    <w:rsid w:val="00176067"/>
    <w:rsid w:val="0017658C"/>
    <w:rsid w:val="00180F46"/>
    <w:rsid w:val="001819A7"/>
    <w:rsid w:val="00184CF6"/>
    <w:rsid w:val="0018595F"/>
    <w:rsid w:val="0018690C"/>
    <w:rsid w:val="00187C55"/>
    <w:rsid w:val="00192608"/>
    <w:rsid w:val="00192694"/>
    <w:rsid w:val="00192FB7"/>
    <w:rsid w:val="00195DF7"/>
    <w:rsid w:val="001A0B79"/>
    <w:rsid w:val="001A16D9"/>
    <w:rsid w:val="001A28CE"/>
    <w:rsid w:val="001A4726"/>
    <w:rsid w:val="001A6E89"/>
    <w:rsid w:val="001B006B"/>
    <w:rsid w:val="001B281F"/>
    <w:rsid w:val="001B3AB7"/>
    <w:rsid w:val="001B3AD2"/>
    <w:rsid w:val="001B43D1"/>
    <w:rsid w:val="001B53A8"/>
    <w:rsid w:val="001B7072"/>
    <w:rsid w:val="001C1266"/>
    <w:rsid w:val="001C2F1B"/>
    <w:rsid w:val="001C491E"/>
    <w:rsid w:val="001C4AC9"/>
    <w:rsid w:val="001C5188"/>
    <w:rsid w:val="001C5A52"/>
    <w:rsid w:val="001C5AAE"/>
    <w:rsid w:val="001C71EC"/>
    <w:rsid w:val="001C734E"/>
    <w:rsid w:val="001D1F6B"/>
    <w:rsid w:val="001D2400"/>
    <w:rsid w:val="001D3DBB"/>
    <w:rsid w:val="001E1480"/>
    <w:rsid w:val="001E6520"/>
    <w:rsid w:val="001E6692"/>
    <w:rsid w:val="001F055C"/>
    <w:rsid w:val="001F1A99"/>
    <w:rsid w:val="001F205F"/>
    <w:rsid w:val="001F716C"/>
    <w:rsid w:val="001F7A71"/>
    <w:rsid w:val="001F7BB1"/>
    <w:rsid w:val="0020018F"/>
    <w:rsid w:val="00204D2D"/>
    <w:rsid w:val="00205C56"/>
    <w:rsid w:val="0020706D"/>
    <w:rsid w:val="002073F1"/>
    <w:rsid w:val="00211561"/>
    <w:rsid w:val="00212D25"/>
    <w:rsid w:val="00213AED"/>
    <w:rsid w:val="00213D7A"/>
    <w:rsid w:val="00220119"/>
    <w:rsid w:val="0022363C"/>
    <w:rsid w:val="00227439"/>
    <w:rsid w:val="00227C21"/>
    <w:rsid w:val="002300CD"/>
    <w:rsid w:val="0023097C"/>
    <w:rsid w:val="00236B29"/>
    <w:rsid w:val="00240223"/>
    <w:rsid w:val="00240392"/>
    <w:rsid w:val="00240B7C"/>
    <w:rsid w:val="002423A6"/>
    <w:rsid w:val="002440B0"/>
    <w:rsid w:val="002451B3"/>
    <w:rsid w:val="002478B3"/>
    <w:rsid w:val="00252E6B"/>
    <w:rsid w:val="00253D1C"/>
    <w:rsid w:val="0025508D"/>
    <w:rsid w:val="002552B6"/>
    <w:rsid w:val="0025705C"/>
    <w:rsid w:val="0026093B"/>
    <w:rsid w:val="00261C1D"/>
    <w:rsid w:val="00263083"/>
    <w:rsid w:val="00263B18"/>
    <w:rsid w:val="0026588E"/>
    <w:rsid w:val="00266F3D"/>
    <w:rsid w:val="00267EC6"/>
    <w:rsid w:val="0027465C"/>
    <w:rsid w:val="00276C6E"/>
    <w:rsid w:val="00280951"/>
    <w:rsid w:val="00282D5A"/>
    <w:rsid w:val="0028386E"/>
    <w:rsid w:val="00283975"/>
    <w:rsid w:val="00291493"/>
    <w:rsid w:val="0029399B"/>
    <w:rsid w:val="00293EB9"/>
    <w:rsid w:val="00295550"/>
    <w:rsid w:val="002A08A9"/>
    <w:rsid w:val="002A1C8E"/>
    <w:rsid w:val="002A233A"/>
    <w:rsid w:val="002A3555"/>
    <w:rsid w:val="002A51C4"/>
    <w:rsid w:val="002A5646"/>
    <w:rsid w:val="002A56F2"/>
    <w:rsid w:val="002A640F"/>
    <w:rsid w:val="002A6D64"/>
    <w:rsid w:val="002A6F2C"/>
    <w:rsid w:val="002C044E"/>
    <w:rsid w:val="002C0FB2"/>
    <w:rsid w:val="002C16B2"/>
    <w:rsid w:val="002C18B8"/>
    <w:rsid w:val="002C477A"/>
    <w:rsid w:val="002C5A12"/>
    <w:rsid w:val="002C78F7"/>
    <w:rsid w:val="002D222C"/>
    <w:rsid w:val="002D24BB"/>
    <w:rsid w:val="002D41EB"/>
    <w:rsid w:val="002D7049"/>
    <w:rsid w:val="002D7FF0"/>
    <w:rsid w:val="002E00A3"/>
    <w:rsid w:val="002E2798"/>
    <w:rsid w:val="002E2903"/>
    <w:rsid w:val="002E3D3F"/>
    <w:rsid w:val="002F16CF"/>
    <w:rsid w:val="002F5B7E"/>
    <w:rsid w:val="002F6C65"/>
    <w:rsid w:val="00300729"/>
    <w:rsid w:val="00300B9B"/>
    <w:rsid w:val="00304898"/>
    <w:rsid w:val="0031063A"/>
    <w:rsid w:val="0031071D"/>
    <w:rsid w:val="00312042"/>
    <w:rsid w:val="00313386"/>
    <w:rsid w:val="003133DF"/>
    <w:rsid w:val="00313A6A"/>
    <w:rsid w:val="00313EFF"/>
    <w:rsid w:val="00314280"/>
    <w:rsid w:val="0031670E"/>
    <w:rsid w:val="00320454"/>
    <w:rsid w:val="00320858"/>
    <w:rsid w:val="0032183F"/>
    <w:rsid w:val="0032230D"/>
    <w:rsid w:val="00323D8D"/>
    <w:rsid w:val="00324D02"/>
    <w:rsid w:val="00327576"/>
    <w:rsid w:val="003325AF"/>
    <w:rsid w:val="003328BD"/>
    <w:rsid w:val="003343DC"/>
    <w:rsid w:val="003348F6"/>
    <w:rsid w:val="00335261"/>
    <w:rsid w:val="0033656C"/>
    <w:rsid w:val="0033662D"/>
    <w:rsid w:val="00342AFA"/>
    <w:rsid w:val="00347927"/>
    <w:rsid w:val="00351C5A"/>
    <w:rsid w:val="003534D8"/>
    <w:rsid w:val="00354487"/>
    <w:rsid w:val="00354905"/>
    <w:rsid w:val="00360C3C"/>
    <w:rsid w:val="003616B5"/>
    <w:rsid w:val="00362581"/>
    <w:rsid w:val="00363745"/>
    <w:rsid w:val="00363C1A"/>
    <w:rsid w:val="0036423C"/>
    <w:rsid w:val="00367064"/>
    <w:rsid w:val="003671B3"/>
    <w:rsid w:val="00367ED2"/>
    <w:rsid w:val="003701EA"/>
    <w:rsid w:val="00370C07"/>
    <w:rsid w:val="003711C3"/>
    <w:rsid w:val="003724D4"/>
    <w:rsid w:val="0038195D"/>
    <w:rsid w:val="003826A0"/>
    <w:rsid w:val="0038277F"/>
    <w:rsid w:val="00382FAB"/>
    <w:rsid w:val="00386235"/>
    <w:rsid w:val="003867DA"/>
    <w:rsid w:val="003904B7"/>
    <w:rsid w:val="003905B4"/>
    <w:rsid w:val="003912A3"/>
    <w:rsid w:val="00392E23"/>
    <w:rsid w:val="00393CE3"/>
    <w:rsid w:val="00394049"/>
    <w:rsid w:val="00396D43"/>
    <w:rsid w:val="00396E8A"/>
    <w:rsid w:val="003975D2"/>
    <w:rsid w:val="003A0F8F"/>
    <w:rsid w:val="003A1BEF"/>
    <w:rsid w:val="003A636C"/>
    <w:rsid w:val="003A7F38"/>
    <w:rsid w:val="003B078D"/>
    <w:rsid w:val="003B2911"/>
    <w:rsid w:val="003B2D51"/>
    <w:rsid w:val="003B6361"/>
    <w:rsid w:val="003B661E"/>
    <w:rsid w:val="003B67FC"/>
    <w:rsid w:val="003B748B"/>
    <w:rsid w:val="003C1035"/>
    <w:rsid w:val="003C1FEC"/>
    <w:rsid w:val="003C2E40"/>
    <w:rsid w:val="003C4CBD"/>
    <w:rsid w:val="003C5CB2"/>
    <w:rsid w:val="003C6595"/>
    <w:rsid w:val="003C7B66"/>
    <w:rsid w:val="003D2252"/>
    <w:rsid w:val="003D3B9E"/>
    <w:rsid w:val="003D3DEB"/>
    <w:rsid w:val="003D5364"/>
    <w:rsid w:val="003E0405"/>
    <w:rsid w:val="003E0D1E"/>
    <w:rsid w:val="003E125E"/>
    <w:rsid w:val="003E15FF"/>
    <w:rsid w:val="003E446F"/>
    <w:rsid w:val="003E649D"/>
    <w:rsid w:val="003E66CA"/>
    <w:rsid w:val="003F1D0E"/>
    <w:rsid w:val="003F5CE9"/>
    <w:rsid w:val="003F74E7"/>
    <w:rsid w:val="003F7B8A"/>
    <w:rsid w:val="00400899"/>
    <w:rsid w:val="004013EB"/>
    <w:rsid w:val="00405487"/>
    <w:rsid w:val="004105D2"/>
    <w:rsid w:val="00411B18"/>
    <w:rsid w:val="00412248"/>
    <w:rsid w:val="00412DEE"/>
    <w:rsid w:val="00413E14"/>
    <w:rsid w:val="00420DF9"/>
    <w:rsid w:val="00422777"/>
    <w:rsid w:val="00423B93"/>
    <w:rsid w:val="00427024"/>
    <w:rsid w:val="0043099B"/>
    <w:rsid w:val="00431B78"/>
    <w:rsid w:val="004348B3"/>
    <w:rsid w:val="00435465"/>
    <w:rsid w:val="00441592"/>
    <w:rsid w:val="00442FAF"/>
    <w:rsid w:val="00444F14"/>
    <w:rsid w:val="00446D27"/>
    <w:rsid w:val="00447B91"/>
    <w:rsid w:val="0045015C"/>
    <w:rsid w:val="004507C1"/>
    <w:rsid w:val="004514A3"/>
    <w:rsid w:val="004520AB"/>
    <w:rsid w:val="00452C8F"/>
    <w:rsid w:val="00452E72"/>
    <w:rsid w:val="00452ED9"/>
    <w:rsid w:val="00454B03"/>
    <w:rsid w:val="00457A5F"/>
    <w:rsid w:val="00460A60"/>
    <w:rsid w:val="00461027"/>
    <w:rsid w:val="00461510"/>
    <w:rsid w:val="004648B3"/>
    <w:rsid w:val="00465162"/>
    <w:rsid w:val="00466C83"/>
    <w:rsid w:val="004726F8"/>
    <w:rsid w:val="004729F6"/>
    <w:rsid w:val="00474AA5"/>
    <w:rsid w:val="00474E62"/>
    <w:rsid w:val="00475892"/>
    <w:rsid w:val="00477DA8"/>
    <w:rsid w:val="00480475"/>
    <w:rsid w:val="00481A65"/>
    <w:rsid w:val="004820A0"/>
    <w:rsid w:val="00482EE6"/>
    <w:rsid w:val="00484781"/>
    <w:rsid w:val="00484E47"/>
    <w:rsid w:val="00485DEF"/>
    <w:rsid w:val="00490C9F"/>
    <w:rsid w:val="00490FCE"/>
    <w:rsid w:val="0049232B"/>
    <w:rsid w:val="004945FF"/>
    <w:rsid w:val="00495974"/>
    <w:rsid w:val="00497975"/>
    <w:rsid w:val="004A065E"/>
    <w:rsid w:val="004A1E3C"/>
    <w:rsid w:val="004A2E8B"/>
    <w:rsid w:val="004A3DB5"/>
    <w:rsid w:val="004A4DFC"/>
    <w:rsid w:val="004A7209"/>
    <w:rsid w:val="004B1793"/>
    <w:rsid w:val="004B1F91"/>
    <w:rsid w:val="004B2C79"/>
    <w:rsid w:val="004B40A4"/>
    <w:rsid w:val="004B49E5"/>
    <w:rsid w:val="004B51AB"/>
    <w:rsid w:val="004B57FC"/>
    <w:rsid w:val="004B5D1F"/>
    <w:rsid w:val="004B6C3C"/>
    <w:rsid w:val="004B7560"/>
    <w:rsid w:val="004C1692"/>
    <w:rsid w:val="004C2C1C"/>
    <w:rsid w:val="004C45D8"/>
    <w:rsid w:val="004C6041"/>
    <w:rsid w:val="004C6D88"/>
    <w:rsid w:val="004C73B7"/>
    <w:rsid w:val="004D2B6E"/>
    <w:rsid w:val="004D6410"/>
    <w:rsid w:val="004D64A7"/>
    <w:rsid w:val="004D6B7C"/>
    <w:rsid w:val="004D7625"/>
    <w:rsid w:val="004E04FE"/>
    <w:rsid w:val="004E0D37"/>
    <w:rsid w:val="004E17E4"/>
    <w:rsid w:val="004E4C40"/>
    <w:rsid w:val="004E5A86"/>
    <w:rsid w:val="004E64F6"/>
    <w:rsid w:val="004E7ED8"/>
    <w:rsid w:val="004F0E2E"/>
    <w:rsid w:val="004F1A9D"/>
    <w:rsid w:val="004F24BE"/>
    <w:rsid w:val="004F24C4"/>
    <w:rsid w:val="004F3849"/>
    <w:rsid w:val="004F3B6C"/>
    <w:rsid w:val="004F5BA6"/>
    <w:rsid w:val="005018AA"/>
    <w:rsid w:val="0050424B"/>
    <w:rsid w:val="005053DF"/>
    <w:rsid w:val="00507283"/>
    <w:rsid w:val="0051163B"/>
    <w:rsid w:val="00511864"/>
    <w:rsid w:val="005121A8"/>
    <w:rsid w:val="00512C19"/>
    <w:rsid w:val="0051522D"/>
    <w:rsid w:val="00515976"/>
    <w:rsid w:val="00515C64"/>
    <w:rsid w:val="00515EC7"/>
    <w:rsid w:val="005170C5"/>
    <w:rsid w:val="00517F6D"/>
    <w:rsid w:val="00520D51"/>
    <w:rsid w:val="00523025"/>
    <w:rsid w:val="005249C4"/>
    <w:rsid w:val="00526B5F"/>
    <w:rsid w:val="00526B78"/>
    <w:rsid w:val="005311E5"/>
    <w:rsid w:val="00533F15"/>
    <w:rsid w:val="00535928"/>
    <w:rsid w:val="00535BB8"/>
    <w:rsid w:val="00536201"/>
    <w:rsid w:val="00537869"/>
    <w:rsid w:val="00541AB2"/>
    <w:rsid w:val="00541CC7"/>
    <w:rsid w:val="00544BF0"/>
    <w:rsid w:val="00547E89"/>
    <w:rsid w:val="005512F7"/>
    <w:rsid w:val="00551581"/>
    <w:rsid w:val="005518B6"/>
    <w:rsid w:val="005530CC"/>
    <w:rsid w:val="00553891"/>
    <w:rsid w:val="00553A0F"/>
    <w:rsid w:val="00556D27"/>
    <w:rsid w:val="0056068A"/>
    <w:rsid w:val="0056575C"/>
    <w:rsid w:val="0056611A"/>
    <w:rsid w:val="00567844"/>
    <w:rsid w:val="005704CF"/>
    <w:rsid w:val="00571A4D"/>
    <w:rsid w:val="005723FB"/>
    <w:rsid w:val="005726BD"/>
    <w:rsid w:val="00572A25"/>
    <w:rsid w:val="00572E2F"/>
    <w:rsid w:val="0057356D"/>
    <w:rsid w:val="00573960"/>
    <w:rsid w:val="00581326"/>
    <w:rsid w:val="0058241D"/>
    <w:rsid w:val="0058456F"/>
    <w:rsid w:val="005846B6"/>
    <w:rsid w:val="00585CE1"/>
    <w:rsid w:val="00586028"/>
    <w:rsid w:val="00587E2F"/>
    <w:rsid w:val="00590AE6"/>
    <w:rsid w:val="00593E24"/>
    <w:rsid w:val="005946A7"/>
    <w:rsid w:val="0059569F"/>
    <w:rsid w:val="005A1420"/>
    <w:rsid w:val="005A2C40"/>
    <w:rsid w:val="005A5FEE"/>
    <w:rsid w:val="005A6E84"/>
    <w:rsid w:val="005B0CBD"/>
    <w:rsid w:val="005B1CFD"/>
    <w:rsid w:val="005B1DC3"/>
    <w:rsid w:val="005B2741"/>
    <w:rsid w:val="005B28E2"/>
    <w:rsid w:val="005B36A1"/>
    <w:rsid w:val="005B41CF"/>
    <w:rsid w:val="005B5ABA"/>
    <w:rsid w:val="005C1176"/>
    <w:rsid w:val="005C1C23"/>
    <w:rsid w:val="005C1F75"/>
    <w:rsid w:val="005C20BB"/>
    <w:rsid w:val="005C2220"/>
    <w:rsid w:val="005C3656"/>
    <w:rsid w:val="005D15D2"/>
    <w:rsid w:val="005D4131"/>
    <w:rsid w:val="005D452C"/>
    <w:rsid w:val="005D4696"/>
    <w:rsid w:val="005D4761"/>
    <w:rsid w:val="005D603C"/>
    <w:rsid w:val="005D6D8A"/>
    <w:rsid w:val="005D7CBB"/>
    <w:rsid w:val="005E3CB7"/>
    <w:rsid w:val="005E4DE4"/>
    <w:rsid w:val="005E7F7B"/>
    <w:rsid w:val="005F04B3"/>
    <w:rsid w:val="005F1EC1"/>
    <w:rsid w:val="005F29BD"/>
    <w:rsid w:val="005F55FD"/>
    <w:rsid w:val="005F7AAE"/>
    <w:rsid w:val="006002E0"/>
    <w:rsid w:val="00604CA1"/>
    <w:rsid w:val="00606088"/>
    <w:rsid w:val="006077DC"/>
    <w:rsid w:val="00611B43"/>
    <w:rsid w:val="006124BA"/>
    <w:rsid w:val="00612F24"/>
    <w:rsid w:val="00614376"/>
    <w:rsid w:val="006147B7"/>
    <w:rsid w:val="0062331F"/>
    <w:rsid w:val="00624306"/>
    <w:rsid w:val="00624B7B"/>
    <w:rsid w:val="006271B6"/>
    <w:rsid w:val="006313FC"/>
    <w:rsid w:val="0063185B"/>
    <w:rsid w:val="00637850"/>
    <w:rsid w:val="006411AC"/>
    <w:rsid w:val="00642F62"/>
    <w:rsid w:val="0064373A"/>
    <w:rsid w:val="00644530"/>
    <w:rsid w:val="00645710"/>
    <w:rsid w:val="006466AC"/>
    <w:rsid w:val="006476E6"/>
    <w:rsid w:val="00647FB2"/>
    <w:rsid w:val="00651E9E"/>
    <w:rsid w:val="00651F8C"/>
    <w:rsid w:val="00652129"/>
    <w:rsid w:val="0065236E"/>
    <w:rsid w:val="00652EA0"/>
    <w:rsid w:val="00653302"/>
    <w:rsid w:val="006533A4"/>
    <w:rsid w:val="0065524C"/>
    <w:rsid w:val="00655D5E"/>
    <w:rsid w:val="0065619A"/>
    <w:rsid w:val="00662B91"/>
    <w:rsid w:val="00664F63"/>
    <w:rsid w:val="00665CBA"/>
    <w:rsid w:val="006670DC"/>
    <w:rsid w:val="00667A7C"/>
    <w:rsid w:val="006705A6"/>
    <w:rsid w:val="00672D7E"/>
    <w:rsid w:val="00672E39"/>
    <w:rsid w:val="0067632C"/>
    <w:rsid w:val="00677155"/>
    <w:rsid w:val="006775B2"/>
    <w:rsid w:val="00677738"/>
    <w:rsid w:val="00677939"/>
    <w:rsid w:val="00677C5B"/>
    <w:rsid w:val="00680BE7"/>
    <w:rsid w:val="00683344"/>
    <w:rsid w:val="00684EA0"/>
    <w:rsid w:val="0068799C"/>
    <w:rsid w:val="00691184"/>
    <w:rsid w:val="00691B78"/>
    <w:rsid w:val="006926EF"/>
    <w:rsid w:val="00692D7E"/>
    <w:rsid w:val="00695FF0"/>
    <w:rsid w:val="00696664"/>
    <w:rsid w:val="006A0E58"/>
    <w:rsid w:val="006A162F"/>
    <w:rsid w:val="006A3926"/>
    <w:rsid w:val="006A5C4C"/>
    <w:rsid w:val="006A6C32"/>
    <w:rsid w:val="006B35EA"/>
    <w:rsid w:val="006B36A4"/>
    <w:rsid w:val="006B3C10"/>
    <w:rsid w:val="006B480A"/>
    <w:rsid w:val="006B5C3F"/>
    <w:rsid w:val="006B79FE"/>
    <w:rsid w:val="006C0B5D"/>
    <w:rsid w:val="006C0B9B"/>
    <w:rsid w:val="006C2F25"/>
    <w:rsid w:val="006C4200"/>
    <w:rsid w:val="006C5FF4"/>
    <w:rsid w:val="006D2BA3"/>
    <w:rsid w:val="006D4D9C"/>
    <w:rsid w:val="006D5B9F"/>
    <w:rsid w:val="006E02CB"/>
    <w:rsid w:val="006E0B31"/>
    <w:rsid w:val="006E411E"/>
    <w:rsid w:val="006E43BE"/>
    <w:rsid w:val="006E4DCA"/>
    <w:rsid w:val="006F0329"/>
    <w:rsid w:val="006F0F4C"/>
    <w:rsid w:val="006F30C8"/>
    <w:rsid w:val="006F6B03"/>
    <w:rsid w:val="0070204E"/>
    <w:rsid w:val="00702C12"/>
    <w:rsid w:val="00703393"/>
    <w:rsid w:val="007036A2"/>
    <w:rsid w:val="00705229"/>
    <w:rsid w:val="00705338"/>
    <w:rsid w:val="0070550B"/>
    <w:rsid w:val="007076FB"/>
    <w:rsid w:val="00713CA3"/>
    <w:rsid w:val="00714108"/>
    <w:rsid w:val="00714981"/>
    <w:rsid w:val="00714E85"/>
    <w:rsid w:val="00717B49"/>
    <w:rsid w:val="007201B1"/>
    <w:rsid w:val="007201BB"/>
    <w:rsid w:val="0072234A"/>
    <w:rsid w:val="007238A0"/>
    <w:rsid w:val="007243FE"/>
    <w:rsid w:val="0072610B"/>
    <w:rsid w:val="007264E7"/>
    <w:rsid w:val="00737044"/>
    <w:rsid w:val="007404A2"/>
    <w:rsid w:val="00741CD1"/>
    <w:rsid w:val="00741D3C"/>
    <w:rsid w:val="0074371C"/>
    <w:rsid w:val="00744AB9"/>
    <w:rsid w:val="00744F02"/>
    <w:rsid w:val="00747F6C"/>
    <w:rsid w:val="00750E68"/>
    <w:rsid w:val="00753363"/>
    <w:rsid w:val="00753E5D"/>
    <w:rsid w:val="00754905"/>
    <w:rsid w:val="00754F08"/>
    <w:rsid w:val="00755653"/>
    <w:rsid w:val="0075692C"/>
    <w:rsid w:val="007611D0"/>
    <w:rsid w:val="00761F8B"/>
    <w:rsid w:val="00763588"/>
    <w:rsid w:val="007649D3"/>
    <w:rsid w:val="00765830"/>
    <w:rsid w:val="00765FFF"/>
    <w:rsid w:val="00766C4E"/>
    <w:rsid w:val="007711F5"/>
    <w:rsid w:val="00774993"/>
    <w:rsid w:val="00775F22"/>
    <w:rsid w:val="007766EF"/>
    <w:rsid w:val="00780276"/>
    <w:rsid w:val="00780BDD"/>
    <w:rsid w:val="00785B74"/>
    <w:rsid w:val="007957E1"/>
    <w:rsid w:val="00796862"/>
    <w:rsid w:val="00797412"/>
    <w:rsid w:val="007A3F79"/>
    <w:rsid w:val="007A487D"/>
    <w:rsid w:val="007A4BD2"/>
    <w:rsid w:val="007A5E86"/>
    <w:rsid w:val="007A7015"/>
    <w:rsid w:val="007A7AD9"/>
    <w:rsid w:val="007B1EFD"/>
    <w:rsid w:val="007B313D"/>
    <w:rsid w:val="007B3A21"/>
    <w:rsid w:val="007B4865"/>
    <w:rsid w:val="007B663B"/>
    <w:rsid w:val="007B71B3"/>
    <w:rsid w:val="007B75A7"/>
    <w:rsid w:val="007B774A"/>
    <w:rsid w:val="007C0783"/>
    <w:rsid w:val="007C08E3"/>
    <w:rsid w:val="007C09CA"/>
    <w:rsid w:val="007C151B"/>
    <w:rsid w:val="007C2147"/>
    <w:rsid w:val="007C28DA"/>
    <w:rsid w:val="007C313D"/>
    <w:rsid w:val="007C3C4B"/>
    <w:rsid w:val="007C4A26"/>
    <w:rsid w:val="007C5CEF"/>
    <w:rsid w:val="007C7AE9"/>
    <w:rsid w:val="007D2749"/>
    <w:rsid w:val="007D3699"/>
    <w:rsid w:val="007D44FF"/>
    <w:rsid w:val="007D4A0C"/>
    <w:rsid w:val="007E3D74"/>
    <w:rsid w:val="007E4ABB"/>
    <w:rsid w:val="007E4BA9"/>
    <w:rsid w:val="007E624D"/>
    <w:rsid w:val="007E6ABB"/>
    <w:rsid w:val="007E7B25"/>
    <w:rsid w:val="007F0029"/>
    <w:rsid w:val="007F0DC8"/>
    <w:rsid w:val="007F1510"/>
    <w:rsid w:val="007F256B"/>
    <w:rsid w:val="007F3662"/>
    <w:rsid w:val="007F37B0"/>
    <w:rsid w:val="007F54A0"/>
    <w:rsid w:val="007F5D64"/>
    <w:rsid w:val="007F6A9E"/>
    <w:rsid w:val="007F6BA2"/>
    <w:rsid w:val="007F7973"/>
    <w:rsid w:val="00800809"/>
    <w:rsid w:val="00800845"/>
    <w:rsid w:val="0080512A"/>
    <w:rsid w:val="00805259"/>
    <w:rsid w:val="00805CD9"/>
    <w:rsid w:val="00807AE0"/>
    <w:rsid w:val="00810F72"/>
    <w:rsid w:val="00813E03"/>
    <w:rsid w:val="0081402B"/>
    <w:rsid w:val="008175D8"/>
    <w:rsid w:val="00817838"/>
    <w:rsid w:val="00817871"/>
    <w:rsid w:val="0082269F"/>
    <w:rsid w:val="00822AC2"/>
    <w:rsid w:val="00826146"/>
    <w:rsid w:val="00827F35"/>
    <w:rsid w:val="00831072"/>
    <w:rsid w:val="008335C5"/>
    <w:rsid w:val="008338FF"/>
    <w:rsid w:val="00834CD3"/>
    <w:rsid w:val="008356F4"/>
    <w:rsid w:val="008446E2"/>
    <w:rsid w:val="00844F60"/>
    <w:rsid w:val="0084523E"/>
    <w:rsid w:val="00846532"/>
    <w:rsid w:val="00847FE1"/>
    <w:rsid w:val="00850F63"/>
    <w:rsid w:val="0085169B"/>
    <w:rsid w:val="0085302E"/>
    <w:rsid w:val="008540F9"/>
    <w:rsid w:val="00854593"/>
    <w:rsid w:val="00854E8D"/>
    <w:rsid w:val="00856B73"/>
    <w:rsid w:val="008574F7"/>
    <w:rsid w:val="008577E0"/>
    <w:rsid w:val="0086398B"/>
    <w:rsid w:val="0086526D"/>
    <w:rsid w:val="008659D0"/>
    <w:rsid w:val="00865E79"/>
    <w:rsid w:val="00866891"/>
    <w:rsid w:val="00866B78"/>
    <w:rsid w:val="00866C69"/>
    <w:rsid w:val="00867077"/>
    <w:rsid w:val="008678F0"/>
    <w:rsid w:val="0087274C"/>
    <w:rsid w:val="00873D9F"/>
    <w:rsid w:val="00874549"/>
    <w:rsid w:val="00876FC4"/>
    <w:rsid w:val="008813AE"/>
    <w:rsid w:val="00881456"/>
    <w:rsid w:val="00883D2E"/>
    <w:rsid w:val="00885624"/>
    <w:rsid w:val="00886FB4"/>
    <w:rsid w:val="00891184"/>
    <w:rsid w:val="00891BDD"/>
    <w:rsid w:val="00891E99"/>
    <w:rsid w:val="00891F3E"/>
    <w:rsid w:val="00893F64"/>
    <w:rsid w:val="008969BB"/>
    <w:rsid w:val="00896F27"/>
    <w:rsid w:val="008973BE"/>
    <w:rsid w:val="008A2D71"/>
    <w:rsid w:val="008A48B6"/>
    <w:rsid w:val="008A6490"/>
    <w:rsid w:val="008A74B3"/>
    <w:rsid w:val="008B0530"/>
    <w:rsid w:val="008B0A1B"/>
    <w:rsid w:val="008B39D0"/>
    <w:rsid w:val="008B7834"/>
    <w:rsid w:val="008C3470"/>
    <w:rsid w:val="008C4B8E"/>
    <w:rsid w:val="008C6C2D"/>
    <w:rsid w:val="008C7034"/>
    <w:rsid w:val="008C7699"/>
    <w:rsid w:val="008D37BC"/>
    <w:rsid w:val="008D3B3D"/>
    <w:rsid w:val="008D69C2"/>
    <w:rsid w:val="008D7172"/>
    <w:rsid w:val="008E0CF5"/>
    <w:rsid w:val="008E13FA"/>
    <w:rsid w:val="008E1882"/>
    <w:rsid w:val="008E280B"/>
    <w:rsid w:val="008E3570"/>
    <w:rsid w:val="008E5F60"/>
    <w:rsid w:val="008F00F4"/>
    <w:rsid w:val="008F0272"/>
    <w:rsid w:val="008F069C"/>
    <w:rsid w:val="008F1675"/>
    <w:rsid w:val="008F204E"/>
    <w:rsid w:val="008F2583"/>
    <w:rsid w:val="008F2FA0"/>
    <w:rsid w:val="008F5E3C"/>
    <w:rsid w:val="008F6DBD"/>
    <w:rsid w:val="008F73E6"/>
    <w:rsid w:val="00902599"/>
    <w:rsid w:val="00902AAB"/>
    <w:rsid w:val="009039EF"/>
    <w:rsid w:val="00904935"/>
    <w:rsid w:val="00905CFA"/>
    <w:rsid w:val="0090678C"/>
    <w:rsid w:val="009070B3"/>
    <w:rsid w:val="009101D1"/>
    <w:rsid w:val="0091384A"/>
    <w:rsid w:val="00913E4F"/>
    <w:rsid w:val="00916154"/>
    <w:rsid w:val="0091632A"/>
    <w:rsid w:val="00916546"/>
    <w:rsid w:val="009201A5"/>
    <w:rsid w:val="00920683"/>
    <w:rsid w:val="00925279"/>
    <w:rsid w:val="009257EF"/>
    <w:rsid w:val="009258E4"/>
    <w:rsid w:val="00925B63"/>
    <w:rsid w:val="00926716"/>
    <w:rsid w:val="00927593"/>
    <w:rsid w:val="009322A2"/>
    <w:rsid w:val="00932491"/>
    <w:rsid w:val="0093362F"/>
    <w:rsid w:val="00936812"/>
    <w:rsid w:val="00936AAC"/>
    <w:rsid w:val="009416F3"/>
    <w:rsid w:val="00941F43"/>
    <w:rsid w:val="0094215A"/>
    <w:rsid w:val="00942B9C"/>
    <w:rsid w:val="00943743"/>
    <w:rsid w:val="00944978"/>
    <w:rsid w:val="00945593"/>
    <w:rsid w:val="00947214"/>
    <w:rsid w:val="0095144C"/>
    <w:rsid w:val="00951AC5"/>
    <w:rsid w:val="00954F71"/>
    <w:rsid w:val="00955B40"/>
    <w:rsid w:val="00960336"/>
    <w:rsid w:val="00963C52"/>
    <w:rsid w:val="00964972"/>
    <w:rsid w:val="00970606"/>
    <w:rsid w:val="0097373E"/>
    <w:rsid w:val="00973FA8"/>
    <w:rsid w:val="00982EC7"/>
    <w:rsid w:val="00985241"/>
    <w:rsid w:val="00986FDE"/>
    <w:rsid w:val="009870B4"/>
    <w:rsid w:val="009903E1"/>
    <w:rsid w:val="00990904"/>
    <w:rsid w:val="0099124A"/>
    <w:rsid w:val="00992034"/>
    <w:rsid w:val="0099310D"/>
    <w:rsid w:val="009A0633"/>
    <w:rsid w:val="009A10B3"/>
    <w:rsid w:val="009A189A"/>
    <w:rsid w:val="009A3024"/>
    <w:rsid w:val="009A3D65"/>
    <w:rsid w:val="009A42FA"/>
    <w:rsid w:val="009A6E68"/>
    <w:rsid w:val="009A6FF8"/>
    <w:rsid w:val="009A7523"/>
    <w:rsid w:val="009B0876"/>
    <w:rsid w:val="009B2264"/>
    <w:rsid w:val="009B2837"/>
    <w:rsid w:val="009B2CF6"/>
    <w:rsid w:val="009B3376"/>
    <w:rsid w:val="009B3BBB"/>
    <w:rsid w:val="009B429F"/>
    <w:rsid w:val="009B4F44"/>
    <w:rsid w:val="009B7D48"/>
    <w:rsid w:val="009C0BFC"/>
    <w:rsid w:val="009C1A81"/>
    <w:rsid w:val="009C44FF"/>
    <w:rsid w:val="009C57DA"/>
    <w:rsid w:val="009C6C0F"/>
    <w:rsid w:val="009D0550"/>
    <w:rsid w:val="009D1065"/>
    <w:rsid w:val="009D1641"/>
    <w:rsid w:val="009D1DF7"/>
    <w:rsid w:val="009D2851"/>
    <w:rsid w:val="009D3843"/>
    <w:rsid w:val="009D396E"/>
    <w:rsid w:val="009D3BFD"/>
    <w:rsid w:val="009D65E7"/>
    <w:rsid w:val="009D6B23"/>
    <w:rsid w:val="009E0727"/>
    <w:rsid w:val="009E3D0C"/>
    <w:rsid w:val="009E3F78"/>
    <w:rsid w:val="009F11B2"/>
    <w:rsid w:val="009F1B0C"/>
    <w:rsid w:val="00A00323"/>
    <w:rsid w:val="00A049F7"/>
    <w:rsid w:val="00A073E8"/>
    <w:rsid w:val="00A0788D"/>
    <w:rsid w:val="00A10272"/>
    <w:rsid w:val="00A10636"/>
    <w:rsid w:val="00A106B8"/>
    <w:rsid w:val="00A11DC5"/>
    <w:rsid w:val="00A172A8"/>
    <w:rsid w:val="00A20881"/>
    <w:rsid w:val="00A21519"/>
    <w:rsid w:val="00A21C72"/>
    <w:rsid w:val="00A24050"/>
    <w:rsid w:val="00A25E9C"/>
    <w:rsid w:val="00A26970"/>
    <w:rsid w:val="00A301B8"/>
    <w:rsid w:val="00A3045B"/>
    <w:rsid w:val="00A32D3B"/>
    <w:rsid w:val="00A35AD4"/>
    <w:rsid w:val="00A36306"/>
    <w:rsid w:val="00A36E7A"/>
    <w:rsid w:val="00A41087"/>
    <w:rsid w:val="00A4127D"/>
    <w:rsid w:val="00A415BE"/>
    <w:rsid w:val="00A44F35"/>
    <w:rsid w:val="00A45023"/>
    <w:rsid w:val="00A473E9"/>
    <w:rsid w:val="00A475C7"/>
    <w:rsid w:val="00A5082B"/>
    <w:rsid w:val="00A509F5"/>
    <w:rsid w:val="00A50F3C"/>
    <w:rsid w:val="00A5127A"/>
    <w:rsid w:val="00A51DF0"/>
    <w:rsid w:val="00A5251C"/>
    <w:rsid w:val="00A543E2"/>
    <w:rsid w:val="00A577B6"/>
    <w:rsid w:val="00A57F3A"/>
    <w:rsid w:val="00A64F16"/>
    <w:rsid w:val="00A671E9"/>
    <w:rsid w:val="00A70A69"/>
    <w:rsid w:val="00A7184A"/>
    <w:rsid w:val="00A725EB"/>
    <w:rsid w:val="00A735FA"/>
    <w:rsid w:val="00A7388B"/>
    <w:rsid w:val="00A73E75"/>
    <w:rsid w:val="00A76C3E"/>
    <w:rsid w:val="00A81C1F"/>
    <w:rsid w:val="00A81E8F"/>
    <w:rsid w:val="00A83AB1"/>
    <w:rsid w:val="00A83C33"/>
    <w:rsid w:val="00A93541"/>
    <w:rsid w:val="00A95837"/>
    <w:rsid w:val="00A95F39"/>
    <w:rsid w:val="00A96632"/>
    <w:rsid w:val="00A97161"/>
    <w:rsid w:val="00AA2C70"/>
    <w:rsid w:val="00AA3327"/>
    <w:rsid w:val="00AA3E0A"/>
    <w:rsid w:val="00AA5ACD"/>
    <w:rsid w:val="00AA6046"/>
    <w:rsid w:val="00AA6F1D"/>
    <w:rsid w:val="00AA7AE5"/>
    <w:rsid w:val="00AB012F"/>
    <w:rsid w:val="00AB0DEC"/>
    <w:rsid w:val="00AB26E6"/>
    <w:rsid w:val="00AB279D"/>
    <w:rsid w:val="00AB6998"/>
    <w:rsid w:val="00AB763D"/>
    <w:rsid w:val="00AC0A85"/>
    <w:rsid w:val="00AC3236"/>
    <w:rsid w:val="00AC3F9D"/>
    <w:rsid w:val="00AC67D4"/>
    <w:rsid w:val="00AD0AF4"/>
    <w:rsid w:val="00AD182A"/>
    <w:rsid w:val="00AD2107"/>
    <w:rsid w:val="00AD2541"/>
    <w:rsid w:val="00AD2FF2"/>
    <w:rsid w:val="00AD3D1B"/>
    <w:rsid w:val="00AD449E"/>
    <w:rsid w:val="00AD64C7"/>
    <w:rsid w:val="00AD677A"/>
    <w:rsid w:val="00AD67C1"/>
    <w:rsid w:val="00AD71A3"/>
    <w:rsid w:val="00AE27E5"/>
    <w:rsid w:val="00AE3187"/>
    <w:rsid w:val="00AE368B"/>
    <w:rsid w:val="00AE7502"/>
    <w:rsid w:val="00AF005C"/>
    <w:rsid w:val="00AF37BE"/>
    <w:rsid w:val="00AF6AC7"/>
    <w:rsid w:val="00AF746B"/>
    <w:rsid w:val="00B00883"/>
    <w:rsid w:val="00B00E5A"/>
    <w:rsid w:val="00B011A3"/>
    <w:rsid w:val="00B0206F"/>
    <w:rsid w:val="00B0268D"/>
    <w:rsid w:val="00B06FAF"/>
    <w:rsid w:val="00B07475"/>
    <w:rsid w:val="00B1267B"/>
    <w:rsid w:val="00B12DE1"/>
    <w:rsid w:val="00B15795"/>
    <w:rsid w:val="00B1715B"/>
    <w:rsid w:val="00B2124B"/>
    <w:rsid w:val="00B227D3"/>
    <w:rsid w:val="00B25C9F"/>
    <w:rsid w:val="00B30174"/>
    <w:rsid w:val="00B30234"/>
    <w:rsid w:val="00B31C1D"/>
    <w:rsid w:val="00B32417"/>
    <w:rsid w:val="00B35FAA"/>
    <w:rsid w:val="00B37682"/>
    <w:rsid w:val="00B4070F"/>
    <w:rsid w:val="00B41354"/>
    <w:rsid w:val="00B41D6E"/>
    <w:rsid w:val="00B444AA"/>
    <w:rsid w:val="00B44B02"/>
    <w:rsid w:val="00B4573F"/>
    <w:rsid w:val="00B45D6A"/>
    <w:rsid w:val="00B45E6B"/>
    <w:rsid w:val="00B4631F"/>
    <w:rsid w:val="00B4657B"/>
    <w:rsid w:val="00B5039F"/>
    <w:rsid w:val="00B52EF8"/>
    <w:rsid w:val="00B54D6C"/>
    <w:rsid w:val="00B559BF"/>
    <w:rsid w:val="00B55AFA"/>
    <w:rsid w:val="00B55E1D"/>
    <w:rsid w:val="00B60188"/>
    <w:rsid w:val="00B642AB"/>
    <w:rsid w:val="00B70DE8"/>
    <w:rsid w:val="00B7194E"/>
    <w:rsid w:val="00B73E2D"/>
    <w:rsid w:val="00B749CD"/>
    <w:rsid w:val="00B761AD"/>
    <w:rsid w:val="00B823C0"/>
    <w:rsid w:val="00B8393D"/>
    <w:rsid w:val="00B85554"/>
    <w:rsid w:val="00B90547"/>
    <w:rsid w:val="00B912A7"/>
    <w:rsid w:val="00B9185E"/>
    <w:rsid w:val="00B9307A"/>
    <w:rsid w:val="00B95EF0"/>
    <w:rsid w:val="00B9617F"/>
    <w:rsid w:val="00BA0846"/>
    <w:rsid w:val="00BA0ED3"/>
    <w:rsid w:val="00BA21AB"/>
    <w:rsid w:val="00BA23B7"/>
    <w:rsid w:val="00BA47E0"/>
    <w:rsid w:val="00BA6149"/>
    <w:rsid w:val="00BA620F"/>
    <w:rsid w:val="00BA6B82"/>
    <w:rsid w:val="00BA7231"/>
    <w:rsid w:val="00BA76DF"/>
    <w:rsid w:val="00BB16D6"/>
    <w:rsid w:val="00BB4C4B"/>
    <w:rsid w:val="00BB52C8"/>
    <w:rsid w:val="00BB545B"/>
    <w:rsid w:val="00BB620C"/>
    <w:rsid w:val="00BB6B9B"/>
    <w:rsid w:val="00BC1D90"/>
    <w:rsid w:val="00BC1FEB"/>
    <w:rsid w:val="00BC409D"/>
    <w:rsid w:val="00BC5803"/>
    <w:rsid w:val="00BC75B9"/>
    <w:rsid w:val="00BC7CC8"/>
    <w:rsid w:val="00BD06E4"/>
    <w:rsid w:val="00BD3223"/>
    <w:rsid w:val="00BD39C4"/>
    <w:rsid w:val="00BD61A8"/>
    <w:rsid w:val="00BD7887"/>
    <w:rsid w:val="00BE0572"/>
    <w:rsid w:val="00BE0984"/>
    <w:rsid w:val="00BE16E6"/>
    <w:rsid w:val="00BE257B"/>
    <w:rsid w:val="00BE27C6"/>
    <w:rsid w:val="00BE3987"/>
    <w:rsid w:val="00BE4EC1"/>
    <w:rsid w:val="00BE5A52"/>
    <w:rsid w:val="00BF0F8B"/>
    <w:rsid w:val="00BF3841"/>
    <w:rsid w:val="00C0053A"/>
    <w:rsid w:val="00C00D45"/>
    <w:rsid w:val="00C0231E"/>
    <w:rsid w:val="00C02DC9"/>
    <w:rsid w:val="00C032B4"/>
    <w:rsid w:val="00C03502"/>
    <w:rsid w:val="00C05426"/>
    <w:rsid w:val="00C075CA"/>
    <w:rsid w:val="00C10360"/>
    <w:rsid w:val="00C10BB8"/>
    <w:rsid w:val="00C11C48"/>
    <w:rsid w:val="00C14C0E"/>
    <w:rsid w:val="00C14F46"/>
    <w:rsid w:val="00C15D4E"/>
    <w:rsid w:val="00C17005"/>
    <w:rsid w:val="00C2260C"/>
    <w:rsid w:val="00C25B43"/>
    <w:rsid w:val="00C27617"/>
    <w:rsid w:val="00C30592"/>
    <w:rsid w:val="00C30FA7"/>
    <w:rsid w:val="00C31173"/>
    <w:rsid w:val="00C31ECB"/>
    <w:rsid w:val="00C34118"/>
    <w:rsid w:val="00C342C5"/>
    <w:rsid w:val="00C348BE"/>
    <w:rsid w:val="00C37967"/>
    <w:rsid w:val="00C37B03"/>
    <w:rsid w:val="00C4000F"/>
    <w:rsid w:val="00C40155"/>
    <w:rsid w:val="00C410B2"/>
    <w:rsid w:val="00C414A4"/>
    <w:rsid w:val="00C430B8"/>
    <w:rsid w:val="00C44735"/>
    <w:rsid w:val="00C45A0F"/>
    <w:rsid w:val="00C625C7"/>
    <w:rsid w:val="00C644A9"/>
    <w:rsid w:val="00C66AA4"/>
    <w:rsid w:val="00C7030F"/>
    <w:rsid w:val="00C72064"/>
    <w:rsid w:val="00C74182"/>
    <w:rsid w:val="00C74BD3"/>
    <w:rsid w:val="00C74CD1"/>
    <w:rsid w:val="00C76229"/>
    <w:rsid w:val="00C763CE"/>
    <w:rsid w:val="00C818E5"/>
    <w:rsid w:val="00C82693"/>
    <w:rsid w:val="00C83A88"/>
    <w:rsid w:val="00C84C66"/>
    <w:rsid w:val="00C857A4"/>
    <w:rsid w:val="00C87903"/>
    <w:rsid w:val="00C91BAA"/>
    <w:rsid w:val="00C9208E"/>
    <w:rsid w:val="00C943D5"/>
    <w:rsid w:val="00C962C1"/>
    <w:rsid w:val="00C976E8"/>
    <w:rsid w:val="00CA20D3"/>
    <w:rsid w:val="00CA34F0"/>
    <w:rsid w:val="00CA59D5"/>
    <w:rsid w:val="00CA6105"/>
    <w:rsid w:val="00CA707B"/>
    <w:rsid w:val="00CA777F"/>
    <w:rsid w:val="00CA7AF6"/>
    <w:rsid w:val="00CB0202"/>
    <w:rsid w:val="00CB1DFE"/>
    <w:rsid w:val="00CB39A5"/>
    <w:rsid w:val="00CB43A9"/>
    <w:rsid w:val="00CB4EA3"/>
    <w:rsid w:val="00CC0F26"/>
    <w:rsid w:val="00CC5732"/>
    <w:rsid w:val="00CC7683"/>
    <w:rsid w:val="00CD00EC"/>
    <w:rsid w:val="00CD286C"/>
    <w:rsid w:val="00CD4F3D"/>
    <w:rsid w:val="00CD5A86"/>
    <w:rsid w:val="00CD64ED"/>
    <w:rsid w:val="00CE0CEA"/>
    <w:rsid w:val="00CE1DAA"/>
    <w:rsid w:val="00CE25A3"/>
    <w:rsid w:val="00CE25B0"/>
    <w:rsid w:val="00CE333C"/>
    <w:rsid w:val="00CE368B"/>
    <w:rsid w:val="00CE53B8"/>
    <w:rsid w:val="00CE5B72"/>
    <w:rsid w:val="00CE5CE8"/>
    <w:rsid w:val="00CF0302"/>
    <w:rsid w:val="00CF0DDD"/>
    <w:rsid w:val="00CF1155"/>
    <w:rsid w:val="00CF27C2"/>
    <w:rsid w:val="00CF2F8C"/>
    <w:rsid w:val="00CF5381"/>
    <w:rsid w:val="00CF64EB"/>
    <w:rsid w:val="00CF685A"/>
    <w:rsid w:val="00CF68CB"/>
    <w:rsid w:val="00CF6B26"/>
    <w:rsid w:val="00CF7B58"/>
    <w:rsid w:val="00D036E6"/>
    <w:rsid w:val="00D05044"/>
    <w:rsid w:val="00D053E2"/>
    <w:rsid w:val="00D06E4F"/>
    <w:rsid w:val="00D10668"/>
    <w:rsid w:val="00D107E1"/>
    <w:rsid w:val="00D10D90"/>
    <w:rsid w:val="00D119BF"/>
    <w:rsid w:val="00D12953"/>
    <w:rsid w:val="00D12A90"/>
    <w:rsid w:val="00D132BC"/>
    <w:rsid w:val="00D13C04"/>
    <w:rsid w:val="00D15C85"/>
    <w:rsid w:val="00D17A8B"/>
    <w:rsid w:val="00D20872"/>
    <w:rsid w:val="00D209FB"/>
    <w:rsid w:val="00D2403A"/>
    <w:rsid w:val="00D270FA"/>
    <w:rsid w:val="00D2717F"/>
    <w:rsid w:val="00D27E85"/>
    <w:rsid w:val="00D30AC8"/>
    <w:rsid w:val="00D318A8"/>
    <w:rsid w:val="00D32FFD"/>
    <w:rsid w:val="00D330DE"/>
    <w:rsid w:val="00D36E91"/>
    <w:rsid w:val="00D37043"/>
    <w:rsid w:val="00D37050"/>
    <w:rsid w:val="00D40875"/>
    <w:rsid w:val="00D478A1"/>
    <w:rsid w:val="00D503B1"/>
    <w:rsid w:val="00D51F57"/>
    <w:rsid w:val="00D54ABA"/>
    <w:rsid w:val="00D5520E"/>
    <w:rsid w:val="00D56D81"/>
    <w:rsid w:val="00D56FD2"/>
    <w:rsid w:val="00D60BA9"/>
    <w:rsid w:val="00D6178E"/>
    <w:rsid w:val="00D63716"/>
    <w:rsid w:val="00D6638C"/>
    <w:rsid w:val="00D667D0"/>
    <w:rsid w:val="00D714B9"/>
    <w:rsid w:val="00D73FBD"/>
    <w:rsid w:val="00D77405"/>
    <w:rsid w:val="00D77FE6"/>
    <w:rsid w:val="00D8092E"/>
    <w:rsid w:val="00D8219B"/>
    <w:rsid w:val="00D82CB7"/>
    <w:rsid w:val="00D82CBB"/>
    <w:rsid w:val="00D84E7B"/>
    <w:rsid w:val="00D86B7E"/>
    <w:rsid w:val="00D86BBF"/>
    <w:rsid w:val="00D90A5A"/>
    <w:rsid w:val="00D950FD"/>
    <w:rsid w:val="00D951B0"/>
    <w:rsid w:val="00D957DA"/>
    <w:rsid w:val="00D962C5"/>
    <w:rsid w:val="00D97575"/>
    <w:rsid w:val="00DA2D5B"/>
    <w:rsid w:val="00DA5A0E"/>
    <w:rsid w:val="00DB0F79"/>
    <w:rsid w:val="00DC043C"/>
    <w:rsid w:val="00DC0628"/>
    <w:rsid w:val="00DC4581"/>
    <w:rsid w:val="00DC5D53"/>
    <w:rsid w:val="00DC66E8"/>
    <w:rsid w:val="00DC79D9"/>
    <w:rsid w:val="00DD1473"/>
    <w:rsid w:val="00DD165D"/>
    <w:rsid w:val="00DD18E2"/>
    <w:rsid w:val="00DD2BB8"/>
    <w:rsid w:val="00DD6E97"/>
    <w:rsid w:val="00DD7201"/>
    <w:rsid w:val="00DD74DA"/>
    <w:rsid w:val="00DE19F0"/>
    <w:rsid w:val="00DE1E05"/>
    <w:rsid w:val="00DE3E1E"/>
    <w:rsid w:val="00DE6F29"/>
    <w:rsid w:val="00DE72F3"/>
    <w:rsid w:val="00DF01C1"/>
    <w:rsid w:val="00DF1D9A"/>
    <w:rsid w:val="00DF6B8B"/>
    <w:rsid w:val="00DF7D81"/>
    <w:rsid w:val="00DF7F09"/>
    <w:rsid w:val="00E016FA"/>
    <w:rsid w:val="00E0274E"/>
    <w:rsid w:val="00E05B60"/>
    <w:rsid w:val="00E061CC"/>
    <w:rsid w:val="00E07339"/>
    <w:rsid w:val="00E07A4A"/>
    <w:rsid w:val="00E07F95"/>
    <w:rsid w:val="00E10D5C"/>
    <w:rsid w:val="00E11212"/>
    <w:rsid w:val="00E15438"/>
    <w:rsid w:val="00E157FE"/>
    <w:rsid w:val="00E16005"/>
    <w:rsid w:val="00E1737B"/>
    <w:rsid w:val="00E17BA1"/>
    <w:rsid w:val="00E17E9C"/>
    <w:rsid w:val="00E17FA9"/>
    <w:rsid w:val="00E22C60"/>
    <w:rsid w:val="00E24A13"/>
    <w:rsid w:val="00E26601"/>
    <w:rsid w:val="00E305DD"/>
    <w:rsid w:val="00E33D45"/>
    <w:rsid w:val="00E35295"/>
    <w:rsid w:val="00E363F8"/>
    <w:rsid w:val="00E37607"/>
    <w:rsid w:val="00E44EA2"/>
    <w:rsid w:val="00E477AB"/>
    <w:rsid w:val="00E47E39"/>
    <w:rsid w:val="00E47E4B"/>
    <w:rsid w:val="00E514BD"/>
    <w:rsid w:val="00E53070"/>
    <w:rsid w:val="00E54047"/>
    <w:rsid w:val="00E54DA2"/>
    <w:rsid w:val="00E61291"/>
    <w:rsid w:val="00E62452"/>
    <w:rsid w:val="00E62F25"/>
    <w:rsid w:val="00E6772F"/>
    <w:rsid w:val="00E67A03"/>
    <w:rsid w:val="00E74408"/>
    <w:rsid w:val="00E74D4A"/>
    <w:rsid w:val="00E7595F"/>
    <w:rsid w:val="00E768F6"/>
    <w:rsid w:val="00E80182"/>
    <w:rsid w:val="00E81107"/>
    <w:rsid w:val="00E82AA4"/>
    <w:rsid w:val="00E82B7B"/>
    <w:rsid w:val="00E92501"/>
    <w:rsid w:val="00E9301B"/>
    <w:rsid w:val="00E965A5"/>
    <w:rsid w:val="00E97203"/>
    <w:rsid w:val="00EA0E6C"/>
    <w:rsid w:val="00EA261F"/>
    <w:rsid w:val="00EA35DF"/>
    <w:rsid w:val="00EA405E"/>
    <w:rsid w:val="00EA4E50"/>
    <w:rsid w:val="00EA6761"/>
    <w:rsid w:val="00EA6D49"/>
    <w:rsid w:val="00EA7309"/>
    <w:rsid w:val="00EA796D"/>
    <w:rsid w:val="00EA7CF2"/>
    <w:rsid w:val="00EB0D3B"/>
    <w:rsid w:val="00EB0D6F"/>
    <w:rsid w:val="00EB329B"/>
    <w:rsid w:val="00EC0426"/>
    <w:rsid w:val="00EC134D"/>
    <w:rsid w:val="00EC14CB"/>
    <w:rsid w:val="00EC2FA7"/>
    <w:rsid w:val="00EC4F0D"/>
    <w:rsid w:val="00EC5C52"/>
    <w:rsid w:val="00EC6227"/>
    <w:rsid w:val="00ED09C8"/>
    <w:rsid w:val="00ED1B75"/>
    <w:rsid w:val="00ED2713"/>
    <w:rsid w:val="00ED2869"/>
    <w:rsid w:val="00ED2EE8"/>
    <w:rsid w:val="00ED42F3"/>
    <w:rsid w:val="00ED4DBF"/>
    <w:rsid w:val="00ED61C7"/>
    <w:rsid w:val="00EE3CB9"/>
    <w:rsid w:val="00EE42E5"/>
    <w:rsid w:val="00EE4479"/>
    <w:rsid w:val="00EE5E48"/>
    <w:rsid w:val="00EE6676"/>
    <w:rsid w:val="00EE669A"/>
    <w:rsid w:val="00EF04A3"/>
    <w:rsid w:val="00EF0E03"/>
    <w:rsid w:val="00EF2042"/>
    <w:rsid w:val="00EF2C5C"/>
    <w:rsid w:val="00EF356D"/>
    <w:rsid w:val="00EF500C"/>
    <w:rsid w:val="00EF526F"/>
    <w:rsid w:val="00EF5298"/>
    <w:rsid w:val="00EF539B"/>
    <w:rsid w:val="00EF582C"/>
    <w:rsid w:val="00F02BAA"/>
    <w:rsid w:val="00F1209F"/>
    <w:rsid w:val="00F1223F"/>
    <w:rsid w:val="00F1368D"/>
    <w:rsid w:val="00F1566A"/>
    <w:rsid w:val="00F15C59"/>
    <w:rsid w:val="00F21BB2"/>
    <w:rsid w:val="00F21DDF"/>
    <w:rsid w:val="00F27D44"/>
    <w:rsid w:val="00F27E23"/>
    <w:rsid w:val="00F3263A"/>
    <w:rsid w:val="00F33B54"/>
    <w:rsid w:val="00F33CE6"/>
    <w:rsid w:val="00F36B0D"/>
    <w:rsid w:val="00F40421"/>
    <w:rsid w:val="00F407E7"/>
    <w:rsid w:val="00F40B22"/>
    <w:rsid w:val="00F42488"/>
    <w:rsid w:val="00F433BA"/>
    <w:rsid w:val="00F435B1"/>
    <w:rsid w:val="00F45D7F"/>
    <w:rsid w:val="00F45F16"/>
    <w:rsid w:val="00F479B5"/>
    <w:rsid w:val="00F504DD"/>
    <w:rsid w:val="00F53B52"/>
    <w:rsid w:val="00F553F2"/>
    <w:rsid w:val="00F563B9"/>
    <w:rsid w:val="00F60D30"/>
    <w:rsid w:val="00F60FC1"/>
    <w:rsid w:val="00F610E0"/>
    <w:rsid w:val="00F61D14"/>
    <w:rsid w:val="00F62389"/>
    <w:rsid w:val="00F64CAA"/>
    <w:rsid w:val="00F64D50"/>
    <w:rsid w:val="00F67456"/>
    <w:rsid w:val="00F701F8"/>
    <w:rsid w:val="00F71332"/>
    <w:rsid w:val="00F73453"/>
    <w:rsid w:val="00F7420A"/>
    <w:rsid w:val="00F7472C"/>
    <w:rsid w:val="00F747FC"/>
    <w:rsid w:val="00F7593E"/>
    <w:rsid w:val="00F76C25"/>
    <w:rsid w:val="00F808C7"/>
    <w:rsid w:val="00F81F05"/>
    <w:rsid w:val="00F830E6"/>
    <w:rsid w:val="00F835A1"/>
    <w:rsid w:val="00F8462D"/>
    <w:rsid w:val="00F84B52"/>
    <w:rsid w:val="00F869F0"/>
    <w:rsid w:val="00F87F26"/>
    <w:rsid w:val="00F92B17"/>
    <w:rsid w:val="00F93848"/>
    <w:rsid w:val="00F96337"/>
    <w:rsid w:val="00FA13D9"/>
    <w:rsid w:val="00FA4654"/>
    <w:rsid w:val="00FA49E6"/>
    <w:rsid w:val="00FA54EB"/>
    <w:rsid w:val="00FA5E19"/>
    <w:rsid w:val="00FA6044"/>
    <w:rsid w:val="00FA7382"/>
    <w:rsid w:val="00FA73C8"/>
    <w:rsid w:val="00FB2066"/>
    <w:rsid w:val="00FB3B4F"/>
    <w:rsid w:val="00FB7BEB"/>
    <w:rsid w:val="00FC4BBC"/>
    <w:rsid w:val="00FC6576"/>
    <w:rsid w:val="00FC6C7F"/>
    <w:rsid w:val="00FD0B2F"/>
    <w:rsid w:val="00FD6A9C"/>
    <w:rsid w:val="00FD7328"/>
    <w:rsid w:val="00FD7FE2"/>
    <w:rsid w:val="00FE245D"/>
    <w:rsid w:val="00FE35A9"/>
    <w:rsid w:val="00FE6BDC"/>
    <w:rsid w:val="00FF0427"/>
    <w:rsid w:val="00FF2B5C"/>
    <w:rsid w:val="00FF4B36"/>
    <w:rsid w:val="00FF5127"/>
    <w:rsid w:val="00FF54F7"/>
    <w:rsid w:val="00FF5C09"/>
    <w:rsid w:val="00FF7FC4"/>
    <w:rsid w:val="01050D3D"/>
    <w:rsid w:val="01F45BBC"/>
    <w:rsid w:val="02277A1E"/>
    <w:rsid w:val="02423997"/>
    <w:rsid w:val="04540129"/>
    <w:rsid w:val="04FC3862"/>
    <w:rsid w:val="058E044C"/>
    <w:rsid w:val="05BC1698"/>
    <w:rsid w:val="062E1DCC"/>
    <w:rsid w:val="07681062"/>
    <w:rsid w:val="080926FB"/>
    <w:rsid w:val="08BF1FD1"/>
    <w:rsid w:val="08D86CC4"/>
    <w:rsid w:val="09304381"/>
    <w:rsid w:val="09AA65DC"/>
    <w:rsid w:val="09F276D5"/>
    <w:rsid w:val="0A514C05"/>
    <w:rsid w:val="0ADF14A6"/>
    <w:rsid w:val="0C0E130C"/>
    <w:rsid w:val="0D36242A"/>
    <w:rsid w:val="0DEE64B8"/>
    <w:rsid w:val="0ED40368"/>
    <w:rsid w:val="0F1B574B"/>
    <w:rsid w:val="0F803DA3"/>
    <w:rsid w:val="0FC23775"/>
    <w:rsid w:val="0FDD2B48"/>
    <w:rsid w:val="108A3ABD"/>
    <w:rsid w:val="1154070A"/>
    <w:rsid w:val="11BF159E"/>
    <w:rsid w:val="11C00B51"/>
    <w:rsid w:val="160120CD"/>
    <w:rsid w:val="16933AEF"/>
    <w:rsid w:val="17067695"/>
    <w:rsid w:val="17320A6B"/>
    <w:rsid w:val="175C51B7"/>
    <w:rsid w:val="176D5D2F"/>
    <w:rsid w:val="17A23732"/>
    <w:rsid w:val="17DF506A"/>
    <w:rsid w:val="198475CB"/>
    <w:rsid w:val="1B842817"/>
    <w:rsid w:val="1C063122"/>
    <w:rsid w:val="1D0475EF"/>
    <w:rsid w:val="1D48385B"/>
    <w:rsid w:val="1DA21B68"/>
    <w:rsid w:val="1F055E91"/>
    <w:rsid w:val="20EF6B8A"/>
    <w:rsid w:val="215B75F6"/>
    <w:rsid w:val="24EA0252"/>
    <w:rsid w:val="286C0BA7"/>
    <w:rsid w:val="28845293"/>
    <w:rsid w:val="28F3624E"/>
    <w:rsid w:val="2A6A7E3E"/>
    <w:rsid w:val="2BB36ABA"/>
    <w:rsid w:val="2D472ED3"/>
    <w:rsid w:val="2D5F2A81"/>
    <w:rsid w:val="2DE6464B"/>
    <w:rsid w:val="2F9824B5"/>
    <w:rsid w:val="2FB630BD"/>
    <w:rsid w:val="2FBE5FD9"/>
    <w:rsid w:val="31687CEB"/>
    <w:rsid w:val="324612B8"/>
    <w:rsid w:val="341B2824"/>
    <w:rsid w:val="3558203C"/>
    <w:rsid w:val="35F2473C"/>
    <w:rsid w:val="36852907"/>
    <w:rsid w:val="37C93792"/>
    <w:rsid w:val="39403672"/>
    <w:rsid w:val="3B3C5E85"/>
    <w:rsid w:val="3D1F5682"/>
    <w:rsid w:val="3D411628"/>
    <w:rsid w:val="3F3124E5"/>
    <w:rsid w:val="40181A5E"/>
    <w:rsid w:val="40F87A87"/>
    <w:rsid w:val="419765C7"/>
    <w:rsid w:val="41A110A9"/>
    <w:rsid w:val="43BC53FE"/>
    <w:rsid w:val="43C46FB3"/>
    <w:rsid w:val="45A146C8"/>
    <w:rsid w:val="45ED11B0"/>
    <w:rsid w:val="47A10728"/>
    <w:rsid w:val="49CE43CF"/>
    <w:rsid w:val="4B1D2A2E"/>
    <w:rsid w:val="4D214834"/>
    <w:rsid w:val="4D6D0FCC"/>
    <w:rsid w:val="4F412D52"/>
    <w:rsid w:val="53F235B8"/>
    <w:rsid w:val="53FF538E"/>
    <w:rsid w:val="54377E3A"/>
    <w:rsid w:val="558330FA"/>
    <w:rsid w:val="56D96781"/>
    <w:rsid w:val="57C33648"/>
    <w:rsid w:val="5833062E"/>
    <w:rsid w:val="59845413"/>
    <w:rsid w:val="5B7E3854"/>
    <w:rsid w:val="5BC23786"/>
    <w:rsid w:val="5C527668"/>
    <w:rsid w:val="5E2F50B3"/>
    <w:rsid w:val="5E3367E9"/>
    <w:rsid w:val="5EDD7CE8"/>
    <w:rsid w:val="5F533A66"/>
    <w:rsid w:val="5FE93932"/>
    <w:rsid w:val="601E616A"/>
    <w:rsid w:val="60FA2369"/>
    <w:rsid w:val="62B70F45"/>
    <w:rsid w:val="65C9234C"/>
    <w:rsid w:val="66F9716F"/>
    <w:rsid w:val="692A7F22"/>
    <w:rsid w:val="69DC063E"/>
    <w:rsid w:val="6ABC7D48"/>
    <w:rsid w:val="6B1A08B3"/>
    <w:rsid w:val="6B274F13"/>
    <w:rsid w:val="6C1D281F"/>
    <w:rsid w:val="6C4A757B"/>
    <w:rsid w:val="6CAD4DF7"/>
    <w:rsid w:val="6D7417D9"/>
    <w:rsid w:val="6DC83038"/>
    <w:rsid w:val="6E5C27EB"/>
    <w:rsid w:val="6F626638"/>
    <w:rsid w:val="707F47DB"/>
    <w:rsid w:val="70AB636A"/>
    <w:rsid w:val="74EF2F8E"/>
    <w:rsid w:val="75E676C7"/>
    <w:rsid w:val="76E1193A"/>
    <w:rsid w:val="78D07CBE"/>
    <w:rsid w:val="79111080"/>
    <w:rsid w:val="7D015445"/>
    <w:rsid w:val="7DD63F3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99"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qFormat="1" w:unhideWhenUsed="0" w:uiPriority="99"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99" w:semiHidden="0" w:name="Body Text Indent 2"/>
    <w:lsdException w:qFormat="1"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link w:val="346"/>
    <w:qFormat/>
    <w:uiPriority w:val="9"/>
    <w:pPr>
      <w:keepNext/>
      <w:numPr>
        <w:ilvl w:val="0"/>
        <w:numId w:val="1"/>
      </w:numPr>
      <w:spacing w:line="360" w:lineRule="auto"/>
      <w:jc w:val="center"/>
      <w:outlineLvl w:val="0"/>
    </w:pPr>
    <w:rPr>
      <w:rFonts w:ascii="黑体" w:hAnsi="Times New Roman" w:eastAsia="黑体"/>
      <w:b/>
      <w:sz w:val="32"/>
      <w:szCs w:val="20"/>
    </w:rPr>
  </w:style>
  <w:style w:type="paragraph" w:styleId="3">
    <w:name w:val="heading 2"/>
    <w:basedOn w:val="1"/>
    <w:next w:val="1"/>
    <w:link w:val="327"/>
    <w:qFormat/>
    <w:uiPriority w:val="9"/>
    <w:pPr>
      <w:keepNext/>
      <w:keepLines/>
      <w:spacing w:before="260" w:after="260" w:line="416" w:lineRule="auto"/>
      <w:outlineLvl w:val="1"/>
    </w:pPr>
    <w:rPr>
      <w:rFonts w:ascii="Cambria" w:hAnsi="Cambria"/>
      <w:b/>
      <w:bCs/>
      <w:kern w:val="0"/>
      <w:sz w:val="32"/>
      <w:szCs w:val="32"/>
    </w:rPr>
  </w:style>
  <w:style w:type="paragraph" w:styleId="4">
    <w:name w:val="heading 3"/>
    <w:basedOn w:val="1"/>
    <w:next w:val="1"/>
    <w:link w:val="376"/>
    <w:qFormat/>
    <w:uiPriority w:val="9"/>
    <w:pPr>
      <w:keepNext/>
      <w:keepLines/>
      <w:numPr>
        <w:ilvl w:val="2"/>
        <w:numId w:val="2"/>
      </w:numPr>
      <w:spacing w:line="360" w:lineRule="auto"/>
      <w:outlineLvl w:val="2"/>
    </w:pPr>
    <w:rPr>
      <w:rFonts w:ascii="宋体" w:hAnsi="宋体"/>
      <w:sz w:val="24"/>
      <w:szCs w:val="32"/>
    </w:rPr>
  </w:style>
  <w:style w:type="paragraph" w:styleId="5">
    <w:name w:val="heading 4"/>
    <w:basedOn w:val="1"/>
    <w:next w:val="1"/>
    <w:link w:val="331"/>
    <w:qFormat/>
    <w:uiPriority w:val="9"/>
    <w:pPr>
      <w:keepNext/>
      <w:numPr>
        <w:ilvl w:val="0"/>
        <w:numId w:val="3"/>
      </w:numPr>
      <w:spacing w:line="360" w:lineRule="auto"/>
      <w:outlineLvl w:val="3"/>
    </w:pPr>
    <w:rPr>
      <w:rFonts w:ascii="黑体" w:hAnsi="Times New Roman" w:eastAsia="黑体"/>
      <w:b/>
      <w:szCs w:val="24"/>
    </w:rPr>
  </w:style>
  <w:style w:type="paragraph" w:styleId="6">
    <w:name w:val="heading 5"/>
    <w:basedOn w:val="1"/>
    <w:next w:val="1"/>
    <w:link w:val="380"/>
    <w:qFormat/>
    <w:uiPriority w:val="9"/>
    <w:pPr>
      <w:keepNext/>
      <w:keepLines/>
      <w:widowControl/>
      <w:tabs>
        <w:tab w:val="left" w:pos="1008"/>
      </w:tabs>
      <w:spacing w:before="280" w:after="290" w:line="376" w:lineRule="auto"/>
      <w:ind w:left="1008" w:hanging="1008"/>
      <w:jc w:val="left"/>
      <w:outlineLvl w:val="4"/>
    </w:pPr>
    <w:rPr>
      <w:rFonts w:ascii="Times New Roman" w:hAnsi="Times New Roman"/>
      <w:b/>
      <w:bCs/>
      <w:kern w:val="0"/>
      <w:sz w:val="28"/>
      <w:szCs w:val="28"/>
    </w:rPr>
  </w:style>
  <w:style w:type="paragraph" w:styleId="7">
    <w:name w:val="heading 6"/>
    <w:basedOn w:val="1"/>
    <w:next w:val="1"/>
    <w:link w:val="422"/>
    <w:qFormat/>
    <w:uiPriority w:val="9"/>
    <w:pPr>
      <w:keepNext/>
      <w:keepLines/>
      <w:widowControl/>
      <w:tabs>
        <w:tab w:val="left" w:pos="1152"/>
      </w:tabs>
      <w:spacing w:before="240" w:after="64" w:line="320" w:lineRule="auto"/>
      <w:ind w:left="1152" w:hanging="1152"/>
      <w:jc w:val="left"/>
      <w:outlineLvl w:val="5"/>
    </w:pPr>
    <w:rPr>
      <w:rFonts w:ascii="Arial" w:hAnsi="Arial" w:eastAsia="黑体"/>
      <w:b/>
      <w:bCs/>
      <w:kern w:val="0"/>
      <w:sz w:val="24"/>
      <w:szCs w:val="24"/>
    </w:rPr>
  </w:style>
  <w:style w:type="paragraph" w:styleId="8">
    <w:name w:val="heading 7"/>
    <w:basedOn w:val="1"/>
    <w:next w:val="1"/>
    <w:link w:val="382"/>
    <w:qFormat/>
    <w:uiPriority w:val="9"/>
    <w:pPr>
      <w:keepNext/>
      <w:keepLines/>
      <w:widowControl/>
      <w:tabs>
        <w:tab w:val="left" w:pos="1296"/>
      </w:tabs>
      <w:spacing w:before="240" w:after="64" w:line="320" w:lineRule="auto"/>
      <w:ind w:left="1296" w:hanging="1296"/>
      <w:jc w:val="left"/>
      <w:outlineLvl w:val="6"/>
    </w:pPr>
    <w:rPr>
      <w:rFonts w:ascii="Times New Roman" w:hAnsi="Times New Roman"/>
      <w:b/>
      <w:bCs/>
      <w:kern w:val="0"/>
      <w:sz w:val="24"/>
      <w:szCs w:val="24"/>
    </w:rPr>
  </w:style>
  <w:style w:type="paragraph" w:styleId="9">
    <w:name w:val="heading 8"/>
    <w:basedOn w:val="1"/>
    <w:next w:val="1"/>
    <w:link w:val="403"/>
    <w:qFormat/>
    <w:uiPriority w:val="9"/>
    <w:pPr>
      <w:keepNext/>
      <w:keepLines/>
      <w:widowControl/>
      <w:tabs>
        <w:tab w:val="left" w:pos="1440"/>
      </w:tabs>
      <w:spacing w:before="240" w:after="64" w:line="320" w:lineRule="auto"/>
      <w:ind w:left="1440" w:hanging="1440"/>
      <w:jc w:val="left"/>
      <w:outlineLvl w:val="7"/>
    </w:pPr>
    <w:rPr>
      <w:rFonts w:ascii="Arial" w:hAnsi="Arial" w:eastAsia="黑体"/>
      <w:kern w:val="0"/>
      <w:sz w:val="24"/>
      <w:szCs w:val="24"/>
    </w:rPr>
  </w:style>
  <w:style w:type="paragraph" w:styleId="10">
    <w:name w:val="heading 9"/>
    <w:basedOn w:val="1"/>
    <w:next w:val="1"/>
    <w:link w:val="412"/>
    <w:qFormat/>
    <w:uiPriority w:val="9"/>
    <w:pPr>
      <w:keepNext/>
      <w:keepLines/>
      <w:widowControl/>
      <w:tabs>
        <w:tab w:val="left" w:pos="1584"/>
      </w:tabs>
      <w:spacing w:before="240" w:after="64" w:line="320" w:lineRule="auto"/>
      <w:ind w:left="1584" w:hanging="1584"/>
      <w:jc w:val="left"/>
      <w:outlineLvl w:val="8"/>
    </w:pPr>
    <w:rPr>
      <w:rFonts w:ascii="Arial" w:hAnsi="Arial" w:eastAsia="黑体"/>
      <w:kern w:val="0"/>
      <w:sz w:val="20"/>
      <w:szCs w:val="21"/>
    </w:rPr>
  </w:style>
  <w:style w:type="character" w:default="1" w:styleId="45">
    <w:name w:val="Default Paragraph Font"/>
    <w:semiHidden/>
    <w:qFormat/>
    <w:uiPriority w:val="0"/>
  </w:style>
  <w:style w:type="table" w:default="1" w:styleId="43">
    <w:name w:val="Normal Table"/>
    <w:semiHidden/>
    <w:qFormat/>
    <w:uiPriority w:val="0"/>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style>
  <w:style w:type="paragraph" w:styleId="12">
    <w:name w:val="Normal Indent"/>
    <w:basedOn w:val="1"/>
    <w:qFormat/>
    <w:uiPriority w:val="99"/>
    <w:pPr>
      <w:ind w:firstLine="420"/>
    </w:pPr>
    <w:rPr>
      <w:rFonts w:ascii="Times New Roman" w:hAnsi="Times New Roman"/>
      <w:szCs w:val="20"/>
    </w:rPr>
  </w:style>
  <w:style w:type="paragraph" w:styleId="13">
    <w:name w:val="Document Map"/>
    <w:basedOn w:val="1"/>
    <w:link w:val="335"/>
    <w:qFormat/>
    <w:uiPriority w:val="0"/>
    <w:rPr>
      <w:rFonts w:ascii="宋体" w:hAnsi="Times New Roman"/>
      <w:kern w:val="0"/>
      <w:sz w:val="18"/>
      <w:szCs w:val="20"/>
    </w:rPr>
  </w:style>
  <w:style w:type="paragraph" w:styleId="14">
    <w:name w:val="annotation text"/>
    <w:basedOn w:val="1"/>
    <w:link w:val="340"/>
    <w:qFormat/>
    <w:uiPriority w:val="99"/>
    <w:pPr>
      <w:jc w:val="left"/>
    </w:pPr>
    <w:rPr>
      <w:rFonts w:ascii="Times New Roman" w:hAnsi="Times New Roman"/>
      <w:kern w:val="0"/>
      <w:sz w:val="20"/>
      <w:szCs w:val="24"/>
    </w:rPr>
  </w:style>
  <w:style w:type="paragraph" w:styleId="15">
    <w:name w:val="Body Text"/>
    <w:basedOn w:val="1"/>
    <w:link w:val="310"/>
    <w:qFormat/>
    <w:uiPriority w:val="0"/>
    <w:rPr>
      <w:rFonts w:ascii="宋体" w:hAnsi="宋体"/>
      <w:kern w:val="0"/>
      <w:sz w:val="24"/>
      <w:szCs w:val="20"/>
    </w:rPr>
  </w:style>
  <w:style w:type="paragraph" w:styleId="16">
    <w:name w:val="Body Text Indent"/>
    <w:basedOn w:val="1"/>
    <w:link w:val="299"/>
    <w:unhideWhenUsed/>
    <w:qFormat/>
    <w:uiPriority w:val="99"/>
    <w:pPr>
      <w:spacing w:after="120"/>
      <w:ind w:left="420" w:leftChars="200"/>
    </w:pPr>
    <w:rPr>
      <w:kern w:val="0"/>
      <w:sz w:val="20"/>
      <w:szCs w:val="20"/>
    </w:rPr>
  </w:style>
  <w:style w:type="paragraph" w:styleId="17">
    <w:name w:val="Block Text"/>
    <w:basedOn w:val="1"/>
    <w:qFormat/>
    <w:uiPriority w:val="99"/>
    <w:pPr>
      <w:spacing w:line="360" w:lineRule="auto"/>
      <w:ind w:left="540" w:leftChars="257" w:right="544" w:rightChars="259"/>
    </w:pPr>
    <w:rPr>
      <w:rFonts w:ascii="Arial Narrow" w:hAnsi="Arial Narrow" w:cs="Calibri"/>
      <w:sz w:val="18"/>
      <w:szCs w:val="24"/>
    </w:rPr>
  </w:style>
  <w:style w:type="paragraph" w:styleId="18">
    <w:name w:val="toc 5"/>
    <w:basedOn w:val="1"/>
    <w:next w:val="1"/>
    <w:unhideWhenUsed/>
    <w:qFormat/>
    <w:uiPriority w:val="39"/>
    <w:pPr>
      <w:ind w:left="840"/>
      <w:jc w:val="left"/>
    </w:pPr>
    <w:rPr>
      <w:rFonts w:ascii="Calibri" w:hAnsi="Calibri" w:cs="Calibri"/>
      <w:sz w:val="18"/>
      <w:szCs w:val="18"/>
    </w:rPr>
  </w:style>
  <w:style w:type="paragraph" w:styleId="19">
    <w:name w:val="toc 3"/>
    <w:basedOn w:val="1"/>
    <w:next w:val="1"/>
    <w:unhideWhenUsed/>
    <w:qFormat/>
    <w:uiPriority w:val="39"/>
    <w:pPr>
      <w:ind w:left="420"/>
      <w:jc w:val="left"/>
    </w:pPr>
    <w:rPr>
      <w:rFonts w:cs="Calibri"/>
      <w:iCs/>
      <w:sz w:val="20"/>
      <w:szCs w:val="20"/>
    </w:rPr>
  </w:style>
  <w:style w:type="paragraph" w:styleId="20">
    <w:name w:val="Plain Text"/>
    <w:basedOn w:val="1"/>
    <w:link w:val="294"/>
    <w:qFormat/>
    <w:uiPriority w:val="99"/>
    <w:rPr>
      <w:rFonts w:ascii="宋体" w:hAnsi="Courier New"/>
      <w:kern w:val="0"/>
      <w:sz w:val="20"/>
      <w:szCs w:val="21"/>
    </w:rPr>
  </w:style>
  <w:style w:type="paragraph" w:styleId="21">
    <w:name w:val="toc 8"/>
    <w:basedOn w:val="1"/>
    <w:next w:val="1"/>
    <w:unhideWhenUsed/>
    <w:qFormat/>
    <w:uiPriority w:val="39"/>
    <w:pPr>
      <w:ind w:left="2940" w:leftChars="1400"/>
    </w:pPr>
  </w:style>
  <w:style w:type="paragraph" w:styleId="22">
    <w:name w:val="Date"/>
    <w:basedOn w:val="1"/>
    <w:next w:val="1"/>
    <w:link w:val="306"/>
    <w:qFormat/>
    <w:uiPriority w:val="0"/>
    <w:pPr>
      <w:ind w:left="100" w:leftChars="2500" w:firstLine="425"/>
    </w:pPr>
    <w:rPr>
      <w:rFonts w:ascii="黑体" w:hAnsi="Times New Roman" w:eastAsia="黑体"/>
      <w:b/>
      <w:color w:val="000000"/>
      <w:kern w:val="0"/>
      <w:sz w:val="20"/>
      <w:szCs w:val="20"/>
    </w:rPr>
  </w:style>
  <w:style w:type="paragraph" w:styleId="23">
    <w:name w:val="Body Text Indent 2"/>
    <w:basedOn w:val="1"/>
    <w:link w:val="281"/>
    <w:qFormat/>
    <w:uiPriority w:val="99"/>
    <w:pPr>
      <w:spacing w:line="360" w:lineRule="auto"/>
      <w:ind w:left="1260"/>
    </w:pPr>
    <w:rPr>
      <w:rFonts w:ascii="宋体" w:hAnsi="Times New Roman"/>
      <w:kern w:val="0"/>
      <w:sz w:val="20"/>
      <w:szCs w:val="20"/>
    </w:rPr>
  </w:style>
  <w:style w:type="paragraph" w:styleId="24">
    <w:name w:val="endnote text"/>
    <w:basedOn w:val="1"/>
    <w:link w:val="401"/>
    <w:qFormat/>
    <w:uiPriority w:val="0"/>
    <w:pPr>
      <w:snapToGrid w:val="0"/>
      <w:jc w:val="left"/>
    </w:pPr>
  </w:style>
  <w:style w:type="paragraph" w:styleId="25">
    <w:name w:val="Balloon Text"/>
    <w:basedOn w:val="1"/>
    <w:link w:val="411"/>
    <w:qFormat/>
    <w:uiPriority w:val="0"/>
    <w:rPr>
      <w:sz w:val="18"/>
      <w:szCs w:val="18"/>
    </w:rPr>
  </w:style>
  <w:style w:type="paragraph" w:styleId="26">
    <w:name w:val="footer"/>
    <w:basedOn w:val="1"/>
    <w:link w:val="287"/>
    <w:qFormat/>
    <w:uiPriority w:val="99"/>
    <w:pPr>
      <w:tabs>
        <w:tab w:val="center" w:pos="4153"/>
        <w:tab w:val="right" w:pos="8306"/>
      </w:tabs>
      <w:snapToGrid w:val="0"/>
      <w:jc w:val="left"/>
    </w:pPr>
    <w:rPr>
      <w:rFonts w:ascii="Times New Roman" w:hAnsi="Times New Roman"/>
      <w:kern w:val="0"/>
      <w:sz w:val="18"/>
      <w:szCs w:val="20"/>
    </w:rPr>
  </w:style>
  <w:style w:type="paragraph" w:styleId="27">
    <w:name w:val="header"/>
    <w:basedOn w:val="1"/>
    <w:link w:val="326"/>
    <w:qFormat/>
    <w:uiPriority w:val="99"/>
    <w:pPr>
      <w:pBdr>
        <w:bottom w:val="single" w:color="auto" w:sz="6" w:space="1"/>
      </w:pBdr>
      <w:tabs>
        <w:tab w:val="center" w:pos="4153"/>
        <w:tab w:val="right" w:pos="8306"/>
      </w:tabs>
      <w:snapToGrid w:val="0"/>
      <w:ind w:firstLine="425"/>
      <w:jc w:val="center"/>
    </w:pPr>
    <w:rPr>
      <w:rFonts w:ascii="Times New Roman" w:hAnsi="Times New Roman"/>
      <w:kern w:val="0"/>
      <w:sz w:val="18"/>
      <w:szCs w:val="20"/>
    </w:rPr>
  </w:style>
  <w:style w:type="paragraph" w:styleId="28">
    <w:name w:val="toc 1"/>
    <w:basedOn w:val="1"/>
    <w:next w:val="1"/>
    <w:unhideWhenUsed/>
    <w:qFormat/>
    <w:uiPriority w:val="39"/>
    <w:pPr>
      <w:spacing w:before="120" w:after="120"/>
      <w:jc w:val="left"/>
    </w:pPr>
    <w:rPr>
      <w:rFonts w:ascii="Calibri" w:hAnsi="Calibri" w:cs="Calibri"/>
      <w:b/>
      <w:bCs/>
      <w:caps/>
      <w:sz w:val="20"/>
      <w:szCs w:val="20"/>
    </w:rPr>
  </w:style>
  <w:style w:type="paragraph" w:styleId="29">
    <w:name w:val="toc 4"/>
    <w:basedOn w:val="1"/>
    <w:next w:val="1"/>
    <w:unhideWhenUsed/>
    <w:qFormat/>
    <w:uiPriority w:val="39"/>
    <w:pPr>
      <w:ind w:left="630"/>
      <w:jc w:val="left"/>
    </w:pPr>
    <w:rPr>
      <w:rFonts w:ascii="Calibri" w:hAnsi="Calibri" w:cs="Calibri"/>
      <w:sz w:val="18"/>
      <w:szCs w:val="18"/>
    </w:rPr>
  </w:style>
  <w:style w:type="paragraph" w:styleId="30">
    <w:name w:val="index heading"/>
    <w:basedOn w:val="1"/>
    <w:next w:val="31"/>
    <w:qFormat/>
    <w:uiPriority w:val="99"/>
    <w:rPr>
      <w:rFonts w:ascii="Times New Roman" w:hAnsi="Times New Roman"/>
      <w:szCs w:val="24"/>
    </w:rPr>
  </w:style>
  <w:style w:type="paragraph" w:styleId="31">
    <w:name w:val="index 1"/>
    <w:basedOn w:val="1"/>
    <w:next w:val="1"/>
    <w:unhideWhenUsed/>
    <w:qFormat/>
    <w:uiPriority w:val="99"/>
  </w:style>
  <w:style w:type="paragraph" w:styleId="32">
    <w:name w:val="toc 6"/>
    <w:basedOn w:val="1"/>
    <w:next w:val="1"/>
    <w:unhideWhenUsed/>
    <w:qFormat/>
    <w:uiPriority w:val="39"/>
    <w:pPr>
      <w:ind w:left="1050"/>
      <w:jc w:val="left"/>
    </w:pPr>
    <w:rPr>
      <w:sz w:val="18"/>
      <w:szCs w:val="18"/>
    </w:rPr>
  </w:style>
  <w:style w:type="paragraph" w:styleId="33">
    <w:name w:val="List 5"/>
    <w:basedOn w:val="1"/>
    <w:qFormat/>
    <w:uiPriority w:val="0"/>
    <w:pPr>
      <w:widowControl/>
      <w:ind w:left="2100" w:hanging="420"/>
      <w:jc w:val="left"/>
    </w:pPr>
    <w:rPr>
      <w:rFonts w:ascii="宋体" w:hAnsi="宋体" w:cs="宋体"/>
      <w:kern w:val="0"/>
      <w:sz w:val="24"/>
      <w:szCs w:val="20"/>
    </w:rPr>
  </w:style>
  <w:style w:type="paragraph" w:styleId="34">
    <w:name w:val="Body Text Indent 3"/>
    <w:basedOn w:val="1"/>
    <w:link w:val="418"/>
    <w:unhideWhenUsed/>
    <w:qFormat/>
    <w:uiPriority w:val="99"/>
    <w:pPr>
      <w:spacing w:after="120"/>
      <w:ind w:left="420" w:leftChars="200"/>
    </w:pPr>
    <w:rPr>
      <w:kern w:val="0"/>
      <w:sz w:val="16"/>
      <w:szCs w:val="16"/>
    </w:rPr>
  </w:style>
  <w:style w:type="paragraph" w:styleId="35">
    <w:name w:val="toc 2"/>
    <w:basedOn w:val="1"/>
    <w:next w:val="1"/>
    <w:unhideWhenUsed/>
    <w:qFormat/>
    <w:uiPriority w:val="39"/>
    <w:pPr>
      <w:ind w:left="210"/>
      <w:jc w:val="left"/>
    </w:pPr>
    <w:rPr>
      <w:rFonts w:ascii="Calibri" w:hAnsi="Calibri" w:cs="Calibri"/>
      <w:smallCaps/>
      <w:sz w:val="20"/>
      <w:szCs w:val="20"/>
    </w:rPr>
  </w:style>
  <w:style w:type="paragraph" w:styleId="36">
    <w:name w:val="toc 9"/>
    <w:basedOn w:val="1"/>
    <w:next w:val="1"/>
    <w:unhideWhenUsed/>
    <w:qFormat/>
    <w:uiPriority w:val="39"/>
    <w:pPr>
      <w:ind w:left="3360" w:leftChars="1600"/>
    </w:pPr>
  </w:style>
  <w:style w:type="paragraph" w:styleId="37">
    <w:name w:val="Body Text 2"/>
    <w:basedOn w:val="1"/>
    <w:link w:val="332"/>
    <w:qFormat/>
    <w:uiPriority w:val="0"/>
    <w:pPr>
      <w:widowControl/>
      <w:snapToGrid w:val="0"/>
      <w:spacing w:line="360" w:lineRule="auto"/>
      <w:jc w:val="left"/>
    </w:pPr>
    <w:rPr>
      <w:rFonts w:ascii="宋体" w:hAnsi="宋体"/>
      <w:kern w:val="0"/>
      <w:sz w:val="18"/>
      <w:szCs w:val="20"/>
    </w:rPr>
  </w:style>
  <w:style w:type="paragraph" w:styleId="38">
    <w:name w:val="HTML Preformatted"/>
    <w:basedOn w:val="1"/>
    <w:link w:val="379"/>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pPr>
    <w:rPr>
      <w:rFonts w:ascii="宋体" w:hAnsi="宋体" w:cs="宋体"/>
      <w:kern w:val="0"/>
      <w:sz w:val="24"/>
      <w:szCs w:val="24"/>
    </w:rPr>
  </w:style>
  <w:style w:type="paragraph" w:styleId="39">
    <w:name w:val="Normal (Web)"/>
    <w:basedOn w:val="1"/>
    <w:qFormat/>
    <w:uiPriority w:val="99"/>
    <w:pPr>
      <w:widowControl/>
      <w:spacing w:before="100" w:beforeAutospacing="1" w:after="100" w:afterAutospacing="1" w:line="440" w:lineRule="atLeast"/>
      <w:jc w:val="left"/>
    </w:pPr>
    <w:rPr>
      <w:rFonts w:ascii="宋体" w:hAnsi="宋体"/>
      <w:color w:val="000000"/>
      <w:kern w:val="0"/>
      <w:sz w:val="30"/>
      <w:szCs w:val="30"/>
    </w:rPr>
  </w:style>
  <w:style w:type="paragraph" w:styleId="40">
    <w:name w:val="Title"/>
    <w:basedOn w:val="1"/>
    <w:next w:val="1"/>
    <w:link w:val="351"/>
    <w:qFormat/>
    <w:uiPriority w:val="10"/>
    <w:pPr>
      <w:widowControl/>
      <w:spacing w:before="240" w:after="60"/>
      <w:jc w:val="center"/>
      <w:outlineLvl w:val="0"/>
    </w:pPr>
    <w:rPr>
      <w:rFonts w:ascii="Cambria" w:hAnsi="Cambria"/>
      <w:b/>
      <w:bCs/>
      <w:kern w:val="0"/>
      <w:sz w:val="32"/>
      <w:szCs w:val="32"/>
      <w:lang w:eastAsia="zh-TW"/>
    </w:rPr>
  </w:style>
  <w:style w:type="paragraph" w:styleId="41">
    <w:name w:val="annotation subject"/>
    <w:basedOn w:val="14"/>
    <w:next w:val="14"/>
    <w:link w:val="431"/>
    <w:qFormat/>
    <w:uiPriority w:val="99"/>
    <w:rPr>
      <w:rFonts w:ascii="Calibri" w:hAnsi="Calibri"/>
      <w:b/>
      <w:bCs/>
      <w:kern w:val="2"/>
      <w:sz w:val="21"/>
      <w:szCs w:val="22"/>
    </w:rPr>
  </w:style>
  <w:style w:type="paragraph" w:styleId="42">
    <w:name w:val="Body Text First Indent"/>
    <w:basedOn w:val="15"/>
    <w:link w:val="430"/>
    <w:qFormat/>
    <w:uiPriority w:val="99"/>
    <w:pPr>
      <w:spacing w:after="120"/>
      <w:ind w:firstLine="420" w:firstLineChars="100"/>
    </w:pPr>
  </w:style>
  <w:style w:type="table" w:styleId="44">
    <w:name w:val="Table Grid"/>
    <w:basedOn w:val="43"/>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6">
    <w:name w:val="Strong"/>
    <w:qFormat/>
    <w:uiPriority w:val="22"/>
    <w:rPr>
      <w:b/>
    </w:rPr>
  </w:style>
  <w:style w:type="character" w:styleId="47">
    <w:name w:val="endnote reference"/>
    <w:qFormat/>
    <w:uiPriority w:val="0"/>
    <w:rPr>
      <w:vertAlign w:val="superscript"/>
    </w:rPr>
  </w:style>
  <w:style w:type="character" w:styleId="48">
    <w:name w:val="page number"/>
    <w:qFormat/>
    <w:uiPriority w:val="99"/>
  </w:style>
  <w:style w:type="character" w:styleId="49">
    <w:name w:val="FollowedHyperlink"/>
    <w:unhideWhenUsed/>
    <w:qFormat/>
    <w:uiPriority w:val="99"/>
    <w:rPr>
      <w:color w:val="954F72"/>
      <w:u w:val="single"/>
    </w:rPr>
  </w:style>
  <w:style w:type="character" w:styleId="50">
    <w:name w:val="Emphasis"/>
    <w:qFormat/>
    <w:uiPriority w:val="20"/>
    <w:rPr>
      <w:i/>
    </w:rPr>
  </w:style>
  <w:style w:type="character" w:styleId="51">
    <w:name w:val="Hyperlink"/>
    <w:qFormat/>
    <w:uiPriority w:val="99"/>
    <w:rPr>
      <w:color w:val="0000FF"/>
      <w:u w:val="single"/>
    </w:rPr>
  </w:style>
  <w:style w:type="character" w:styleId="52">
    <w:name w:val="annotation reference"/>
    <w:unhideWhenUsed/>
    <w:qFormat/>
    <w:uiPriority w:val="99"/>
    <w:rPr>
      <w:sz w:val="21"/>
      <w:szCs w:val="21"/>
    </w:rPr>
  </w:style>
  <w:style w:type="paragraph" w:customStyle="1" w:styleId="53">
    <w:name w:val="xl64"/>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Calibri"/>
      <w:kern w:val="0"/>
      <w:sz w:val="20"/>
      <w:szCs w:val="20"/>
    </w:rPr>
  </w:style>
  <w:style w:type="paragraph" w:customStyle="1" w:styleId="54">
    <w:name w:val="Normal_4"/>
    <w:qFormat/>
    <w:uiPriority w:val="0"/>
    <w:pPr>
      <w:widowControl w:val="0"/>
      <w:jc w:val="both"/>
    </w:pPr>
    <w:rPr>
      <w:rFonts w:ascii="Times New Roman" w:hAnsi="Times New Roman" w:eastAsia="等线" w:cs="Times New Roman"/>
      <w:kern w:val="2"/>
      <w:sz w:val="21"/>
      <w:szCs w:val="24"/>
      <w:lang w:val="en-US" w:eastAsia="zh-CN" w:bidi="ar-SA"/>
    </w:rPr>
  </w:style>
  <w:style w:type="paragraph" w:customStyle="1" w:styleId="55">
    <w:name w:val="列出段落1"/>
    <w:basedOn w:val="1"/>
    <w:link w:val="433"/>
    <w:qFormat/>
    <w:uiPriority w:val="0"/>
    <w:pPr>
      <w:ind w:firstLine="420" w:firstLineChars="200"/>
    </w:pPr>
  </w:style>
  <w:style w:type="paragraph" w:customStyle="1" w:styleId="56">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Calibri"/>
      <w:kern w:val="0"/>
      <w:sz w:val="18"/>
      <w:szCs w:val="18"/>
    </w:rPr>
  </w:style>
  <w:style w:type="paragraph" w:customStyle="1" w:styleId="57">
    <w:name w:val="xl43"/>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Calibri"/>
      <w:kern w:val="0"/>
      <w:sz w:val="18"/>
      <w:szCs w:val="18"/>
    </w:rPr>
  </w:style>
  <w:style w:type="paragraph" w:customStyle="1" w:styleId="58">
    <w:name w:val="Body Text_3"/>
    <w:basedOn w:val="59"/>
    <w:qFormat/>
    <w:uiPriority w:val="0"/>
    <w:pPr>
      <w:spacing w:line="320" w:lineRule="exact"/>
    </w:pPr>
    <w:rPr>
      <w:b/>
      <w:bCs/>
    </w:rPr>
  </w:style>
  <w:style w:type="paragraph" w:customStyle="1" w:styleId="59">
    <w:name w:val="Normal_5"/>
    <w:next w:val="58"/>
    <w:qFormat/>
    <w:uiPriority w:val="0"/>
    <w:pPr>
      <w:widowControl w:val="0"/>
      <w:jc w:val="both"/>
    </w:pPr>
    <w:rPr>
      <w:rFonts w:ascii="Times New Roman" w:hAnsi="Times New Roman" w:eastAsia="等线" w:cs="Times New Roman"/>
      <w:kern w:val="2"/>
      <w:sz w:val="21"/>
      <w:szCs w:val="24"/>
      <w:lang w:val="en-US" w:eastAsia="zh-CN" w:bidi="ar-SA"/>
    </w:rPr>
  </w:style>
  <w:style w:type="paragraph" w:customStyle="1" w:styleId="60">
    <w:name w:val="段"/>
    <w:qFormat/>
    <w:uiPriority w:val="0"/>
    <w:pPr>
      <w:autoSpaceDE w:val="0"/>
      <w:autoSpaceDN w:val="0"/>
      <w:ind w:firstLine="200" w:firstLineChars="200"/>
      <w:jc w:val="both"/>
    </w:pPr>
    <w:rPr>
      <w:rFonts w:ascii="宋体" w:hAnsi="Times New Roman" w:eastAsia="等线" w:cs="Calibri"/>
      <w:sz w:val="21"/>
      <w:lang w:val="en-US" w:eastAsia="zh-CN" w:bidi="ar-SA"/>
    </w:rPr>
  </w:style>
  <w:style w:type="paragraph" w:customStyle="1" w:styleId="61">
    <w:name w:val="xl102"/>
    <w:basedOn w:val="1"/>
    <w:qFormat/>
    <w:uiPriority w:val="0"/>
    <w:pPr>
      <w:widowControl/>
      <w:spacing w:before="100" w:beforeAutospacing="1" w:after="100" w:afterAutospacing="1"/>
      <w:jc w:val="left"/>
      <w:textAlignment w:val="center"/>
    </w:pPr>
    <w:rPr>
      <w:rFonts w:ascii="仿宋_GB2312" w:hAnsi="宋体" w:eastAsia="仿宋_GB2312" w:cs="宋体"/>
      <w:color w:val="000000"/>
      <w:kern w:val="0"/>
      <w:sz w:val="28"/>
      <w:szCs w:val="28"/>
    </w:rPr>
  </w:style>
  <w:style w:type="paragraph" w:customStyle="1" w:styleId="62">
    <w:name w:val="xl125"/>
    <w:basedOn w:val="1"/>
    <w:qFormat/>
    <w:uiPriority w:val="0"/>
    <w:pPr>
      <w:widowControl/>
      <w:pBdr>
        <w:top w:val="single" w:color="auto" w:sz="8" w:space="0"/>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63">
    <w:name w:val="Char3"/>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Heading 2_0"/>
    <w:basedOn w:val="65"/>
    <w:next w:val="65"/>
    <w:qFormat/>
    <w:uiPriority w:val="0"/>
    <w:pPr>
      <w:spacing w:before="260" w:after="260"/>
      <w:jc w:val="center"/>
      <w:outlineLvl w:val="1"/>
    </w:pPr>
    <w:rPr>
      <w:rFonts w:ascii="华文细黑" w:hAnsi="Arial"/>
      <w:b/>
      <w:bCs/>
      <w:kern w:val="0"/>
      <w:sz w:val="44"/>
      <w:szCs w:val="32"/>
    </w:rPr>
  </w:style>
  <w:style w:type="paragraph" w:customStyle="1" w:styleId="65">
    <w:name w:val="Normal_1_0"/>
    <w:qFormat/>
    <w:uiPriority w:val="0"/>
    <w:pPr>
      <w:widowControl w:val="0"/>
      <w:jc w:val="both"/>
    </w:pPr>
    <w:rPr>
      <w:rFonts w:ascii="Times New Roman" w:hAnsi="Times New Roman" w:eastAsia="等线" w:cs="Times New Roman"/>
      <w:kern w:val="2"/>
      <w:sz w:val="21"/>
      <w:szCs w:val="24"/>
      <w:lang w:val="en-US" w:eastAsia="zh-CN" w:bidi="ar-SA"/>
    </w:rPr>
  </w:style>
  <w:style w:type="paragraph" w:customStyle="1" w:styleId="66">
    <w:name w:val="列出段落2"/>
    <w:basedOn w:val="1"/>
    <w:unhideWhenUsed/>
    <w:qFormat/>
    <w:uiPriority w:val="34"/>
    <w:pPr>
      <w:ind w:firstLine="420" w:firstLineChars="200"/>
    </w:pPr>
  </w:style>
  <w:style w:type="paragraph" w:customStyle="1" w:styleId="67">
    <w:name w:val="Body Text_4"/>
    <w:basedOn w:val="68"/>
    <w:qFormat/>
    <w:uiPriority w:val="0"/>
    <w:pPr>
      <w:spacing w:line="320" w:lineRule="exact"/>
    </w:pPr>
    <w:rPr>
      <w:rFonts w:ascii="Times New Roman" w:hAnsi="Times New Roman"/>
      <w:b/>
      <w:bCs/>
      <w:kern w:val="0"/>
      <w:sz w:val="20"/>
    </w:rPr>
  </w:style>
  <w:style w:type="paragraph" w:customStyle="1" w:styleId="68">
    <w:name w:val="Normal_6"/>
    <w:next w:val="67"/>
    <w:qFormat/>
    <w:uiPriority w:val="0"/>
    <w:pPr>
      <w:widowControl w:val="0"/>
      <w:jc w:val="both"/>
    </w:pPr>
    <w:rPr>
      <w:rFonts w:ascii="等线" w:hAnsi="等线" w:eastAsia="等线" w:cs="Times New Roman"/>
      <w:kern w:val="2"/>
      <w:sz w:val="21"/>
      <w:szCs w:val="24"/>
      <w:lang w:val="en-US" w:eastAsia="zh-CN" w:bidi="ar-SA"/>
    </w:rPr>
  </w:style>
  <w:style w:type="paragraph" w:customStyle="1" w:styleId="69">
    <w:name w:val="xl80"/>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70">
    <w:name w:val="xl133"/>
    <w:basedOn w:val="1"/>
    <w:qFormat/>
    <w:uiPriority w:val="0"/>
    <w:pPr>
      <w:widowControl/>
      <w:pBdr>
        <w:left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cs="宋体"/>
      <w:color w:val="000000"/>
      <w:kern w:val="0"/>
      <w:szCs w:val="21"/>
    </w:rPr>
  </w:style>
  <w:style w:type="paragraph" w:customStyle="1" w:styleId="71">
    <w:name w:val="正文文本 (2)1"/>
    <w:basedOn w:val="1"/>
    <w:link w:val="330"/>
    <w:qFormat/>
    <w:uiPriority w:val="99"/>
    <w:pPr>
      <w:widowControl/>
      <w:shd w:val="clear" w:color="auto" w:fill="FFFFFF"/>
      <w:spacing w:after="1320" w:line="240" w:lineRule="atLeast"/>
      <w:jc w:val="left"/>
    </w:pPr>
    <w:rPr>
      <w:rFonts w:ascii="MingLiU" w:eastAsia="MingLiU" w:cs="MingLiU"/>
      <w:spacing w:val="20"/>
      <w:kern w:val="0"/>
      <w:sz w:val="19"/>
      <w:szCs w:val="19"/>
    </w:rPr>
  </w:style>
  <w:style w:type="paragraph" w:customStyle="1" w:styleId="72">
    <w:name w:val="p14"/>
    <w:basedOn w:val="1"/>
    <w:qFormat/>
    <w:uiPriority w:val="0"/>
    <w:pPr>
      <w:widowControl/>
      <w:spacing w:line="480" w:lineRule="auto"/>
      <w:jc w:val="center"/>
    </w:pPr>
    <w:rPr>
      <w:rFonts w:ascii="宋体" w:hAnsi="宋体" w:cs="宋体"/>
      <w:kern w:val="0"/>
      <w:sz w:val="32"/>
      <w:szCs w:val="32"/>
    </w:rPr>
  </w:style>
  <w:style w:type="paragraph" w:customStyle="1" w:styleId="73">
    <w:name w:val="xl65"/>
    <w:basedOn w:val="1"/>
    <w:qFormat/>
    <w:uiPriority w:val="0"/>
    <w:pPr>
      <w:widowControl/>
      <w:pBdr>
        <w:left w:val="single" w:color="auto" w:sz="4" w:space="0"/>
      </w:pBdr>
      <w:spacing w:before="100" w:beforeAutospacing="1" w:after="100" w:afterAutospacing="1"/>
      <w:jc w:val="center"/>
      <w:textAlignment w:val="center"/>
    </w:pPr>
    <w:rPr>
      <w:rFonts w:ascii="Times New Roman" w:hAnsi="Times New Roman" w:cs="Calibri"/>
      <w:kern w:val="0"/>
      <w:sz w:val="20"/>
      <w:szCs w:val="20"/>
    </w:rPr>
  </w:style>
  <w:style w:type="paragraph" w:customStyle="1" w:styleId="74">
    <w:name w:val="xl96"/>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75">
    <w:name w:val="xl93"/>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76">
    <w:name w:val="xl36"/>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Times New Roman" w:hAnsi="Times New Roman" w:cs="Calibri"/>
      <w:kern w:val="0"/>
      <w:sz w:val="18"/>
      <w:szCs w:val="18"/>
    </w:rPr>
  </w:style>
  <w:style w:type="paragraph" w:customStyle="1" w:styleId="77">
    <w:name w:val="xl66"/>
    <w:basedOn w:val="1"/>
    <w:qFormat/>
    <w:uiPriority w:val="0"/>
    <w:pPr>
      <w:widowControl/>
      <w:pBdr>
        <w:right w:val="single" w:color="auto" w:sz="4" w:space="0"/>
      </w:pBdr>
      <w:spacing w:before="100" w:beforeAutospacing="1" w:after="100" w:afterAutospacing="1"/>
      <w:jc w:val="right"/>
      <w:textAlignment w:val="center"/>
    </w:pPr>
    <w:rPr>
      <w:rFonts w:ascii="宋体" w:hAnsi="宋体" w:cs="Calibri"/>
      <w:kern w:val="0"/>
      <w:sz w:val="20"/>
      <w:szCs w:val="20"/>
    </w:rPr>
  </w:style>
  <w:style w:type="paragraph" w:customStyle="1" w:styleId="78">
    <w:name w:val="CM28"/>
    <w:basedOn w:val="79"/>
    <w:next w:val="79"/>
    <w:qFormat/>
    <w:uiPriority w:val="0"/>
    <w:pPr>
      <w:spacing w:line="400" w:lineRule="atLeast"/>
    </w:pPr>
    <w:rPr>
      <w:rFonts w:ascii="黑体" w:hAnsi="Calibri" w:eastAsia="黑体" w:cs="Times New Roman"/>
      <w:color w:val="auto"/>
    </w:rPr>
  </w:style>
  <w:style w:type="paragraph" w:customStyle="1" w:styleId="79">
    <w:name w:val="Default"/>
    <w:qFormat/>
    <w:uiPriority w:val="0"/>
    <w:pPr>
      <w:widowControl w:val="0"/>
      <w:autoSpaceDE w:val="0"/>
      <w:autoSpaceDN w:val="0"/>
      <w:adjustRightInd w:val="0"/>
    </w:pPr>
    <w:rPr>
      <w:rFonts w:ascii="仿宋" w:hAnsi="仿宋" w:eastAsia="等线" w:cs="仿宋"/>
      <w:color w:val="000000"/>
      <w:sz w:val="24"/>
      <w:szCs w:val="24"/>
      <w:lang w:val="en-US" w:eastAsia="zh-CN" w:bidi="ar-SA"/>
    </w:rPr>
  </w:style>
  <w:style w:type="paragraph" w:customStyle="1" w:styleId="80">
    <w:name w:val="reader-word-layer reader-word-s1-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1">
    <w:name w:val="xl52"/>
    <w:basedOn w:val="1"/>
    <w:qFormat/>
    <w:uiPriority w:val="0"/>
    <w:pPr>
      <w:widowControl/>
      <w:pBdr>
        <w:left w:val="single" w:color="auto" w:sz="4" w:space="0"/>
      </w:pBdr>
      <w:spacing w:before="100" w:beforeAutospacing="1" w:after="100" w:afterAutospacing="1"/>
      <w:jc w:val="left"/>
      <w:textAlignment w:val="center"/>
    </w:pPr>
    <w:rPr>
      <w:rFonts w:ascii="宋体" w:hAnsi="宋体" w:cs="Calibri"/>
      <w:kern w:val="0"/>
      <w:sz w:val="18"/>
      <w:szCs w:val="18"/>
    </w:rPr>
  </w:style>
  <w:style w:type="paragraph" w:customStyle="1" w:styleId="82">
    <w:name w:val="Body Text_1"/>
    <w:basedOn w:val="83"/>
    <w:qFormat/>
    <w:uiPriority w:val="0"/>
    <w:pPr>
      <w:spacing w:line="320" w:lineRule="exact"/>
    </w:pPr>
    <w:rPr>
      <w:rFonts w:ascii="Times New Roman" w:hAnsi="Times New Roman"/>
      <w:b/>
      <w:bCs/>
      <w:kern w:val="0"/>
      <w:sz w:val="20"/>
    </w:rPr>
  </w:style>
  <w:style w:type="paragraph" w:customStyle="1" w:styleId="83">
    <w:name w:val="Normal_3"/>
    <w:next w:val="82"/>
    <w:qFormat/>
    <w:uiPriority w:val="0"/>
    <w:pPr>
      <w:widowControl w:val="0"/>
      <w:jc w:val="both"/>
    </w:pPr>
    <w:rPr>
      <w:rFonts w:ascii="等线" w:hAnsi="等线" w:eastAsia="等线" w:cs="Times New Roman"/>
      <w:kern w:val="2"/>
      <w:sz w:val="21"/>
      <w:szCs w:val="24"/>
      <w:lang w:val="en-US" w:eastAsia="zh-CN" w:bidi="ar-SA"/>
    </w:rPr>
  </w:style>
  <w:style w:type="paragraph" w:customStyle="1" w:styleId="84">
    <w:name w:val="Normal_0"/>
    <w:qFormat/>
    <w:uiPriority w:val="0"/>
    <w:pPr>
      <w:widowControl w:val="0"/>
      <w:jc w:val="both"/>
    </w:pPr>
    <w:rPr>
      <w:rFonts w:ascii="Times New Roman" w:hAnsi="Times New Roman" w:eastAsia="等线" w:cs="Times New Roman"/>
      <w:kern w:val="2"/>
      <w:sz w:val="21"/>
      <w:szCs w:val="24"/>
      <w:lang w:val="en-US" w:eastAsia="zh-CN" w:bidi="ar-SA"/>
    </w:rPr>
  </w:style>
  <w:style w:type="paragraph" w:customStyle="1" w:styleId="85">
    <w:name w:val="Normal_1"/>
    <w:qFormat/>
    <w:uiPriority w:val="0"/>
    <w:pPr>
      <w:widowControl w:val="0"/>
      <w:jc w:val="both"/>
    </w:pPr>
    <w:rPr>
      <w:rFonts w:ascii="等线" w:hAnsi="等线" w:eastAsia="等线" w:cs="Times New Roman"/>
      <w:kern w:val="2"/>
      <w:sz w:val="21"/>
      <w:szCs w:val="24"/>
      <w:lang w:val="en-US" w:eastAsia="zh-CN" w:bidi="ar-SA"/>
    </w:rPr>
  </w:style>
  <w:style w:type="paragraph" w:customStyle="1" w:styleId="86">
    <w:name w:val="p0"/>
    <w:basedOn w:val="1"/>
    <w:qFormat/>
    <w:uiPriority w:val="0"/>
    <w:pPr>
      <w:widowControl/>
    </w:pPr>
    <w:rPr>
      <w:rFonts w:ascii="Times New Roman" w:hAnsi="Times New Roman"/>
      <w:kern w:val="0"/>
      <w:szCs w:val="21"/>
    </w:rPr>
  </w:style>
  <w:style w:type="paragraph" w:customStyle="1" w:styleId="87">
    <w:name w:val="xl37"/>
    <w:basedOn w:val="1"/>
    <w:qFormat/>
    <w:uiPriority w:val="0"/>
    <w:pPr>
      <w:widowControl/>
      <w:pBdr>
        <w:left w:val="single" w:color="auto" w:sz="4" w:space="0"/>
        <w:right w:val="single" w:color="auto" w:sz="4" w:space="0"/>
      </w:pBdr>
      <w:spacing w:before="100" w:beforeAutospacing="1" w:after="100" w:afterAutospacing="1"/>
      <w:jc w:val="right"/>
      <w:textAlignment w:val="center"/>
    </w:pPr>
    <w:rPr>
      <w:rFonts w:ascii="宋体" w:hAnsi="宋体" w:cs="Calibri"/>
      <w:kern w:val="0"/>
      <w:sz w:val="18"/>
      <w:szCs w:val="18"/>
    </w:rPr>
  </w:style>
  <w:style w:type="paragraph" w:customStyle="1" w:styleId="88">
    <w:name w:val="xl89"/>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89">
    <w:name w:val="Heading 1_0"/>
    <w:basedOn w:val="68"/>
    <w:next w:val="68"/>
    <w:qFormat/>
    <w:uiPriority w:val="0"/>
    <w:pPr>
      <w:keepNext/>
      <w:keepLines/>
      <w:widowControl/>
      <w:spacing w:before="340" w:after="330"/>
      <w:jc w:val="left"/>
      <w:outlineLvl w:val="0"/>
    </w:pPr>
    <w:rPr>
      <w:rFonts w:ascii="华文细黑" w:hAnsi="Times New Roman"/>
      <w:b/>
      <w:bCs/>
      <w:snapToGrid w:val="0"/>
      <w:kern w:val="0"/>
      <w:sz w:val="28"/>
      <w:szCs w:val="44"/>
    </w:rPr>
  </w:style>
  <w:style w:type="paragraph" w:customStyle="1" w:styleId="90">
    <w:name w:val="xl63"/>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Calibri"/>
      <w:kern w:val="0"/>
      <w:sz w:val="24"/>
      <w:szCs w:val="24"/>
    </w:rPr>
  </w:style>
  <w:style w:type="paragraph" w:customStyle="1" w:styleId="91">
    <w:name w:val="p78"/>
    <w:basedOn w:val="1"/>
    <w:qFormat/>
    <w:uiPriority w:val="0"/>
    <w:pPr>
      <w:widowControl/>
      <w:spacing w:line="480" w:lineRule="auto"/>
      <w:ind w:firstLine="396"/>
      <w:jc w:val="left"/>
    </w:pPr>
    <w:rPr>
      <w:rFonts w:ascii="宋体" w:hAnsi="宋体" w:cs="宋体"/>
      <w:kern w:val="0"/>
      <w:sz w:val="24"/>
      <w:szCs w:val="24"/>
    </w:rPr>
  </w:style>
  <w:style w:type="paragraph" w:customStyle="1" w:styleId="92">
    <w:name w:val="P5"/>
    <w:qFormat/>
    <w:uiPriority w:val="0"/>
    <w:pPr>
      <w:widowControl w:val="0"/>
      <w:adjustRightInd w:val="0"/>
      <w:spacing w:after="240" w:line="240" w:lineRule="atLeast"/>
      <w:ind w:left="2304"/>
      <w:jc w:val="both"/>
      <w:textAlignment w:val="baseline"/>
    </w:pPr>
    <w:rPr>
      <w:rFonts w:ascii="Times New Roman" w:hAnsi="Times New Roman" w:eastAsia="全真中明體" w:cs="Calibri"/>
      <w:spacing w:val="30"/>
      <w:sz w:val="24"/>
      <w:lang w:val="en-GB" w:eastAsia="zh-TW" w:bidi="ar-SA"/>
    </w:rPr>
  </w:style>
  <w:style w:type="paragraph" w:customStyle="1" w:styleId="93">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Calibri"/>
      <w:kern w:val="0"/>
      <w:sz w:val="18"/>
      <w:szCs w:val="18"/>
    </w:rPr>
  </w:style>
  <w:style w:type="paragraph" w:customStyle="1" w:styleId="94">
    <w:name w:val="xl5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Calibri"/>
      <w:kern w:val="0"/>
      <w:sz w:val="18"/>
      <w:szCs w:val="18"/>
    </w:rPr>
  </w:style>
  <w:style w:type="paragraph" w:customStyle="1" w:styleId="95">
    <w:name w:val="xl85"/>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cs="宋体"/>
      <w:kern w:val="0"/>
      <w:sz w:val="20"/>
      <w:szCs w:val="20"/>
    </w:rPr>
  </w:style>
  <w:style w:type="paragraph" w:customStyle="1" w:styleId="96">
    <w:name w:val="xl126"/>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97">
    <w:name w:val="CM2"/>
    <w:basedOn w:val="79"/>
    <w:next w:val="79"/>
    <w:qFormat/>
    <w:uiPriority w:val="0"/>
    <w:pPr>
      <w:spacing w:line="400" w:lineRule="atLeast"/>
    </w:pPr>
    <w:rPr>
      <w:rFonts w:ascii="黑体" w:hAnsi="Calibri" w:eastAsia="黑体" w:cs="Times New Roman"/>
      <w:color w:val="auto"/>
    </w:rPr>
  </w:style>
  <w:style w:type="paragraph" w:customStyle="1" w:styleId="98">
    <w:name w:val="xl11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99">
    <w:name w:val="Footer_0"/>
    <w:basedOn w:val="100"/>
    <w:unhideWhenUsed/>
    <w:qFormat/>
    <w:uiPriority w:val="99"/>
    <w:pPr>
      <w:tabs>
        <w:tab w:val="center" w:pos="4153"/>
        <w:tab w:val="right" w:pos="8306"/>
      </w:tabs>
      <w:snapToGrid w:val="0"/>
      <w:jc w:val="left"/>
    </w:pPr>
    <w:rPr>
      <w:kern w:val="0"/>
      <w:sz w:val="18"/>
      <w:szCs w:val="18"/>
    </w:rPr>
  </w:style>
  <w:style w:type="paragraph" w:customStyle="1" w:styleId="100">
    <w:name w:val="Normal_2_0"/>
    <w:qFormat/>
    <w:uiPriority w:val="0"/>
    <w:pPr>
      <w:widowControl w:val="0"/>
      <w:jc w:val="both"/>
    </w:pPr>
    <w:rPr>
      <w:rFonts w:ascii="Times New Roman" w:hAnsi="Times New Roman" w:eastAsia="等线" w:cs="Times New Roman"/>
      <w:kern w:val="2"/>
      <w:sz w:val="21"/>
      <w:szCs w:val="24"/>
      <w:lang w:val="en-US" w:eastAsia="zh-CN" w:bidi="ar-SA"/>
    </w:rPr>
  </w:style>
  <w:style w:type="paragraph" w:customStyle="1" w:styleId="101">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Calibri"/>
      <w:kern w:val="0"/>
      <w:sz w:val="18"/>
      <w:szCs w:val="18"/>
    </w:rPr>
  </w:style>
  <w:style w:type="paragraph" w:customStyle="1" w:styleId="102">
    <w:name w:val="大标题"/>
    <w:basedOn w:val="103"/>
    <w:link w:val="286"/>
    <w:qFormat/>
    <w:uiPriority w:val="0"/>
  </w:style>
  <w:style w:type="paragraph" w:customStyle="1" w:styleId="103">
    <w:name w:val="总部分"/>
    <w:basedOn w:val="1"/>
    <w:link w:val="312"/>
    <w:qFormat/>
    <w:uiPriority w:val="0"/>
    <w:pPr>
      <w:spacing w:line="360" w:lineRule="auto"/>
      <w:jc w:val="center"/>
    </w:pPr>
    <w:rPr>
      <w:rFonts w:ascii="Times New Roman" w:hAnsi="Times New Roman"/>
      <w:sz w:val="44"/>
      <w:szCs w:val="24"/>
    </w:rPr>
  </w:style>
  <w:style w:type="paragraph" w:customStyle="1" w:styleId="104">
    <w:name w:val="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5">
    <w:name w:val="p7"/>
    <w:basedOn w:val="1"/>
    <w:qFormat/>
    <w:uiPriority w:val="0"/>
    <w:pPr>
      <w:widowControl/>
      <w:spacing w:line="480" w:lineRule="auto"/>
      <w:ind w:firstLine="480"/>
      <w:jc w:val="left"/>
    </w:pPr>
    <w:rPr>
      <w:rFonts w:ascii="宋体" w:hAnsi="宋体" w:cs="宋体"/>
      <w:kern w:val="0"/>
      <w:szCs w:val="21"/>
    </w:rPr>
  </w:style>
  <w:style w:type="paragraph" w:customStyle="1" w:styleId="106">
    <w:name w:val="标书 正文"/>
    <w:basedOn w:val="1"/>
    <w:qFormat/>
    <w:uiPriority w:val="0"/>
    <w:pPr>
      <w:adjustRightInd w:val="0"/>
      <w:snapToGrid w:val="0"/>
      <w:spacing w:line="360" w:lineRule="auto"/>
      <w:ind w:firstLine="200" w:firstLineChars="200"/>
    </w:pPr>
    <w:rPr>
      <w:rFonts w:ascii="宋体" w:hAnsi="Times New Roman"/>
      <w:sz w:val="24"/>
      <w:szCs w:val="24"/>
    </w:rPr>
  </w:style>
  <w:style w:type="paragraph" w:customStyle="1" w:styleId="107">
    <w:name w:val="Header_0"/>
    <w:basedOn w:val="100"/>
    <w:unhideWhenUsed/>
    <w:qFormat/>
    <w:uiPriority w:val="0"/>
    <w:pPr>
      <w:pBdr>
        <w:bottom w:val="single" w:color="auto" w:sz="6" w:space="1"/>
      </w:pBdr>
      <w:tabs>
        <w:tab w:val="center" w:pos="4153"/>
        <w:tab w:val="right" w:pos="8306"/>
      </w:tabs>
      <w:snapToGrid w:val="0"/>
      <w:jc w:val="center"/>
    </w:pPr>
    <w:rPr>
      <w:kern w:val="0"/>
      <w:sz w:val="18"/>
      <w:szCs w:val="18"/>
    </w:rPr>
  </w:style>
  <w:style w:type="paragraph" w:customStyle="1" w:styleId="108">
    <w:name w:val="xl129"/>
    <w:basedOn w:val="1"/>
    <w:qFormat/>
    <w:uiPriority w:val="0"/>
    <w:pPr>
      <w:widowControl/>
      <w:pBdr>
        <w:left w:val="single" w:color="auto" w:sz="8"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109">
    <w:name w:val="xl3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Calibri"/>
      <w:kern w:val="0"/>
      <w:sz w:val="18"/>
      <w:szCs w:val="18"/>
    </w:rPr>
  </w:style>
  <w:style w:type="paragraph" w:customStyle="1" w:styleId="110">
    <w:name w:val="xl28"/>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Calibri"/>
      <w:kern w:val="0"/>
      <w:sz w:val="18"/>
      <w:szCs w:val="18"/>
    </w:rPr>
  </w:style>
  <w:style w:type="paragraph" w:customStyle="1" w:styleId="111">
    <w:name w:val="样式1"/>
    <w:qFormat/>
    <w:uiPriority w:val="0"/>
    <w:rPr>
      <w:rFonts w:ascii="Times New Roman" w:hAnsi="Times New Roman" w:eastAsia="等线" w:cs="Calibri"/>
      <w:kern w:val="2"/>
      <w:sz w:val="21"/>
      <w:lang w:val="en-US" w:eastAsia="zh-CN" w:bidi="ar-SA"/>
    </w:rPr>
  </w:style>
  <w:style w:type="paragraph" w:customStyle="1" w:styleId="112">
    <w:name w:val="xl110"/>
    <w:basedOn w:val="1"/>
    <w:qFormat/>
    <w:uiPriority w:val="0"/>
    <w:pPr>
      <w:widowControl/>
      <w:pBdr>
        <w:top w:val="single" w:color="auto" w:sz="8" w:space="0"/>
        <w:left w:val="single" w:color="auto" w:sz="8"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113">
    <w:name w:val="二级标题"/>
    <w:basedOn w:val="1"/>
    <w:qFormat/>
    <w:uiPriority w:val="0"/>
    <w:pPr>
      <w:spacing w:line="360" w:lineRule="auto"/>
    </w:pPr>
    <w:rPr>
      <w:rFonts w:ascii="Times New Roman" w:hAnsi="Times New Roman" w:eastAsia="黑体"/>
      <w:b/>
      <w:sz w:val="28"/>
      <w:szCs w:val="24"/>
    </w:rPr>
  </w:style>
  <w:style w:type="paragraph" w:customStyle="1" w:styleId="114">
    <w:name w:val="CM389"/>
    <w:basedOn w:val="79"/>
    <w:next w:val="79"/>
    <w:qFormat/>
    <w:uiPriority w:val="0"/>
    <w:rPr>
      <w:rFonts w:ascii="黑体" w:hAnsi="Calibri" w:eastAsia="黑体" w:cs="Times New Roman"/>
      <w:color w:val="auto"/>
    </w:rPr>
  </w:style>
  <w:style w:type="paragraph" w:customStyle="1" w:styleId="115">
    <w:name w:val="标题-2"/>
    <w:basedOn w:val="3"/>
    <w:link w:val="314"/>
    <w:qFormat/>
    <w:uiPriority w:val="0"/>
    <w:pPr>
      <w:spacing w:before="0" w:after="0" w:line="360" w:lineRule="auto"/>
      <w:jc w:val="left"/>
    </w:pPr>
    <w:rPr>
      <w:rFonts w:ascii="宋体" w:hAnsi="Calibri"/>
      <w:bCs w:val="0"/>
      <w:szCs w:val="20"/>
    </w:rPr>
  </w:style>
  <w:style w:type="paragraph" w:customStyle="1" w:styleId="116">
    <w:name w:val="P6"/>
    <w:qFormat/>
    <w:uiPriority w:val="0"/>
    <w:pPr>
      <w:widowControl w:val="0"/>
      <w:adjustRightInd w:val="0"/>
      <w:spacing w:after="240" w:line="240" w:lineRule="atLeast"/>
      <w:ind w:left="3456" w:hanging="576"/>
      <w:jc w:val="both"/>
      <w:textAlignment w:val="baseline"/>
    </w:pPr>
    <w:rPr>
      <w:rFonts w:ascii="Times New Roman" w:hAnsi="Times New Roman" w:eastAsia="全真中明體" w:cs="Calibri"/>
      <w:spacing w:val="20"/>
      <w:sz w:val="24"/>
      <w:lang w:val="en-GB" w:eastAsia="zh-TW" w:bidi="ar-SA"/>
    </w:rPr>
  </w:style>
  <w:style w:type="paragraph" w:customStyle="1" w:styleId="117">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Cs w:val="21"/>
    </w:rPr>
  </w:style>
  <w:style w:type="paragraph" w:customStyle="1" w:styleId="118">
    <w:name w:val="xl98"/>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119">
    <w:name w:val="四级标题"/>
    <w:basedOn w:val="1"/>
    <w:link w:val="363"/>
    <w:qFormat/>
    <w:uiPriority w:val="0"/>
    <w:pPr>
      <w:spacing w:line="360" w:lineRule="auto"/>
      <w:jc w:val="left"/>
    </w:pPr>
    <w:rPr>
      <w:rFonts w:ascii="宋体" w:hAnsi="宋体"/>
      <w:b/>
      <w:sz w:val="24"/>
      <w:szCs w:val="24"/>
    </w:rPr>
  </w:style>
  <w:style w:type="paragraph" w:customStyle="1" w:styleId="120">
    <w:name w:val="xl7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Calibri"/>
      <w:kern w:val="0"/>
      <w:sz w:val="20"/>
      <w:szCs w:val="20"/>
    </w:rPr>
  </w:style>
  <w:style w:type="paragraph" w:customStyle="1" w:styleId="121">
    <w:name w:val="xl23"/>
    <w:basedOn w:val="1"/>
    <w:qFormat/>
    <w:uiPriority w:val="0"/>
    <w:pPr>
      <w:widowControl/>
      <w:spacing w:before="100" w:beforeAutospacing="1" w:after="100" w:afterAutospacing="1"/>
      <w:jc w:val="center"/>
      <w:textAlignment w:val="center"/>
    </w:pPr>
    <w:rPr>
      <w:rFonts w:ascii="宋体" w:hAnsi="宋体"/>
      <w:kern w:val="0"/>
      <w:szCs w:val="21"/>
    </w:rPr>
  </w:style>
  <w:style w:type="paragraph" w:customStyle="1" w:styleId="122">
    <w:name w:val="xl117"/>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123">
    <w:name w:val="ggwenhao1"/>
    <w:basedOn w:val="1"/>
    <w:qFormat/>
    <w:uiPriority w:val="0"/>
    <w:pPr>
      <w:widowControl/>
      <w:spacing w:before="100" w:beforeAutospacing="1" w:after="100" w:afterAutospacing="1" w:line="330" w:lineRule="atLeast"/>
      <w:jc w:val="left"/>
    </w:pPr>
    <w:rPr>
      <w:rFonts w:ascii="宋体" w:hAnsi="宋体" w:cs="Calibri"/>
      <w:kern w:val="0"/>
      <w:sz w:val="23"/>
      <w:szCs w:val="23"/>
    </w:rPr>
  </w:style>
  <w:style w:type="paragraph" w:customStyle="1" w:styleId="124">
    <w:name w:val="_Style 2"/>
    <w:basedOn w:val="1"/>
    <w:qFormat/>
    <w:uiPriority w:val="99"/>
    <w:pPr>
      <w:ind w:firstLine="420" w:firstLineChars="200"/>
    </w:pPr>
  </w:style>
  <w:style w:type="paragraph" w:customStyle="1" w:styleId="125">
    <w:name w:val="Normal_1_0_0"/>
    <w:qFormat/>
    <w:uiPriority w:val="0"/>
    <w:pPr>
      <w:widowControl w:val="0"/>
      <w:jc w:val="both"/>
    </w:pPr>
    <w:rPr>
      <w:rFonts w:ascii="Times New Roman" w:hAnsi="Times New Roman" w:eastAsia="等线" w:cs="Times New Roman"/>
      <w:kern w:val="2"/>
      <w:sz w:val="21"/>
      <w:szCs w:val="24"/>
      <w:lang w:val="en-US" w:eastAsia="zh-CN" w:bidi="ar-SA"/>
    </w:rPr>
  </w:style>
  <w:style w:type="paragraph" w:customStyle="1" w:styleId="126">
    <w:name w:val="图表_地面工程"/>
    <w:basedOn w:val="1"/>
    <w:link w:val="353"/>
    <w:qFormat/>
    <w:uiPriority w:val="0"/>
    <w:pPr>
      <w:spacing w:line="360" w:lineRule="auto"/>
      <w:jc w:val="center"/>
    </w:pPr>
    <w:rPr>
      <w:rFonts w:ascii="黑体" w:hAnsi="黑体" w:eastAsia="黑体"/>
      <w:kern w:val="0"/>
      <w:sz w:val="20"/>
      <w:szCs w:val="20"/>
    </w:rPr>
  </w:style>
  <w:style w:type="paragraph" w:customStyle="1" w:styleId="127">
    <w:name w:val="xl127"/>
    <w:basedOn w:val="1"/>
    <w:qFormat/>
    <w:uiPriority w:val="0"/>
    <w:pPr>
      <w:widowControl/>
      <w:pBdr>
        <w:left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128">
    <w:name w:val="_Style 127"/>
    <w:basedOn w:val="2"/>
    <w:next w:val="1"/>
    <w:qFormat/>
    <w:uiPriority w:val="39"/>
    <w:pPr>
      <w:keepLines/>
      <w:numPr>
        <w:ilvl w:val="0"/>
        <w:numId w:val="0"/>
      </w:numPr>
      <w:spacing w:before="340" w:after="330" w:line="578" w:lineRule="auto"/>
      <w:jc w:val="both"/>
      <w:outlineLvl w:val="9"/>
    </w:pPr>
    <w:rPr>
      <w:rFonts w:ascii="Calibri" w:hAnsi="Calibri" w:eastAsia="宋体"/>
      <w:bCs/>
      <w:kern w:val="44"/>
      <w:sz w:val="44"/>
      <w:szCs w:val="44"/>
    </w:rPr>
  </w:style>
  <w:style w:type="paragraph" w:customStyle="1" w:styleId="129">
    <w:name w:val="xl12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4"/>
      <w:szCs w:val="24"/>
    </w:rPr>
  </w:style>
  <w:style w:type="paragraph" w:customStyle="1" w:styleId="130">
    <w:name w:val="Char Char Char Char"/>
    <w:basedOn w:val="1"/>
    <w:qFormat/>
    <w:uiPriority w:val="0"/>
    <w:pPr>
      <w:spacing w:line="330" w:lineRule="atLeast"/>
      <w:ind w:left="360" w:firstLine="360" w:firstLineChars="150"/>
      <w:jc w:val="left"/>
    </w:pPr>
    <w:rPr>
      <w:rFonts w:ascii="??" w:hAnsi="??" w:cs="宋体"/>
      <w:color w:val="51585D"/>
      <w:kern w:val="0"/>
      <w:sz w:val="24"/>
      <w:szCs w:val="18"/>
    </w:rPr>
  </w:style>
  <w:style w:type="paragraph" w:customStyle="1" w:styleId="131">
    <w:name w:val="xl91"/>
    <w:basedOn w:val="1"/>
    <w:qFormat/>
    <w:uiPriority w:val="0"/>
    <w:pPr>
      <w:widowControl/>
      <w:pBdr>
        <w:top w:val="single" w:color="auto" w:sz="8" w:space="0"/>
        <w:left w:val="single" w:color="auto" w:sz="4" w:space="0"/>
        <w:right w:val="single" w:color="auto" w:sz="4" w:space="0"/>
      </w:pBdr>
      <w:shd w:val="clear" w:color="000000" w:fill="C0C0C0"/>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132">
    <w:name w:val="列出段落11"/>
    <w:basedOn w:val="1"/>
    <w:qFormat/>
    <w:uiPriority w:val="0"/>
    <w:pPr>
      <w:ind w:firstLine="420" w:firstLineChars="200"/>
    </w:pPr>
  </w:style>
  <w:style w:type="paragraph" w:customStyle="1" w:styleId="133">
    <w:name w:val="xl50"/>
    <w:basedOn w:val="1"/>
    <w:qFormat/>
    <w:uiPriority w:val="0"/>
    <w:pPr>
      <w:widowControl/>
      <w:pBdr>
        <w:bottom w:val="single" w:color="auto" w:sz="4" w:space="0"/>
        <w:right w:val="single" w:color="auto" w:sz="4" w:space="0"/>
      </w:pBdr>
      <w:spacing w:before="100" w:beforeAutospacing="1" w:after="100" w:afterAutospacing="1"/>
      <w:jc w:val="left"/>
      <w:textAlignment w:val="center"/>
    </w:pPr>
    <w:rPr>
      <w:rFonts w:ascii="宋体" w:hAnsi="宋体" w:cs="Calibri"/>
      <w:kern w:val="0"/>
      <w:sz w:val="18"/>
      <w:szCs w:val="18"/>
    </w:rPr>
  </w:style>
  <w:style w:type="paragraph" w:customStyle="1" w:styleId="134">
    <w:name w:val="xl59"/>
    <w:basedOn w:val="1"/>
    <w:qFormat/>
    <w:uiPriority w:val="0"/>
    <w:pPr>
      <w:widowControl/>
      <w:pBdr>
        <w:top w:val="single" w:color="auto" w:sz="4" w:space="0"/>
        <w:right w:val="single" w:color="auto" w:sz="4" w:space="0"/>
      </w:pBdr>
      <w:spacing w:before="100" w:beforeAutospacing="1" w:after="100" w:afterAutospacing="1"/>
      <w:jc w:val="right"/>
      <w:textAlignment w:val="center"/>
    </w:pPr>
    <w:rPr>
      <w:rFonts w:ascii="宋体" w:hAnsi="宋体" w:cs="Calibri"/>
      <w:kern w:val="0"/>
      <w:sz w:val="20"/>
      <w:szCs w:val="20"/>
    </w:rPr>
  </w:style>
  <w:style w:type="paragraph" w:customStyle="1" w:styleId="135">
    <w:name w:val="xl81"/>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136">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Calibri"/>
      <w:kern w:val="0"/>
      <w:sz w:val="18"/>
      <w:szCs w:val="18"/>
    </w:rPr>
  </w:style>
  <w:style w:type="paragraph" w:customStyle="1" w:styleId="137">
    <w:name w:val="font9"/>
    <w:basedOn w:val="1"/>
    <w:qFormat/>
    <w:uiPriority w:val="0"/>
    <w:pPr>
      <w:widowControl/>
      <w:spacing w:before="100" w:beforeAutospacing="1" w:after="100" w:afterAutospacing="1"/>
      <w:jc w:val="left"/>
    </w:pPr>
    <w:rPr>
      <w:rFonts w:ascii="Times New Roman" w:hAnsi="Times New Roman" w:cs="Calibri"/>
      <w:kern w:val="0"/>
      <w:sz w:val="20"/>
      <w:szCs w:val="20"/>
    </w:rPr>
  </w:style>
  <w:style w:type="paragraph" w:customStyle="1" w:styleId="138">
    <w:name w:val="P3"/>
    <w:qFormat/>
    <w:uiPriority w:val="0"/>
    <w:pPr>
      <w:widowControl w:val="0"/>
      <w:adjustRightInd w:val="0"/>
      <w:spacing w:after="240" w:line="240" w:lineRule="atLeast"/>
      <w:ind w:left="2880" w:hanging="576"/>
      <w:jc w:val="both"/>
      <w:textAlignment w:val="baseline"/>
    </w:pPr>
    <w:rPr>
      <w:rFonts w:ascii="Times New Roman" w:hAnsi="Times New Roman" w:eastAsia="全真中明體" w:cs="Calibri"/>
      <w:spacing w:val="30"/>
      <w:sz w:val="24"/>
      <w:lang w:val="en-GB" w:eastAsia="zh-TW" w:bidi="ar-SA"/>
    </w:rPr>
  </w:style>
  <w:style w:type="paragraph" w:styleId="139">
    <w:name w:val="No Spacing"/>
    <w:link w:val="365"/>
    <w:qFormat/>
    <w:uiPriority w:val="1"/>
    <w:rPr>
      <w:rFonts w:ascii="等线" w:hAnsi="等线" w:eastAsia="等线" w:cs="Times New Roman"/>
      <w:sz w:val="22"/>
      <w:szCs w:val="22"/>
      <w:lang w:val="en-US" w:eastAsia="zh-CN" w:bidi="ar-SA"/>
    </w:rPr>
  </w:style>
  <w:style w:type="paragraph" w:customStyle="1" w:styleId="140">
    <w:name w:val="xl5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Calibri"/>
      <w:kern w:val="0"/>
      <w:sz w:val="18"/>
      <w:szCs w:val="18"/>
    </w:rPr>
  </w:style>
  <w:style w:type="paragraph" w:styleId="141">
    <w:name w:val="List Paragraph"/>
    <w:basedOn w:val="1"/>
    <w:qFormat/>
    <w:uiPriority w:val="34"/>
    <w:pPr>
      <w:ind w:firstLine="420" w:firstLineChars="200"/>
    </w:pPr>
  </w:style>
  <w:style w:type="paragraph" w:customStyle="1" w:styleId="142">
    <w:name w:val="xl48"/>
    <w:basedOn w:val="1"/>
    <w:qFormat/>
    <w:uiPriority w:val="0"/>
    <w:pPr>
      <w:widowControl/>
      <w:pBdr>
        <w:top w:val="single" w:color="auto" w:sz="4" w:space="0"/>
        <w:right w:val="single" w:color="auto" w:sz="4" w:space="0"/>
      </w:pBdr>
      <w:spacing w:before="100" w:beforeAutospacing="1" w:after="100" w:afterAutospacing="1"/>
      <w:jc w:val="left"/>
      <w:textAlignment w:val="center"/>
    </w:pPr>
    <w:rPr>
      <w:rFonts w:ascii="宋体" w:hAnsi="宋体" w:cs="Calibri"/>
      <w:kern w:val="0"/>
      <w:sz w:val="18"/>
      <w:szCs w:val="18"/>
    </w:rPr>
  </w:style>
  <w:style w:type="paragraph" w:customStyle="1" w:styleId="143">
    <w:name w:val="xl109"/>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144">
    <w:name w:val="无间隔11"/>
    <w:qFormat/>
    <w:uiPriority w:val="1"/>
    <w:rPr>
      <w:rFonts w:ascii="等线" w:hAnsi="等线" w:eastAsia="等线" w:cs="Times New Roman"/>
      <w:sz w:val="22"/>
      <w:szCs w:val="22"/>
      <w:lang w:val="en-US" w:eastAsia="zh-CN" w:bidi="ar-SA"/>
    </w:rPr>
  </w:style>
  <w:style w:type="paragraph" w:customStyle="1" w:styleId="145">
    <w:name w:val="xl78"/>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Cs w:val="21"/>
    </w:rPr>
  </w:style>
  <w:style w:type="paragraph" w:customStyle="1" w:styleId="146">
    <w:name w:val="xl97"/>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left"/>
      <w:textAlignment w:val="center"/>
    </w:pPr>
    <w:rPr>
      <w:rFonts w:ascii="宋体" w:hAnsi="宋体" w:cs="宋体"/>
      <w:color w:val="000000"/>
      <w:kern w:val="0"/>
      <w:sz w:val="24"/>
      <w:szCs w:val="24"/>
    </w:rPr>
  </w:style>
  <w:style w:type="paragraph" w:customStyle="1" w:styleId="147">
    <w:name w:val="xl76"/>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148">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Calibri"/>
      <w:kern w:val="0"/>
      <w:sz w:val="18"/>
      <w:szCs w:val="18"/>
    </w:rPr>
  </w:style>
  <w:style w:type="paragraph" w:customStyle="1" w:styleId="149">
    <w:name w:val="CM111"/>
    <w:basedOn w:val="79"/>
    <w:next w:val="79"/>
    <w:qFormat/>
    <w:uiPriority w:val="0"/>
    <w:pPr>
      <w:spacing w:line="400" w:lineRule="atLeast"/>
    </w:pPr>
    <w:rPr>
      <w:rFonts w:ascii="黑体" w:hAnsi="Calibri" w:eastAsia="黑体" w:cs="Times New Roman"/>
      <w:color w:val="auto"/>
    </w:rPr>
  </w:style>
  <w:style w:type="paragraph" w:customStyle="1" w:styleId="150">
    <w:name w:val="xl33"/>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ascii="宋体" w:hAnsi="宋体" w:cs="Calibri"/>
      <w:kern w:val="0"/>
      <w:sz w:val="18"/>
      <w:szCs w:val="18"/>
    </w:rPr>
  </w:style>
  <w:style w:type="paragraph" w:customStyle="1" w:styleId="151">
    <w:name w:val="xl86"/>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52">
    <w:name w:val="p10"/>
    <w:basedOn w:val="1"/>
    <w:qFormat/>
    <w:uiPriority w:val="0"/>
    <w:pPr>
      <w:widowControl/>
      <w:spacing w:line="480" w:lineRule="auto"/>
      <w:jc w:val="center"/>
    </w:pPr>
    <w:rPr>
      <w:rFonts w:ascii="宋体" w:hAnsi="宋体" w:cs="宋体"/>
      <w:kern w:val="0"/>
      <w:sz w:val="44"/>
      <w:szCs w:val="44"/>
    </w:rPr>
  </w:style>
  <w:style w:type="paragraph" w:customStyle="1" w:styleId="153">
    <w:name w:val="p62"/>
    <w:basedOn w:val="1"/>
    <w:qFormat/>
    <w:uiPriority w:val="0"/>
    <w:pPr>
      <w:widowControl/>
      <w:spacing w:line="480" w:lineRule="auto"/>
      <w:ind w:firstLine="470"/>
      <w:jc w:val="left"/>
    </w:pPr>
    <w:rPr>
      <w:rFonts w:ascii="宋体" w:hAnsi="宋体" w:cs="宋体"/>
      <w:kern w:val="0"/>
      <w:sz w:val="28"/>
      <w:szCs w:val="28"/>
    </w:rPr>
  </w:style>
  <w:style w:type="paragraph" w:customStyle="1" w:styleId="154">
    <w:name w:val="p71"/>
    <w:basedOn w:val="1"/>
    <w:qFormat/>
    <w:uiPriority w:val="0"/>
    <w:pPr>
      <w:widowControl/>
      <w:spacing w:line="480" w:lineRule="auto"/>
      <w:jc w:val="left"/>
    </w:pPr>
    <w:rPr>
      <w:rFonts w:ascii="宋体" w:hAnsi="宋体" w:cs="宋体"/>
      <w:kern w:val="0"/>
      <w:sz w:val="24"/>
      <w:szCs w:val="24"/>
    </w:rPr>
  </w:style>
  <w:style w:type="paragraph" w:customStyle="1" w:styleId="155">
    <w:name w:val="xl111"/>
    <w:basedOn w:val="1"/>
    <w:qFormat/>
    <w:uiPriority w:val="0"/>
    <w:pPr>
      <w:widowControl/>
      <w:pBdr>
        <w:left w:val="single" w:color="auto" w:sz="8"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156">
    <w:name w:val="_Style 1"/>
    <w:basedOn w:val="1"/>
    <w:qFormat/>
    <w:uiPriority w:val="99"/>
    <w:pPr>
      <w:ind w:firstLine="420" w:firstLineChars="200"/>
    </w:pPr>
    <w:rPr>
      <w:rFonts w:ascii="Times New Roman" w:hAnsi="Times New Roman"/>
    </w:rPr>
  </w:style>
  <w:style w:type="paragraph" w:customStyle="1" w:styleId="157">
    <w:name w:val="z-窗体顶端2"/>
    <w:basedOn w:val="1"/>
    <w:link w:val="341"/>
    <w:semiHidden/>
    <w:qFormat/>
    <w:uiPriority w:val="99"/>
    <w:rPr>
      <w:rFonts w:cs="Calibri"/>
    </w:rPr>
  </w:style>
  <w:style w:type="paragraph" w:customStyle="1" w:styleId="158">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159">
    <w:name w:val="Normal_2_0_0"/>
    <w:qFormat/>
    <w:uiPriority w:val="0"/>
    <w:pPr>
      <w:widowControl w:val="0"/>
      <w:jc w:val="both"/>
    </w:pPr>
    <w:rPr>
      <w:rFonts w:ascii="Times New Roman" w:hAnsi="Times New Roman" w:eastAsia="等线" w:cs="Times New Roman"/>
      <w:kern w:val="2"/>
      <w:sz w:val="21"/>
      <w:szCs w:val="24"/>
      <w:lang w:val="en-US" w:eastAsia="zh-CN" w:bidi="ar-SA"/>
    </w:rPr>
  </w:style>
  <w:style w:type="paragraph" w:customStyle="1" w:styleId="160">
    <w:name w:val="xl92"/>
    <w:basedOn w:val="1"/>
    <w:qFormat/>
    <w:uiPriority w:val="0"/>
    <w:pPr>
      <w:widowControl/>
      <w:pBdr>
        <w:top w:val="single" w:color="auto" w:sz="8" w:space="0"/>
        <w:left w:val="single" w:color="auto" w:sz="4" w:space="0"/>
        <w:right w:val="single" w:color="auto" w:sz="8" w:space="0"/>
      </w:pBdr>
      <w:shd w:val="clear" w:color="000000" w:fill="C0C0C0"/>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161">
    <w:name w:val="xl41"/>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Calibri"/>
      <w:kern w:val="0"/>
      <w:sz w:val="18"/>
      <w:szCs w:val="18"/>
    </w:rPr>
  </w:style>
  <w:style w:type="paragraph" w:customStyle="1" w:styleId="162">
    <w:name w:val="xl113"/>
    <w:basedOn w:val="1"/>
    <w:qFormat/>
    <w:uiPriority w:val="0"/>
    <w:pPr>
      <w:widowControl/>
      <w:spacing w:before="100" w:beforeAutospacing="1" w:after="100" w:afterAutospacing="1"/>
      <w:jc w:val="center"/>
      <w:textAlignment w:val="center"/>
    </w:pPr>
    <w:rPr>
      <w:rFonts w:ascii="宋体" w:hAnsi="宋体" w:cs="宋体"/>
      <w:b/>
      <w:bCs/>
      <w:color w:val="000000"/>
      <w:kern w:val="0"/>
      <w:sz w:val="28"/>
      <w:szCs w:val="28"/>
    </w:rPr>
  </w:style>
  <w:style w:type="paragraph" w:customStyle="1" w:styleId="163">
    <w:name w:val="xl79"/>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164">
    <w:name w:val="font7"/>
    <w:basedOn w:val="1"/>
    <w:qFormat/>
    <w:uiPriority w:val="0"/>
    <w:pPr>
      <w:widowControl/>
      <w:spacing w:before="100" w:beforeAutospacing="1" w:after="100" w:afterAutospacing="1"/>
      <w:jc w:val="left"/>
    </w:pPr>
    <w:rPr>
      <w:rFonts w:ascii="Times New Roman" w:hAnsi="Times New Roman" w:cs="Calibri"/>
      <w:kern w:val="0"/>
      <w:sz w:val="20"/>
      <w:szCs w:val="20"/>
    </w:rPr>
  </w:style>
  <w:style w:type="paragraph" w:customStyle="1" w:styleId="165">
    <w:name w:val="Body Text_0"/>
    <w:basedOn w:val="84"/>
    <w:qFormat/>
    <w:uiPriority w:val="0"/>
    <w:pPr>
      <w:spacing w:line="320" w:lineRule="exact"/>
    </w:pPr>
    <w:rPr>
      <w:b/>
      <w:bCs/>
      <w:kern w:val="0"/>
      <w:sz w:val="20"/>
    </w:rPr>
  </w:style>
  <w:style w:type="paragraph" w:customStyle="1" w:styleId="166">
    <w:name w:val="reader-word-layer"/>
    <w:basedOn w:val="1"/>
    <w:qFormat/>
    <w:uiPriority w:val="0"/>
    <w:pPr>
      <w:widowControl/>
      <w:spacing w:before="100" w:beforeAutospacing="1" w:after="100" w:afterAutospacing="1" w:line="360" w:lineRule="auto"/>
      <w:jc w:val="left"/>
    </w:pPr>
    <w:rPr>
      <w:rFonts w:ascii="宋体" w:hAnsi="宋体" w:cs="宋体"/>
      <w:kern w:val="0"/>
      <w:sz w:val="24"/>
      <w:szCs w:val="24"/>
    </w:rPr>
  </w:style>
  <w:style w:type="paragraph" w:customStyle="1" w:styleId="167">
    <w:name w:val="xl83"/>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168">
    <w:name w:val="xl71"/>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169">
    <w:name w:val="xl90"/>
    <w:basedOn w:val="1"/>
    <w:qFormat/>
    <w:uiPriority w:val="0"/>
    <w:pPr>
      <w:widowControl/>
      <w:pBdr>
        <w:top w:val="single" w:color="auto" w:sz="8" w:space="0"/>
        <w:left w:val="single" w:color="auto" w:sz="8" w:space="0"/>
        <w:right w:val="single" w:color="auto" w:sz="4" w:space="0"/>
      </w:pBdr>
      <w:shd w:val="clear" w:color="000000" w:fill="C0C0C0"/>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170">
    <w:name w:val="Normal_0_0"/>
    <w:qFormat/>
    <w:uiPriority w:val="0"/>
    <w:pPr>
      <w:widowControl w:val="0"/>
      <w:jc w:val="both"/>
    </w:pPr>
    <w:rPr>
      <w:rFonts w:ascii="Times New Roman" w:hAnsi="Times New Roman" w:eastAsia="等线" w:cs="Times New Roman"/>
      <w:kern w:val="2"/>
      <w:sz w:val="21"/>
      <w:szCs w:val="24"/>
      <w:lang w:val="en-US" w:eastAsia="zh-CN" w:bidi="ar-SA"/>
    </w:rPr>
  </w:style>
  <w:style w:type="paragraph" w:customStyle="1" w:styleId="171">
    <w:name w:val="font6"/>
    <w:basedOn w:val="1"/>
    <w:qFormat/>
    <w:uiPriority w:val="0"/>
    <w:pPr>
      <w:widowControl/>
      <w:spacing w:before="100" w:beforeAutospacing="1" w:after="100" w:afterAutospacing="1"/>
      <w:jc w:val="left"/>
    </w:pPr>
    <w:rPr>
      <w:rFonts w:ascii="Times New Roman" w:hAnsi="Times New Roman" w:cs="Calibri"/>
      <w:kern w:val="0"/>
      <w:sz w:val="18"/>
      <w:szCs w:val="18"/>
    </w:rPr>
  </w:style>
  <w:style w:type="paragraph" w:customStyle="1" w:styleId="172">
    <w:name w:val="三级标题"/>
    <w:basedOn w:val="1"/>
    <w:link w:val="426"/>
    <w:qFormat/>
    <w:uiPriority w:val="0"/>
    <w:pPr>
      <w:spacing w:line="360" w:lineRule="auto"/>
    </w:pPr>
    <w:rPr>
      <w:rFonts w:ascii="Times New Roman" w:hAnsi="Times New Roman" w:eastAsia="黑体"/>
      <w:b/>
      <w:sz w:val="24"/>
      <w:szCs w:val="24"/>
    </w:rPr>
  </w:style>
  <w:style w:type="paragraph" w:customStyle="1" w:styleId="173">
    <w:name w:val="xl107"/>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174">
    <w:name w:val="xl95"/>
    <w:basedOn w:val="1"/>
    <w:qFormat/>
    <w:uiPriority w:val="0"/>
    <w:pPr>
      <w:widowControl/>
      <w:pBdr>
        <w:left w:val="single" w:color="auto" w:sz="8" w:space="0"/>
        <w:bottom w:val="single" w:color="auto" w:sz="8" w:space="0"/>
        <w:right w:val="single" w:color="auto" w:sz="8"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175">
    <w:name w:val="P7"/>
    <w:qFormat/>
    <w:uiPriority w:val="0"/>
    <w:pPr>
      <w:widowControl w:val="0"/>
      <w:tabs>
        <w:tab w:val="left" w:pos="576"/>
      </w:tabs>
      <w:adjustRightInd w:val="0"/>
      <w:spacing w:after="240" w:line="240" w:lineRule="atLeast"/>
      <w:ind w:left="1728" w:hanging="1728"/>
      <w:jc w:val="both"/>
      <w:textAlignment w:val="baseline"/>
    </w:pPr>
    <w:rPr>
      <w:rFonts w:ascii="Times New Roman" w:hAnsi="Times New Roman" w:eastAsia="全真中明體" w:cs="Calibri"/>
      <w:spacing w:val="30"/>
      <w:sz w:val="24"/>
      <w:lang w:val="en-GB" w:eastAsia="zh-TW" w:bidi="ar-SA"/>
    </w:rPr>
  </w:style>
  <w:style w:type="paragraph" w:customStyle="1" w:styleId="176">
    <w:name w:val="xl116"/>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177">
    <w:name w:val="Char Char Char Char Char Char Char Char Char Char Char Char Char Char Char Char"/>
    <w:basedOn w:val="1"/>
    <w:qFormat/>
    <w:uiPriority w:val="0"/>
    <w:pPr>
      <w:spacing w:line="330" w:lineRule="atLeast"/>
      <w:ind w:left="360" w:firstLine="360" w:firstLineChars="150"/>
      <w:jc w:val="left"/>
    </w:pPr>
    <w:rPr>
      <w:rFonts w:ascii="??" w:hAnsi="??" w:cs="宋体"/>
      <w:color w:val="51585D"/>
      <w:kern w:val="0"/>
      <w:sz w:val="24"/>
      <w:szCs w:val="18"/>
    </w:rPr>
  </w:style>
  <w:style w:type="paragraph" w:customStyle="1" w:styleId="178">
    <w:name w:val="xl69"/>
    <w:basedOn w:val="1"/>
    <w:qFormat/>
    <w:uiPriority w:val="0"/>
    <w:pPr>
      <w:widowControl/>
      <w:pBdr>
        <w:bottom w:val="single" w:color="auto" w:sz="4" w:space="0"/>
        <w:right w:val="single" w:color="auto" w:sz="4" w:space="0"/>
      </w:pBdr>
      <w:spacing w:before="100" w:beforeAutospacing="1" w:after="100" w:afterAutospacing="1"/>
      <w:jc w:val="right"/>
      <w:textAlignment w:val="center"/>
    </w:pPr>
    <w:rPr>
      <w:rFonts w:ascii="宋体" w:hAnsi="宋体" w:cs="Calibri"/>
      <w:kern w:val="0"/>
      <w:sz w:val="20"/>
      <w:szCs w:val="20"/>
    </w:rPr>
  </w:style>
  <w:style w:type="paragraph" w:customStyle="1" w:styleId="179">
    <w:name w:val="xl3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Calibri"/>
      <w:kern w:val="0"/>
      <w:sz w:val="18"/>
      <w:szCs w:val="18"/>
    </w:rPr>
  </w:style>
  <w:style w:type="paragraph" w:customStyle="1" w:styleId="180">
    <w:name w:val="xl3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Calibri"/>
      <w:kern w:val="0"/>
      <w:sz w:val="18"/>
      <w:szCs w:val="18"/>
    </w:rPr>
  </w:style>
  <w:style w:type="paragraph" w:customStyle="1" w:styleId="181">
    <w:name w:val="style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82">
    <w:name w:val="07图片"/>
    <w:basedOn w:val="1"/>
    <w:link w:val="324"/>
    <w:qFormat/>
    <w:uiPriority w:val="0"/>
    <w:pPr>
      <w:spacing w:line="360" w:lineRule="exact"/>
      <w:jc w:val="center"/>
    </w:pPr>
    <w:rPr>
      <w:rFonts w:ascii="黑体" w:hAnsi="宋体" w:eastAsia="黑体"/>
      <w:kern w:val="0"/>
      <w:szCs w:val="20"/>
    </w:rPr>
  </w:style>
  <w:style w:type="paragraph" w:customStyle="1" w:styleId="183">
    <w:name w:val="xl130"/>
    <w:basedOn w:val="1"/>
    <w:qFormat/>
    <w:uiPriority w:val="0"/>
    <w:pPr>
      <w:widowControl/>
      <w:pBdr>
        <w:left w:val="single" w:color="auto" w:sz="8" w:space="0"/>
        <w:bottom w:val="single" w:color="auto" w:sz="8"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184">
    <w:name w:val="xl106"/>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185">
    <w:name w:val="H2"/>
    <w:qFormat/>
    <w:uiPriority w:val="0"/>
    <w:pPr>
      <w:widowControl w:val="0"/>
      <w:adjustRightInd w:val="0"/>
      <w:spacing w:after="240" w:line="240" w:lineRule="atLeast"/>
      <w:textAlignment w:val="baseline"/>
    </w:pPr>
    <w:rPr>
      <w:rFonts w:ascii="Times New Roman" w:hAnsi="Times New Roman" w:eastAsia="全真中明體" w:cs="Calibri"/>
      <w:b/>
      <w:spacing w:val="20"/>
      <w:sz w:val="24"/>
      <w:lang w:val="en-GB" w:eastAsia="zh-TW" w:bidi="ar-SA"/>
    </w:rPr>
  </w:style>
  <w:style w:type="paragraph" w:customStyle="1" w:styleId="186">
    <w:name w:val="Body Text_5"/>
    <w:basedOn w:val="187"/>
    <w:qFormat/>
    <w:uiPriority w:val="0"/>
    <w:pPr>
      <w:spacing w:line="320" w:lineRule="exact"/>
    </w:pPr>
    <w:rPr>
      <w:rFonts w:ascii="Times New Roman" w:hAnsi="Times New Roman"/>
      <w:b/>
      <w:bCs/>
      <w:kern w:val="0"/>
      <w:sz w:val="20"/>
    </w:rPr>
  </w:style>
  <w:style w:type="paragraph" w:customStyle="1" w:styleId="187">
    <w:name w:val="Normal_7"/>
    <w:next w:val="186"/>
    <w:qFormat/>
    <w:uiPriority w:val="0"/>
    <w:pPr>
      <w:widowControl w:val="0"/>
      <w:jc w:val="both"/>
    </w:pPr>
    <w:rPr>
      <w:rFonts w:ascii="等线" w:hAnsi="等线" w:eastAsia="等线" w:cs="Times New Roman"/>
      <w:kern w:val="2"/>
      <w:sz w:val="21"/>
      <w:szCs w:val="24"/>
      <w:lang w:val="en-US" w:eastAsia="zh-CN" w:bidi="ar-SA"/>
    </w:rPr>
  </w:style>
  <w:style w:type="paragraph" w:customStyle="1" w:styleId="188">
    <w:name w:val="一级标题"/>
    <w:basedOn w:val="1"/>
    <w:link w:val="362"/>
    <w:qFormat/>
    <w:uiPriority w:val="0"/>
    <w:pPr>
      <w:spacing w:before="50" w:beforeLines="50" w:after="50" w:afterLines="50" w:line="360" w:lineRule="auto"/>
      <w:jc w:val="center"/>
    </w:pPr>
    <w:rPr>
      <w:rFonts w:ascii="黑体" w:hAnsi="黑体" w:eastAsia="黑体"/>
      <w:b/>
      <w:sz w:val="32"/>
      <w:szCs w:val="32"/>
    </w:rPr>
  </w:style>
  <w:style w:type="paragraph" w:customStyle="1" w:styleId="189">
    <w:name w:val="修订11"/>
    <w:semiHidden/>
    <w:qFormat/>
    <w:uiPriority w:val="99"/>
    <w:rPr>
      <w:rFonts w:ascii="等线" w:hAnsi="等线" w:eastAsia="等线" w:cs="Times New Roman"/>
      <w:kern w:val="2"/>
      <w:sz w:val="21"/>
      <w:szCs w:val="22"/>
      <w:lang w:val="en-US" w:eastAsia="zh-CN" w:bidi="ar-SA"/>
    </w:rPr>
  </w:style>
  <w:style w:type="paragraph" w:customStyle="1" w:styleId="190">
    <w:name w:val="reader-word-layer reader-word-s1-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1">
    <w:name w:val="xl24"/>
    <w:basedOn w:val="1"/>
    <w:qFormat/>
    <w:uiPriority w:val="0"/>
    <w:pPr>
      <w:widowControl/>
      <w:spacing w:before="100" w:beforeAutospacing="1" w:after="100" w:afterAutospacing="1"/>
      <w:jc w:val="left"/>
    </w:pPr>
    <w:rPr>
      <w:rFonts w:ascii="宋体" w:hAnsi="宋体" w:cs="Calibri"/>
      <w:kern w:val="0"/>
      <w:sz w:val="18"/>
      <w:szCs w:val="18"/>
    </w:rPr>
  </w:style>
  <w:style w:type="paragraph" w:customStyle="1" w:styleId="192">
    <w:name w:val="xl7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193">
    <w:name w:val="CM24"/>
    <w:basedOn w:val="79"/>
    <w:next w:val="79"/>
    <w:qFormat/>
    <w:uiPriority w:val="0"/>
    <w:pPr>
      <w:spacing w:line="400" w:lineRule="atLeast"/>
    </w:pPr>
    <w:rPr>
      <w:rFonts w:ascii="黑体" w:hAnsi="Calibri" w:eastAsia="黑体" w:cs="Times New Roman"/>
      <w:color w:val="auto"/>
    </w:rPr>
  </w:style>
  <w:style w:type="paragraph" w:customStyle="1" w:styleId="194">
    <w:name w:val="xl82"/>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195">
    <w:name w:val="Normal (Web)_0"/>
    <w:basedOn w:val="59"/>
    <w:unhideWhenUsed/>
    <w:qFormat/>
    <w:uiPriority w:val="0"/>
    <w:pPr>
      <w:spacing w:before="100" w:beforeAutospacing="1" w:after="100" w:afterAutospacing="1"/>
      <w:jc w:val="left"/>
    </w:pPr>
    <w:rPr>
      <w:kern w:val="0"/>
      <w:sz w:val="24"/>
    </w:rPr>
  </w:style>
  <w:style w:type="paragraph" w:customStyle="1" w:styleId="196">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4"/>
      <w:szCs w:val="24"/>
    </w:rPr>
  </w:style>
  <w:style w:type="paragraph" w:customStyle="1" w:styleId="197">
    <w:name w:val="xl67"/>
    <w:basedOn w:val="1"/>
    <w:qFormat/>
    <w:uiPriority w:val="0"/>
    <w:pPr>
      <w:widowControl/>
      <w:pBdr>
        <w:right w:val="single" w:color="auto" w:sz="4" w:space="0"/>
      </w:pBdr>
      <w:spacing w:before="100" w:beforeAutospacing="1" w:after="100" w:afterAutospacing="1"/>
      <w:jc w:val="right"/>
      <w:textAlignment w:val="center"/>
    </w:pPr>
    <w:rPr>
      <w:rFonts w:ascii="宋体" w:hAnsi="宋体" w:cs="Calibri"/>
      <w:kern w:val="0"/>
      <w:sz w:val="20"/>
      <w:szCs w:val="20"/>
    </w:rPr>
  </w:style>
  <w:style w:type="paragraph" w:customStyle="1" w:styleId="198">
    <w:name w:val="xl58"/>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Times New Roman" w:hAnsi="Times New Roman" w:cs="Calibri"/>
      <w:kern w:val="0"/>
      <w:sz w:val="20"/>
      <w:szCs w:val="20"/>
    </w:rPr>
  </w:style>
  <w:style w:type="paragraph" w:customStyle="1" w:styleId="199">
    <w:name w:val="font8"/>
    <w:basedOn w:val="1"/>
    <w:qFormat/>
    <w:uiPriority w:val="0"/>
    <w:pPr>
      <w:widowControl/>
      <w:spacing w:before="100" w:beforeAutospacing="1" w:after="100" w:afterAutospacing="1"/>
      <w:jc w:val="left"/>
    </w:pPr>
    <w:rPr>
      <w:rFonts w:ascii="Times New Roman" w:hAnsi="Times New Roman" w:cs="Calibri"/>
      <w:kern w:val="0"/>
      <w:sz w:val="20"/>
      <w:szCs w:val="20"/>
    </w:rPr>
  </w:style>
  <w:style w:type="paragraph" w:customStyle="1" w:styleId="200">
    <w:name w:val="p68"/>
    <w:basedOn w:val="1"/>
    <w:qFormat/>
    <w:uiPriority w:val="0"/>
    <w:pPr>
      <w:widowControl/>
      <w:spacing w:line="480" w:lineRule="auto"/>
      <w:ind w:firstLine="480"/>
      <w:jc w:val="left"/>
    </w:pPr>
    <w:rPr>
      <w:rFonts w:ascii="宋体" w:hAnsi="宋体" w:cs="宋体"/>
      <w:kern w:val="0"/>
      <w:sz w:val="24"/>
      <w:szCs w:val="24"/>
    </w:rPr>
  </w:style>
  <w:style w:type="paragraph" w:customStyle="1" w:styleId="201">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02">
    <w:name w:val="xl60"/>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ascii="宋体" w:hAnsi="宋体" w:cs="Calibri"/>
      <w:kern w:val="0"/>
      <w:sz w:val="20"/>
      <w:szCs w:val="20"/>
    </w:rPr>
  </w:style>
  <w:style w:type="paragraph" w:customStyle="1" w:styleId="203">
    <w:name w:val="图片字"/>
    <w:basedOn w:val="1"/>
    <w:qFormat/>
    <w:uiPriority w:val="0"/>
    <w:pPr>
      <w:jc w:val="center"/>
    </w:pPr>
    <w:rPr>
      <w:rFonts w:ascii="Times New Roman" w:hAnsi="Times New Roman"/>
      <w:b/>
      <w:szCs w:val="21"/>
    </w:rPr>
  </w:style>
  <w:style w:type="paragraph" w:customStyle="1" w:styleId="204">
    <w:name w:val="p9"/>
    <w:basedOn w:val="1"/>
    <w:qFormat/>
    <w:uiPriority w:val="0"/>
    <w:pPr>
      <w:widowControl/>
      <w:spacing w:line="480" w:lineRule="auto"/>
      <w:jc w:val="center"/>
    </w:pPr>
    <w:rPr>
      <w:rFonts w:ascii="宋体" w:hAnsi="宋体" w:cs="宋体"/>
      <w:kern w:val="0"/>
      <w:sz w:val="52"/>
      <w:szCs w:val="52"/>
    </w:rPr>
  </w:style>
  <w:style w:type="paragraph" w:customStyle="1" w:styleId="205">
    <w:name w:val="[Basic Paragraph]"/>
    <w:basedOn w:val="1"/>
    <w:qFormat/>
    <w:uiPriority w:val="0"/>
    <w:pPr>
      <w:widowControl/>
      <w:autoSpaceDE w:val="0"/>
      <w:autoSpaceDN w:val="0"/>
      <w:adjustRightInd w:val="0"/>
      <w:spacing w:line="288" w:lineRule="auto"/>
      <w:jc w:val="left"/>
    </w:pPr>
    <w:rPr>
      <w:rFonts w:ascii="Times New Roman" w:hAnsi="Times New Roman" w:eastAsia="黑体"/>
      <w:color w:val="000000"/>
      <w:kern w:val="0"/>
      <w:sz w:val="24"/>
      <w:szCs w:val="24"/>
    </w:rPr>
  </w:style>
  <w:style w:type="paragraph" w:customStyle="1" w:styleId="206">
    <w:name w:val="xl104"/>
    <w:basedOn w:val="1"/>
    <w:qFormat/>
    <w:uiPriority w:val="0"/>
    <w:pPr>
      <w:widowControl/>
      <w:pBdr>
        <w:left w:val="single" w:color="auto" w:sz="8" w:space="0"/>
        <w:right w:val="single" w:color="auto" w:sz="8" w:space="0"/>
      </w:pBdr>
      <w:spacing w:before="100" w:beforeAutospacing="1" w:after="100" w:afterAutospacing="1"/>
      <w:jc w:val="left"/>
    </w:pPr>
    <w:rPr>
      <w:rFonts w:ascii="宋体" w:hAnsi="宋体" w:cs="宋体"/>
      <w:kern w:val="0"/>
      <w:sz w:val="24"/>
      <w:szCs w:val="24"/>
    </w:rPr>
  </w:style>
  <w:style w:type="paragraph" w:customStyle="1" w:styleId="207">
    <w:name w:val="项_地面工程"/>
    <w:basedOn w:val="1"/>
    <w:link w:val="427"/>
    <w:qFormat/>
    <w:uiPriority w:val="0"/>
    <w:pPr>
      <w:spacing w:line="360" w:lineRule="auto"/>
      <w:ind w:left="630" w:leftChars="300"/>
    </w:pPr>
    <w:rPr>
      <w:kern w:val="0"/>
      <w:sz w:val="24"/>
      <w:szCs w:val="20"/>
    </w:rPr>
  </w:style>
  <w:style w:type="paragraph" w:customStyle="1" w:styleId="208">
    <w:name w:val="xl122"/>
    <w:basedOn w:val="1"/>
    <w:qFormat/>
    <w:uiPriority w:val="0"/>
    <w:pPr>
      <w:widowControl/>
      <w:pBdr>
        <w:top w:val="single" w:color="auto" w:sz="8" w:space="0"/>
        <w:left w:val="single" w:color="auto" w:sz="8"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09">
    <w:name w:val="xl84"/>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210">
    <w:name w:val="P2"/>
    <w:qFormat/>
    <w:uiPriority w:val="0"/>
    <w:pPr>
      <w:widowControl w:val="0"/>
      <w:adjustRightInd w:val="0"/>
      <w:spacing w:after="240" w:line="240" w:lineRule="atLeast"/>
      <w:ind w:left="1728"/>
      <w:jc w:val="both"/>
      <w:textAlignment w:val="baseline"/>
    </w:pPr>
    <w:rPr>
      <w:rFonts w:ascii="Times New Roman" w:hAnsi="Times New Roman" w:eastAsia="全真中明體" w:cs="Calibri"/>
      <w:spacing w:val="20"/>
      <w:sz w:val="24"/>
      <w:lang w:val="en-GB" w:eastAsia="zh-TW" w:bidi="ar-SA"/>
    </w:rPr>
  </w:style>
  <w:style w:type="paragraph" w:customStyle="1" w:styleId="211">
    <w:name w:val="xl118"/>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4"/>
      <w:szCs w:val="24"/>
    </w:rPr>
  </w:style>
  <w:style w:type="paragraph" w:customStyle="1" w:styleId="212">
    <w:name w:val="ggbody"/>
    <w:basedOn w:val="1"/>
    <w:qFormat/>
    <w:uiPriority w:val="0"/>
    <w:pPr>
      <w:widowControl/>
      <w:spacing w:before="100" w:beforeAutospacing="1" w:after="100" w:afterAutospacing="1" w:line="330" w:lineRule="atLeast"/>
      <w:jc w:val="left"/>
    </w:pPr>
    <w:rPr>
      <w:rFonts w:ascii="宋体" w:hAnsi="宋体" w:cs="Calibri"/>
      <w:kern w:val="0"/>
      <w:sz w:val="23"/>
      <w:szCs w:val="23"/>
    </w:rPr>
  </w:style>
  <w:style w:type="paragraph" w:customStyle="1" w:styleId="213">
    <w:name w:val="_Style 14"/>
    <w:basedOn w:val="1"/>
    <w:qFormat/>
    <w:uiPriority w:val="0"/>
    <w:pPr>
      <w:ind w:firstLine="420" w:firstLineChars="200"/>
    </w:pPr>
    <w:rPr>
      <w:rFonts w:ascii="Times New Roman" w:hAnsi="Times New Roman"/>
    </w:rPr>
  </w:style>
  <w:style w:type="paragraph" w:customStyle="1" w:styleId="214">
    <w:name w:val="xl134"/>
    <w:basedOn w:val="1"/>
    <w:qFormat/>
    <w:uiPriority w:val="0"/>
    <w:pPr>
      <w:widowControl/>
      <w:pBdr>
        <w:lef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215">
    <w:name w:val="无间隔1"/>
    <w:qFormat/>
    <w:uiPriority w:val="1"/>
    <w:rPr>
      <w:rFonts w:ascii="等线" w:hAnsi="等线" w:eastAsia="等线" w:cs="Times New Roman"/>
      <w:sz w:val="22"/>
      <w:szCs w:val="22"/>
      <w:lang w:val="en-US" w:eastAsia="zh-CN" w:bidi="ar-SA"/>
    </w:rPr>
  </w:style>
  <w:style w:type="paragraph" w:customStyle="1" w:styleId="216">
    <w:name w:val="p75"/>
    <w:basedOn w:val="1"/>
    <w:qFormat/>
    <w:uiPriority w:val="0"/>
    <w:pPr>
      <w:widowControl/>
      <w:spacing w:line="480" w:lineRule="auto"/>
      <w:ind w:firstLine="720"/>
      <w:jc w:val="left"/>
    </w:pPr>
    <w:rPr>
      <w:rFonts w:ascii="宋体" w:hAnsi="宋体" w:cs="宋体"/>
      <w:kern w:val="0"/>
      <w:sz w:val="24"/>
      <w:szCs w:val="24"/>
    </w:rPr>
  </w:style>
  <w:style w:type="paragraph" w:customStyle="1" w:styleId="217">
    <w:name w:val="正文格式"/>
    <w:basedOn w:val="1"/>
    <w:link w:val="417"/>
    <w:qFormat/>
    <w:uiPriority w:val="0"/>
    <w:pPr>
      <w:spacing w:line="360" w:lineRule="auto"/>
      <w:ind w:firstLine="480" w:firstLineChars="200"/>
    </w:pPr>
    <w:rPr>
      <w:rFonts w:ascii="宋体" w:hAnsi="宋体"/>
      <w:sz w:val="24"/>
      <w:szCs w:val="24"/>
    </w:rPr>
  </w:style>
  <w:style w:type="paragraph" w:customStyle="1" w:styleId="218">
    <w:name w:val="xl72"/>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宋体" w:hAnsi="宋体" w:cs="宋体"/>
      <w:kern w:val="0"/>
      <w:sz w:val="20"/>
      <w:szCs w:val="20"/>
    </w:rPr>
  </w:style>
  <w:style w:type="paragraph" w:customStyle="1" w:styleId="219">
    <w:name w:val="正文 A"/>
    <w:qFormat/>
    <w:uiPriority w:val="0"/>
    <w:pPr>
      <w:widowControl w:val="0"/>
      <w:jc w:val="both"/>
    </w:pPr>
    <w:rPr>
      <w:rFonts w:hint="eastAsia" w:ascii="Arial Unicode MS" w:hAnsi="Arial Unicode MS" w:eastAsia="Arial Unicode MS" w:cs="Arial Unicode MS"/>
      <w:color w:val="000000"/>
      <w:kern w:val="2"/>
      <w:sz w:val="21"/>
      <w:szCs w:val="21"/>
      <w:u w:val="none" w:color="000000"/>
      <w:lang w:val="en-US" w:eastAsia="zh-CN" w:bidi="ar-SA"/>
    </w:rPr>
  </w:style>
  <w:style w:type="paragraph" w:customStyle="1" w:styleId="220">
    <w:name w:val="CM15"/>
    <w:basedOn w:val="79"/>
    <w:next w:val="79"/>
    <w:qFormat/>
    <w:uiPriority w:val="0"/>
    <w:pPr>
      <w:spacing w:line="400" w:lineRule="atLeast"/>
    </w:pPr>
    <w:rPr>
      <w:rFonts w:ascii="黑体" w:hAnsi="Calibri" w:eastAsia="黑体" w:cs="Times New Roman"/>
      <w:color w:val="auto"/>
    </w:rPr>
  </w:style>
  <w:style w:type="paragraph" w:customStyle="1" w:styleId="221">
    <w:name w:val="Char"/>
    <w:basedOn w:val="1"/>
    <w:qFormat/>
    <w:uiPriority w:val="0"/>
    <w:pPr>
      <w:widowControl/>
      <w:spacing w:after="160" w:line="240" w:lineRule="exact"/>
      <w:jc w:val="left"/>
    </w:pPr>
    <w:rPr>
      <w:rFonts w:ascii="Verdana" w:hAnsi="Verdana" w:eastAsia="仿宋_GB2312"/>
      <w:spacing w:val="-4"/>
      <w:kern w:val="0"/>
      <w:sz w:val="24"/>
      <w:szCs w:val="20"/>
      <w:lang w:eastAsia="en-US"/>
    </w:rPr>
  </w:style>
  <w:style w:type="paragraph" w:customStyle="1" w:styleId="222">
    <w:name w:val="p15"/>
    <w:basedOn w:val="1"/>
    <w:qFormat/>
    <w:uiPriority w:val="0"/>
    <w:pPr>
      <w:widowControl/>
      <w:spacing w:line="480" w:lineRule="auto"/>
      <w:jc w:val="left"/>
    </w:pPr>
    <w:rPr>
      <w:rFonts w:ascii="宋体" w:hAnsi="宋体" w:cs="宋体"/>
      <w:kern w:val="0"/>
      <w:sz w:val="28"/>
      <w:szCs w:val="28"/>
    </w:rPr>
  </w:style>
  <w:style w:type="paragraph" w:customStyle="1" w:styleId="22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224">
    <w:name w:val="xl53"/>
    <w:basedOn w:val="1"/>
    <w:qFormat/>
    <w:uiPriority w:val="0"/>
    <w:pPr>
      <w:widowControl/>
      <w:pBdr>
        <w:right w:val="single" w:color="auto" w:sz="4" w:space="0"/>
      </w:pBdr>
      <w:spacing w:before="100" w:beforeAutospacing="1" w:after="100" w:afterAutospacing="1"/>
      <w:jc w:val="left"/>
      <w:textAlignment w:val="center"/>
    </w:pPr>
    <w:rPr>
      <w:rFonts w:ascii="宋体" w:hAnsi="宋体" w:cs="Calibri"/>
      <w:kern w:val="0"/>
      <w:sz w:val="18"/>
      <w:szCs w:val="18"/>
    </w:rPr>
  </w:style>
  <w:style w:type="paragraph" w:customStyle="1" w:styleId="225">
    <w:name w:val="xl62"/>
    <w:basedOn w:val="1"/>
    <w:qFormat/>
    <w:uiPriority w:val="0"/>
    <w:pPr>
      <w:widowControl/>
      <w:pBdr>
        <w:top w:val="single" w:color="auto" w:sz="4" w:space="0"/>
        <w:left w:val="single" w:color="auto" w:sz="4" w:space="0"/>
      </w:pBdr>
      <w:spacing w:before="100" w:beforeAutospacing="1" w:after="100" w:afterAutospacing="1"/>
      <w:jc w:val="left"/>
      <w:textAlignment w:val="center"/>
    </w:pPr>
    <w:rPr>
      <w:rFonts w:ascii="宋体" w:hAnsi="宋体" w:cs="Calibri"/>
      <w:kern w:val="0"/>
      <w:sz w:val="24"/>
      <w:szCs w:val="24"/>
    </w:rPr>
  </w:style>
  <w:style w:type="paragraph" w:customStyle="1" w:styleId="226">
    <w:name w:val="修订1"/>
    <w:qFormat/>
    <w:uiPriority w:val="99"/>
    <w:rPr>
      <w:rFonts w:ascii="等线" w:hAnsi="等线" w:eastAsia="等线" w:cs="Times New Roman"/>
      <w:kern w:val="2"/>
      <w:sz w:val="21"/>
      <w:szCs w:val="22"/>
      <w:lang w:val="en-US" w:eastAsia="zh-CN" w:bidi="ar-SA"/>
    </w:rPr>
  </w:style>
  <w:style w:type="paragraph" w:customStyle="1" w:styleId="227">
    <w:name w:val="Body Text_2"/>
    <w:basedOn w:val="100"/>
    <w:qFormat/>
    <w:uiPriority w:val="0"/>
    <w:pPr>
      <w:spacing w:line="320" w:lineRule="exact"/>
    </w:pPr>
    <w:rPr>
      <w:b/>
      <w:bCs/>
      <w:kern w:val="0"/>
      <w:sz w:val="20"/>
    </w:rPr>
  </w:style>
  <w:style w:type="paragraph" w:customStyle="1" w:styleId="228">
    <w:name w:val="xl10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229">
    <w:name w:val="无间隔2"/>
    <w:qFormat/>
    <w:uiPriority w:val="1"/>
    <w:rPr>
      <w:rFonts w:ascii="等线" w:hAnsi="等线" w:eastAsia="等线" w:cs="Times New Roman"/>
      <w:sz w:val="22"/>
      <w:szCs w:val="22"/>
      <w:lang w:val="en-US" w:eastAsia="zh-CN" w:bidi="ar-SA"/>
    </w:rPr>
  </w:style>
  <w:style w:type="paragraph" w:customStyle="1" w:styleId="230">
    <w:name w:val="Char11"/>
    <w:basedOn w:val="1"/>
    <w:qFormat/>
    <w:uiPriority w:val="0"/>
    <w:rPr>
      <w:rFonts w:ascii="仿宋_GB2312" w:hAnsi="Times New Roman" w:eastAsia="仿宋_GB2312"/>
      <w:b/>
      <w:sz w:val="32"/>
      <w:szCs w:val="32"/>
    </w:rPr>
  </w:style>
  <w:style w:type="paragraph" w:customStyle="1" w:styleId="231">
    <w:name w:val="xl124"/>
    <w:basedOn w:val="1"/>
    <w:qFormat/>
    <w:uiPriority w:val="0"/>
    <w:pPr>
      <w:widowControl/>
      <w:pBdr>
        <w:left w:val="single" w:color="auto" w:sz="8" w:space="0"/>
        <w:bottom w:val="single" w:color="auto" w:sz="8"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32">
    <w:name w:val="列出段落3"/>
    <w:basedOn w:val="1"/>
    <w:qFormat/>
    <w:uiPriority w:val="34"/>
    <w:pPr>
      <w:ind w:firstLine="420" w:firstLineChars="200"/>
    </w:pPr>
  </w:style>
  <w:style w:type="paragraph" w:customStyle="1" w:styleId="233">
    <w:name w:val="xl112"/>
    <w:basedOn w:val="1"/>
    <w:qFormat/>
    <w:uiPriority w:val="0"/>
    <w:pPr>
      <w:widowControl/>
      <w:pBdr>
        <w:left w:val="single" w:color="auto" w:sz="8" w:space="0"/>
        <w:bottom w:val="single" w:color="auto" w:sz="8"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234">
    <w:name w:val="Normal_2"/>
    <w:qFormat/>
    <w:uiPriority w:val="0"/>
    <w:pPr>
      <w:widowControl w:val="0"/>
      <w:jc w:val="both"/>
    </w:pPr>
    <w:rPr>
      <w:rFonts w:ascii="等线" w:hAnsi="等线" w:eastAsia="等线" w:cs="Times New Roman"/>
      <w:kern w:val="2"/>
      <w:sz w:val="21"/>
      <w:szCs w:val="24"/>
      <w:lang w:val="en-US" w:eastAsia="zh-CN" w:bidi="ar-SA"/>
    </w:rPr>
  </w:style>
  <w:style w:type="paragraph" w:customStyle="1" w:styleId="235">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Calibri"/>
      <w:kern w:val="0"/>
      <w:sz w:val="18"/>
      <w:szCs w:val="18"/>
    </w:rPr>
  </w:style>
  <w:style w:type="paragraph" w:customStyle="1" w:styleId="236">
    <w:name w:val="xl49"/>
    <w:basedOn w:val="1"/>
    <w:qFormat/>
    <w:uiPriority w:val="0"/>
    <w:pPr>
      <w:widowControl/>
      <w:pBdr>
        <w:left w:val="single" w:color="auto" w:sz="4" w:space="0"/>
        <w:bottom w:val="single" w:color="auto" w:sz="4" w:space="0"/>
      </w:pBdr>
      <w:spacing w:before="100" w:beforeAutospacing="1" w:after="100" w:afterAutospacing="1"/>
      <w:jc w:val="left"/>
      <w:textAlignment w:val="center"/>
    </w:pPr>
    <w:rPr>
      <w:rFonts w:ascii="宋体" w:hAnsi="宋体" w:cs="Calibri"/>
      <w:kern w:val="0"/>
      <w:sz w:val="18"/>
      <w:szCs w:val="18"/>
    </w:rPr>
  </w:style>
  <w:style w:type="paragraph" w:customStyle="1" w:styleId="237">
    <w:name w:val="Normal_0_0_0"/>
    <w:qFormat/>
    <w:uiPriority w:val="0"/>
    <w:pPr>
      <w:widowControl w:val="0"/>
      <w:jc w:val="both"/>
    </w:pPr>
    <w:rPr>
      <w:rFonts w:ascii="Times New Roman" w:hAnsi="Times New Roman" w:eastAsia="等线" w:cs="Times New Roman"/>
      <w:kern w:val="2"/>
      <w:sz w:val="21"/>
      <w:szCs w:val="24"/>
      <w:lang w:val="en-US" w:eastAsia="zh-CN" w:bidi="ar-SA"/>
    </w:rPr>
  </w:style>
  <w:style w:type="paragraph" w:customStyle="1" w:styleId="238">
    <w:name w:val="彩色列表 - 强调文字颜色 11"/>
    <w:basedOn w:val="1"/>
    <w:qFormat/>
    <w:uiPriority w:val="0"/>
    <w:pPr>
      <w:widowControl/>
      <w:ind w:firstLine="420" w:firstLineChars="200"/>
      <w:jc w:val="left"/>
    </w:pPr>
    <w:rPr>
      <w:rFonts w:cs="宋体"/>
      <w:kern w:val="0"/>
      <w:sz w:val="24"/>
    </w:rPr>
  </w:style>
  <w:style w:type="paragraph" w:customStyle="1" w:styleId="239">
    <w:name w:val="_Style 238"/>
    <w:semiHidden/>
    <w:qFormat/>
    <w:uiPriority w:val="99"/>
    <w:rPr>
      <w:rFonts w:ascii="等线" w:hAnsi="等线" w:eastAsia="等线" w:cs="Times New Roman"/>
      <w:kern w:val="2"/>
      <w:sz w:val="21"/>
      <w:szCs w:val="22"/>
      <w:lang w:val="en-US" w:eastAsia="zh-CN" w:bidi="ar-SA"/>
    </w:rPr>
  </w:style>
  <w:style w:type="paragraph" w:customStyle="1" w:styleId="240">
    <w:name w:val="xl105"/>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241">
    <w:name w:val="P4"/>
    <w:qFormat/>
    <w:uiPriority w:val="0"/>
    <w:pPr>
      <w:widowControl w:val="0"/>
      <w:adjustRightInd w:val="0"/>
      <w:spacing w:after="240" w:line="240" w:lineRule="atLeast"/>
      <w:ind w:left="2880"/>
      <w:jc w:val="both"/>
      <w:textAlignment w:val="baseline"/>
    </w:pPr>
    <w:rPr>
      <w:rFonts w:ascii="Times New Roman" w:hAnsi="Times New Roman" w:eastAsia="全真中明體" w:cs="Calibri"/>
      <w:spacing w:val="20"/>
      <w:sz w:val="24"/>
      <w:lang w:val="en-GB" w:eastAsia="zh-TW" w:bidi="ar-SA"/>
    </w:rPr>
  </w:style>
  <w:style w:type="paragraph" w:customStyle="1" w:styleId="242">
    <w:name w:val="xl123"/>
    <w:basedOn w:val="1"/>
    <w:qFormat/>
    <w:uiPriority w:val="0"/>
    <w:pPr>
      <w:widowControl/>
      <w:pBdr>
        <w:left w:val="single" w:color="auto" w:sz="8"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43">
    <w:name w:val="xl34"/>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Calibri"/>
      <w:kern w:val="0"/>
      <w:sz w:val="18"/>
      <w:szCs w:val="18"/>
    </w:rPr>
  </w:style>
  <w:style w:type="paragraph" w:customStyle="1" w:styleId="244">
    <w:name w:val="xl6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Calibri"/>
      <w:kern w:val="0"/>
      <w:sz w:val="20"/>
      <w:szCs w:val="20"/>
    </w:rPr>
  </w:style>
  <w:style w:type="paragraph" w:customStyle="1" w:styleId="245">
    <w:name w:val="xl128"/>
    <w:basedOn w:val="1"/>
    <w:qFormat/>
    <w:uiPriority w:val="0"/>
    <w:pPr>
      <w:widowControl/>
      <w:pBdr>
        <w:top w:val="single" w:color="auto" w:sz="8" w:space="0"/>
        <w:left w:val="single" w:color="auto" w:sz="8"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246">
    <w:name w:val="xl47"/>
    <w:basedOn w:val="1"/>
    <w:qFormat/>
    <w:uiPriority w:val="0"/>
    <w:pPr>
      <w:widowControl/>
      <w:pBdr>
        <w:top w:val="single" w:color="auto" w:sz="4" w:space="0"/>
        <w:left w:val="single" w:color="auto" w:sz="4" w:space="0"/>
      </w:pBdr>
      <w:spacing w:before="100" w:beforeAutospacing="1" w:after="100" w:afterAutospacing="1"/>
      <w:jc w:val="left"/>
      <w:textAlignment w:val="center"/>
    </w:pPr>
    <w:rPr>
      <w:rFonts w:ascii="宋体" w:hAnsi="宋体" w:cs="Calibri"/>
      <w:kern w:val="0"/>
      <w:sz w:val="18"/>
      <w:szCs w:val="18"/>
    </w:rPr>
  </w:style>
  <w:style w:type="paragraph" w:customStyle="1" w:styleId="247">
    <w:name w:val="reader-word-layer reader-word-s1-4"/>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48">
    <w:name w:val="Char12"/>
    <w:basedOn w:val="1"/>
    <w:qFormat/>
    <w:uiPriority w:val="0"/>
    <w:rPr>
      <w:rFonts w:ascii="仿宋_GB2312" w:hAnsi="Times New Roman" w:eastAsia="仿宋_GB2312"/>
      <w:b/>
      <w:sz w:val="32"/>
      <w:szCs w:val="32"/>
    </w:rPr>
  </w:style>
  <w:style w:type="paragraph" w:customStyle="1" w:styleId="249">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Calibri"/>
      <w:kern w:val="0"/>
      <w:sz w:val="18"/>
      <w:szCs w:val="18"/>
    </w:rPr>
  </w:style>
  <w:style w:type="paragraph" w:customStyle="1" w:styleId="250">
    <w:name w:val="CM30"/>
    <w:basedOn w:val="79"/>
    <w:next w:val="79"/>
    <w:qFormat/>
    <w:uiPriority w:val="0"/>
    <w:rPr>
      <w:rFonts w:ascii="黑体" w:hAnsi="Calibri" w:eastAsia="黑体" w:cs="Times New Roman"/>
      <w:color w:val="auto"/>
    </w:rPr>
  </w:style>
  <w:style w:type="paragraph" w:customStyle="1" w:styleId="251">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252">
    <w:name w:val="样式 标题 2 + 宋体"/>
    <w:basedOn w:val="3"/>
    <w:qFormat/>
    <w:uiPriority w:val="0"/>
    <w:pPr>
      <w:spacing w:line="360" w:lineRule="auto"/>
    </w:pPr>
    <w:rPr>
      <w:rFonts w:ascii="宋体" w:hAnsi="宋体"/>
    </w:rPr>
  </w:style>
  <w:style w:type="paragraph" w:customStyle="1" w:styleId="253">
    <w:name w:val="xl132"/>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Cs w:val="21"/>
    </w:rPr>
  </w:style>
  <w:style w:type="paragraph" w:customStyle="1" w:styleId="254">
    <w:name w:val="xl44"/>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Calibri"/>
      <w:kern w:val="0"/>
      <w:sz w:val="18"/>
      <w:szCs w:val="18"/>
    </w:rPr>
  </w:style>
  <w:style w:type="paragraph" w:customStyle="1" w:styleId="255">
    <w:name w:val="xl11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256">
    <w:name w:val="2"/>
    <w:basedOn w:val="1"/>
    <w:next w:val="12"/>
    <w:qFormat/>
    <w:uiPriority w:val="0"/>
    <w:pPr>
      <w:tabs>
        <w:tab w:val="left" w:pos="425"/>
        <w:tab w:val="left" w:pos="567"/>
      </w:tabs>
      <w:ind w:left="567" w:hanging="425"/>
    </w:pPr>
    <w:rPr>
      <w:rFonts w:ascii="Times New Roman" w:hAnsi="Times New Roman" w:cs="Calibri"/>
      <w:szCs w:val="20"/>
    </w:rPr>
  </w:style>
  <w:style w:type="paragraph" w:customStyle="1" w:styleId="257">
    <w:name w:val="xl5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Calibri"/>
      <w:kern w:val="0"/>
      <w:sz w:val="20"/>
      <w:szCs w:val="20"/>
    </w:rPr>
  </w:style>
  <w:style w:type="paragraph" w:customStyle="1" w:styleId="258">
    <w:name w:val="xl2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Calibri"/>
      <w:kern w:val="0"/>
      <w:sz w:val="18"/>
      <w:szCs w:val="18"/>
    </w:rPr>
  </w:style>
  <w:style w:type="paragraph" w:customStyle="1" w:styleId="259">
    <w:name w:val="xl87"/>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textAlignment w:val="center"/>
    </w:pPr>
    <w:rPr>
      <w:rFonts w:ascii="宋体" w:hAnsi="宋体" w:cs="宋体"/>
      <w:kern w:val="0"/>
      <w:szCs w:val="21"/>
    </w:rPr>
  </w:style>
  <w:style w:type="paragraph" w:customStyle="1" w:styleId="260">
    <w:name w:val="TOC 标题1"/>
    <w:basedOn w:val="2"/>
    <w:next w:val="1"/>
    <w:unhideWhenUsed/>
    <w:qFormat/>
    <w:uiPriority w:val="39"/>
    <w:pPr>
      <w:keepLines/>
      <w:widowControl/>
      <w:numPr>
        <w:ilvl w:val="0"/>
        <w:numId w:val="0"/>
      </w:numPr>
      <w:spacing w:before="480" w:line="276" w:lineRule="auto"/>
      <w:jc w:val="left"/>
      <w:outlineLvl w:val="9"/>
    </w:pPr>
    <w:rPr>
      <w:rFonts w:ascii="Cambria" w:hAnsi="Cambria" w:eastAsia="宋体"/>
      <w:bCs/>
      <w:color w:val="365F91"/>
      <w:kern w:val="0"/>
      <w:sz w:val="28"/>
      <w:szCs w:val="28"/>
    </w:rPr>
  </w:style>
  <w:style w:type="paragraph" w:customStyle="1" w:styleId="261">
    <w:name w:val="xl68"/>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Times New Roman" w:hAnsi="Times New Roman" w:cs="Calibri"/>
      <w:kern w:val="0"/>
      <w:sz w:val="20"/>
      <w:szCs w:val="20"/>
    </w:rPr>
  </w:style>
  <w:style w:type="paragraph" w:customStyle="1" w:styleId="262">
    <w:name w:val="xl4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Calibri"/>
      <w:kern w:val="0"/>
      <w:sz w:val="18"/>
      <w:szCs w:val="18"/>
    </w:rPr>
  </w:style>
  <w:style w:type="paragraph" w:customStyle="1" w:styleId="263">
    <w:name w:val="xl94"/>
    <w:basedOn w:val="1"/>
    <w:qFormat/>
    <w:uiPriority w:val="0"/>
    <w:pPr>
      <w:widowControl/>
      <w:pBdr>
        <w:left w:val="single" w:color="auto" w:sz="8" w:space="0"/>
        <w:bottom w:val="single" w:color="auto" w:sz="8" w:space="0"/>
        <w:right w:val="single" w:color="auto" w:sz="8" w:space="0"/>
      </w:pBdr>
      <w:spacing w:before="100" w:beforeAutospacing="1" w:after="100" w:afterAutospacing="1"/>
      <w:jc w:val="left"/>
      <w:textAlignment w:val="center"/>
    </w:pPr>
    <w:rPr>
      <w:rFonts w:ascii="宋体" w:hAnsi="宋体" w:cs="宋体"/>
      <w:color w:val="000000"/>
      <w:kern w:val="0"/>
      <w:sz w:val="24"/>
      <w:szCs w:val="24"/>
    </w:rPr>
  </w:style>
  <w:style w:type="paragraph" w:customStyle="1" w:styleId="264">
    <w:name w:val="xl120"/>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textAlignment w:val="center"/>
    </w:pPr>
    <w:rPr>
      <w:rFonts w:ascii="宋体" w:hAnsi="宋体" w:cs="宋体"/>
      <w:color w:val="000000"/>
      <w:kern w:val="0"/>
      <w:sz w:val="24"/>
      <w:szCs w:val="24"/>
    </w:rPr>
  </w:style>
  <w:style w:type="paragraph" w:customStyle="1" w:styleId="265">
    <w:name w:val="xl88"/>
    <w:basedOn w:val="1"/>
    <w:qFormat/>
    <w:uiPriority w:val="0"/>
    <w:pPr>
      <w:widowControl/>
      <w:pBdr>
        <w:bottom w:val="single" w:color="auto" w:sz="8" w:space="0"/>
      </w:pBdr>
      <w:spacing w:before="100" w:beforeAutospacing="1" w:after="100" w:afterAutospacing="1"/>
      <w:jc w:val="left"/>
      <w:textAlignment w:val="center"/>
    </w:pPr>
    <w:rPr>
      <w:rFonts w:ascii="宋体" w:hAnsi="宋体" w:cs="宋体"/>
      <w:color w:val="000000"/>
      <w:kern w:val="0"/>
      <w:sz w:val="24"/>
      <w:szCs w:val="24"/>
    </w:rPr>
  </w:style>
  <w:style w:type="paragraph" w:customStyle="1" w:styleId="266">
    <w:name w:val="【正文】"/>
    <w:basedOn w:val="1"/>
    <w:link w:val="357"/>
    <w:qFormat/>
    <w:uiPriority w:val="0"/>
    <w:pPr>
      <w:spacing w:line="360" w:lineRule="auto"/>
      <w:ind w:firstLine="420"/>
    </w:pPr>
    <w:rPr>
      <w:rFonts w:ascii="宋体" w:hAnsi="宋体"/>
      <w:szCs w:val="21"/>
      <w:lang w:val="zh-CN"/>
    </w:rPr>
  </w:style>
  <w:style w:type="paragraph" w:customStyle="1" w:styleId="267">
    <w:name w:val="xl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Calibri"/>
      <w:kern w:val="0"/>
      <w:sz w:val="18"/>
      <w:szCs w:val="18"/>
    </w:rPr>
  </w:style>
  <w:style w:type="paragraph" w:customStyle="1" w:styleId="268">
    <w:name w:val="xl77"/>
    <w:basedOn w:val="1"/>
    <w:qFormat/>
    <w:uiPriority w:val="0"/>
    <w:pPr>
      <w:widowControl/>
      <w:pBdr>
        <w:top w:val="single" w:color="auto" w:sz="4" w:space="0"/>
        <w:left w:val="single" w:color="auto" w:sz="4" w:space="0"/>
        <w:right w:val="single" w:color="auto" w:sz="8"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269">
    <w:name w:val="xl103"/>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270">
    <w:name w:val="xl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s="Calibri"/>
      <w:kern w:val="0"/>
      <w:sz w:val="18"/>
      <w:szCs w:val="18"/>
    </w:rPr>
  </w:style>
  <w:style w:type="paragraph" w:customStyle="1" w:styleId="271">
    <w:name w:val="xl54"/>
    <w:basedOn w:val="1"/>
    <w:qFormat/>
    <w:uiPriority w:val="0"/>
    <w:pPr>
      <w:widowControl/>
      <w:spacing w:before="100" w:beforeAutospacing="1" w:after="100" w:afterAutospacing="1"/>
      <w:jc w:val="center"/>
    </w:pPr>
    <w:rPr>
      <w:rFonts w:ascii="宋体" w:hAnsi="宋体" w:cs="Calibri"/>
      <w:b/>
      <w:bCs/>
      <w:kern w:val="0"/>
      <w:sz w:val="28"/>
      <w:szCs w:val="28"/>
    </w:rPr>
  </w:style>
  <w:style w:type="paragraph" w:customStyle="1" w:styleId="272">
    <w:name w:val="xl101"/>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Cs w:val="21"/>
    </w:rPr>
  </w:style>
  <w:style w:type="paragraph" w:customStyle="1" w:styleId="273">
    <w:name w:val="z-窗体顶端1"/>
    <w:basedOn w:val="1"/>
    <w:link w:val="355"/>
    <w:semiHidden/>
    <w:qFormat/>
    <w:uiPriority w:val="99"/>
    <w:rPr>
      <w:kern w:val="0"/>
      <w:sz w:val="20"/>
      <w:szCs w:val="20"/>
    </w:rPr>
  </w:style>
  <w:style w:type="paragraph" w:customStyle="1" w:styleId="274">
    <w:name w:val="P1"/>
    <w:qFormat/>
    <w:uiPriority w:val="0"/>
    <w:pPr>
      <w:widowControl w:val="0"/>
      <w:adjustRightInd w:val="0"/>
      <w:spacing w:after="240" w:line="240" w:lineRule="atLeast"/>
      <w:ind w:left="2304" w:hanging="576"/>
      <w:jc w:val="both"/>
      <w:textAlignment w:val="baseline"/>
    </w:pPr>
    <w:rPr>
      <w:rFonts w:ascii="Times New Roman" w:hAnsi="Times New Roman" w:eastAsia="全真中明體" w:cs="Calibri"/>
      <w:spacing w:val="20"/>
      <w:sz w:val="24"/>
      <w:lang w:val="en-GB" w:eastAsia="zh-TW" w:bidi="ar-SA"/>
    </w:rPr>
  </w:style>
  <w:style w:type="paragraph" w:customStyle="1" w:styleId="275">
    <w:name w:val="font5"/>
    <w:basedOn w:val="1"/>
    <w:qFormat/>
    <w:uiPriority w:val="0"/>
    <w:pPr>
      <w:widowControl/>
      <w:spacing w:before="100" w:beforeAutospacing="1" w:after="100" w:afterAutospacing="1"/>
      <w:jc w:val="left"/>
    </w:pPr>
    <w:rPr>
      <w:rFonts w:ascii="宋体" w:hAnsi="宋体" w:cs="Calibri"/>
      <w:kern w:val="0"/>
      <w:sz w:val="18"/>
      <w:szCs w:val="18"/>
    </w:rPr>
  </w:style>
  <w:style w:type="paragraph" w:customStyle="1" w:styleId="276">
    <w:name w:val="xl35"/>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Calibri"/>
      <w:kern w:val="0"/>
      <w:sz w:val="18"/>
      <w:szCs w:val="18"/>
    </w:rPr>
  </w:style>
  <w:style w:type="paragraph" w:customStyle="1" w:styleId="277">
    <w:name w:val="xl131"/>
    <w:basedOn w:val="1"/>
    <w:qFormat/>
    <w:uiPriority w:val="0"/>
    <w:pPr>
      <w:widowControl/>
      <w:pBdr>
        <w:top w:val="single" w:color="auto" w:sz="8" w:space="0"/>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Cs w:val="21"/>
    </w:rPr>
  </w:style>
  <w:style w:type="character" w:customStyle="1" w:styleId="278">
    <w:name w:val="批注主题 字符1"/>
    <w:qFormat/>
    <w:uiPriority w:val="0"/>
    <w:rPr>
      <w:rFonts w:ascii="Times New Roman" w:hAnsi="Times New Roman"/>
      <w:b/>
    </w:rPr>
  </w:style>
  <w:style w:type="character" w:customStyle="1" w:styleId="279">
    <w:name w:val="明显强调1"/>
    <w:qFormat/>
    <w:uiPriority w:val="21"/>
    <w:rPr>
      <w:b/>
      <w:i/>
      <w:color w:val="4F81BD"/>
    </w:rPr>
  </w:style>
  <w:style w:type="character" w:customStyle="1" w:styleId="280">
    <w:name w:val="正文文本缩进 2 字符1"/>
    <w:qFormat/>
    <w:uiPriority w:val="0"/>
    <w:rPr>
      <w:rFonts w:ascii="宋体" w:hAnsi="Times New Roman" w:eastAsia="宋体"/>
      <w:kern w:val="0"/>
      <w:sz w:val="20"/>
    </w:rPr>
  </w:style>
  <w:style w:type="character" w:customStyle="1" w:styleId="281">
    <w:name w:val="正文文本缩进 2 字符3"/>
    <w:link w:val="23"/>
    <w:qFormat/>
    <w:locked/>
    <w:uiPriority w:val="99"/>
    <w:rPr>
      <w:rFonts w:ascii="宋体" w:hAnsi="Times New Roman"/>
    </w:rPr>
  </w:style>
  <w:style w:type="character" w:customStyle="1" w:styleId="282">
    <w:name w:val="批注主题 字符"/>
    <w:qFormat/>
    <w:uiPriority w:val="0"/>
    <w:rPr>
      <w:rFonts w:ascii="Times New Roman" w:hAnsi="Times New Roman"/>
      <w:b/>
      <w:kern w:val="2"/>
      <w:sz w:val="22"/>
    </w:rPr>
  </w:style>
  <w:style w:type="character" w:customStyle="1" w:styleId="283">
    <w:name w:val="标题 4 字符1"/>
    <w:qFormat/>
    <w:uiPriority w:val="0"/>
    <w:rPr>
      <w:rFonts w:ascii="黑体" w:hAnsi="Times New Roman" w:eastAsia="黑体"/>
      <w:b/>
      <w:sz w:val="24"/>
    </w:rPr>
  </w:style>
  <w:style w:type="character" w:customStyle="1" w:styleId="284">
    <w:name w:val="不明显强调11"/>
    <w:qFormat/>
    <w:uiPriority w:val="19"/>
    <w:rPr>
      <w:i/>
      <w:color w:val="808080"/>
    </w:rPr>
  </w:style>
  <w:style w:type="character" w:customStyle="1" w:styleId="285">
    <w:name w:val="文档结构图 字符2"/>
    <w:qFormat/>
    <w:locked/>
    <w:uiPriority w:val="0"/>
    <w:rPr>
      <w:rFonts w:ascii="宋体" w:hAnsi="Times New Roman"/>
      <w:sz w:val="18"/>
    </w:rPr>
  </w:style>
  <w:style w:type="character" w:customStyle="1" w:styleId="286">
    <w:name w:val="大标题 Char"/>
    <w:link w:val="102"/>
    <w:qFormat/>
    <w:locked/>
    <w:uiPriority w:val="0"/>
    <w:rPr>
      <w:rFonts w:ascii="Times New Roman" w:hAnsi="Times New Roman"/>
      <w:kern w:val="2"/>
      <w:sz w:val="44"/>
      <w:szCs w:val="24"/>
    </w:rPr>
  </w:style>
  <w:style w:type="character" w:customStyle="1" w:styleId="287">
    <w:name w:val="页脚 字符2"/>
    <w:link w:val="26"/>
    <w:qFormat/>
    <w:locked/>
    <w:uiPriority w:val="99"/>
    <w:rPr>
      <w:rFonts w:ascii="Times New Roman" w:hAnsi="Times New Roman"/>
      <w:sz w:val="18"/>
    </w:rPr>
  </w:style>
  <w:style w:type="character" w:customStyle="1" w:styleId="288">
    <w:name w:val="正文文本 2 字符2"/>
    <w:qFormat/>
    <w:locked/>
    <w:uiPriority w:val="0"/>
    <w:rPr>
      <w:rFonts w:ascii="宋体" w:hAnsi="宋体"/>
      <w:sz w:val="18"/>
    </w:rPr>
  </w:style>
  <w:style w:type="character" w:customStyle="1" w:styleId="289">
    <w:name w:val="ggwenhao"/>
    <w:qFormat/>
    <w:uiPriority w:val="0"/>
  </w:style>
  <w:style w:type="character" w:customStyle="1" w:styleId="290">
    <w:name w:val="标题 9 字符2"/>
    <w:qFormat/>
    <w:uiPriority w:val="9"/>
    <w:rPr>
      <w:rFonts w:ascii="Arial" w:hAnsi="Arial" w:eastAsia="黑体"/>
      <w:szCs w:val="21"/>
    </w:rPr>
  </w:style>
  <w:style w:type="character" w:customStyle="1" w:styleId="291">
    <w:name w:val="标题 4 字符"/>
    <w:qFormat/>
    <w:uiPriority w:val="0"/>
    <w:rPr>
      <w:rFonts w:ascii="黑体" w:hAnsi="Times New Roman" w:eastAsia="黑体"/>
      <w:b/>
      <w:kern w:val="2"/>
      <w:sz w:val="24"/>
    </w:rPr>
  </w:style>
  <w:style w:type="character" w:customStyle="1" w:styleId="292">
    <w:name w:val="无间隔 字符"/>
    <w:qFormat/>
    <w:uiPriority w:val="0"/>
    <w:rPr>
      <w:sz w:val="22"/>
    </w:rPr>
  </w:style>
  <w:style w:type="character" w:customStyle="1" w:styleId="293">
    <w:name w:val="标题 5 字符"/>
    <w:qFormat/>
    <w:uiPriority w:val="0"/>
    <w:rPr>
      <w:rFonts w:ascii="Times New Roman" w:hAnsi="Times New Roman" w:eastAsia="宋体"/>
      <w:b/>
      <w:kern w:val="0"/>
      <w:sz w:val="28"/>
    </w:rPr>
  </w:style>
  <w:style w:type="character" w:customStyle="1" w:styleId="294">
    <w:name w:val="纯文本 字符2"/>
    <w:link w:val="20"/>
    <w:qFormat/>
    <w:locked/>
    <w:uiPriority w:val="99"/>
    <w:rPr>
      <w:rFonts w:ascii="宋体" w:hAnsi="Courier New"/>
      <w:szCs w:val="21"/>
    </w:rPr>
  </w:style>
  <w:style w:type="character" w:customStyle="1" w:styleId="295">
    <w:name w:val="纯文本 字符1"/>
    <w:qFormat/>
    <w:locked/>
    <w:uiPriority w:val="99"/>
    <w:rPr>
      <w:rFonts w:ascii="宋体" w:hAnsi="Courier New"/>
      <w:szCs w:val="21"/>
    </w:rPr>
  </w:style>
  <w:style w:type="character" w:customStyle="1" w:styleId="296">
    <w:name w:val="标题 5 字符1"/>
    <w:qFormat/>
    <w:uiPriority w:val="0"/>
    <w:rPr>
      <w:rFonts w:ascii="Times New Roman" w:hAnsi="Times New Roman" w:eastAsia="宋体"/>
      <w:b/>
      <w:kern w:val="0"/>
      <w:sz w:val="28"/>
    </w:rPr>
  </w:style>
  <w:style w:type="character" w:customStyle="1" w:styleId="297">
    <w:name w:val="批注框文本 字符2"/>
    <w:qFormat/>
    <w:uiPriority w:val="0"/>
    <w:rPr>
      <w:kern w:val="2"/>
      <w:sz w:val="18"/>
      <w:szCs w:val="18"/>
    </w:rPr>
  </w:style>
  <w:style w:type="character" w:customStyle="1" w:styleId="298">
    <w:name w:val="日期 字符"/>
    <w:qFormat/>
    <w:uiPriority w:val="0"/>
    <w:rPr>
      <w:rFonts w:ascii="黑体" w:hAnsi="Times New Roman" w:eastAsia="黑体"/>
      <w:b/>
      <w:color w:val="000000"/>
      <w:sz w:val="20"/>
    </w:rPr>
  </w:style>
  <w:style w:type="character" w:customStyle="1" w:styleId="299">
    <w:name w:val="正文文本缩进 字符2"/>
    <w:link w:val="16"/>
    <w:qFormat/>
    <w:locked/>
    <w:uiPriority w:val="99"/>
  </w:style>
  <w:style w:type="character" w:customStyle="1" w:styleId="300">
    <w:name w:val="标题 9 字符"/>
    <w:qFormat/>
    <w:uiPriority w:val="0"/>
    <w:rPr>
      <w:rFonts w:ascii="Arial" w:hAnsi="Arial" w:eastAsia="黑体"/>
      <w:kern w:val="0"/>
      <w:sz w:val="21"/>
    </w:rPr>
  </w:style>
  <w:style w:type="character" w:customStyle="1" w:styleId="301">
    <w:name w:val="正文文本首行缩进 字符"/>
    <w:qFormat/>
    <w:uiPriority w:val="99"/>
    <w:rPr>
      <w:rFonts w:ascii="宋体" w:hAnsi="宋体"/>
      <w:kern w:val="2"/>
      <w:sz w:val="24"/>
      <w:szCs w:val="22"/>
    </w:rPr>
  </w:style>
  <w:style w:type="character" w:customStyle="1" w:styleId="302">
    <w:name w:val="正文文本缩进 字符"/>
    <w:qFormat/>
    <w:uiPriority w:val="0"/>
    <w:rPr>
      <w:rFonts w:ascii="Calibri" w:hAnsi="Calibri" w:eastAsia="宋体"/>
    </w:rPr>
  </w:style>
  <w:style w:type="character" w:customStyle="1" w:styleId="303">
    <w:name w:val="日期 Char1"/>
    <w:qFormat/>
    <w:uiPriority w:val="99"/>
    <w:rPr>
      <w:kern w:val="2"/>
      <w:sz w:val="21"/>
      <w:szCs w:val="22"/>
    </w:rPr>
  </w:style>
  <w:style w:type="character" w:customStyle="1" w:styleId="304">
    <w:name w:val="正文文本 Char1"/>
    <w:qFormat/>
    <w:uiPriority w:val="99"/>
    <w:rPr>
      <w:kern w:val="2"/>
      <w:sz w:val="21"/>
      <w:szCs w:val="22"/>
    </w:rPr>
  </w:style>
  <w:style w:type="character" w:customStyle="1" w:styleId="305">
    <w:name w:val="正文文本缩进 3 字符"/>
    <w:qFormat/>
    <w:uiPriority w:val="0"/>
    <w:rPr>
      <w:rFonts w:ascii="Calibri" w:hAnsi="Calibri" w:eastAsia="宋体"/>
      <w:sz w:val="16"/>
    </w:rPr>
  </w:style>
  <w:style w:type="character" w:customStyle="1" w:styleId="306">
    <w:name w:val="日期 字符2"/>
    <w:link w:val="22"/>
    <w:qFormat/>
    <w:locked/>
    <w:uiPriority w:val="0"/>
    <w:rPr>
      <w:rFonts w:ascii="黑体" w:hAnsi="Times New Roman" w:eastAsia="黑体"/>
      <w:b/>
      <w:color w:val="000000"/>
    </w:rPr>
  </w:style>
  <w:style w:type="character" w:customStyle="1" w:styleId="307">
    <w:name w:val="不明显强调2"/>
    <w:qFormat/>
    <w:uiPriority w:val="19"/>
    <w:rPr>
      <w:i/>
      <w:color w:val="808080"/>
    </w:rPr>
  </w:style>
  <w:style w:type="character" w:customStyle="1" w:styleId="308">
    <w:name w:val="文档结构图 字符1"/>
    <w:qFormat/>
    <w:uiPriority w:val="0"/>
    <w:rPr>
      <w:rFonts w:ascii="宋体" w:hAnsi="Times New Roman" w:eastAsia="宋体"/>
      <w:sz w:val="18"/>
    </w:rPr>
  </w:style>
  <w:style w:type="character" w:customStyle="1" w:styleId="309">
    <w:name w:val="Heading 1 Char"/>
    <w:qFormat/>
    <w:locked/>
    <w:uiPriority w:val="0"/>
    <w:rPr>
      <w:b/>
      <w:kern w:val="44"/>
      <w:sz w:val="44"/>
    </w:rPr>
  </w:style>
  <w:style w:type="character" w:customStyle="1" w:styleId="310">
    <w:name w:val="正文文本 字符3"/>
    <w:link w:val="15"/>
    <w:qFormat/>
    <w:locked/>
    <w:uiPriority w:val="0"/>
    <w:rPr>
      <w:rFonts w:ascii="宋体" w:hAnsi="宋体"/>
      <w:sz w:val="24"/>
    </w:rPr>
  </w:style>
  <w:style w:type="character" w:customStyle="1" w:styleId="311">
    <w:name w:val="正文文本 字符"/>
    <w:qFormat/>
    <w:uiPriority w:val="0"/>
    <w:rPr>
      <w:rFonts w:ascii="宋体" w:hAnsi="宋体" w:eastAsia="宋体"/>
      <w:sz w:val="24"/>
    </w:rPr>
  </w:style>
  <w:style w:type="character" w:customStyle="1" w:styleId="312">
    <w:name w:val="总部分 Char"/>
    <w:link w:val="103"/>
    <w:qFormat/>
    <w:locked/>
    <w:uiPriority w:val="0"/>
    <w:rPr>
      <w:rFonts w:ascii="Times New Roman" w:hAnsi="Times New Roman"/>
      <w:kern w:val="2"/>
      <w:sz w:val="44"/>
      <w:szCs w:val="24"/>
    </w:rPr>
  </w:style>
  <w:style w:type="character" w:customStyle="1" w:styleId="313">
    <w:name w:val="标题 2 字符2"/>
    <w:qFormat/>
    <w:locked/>
    <w:uiPriority w:val="9"/>
    <w:rPr>
      <w:rFonts w:ascii="Cambria" w:hAnsi="Cambria"/>
      <w:b/>
      <w:bCs/>
      <w:sz w:val="32"/>
      <w:szCs w:val="32"/>
    </w:rPr>
  </w:style>
  <w:style w:type="character" w:customStyle="1" w:styleId="314">
    <w:name w:val="标题-2 Char"/>
    <w:link w:val="115"/>
    <w:qFormat/>
    <w:locked/>
    <w:uiPriority w:val="0"/>
    <w:rPr>
      <w:rFonts w:ascii="宋体"/>
      <w:b/>
      <w:sz w:val="32"/>
    </w:rPr>
  </w:style>
  <w:style w:type="character" w:customStyle="1" w:styleId="315">
    <w:name w:val="明显强调11"/>
    <w:qFormat/>
    <w:uiPriority w:val="21"/>
    <w:rPr>
      <w:b/>
      <w:i/>
      <w:color w:val="4F81BD"/>
    </w:rPr>
  </w:style>
  <w:style w:type="character" w:customStyle="1" w:styleId="316">
    <w:name w:val="awspan1"/>
    <w:qFormat/>
    <w:uiPriority w:val="0"/>
    <w:rPr>
      <w:color w:val="000000"/>
      <w:sz w:val="24"/>
    </w:rPr>
  </w:style>
  <w:style w:type="character" w:customStyle="1" w:styleId="317">
    <w:name w:val="标题 8 字符2"/>
    <w:qFormat/>
    <w:uiPriority w:val="9"/>
    <w:rPr>
      <w:rFonts w:ascii="Arial" w:hAnsi="Arial" w:eastAsia="黑体"/>
      <w:sz w:val="24"/>
      <w:szCs w:val="24"/>
    </w:rPr>
  </w:style>
  <w:style w:type="character" w:customStyle="1" w:styleId="318">
    <w:name w:val="批注文字 字符2"/>
    <w:qFormat/>
    <w:uiPriority w:val="99"/>
    <w:rPr>
      <w:rFonts w:ascii="Times New Roman" w:hAnsi="Times New Roman"/>
      <w:szCs w:val="24"/>
    </w:rPr>
  </w:style>
  <w:style w:type="character" w:customStyle="1" w:styleId="319">
    <w:name w:val="正文文本 + 粗体"/>
    <w:qFormat/>
    <w:uiPriority w:val="0"/>
    <w:rPr>
      <w:rFonts w:ascii="MingLiU" w:hAnsi="MingLiU" w:eastAsia="MingLiU"/>
      <w:b/>
      <w:color w:val="000000"/>
      <w:spacing w:val="-5"/>
      <w:w w:val="100"/>
      <w:position w:val="0"/>
      <w:sz w:val="16"/>
      <w:u w:val="none"/>
      <w:lang w:val="zh-CN"/>
    </w:rPr>
  </w:style>
  <w:style w:type="character" w:customStyle="1" w:styleId="320">
    <w:name w:val="defaultfont1"/>
    <w:basedOn w:val="45"/>
    <w:qFormat/>
    <w:uiPriority w:val="0"/>
  </w:style>
  <w:style w:type="character" w:customStyle="1" w:styleId="321">
    <w:name w:val="标题 1 字符"/>
    <w:qFormat/>
    <w:uiPriority w:val="0"/>
    <w:rPr>
      <w:rFonts w:ascii="黑体" w:hAnsi="Times New Roman" w:eastAsia="黑体"/>
      <w:b/>
      <w:kern w:val="2"/>
      <w:sz w:val="32"/>
    </w:rPr>
  </w:style>
  <w:style w:type="character" w:customStyle="1" w:styleId="322">
    <w:name w:val="标题 7 字符2"/>
    <w:qFormat/>
    <w:uiPriority w:val="9"/>
    <w:rPr>
      <w:rFonts w:ascii="Times New Roman" w:hAnsi="Times New Roman"/>
      <w:b/>
      <w:bCs/>
      <w:sz w:val="24"/>
      <w:szCs w:val="24"/>
    </w:rPr>
  </w:style>
  <w:style w:type="character" w:customStyle="1" w:styleId="323">
    <w:name w:val="正文文本缩进 3 字符1"/>
    <w:qFormat/>
    <w:uiPriority w:val="0"/>
    <w:rPr>
      <w:rFonts w:ascii="Calibri" w:hAnsi="Calibri" w:eastAsia="宋体"/>
      <w:kern w:val="0"/>
      <w:sz w:val="16"/>
    </w:rPr>
  </w:style>
  <w:style w:type="character" w:customStyle="1" w:styleId="324">
    <w:name w:val="07图片 Char"/>
    <w:link w:val="182"/>
    <w:qFormat/>
    <w:locked/>
    <w:uiPriority w:val="0"/>
    <w:rPr>
      <w:rFonts w:ascii="黑体" w:hAnsi="宋体" w:eastAsia="黑体"/>
      <w:sz w:val="21"/>
    </w:rPr>
  </w:style>
  <w:style w:type="character" w:customStyle="1" w:styleId="325">
    <w:name w:val="页脚 字符"/>
    <w:qFormat/>
    <w:uiPriority w:val="99"/>
    <w:rPr>
      <w:rFonts w:ascii="Times New Roman" w:hAnsi="Times New Roman" w:eastAsia="宋体"/>
      <w:sz w:val="20"/>
    </w:rPr>
  </w:style>
  <w:style w:type="character" w:customStyle="1" w:styleId="326">
    <w:name w:val="页眉 字符2"/>
    <w:link w:val="27"/>
    <w:qFormat/>
    <w:locked/>
    <w:uiPriority w:val="99"/>
    <w:rPr>
      <w:rFonts w:ascii="Times New Roman" w:hAnsi="Times New Roman"/>
      <w:sz w:val="18"/>
    </w:rPr>
  </w:style>
  <w:style w:type="character" w:customStyle="1" w:styleId="327">
    <w:name w:val="标题 2 字符3"/>
    <w:link w:val="3"/>
    <w:qFormat/>
    <w:locked/>
    <w:uiPriority w:val="9"/>
    <w:rPr>
      <w:rFonts w:ascii="Cambria" w:hAnsi="Cambria"/>
      <w:b/>
      <w:bCs/>
      <w:sz w:val="32"/>
      <w:szCs w:val="32"/>
    </w:rPr>
  </w:style>
  <w:style w:type="character" w:customStyle="1" w:styleId="328">
    <w:name w:val="批注框文本 Char11"/>
    <w:semiHidden/>
    <w:qFormat/>
    <w:uiPriority w:val="99"/>
    <w:rPr>
      <w:rFonts w:ascii="Calibri" w:hAnsi="Calibri" w:eastAsia="宋体"/>
      <w:sz w:val="18"/>
    </w:rPr>
  </w:style>
  <w:style w:type="character" w:customStyle="1" w:styleId="329">
    <w:name w:val="正文首行缩进 Char1"/>
    <w:qFormat/>
    <w:uiPriority w:val="0"/>
    <w:rPr>
      <w:rFonts w:ascii="宋体" w:hAnsi="宋体" w:eastAsia="宋体"/>
      <w:sz w:val="24"/>
    </w:rPr>
  </w:style>
  <w:style w:type="character" w:customStyle="1" w:styleId="330">
    <w:name w:val="正文文本 (2)_"/>
    <w:link w:val="71"/>
    <w:qFormat/>
    <w:uiPriority w:val="99"/>
    <w:rPr>
      <w:rFonts w:ascii="MingLiU" w:eastAsia="MingLiU" w:cs="MingLiU"/>
      <w:spacing w:val="20"/>
      <w:sz w:val="19"/>
      <w:szCs w:val="19"/>
      <w:shd w:val="clear" w:color="auto" w:fill="FFFFFF"/>
    </w:rPr>
  </w:style>
  <w:style w:type="character" w:customStyle="1" w:styleId="331">
    <w:name w:val="标题 4 字符3"/>
    <w:link w:val="5"/>
    <w:qFormat/>
    <w:uiPriority w:val="9"/>
    <w:rPr>
      <w:rFonts w:ascii="黑体" w:hAnsi="Times New Roman" w:eastAsia="黑体"/>
      <w:b/>
      <w:kern w:val="2"/>
      <w:sz w:val="21"/>
      <w:szCs w:val="24"/>
    </w:rPr>
  </w:style>
  <w:style w:type="character" w:customStyle="1" w:styleId="332">
    <w:name w:val="正文文本 2 字符3"/>
    <w:link w:val="37"/>
    <w:qFormat/>
    <w:locked/>
    <w:uiPriority w:val="0"/>
    <w:rPr>
      <w:rFonts w:ascii="宋体" w:hAnsi="宋体"/>
      <w:sz w:val="18"/>
    </w:rPr>
  </w:style>
  <w:style w:type="character" w:customStyle="1" w:styleId="333">
    <w:name w:val="HTML 预设格式 字符"/>
    <w:qFormat/>
    <w:uiPriority w:val="99"/>
    <w:rPr>
      <w:rFonts w:ascii="宋体" w:hAnsi="宋体" w:cs="宋体"/>
      <w:sz w:val="24"/>
      <w:szCs w:val="24"/>
    </w:rPr>
  </w:style>
  <w:style w:type="character" w:customStyle="1" w:styleId="334">
    <w:name w:val="标题 6 字符"/>
    <w:qFormat/>
    <w:uiPriority w:val="0"/>
    <w:rPr>
      <w:rFonts w:ascii="Arial" w:hAnsi="Arial" w:eastAsia="黑体"/>
      <w:b/>
      <w:kern w:val="0"/>
      <w:sz w:val="24"/>
    </w:rPr>
  </w:style>
  <w:style w:type="character" w:customStyle="1" w:styleId="335">
    <w:name w:val="文档结构图 字符3"/>
    <w:link w:val="13"/>
    <w:qFormat/>
    <w:locked/>
    <w:uiPriority w:val="0"/>
    <w:rPr>
      <w:rFonts w:ascii="宋体" w:hAnsi="Times New Roman"/>
      <w:sz w:val="18"/>
    </w:rPr>
  </w:style>
  <w:style w:type="character" w:customStyle="1" w:styleId="336">
    <w:name w:val="页脚 Char1"/>
    <w:qFormat/>
    <w:uiPriority w:val="99"/>
    <w:rPr>
      <w:sz w:val="18"/>
    </w:rPr>
  </w:style>
  <w:style w:type="character" w:customStyle="1" w:styleId="337">
    <w:name w:val="HTML 预设格式 Char1"/>
    <w:qFormat/>
    <w:uiPriority w:val="0"/>
    <w:rPr>
      <w:rFonts w:ascii="宋体" w:eastAsia="宋体"/>
      <w:color w:val="000000"/>
      <w:sz w:val="24"/>
    </w:rPr>
  </w:style>
  <w:style w:type="character" w:customStyle="1" w:styleId="338">
    <w:name w:val="正文文本 Char11"/>
    <w:semiHidden/>
    <w:qFormat/>
    <w:uiPriority w:val="99"/>
    <w:rPr>
      <w:rFonts w:ascii="Calibri" w:hAnsi="Calibri" w:eastAsia="宋体"/>
    </w:rPr>
  </w:style>
  <w:style w:type="character" w:customStyle="1" w:styleId="339">
    <w:name w:val="Char Char16"/>
    <w:qFormat/>
    <w:uiPriority w:val="0"/>
    <w:rPr>
      <w:rFonts w:ascii="华文细黑" w:hAnsi="Arial" w:eastAsia="宋体"/>
      <w:b/>
      <w:bCs/>
      <w:sz w:val="44"/>
      <w:szCs w:val="32"/>
      <w:lang w:val="en-US" w:eastAsia="zh-CN" w:bidi="ar-SA"/>
    </w:rPr>
  </w:style>
  <w:style w:type="character" w:customStyle="1" w:styleId="340">
    <w:name w:val="批注文字 字符4"/>
    <w:link w:val="14"/>
    <w:qFormat/>
    <w:uiPriority w:val="99"/>
    <w:rPr>
      <w:rFonts w:ascii="Times New Roman" w:hAnsi="Times New Roman"/>
      <w:szCs w:val="24"/>
    </w:rPr>
  </w:style>
  <w:style w:type="character" w:customStyle="1" w:styleId="341">
    <w:name w:val="z-窗体顶端 Char1"/>
    <w:link w:val="157"/>
    <w:semiHidden/>
    <w:qFormat/>
    <w:locked/>
    <w:uiPriority w:val="99"/>
    <w:rPr>
      <w:rFonts w:cs="Calibri"/>
      <w:kern w:val="2"/>
      <w:sz w:val="21"/>
      <w:szCs w:val="22"/>
    </w:rPr>
  </w:style>
  <w:style w:type="character" w:customStyle="1" w:styleId="342">
    <w:name w:val="正文文本缩进 2 字符2"/>
    <w:qFormat/>
    <w:locked/>
    <w:uiPriority w:val="99"/>
    <w:rPr>
      <w:rFonts w:ascii="宋体" w:hAnsi="Times New Roman"/>
    </w:rPr>
  </w:style>
  <w:style w:type="character" w:customStyle="1" w:styleId="343">
    <w:name w:val="批注框文本 字符"/>
    <w:qFormat/>
    <w:uiPriority w:val="99"/>
    <w:rPr>
      <w:rFonts w:ascii="Calibri" w:hAnsi="Calibri" w:eastAsia="宋体"/>
      <w:sz w:val="18"/>
    </w:rPr>
  </w:style>
  <w:style w:type="character" w:customStyle="1" w:styleId="344">
    <w:name w:val="批注文字 字符3"/>
    <w:qFormat/>
    <w:uiPriority w:val="99"/>
    <w:rPr>
      <w:rFonts w:ascii="Times New Roman" w:hAnsi="Times New Roman"/>
      <w:szCs w:val="24"/>
    </w:rPr>
  </w:style>
  <w:style w:type="character" w:customStyle="1" w:styleId="345">
    <w:name w:val="纯文本 字符"/>
    <w:qFormat/>
    <w:uiPriority w:val="0"/>
    <w:rPr>
      <w:rFonts w:ascii="宋体" w:hAnsi="Courier New" w:eastAsia="宋体"/>
      <w:sz w:val="21"/>
    </w:rPr>
  </w:style>
  <w:style w:type="character" w:customStyle="1" w:styleId="346">
    <w:name w:val="标题 1 字符3"/>
    <w:link w:val="2"/>
    <w:qFormat/>
    <w:locked/>
    <w:uiPriority w:val="9"/>
    <w:rPr>
      <w:rFonts w:ascii="黑体" w:hAnsi="Times New Roman" w:eastAsia="黑体"/>
      <w:b/>
      <w:kern w:val="2"/>
      <w:sz w:val="32"/>
    </w:rPr>
  </w:style>
  <w:style w:type="character" w:customStyle="1" w:styleId="347">
    <w:name w:val="批注框文本 Char1"/>
    <w:qFormat/>
    <w:uiPriority w:val="99"/>
    <w:rPr>
      <w:kern w:val="2"/>
      <w:sz w:val="18"/>
      <w:szCs w:val="18"/>
    </w:rPr>
  </w:style>
  <w:style w:type="character" w:customStyle="1" w:styleId="348">
    <w:name w:val="批注文字 字符1"/>
    <w:qFormat/>
    <w:uiPriority w:val="0"/>
    <w:rPr>
      <w:rFonts w:ascii="Times New Roman" w:hAnsi="Times New Roman"/>
      <w:sz w:val="24"/>
    </w:rPr>
  </w:style>
  <w:style w:type="character" w:customStyle="1" w:styleId="349">
    <w:name w:val="批注文字 字符"/>
    <w:qFormat/>
    <w:uiPriority w:val="0"/>
    <w:rPr>
      <w:rFonts w:ascii="Times New Roman" w:hAnsi="Times New Roman"/>
      <w:kern w:val="2"/>
      <w:sz w:val="24"/>
    </w:rPr>
  </w:style>
  <w:style w:type="character" w:customStyle="1" w:styleId="350">
    <w:name w:val="标题 7 字符"/>
    <w:qFormat/>
    <w:uiPriority w:val="0"/>
    <w:rPr>
      <w:rFonts w:ascii="Times New Roman" w:hAnsi="Times New Roman" w:eastAsia="宋体"/>
      <w:b/>
      <w:kern w:val="0"/>
      <w:sz w:val="24"/>
    </w:rPr>
  </w:style>
  <w:style w:type="character" w:customStyle="1" w:styleId="351">
    <w:name w:val="标题 字符1"/>
    <w:link w:val="40"/>
    <w:qFormat/>
    <w:uiPriority w:val="10"/>
    <w:rPr>
      <w:rFonts w:ascii="Cambria" w:hAnsi="Cambria"/>
      <w:b/>
      <w:bCs/>
      <w:sz w:val="32"/>
      <w:szCs w:val="32"/>
      <w:lang w:eastAsia="zh-TW"/>
    </w:rPr>
  </w:style>
  <w:style w:type="character" w:customStyle="1" w:styleId="352">
    <w:name w:val="ggtitle"/>
    <w:qFormat/>
    <w:uiPriority w:val="0"/>
  </w:style>
  <w:style w:type="character" w:customStyle="1" w:styleId="353">
    <w:name w:val="图表_地面工程 Char"/>
    <w:link w:val="126"/>
    <w:qFormat/>
    <w:locked/>
    <w:uiPriority w:val="0"/>
    <w:rPr>
      <w:rFonts w:ascii="黑体" w:hAnsi="黑体" w:eastAsia="黑体"/>
    </w:rPr>
  </w:style>
  <w:style w:type="character" w:customStyle="1" w:styleId="354">
    <w:name w:val="正文文本 2 字符"/>
    <w:qFormat/>
    <w:uiPriority w:val="0"/>
    <w:rPr>
      <w:rFonts w:ascii="宋体" w:hAnsi="宋体" w:eastAsia="宋体"/>
      <w:kern w:val="0"/>
      <w:sz w:val="18"/>
    </w:rPr>
  </w:style>
  <w:style w:type="character" w:customStyle="1" w:styleId="355">
    <w:name w:val="z-窗体顶端 Char"/>
    <w:link w:val="273"/>
    <w:semiHidden/>
    <w:qFormat/>
    <w:locked/>
    <w:uiPriority w:val="99"/>
  </w:style>
  <w:style w:type="character" w:customStyle="1" w:styleId="356">
    <w:name w:val="正文文本缩进 3 字符2"/>
    <w:qFormat/>
    <w:locked/>
    <w:uiPriority w:val="99"/>
    <w:rPr>
      <w:sz w:val="16"/>
      <w:szCs w:val="16"/>
    </w:rPr>
  </w:style>
  <w:style w:type="character" w:customStyle="1" w:styleId="357">
    <w:name w:val="【正文】 字符"/>
    <w:link w:val="266"/>
    <w:qFormat/>
    <w:uiPriority w:val="0"/>
    <w:rPr>
      <w:rFonts w:ascii="宋体" w:hAnsi="宋体"/>
      <w:kern w:val="2"/>
      <w:sz w:val="21"/>
      <w:szCs w:val="21"/>
      <w:lang w:val="zh-CN"/>
    </w:rPr>
  </w:style>
  <w:style w:type="character" w:customStyle="1" w:styleId="358">
    <w:name w:val="Header Char"/>
    <w:qFormat/>
    <w:locked/>
    <w:uiPriority w:val="0"/>
    <w:rPr>
      <w:sz w:val="18"/>
    </w:rPr>
  </w:style>
  <w:style w:type="character" w:customStyle="1" w:styleId="359">
    <w:name w:val="页眉 Char1"/>
    <w:qFormat/>
    <w:uiPriority w:val="0"/>
    <w:rPr>
      <w:sz w:val="18"/>
    </w:rPr>
  </w:style>
  <w:style w:type="character" w:customStyle="1" w:styleId="360">
    <w:name w:val="标题 字符"/>
    <w:qFormat/>
    <w:uiPriority w:val="0"/>
    <w:rPr>
      <w:rFonts w:ascii="Cambria" w:hAnsi="Cambria"/>
      <w:b/>
      <w:bCs/>
      <w:sz w:val="32"/>
      <w:szCs w:val="32"/>
      <w:lang w:eastAsia="zh-TW"/>
    </w:rPr>
  </w:style>
  <w:style w:type="character" w:customStyle="1" w:styleId="361">
    <w:name w:val="批注主题 字符2"/>
    <w:qFormat/>
    <w:uiPriority w:val="99"/>
    <w:rPr>
      <w:rFonts w:ascii="Times New Roman" w:hAnsi="Times New Roman"/>
      <w:b/>
      <w:bCs/>
      <w:kern w:val="2"/>
      <w:sz w:val="21"/>
      <w:szCs w:val="22"/>
    </w:rPr>
  </w:style>
  <w:style w:type="character" w:customStyle="1" w:styleId="362">
    <w:name w:val="一级标题 Char"/>
    <w:link w:val="188"/>
    <w:qFormat/>
    <w:locked/>
    <w:uiPriority w:val="0"/>
    <w:rPr>
      <w:rFonts w:ascii="黑体" w:hAnsi="黑体" w:eastAsia="黑体"/>
      <w:b/>
      <w:kern w:val="2"/>
      <w:sz w:val="32"/>
      <w:szCs w:val="32"/>
    </w:rPr>
  </w:style>
  <w:style w:type="character" w:customStyle="1" w:styleId="363">
    <w:name w:val="四级标题 Char"/>
    <w:link w:val="119"/>
    <w:qFormat/>
    <w:locked/>
    <w:uiPriority w:val="0"/>
    <w:rPr>
      <w:rFonts w:ascii="宋体" w:hAnsi="宋体"/>
      <w:b/>
      <w:kern w:val="2"/>
      <w:sz w:val="24"/>
      <w:szCs w:val="24"/>
    </w:rPr>
  </w:style>
  <w:style w:type="character" w:customStyle="1" w:styleId="364">
    <w:name w:val="正文文本 2 Char11"/>
    <w:semiHidden/>
    <w:qFormat/>
    <w:uiPriority w:val="99"/>
    <w:rPr>
      <w:rFonts w:ascii="Calibri" w:hAnsi="Calibri" w:eastAsia="宋体"/>
    </w:rPr>
  </w:style>
  <w:style w:type="character" w:customStyle="1" w:styleId="365">
    <w:name w:val="无间隔 字符2"/>
    <w:link w:val="139"/>
    <w:qFormat/>
    <w:locked/>
    <w:uiPriority w:val="1"/>
    <w:rPr>
      <w:sz w:val="22"/>
      <w:szCs w:val="22"/>
    </w:rPr>
  </w:style>
  <w:style w:type="character" w:customStyle="1" w:styleId="366">
    <w:name w:val="正文文本缩进 Char1"/>
    <w:semiHidden/>
    <w:qFormat/>
    <w:uiPriority w:val="99"/>
    <w:rPr>
      <w:rFonts w:ascii="Times New Roman" w:hAnsi="Times New Roman" w:eastAsia="宋体"/>
      <w:sz w:val="24"/>
    </w:rPr>
  </w:style>
  <w:style w:type="character" w:customStyle="1" w:styleId="367">
    <w:name w:val="Char Char"/>
    <w:qFormat/>
    <w:uiPriority w:val="0"/>
    <w:rPr>
      <w:rFonts w:ascii="黑体" w:hAnsi="Courier New" w:eastAsia="黑体"/>
      <w:kern w:val="2"/>
      <w:sz w:val="32"/>
      <w:lang w:val="en-US" w:eastAsia="zh-CN"/>
    </w:rPr>
  </w:style>
  <w:style w:type="character" w:customStyle="1" w:styleId="368">
    <w:name w:val="标题 6 字符1"/>
    <w:qFormat/>
    <w:uiPriority w:val="0"/>
    <w:rPr>
      <w:rFonts w:ascii="Arial" w:hAnsi="Arial" w:eastAsia="黑体"/>
      <w:b/>
      <w:kern w:val="0"/>
      <w:sz w:val="24"/>
    </w:rPr>
  </w:style>
  <w:style w:type="character" w:customStyle="1" w:styleId="369">
    <w:name w:val="标题 8 字符1"/>
    <w:qFormat/>
    <w:uiPriority w:val="0"/>
    <w:rPr>
      <w:rFonts w:ascii="Arial" w:hAnsi="Arial" w:eastAsia="黑体"/>
      <w:kern w:val="0"/>
      <w:sz w:val="24"/>
    </w:rPr>
  </w:style>
  <w:style w:type="character" w:customStyle="1" w:styleId="370">
    <w:name w:val="标题 3 字符1"/>
    <w:qFormat/>
    <w:uiPriority w:val="9"/>
    <w:rPr>
      <w:rFonts w:ascii="宋体" w:hAnsi="宋体"/>
      <w:kern w:val="2"/>
      <w:sz w:val="24"/>
      <w:szCs w:val="32"/>
    </w:rPr>
  </w:style>
  <w:style w:type="character" w:customStyle="1" w:styleId="371">
    <w:name w:val="111"/>
    <w:qFormat/>
    <w:uiPriority w:val="0"/>
  </w:style>
  <w:style w:type="character" w:customStyle="1" w:styleId="372">
    <w:name w:val="正文文本 2 Char1"/>
    <w:qFormat/>
    <w:uiPriority w:val="99"/>
    <w:rPr>
      <w:kern w:val="2"/>
      <w:sz w:val="21"/>
      <w:szCs w:val="22"/>
    </w:rPr>
  </w:style>
  <w:style w:type="character" w:customStyle="1" w:styleId="373">
    <w:name w:val="Footer Char"/>
    <w:qFormat/>
    <w:locked/>
    <w:uiPriority w:val="0"/>
    <w:rPr>
      <w:sz w:val="18"/>
    </w:rPr>
  </w:style>
  <w:style w:type="character" w:customStyle="1" w:styleId="374">
    <w:name w:val="批注框文本 字符1"/>
    <w:qFormat/>
    <w:uiPriority w:val="0"/>
    <w:rPr>
      <w:rFonts w:ascii="Calibri" w:hAnsi="Calibri" w:eastAsia="宋体"/>
      <w:sz w:val="18"/>
    </w:rPr>
  </w:style>
  <w:style w:type="character" w:customStyle="1" w:styleId="375">
    <w:name w:val="标题 4 Char1"/>
    <w:qFormat/>
    <w:uiPriority w:val="0"/>
    <w:rPr>
      <w:rFonts w:ascii="黑体" w:hAnsi="Times New Roman" w:eastAsia="黑体"/>
      <w:b/>
      <w:sz w:val="24"/>
    </w:rPr>
  </w:style>
  <w:style w:type="character" w:customStyle="1" w:styleId="376">
    <w:name w:val="标题 3 字符2"/>
    <w:link w:val="4"/>
    <w:qFormat/>
    <w:uiPriority w:val="9"/>
    <w:rPr>
      <w:rFonts w:ascii="宋体" w:hAnsi="宋体"/>
      <w:kern w:val="2"/>
      <w:sz w:val="24"/>
      <w:szCs w:val="32"/>
    </w:rPr>
  </w:style>
  <w:style w:type="character" w:customStyle="1" w:styleId="377">
    <w:name w:val="标题 5 字符2"/>
    <w:qFormat/>
    <w:uiPriority w:val="9"/>
    <w:rPr>
      <w:rFonts w:ascii="Times New Roman" w:hAnsi="Times New Roman"/>
      <w:b/>
      <w:bCs/>
      <w:sz w:val="28"/>
      <w:szCs w:val="28"/>
    </w:rPr>
  </w:style>
  <w:style w:type="character" w:customStyle="1" w:styleId="378">
    <w:name w:val="正文文本 字符2"/>
    <w:qFormat/>
    <w:locked/>
    <w:uiPriority w:val="0"/>
    <w:rPr>
      <w:rFonts w:ascii="宋体" w:hAnsi="宋体"/>
      <w:sz w:val="24"/>
    </w:rPr>
  </w:style>
  <w:style w:type="character" w:customStyle="1" w:styleId="379">
    <w:name w:val="HTML 预设格式 字符1"/>
    <w:link w:val="38"/>
    <w:qFormat/>
    <w:uiPriority w:val="99"/>
    <w:rPr>
      <w:rFonts w:ascii="宋体" w:hAnsi="宋体" w:cs="宋体"/>
      <w:sz w:val="24"/>
      <w:szCs w:val="24"/>
    </w:rPr>
  </w:style>
  <w:style w:type="character" w:customStyle="1" w:styleId="380">
    <w:name w:val="标题 5 字符3"/>
    <w:link w:val="6"/>
    <w:qFormat/>
    <w:uiPriority w:val="9"/>
    <w:rPr>
      <w:rFonts w:ascii="Times New Roman" w:hAnsi="Times New Roman"/>
      <w:b/>
      <w:bCs/>
      <w:sz w:val="28"/>
      <w:szCs w:val="28"/>
    </w:rPr>
  </w:style>
  <w:style w:type="character" w:customStyle="1" w:styleId="381">
    <w:name w:val="页脚 字符1"/>
    <w:qFormat/>
    <w:locked/>
    <w:uiPriority w:val="99"/>
    <w:rPr>
      <w:rFonts w:ascii="Times New Roman" w:hAnsi="Times New Roman"/>
      <w:sz w:val="18"/>
    </w:rPr>
  </w:style>
  <w:style w:type="character" w:customStyle="1" w:styleId="382">
    <w:name w:val="标题 7 字符3"/>
    <w:link w:val="8"/>
    <w:qFormat/>
    <w:uiPriority w:val="9"/>
    <w:rPr>
      <w:rFonts w:ascii="Times New Roman" w:hAnsi="Times New Roman"/>
      <w:b/>
      <w:bCs/>
      <w:sz w:val="24"/>
      <w:szCs w:val="24"/>
    </w:rPr>
  </w:style>
  <w:style w:type="character" w:customStyle="1" w:styleId="383">
    <w:name w:val="标题 3 字符"/>
    <w:qFormat/>
    <w:uiPriority w:val="0"/>
    <w:rPr>
      <w:rFonts w:ascii="宋体" w:eastAsia="宋体"/>
      <w:kern w:val="2"/>
      <w:sz w:val="32"/>
    </w:rPr>
  </w:style>
  <w:style w:type="character" w:customStyle="1" w:styleId="384">
    <w:name w:val="日期 Char11"/>
    <w:qFormat/>
    <w:uiPriority w:val="0"/>
    <w:rPr>
      <w:rFonts w:ascii="Calibri" w:hAnsi="Calibri" w:eastAsia="宋体"/>
    </w:rPr>
  </w:style>
  <w:style w:type="character" w:customStyle="1" w:styleId="385">
    <w:name w:val="标题 1 字符2"/>
    <w:qFormat/>
    <w:locked/>
    <w:uiPriority w:val="9"/>
    <w:rPr>
      <w:rFonts w:ascii="黑体" w:hAnsi="Times New Roman" w:eastAsia="黑体"/>
      <w:b/>
      <w:kern w:val="2"/>
      <w:sz w:val="32"/>
    </w:rPr>
  </w:style>
  <w:style w:type="character" w:customStyle="1" w:styleId="386">
    <w:name w:val="文档结构图 字符"/>
    <w:qFormat/>
    <w:uiPriority w:val="0"/>
    <w:rPr>
      <w:rFonts w:ascii="宋体" w:hAnsi="Times New Roman" w:eastAsia="宋体"/>
      <w:sz w:val="18"/>
    </w:rPr>
  </w:style>
  <w:style w:type="character" w:customStyle="1" w:styleId="387">
    <w:name w:val="Plain Text Char"/>
    <w:qFormat/>
    <w:locked/>
    <w:uiPriority w:val="0"/>
    <w:rPr>
      <w:rFonts w:ascii="宋体" w:hAnsi="Courier New" w:eastAsia="宋体"/>
      <w:kern w:val="0"/>
      <w:sz w:val="21"/>
    </w:rPr>
  </w:style>
  <w:style w:type="character" w:customStyle="1" w:styleId="388">
    <w:name w:val="正文文本缩进 2 字符"/>
    <w:qFormat/>
    <w:uiPriority w:val="0"/>
    <w:rPr>
      <w:rFonts w:ascii="宋体" w:hAnsi="Times New Roman" w:eastAsia="宋体"/>
      <w:sz w:val="20"/>
    </w:rPr>
  </w:style>
  <w:style w:type="character" w:customStyle="1" w:styleId="389">
    <w:name w:val="正文文本 2 字符1"/>
    <w:qFormat/>
    <w:uiPriority w:val="0"/>
    <w:rPr>
      <w:rFonts w:ascii="宋体" w:hAnsi="宋体" w:eastAsia="宋体"/>
      <w:kern w:val="0"/>
      <w:sz w:val="18"/>
    </w:rPr>
  </w:style>
  <w:style w:type="character" w:customStyle="1" w:styleId="390">
    <w:name w:val="批注文字 Char11"/>
    <w:semiHidden/>
    <w:qFormat/>
    <w:uiPriority w:val="99"/>
    <w:rPr>
      <w:rFonts w:ascii="Calibri" w:hAnsi="Calibri" w:eastAsia="宋体"/>
    </w:rPr>
  </w:style>
  <w:style w:type="character" w:customStyle="1" w:styleId="391">
    <w:name w:val="不明显强调1"/>
    <w:qFormat/>
    <w:uiPriority w:val="19"/>
    <w:rPr>
      <w:i/>
      <w:color w:val="808080"/>
    </w:rPr>
  </w:style>
  <w:style w:type="character" w:customStyle="1" w:styleId="392">
    <w:name w:val="标题 Char3"/>
    <w:qFormat/>
    <w:uiPriority w:val="0"/>
    <w:rPr>
      <w:rFonts w:ascii="Cambria" w:hAnsi="Cambria"/>
      <w:b/>
      <w:sz w:val="32"/>
      <w:lang w:eastAsia="zh-TW"/>
    </w:rPr>
  </w:style>
  <w:style w:type="character" w:customStyle="1" w:styleId="393">
    <w:name w:val="_Style 392"/>
    <w:unhideWhenUsed/>
    <w:qFormat/>
    <w:uiPriority w:val="99"/>
    <w:rPr>
      <w:color w:val="605E5C"/>
      <w:shd w:val="clear" w:color="auto" w:fill="E1DFDD"/>
    </w:rPr>
  </w:style>
  <w:style w:type="character" w:customStyle="1" w:styleId="394">
    <w:name w:val="普通(网站) Char"/>
    <w:qFormat/>
    <w:locked/>
    <w:uiPriority w:val="0"/>
    <w:rPr>
      <w:sz w:val="22"/>
    </w:rPr>
  </w:style>
  <w:style w:type="character" w:customStyle="1" w:styleId="395">
    <w:name w:val="正文文本 + 间距 0 pt"/>
    <w:qFormat/>
    <w:uiPriority w:val="0"/>
    <w:rPr>
      <w:rFonts w:ascii="MingLiU" w:hAnsi="MingLiU" w:eastAsia="MingLiU"/>
      <w:color w:val="000000"/>
      <w:spacing w:val="1"/>
      <w:w w:val="100"/>
      <w:position w:val="0"/>
      <w:sz w:val="16"/>
      <w:u w:val="none"/>
      <w:lang w:val="zh-CN"/>
    </w:rPr>
  </w:style>
  <w:style w:type="character" w:customStyle="1" w:styleId="396">
    <w:name w:val="文档结构图 Char11"/>
    <w:semiHidden/>
    <w:qFormat/>
    <w:uiPriority w:val="99"/>
    <w:rPr>
      <w:rFonts w:ascii="宋体" w:hAnsi="Calibri" w:eastAsia="宋体"/>
      <w:sz w:val="18"/>
    </w:rPr>
  </w:style>
  <w:style w:type="character" w:customStyle="1" w:styleId="397">
    <w:name w:val="日期 字符1"/>
    <w:qFormat/>
    <w:locked/>
    <w:uiPriority w:val="0"/>
    <w:rPr>
      <w:rFonts w:ascii="黑体" w:hAnsi="Times New Roman" w:eastAsia="黑体"/>
      <w:b/>
      <w:color w:val="000000"/>
    </w:rPr>
  </w:style>
  <w:style w:type="character" w:customStyle="1" w:styleId="398">
    <w:name w:val="文档结构图 Char1"/>
    <w:qFormat/>
    <w:uiPriority w:val="99"/>
    <w:rPr>
      <w:rFonts w:ascii="Microsoft YaHei UI" w:eastAsia="Microsoft YaHei UI"/>
      <w:kern w:val="2"/>
      <w:sz w:val="18"/>
      <w:szCs w:val="18"/>
    </w:rPr>
  </w:style>
  <w:style w:type="character" w:customStyle="1" w:styleId="399">
    <w:name w:val="正文文本缩进 字符1"/>
    <w:qFormat/>
    <w:locked/>
    <w:uiPriority w:val="99"/>
  </w:style>
  <w:style w:type="character" w:customStyle="1" w:styleId="400">
    <w:name w:val="正文文本缩进 3 Char1"/>
    <w:semiHidden/>
    <w:qFormat/>
    <w:uiPriority w:val="99"/>
    <w:rPr>
      <w:rFonts w:ascii="Times New Roman" w:hAnsi="Times New Roman" w:eastAsia="宋体"/>
      <w:sz w:val="16"/>
    </w:rPr>
  </w:style>
  <w:style w:type="character" w:customStyle="1" w:styleId="401">
    <w:name w:val="尾注文本 字符"/>
    <w:link w:val="24"/>
    <w:qFormat/>
    <w:uiPriority w:val="0"/>
    <w:rPr>
      <w:kern w:val="2"/>
      <w:sz w:val="21"/>
      <w:szCs w:val="22"/>
    </w:rPr>
  </w:style>
  <w:style w:type="character" w:customStyle="1" w:styleId="402">
    <w:name w:val="标题 Char1"/>
    <w:qFormat/>
    <w:uiPriority w:val="10"/>
    <w:rPr>
      <w:rFonts w:ascii="Cambria" w:hAnsi="Cambria"/>
      <w:b/>
      <w:kern w:val="2"/>
      <w:sz w:val="32"/>
    </w:rPr>
  </w:style>
  <w:style w:type="character" w:customStyle="1" w:styleId="403">
    <w:name w:val="标题 8 字符3"/>
    <w:link w:val="9"/>
    <w:qFormat/>
    <w:uiPriority w:val="9"/>
    <w:rPr>
      <w:rFonts w:ascii="Arial" w:hAnsi="Arial" w:eastAsia="黑体"/>
      <w:sz w:val="24"/>
      <w:szCs w:val="24"/>
    </w:rPr>
  </w:style>
  <w:style w:type="character" w:customStyle="1" w:styleId="404">
    <w:name w:val="批注文字 Char1"/>
    <w:qFormat/>
    <w:uiPriority w:val="99"/>
    <w:rPr>
      <w:kern w:val="2"/>
      <w:sz w:val="21"/>
      <w:szCs w:val="22"/>
    </w:rPr>
  </w:style>
  <w:style w:type="character" w:customStyle="1" w:styleId="405">
    <w:name w:val="标题 1 字符1"/>
    <w:qFormat/>
    <w:uiPriority w:val="0"/>
    <w:rPr>
      <w:rFonts w:ascii="黑体" w:hAnsi="Times New Roman" w:eastAsia="黑体"/>
      <w:b/>
      <w:sz w:val="20"/>
    </w:rPr>
  </w:style>
  <w:style w:type="character" w:customStyle="1" w:styleId="406">
    <w:name w:val="正文文本 (32) + 10.5 pt"/>
    <w:qFormat/>
    <w:uiPriority w:val="99"/>
    <w:rPr>
      <w:rFonts w:ascii="MingLiU" w:eastAsia="MingLiU" w:cs="MingLiU"/>
      <w:sz w:val="21"/>
      <w:szCs w:val="21"/>
      <w:u w:val="none"/>
    </w:rPr>
  </w:style>
  <w:style w:type="character" w:customStyle="1" w:styleId="407">
    <w:name w:val="页眉 字符1"/>
    <w:qFormat/>
    <w:locked/>
    <w:uiPriority w:val="99"/>
    <w:rPr>
      <w:rFonts w:ascii="Times New Roman" w:hAnsi="Times New Roman"/>
      <w:sz w:val="18"/>
    </w:rPr>
  </w:style>
  <w:style w:type="character" w:customStyle="1" w:styleId="408">
    <w:name w:val="_Style 407"/>
    <w:qFormat/>
    <w:uiPriority w:val="21"/>
    <w:rPr>
      <w:b/>
      <w:i/>
      <w:color w:val="4F81BD"/>
    </w:rPr>
  </w:style>
  <w:style w:type="character" w:customStyle="1" w:styleId="409">
    <w:name w:val="正文文本 + 12 pt"/>
    <w:qFormat/>
    <w:uiPriority w:val="0"/>
    <w:rPr>
      <w:rFonts w:ascii="MingLiU" w:hAnsi="MingLiU" w:eastAsia="MingLiU"/>
      <w:color w:val="000000"/>
      <w:spacing w:val="29"/>
      <w:w w:val="100"/>
      <w:position w:val="0"/>
      <w:sz w:val="24"/>
      <w:u w:val="none"/>
      <w:lang w:val="zh-CN"/>
    </w:rPr>
  </w:style>
  <w:style w:type="character" w:customStyle="1" w:styleId="410">
    <w:name w:val="页眉 字符"/>
    <w:qFormat/>
    <w:uiPriority w:val="99"/>
    <w:rPr>
      <w:rFonts w:ascii="Times New Roman" w:hAnsi="Times New Roman" w:eastAsia="宋体"/>
      <w:sz w:val="20"/>
    </w:rPr>
  </w:style>
  <w:style w:type="character" w:customStyle="1" w:styleId="411">
    <w:name w:val="批注框文本 字符3"/>
    <w:link w:val="25"/>
    <w:qFormat/>
    <w:uiPriority w:val="0"/>
    <w:rPr>
      <w:kern w:val="2"/>
      <w:sz w:val="18"/>
      <w:szCs w:val="18"/>
    </w:rPr>
  </w:style>
  <w:style w:type="character" w:customStyle="1" w:styleId="412">
    <w:name w:val="标题 9 字符3"/>
    <w:link w:val="10"/>
    <w:qFormat/>
    <w:uiPriority w:val="9"/>
    <w:rPr>
      <w:rFonts w:ascii="Arial" w:hAnsi="Arial" w:eastAsia="黑体"/>
      <w:szCs w:val="21"/>
    </w:rPr>
  </w:style>
  <w:style w:type="character" w:customStyle="1" w:styleId="413">
    <w:name w:val="Heading 2 Char"/>
    <w:qFormat/>
    <w:locked/>
    <w:uiPriority w:val="0"/>
    <w:rPr>
      <w:rFonts w:ascii="Calibri Light" w:hAnsi="Calibri Light" w:eastAsia="宋体"/>
      <w:b/>
      <w:sz w:val="32"/>
    </w:rPr>
  </w:style>
  <w:style w:type="character" w:customStyle="1" w:styleId="414">
    <w:name w:val="apple-converted-space"/>
    <w:qFormat/>
    <w:uiPriority w:val="0"/>
  </w:style>
  <w:style w:type="character" w:customStyle="1" w:styleId="415">
    <w:name w:val="正文文本 (32) + 10.5 pt5"/>
    <w:qFormat/>
    <w:uiPriority w:val="99"/>
    <w:rPr>
      <w:rFonts w:ascii="MingLiU" w:eastAsia="MingLiU" w:cs="MingLiU"/>
      <w:sz w:val="21"/>
      <w:szCs w:val="21"/>
      <w:u w:val="none"/>
    </w:rPr>
  </w:style>
  <w:style w:type="character" w:customStyle="1" w:styleId="416">
    <w:name w:val="style61"/>
    <w:qFormat/>
    <w:uiPriority w:val="0"/>
    <w:rPr>
      <w:color w:val="FFFFFF"/>
      <w:sz w:val="36"/>
    </w:rPr>
  </w:style>
  <w:style w:type="character" w:customStyle="1" w:styleId="417">
    <w:name w:val="正文格式 Char"/>
    <w:link w:val="217"/>
    <w:qFormat/>
    <w:locked/>
    <w:uiPriority w:val="0"/>
    <w:rPr>
      <w:rFonts w:ascii="宋体" w:hAnsi="宋体"/>
      <w:kern w:val="2"/>
      <w:sz w:val="24"/>
      <w:szCs w:val="24"/>
    </w:rPr>
  </w:style>
  <w:style w:type="character" w:customStyle="1" w:styleId="418">
    <w:name w:val="正文文本缩进 3 字符3"/>
    <w:link w:val="34"/>
    <w:qFormat/>
    <w:locked/>
    <w:uiPriority w:val="99"/>
    <w:rPr>
      <w:sz w:val="16"/>
      <w:szCs w:val="16"/>
    </w:rPr>
  </w:style>
  <w:style w:type="character" w:customStyle="1" w:styleId="419">
    <w:name w:val="标题 2 字符"/>
    <w:qFormat/>
    <w:uiPriority w:val="9"/>
    <w:rPr>
      <w:rFonts w:ascii="Cambria" w:hAnsi="Cambria" w:eastAsia="宋体"/>
      <w:b/>
      <w:sz w:val="32"/>
    </w:rPr>
  </w:style>
  <w:style w:type="character" w:customStyle="1" w:styleId="420">
    <w:name w:val="正文文本 字符1"/>
    <w:qFormat/>
    <w:uiPriority w:val="0"/>
    <w:rPr>
      <w:rFonts w:ascii="宋体" w:hAnsi="宋体" w:eastAsia="宋体"/>
      <w:sz w:val="24"/>
    </w:rPr>
  </w:style>
  <w:style w:type="character" w:customStyle="1" w:styleId="421">
    <w:name w:val="_Style 420"/>
    <w:qFormat/>
    <w:uiPriority w:val="19"/>
    <w:rPr>
      <w:i/>
      <w:color w:val="808080"/>
    </w:rPr>
  </w:style>
  <w:style w:type="character" w:customStyle="1" w:styleId="422">
    <w:name w:val="标题 6 字符3"/>
    <w:link w:val="7"/>
    <w:qFormat/>
    <w:uiPriority w:val="9"/>
    <w:rPr>
      <w:rFonts w:ascii="Arial" w:hAnsi="Arial" w:eastAsia="黑体"/>
      <w:b/>
      <w:bCs/>
      <w:sz w:val="24"/>
      <w:szCs w:val="24"/>
    </w:rPr>
  </w:style>
  <w:style w:type="character" w:customStyle="1" w:styleId="423">
    <w:name w:val="font51"/>
    <w:qFormat/>
    <w:uiPriority w:val="0"/>
    <w:rPr>
      <w:rFonts w:hint="eastAsia" w:ascii="仿宋" w:hAnsi="仿宋" w:eastAsia="仿宋" w:cs="仿宋"/>
      <w:color w:val="040404"/>
      <w:sz w:val="22"/>
      <w:szCs w:val="22"/>
      <w:u w:val="none"/>
    </w:rPr>
  </w:style>
  <w:style w:type="character" w:customStyle="1" w:styleId="424">
    <w:name w:val="标题 9 字符1"/>
    <w:qFormat/>
    <w:uiPriority w:val="0"/>
    <w:rPr>
      <w:rFonts w:ascii="Arial" w:hAnsi="Arial" w:eastAsia="黑体"/>
      <w:kern w:val="0"/>
      <w:sz w:val="21"/>
    </w:rPr>
  </w:style>
  <w:style w:type="character" w:customStyle="1" w:styleId="425">
    <w:name w:val="纯文本 Char2"/>
    <w:qFormat/>
    <w:uiPriority w:val="0"/>
    <w:rPr>
      <w:rFonts w:ascii="宋体" w:hAnsi="Courier New" w:eastAsia="宋体"/>
      <w:kern w:val="0"/>
      <w:sz w:val="21"/>
    </w:rPr>
  </w:style>
  <w:style w:type="character" w:customStyle="1" w:styleId="426">
    <w:name w:val="三级标题 Char"/>
    <w:link w:val="172"/>
    <w:qFormat/>
    <w:locked/>
    <w:uiPriority w:val="0"/>
    <w:rPr>
      <w:rFonts w:ascii="Times New Roman" w:hAnsi="Times New Roman" w:eastAsia="黑体"/>
      <w:b/>
      <w:kern w:val="2"/>
      <w:sz w:val="24"/>
      <w:szCs w:val="24"/>
    </w:rPr>
  </w:style>
  <w:style w:type="character" w:customStyle="1" w:styleId="427">
    <w:name w:val="项_地面工程 Char"/>
    <w:link w:val="207"/>
    <w:qFormat/>
    <w:locked/>
    <w:uiPriority w:val="0"/>
    <w:rPr>
      <w:sz w:val="24"/>
    </w:rPr>
  </w:style>
  <w:style w:type="character" w:customStyle="1" w:styleId="428">
    <w:name w:val="标题 4 字符2"/>
    <w:qFormat/>
    <w:uiPriority w:val="9"/>
    <w:rPr>
      <w:rFonts w:ascii="黑体" w:hAnsi="Times New Roman" w:eastAsia="黑体"/>
      <w:b/>
      <w:kern w:val="2"/>
      <w:sz w:val="21"/>
      <w:szCs w:val="24"/>
    </w:rPr>
  </w:style>
  <w:style w:type="character" w:customStyle="1" w:styleId="429">
    <w:name w:val="标题 7 字符1"/>
    <w:qFormat/>
    <w:uiPriority w:val="0"/>
    <w:rPr>
      <w:rFonts w:ascii="Times New Roman" w:hAnsi="Times New Roman" w:eastAsia="宋体"/>
      <w:b/>
      <w:kern w:val="0"/>
      <w:sz w:val="24"/>
    </w:rPr>
  </w:style>
  <w:style w:type="character" w:customStyle="1" w:styleId="430">
    <w:name w:val="正文文本首行缩进 字符1"/>
    <w:link w:val="42"/>
    <w:qFormat/>
    <w:uiPriority w:val="99"/>
    <w:rPr>
      <w:rFonts w:ascii="宋体" w:hAnsi="宋体"/>
      <w:kern w:val="2"/>
      <w:sz w:val="24"/>
      <w:szCs w:val="22"/>
    </w:rPr>
  </w:style>
  <w:style w:type="character" w:customStyle="1" w:styleId="431">
    <w:name w:val="批注主题 字符3"/>
    <w:link w:val="41"/>
    <w:qFormat/>
    <w:uiPriority w:val="99"/>
    <w:rPr>
      <w:rFonts w:ascii="Times New Roman" w:hAnsi="Times New Roman"/>
      <w:b/>
      <w:bCs/>
      <w:kern w:val="2"/>
      <w:sz w:val="21"/>
      <w:szCs w:val="22"/>
    </w:rPr>
  </w:style>
  <w:style w:type="character" w:customStyle="1" w:styleId="432">
    <w:name w:val="标题 Char2"/>
    <w:qFormat/>
    <w:uiPriority w:val="10"/>
    <w:rPr>
      <w:rFonts w:ascii="Cambria" w:hAnsi="Cambria" w:eastAsia="宋体"/>
      <w:b/>
      <w:sz w:val="32"/>
    </w:rPr>
  </w:style>
  <w:style w:type="character" w:customStyle="1" w:styleId="433">
    <w:name w:val="列出段落 Char"/>
    <w:link w:val="55"/>
    <w:qFormat/>
    <w:locked/>
    <w:uiPriority w:val="0"/>
    <w:rPr>
      <w:kern w:val="2"/>
      <w:sz w:val="21"/>
      <w:szCs w:val="22"/>
    </w:rPr>
  </w:style>
  <w:style w:type="character" w:customStyle="1" w:styleId="434">
    <w:name w:val="标题 6 字符2"/>
    <w:qFormat/>
    <w:uiPriority w:val="9"/>
    <w:rPr>
      <w:rFonts w:ascii="Arial" w:hAnsi="Arial" w:eastAsia="黑体"/>
      <w:b/>
      <w:bCs/>
      <w:sz w:val="24"/>
      <w:szCs w:val="24"/>
    </w:rPr>
  </w:style>
  <w:style w:type="character" w:customStyle="1" w:styleId="435">
    <w:name w:val="标题 8 字符"/>
    <w:qFormat/>
    <w:uiPriority w:val="0"/>
    <w:rPr>
      <w:rFonts w:ascii="Arial" w:hAnsi="Arial" w:eastAsia="黑体"/>
      <w:kern w:val="0"/>
      <w:sz w:val="24"/>
    </w:rPr>
  </w:style>
  <w:style w:type="character" w:customStyle="1" w:styleId="436">
    <w:name w:val="标题 2 字符1"/>
    <w:qFormat/>
    <w:uiPriority w:val="0"/>
    <w:rPr>
      <w:rFonts w:ascii="Cambria" w:hAnsi="Cambria" w:eastAsia="宋体"/>
      <w:b/>
      <w:kern w:val="0"/>
      <w:sz w:val="32"/>
    </w:rPr>
  </w:style>
  <w:style w:type="character" w:customStyle="1" w:styleId="437">
    <w:name w:val="正文文本 (2) + 6 pt"/>
    <w:qFormat/>
    <w:uiPriority w:val="99"/>
    <w:rPr>
      <w:rFonts w:ascii="MingLiU" w:eastAsia="MingLiU" w:cs="MingLiU"/>
      <w:spacing w:val="0"/>
      <w:sz w:val="12"/>
      <w:szCs w:val="12"/>
      <w:u w:val="none"/>
      <w:shd w:val="clear" w:color="auto" w:fill="FFFFFF"/>
    </w:rPr>
  </w:style>
  <w:style w:type="character" w:customStyle="1" w:styleId="438">
    <w:name w:val="无间隔 字符1"/>
    <w:qFormat/>
    <w:locked/>
    <w:uiPriority w:val="1"/>
    <w:rPr>
      <w:sz w:val="22"/>
      <w:szCs w:val="22"/>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1.xml"/><Relationship Id="rId98" Type="http://schemas.openxmlformats.org/officeDocument/2006/relationships/image" Target="media/image83.wmf"/><Relationship Id="rId97" Type="http://schemas.openxmlformats.org/officeDocument/2006/relationships/oleObject" Target="embeddings/oleObject2.bin"/><Relationship Id="rId96" Type="http://schemas.openxmlformats.org/officeDocument/2006/relationships/image" Target="media/image82.emf"/><Relationship Id="rId95" Type="http://schemas.openxmlformats.org/officeDocument/2006/relationships/image" Target="media/image81.jpeg"/><Relationship Id="rId94" Type="http://schemas.openxmlformats.org/officeDocument/2006/relationships/image" Target="media/image80.jpeg"/><Relationship Id="rId93" Type="http://schemas.openxmlformats.org/officeDocument/2006/relationships/image" Target="media/image79.jpeg"/><Relationship Id="rId92" Type="http://schemas.openxmlformats.org/officeDocument/2006/relationships/image" Target="media/image78.jpeg"/><Relationship Id="rId91" Type="http://schemas.openxmlformats.org/officeDocument/2006/relationships/image" Target="media/image77.jpeg"/><Relationship Id="rId90" Type="http://schemas.openxmlformats.org/officeDocument/2006/relationships/image" Target="media/image76.emf"/><Relationship Id="rId9" Type="http://schemas.openxmlformats.org/officeDocument/2006/relationships/footer" Target="footer4.xml"/><Relationship Id="rId89" Type="http://schemas.openxmlformats.org/officeDocument/2006/relationships/image" Target="media/image75.png"/><Relationship Id="rId88" Type="http://schemas.openxmlformats.org/officeDocument/2006/relationships/image" Target="media/image74.emf"/><Relationship Id="rId87" Type="http://schemas.openxmlformats.org/officeDocument/2006/relationships/image" Target="media/image73.jpeg"/><Relationship Id="rId86" Type="http://schemas.openxmlformats.org/officeDocument/2006/relationships/image" Target="media/image72.jpeg"/><Relationship Id="rId85" Type="http://schemas.openxmlformats.org/officeDocument/2006/relationships/image" Target="media/image71.jpeg"/><Relationship Id="rId84" Type="http://schemas.openxmlformats.org/officeDocument/2006/relationships/image" Target="media/image70.jpeg"/><Relationship Id="rId83" Type="http://schemas.openxmlformats.org/officeDocument/2006/relationships/image" Target="media/image69.jpeg"/><Relationship Id="rId82" Type="http://schemas.openxmlformats.org/officeDocument/2006/relationships/image" Target="media/image68.jpeg"/><Relationship Id="rId81" Type="http://schemas.openxmlformats.org/officeDocument/2006/relationships/image" Target="media/image67.png"/><Relationship Id="rId80" Type="http://schemas.openxmlformats.org/officeDocument/2006/relationships/image" Target="media/image66.jpeg"/><Relationship Id="rId8" Type="http://schemas.openxmlformats.org/officeDocument/2006/relationships/header" Target="header3.xml"/><Relationship Id="rId79" Type="http://schemas.openxmlformats.org/officeDocument/2006/relationships/image" Target="media/image65.png"/><Relationship Id="rId78" Type="http://schemas.openxmlformats.org/officeDocument/2006/relationships/image" Target="media/image64.jpeg"/><Relationship Id="rId77" Type="http://schemas.openxmlformats.org/officeDocument/2006/relationships/image" Target="media/image63.jpeg"/><Relationship Id="rId76" Type="http://schemas.openxmlformats.org/officeDocument/2006/relationships/image" Target="media/image62.jpeg"/><Relationship Id="rId75" Type="http://schemas.openxmlformats.org/officeDocument/2006/relationships/image" Target="media/image61.jpe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jpe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header" Target="header2.xml"/><Relationship Id="rId69" Type="http://schemas.openxmlformats.org/officeDocument/2006/relationships/image" Target="media/image55.jpeg"/><Relationship Id="rId68" Type="http://schemas.openxmlformats.org/officeDocument/2006/relationships/image" Target="media/image54.jpeg"/><Relationship Id="rId67" Type="http://schemas.openxmlformats.org/officeDocument/2006/relationships/image" Target="media/image53.jpeg"/><Relationship Id="rId66" Type="http://schemas.openxmlformats.org/officeDocument/2006/relationships/image" Target="media/image52.jpeg"/><Relationship Id="rId65" Type="http://schemas.openxmlformats.org/officeDocument/2006/relationships/image" Target="media/image51.jpeg"/><Relationship Id="rId64" Type="http://schemas.openxmlformats.org/officeDocument/2006/relationships/image" Target="media/image50.jpeg"/><Relationship Id="rId63" Type="http://schemas.openxmlformats.org/officeDocument/2006/relationships/image" Target="media/image49.emf"/><Relationship Id="rId62" Type="http://schemas.openxmlformats.org/officeDocument/2006/relationships/image" Target="media/image48.jpeg"/><Relationship Id="rId61" Type="http://schemas.openxmlformats.org/officeDocument/2006/relationships/image" Target="media/image47.emf"/><Relationship Id="rId60" Type="http://schemas.openxmlformats.org/officeDocument/2006/relationships/image" Target="media/image46.jpeg"/><Relationship Id="rId6" Type="http://schemas.openxmlformats.org/officeDocument/2006/relationships/footer" Target="footer3.xml"/><Relationship Id="rId59" Type="http://schemas.openxmlformats.org/officeDocument/2006/relationships/image" Target="media/image45.png"/><Relationship Id="rId58" Type="http://schemas.openxmlformats.org/officeDocument/2006/relationships/image" Target="media/image44.png"/><Relationship Id="rId57" Type="http://schemas.openxmlformats.org/officeDocument/2006/relationships/image" Target="media/image43.jpeg"/><Relationship Id="rId56" Type="http://schemas.openxmlformats.org/officeDocument/2006/relationships/image" Target="media/image42.png"/><Relationship Id="rId55" Type="http://schemas.openxmlformats.org/officeDocument/2006/relationships/image" Target="media/image41.jpeg"/><Relationship Id="rId54" Type="http://schemas.openxmlformats.org/officeDocument/2006/relationships/image" Target="media/image40.jpe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jpeg"/><Relationship Id="rId50" Type="http://schemas.openxmlformats.org/officeDocument/2006/relationships/image" Target="media/image36.jpeg"/><Relationship Id="rId5" Type="http://schemas.openxmlformats.org/officeDocument/2006/relationships/footer" Target="footer2.xml"/><Relationship Id="rId49" Type="http://schemas.openxmlformats.org/officeDocument/2006/relationships/image" Target="media/image35.jpeg"/><Relationship Id="rId48" Type="http://schemas.openxmlformats.org/officeDocument/2006/relationships/image" Target="media/image34.jpeg"/><Relationship Id="rId47" Type="http://schemas.openxmlformats.org/officeDocument/2006/relationships/image" Target="media/image33.jpeg"/><Relationship Id="rId46" Type="http://schemas.openxmlformats.org/officeDocument/2006/relationships/image" Target="media/image32.jpeg"/><Relationship Id="rId45" Type="http://schemas.openxmlformats.org/officeDocument/2006/relationships/image" Target="media/image31.jpeg"/><Relationship Id="rId44" Type="http://schemas.openxmlformats.org/officeDocument/2006/relationships/image" Target="media/image30.jpeg"/><Relationship Id="rId43" Type="http://schemas.openxmlformats.org/officeDocument/2006/relationships/image" Target="media/image29.emf"/><Relationship Id="rId42" Type="http://schemas.openxmlformats.org/officeDocument/2006/relationships/image" Target="media/image28.png"/><Relationship Id="rId41" Type="http://schemas.openxmlformats.org/officeDocument/2006/relationships/image" Target="media/image27.emf"/><Relationship Id="rId40" Type="http://schemas.openxmlformats.org/officeDocument/2006/relationships/image" Target="media/image26.emf"/><Relationship Id="rId4" Type="http://schemas.openxmlformats.org/officeDocument/2006/relationships/footer" Target="footer1.xml"/><Relationship Id="rId39" Type="http://schemas.openxmlformats.org/officeDocument/2006/relationships/image" Target="media/image25.emf"/><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jpe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emf"/><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emf"/><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wmf"/><Relationship Id="rId21" Type="http://schemas.openxmlformats.org/officeDocument/2006/relationships/oleObject" Target="embeddings/oleObject1.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wmf"/><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header" Target="header4.xml"/><Relationship Id="rId11" Type="http://schemas.openxmlformats.org/officeDocument/2006/relationships/footer" Target="footer6.xml"/><Relationship Id="rId101" Type="http://schemas.openxmlformats.org/officeDocument/2006/relationships/fontTable" Target="fontTable.xml"/><Relationship Id="rId100" Type="http://schemas.openxmlformats.org/officeDocument/2006/relationships/numbering" Target="numbering.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119</Pages>
  <Words>66551</Words>
  <Characters>379347</Characters>
  <Lines>3161</Lines>
  <Paragraphs>890</Paragraphs>
  <TotalTime>2</TotalTime>
  <ScaleCrop>false</ScaleCrop>
  <LinksUpToDate>false</LinksUpToDate>
  <CharactersWithSpaces>445008</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2021-04-12T02:13:00Z</dcterms:created>
  <dc:creator>赵俊</dc:creator>
  <cp:lastModifiedBy>。</cp:lastModifiedBy>
  <cp:lastPrinted>2018-08-16T08:10:00Z</cp:lastPrinted>
  <dcterms:modified xsi:type="dcterms:W3CDTF">2022-07-04T02:14:50Z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F52ACC519451478DBBBFCDCCE5FA7EC0</vt:lpwstr>
  </property>
</Properties>
</file>