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hint="eastAsia" w:ascii="方正小标宋_GBK" w:hAnsi="方正小标宋_GBK" w:eastAsia="方正小标宋_GBK" w:cs="方正小标宋_GBK"/>
          <w:color w:val="auto"/>
          <w:sz w:val="28"/>
          <w:szCs w:val="28"/>
          <w:lang w:val="en-US" w:eastAsia="zh-CN"/>
        </w:rPr>
      </w:pPr>
      <w:r>
        <w:rPr>
          <w:rFonts w:hint="eastAsia" w:ascii="方正小标宋_GBK" w:hAnsi="方正小标宋_GBK" w:eastAsia="方正小标宋_GBK" w:cs="方正小标宋_GBK"/>
          <w:color w:val="auto"/>
          <w:sz w:val="28"/>
          <w:szCs w:val="28"/>
          <w:lang w:eastAsia="zh-CN"/>
        </w:rPr>
        <w:t>附件</w:t>
      </w:r>
      <w:r>
        <w:rPr>
          <w:rFonts w:hint="eastAsia" w:ascii="方正小标宋_GBK" w:hAnsi="方正小标宋_GBK" w:eastAsia="方正小标宋_GBK" w:cs="方正小标宋_GBK"/>
          <w:color w:val="auto"/>
          <w:sz w:val="28"/>
          <w:szCs w:val="28"/>
          <w:lang w:val="en-US" w:eastAsia="zh-CN"/>
        </w:rPr>
        <w:t>：</w:t>
      </w:r>
    </w:p>
    <w:p>
      <w:pPr>
        <w:spacing w:line="579" w:lineRule="exact"/>
        <w:jc w:val="left"/>
        <w:rPr>
          <w:rFonts w:hint="eastAsia" w:ascii="方正小标宋_GBK" w:hAnsi="方正小标宋_GBK" w:eastAsia="方正小标宋_GBK" w:cs="方正小标宋_GBK"/>
          <w:color w:val="auto"/>
          <w:sz w:val="44"/>
          <w:szCs w:val="44"/>
          <w:lang w:val="en-US" w:eastAsia="zh-CN"/>
        </w:rPr>
      </w:pPr>
    </w:p>
    <w:p>
      <w:pPr>
        <w:spacing w:line="579"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沙头街道办事处2</w:t>
      </w:r>
      <w:bookmarkStart w:id="2" w:name="_GoBack"/>
      <w:bookmarkEnd w:id="2"/>
      <w:r>
        <w:rPr>
          <w:rFonts w:hint="eastAsia" w:ascii="方正小标宋_GBK" w:hAnsi="方正小标宋_GBK" w:eastAsia="方正小标宋_GBK" w:cs="方正小标宋_GBK"/>
          <w:color w:val="auto"/>
          <w:sz w:val="44"/>
          <w:szCs w:val="44"/>
        </w:rPr>
        <w:t>02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年小型建设工程预算、</w:t>
      </w:r>
    </w:p>
    <w:p>
      <w:pPr>
        <w:spacing w:line="579"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结算</w:t>
      </w:r>
      <w:r>
        <w:rPr>
          <w:rFonts w:hint="eastAsia" w:ascii="方正小标宋_GBK" w:hAnsi="方正小标宋_GBK" w:eastAsia="方正小标宋_GBK" w:cs="方正小标宋_GBK"/>
          <w:color w:val="auto"/>
          <w:sz w:val="44"/>
          <w:szCs w:val="44"/>
          <w:lang w:eastAsia="zh-CN"/>
        </w:rPr>
        <w:t>审核</w:t>
      </w:r>
      <w:r>
        <w:rPr>
          <w:rFonts w:hint="eastAsia" w:ascii="方正小标宋_GBK" w:hAnsi="方正小标宋_GBK" w:eastAsia="方正小标宋_GBK" w:cs="方正小标宋_GBK"/>
          <w:color w:val="auto"/>
          <w:sz w:val="44"/>
          <w:szCs w:val="44"/>
        </w:rPr>
        <w:t>服务采购需求</w:t>
      </w:r>
    </w:p>
    <w:p>
      <w:pPr>
        <w:spacing w:line="579" w:lineRule="exact"/>
        <w:rPr>
          <w:rFonts w:ascii="仿宋_GB2312" w:hAnsi="仿宋_GB2312" w:eastAsia="仿宋_GB2312" w:cs="仿宋_GB2312"/>
          <w:color w:val="auto"/>
          <w:sz w:val="32"/>
          <w:szCs w:val="32"/>
        </w:rPr>
      </w:pPr>
    </w:p>
    <w:p>
      <w:p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一、项目概况</w:t>
      </w:r>
    </w:p>
    <w:p>
      <w:pPr>
        <w:widowControl/>
        <w:spacing w:line="579"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为进一步加强我街道200万元以下（不含200万元）小型建设工程项目良性发展，提高建设工程项目的管理水平，降低建设工程成本，挖潜增效，充分发挥财政资金效益。现需引入第三方</w:t>
      </w:r>
      <w:r>
        <w:rPr>
          <w:rFonts w:hint="eastAsia" w:ascii="仿宋_GB2312" w:hAnsi="仿宋_GB2312" w:eastAsia="仿宋_GB2312" w:cs="仿宋_GB2312"/>
          <w:color w:val="auto"/>
          <w:kern w:val="0"/>
          <w:sz w:val="32"/>
          <w:szCs w:val="32"/>
          <w:shd w:val="clear" w:color="auto" w:fill="FFFFFF"/>
          <w:lang w:bidi="ar"/>
        </w:rPr>
        <w:t>建设工程造价咨询机构</w:t>
      </w:r>
      <w:r>
        <w:rPr>
          <w:rFonts w:hint="eastAsia" w:ascii="仿宋_GB2312" w:hAnsi="仿宋_GB2312" w:eastAsia="仿宋_GB2312" w:cs="仿宋_GB2312"/>
          <w:color w:val="auto"/>
          <w:sz w:val="32"/>
          <w:szCs w:val="32"/>
        </w:rPr>
        <w:t>，为街道</w:t>
      </w:r>
      <w:r>
        <w:rPr>
          <w:rFonts w:hint="eastAsia" w:ascii="仿宋_GB2312" w:hAnsi="仿宋_GB2312" w:eastAsia="仿宋_GB2312" w:cs="仿宋_GB2312"/>
          <w:color w:val="auto"/>
          <w:sz w:val="32"/>
          <w:szCs w:val="32"/>
          <w:lang w:eastAsia="zh-CN"/>
        </w:rPr>
        <w:t>小型</w:t>
      </w:r>
      <w:r>
        <w:rPr>
          <w:rFonts w:hint="eastAsia" w:ascii="仿宋_GB2312" w:hAnsi="仿宋_GB2312" w:eastAsia="仿宋_GB2312" w:cs="仿宋_GB2312"/>
          <w:color w:val="auto"/>
          <w:sz w:val="32"/>
          <w:szCs w:val="32"/>
        </w:rPr>
        <w:t>建设工程项目提供预算</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结算审核服务。</w:t>
      </w:r>
    </w:p>
    <w:p>
      <w:pPr>
        <w:numPr>
          <w:ilvl w:val="0"/>
          <w:numId w:val="1"/>
        </w:num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成交原则说明</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本项目共选取两家成交供应商为我街道提供</w:t>
      </w:r>
      <w:r>
        <w:rPr>
          <w:rFonts w:hint="eastAsia" w:ascii="仿宋_GB2312" w:hAnsi="仿宋_GB2312" w:eastAsia="仿宋_GB2312" w:cs="仿宋_GB2312"/>
          <w:color w:val="auto"/>
          <w:sz w:val="32"/>
          <w:szCs w:val="32"/>
          <w:lang w:eastAsia="zh-CN"/>
        </w:rPr>
        <w:t>小型</w:t>
      </w:r>
      <w:r>
        <w:rPr>
          <w:rFonts w:hint="eastAsia" w:ascii="仿宋_GB2312" w:hAnsi="仿宋_GB2312" w:eastAsia="仿宋_GB2312" w:cs="仿宋_GB2312"/>
          <w:color w:val="auto"/>
          <w:sz w:val="32"/>
          <w:szCs w:val="32"/>
        </w:rPr>
        <w:t>建设工程项目审核服务，其中预算审核服务一家成交供应商，结算审核服务一家成交供应商。</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b/>
          <w:bCs/>
          <w:color w:val="auto"/>
          <w:sz w:val="32"/>
          <w:szCs w:val="32"/>
        </w:rPr>
        <w:t>预算审核服务为A包，结算审核服务为B包。A包、B包不可兼投兼中</w:t>
      </w:r>
      <w:r>
        <w:rPr>
          <w:rFonts w:hint="eastAsia" w:ascii="仿宋_GB2312" w:hAnsi="仿宋_GB2312" w:eastAsia="仿宋_GB2312" w:cs="仿宋_GB2312"/>
          <w:color w:val="auto"/>
          <w:sz w:val="32"/>
          <w:szCs w:val="32"/>
        </w:rPr>
        <w:t>。供应商根据自身情况选择其中一个包组进行响应</w:t>
      </w:r>
      <w:r>
        <w:rPr>
          <w:rFonts w:hint="eastAsia" w:ascii="仿宋_GB2312" w:hAnsi="仿宋_GB2312" w:eastAsia="仿宋_GB2312" w:cs="仿宋_GB2312"/>
          <w:color w:val="auto"/>
          <w:sz w:val="32"/>
          <w:szCs w:val="32"/>
          <w:lang w:eastAsia="zh-CN"/>
        </w:rPr>
        <w:t>，并在投标文件封面注明所投项目</w:t>
      </w:r>
      <w:r>
        <w:rPr>
          <w:rFonts w:hint="eastAsia" w:ascii="仿宋_GB2312" w:hAnsi="仿宋_GB2312" w:eastAsia="仿宋_GB2312" w:cs="仿宋_GB2312"/>
          <w:color w:val="auto"/>
          <w:sz w:val="32"/>
          <w:szCs w:val="32"/>
        </w:rPr>
        <w:t>。</w:t>
      </w:r>
    </w:p>
    <w:p>
      <w:p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三、商务需求</w:t>
      </w:r>
    </w:p>
    <w:p>
      <w:pPr>
        <w:spacing w:line="579" w:lineRule="exact"/>
        <w:ind w:firstLine="320" w:firstLineChars="100"/>
        <w:rPr>
          <w:rFonts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rPr>
        <w:t>（一）服务期：</w:t>
      </w:r>
      <w:r>
        <w:rPr>
          <w:rFonts w:hint="eastAsia" w:ascii="仿宋_GB2312" w:hAnsi="仿宋_GB2312" w:eastAsia="仿宋_GB2312" w:cs="仿宋_GB2312"/>
          <w:color w:val="auto"/>
          <w:sz w:val="32"/>
          <w:szCs w:val="32"/>
          <w:lang w:eastAsia="zh-CN"/>
        </w:rPr>
        <w:t>合同签订之日起</w:t>
      </w:r>
      <w:r>
        <w:rPr>
          <w:rFonts w:hint="eastAsia" w:ascii="仿宋_GB2312" w:hAnsi="仿宋_GB2312" w:eastAsia="仿宋_GB2312" w:cs="仿宋_GB2312"/>
          <w:color w:val="auto"/>
          <w:sz w:val="32"/>
          <w:szCs w:val="32"/>
        </w:rPr>
        <w:t>至2026年12月31日。</w:t>
      </w:r>
    </w:p>
    <w:p>
      <w:pPr>
        <w:spacing w:line="579" w:lineRule="exact"/>
        <w:ind w:firstLine="320" w:firstLineChars="100"/>
        <w:rPr>
          <w:rFonts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rPr>
        <w:t>（二）预算金额：</w:t>
      </w:r>
      <w:r>
        <w:rPr>
          <w:rFonts w:hint="eastAsia" w:ascii="仿宋_GB2312" w:hAnsi="仿宋_GB2312" w:eastAsia="仿宋_GB2312" w:cs="仿宋_GB2312"/>
          <w:b/>
          <w:bCs/>
          <w:color w:val="auto"/>
          <w:sz w:val="32"/>
          <w:szCs w:val="32"/>
        </w:rPr>
        <w:t>预算（A包）2</w:t>
      </w:r>
      <w:r>
        <w:rPr>
          <w:rFonts w:hint="eastAsia" w:ascii="仿宋_GB2312" w:hAnsi="仿宋_GB2312" w:eastAsia="仿宋_GB2312" w:cs="仿宋_GB2312"/>
          <w:b/>
          <w:bCs/>
          <w:color w:val="auto"/>
          <w:sz w:val="32"/>
          <w:szCs w:val="32"/>
          <w:lang w:val="en-US" w:eastAsia="zh-CN"/>
        </w:rPr>
        <w:t>0</w:t>
      </w:r>
      <w:r>
        <w:rPr>
          <w:rFonts w:hint="eastAsia" w:ascii="仿宋_GB2312" w:hAnsi="仿宋_GB2312" w:eastAsia="仿宋_GB2312" w:cs="仿宋_GB2312"/>
          <w:b/>
          <w:bCs/>
          <w:color w:val="auto"/>
          <w:sz w:val="32"/>
          <w:szCs w:val="32"/>
        </w:rPr>
        <w:t>万元；结算（B包）2</w:t>
      </w:r>
      <w:r>
        <w:rPr>
          <w:rFonts w:hint="eastAsia" w:ascii="仿宋_GB2312" w:hAnsi="仿宋_GB2312" w:eastAsia="仿宋_GB2312" w:cs="仿宋_GB2312"/>
          <w:b/>
          <w:bCs/>
          <w:color w:val="auto"/>
          <w:sz w:val="32"/>
          <w:szCs w:val="32"/>
          <w:lang w:val="en-US" w:eastAsia="zh-CN"/>
        </w:rPr>
        <w:t>0</w:t>
      </w:r>
      <w:r>
        <w:rPr>
          <w:rFonts w:hint="eastAsia" w:ascii="仿宋_GB2312" w:hAnsi="仿宋_GB2312" w:eastAsia="仿宋_GB2312" w:cs="仿宋_GB2312"/>
          <w:b/>
          <w:bCs/>
          <w:color w:val="auto"/>
          <w:sz w:val="32"/>
          <w:szCs w:val="32"/>
        </w:rPr>
        <w:t>万元。最终金额以实际审核项目数量据实结算。</w:t>
      </w:r>
    </w:p>
    <w:p>
      <w:pPr>
        <w:spacing w:line="579" w:lineRule="exact"/>
        <w:ind w:firstLine="320" w:firstLineChars="100"/>
        <w:rPr>
          <w:rFonts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rPr>
        <w:t>（三）报价要求：</w:t>
      </w:r>
      <w:r>
        <w:rPr>
          <w:rFonts w:hint="eastAsia" w:ascii="仿宋_GB2312" w:hAnsi="仿宋_GB2312" w:eastAsia="仿宋_GB2312" w:cs="仿宋_GB2312"/>
          <w:color w:val="auto"/>
          <w:sz w:val="32"/>
          <w:szCs w:val="32"/>
        </w:rPr>
        <w:t>投标人报价文件中需包含服务方案、报价、人员名单及相关资格证明,另外服务期间产生的交通费用及餐饮费用,由投标人自行解决。</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投标人需按项目单价进行报价（原则上阶梯式收费），核查项目数量以实际为准：</w:t>
      </w:r>
    </w:p>
    <w:tbl>
      <w:tblPr>
        <w:tblStyle w:val="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3"/>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403"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送审金额（万元）</w:t>
            </w:r>
          </w:p>
        </w:tc>
        <w:tc>
          <w:tcPr>
            <w:tcW w:w="4536"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单项报价（元/个）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03"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0≤金额&lt;10</w:t>
            </w:r>
          </w:p>
        </w:tc>
        <w:tc>
          <w:tcPr>
            <w:tcW w:w="4536" w:type="dxa"/>
          </w:tcPr>
          <w:p>
            <w:pPr>
              <w:spacing w:line="400" w:lineRule="exact"/>
              <w:jc w:val="center"/>
              <w:rPr>
                <w:rFonts w:ascii="Times New Roman" w:hAnsi="Times New Roman" w:eastAsia="宋体" w:cs="Times New Roman"/>
                <w:color w:val="auto"/>
                <w:sz w:val="24"/>
                <w:szCs w:val="32"/>
              </w:rPr>
            </w:pPr>
            <w:r>
              <w:rPr>
                <w:rFonts w:hint="eastAsia" w:ascii="Times New Roman" w:hAnsi="Times New Roman" w:eastAsia="宋体" w:cs="Times New Roman"/>
                <w:color w:val="auto"/>
                <w:sz w:val="24"/>
                <w:szCs w:val="32"/>
              </w:rPr>
              <w:t>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03"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10≤金额&lt;20</w:t>
            </w:r>
          </w:p>
        </w:tc>
        <w:tc>
          <w:tcPr>
            <w:tcW w:w="4536" w:type="dxa"/>
          </w:tcPr>
          <w:p>
            <w:pPr>
              <w:spacing w:line="400" w:lineRule="exact"/>
              <w:jc w:val="center"/>
              <w:rPr>
                <w:rFonts w:ascii="仿宋_GB2312" w:hAnsi="仿宋_GB2312" w:eastAsia="仿宋_GB2312" w:cs="仿宋_GB2312"/>
                <w:color w:val="auto"/>
                <w:sz w:val="36"/>
                <w:szCs w:val="36"/>
              </w:rPr>
            </w:pPr>
            <w:r>
              <w:rPr>
                <w:rFonts w:hint="eastAsia" w:ascii="Times New Roman" w:hAnsi="Times New Roman" w:eastAsia="宋体" w:cs="Times New Roman"/>
                <w:color w:val="auto"/>
                <w:sz w:val="24"/>
                <w:szCs w:val="32"/>
              </w:rPr>
              <w:t>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03"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20≤金额&lt;50</w:t>
            </w:r>
          </w:p>
        </w:tc>
        <w:tc>
          <w:tcPr>
            <w:tcW w:w="4536" w:type="dxa"/>
          </w:tcPr>
          <w:p>
            <w:pPr>
              <w:spacing w:line="400" w:lineRule="exact"/>
              <w:jc w:val="center"/>
              <w:rPr>
                <w:rFonts w:ascii="仿宋_GB2312" w:hAnsi="仿宋_GB2312" w:eastAsia="仿宋_GB2312" w:cs="仿宋_GB2312"/>
                <w:color w:val="auto"/>
                <w:sz w:val="36"/>
                <w:szCs w:val="36"/>
              </w:rPr>
            </w:pPr>
            <w:r>
              <w:rPr>
                <w:rFonts w:hint="eastAsia" w:ascii="Times New Roman" w:hAnsi="Times New Roman" w:eastAsia="宋体" w:cs="Times New Roman"/>
                <w:color w:val="auto"/>
                <w:sz w:val="24"/>
                <w:szCs w:val="32"/>
              </w:rPr>
              <w:t>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03"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50≤金额&lt;100</w:t>
            </w:r>
          </w:p>
        </w:tc>
        <w:tc>
          <w:tcPr>
            <w:tcW w:w="4536" w:type="dxa"/>
          </w:tcPr>
          <w:p>
            <w:pPr>
              <w:spacing w:line="400" w:lineRule="exact"/>
              <w:jc w:val="center"/>
              <w:rPr>
                <w:rFonts w:ascii="仿宋_GB2312" w:hAnsi="仿宋_GB2312" w:eastAsia="仿宋_GB2312" w:cs="仿宋_GB2312"/>
                <w:color w:val="auto"/>
                <w:sz w:val="36"/>
                <w:szCs w:val="36"/>
              </w:rPr>
            </w:pPr>
            <w:r>
              <w:rPr>
                <w:rFonts w:hint="eastAsia" w:ascii="Times New Roman" w:hAnsi="Times New Roman" w:eastAsia="宋体" w:cs="Times New Roman"/>
                <w:color w:val="auto"/>
                <w:sz w:val="24"/>
                <w:szCs w:val="32"/>
              </w:rPr>
              <w:t>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403" w:type="dxa"/>
            <w:vAlign w:val="center"/>
          </w:tcPr>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100≤金额&lt;200</w:t>
            </w:r>
          </w:p>
        </w:tc>
        <w:tc>
          <w:tcPr>
            <w:tcW w:w="4536" w:type="dxa"/>
          </w:tcPr>
          <w:p>
            <w:pPr>
              <w:spacing w:line="400" w:lineRule="exact"/>
              <w:jc w:val="center"/>
              <w:rPr>
                <w:rFonts w:ascii="仿宋_GB2312" w:hAnsi="仿宋_GB2312" w:eastAsia="仿宋_GB2312" w:cs="仿宋_GB2312"/>
                <w:color w:val="auto"/>
                <w:sz w:val="36"/>
                <w:szCs w:val="36"/>
              </w:rPr>
            </w:pPr>
            <w:r>
              <w:rPr>
                <w:rFonts w:hint="eastAsia" w:ascii="Times New Roman" w:hAnsi="Times New Roman" w:eastAsia="宋体" w:cs="Times New Roman"/>
                <w:color w:val="auto"/>
                <w:sz w:val="24"/>
                <w:szCs w:val="32"/>
              </w:rPr>
              <w:t>自行报价</w:t>
            </w:r>
          </w:p>
        </w:tc>
      </w:tr>
    </w:tbl>
    <w:p>
      <w:pPr>
        <w:spacing w:line="579" w:lineRule="exact"/>
        <w:ind w:firstLine="640" w:firstLineChars="200"/>
        <w:rPr>
          <w:rFonts w:ascii="仿宋_GB2312" w:hAnsi="仿宋_GB2312" w:eastAsia="仿宋_GB2312" w:cs="仿宋_GB2312"/>
          <w:color w:val="auto"/>
          <w:sz w:val="32"/>
          <w:szCs w:val="32"/>
        </w:rPr>
      </w:pPr>
      <w:r>
        <w:rPr>
          <w:rFonts w:hint="eastAsia" w:ascii="方正楷体_GBK" w:hAnsi="方正楷体_GBK" w:eastAsia="方正楷体_GBK" w:cs="方正楷体_GBK"/>
          <w:color w:val="auto"/>
          <w:sz w:val="32"/>
          <w:szCs w:val="32"/>
        </w:rPr>
        <w:t>（四）合同金额：</w:t>
      </w:r>
      <w:r>
        <w:rPr>
          <w:rFonts w:hint="eastAsia" w:ascii="仿宋_GB2312" w:hAnsi="仿宋_GB2312" w:eastAsia="仿宋_GB2312" w:cs="仿宋_GB2312"/>
          <w:color w:val="auto"/>
          <w:sz w:val="32"/>
          <w:szCs w:val="32"/>
        </w:rPr>
        <w:t>以实际支出为准。本项目审核收费金额以双方协商金额为准。</w:t>
      </w:r>
    </w:p>
    <w:p>
      <w:pPr>
        <w:spacing w:line="579"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四、项目管理和服务要求</w:t>
      </w:r>
    </w:p>
    <w:p>
      <w:pPr>
        <w:spacing w:line="579"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（一）严格按照合同协议及国家、深圳市相关政府部门出台的计价规范与标准，对工程价款进行全面评审，审核工作重点包括但不限于以下内容：</w:t>
      </w:r>
    </w:p>
    <w:p>
      <w:pPr>
        <w:spacing w:line="579"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zh-CN"/>
        </w:rPr>
        <w:t>对多算或重复计算的工程量进行审减。</w:t>
      </w:r>
    </w:p>
    <w:p>
      <w:pPr>
        <w:spacing w:line="579"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对高估冒算的建材价格进行审减。</w:t>
      </w:r>
    </w:p>
    <w:p>
      <w:pPr>
        <w:spacing w:line="579"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判别单位单项工程造价水平是否严重偏离同期同类工程。</w:t>
      </w:r>
    </w:p>
    <w:p>
      <w:pPr>
        <w:spacing w:line="579"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二）审核机构提供的成果文件应包括工程量计算底稿、审核报告及其附件、所有书面成果的电子文件等，审核报告内容包括审核结果概况、审核依据、审核说明、造价汇总表、造价审核对比表及计价表等。成果文件应由审核人员和中介机构负责人签字并加盖公章。</w:t>
      </w:r>
    </w:p>
    <w:p>
      <w:pPr>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（三）审核</w:t>
      </w:r>
      <w:r>
        <w:rPr>
          <w:rFonts w:hint="eastAsia" w:ascii="仿宋_GB2312" w:hAnsi="仿宋_GB2312" w:eastAsia="仿宋_GB2312" w:cs="仿宋_GB2312"/>
          <w:color w:val="auto"/>
          <w:sz w:val="32"/>
          <w:szCs w:val="32"/>
        </w:rPr>
        <w:t>机构审核工作应遵循公平、公正原则，严格遵守工程造价管理、基本建设财务管理等规定，落实监督、复核等内控程序，建立有效的审核质量控制体系。</w:t>
      </w:r>
    </w:p>
    <w:p>
      <w:p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w:t>
      </w:r>
      <w:r>
        <w:rPr>
          <w:rFonts w:hint="eastAsia" w:ascii="黑体" w:hAnsi="黑体" w:eastAsia="黑体" w:cs="黑体"/>
          <w:color w:val="auto"/>
          <w:sz w:val="32"/>
          <w:szCs w:val="32"/>
          <w:lang w:eastAsia="zh-CN"/>
        </w:rPr>
        <w:t>工作</w:t>
      </w:r>
      <w:r>
        <w:rPr>
          <w:rFonts w:hint="eastAsia" w:ascii="黑体" w:hAnsi="黑体" w:eastAsia="黑体" w:cs="黑体"/>
          <w:color w:val="auto"/>
          <w:sz w:val="32"/>
          <w:szCs w:val="32"/>
        </w:rPr>
        <w:t>要求</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（一）审核</w:t>
      </w:r>
      <w:r>
        <w:rPr>
          <w:rFonts w:hint="eastAsia" w:ascii="仿宋_GB2312" w:hAnsi="仿宋_GB2312" w:eastAsia="仿宋_GB2312" w:cs="仿宋_GB2312"/>
          <w:color w:val="auto"/>
          <w:sz w:val="32"/>
          <w:szCs w:val="32"/>
        </w:rPr>
        <w:t>机构审核工作应遵循公平、公正原则，严格遵守工程造价管理、基本建设财务管理等规定，落实监督、复核等内控程序，建立有效的审核质量控制体系。</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（二）</w:t>
      </w:r>
      <w:r>
        <w:rPr>
          <w:rFonts w:hint="eastAsia" w:ascii="仿宋_GB2312" w:hAnsi="仿宋_GB2312" w:eastAsia="仿宋_GB2312" w:cs="仿宋_GB2312"/>
          <w:color w:val="auto"/>
          <w:sz w:val="32"/>
          <w:szCs w:val="32"/>
          <w:lang w:val="zh-CN" w:eastAsia="zh-Hans"/>
        </w:rPr>
        <w:t>严格按照国家、深圳市有关部门的规定及</w:t>
      </w:r>
      <w:r>
        <w:rPr>
          <w:rFonts w:hint="eastAsia" w:ascii="仿宋_GB2312" w:hAnsi="仿宋_GB2312" w:eastAsia="仿宋_GB2312" w:cs="仿宋_GB2312"/>
          <w:color w:val="auto"/>
          <w:sz w:val="32"/>
          <w:szCs w:val="32"/>
          <w:lang w:val="zh-CN"/>
        </w:rPr>
        <w:t>工程</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zh-CN" w:eastAsia="zh-Hans"/>
        </w:rPr>
        <w:t>的要求</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zh-CN" w:eastAsia="zh-Hans"/>
        </w:rPr>
        <w:t>必要的</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zh-CN" w:eastAsia="zh-Hans"/>
        </w:rPr>
        <w:t>程序，</w:t>
      </w:r>
      <w:r>
        <w:rPr>
          <w:rFonts w:hint="eastAsia" w:ascii="仿宋_GB2312" w:hAnsi="仿宋_GB2312" w:eastAsia="仿宋_GB2312" w:cs="仿宋_GB2312"/>
          <w:color w:val="auto"/>
          <w:sz w:val="32"/>
          <w:szCs w:val="32"/>
          <w:lang w:val="zh-CN"/>
        </w:rPr>
        <w:t>出具</w:t>
      </w:r>
      <w:r>
        <w:rPr>
          <w:rFonts w:hint="eastAsia" w:ascii="仿宋_GB2312" w:hAnsi="仿宋_GB2312" w:eastAsia="仿宋_GB2312" w:cs="仿宋_GB2312"/>
          <w:color w:val="auto"/>
          <w:sz w:val="32"/>
          <w:szCs w:val="32"/>
        </w:rPr>
        <w:t>审核报告</w:t>
      </w:r>
      <w:r>
        <w:rPr>
          <w:rFonts w:hint="eastAsia" w:ascii="仿宋_GB2312" w:hAnsi="仿宋_GB2312" w:eastAsia="仿宋_GB2312" w:cs="仿宋_GB2312"/>
          <w:color w:val="auto"/>
          <w:sz w:val="32"/>
          <w:szCs w:val="32"/>
          <w:lang w:val="zh-CN" w:eastAsia="zh-Hans"/>
        </w:rPr>
        <w:t>，提供成果资料，并配合</w:t>
      </w:r>
      <w:r>
        <w:rPr>
          <w:rFonts w:hint="eastAsia" w:ascii="仿宋_GB2312" w:hAnsi="仿宋_GB2312" w:eastAsia="仿宋_GB2312" w:cs="仿宋_GB2312"/>
          <w:color w:val="auto"/>
          <w:sz w:val="32"/>
          <w:szCs w:val="32"/>
        </w:rPr>
        <w:t>财政</w:t>
      </w:r>
      <w:r>
        <w:rPr>
          <w:rFonts w:hint="eastAsia" w:ascii="仿宋_GB2312" w:hAnsi="仿宋_GB2312" w:eastAsia="仿宋_GB2312" w:cs="仿宋_GB2312"/>
          <w:color w:val="auto"/>
          <w:sz w:val="32"/>
          <w:szCs w:val="32"/>
          <w:lang w:val="zh-CN"/>
        </w:rPr>
        <w:t>局</w:t>
      </w:r>
      <w:r>
        <w:rPr>
          <w:rFonts w:hint="eastAsia" w:ascii="仿宋_GB2312" w:hAnsi="仿宋_GB2312" w:eastAsia="仿宋_GB2312" w:cs="仿宋_GB2312"/>
          <w:color w:val="auto"/>
          <w:sz w:val="32"/>
          <w:szCs w:val="32"/>
        </w:rPr>
        <w:t>审核</w:t>
      </w:r>
      <w:r>
        <w:rPr>
          <w:rFonts w:hint="eastAsia" w:ascii="仿宋_GB2312" w:hAnsi="仿宋_GB2312" w:eastAsia="仿宋_GB2312" w:cs="仿宋_GB2312"/>
          <w:color w:val="auto"/>
          <w:sz w:val="32"/>
          <w:szCs w:val="32"/>
          <w:lang w:val="zh-CN" w:eastAsia="zh-Hans"/>
        </w:rPr>
        <w:t>工作。</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（三）</w:t>
      </w:r>
      <w:r>
        <w:rPr>
          <w:rFonts w:hint="eastAsia" w:ascii="仿宋_GB2312" w:hAnsi="仿宋_GB2312" w:eastAsia="仿宋_GB2312" w:cs="仿宋_GB2312"/>
          <w:color w:val="auto"/>
          <w:sz w:val="32"/>
          <w:szCs w:val="32"/>
        </w:rPr>
        <w:t>中标公司须做好保密工作，如需要与项目相关单位（如建设单位、施工单位、设计、施工、监理等）沟通联系的，均应提前和甲方人员沟通后进行。</w:t>
      </w:r>
    </w:p>
    <w:p>
      <w:p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六、评标信息</w:t>
      </w:r>
    </w:p>
    <w:p>
      <w:pPr>
        <w:spacing w:line="579"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本次评标采用综合评分法，按照招标文件中规定的各项因素进行量化打分，以评标总得分最高的供应商为中标候选供应商。</w:t>
      </w:r>
    </w:p>
    <w:p>
      <w:pPr>
        <w:spacing w:line="579"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中标供应商按评审后得分由高到低顺序排序。得分排名前3名的供应商作为中标候选人。得分相同的，按投标报价由低到高排列。得分且投标报价相同的，按技术指标优劣顺序排列。综合得分、投标报价及技术得分均相同的，评标委员会成员通过表决以少数服从多数原则，决定列前中标候选人。</w:t>
      </w:r>
    </w:p>
    <w:p>
      <w:pPr>
        <w:pStyle w:val="2"/>
        <w:tabs>
          <w:tab w:val="left" w:pos="562"/>
          <w:tab w:val="left" w:pos="3372"/>
          <w:tab w:val="left" w:pos="3653"/>
        </w:tabs>
        <w:spacing w:line="579"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价格分应当采用低价优先法计算，即满足招标文件要求且投标价格最低的投标报价为评标基准价，其价格分为满分。其他投标人的价格分统一按照下列公式计算：</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投标报价得分=(评标基准价/投标报价)×100</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评标总得分=F1×A1+F2×A2+……+Fn×An</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F1、F2……Fn分别为各项评审因素的得分；</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A1、A2、……An 分别为各项评审因素所占的权重(A1+A2+……+An=1)。</w:t>
      </w:r>
    </w:p>
    <w:p>
      <w:pPr>
        <w:spacing w:line="579"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评标委员会对每个通过资格性检查和符合性检查且报价不超过预算控制金额的投标供应商进行评审、打分，然后汇总每个投标供应商每项评分因素的评分，得分精确到小数点后两位（四舍五入）。</w:t>
      </w:r>
    </w:p>
    <w:p>
      <w:pPr>
        <w:spacing w:line="579"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评委会在评标时，按照以下量化的评审因素，对进入该阶段评审的各投标文件进行分析和比较：</w:t>
      </w:r>
    </w:p>
    <w:tbl>
      <w:tblPr>
        <w:tblStyle w:val="8"/>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221"/>
        <w:gridCol w:w="1020"/>
        <w:gridCol w:w="54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序号</w:t>
            </w:r>
          </w:p>
        </w:tc>
        <w:tc>
          <w:tcPr>
            <w:tcW w:w="2921"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评分项</w:t>
            </w:r>
          </w:p>
        </w:tc>
        <w:tc>
          <w:tcPr>
            <w:tcW w:w="5471"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1</w:t>
            </w:r>
          </w:p>
        </w:tc>
        <w:tc>
          <w:tcPr>
            <w:tcW w:w="2921"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Times New Roman" w:hAnsi="Times New Roman" w:eastAsia="宋体" w:cs="Times New Roman"/>
                <w:b/>
                <w:bCs/>
                <w:color w:val="auto"/>
              </w:rPr>
            </w:pPr>
            <w:r>
              <w:rPr>
                <w:rFonts w:ascii="Times New Roman" w:hAnsi="Times New Roman" w:eastAsia="宋体" w:cs="Times New Roman"/>
                <w:b/>
                <w:bCs/>
                <w:color w:val="auto"/>
              </w:rPr>
              <w:t>价格</w:t>
            </w:r>
          </w:p>
        </w:tc>
        <w:tc>
          <w:tcPr>
            <w:tcW w:w="5471" w:type="dxa"/>
            <w:tcBorders>
              <w:top w:val="single" w:color="000000" w:sz="8" w:space="0"/>
              <w:left w:val="single" w:color="000000" w:sz="8" w:space="0"/>
              <w:bottom w:val="single" w:color="000000" w:sz="8" w:space="0"/>
              <w:right w:val="single" w:color="000000" w:sz="8" w:space="0"/>
            </w:tcBorders>
          </w:tcPr>
          <w:p>
            <w:pPr>
              <w:wordWrap w:val="0"/>
              <w:jc w:val="center"/>
              <w:rPr>
                <w:rFonts w:ascii="Times New Roman" w:hAnsi="Times New Roman" w:eastAsia="宋体" w:cs="Times New Roman"/>
                <w:b/>
                <w:bCs/>
                <w:color w:val="auto"/>
              </w:rPr>
            </w:pPr>
            <w:r>
              <w:rPr>
                <w:rFonts w:hint="eastAsia" w:ascii="Times New Roman" w:hAnsi="Times New Roman" w:eastAsia="宋体" w:cs="Times New Roman"/>
                <w:b/>
                <w:bCs/>
                <w:color w:val="auto"/>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2</w:t>
            </w:r>
          </w:p>
        </w:tc>
        <w:tc>
          <w:tcPr>
            <w:tcW w:w="2921"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Times New Roman" w:hAnsi="Times New Roman" w:eastAsia="宋体" w:cs="Times New Roman"/>
                <w:b/>
                <w:bCs/>
                <w:color w:val="auto"/>
              </w:rPr>
            </w:pPr>
            <w:r>
              <w:rPr>
                <w:rFonts w:ascii="Times New Roman" w:hAnsi="Times New Roman" w:eastAsia="宋体" w:cs="Times New Roman"/>
                <w:b/>
                <w:bCs/>
                <w:color w:val="auto"/>
              </w:rPr>
              <w:t>技术</w:t>
            </w:r>
            <w:r>
              <w:rPr>
                <w:rFonts w:hint="eastAsia" w:ascii="Times New Roman" w:hAnsi="Times New Roman" w:eastAsia="宋体" w:cs="Times New Roman"/>
                <w:b/>
                <w:bCs/>
                <w:color w:val="auto"/>
              </w:rPr>
              <w:t>部分</w:t>
            </w:r>
          </w:p>
        </w:tc>
        <w:tc>
          <w:tcPr>
            <w:tcW w:w="5471" w:type="dxa"/>
            <w:tcBorders>
              <w:top w:val="single" w:color="000000" w:sz="8" w:space="0"/>
              <w:left w:val="single" w:color="000000" w:sz="8" w:space="0"/>
              <w:bottom w:val="single" w:color="000000" w:sz="8" w:space="0"/>
              <w:right w:val="single" w:color="000000" w:sz="8" w:space="0"/>
            </w:tcBorders>
          </w:tcPr>
          <w:p>
            <w:pPr>
              <w:wordWrap w:val="0"/>
              <w:jc w:val="center"/>
              <w:rPr>
                <w:rFonts w:ascii="Times New Roman" w:hAnsi="Times New Roman" w:eastAsia="宋体" w:cs="Times New Roman"/>
                <w:b/>
                <w:bCs/>
                <w:color w:val="auto"/>
              </w:rPr>
            </w:pPr>
            <w:r>
              <w:rPr>
                <w:rFonts w:ascii="Times New Roman" w:hAnsi="Times New Roman" w:eastAsia="宋体" w:cs="Times New Roman"/>
                <w:b/>
                <w:bCs/>
                <w:color w:val="auto"/>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eastAsia="宋体" w:cs="宋体"/>
                <w:b/>
                <w:bCs/>
                <w:color w:val="auto"/>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权重</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hint="eastAsia" w:ascii="宋体" w:hAnsi="宋体" w:eastAsia="宋体" w:cs="宋体"/>
                <w:color w:val="auto"/>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color w:val="auto"/>
                <w:szCs w:val="21"/>
              </w:rPr>
            </w:pPr>
            <w:r>
              <w:rPr>
                <w:rFonts w:hint="eastAsia" w:ascii="宋体" w:hAnsi="宋体" w:eastAsia="宋体" w:cs="Times New Roman"/>
                <w:color w:val="auto"/>
                <w:szCs w:val="21"/>
              </w:rPr>
              <w:t>服务方案</w:t>
            </w:r>
          </w:p>
        </w:tc>
        <w:tc>
          <w:tcPr>
            <w:tcW w:w="102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ascii="宋体" w:hAnsi="宋体" w:eastAsia="宋体" w:cs="宋体"/>
                <w:color w:val="auto"/>
                <w:szCs w:val="21"/>
              </w:rPr>
              <w:t>30</w:t>
            </w:r>
          </w:p>
        </w:tc>
        <w:tc>
          <w:tcPr>
            <w:tcW w:w="5471" w:type="dxa"/>
            <w:tcBorders>
              <w:top w:val="single" w:color="000000" w:sz="8" w:space="0"/>
              <w:left w:val="single" w:color="000000" w:sz="8" w:space="0"/>
              <w:bottom w:val="single" w:color="000000" w:sz="8" w:space="0"/>
              <w:right w:val="single" w:color="000000" w:sz="8" w:space="0"/>
            </w:tcBorders>
          </w:tcPr>
          <w:p>
            <w:pPr>
              <w:wordWrap w:val="0"/>
              <w:rPr>
                <w:rFonts w:ascii="Times New Roman" w:hAnsi="宋体" w:eastAsia="宋体" w:cs="Times New Roman"/>
                <w:b/>
                <w:bCs/>
                <w:color w:val="auto"/>
                <w:szCs w:val="21"/>
              </w:rPr>
            </w:pPr>
            <w:r>
              <w:rPr>
                <w:rFonts w:hint="eastAsia" w:ascii="Times New Roman" w:hAnsi="宋体" w:eastAsia="宋体" w:cs="Times New Roman"/>
                <w:b/>
                <w:bCs/>
                <w:color w:val="auto"/>
                <w:szCs w:val="21"/>
              </w:rPr>
              <w:t>（一）评分内容：</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 xml:space="preserve">针对本项目的需求制定实施方案，内容包括： </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1、</w:t>
            </w:r>
            <w:r>
              <w:rPr>
                <w:rFonts w:ascii="宋体" w:hAnsi="宋体" w:eastAsia="宋体" w:cs="宋体"/>
                <w:bCs/>
                <w:color w:val="auto"/>
                <w:sz w:val="22"/>
                <w:szCs w:val="22"/>
              </w:rPr>
              <w:t>项目服务内容理解；</w:t>
            </w:r>
            <w:r>
              <w:rPr>
                <w:rFonts w:hint="eastAsia" w:ascii="Times New Roman" w:hAnsi="宋体" w:eastAsia="宋体" w:cs="Times New Roman"/>
                <w:color w:val="auto"/>
                <w:szCs w:val="21"/>
              </w:rPr>
              <w:t xml:space="preserve"> </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2、</w:t>
            </w:r>
            <w:r>
              <w:rPr>
                <w:rFonts w:ascii="宋体" w:hAnsi="宋体" w:eastAsia="宋体" w:cs="宋体"/>
                <w:bCs/>
                <w:color w:val="auto"/>
                <w:sz w:val="22"/>
                <w:szCs w:val="22"/>
              </w:rPr>
              <w:t>工作流程及措施；</w:t>
            </w:r>
            <w:r>
              <w:rPr>
                <w:rFonts w:hint="eastAsia" w:ascii="Times New Roman" w:hAnsi="宋体" w:eastAsia="宋体" w:cs="Times New Roman"/>
                <w:color w:val="auto"/>
                <w:szCs w:val="21"/>
              </w:rPr>
              <w:t xml:space="preserve"> </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3、项目进度、质量保障措施；</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4、售后服务措施；</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lang w:val="en-US" w:eastAsia="zh-CN"/>
              </w:rPr>
              <w:t>5</w:t>
            </w:r>
            <w:r>
              <w:rPr>
                <w:rFonts w:hint="eastAsia" w:ascii="Times New Roman" w:hAnsi="宋体" w:eastAsia="宋体" w:cs="Times New Roman"/>
                <w:color w:val="auto"/>
                <w:szCs w:val="21"/>
              </w:rPr>
              <w:t>、自身优势。</w:t>
            </w:r>
          </w:p>
          <w:p>
            <w:pPr>
              <w:wordWrap w:val="0"/>
              <w:rPr>
                <w:rFonts w:ascii="Times New Roman" w:hAnsi="宋体" w:eastAsia="宋体" w:cs="Times New Roman"/>
                <w:b/>
                <w:bCs/>
                <w:color w:val="auto"/>
                <w:szCs w:val="21"/>
              </w:rPr>
            </w:pPr>
            <w:r>
              <w:rPr>
                <w:rFonts w:hint="eastAsia" w:ascii="Times New Roman" w:hAnsi="宋体" w:eastAsia="宋体" w:cs="Times New Roman"/>
                <w:b/>
                <w:bCs/>
                <w:color w:val="auto"/>
                <w:szCs w:val="21"/>
              </w:rPr>
              <w:t>（二）评分依据：</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1、考察以上</w:t>
            </w:r>
            <w:r>
              <w:rPr>
                <w:rFonts w:hint="eastAsia" w:ascii="Times New Roman" w:hAnsi="宋体" w:eastAsia="宋体" w:cs="Times New Roman"/>
                <w:color w:val="auto"/>
                <w:szCs w:val="21"/>
                <w:lang w:val="en-US" w:eastAsia="zh-CN"/>
              </w:rPr>
              <w:t>5</w:t>
            </w:r>
            <w:r>
              <w:rPr>
                <w:rFonts w:hint="eastAsia" w:ascii="Times New Roman" w:hAnsi="宋体" w:eastAsia="宋体" w:cs="Times New Roman"/>
                <w:color w:val="auto"/>
                <w:szCs w:val="21"/>
              </w:rPr>
              <w:t>点，满足一点得</w:t>
            </w:r>
            <w:r>
              <w:rPr>
                <w:rFonts w:ascii="Times New Roman" w:hAnsi="宋体" w:eastAsia="宋体" w:cs="Times New Roman"/>
                <w:color w:val="auto"/>
                <w:szCs w:val="21"/>
              </w:rPr>
              <w:t>10</w:t>
            </w:r>
            <w:r>
              <w:rPr>
                <w:rFonts w:hint="eastAsia" w:ascii="Times New Roman" w:hAnsi="宋体" w:eastAsia="宋体" w:cs="Times New Roman"/>
                <w:color w:val="auto"/>
                <w:szCs w:val="21"/>
              </w:rPr>
              <w:t>分，满分为</w:t>
            </w:r>
            <w:r>
              <w:rPr>
                <w:rFonts w:hint="eastAsia" w:ascii="Times New Roman" w:hAnsi="宋体" w:eastAsia="宋体" w:cs="Times New Roman"/>
                <w:color w:val="auto"/>
                <w:szCs w:val="21"/>
                <w:lang w:val="en-US" w:eastAsia="zh-CN"/>
              </w:rPr>
              <w:t>5</w:t>
            </w:r>
            <w:r>
              <w:rPr>
                <w:rFonts w:hint="eastAsia" w:ascii="Times New Roman" w:hAnsi="宋体" w:eastAsia="宋体" w:cs="Times New Roman"/>
                <w:color w:val="auto"/>
                <w:szCs w:val="21"/>
              </w:rPr>
              <w:t>0分。考察点全部不满足，不得分。</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2、在此基础上，评审委员根据各供应商的具体响应内容按照量化的评审因素指标进一步评审：</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（1）评审为优（如响应内容全面、清晰、针对性强、科学合理、可操作性强）的，加</w:t>
            </w:r>
            <w:r>
              <w:rPr>
                <w:rFonts w:hint="eastAsia" w:ascii="Times New Roman" w:hAnsi="宋体" w:eastAsia="宋体" w:cs="Times New Roman"/>
                <w:color w:val="auto"/>
                <w:szCs w:val="21"/>
                <w:lang w:val="en-US" w:eastAsia="zh-CN"/>
              </w:rPr>
              <w:t>5</w:t>
            </w:r>
            <w:r>
              <w:rPr>
                <w:rFonts w:hint="eastAsia" w:ascii="Times New Roman" w:hAnsi="宋体" w:eastAsia="宋体" w:cs="Times New Roman"/>
                <w:color w:val="auto"/>
                <w:szCs w:val="21"/>
              </w:rPr>
              <w:t>0</w:t>
            </w:r>
            <w:r>
              <w:rPr>
                <w:rFonts w:hint="eastAsia" w:ascii="宋体" w:hAnsi="宋体" w:eastAsia="宋体" w:cs="宋体"/>
                <w:color w:val="auto"/>
                <w:kern w:val="0"/>
                <w:szCs w:val="21"/>
              </w:rPr>
              <w:t>分</w:t>
            </w:r>
            <w:r>
              <w:rPr>
                <w:rFonts w:hint="eastAsia" w:ascii="Times New Roman" w:hAnsi="宋体" w:eastAsia="宋体" w:cs="Times New Roman"/>
                <w:color w:val="auto"/>
                <w:szCs w:val="21"/>
              </w:rPr>
              <w:t>；</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（2）评审为良（如响应内容较全面、较清晰、针对性较强、较科学合理、可操作性较强）的，加</w:t>
            </w:r>
            <w:r>
              <w:rPr>
                <w:rFonts w:ascii="Times New Roman" w:hAnsi="宋体" w:eastAsia="宋体" w:cs="Times New Roman"/>
                <w:color w:val="auto"/>
                <w:szCs w:val="21"/>
              </w:rPr>
              <w:t>25</w:t>
            </w:r>
            <w:r>
              <w:rPr>
                <w:rFonts w:hint="eastAsia" w:ascii="宋体" w:hAnsi="宋体" w:eastAsia="宋体" w:cs="宋体"/>
                <w:color w:val="auto"/>
                <w:kern w:val="0"/>
                <w:szCs w:val="21"/>
              </w:rPr>
              <w:t>分</w:t>
            </w:r>
            <w:r>
              <w:rPr>
                <w:rFonts w:hint="eastAsia" w:ascii="Times New Roman" w:hAnsi="宋体" w:eastAsia="宋体" w:cs="Times New Roman"/>
                <w:color w:val="auto"/>
                <w:szCs w:val="21"/>
              </w:rPr>
              <w:t>；</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（3）评审为中（如响应内容基本完整，针对性一般，可操作性一般）的，加</w:t>
            </w:r>
            <w:r>
              <w:rPr>
                <w:rFonts w:ascii="Times New Roman" w:hAnsi="宋体" w:eastAsia="宋体" w:cs="Times New Roman"/>
                <w:color w:val="auto"/>
                <w:szCs w:val="21"/>
              </w:rPr>
              <w:t>1</w:t>
            </w:r>
            <w:r>
              <w:rPr>
                <w:rFonts w:hint="eastAsia" w:ascii="Times New Roman" w:hAnsi="宋体" w:eastAsia="宋体" w:cs="Times New Roman"/>
                <w:color w:val="auto"/>
                <w:szCs w:val="21"/>
              </w:rPr>
              <w:t>0</w:t>
            </w:r>
            <w:r>
              <w:rPr>
                <w:rFonts w:hint="eastAsia" w:ascii="宋体" w:hAnsi="宋体" w:eastAsia="宋体" w:cs="宋体"/>
                <w:color w:val="auto"/>
                <w:kern w:val="0"/>
                <w:szCs w:val="21"/>
              </w:rPr>
              <w:t>分</w:t>
            </w:r>
            <w:r>
              <w:rPr>
                <w:rFonts w:hint="eastAsia" w:ascii="Times New Roman" w:hAnsi="宋体" w:eastAsia="宋体" w:cs="Times New Roman"/>
                <w:color w:val="auto"/>
                <w:szCs w:val="21"/>
              </w:rPr>
              <w:t>；</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（4）评审为差（如响应内容缺失或与项目关联度不大）的，加0</w:t>
            </w:r>
            <w:r>
              <w:rPr>
                <w:rFonts w:hint="eastAsia" w:ascii="宋体" w:hAnsi="宋体" w:eastAsia="宋体" w:cs="宋体"/>
                <w:color w:val="auto"/>
                <w:kern w:val="0"/>
                <w:szCs w:val="21"/>
              </w:rPr>
              <w:t>分</w:t>
            </w:r>
            <w:r>
              <w:rPr>
                <w:rFonts w:hint="eastAsia" w:ascii="Times New Roman" w:hAnsi="宋体" w:eastAsia="宋体" w:cs="Times New Roman"/>
                <w:color w:val="auto"/>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ascii="宋体" w:hAnsi="宋体" w:eastAsia="宋体" w:cs="宋体"/>
                <w:color w:val="auto"/>
                <w:szCs w:val="21"/>
              </w:rPr>
              <w:t>2</w:t>
            </w:r>
          </w:p>
        </w:tc>
        <w:tc>
          <w:tcPr>
            <w:tcW w:w="122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color w:val="auto"/>
                <w:szCs w:val="21"/>
              </w:rPr>
            </w:pPr>
            <w:r>
              <w:rPr>
                <w:rFonts w:hint="eastAsia" w:ascii="宋体" w:hAnsi="宋体" w:eastAsia="宋体" w:cs="Times New Roman"/>
                <w:color w:val="auto"/>
                <w:szCs w:val="21"/>
              </w:rPr>
              <w:t>拟派本项目的服务人数、服务人员素质</w:t>
            </w:r>
          </w:p>
        </w:tc>
        <w:tc>
          <w:tcPr>
            <w:tcW w:w="102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ascii="宋体" w:hAnsi="宋体" w:eastAsia="宋体" w:cs="宋体"/>
                <w:color w:val="auto"/>
                <w:szCs w:val="21"/>
              </w:rPr>
              <w:t>15</w:t>
            </w:r>
          </w:p>
        </w:tc>
        <w:tc>
          <w:tcPr>
            <w:tcW w:w="5471" w:type="dxa"/>
            <w:tcBorders>
              <w:top w:val="single" w:color="000000" w:sz="8" w:space="0"/>
              <w:left w:val="single" w:color="000000" w:sz="8" w:space="0"/>
              <w:bottom w:val="single" w:color="000000" w:sz="8" w:space="0"/>
              <w:right w:val="single" w:color="000000" w:sz="8" w:space="0"/>
            </w:tcBorders>
          </w:tcPr>
          <w:p>
            <w:pPr>
              <w:numPr>
                <w:ilvl w:val="0"/>
                <w:numId w:val="2"/>
              </w:numPr>
              <w:wordWrap w:val="0"/>
              <w:rPr>
                <w:rFonts w:ascii="Times New Roman" w:hAnsi="宋体" w:eastAsia="宋体" w:cs="Times New Roman"/>
                <w:b/>
                <w:bCs/>
                <w:color w:val="auto"/>
                <w:szCs w:val="21"/>
              </w:rPr>
            </w:pPr>
            <w:r>
              <w:rPr>
                <w:rFonts w:hint="eastAsia" w:ascii="Times New Roman" w:hAnsi="宋体" w:eastAsia="宋体" w:cs="Times New Roman"/>
                <w:b/>
                <w:bCs/>
                <w:color w:val="auto"/>
                <w:szCs w:val="21"/>
              </w:rPr>
              <w:t>评分内容：</w:t>
            </w:r>
          </w:p>
          <w:p>
            <w:pPr>
              <w:widowControl/>
              <w:jc w:val="left"/>
              <w:rPr>
                <w:rFonts w:hint="eastAsia" w:ascii="宋体" w:hAnsi="宋体" w:eastAsia="宋体" w:cs="Times New Roman"/>
                <w:color w:val="auto"/>
                <w:szCs w:val="21"/>
              </w:rPr>
            </w:pPr>
            <w:r>
              <w:rPr>
                <w:rFonts w:hint="eastAsia" w:ascii="宋体" w:hAnsi="宋体" w:eastAsia="宋体" w:cs="Times New Roman"/>
                <w:color w:val="auto"/>
                <w:szCs w:val="21"/>
              </w:rPr>
              <w:t>拟安排项目团队成员须均是投标单位员工【要求投标单位提供为其缴纳的近三个月社保证明。若投标单位为新成立且成立时间不足一个月可提供加盖投标人公章的承诺函。若为退休返聘人员，需提供与其签订在有限期内的聘用合同和返聘人员退休证。未提供本项不得分】，团队成员数量不少于</w:t>
            </w:r>
            <w:r>
              <w:rPr>
                <w:rFonts w:hint="eastAsia" w:ascii="宋体" w:hAnsi="宋体" w:eastAsia="宋体" w:cs="Times New Roman"/>
                <w:color w:val="auto"/>
                <w:szCs w:val="21"/>
                <w:lang w:val="en-US" w:eastAsia="zh-CN"/>
              </w:rPr>
              <w:t>5</w:t>
            </w:r>
            <w:r>
              <w:rPr>
                <w:rFonts w:hint="eastAsia" w:ascii="宋体" w:hAnsi="宋体" w:eastAsia="宋体" w:cs="Times New Roman"/>
                <w:color w:val="auto"/>
                <w:szCs w:val="21"/>
              </w:rPr>
              <w:t>名，成员数量不满足本项不得分。在此基础上进行以下评审：</w:t>
            </w:r>
          </w:p>
          <w:p>
            <w:pPr>
              <w:widowControl/>
              <w:jc w:val="left"/>
              <w:rPr>
                <w:rFonts w:hint="eastAsia" w:ascii="宋体" w:hAnsi="宋体" w:eastAsia="宋体" w:cs="Times New Roman"/>
                <w:color w:val="auto"/>
                <w:szCs w:val="21"/>
              </w:rPr>
            </w:pPr>
            <w:r>
              <w:rPr>
                <w:rFonts w:hint="eastAsia" w:ascii="宋体" w:hAnsi="宋体" w:eastAsia="宋体" w:cs="Times New Roman"/>
                <w:color w:val="auto"/>
                <w:szCs w:val="21"/>
              </w:rPr>
              <w:t>一、项目负责人（仅限一名）情况【本小项最高得</w:t>
            </w:r>
            <w:r>
              <w:rPr>
                <w:rFonts w:ascii="宋体" w:hAnsi="宋体" w:eastAsia="宋体" w:cs="Times New Roman"/>
                <w:color w:val="auto"/>
                <w:szCs w:val="21"/>
              </w:rPr>
              <w:t>60</w:t>
            </w:r>
            <w:r>
              <w:rPr>
                <w:rFonts w:hint="eastAsia" w:ascii="宋体" w:hAnsi="宋体" w:eastAsia="宋体" w:cs="Times New Roman"/>
                <w:color w:val="auto"/>
                <w:szCs w:val="21"/>
              </w:rPr>
              <w:t>分】</w:t>
            </w:r>
          </w:p>
          <w:p>
            <w:pPr>
              <w:widowControl/>
              <w:jc w:val="left"/>
              <w:rPr>
                <w:rFonts w:hint="eastAsia" w:ascii="宋体" w:hAnsi="宋体" w:eastAsia="宋体" w:cs="Times New Roman"/>
                <w:color w:val="auto"/>
                <w:szCs w:val="21"/>
              </w:rPr>
            </w:pPr>
            <w:r>
              <w:rPr>
                <w:rFonts w:hint="eastAsia" w:ascii="宋体" w:hAnsi="宋体" w:eastAsia="宋体" w:cs="Times New Roman"/>
                <w:color w:val="auto"/>
                <w:szCs w:val="21"/>
              </w:rPr>
              <w:t>1、具有一级注册造价师证书，得</w:t>
            </w:r>
            <w:r>
              <w:rPr>
                <w:rFonts w:ascii="宋体" w:hAnsi="宋体" w:eastAsia="宋体" w:cs="Times New Roman"/>
                <w:color w:val="auto"/>
                <w:szCs w:val="21"/>
              </w:rPr>
              <w:t>30</w:t>
            </w:r>
            <w:r>
              <w:rPr>
                <w:rFonts w:hint="eastAsia" w:ascii="宋体" w:hAnsi="宋体" w:eastAsia="宋体" w:cs="Times New Roman"/>
                <w:color w:val="auto"/>
                <w:szCs w:val="21"/>
              </w:rPr>
              <w:t>分。</w:t>
            </w:r>
          </w:p>
          <w:p>
            <w:pPr>
              <w:widowControl/>
              <w:jc w:val="left"/>
              <w:rPr>
                <w:rFonts w:hint="eastAsia" w:ascii="宋体" w:hAnsi="宋体" w:eastAsia="宋体" w:cs="Times New Roman"/>
                <w:color w:val="auto"/>
                <w:szCs w:val="21"/>
              </w:rPr>
            </w:pPr>
            <w:r>
              <w:rPr>
                <w:rFonts w:hint="eastAsia" w:ascii="宋体" w:hAnsi="宋体" w:eastAsia="宋体" w:cs="Times New Roman"/>
                <w:color w:val="auto"/>
                <w:szCs w:val="21"/>
              </w:rPr>
              <w:t>2、具有工程类高级或以上职称，得</w:t>
            </w:r>
            <w:r>
              <w:rPr>
                <w:rFonts w:ascii="宋体" w:hAnsi="宋体" w:eastAsia="宋体" w:cs="Times New Roman"/>
                <w:color w:val="auto"/>
                <w:szCs w:val="21"/>
              </w:rPr>
              <w:t>30</w:t>
            </w:r>
            <w:r>
              <w:rPr>
                <w:rFonts w:hint="eastAsia" w:ascii="宋体" w:hAnsi="宋体" w:eastAsia="宋体" w:cs="Times New Roman"/>
                <w:color w:val="auto"/>
                <w:szCs w:val="21"/>
              </w:rPr>
              <w:t>分。</w:t>
            </w:r>
          </w:p>
          <w:p>
            <w:pPr>
              <w:widowControl/>
              <w:jc w:val="left"/>
              <w:rPr>
                <w:rFonts w:hint="eastAsia" w:ascii="宋体" w:hAnsi="宋体" w:eastAsia="宋体" w:cs="Times New Roman"/>
                <w:color w:val="auto"/>
                <w:szCs w:val="21"/>
              </w:rPr>
            </w:pPr>
            <w:r>
              <w:rPr>
                <w:rFonts w:hint="eastAsia" w:ascii="宋体" w:hAnsi="宋体" w:eastAsia="宋体" w:cs="Times New Roman"/>
                <w:color w:val="auto"/>
                <w:szCs w:val="21"/>
              </w:rPr>
              <w:t>二、项目团队成员（项目负责人除外）情况【本小项最高得</w:t>
            </w:r>
            <w:r>
              <w:rPr>
                <w:rFonts w:ascii="宋体" w:hAnsi="宋体" w:eastAsia="宋体" w:cs="Times New Roman"/>
                <w:color w:val="auto"/>
                <w:szCs w:val="21"/>
              </w:rPr>
              <w:t>40</w:t>
            </w:r>
            <w:r>
              <w:rPr>
                <w:rFonts w:hint="eastAsia" w:ascii="宋体" w:hAnsi="宋体" w:eastAsia="宋体" w:cs="Times New Roman"/>
                <w:color w:val="auto"/>
                <w:szCs w:val="21"/>
              </w:rPr>
              <w:t>分】</w:t>
            </w:r>
          </w:p>
          <w:p>
            <w:pPr>
              <w:widowControl/>
              <w:jc w:val="left"/>
              <w:rPr>
                <w:rFonts w:hint="eastAsia" w:ascii="宋体" w:hAnsi="宋体" w:eastAsia="宋体" w:cs="Times New Roman"/>
                <w:color w:val="auto"/>
                <w:szCs w:val="21"/>
              </w:rPr>
            </w:pPr>
            <w:r>
              <w:rPr>
                <w:rFonts w:hint="eastAsia" w:ascii="宋体" w:hAnsi="宋体" w:eastAsia="宋体" w:cs="Times New Roman"/>
                <w:color w:val="auto"/>
                <w:szCs w:val="21"/>
              </w:rPr>
              <w:t>1、项目团队中具有二级造价工程师证书以上的成员的，每提供一名得</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分。</w:t>
            </w:r>
          </w:p>
          <w:p>
            <w:pPr>
              <w:widowControl/>
              <w:jc w:val="left"/>
              <w:rPr>
                <w:rFonts w:ascii="宋体" w:hAnsi="宋体" w:eastAsia="宋体" w:cs="Times New Roman"/>
                <w:color w:val="auto"/>
                <w:szCs w:val="21"/>
              </w:rPr>
            </w:pPr>
            <w:r>
              <w:rPr>
                <w:rFonts w:hint="eastAsia" w:ascii="宋体" w:hAnsi="宋体" w:eastAsia="宋体" w:cs="Times New Roman"/>
                <w:color w:val="auto"/>
                <w:szCs w:val="21"/>
              </w:rPr>
              <w:t>2、项目团队中具有工程类中级或以上职称成员的，每提供一名得</w:t>
            </w:r>
            <w:r>
              <w:rPr>
                <w:rFonts w:hint="eastAsia" w:ascii="宋体" w:hAnsi="宋体" w:eastAsia="宋体" w:cs="Times New Roman"/>
                <w:color w:val="auto"/>
                <w:szCs w:val="21"/>
                <w:lang w:val="en-US" w:eastAsia="zh-CN"/>
              </w:rPr>
              <w:t>10</w:t>
            </w:r>
            <w:r>
              <w:rPr>
                <w:rFonts w:hint="eastAsia" w:ascii="宋体" w:hAnsi="宋体" w:eastAsia="宋体" w:cs="Times New Roman"/>
                <w:color w:val="auto"/>
                <w:szCs w:val="21"/>
              </w:rPr>
              <w:t>分。</w:t>
            </w:r>
          </w:p>
          <w:p>
            <w:pPr>
              <w:widowControl/>
              <w:jc w:val="left"/>
              <w:rPr>
                <w:rFonts w:ascii="宋体" w:hAnsi="宋体" w:eastAsia="宋体" w:cs="Times New Roman"/>
                <w:color w:val="auto"/>
                <w:szCs w:val="21"/>
              </w:rPr>
            </w:pPr>
            <w:r>
              <w:rPr>
                <w:rFonts w:hint="eastAsia" w:ascii="宋体" w:hAnsi="宋体" w:eastAsia="宋体" w:cs="Times New Roman"/>
                <w:color w:val="auto"/>
                <w:szCs w:val="21"/>
              </w:rPr>
              <w:t>以上累计得分，最高得100分。</w:t>
            </w:r>
          </w:p>
          <w:p>
            <w:pPr>
              <w:wordWrap w:val="0"/>
              <w:rPr>
                <w:rFonts w:ascii="Times New Roman" w:hAnsi="宋体" w:eastAsia="宋体" w:cs="Times New Roman"/>
                <w:b/>
                <w:bCs/>
                <w:color w:val="auto"/>
                <w:szCs w:val="21"/>
              </w:rPr>
            </w:pPr>
            <w:r>
              <w:rPr>
                <w:rFonts w:hint="eastAsia" w:ascii="Times New Roman" w:hAnsi="宋体" w:eastAsia="宋体" w:cs="Times New Roman"/>
                <w:b/>
                <w:bCs/>
                <w:color w:val="auto"/>
                <w:szCs w:val="21"/>
              </w:rPr>
              <w:t>（二）评分依据：</w:t>
            </w:r>
          </w:p>
          <w:p>
            <w:pPr>
              <w:widowControl/>
              <w:jc w:val="left"/>
              <w:rPr>
                <w:rFonts w:hint="eastAsia" w:ascii="宋体" w:hAnsi="宋体" w:eastAsia="宋体" w:cs="Times New Roman"/>
                <w:color w:val="auto"/>
                <w:szCs w:val="21"/>
              </w:rPr>
            </w:pPr>
            <w:r>
              <w:rPr>
                <w:rFonts w:hint="eastAsia" w:ascii="宋体" w:hAnsi="宋体" w:eastAsia="宋体" w:cs="Times New Roman"/>
                <w:color w:val="auto"/>
                <w:szCs w:val="21"/>
              </w:rPr>
              <w:t>1、要求提供相关证书等证明材料作为得分依据。</w:t>
            </w:r>
          </w:p>
          <w:p>
            <w:pPr>
              <w:wordWrap w:val="0"/>
              <w:rPr>
                <w:rFonts w:ascii="Times New Roman" w:hAnsi="宋体" w:eastAsia="宋体" w:cs="Times New Roman"/>
                <w:color w:val="auto"/>
                <w:szCs w:val="21"/>
              </w:rPr>
            </w:pPr>
            <w:r>
              <w:rPr>
                <w:rFonts w:hint="eastAsia" w:ascii="宋体" w:hAnsi="宋体" w:eastAsia="宋体" w:cs="Times New Roman"/>
                <w:color w:val="auto"/>
                <w:szCs w:val="21"/>
              </w:rPr>
              <w:t>2、以上资料均要求提供扫描件（或官方网站截图），原件备查。评分中出现无证明资料或专家无法凭所提供资料判断是否得分的情况，一律作不得分处理。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3</w:t>
            </w:r>
          </w:p>
        </w:tc>
        <w:tc>
          <w:tcPr>
            <w:tcW w:w="2921"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综合实力</w:t>
            </w:r>
          </w:p>
        </w:tc>
        <w:tc>
          <w:tcPr>
            <w:tcW w:w="5471"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eastAsia="宋体" w:cs="宋体"/>
                <w:b/>
                <w:bCs/>
                <w:color w:val="auto"/>
                <w:sz w:val="24"/>
              </w:rPr>
            </w:pPr>
            <w:r>
              <w:rPr>
                <w:rFonts w:ascii="宋体" w:hAnsi="宋体" w:eastAsia="宋体" w:cs="宋体"/>
                <w:b/>
                <w:bCs/>
                <w:color w:val="auto"/>
                <w:sz w:val="24"/>
              </w:rPr>
              <w:t>40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eastAsia="宋体" w:cs="宋体"/>
                <w:b/>
                <w:bCs/>
                <w:color w:val="auto"/>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权重</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hint="eastAsia" w:ascii="宋体" w:hAnsi="宋体" w:eastAsia="宋体" w:cs="宋体"/>
                <w:color w:val="auto"/>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color w:val="auto"/>
                <w:szCs w:val="21"/>
              </w:rPr>
            </w:pPr>
            <w:r>
              <w:rPr>
                <w:rFonts w:hint="eastAsia" w:ascii="宋体" w:hAnsi="宋体" w:eastAsia="宋体" w:cs="Times New Roman"/>
                <w:color w:val="auto"/>
                <w:szCs w:val="21"/>
              </w:rPr>
              <w:t>投标人同类项目业绩情况</w:t>
            </w:r>
          </w:p>
        </w:tc>
        <w:tc>
          <w:tcPr>
            <w:tcW w:w="102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35</w:t>
            </w:r>
          </w:p>
        </w:tc>
        <w:tc>
          <w:tcPr>
            <w:tcW w:w="5471" w:type="dxa"/>
            <w:tcBorders>
              <w:top w:val="single" w:color="000000" w:sz="8" w:space="0"/>
              <w:left w:val="single" w:color="000000" w:sz="8" w:space="0"/>
              <w:bottom w:val="single" w:color="000000" w:sz="8" w:space="0"/>
              <w:right w:val="single" w:color="000000" w:sz="8" w:space="0"/>
            </w:tcBorders>
          </w:tcPr>
          <w:p>
            <w:pPr>
              <w:wordWrap w:val="0"/>
              <w:rPr>
                <w:rFonts w:ascii="Times New Roman" w:hAnsi="宋体" w:eastAsia="宋体" w:cs="Times New Roman"/>
                <w:b/>
                <w:bCs/>
                <w:color w:val="auto"/>
                <w:szCs w:val="21"/>
              </w:rPr>
            </w:pPr>
            <w:r>
              <w:rPr>
                <w:rFonts w:hint="eastAsia" w:ascii="Times New Roman" w:hAnsi="宋体" w:eastAsia="宋体" w:cs="Times New Roman"/>
                <w:b/>
                <w:bCs/>
                <w:color w:val="auto"/>
                <w:szCs w:val="21"/>
              </w:rPr>
              <w:t>（一）评分内容：</w:t>
            </w:r>
          </w:p>
          <w:p>
            <w:pPr>
              <w:wordWrap w:val="0"/>
              <w:rPr>
                <w:rFonts w:ascii="Times New Roman" w:hAnsi="宋体" w:eastAsia="宋体" w:cs="Times New Roman"/>
                <w:color w:val="auto"/>
                <w:szCs w:val="21"/>
              </w:rPr>
            </w:pPr>
            <w:r>
              <w:rPr>
                <w:rFonts w:hint="eastAsia" w:ascii="宋体" w:hAnsi="宋体" w:eastAsia="宋体" w:cs="宋体"/>
                <w:bCs/>
                <w:color w:val="auto"/>
                <w:sz w:val="22"/>
                <w:szCs w:val="22"/>
              </w:rPr>
              <w:t>近三年（自开标日往前倒推，以合同签订日期为准）投标人具有政府投资预算</w:t>
            </w:r>
            <w:r>
              <w:rPr>
                <w:rFonts w:hint="eastAsia" w:ascii="宋体" w:hAnsi="宋体" w:eastAsia="宋体" w:cs="宋体"/>
                <w:bCs/>
                <w:color w:val="auto"/>
                <w:sz w:val="22"/>
                <w:szCs w:val="22"/>
                <w:lang w:eastAsia="zh-CN"/>
              </w:rPr>
              <w:t>（结算）</w:t>
            </w:r>
            <w:r>
              <w:rPr>
                <w:rFonts w:hint="eastAsia" w:ascii="宋体" w:hAnsi="宋体" w:eastAsia="宋体" w:cs="宋体"/>
                <w:bCs/>
                <w:color w:val="auto"/>
                <w:sz w:val="22"/>
                <w:szCs w:val="22"/>
              </w:rPr>
              <w:t>审核项目业绩，每提供1项得</w:t>
            </w:r>
            <w:r>
              <w:rPr>
                <w:rFonts w:ascii="Times New Roman" w:hAnsi="宋体" w:eastAsia="宋体" w:cs="Times New Roman"/>
                <w:color w:val="auto"/>
                <w:szCs w:val="21"/>
              </w:rPr>
              <w:t>20</w:t>
            </w:r>
            <w:r>
              <w:rPr>
                <w:rFonts w:hint="eastAsia" w:ascii="Times New Roman" w:hAnsi="宋体" w:eastAsia="宋体" w:cs="Times New Roman"/>
                <w:color w:val="auto"/>
                <w:szCs w:val="21"/>
              </w:rPr>
              <w:t>分，最高得100分</w:t>
            </w:r>
            <w:r>
              <w:rPr>
                <w:rFonts w:hint="eastAsia" w:ascii="宋体" w:hAnsi="宋体" w:eastAsia="宋体" w:cs="宋体"/>
                <w:bCs/>
                <w:color w:val="auto"/>
                <w:sz w:val="22"/>
                <w:szCs w:val="22"/>
              </w:rPr>
              <w:t>。</w:t>
            </w:r>
          </w:p>
          <w:p>
            <w:pPr>
              <w:wordWrap w:val="0"/>
              <w:rPr>
                <w:rFonts w:ascii="Times New Roman" w:hAnsi="宋体" w:eastAsia="宋体" w:cs="Times New Roman"/>
                <w:b/>
                <w:bCs/>
                <w:color w:val="auto"/>
                <w:szCs w:val="21"/>
              </w:rPr>
            </w:pPr>
            <w:r>
              <w:rPr>
                <w:rFonts w:hint="eastAsia" w:ascii="Times New Roman" w:hAnsi="宋体" w:eastAsia="宋体" w:cs="Times New Roman"/>
                <w:b/>
                <w:bCs/>
                <w:color w:val="auto"/>
                <w:szCs w:val="21"/>
              </w:rPr>
              <w:t>（二）评分依据：</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1、需同时提供：</w:t>
            </w:r>
          </w:p>
          <w:p>
            <w:pPr>
              <w:wordWrap w:val="0"/>
              <w:rPr>
                <w:rFonts w:ascii="Times New Roman" w:hAnsi="宋体" w:eastAsia="宋体" w:cs="Times New Roman"/>
                <w:color w:val="auto"/>
                <w:szCs w:val="21"/>
              </w:rPr>
            </w:pPr>
            <w:r>
              <w:rPr>
                <w:rFonts w:hint="eastAsia" w:ascii="Times New Roman" w:hAnsi="宋体" w:eastAsia="宋体" w:cs="Times New Roman"/>
                <w:color w:val="auto"/>
                <w:szCs w:val="21"/>
              </w:rPr>
              <w:t>（1）同类项目业绩情况汇总表。</w:t>
            </w:r>
          </w:p>
          <w:p>
            <w:pPr>
              <w:wordWrap w:val="0"/>
              <w:rPr>
                <w:rFonts w:ascii="Times New Roman" w:hAnsi="宋体" w:eastAsia="宋体" w:cs="Times New Roman"/>
                <w:strike/>
                <w:color w:val="auto"/>
                <w:szCs w:val="21"/>
              </w:rPr>
            </w:pPr>
            <w:r>
              <w:rPr>
                <w:rFonts w:hint="eastAsia" w:ascii="Times New Roman" w:hAnsi="宋体" w:eastAsia="宋体" w:cs="Times New Roman"/>
                <w:color w:val="auto"/>
                <w:szCs w:val="21"/>
              </w:rPr>
              <w:t>（2）同类</w:t>
            </w:r>
            <w:r>
              <w:rPr>
                <w:rFonts w:hint="eastAsia" w:ascii="宋体" w:hAnsi="宋体" w:eastAsia="宋体" w:cs="宋体"/>
                <w:bCs/>
                <w:color w:val="auto"/>
                <w:sz w:val="22"/>
                <w:szCs w:val="22"/>
              </w:rPr>
              <w:t>项目合同关键页（首页、体现服务内容页、签字盖章页、合同签订日期页）扫描件，未按要求提供或无法判断则不得分。</w:t>
            </w:r>
          </w:p>
          <w:p>
            <w:pPr>
              <w:wordWrap w:val="0"/>
              <w:rPr>
                <w:rFonts w:ascii="Times New Roman" w:hAnsi="Times New Roman" w:eastAsia="宋体" w:cs="Times New Roman"/>
                <w:color w:val="auto"/>
              </w:rPr>
            </w:pPr>
            <w:r>
              <w:rPr>
                <w:rFonts w:hint="eastAsia" w:ascii="Times New Roman" w:hAnsi="宋体" w:eastAsia="宋体" w:cs="Times New Roman"/>
                <w:color w:val="auto"/>
                <w:szCs w:val="21"/>
              </w:rPr>
              <w:t>2、</w:t>
            </w:r>
            <w:r>
              <w:rPr>
                <w:rFonts w:hint="eastAsia" w:ascii="Times New Roman" w:hAnsi="Times New Roman" w:eastAsia="宋体" w:cs="Times New Roman"/>
                <w:color w:val="auto"/>
              </w:rPr>
              <w:t>以上资料均原件备查。未按要求提供或提供不清晰导致专家无法判断的不得分。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1221" w:type="dxa"/>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eastAsia="宋体" w:cs="宋体"/>
                <w:color w:val="auto"/>
              </w:rPr>
            </w:pPr>
            <w:r>
              <w:rPr>
                <w:rFonts w:hint="eastAsia" w:ascii="宋体" w:hAnsi="宋体" w:eastAsia="宋体" w:cs="Times New Roman"/>
                <w:color w:val="auto"/>
                <w:szCs w:val="21"/>
              </w:rPr>
              <w:t>服务网点</w:t>
            </w:r>
          </w:p>
        </w:tc>
        <w:tc>
          <w:tcPr>
            <w:tcW w:w="102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ascii="宋体" w:hAnsi="宋体" w:eastAsia="宋体" w:cs="宋体"/>
                <w:color w:val="auto"/>
                <w:szCs w:val="21"/>
              </w:rPr>
              <w:t>5</w:t>
            </w:r>
          </w:p>
        </w:tc>
        <w:tc>
          <w:tcPr>
            <w:tcW w:w="5471" w:type="dxa"/>
            <w:tcBorders>
              <w:top w:val="single" w:color="000000" w:sz="8" w:space="0"/>
              <w:left w:val="single" w:color="000000" w:sz="8" w:space="0"/>
              <w:bottom w:val="single" w:color="000000" w:sz="8" w:space="0"/>
              <w:right w:val="single" w:color="000000" w:sz="8" w:space="0"/>
            </w:tcBorders>
          </w:tcPr>
          <w:p>
            <w:pPr>
              <w:jc w:val="left"/>
              <w:rPr>
                <w:rFonts w:ascii="宋体" w:hAnsi="宋体" w:eastAsia="宋体" w:cs="Times New Roman"/>
                <w:b/>
                <w:bCs/>
                <w:color w:val="auto"/>
                <w:szCs w:val="21"/>
              </w:rPr>
            </w:pPr>
            <w:r>
              <w:rPr>
                <w:rFonts w:hint="eastAsia" w:ascii="宋体" w:hAnsi="宋体" w:eastAsia="宋体" w:cs="Times New Roman"/>
                <w:b/>
                <w:bCs/>
                <w:color w:val="auto"/>
                <w:szCs w:val="21"/>
              </w:rPr>
              <w:t>（一）评分内容：</w:t>
            </w:r>
          </w:p>
          <w:p>
            <w:pPr>
              <w:jc w:val="left"/>
              <w:rPr>
                <w:rFonts w:ascii="宋体" w:hAnsi="宋体" w:eastAsia="宋体" w:cs="Times New Roman"/>
                <w:color w:val="auto"/>
                <w:szCs w:val="21"/>
              </w:rPr>
            </w:pPr>
            <w:r>
              <w:rPr>
                <w:rFonts w:hint="eastAsia" w:ascii="宋体" w:hAnsi="宋体" w:eastAsia="宋体" w:cs="Times New Roman"/>
                <w:color w:val="auto"/>
                <w:szCs w:val="21"/>
              </w:rPr>
              <w:t>1、投标人在深圳市内设有固定服务网点的，得100分；</w:t>
            </w:r>
          </w:p>
          <w:p>
            <w:pPr>
              <w:jc w:val="left"/>
              <w:rPr>
                <w:rFonts w:ascii="宋体" w:hAnsi="宋体" w:eastAsia="宋体" w:cs="Times New Roman"/>
                <w:color w:val="auto"/>
                <w:szCs w:val="21"/>
              </w:rPr>
            </w:pPr>
            <w:r>
              <w:rPr>
                <w:rFonts w:hint="eastAsia" w:ascii="宋体" w:hAnsi="宋体" w:eastAsia="宋体" w:cs="Times New Roman"/>
                <w:color w:val="auto"/>
                <w:szCs w:val="21"/>
              </w:rPr>
              <w:t>2、投标人承诺中标后在深圳市范围内设有固定服务网点的得100分（承诺函格式自拟）。</w:t>
            </w:r>
          </w:p>
          <w:p>
            <w:pPr>
              <w:jc w:val="left"/>
              <w:rPr>
                <w:rFonts w:ascii="宋体" w:hAnsi="宋体" w:eastAsia="宋体" w:cs="Times New Roman"/>
                <w:color w:val="auto"/>
                <w:szCs w:val="21"/>
              </w:rPr>
            </w:pPr>
            <w:r>
              <w:rPr>
                <w:rFonts w:hint="eastAsia" w:ascii="宋体" w:hAnsi="宋体" w:eastAsia="宋体" w:cs="Times New Roman"/>
                <w:color w:val="auto"/>
                <w:szCs w:val="21"/>
              </w:rPr>
              <w:t>以上两项不可累计得分。</w:t>
            </w:r>
          </w:p>
          <w:p>
            <w:pPr>
              <w:jc w:val="left"/>
              <w:rPr>
                <w:rFonts w:ascii="宋体" w:hAnsi="宋体" w:eastAsia="宋体" w:cs="Times New Roman"/>
                <w:b/>
                <w:bCs/>
                <w:color w:val="auto"/>
                <w:szCs w:val="21"/>
              </w:rPr>
            </w:pPr>
            <w:r>
              <w:rPr>
                <w:rFonts w:hint="eastAsia" w:ascii="宋体" w:hAnsi="宋体" w:eastAsia="宋体" w:cs="Times New Roman"/>
                <w:b/>
                <w:bCs/>
                <w:color w:val="auto"/>
                <w:szCs w:val="21"/>
              </w:rPr>
              <w:t>（二）评分依据:</w:t>
            </w:r>
          </w:p>
          <w:p>
            <w:pPr>
              <w:jc w:val="left"/>
              <w:rPr>
                <w:rFonts w:ascii="宋体" w:hAnsi="宋体" w:eastAsia="宋体" w:cs="Times New Roman"/>
                <w:color w:val="auto"/>
                <w:szCs w:val="21"/>
              </w:rPr>
            </w:pPr>
            <w:r>
              <w:rPr>
                <w:rFonts w:hint="eastAsia" w:ascii="宋体" w:hAnsi="宋体" w:eastAsia="宋体" w:cs="Times New Roman"/>
                <w:color w:val="auto"/>
                <w:szCs w:val="21"/>
              </w:rPr>
              <w:t>1、投标人提供办公场所的房产证明或租赁合同扫描件；或提供符合上述要求的承诺函。</w:t>
            </w:r>
          </w:p>
          <w:p>
            <w:pPr>
              <w:wordWrap w:val="0"/>
              <w:rPr>
                <w:rFonts w:ascii="Times New Roman" w:hAnsi="Times New Roman" w:eastAsia="宋体" w:cs="Times New Roman"/>
                <w:color w:val="auto"/>
                <w:szCs w:val="21"/>
              </w:rPr>
            </w:pPr>
            <w:r>
              <w:rPr>
                <w:rFonts w:hint="eastAsia" w:ascii="宋体" w:hAnsi="宋体" w:eastAsia="宋体" w:cs="Times New Roman"/>
                <w:color w:val="auto"/>
                <w:szCs w:val="21"/>
              </w:rPr>
              <w:t>2、原件备查，未按要求提供或提供不清晰导致专家无法判断的不得分。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4</w:t>
            </w:r>
          </w:p>
        </w:tc>
        <w:tc>
          <w:tcPr>
            <w:tcW w:w="2921" w:type="dxa"/>
            <w:gridSpan w:val="3"/>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诚信情况</w:t>
            </w:r>
          </w:p>
        </w:tc>
        <w:tc>
          <w:tcPr>
            <w:tcW w:w="5471" w:type="dxa"/>
            <w:tcBorders>
              <w:top w:val="single" w:color="000000" w:sz="8" w:space="0"/>
              <w:left w:val="single" w:color="000000" w:sz="8" w:space="0"/>
              <w:bottom w:val="single" w:color="000000" w:sz="8" w:space="0"/>
              <w:right w:val="single" w:color="000000" w:sz="8" w:space="0"/>
            </w:tcBorders>
          </w:tcPr>
          <w:p>
            <w:pPr>
              <w:wordWrap w:val="0"/>
              <w:jc w:val="center"/>
              <w:rPr>
                <w:rFonts w:ascii="宋体" w:hAnsi="宋体" w:eastAsia="宋体" w:cs="宋体"/>
                <w:b/>
                <w:bCs/>
                <w:color w:val="auto"/>
                <w:sz w:val="24"/>
              </w:rPr>
            </w:pPr>
            <w:r>
              <w:rPr>
                <w:rFonts w:ascii="Times New Roman" w:hAnsi="Times New Roman" w:eastAsia="宋体" w:cs="Times New Roman"/>
                <w:b/>
                <w:bCs/>
                <w:color w:val="auto"/>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ascii="宋体" w:hAnsi="宋体" w:eastAsia="宋体" w:cs="宋体"/>
                <w:b/>
                <w:bCs/>
                <w:color w:val="auto"/>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序号</w:t>
            </w:r>
          </w:p>
        </w:tc>
        <w:tc>
          <w:tcPr>
            <w:tcW w:w="122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评分因素</w:t>
            </w:r>
          </w:p>
        </w:tc>
        <w:tc>
          <w:tcPr>
            <w:tcW w:w="102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权重</w:t>
            </w:r>
          </w:p>
        </w:tc>
        <w:tc>
          <w:tcPr>
            <w:tcW w:w="547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rPr>
                <w:rFonts w:ascii="宋体" w:hAnsi="宋体" w:eastAsia="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1</w:t>
            </w:r>
          </w:p>
        </w:tc>
        <w:tc>
          <w:tcPr>
            <w:tcW w:w="122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诚信情况</w:t>
            </w:r>
          </w:p>
        </w:tc>
        <w:tc>
          <w:tcPr>
            <w:tcW w:w="102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eastAsia="宋体" w:cs="宋体"/>
                <w:color w:val="auto"/>
                <w:szCs w:val="21"/>
              </w:rPr>
            </w:pPr>
            <w:r>
              <w:rPr>
                <w:rFonts w:ascii="Times New Roman" w:hAnsi="Times New Roman" w:eastAsia="宋体" w:cs="Times New Roman"/>
                <w:color w:val="auto"/>
                <w:szCs w:val="21"/>
              </w:rPr>
              <w:t>5</w:t>
            </w:r>
          </w:p>
        </w:tc>
        <w:tc>
          <w:tcPr>
            <w:tcW w:w="5471" w:type="dxa"/>
            <w:tcBorders>
              <w:top w:val="single" w:color="000000" w:sz="8" w:space="0"/>
              <w:left w:val="single" w:color="000000" w:sz="8" w:space="0"/>
              <w:bottom w:val="single" w:color="000000" w:sz="8" w:space="0"/>
              <w:right w:val="single" w:color="000000" w:sz="8" w:space="0"/>
            </w:tcBorders>
          </w:tcPr>
          <w:p>
            <w:pPr>
              <w:wordWrap w:val="0"/>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（一）评分内容：</w:t>
            </w:r>
          </w:p>
          <w:p>
            <w:pPr>
              <w:wordWrap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pPr>
              <w:wordWrap w:val="0"/>
              <w:rPr>
                <w:rFonts w:ascii="Times New Roman" w:hAnsi="Times New Roman" w:eastAsia="宋体" w:cs="Times New Roman"/>
                <w:color w:val="auto"/>
                <w:szCs w:val="21"/>
              </w:rPr>
            </w:pPr>
            <w:r>
              <w:rPr>
                <w:rFonts w:hint="eastAsia" w:ascii="Times New Roman" w:hAnsi="Times New Roman" w:eastAsia="宋体" w:cs="Times New Roman"/>
                <w:color w:val="auto"/>
                <w:szCs w:val="21"/>
              </w:rPr>
              <w:t>查询渠道：通过“信用中国”（www.creditchina.gov.cn，下载信用信息报告）、“中国政府采购网”（www.ccgp.gov.cn）、以及“深圳市政府采购监管网”（http://zfcg.sz.gov.cn）查询供应商信用信息，信用信息以开标当日的查询结果为准。</w:t>
            </w:r>
          </w:p>
          <w:p>
            <w:pPr>
              <w:wordWrap w:val="0"/>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（二）评分依据：</w:t>
            </w:r>
          </w:p>
          <w:p>
            <w:pPr>
              <w:wordWrap w:val="0"/>
              <w:rPr>
                <w:rFonts w:ascii="宋体" w:hAnsi="宋体" w:eastAsia="宋体" w:cs="宋体"/>
                <w:color w:val="auto"/>
                <w:szCs w:val="21"/>
              </w:rPr>
            </w:pPr>
            <w:r>
              <w:rPr>
                <w:rFonts w:hint="eastAsia" w:ascii="Times New Roman" w:hAnsi="Times New Roman" w:eastAsia="宋体" w:cs="Times New Roman"/>
                <w:color w:val="auto"/>
                <w:szCs w:val="21"/>
              </w:rPr>
              <w:t>投标人无需提供任何证明材料，由工作人员向评审委员会提供相关信息。</w:t>
            </w:r>
          </w:p>
        </w:tc>
      </w:tr>
    </w:tbl>
    <w:p>
      <w:pPr>
        <w:spacing w:line="579" w:lineRule="exact"/>
        <w:ind w:firstLine="640" w:firstLineChars="200"/>
        <w:rPr>
          <w:rFonts w:ascii="宋体" w:hAnsi="宋体" w:eastAsia="宋体" w:cs="宋体"/>
          <w:b/>
          <w:bCs/>
          <w:color w:val="auto"/>
          <w:szCs w:val="20"/>
        </w:rPr>
      </w:pPr>
      <w:r>
        <w:rPr>
          <w:rFonts w:hint="eastAsia" w:ascii="黑体" w:hAnsi="黑体" w:eastAsia="黑体" w:cs="黑体"/>
          <w:color w:val="auto"/>
          <w:sz w:val="32"/>
          <w:szCs w:val="32"/>
        </w:rPr>
        <w:t>七、投标文件格式、附件</w:t>
      </w:r>
    </w:p>
    <w:p>
      <w:pPr>
        <w:pStyle w:val="6"/>
        <w:spacing w:line="579" w:lineRule="exact"/>
        <w:ind w:firstLine="640" w:firstLineChars="200"/>
        <w:jc w:val="both"/>
        <w:rPr>
          <w:rFonts w:hint="eastAsia" w:ascii="楷体_GB2312" w:hAnsi="楷体_GB2312" w:eastAsia="楷体_GB2312" w:cs="楷体_GB2312"/>
          <w:bCs/>
          <w:color w:val="auto"/>
          <w:sz w:val="32"/>
          <w:szCs w:val="32"/>
          <w:lang w:eastAsia="zh-CN"/>
        </w:rPr>
      </w:pPr>
      <w:r>
        <w:rPr>
          <w:rFonts w:hint="eastAsia" w:ascii="楷体_GB2312" w:hAnsi="楷体_GB2312" w:eastAsia="楷体_GB2312" w:cs="楷体_GB2312"/>
          <w:bCs/>
          <w:color w:val="auto"/>
          <w:sz w:val="32"/>
          <w:szCs w:val="32"/>
        </w:rPr>
        <w:t>投标文件组成</w:t>
      </w:r>
      <w:r>
        <w:rPr>
          <w:rFonts w:hint="eastAsia" w:ascii="楷体_GB2312" w:hAnsi="楷体_GB2312" w:eastAsia="楷体_GB2312" w:cs="楷体_GB2312"/>
          <w:bCs/>
          <w:color w:val="auto"/>
          <w:sz w:val="32"/>
          <w:szCs w:val="32"/>
          <w:lang w:eastAsia="zh-CN"/>
        </w:rPr>
        <w:t>：</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1.法定代表人（负责人）证明书。</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2.投标文件签署授权委托书【法定代表人（负责人）为投标人代表的无须提供】。</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3.营业执照复印件。</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4.项目服务方案（格式自定）。</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rPr>
        <w:t>.同类业绩（格式自定）。</w:t>
      </w:r>
    </w:p>
    <w:p>
      <w:pPr>
        <w:ind w:firstLine="640" w:firstLineChars="200"/>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6</w:t>
      </w:r>
      <w:r>
        <w:rPr>
          <w:rFonts w:hint="eastAsia" w:ascii="仿宋_GB2312" w:hAnsi="仿宋_GB2312" w:eastAsia="仿宋_GB2312" w:cs="仿宋_GB2312"/>
          <w:bCs/>
          <w:color w:val="auto"/>
          <w:sz w:val="32"/>
          <w:szCs w:val="32"/>
        </w:rPr>
        <w:t>.履约评价（格式自定）。</w:t>
      </w:r>
    </w:p>
    <w:p>
      <w:pPr>
        <w:ind w:firstLine="640" w:firstLineChars="200"/>
        <w:rPr>
          <w:rFonts w:hint="eastAsia" w:ascii="Times New Roman" w:hAnsi="Times New Roman" w:eastAsia="宋体" w:cs="Times New Roman"/>
          <w:color w:val="auto"/>
        </w:rPr>
      </w:pPr>
      <w:r>
        <w:rPr>
          <w:rFonts w:ascii="仿宋_GB2312" w:hAnsi="仿宋_GB2312" w:eastAsia="仿宋_GB2312" w:cs="仿宋_GB2312"/>
          <w:bCs/>
          <w:color w:val="auto"/>
          <w:sz w:val="32"/>
          <w:szCs w:val="32"/>
        </w:rPr>
        <w:t>7</w:t>
      </w:r>
      <w:r>
        <w:rPr>
          <w:rFonts w:hint="eastAsia" w:ascii="仿宋_GB2312" w:hAnsi="仿宋_GB2312" w:eastAsia="仿宋_GB2312" w:cs="仿宋_GB2312"/>
          <w:bCs/>
          <w:color w:val="auto"/>
          <w:sz w:val="32"/>
          <w:szCs w:val="32"/>
        </w:rPr>
        <w:t>.服务网点（格式自定）。</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8</w:t>
      </w:r>
      <w:r>
        <w:rPr>
          <w:rFonts w:hint="eastAsia" w:ascii="仿宋_GB2312" w:hAnsi="仿宋_GB2312" w:eastAsia="仿宋_GB2312" w:cs="仿宋_GB2312"/>
          <w:bCs/>
          <w:color w:val="auto"/>
          <w:sz w:val="32"/>
          <w:szCs w:val="32"/>
        </w:rPr>
        <w:t>.报价单。</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ascii="仿宋_GB2312" w:hAnsi="仿宋_GB2312" w:eastAsia="仿宋_GB2312" w:cs="仿宋_GB2312"/>
          <w:bCs/>
          <w:color w:val="auto"/>
          <w:sz w:val="32"/>
          <w:szCs w:val="32"/>
        </w:rPr>
        <w:t>9.</w:t>
      </w:r>
      <w:r>
        <w:rPr>
          <w:rFonts w:hint="eastAsia" w:ascii="仿宋_GB2312" w:hAnsi="仿宋_GB2312" w:eastAsia="仿宋_GB2312" w:cs="仿宋_GB2312"/>
          <w:bCs/>
          <w:color w:val="auto"/>
          <w:sz w:val="32"/>
          <w:szCs w:val="32"/>
        </w:rPr>
        <w:t>供应商基本情况表（附件</w:t>
      </w:r>
      <w:r>
        <w:rPr>
          <w:rFonts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rPr>
        <w:t>）。</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rPr>
        <w:t>0.</w:t>
      </w:r>
      <w:r>
        <w:rPr>
          <w:rFonts w:hint="eastAsia" w:ascii="仿宋_GB2312" w:hAnsi="仿宋_GB2312" w:eastAsia="仿宋_GB2312" w:cs="仿宋_GB2312"/>
          <w:bCs/>
          <w:color w:val="auto"/>
          <w:sz w:val="32"/>
          <w:szCs w:val="32"/>
        </w:rPr>
        <w:t>政府采购违法行为风险知悉确认书（附件</w:t>
      </w:r>
      <w:r>
        <w:rPr>
          <w:rFonts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rPr>
        <w:t>）。</w:t>
      </w:r>
    </w:p>
    <w:p>
      <w:pPr>
        <w:pStyle w:val="6"/>
        <w:spacing w:line="579" w:lineRule="exact"/>
        <w:ind w:firstLine="640" w:firstLineChars="200"/>
        <w:jc w:val="both"/>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rPr>
        <w:t>.履约承诺函（附件3）。</w:t>
      </w:r>
    </w:p>
    <w:p>
      <w:pPr>
        <w:spacing w:line="579" w:lineRule="exact"/>
        <w:ind w:firstLine="640" w:firstLineChars="200"/>
        <w:rPr>
          <w:rFonts w:ascii="Times New Roman" w:hAnsi="Times New Roman" w:eastAsia="宋体" w:cs="Times New Roman"/>
          <w:color w:val="auto"/>
        </w:rPr>
      </w:pPr>
      <w:r>
        <w:rPr>
          <w:rFonts w:hint="eastAsia"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rPr>
        <w:t>.诚信承诺函（附件4）</w:t>
      </w:r>
    </w:p>
    <w:p>
      <w:pPr>
        <w:pStyle w:val="6"/>
        <w:spacing w:line="579" w:lineRule="exact"/>
        <w:ind w:firstLine="640" w:firstLineChars="200"/>
        <w:jc w:val="both"/>
        <w:rPr>
          <w:rFonts w:hAnsi="宋体" w:cs="宋体"/>
          <w:b/>
          <w:bCs/>
          <w:color w:val="auto"/>
          <w:szCs w:val="20"/>
        </w:rPr>
      </w:pPr>
      <w:r>
        <w:rPr>
          <w:rFonts w:hint="eastAsia" w:ascii="仿宋_GB2312" w:hAnsi="仿宋_GB2312" w:eastAsia="仿宋_GB2312" w:cs="仿宋_GB2312"/>
          <w:bCs/>
          <w:color w:val="auto"/>
          <w:sz w:val="32"/>
          <w:szCs w:val="32"/>
        </w:rPr>
        <w:t>1</w:t>
      </w:r>
      <w:r>
        <w:rPr>
          <w:rFonts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rPr>
        <w:t>.其他供应商认为有必要提供的其他材料。</w:t>
      </w:r>
    </w:p>
    <w:p>
      <w:p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八、投标文件装订要求</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投标供应商应准备纸质投标文件一正</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副，电子文档一份,U盘或光盘储存（投标文件正本盖章后的扫描件，PDF格式），在每一份投标文件上注明投标供应商名称及项目名称，编上页次装订成册（不允许使用活页夹，否则造成的风险由投标供应商自行承担），并要明确注明“正本”或“副本”字样，一旦正本和副本发现差异，以正本为准。</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投标文件正本和副本须打印或用不褪色墨水书写，由投标供应商法定代表人或其授权代表签字，后者须将“法定代表人授权书”以书面形式附在投标文件中。副本文件可由正本文件复印而成。</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除投标供应商对错处作必要修改外，投标文件中不许有加行、涂抹或改写。若有修改须由投标供应商法定代表人或其授权代表进行签字，并加盖投标供应商公章。</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投标文件的[正本]及所有[副本]的封面均须由投标供应商加盖公章。</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投标文件的封面应注明“采购项目名称、投标供应商名称”。</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电子文件用MS office制作，内容包括：由投标供应商自行制作的与投标文件正本一致的所有文件。电子文件用U盘或光盘储存，并与投标文件一并密封。</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电报、电传、传真形式的谈判应答概不接受。</w:t>
      </w:r>
    </w:p>
    <w:p>
      <w:pPr>
        <w:pStyle w:val="7"/>
        <w:adjustRightInd w:val="0"/>
        <w:snapToGrid w:val="0"/>
        <w:spacing w:line="579" w:lineRule="exact"/>
        <w:ind w:firstLine="4160" w:firstLineChars="1300"/>
        <w:rPr>
          <w:color w:val="auto"/>
          <w:szCs w:val="32"/>
        </w:rPr>
      </w:pPr>
    </w:p>
    <w:p>
      <w:pPr>
        <w:pStyle w:val="7"/>
        <w:adjustRightInd w:val="0"/>
        <w:snapToGrid w:val="0"/>
        <w:spacing w:line="579" w:lineRule="exact"/>
        <w:ind w:firstLine="4160" w:firstLineChars="1300"/>
        <w:rPr>
          <w:color w:val="auto"/>
          <w:szCs w:val="32"/>
        </w:rPr>
      </w:pPr>
    </w:p>
    <w:p>
      <w:pPr>
        <w:pStyle w:val="7"/>
        <w:adjustRightInd w:val="0"/>
        <w:snapToGrid w:val="0"/>
        <w:spacing w:line="579" w:lineRule="exact"/>
        <w:ind w:firstLine="4160" w:firstLineChars="1300"/>
        <w:rPr>
          <w:color w:val="auto"/>
          <w:szCs w:val="32"/>
        </w:rPr>
      </w:pPr>
    </w:p>
    <w:p>
      <w:pPr>
        <w:pStyle w:val="7"/>
        <w:adjustRightInd w:val="0"/>
        <w:snapToGrid w:val="0"/>
        <w:spacing w:line="579" w:lineRule="exact"/>
        <w:ind w:firstLine="4480" w:firstLineChars="1400"/>
        <w:rPr>
          <w:color w:val="auto"/>
          <w:szCs w:val="32"/>
        </w:rPr>
      </w:pPr>
      <w:r>
        <w:rPr>
          <w:rFonts w:hint="eastAsia"/>
          <w:color w:val="auto"/>
          <w:szCs w:val="32"/>
        </w:rPr>
        <w:t>深圳市福田区沙头街道办事处</w:t>
      </w:r>
    </w:p>
    <w:p>
      <w:pPr>
        <w:pStyle w:val="7"/>
        <w:adjustRightInd w:val="0"/>
        <w:snapToGrid w:val="0"/>
        <w:spacing w:line="579" w:lineRule="exact"/>
        <w:ind w:firstLine="5440" w:firstLineChars="1700"/>
        <w:rPr>
          <w:color w:val="auto"/>
        </w:rPr>
      </w:pPr>
      <w:r>
        <w:rPr>
          <w:color w:val="auto"/>
          <w:szCs w:val="32"/>
        </w:rPr>
        <w:t>20</w:t>
      </w:r>
      <w:r>
        <w:rPr>
          <w:rFonts w:hint="eastAsia"/>
          <w:color w:val="auto"/>
          <w:szCs w:val="32"/>
        </w:rPr>
        <w:t>25</w:t>
      </w:r>
      <w:r>
        <w:rPr>
          <w:color w:val="auto"/>
          <w:szCs w:val="32"/>
        </w:rPr>
        <w:t>年</w:t>
      </w:r>
      <w:r>
        <w:rPr>
          <w:rFonts w:hint="eastAsia"/>
          <w:color w:val="auto"/>
          <w:szCs w:val="32"/>
        </w:rPr>
        <w:t>1</w:t>
      </w:r>
      <w:r>
        <w:rPr>
          <w:rFonts w:hint="eastAsia"/>
          <w:color w:val="auto"/>
          <w:szCs w:val="32"/>
          <w:lang w:val="en-US" w:eastAsia="zh-CN"/>
        </w:rPr>
        <w:t>2</w:t>
      </w:r>
      <w:r>
        <w:rPr>
          <w:color w:val="auto"/>
          <w:szCs w:val="32"/>
        </w:rPr>
        <w:t>月</w:t>
      </w:r>
      <w:r>
        <w:rPr>
          <w:rFonts w:hint="eastAsia"/>
          <w:color w:val="auto"/>
          <w:szCs w:val="32"/>
          <w:lang w:val="en-US" w:eastAsia="zh-CN"/>
        </w:rPr>
        <w:t>29</w:t>
      </w:r>
      <w:r>
        <w:rPr>
          <w:color w:val="auto"/>
          <w:szCs w:val="32"/>
        </w:rPr>
        <w:t>日</w:t>
      </w:r>
    </w:p>
    <w:p>
      <w:pPr>
        <w:widowControl/>
        <w:spacing w:line="579" w:lineRule="exact"/>
        <w:rPr>
          <w:rFonts w:ascii="黑体" w:hAnsi="黑体" w:eastAsia="黑体" w:cs="仿宋_GB2312"/>
          <w:color w:val="auto"/>
          <w:sz w:val="32"/>
          <w:szCs w:val="32"/>
        </w:rPr>
      </w:pPr>
      <w:r>
        <w:rPr>
          <w:rFonts w:hint="eastAsia" w:ascii="Times New Roman" w:hAnsi="Times New Roman" w:eastAsia="宋体" w:cs="Times New Roman"/>
          <w:color w:val="auto"/>
        </w:rPr>
        <w:br w:type="page"/>
      </w:r>
      <w:r>
        <w:rPr>
          <w:rFonts w:hint="eastAsia" w:ascii="黑体" w:hAnsi="黑体" w:eastAsia="黑体" w:cs="仿宋_GB2312"/>
          <w:color w:val="auto"/>
          <w:sz w:val="32"/>
          <w:szCs w:val="32"/>
        </w:rPr>
        <w:t>附件1</w:t>
      </w:r>
    </w:p>
    <w:p>
      <w:pPr>
        <w:snapToGrid w:val="0"/>
        <w:jc w:val="center"/>
        <w:outlineLvl w:val="0"/>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供应商基本情况表</w:t>
      </w:r>
    </w:p>
    <w:p>
      <w:pPr>
        <w:pStyle w:val="6"/>
        <w:ind w:firstLine="440"/>
        <w:rPr>
          <w:color w:val="auto"/>
        </w:rPr>
      </w:pPr>
    </w:p>
    <w:p>
      <w:pPr>
        <w:rPr>
          <w:rFonts w:ascii="黑体" w:hAnsi="黑体" w:eastAsia="黑体" w:cs="黑体"/>
          <w:color w:val="auto"/>
          <w:sz w:val="28"/>
          <w:szCs w:val="28"/>
        </w:rPr>
      </w:pPr>
      <w:r>
        <w:rPr>
          <w:rFonts w:hint="eastAsia" w:ascii="黑体" w:hAnsi="黑体" w:eastAsia="黑体" w:cs="黑体"/>
          <w:color w:val="auto"/>
          <w:sz w:val="28"/>
          <w:szCs w:val="28"/>
        </w:rPr>
        <w:t>填表单位：（加盖单位公章）</w:t>
      </w:r>
      <w:r>
        <w:rPr>
          <w:rFonts w:hint="eastAsia" w:ascii="黑体" w:hAnsi="黑体" w:eastAsia="黑体" w:cs="黑体"/>
          <w:color w:val="auto"/>
          <w:sz w:val="28"/>
          <w:szCs w:val="28"/>
        </w:rPr>
        <w:tab/>
      </w:r>
      <w:r>
        <w:rPr>
          <w:rFonts w:hint="eastAsia" w:ascii="黑体" w:hAnsi="黑体" w:eastAsia="黑体" w:cs="黑体"/>
          <w:color w:val="auto"/>
          <w:sz w:val="28"/>
          <w:szCs w:val="28"/>
        </w:rPr>
        <w:tab/>
      </w:r>
      <w:r>
        <w:rPr>
          <w:rFonts w:hint="eastAsia" w:ascii="黑体" w:hAnsi="黑体" w:eastAsia="黑体" w:cs="黑体"/>
          <w:color w:val="auto"/>
          <w:sz w:val="28"/>
          <w:szCs w:val="28"/>
        </w:rPr>
        <w:t xml:space="preserve">   填表日期：    年   月   日</w:t>
      </w:r>
    </w:p>
    <w:tbl>
      <w:tblPr>
        <w:tblStyle w:val="9"/>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412"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采购人</w:t>
            </w:r>
          </w:p>
        </w:tc>
        <w:tc>
          <w:tcPr>
            <w:tcW w:w="2553" w:type="dxa"/>
            <w:gridSpan w:val="2"/>
            <w:vAlign w:val="center"/>
          </w:tcPr>
          <w:p>
            <w:pPr>
              <w:jc w:val="center"/>
              <w:rPr>
                <w:rFonts w:ascii="仿宋_GB2312" w:hAnsi="仿宋_GB2312" w:eastAsia="仿宋_GB2312" w:cs="仿宋_GB2312"/>
                <w:color w:val="auto"/>
                <w:sz w:val="24"/>
              </w:rPr>
            </w:pPr>
          </w:p>
        </w:tc>
        <w:tc>
          <w:tcPr>
            <w:tcW w:w="1991"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项目名称</w:t>
            </w:r>
          </w:p>
        </w:tc>
        <w:tc>
          <w:tcPr>
            <w:tcW w:w="2985" w:type="dxa"/>
            <w:gridSpan w:val="2"/>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投标（响应）供应商</w:t>
            </w:r>
          </w:p>
        </w:tc>
        <w:tc>
          <w:tcPr>
            <w:tcW w:w="2553" w:type="dxa"/>
            <w:gridSpan w:val="2"/>
            <w:vAlign w:val="center"/>
          </w:tcPr>
          <w:p>
            <w:pPr>
              <w:jc w:val="center"/>
              <w:rPr>
                <w:rFonts w:ascii="仿宋_GB2312" w:hAnsi="仿宋_GB2312" w:eastAsia="仿宋_GB2312" w:cs="仿宋_GB2312"/>
                <w:color w:val="auto"/>
                <w:sz w:val="24"/>
              </w:rPr>
            </w:pPr>
          </w:p>
        </w:tc>
        <w:tc>
          <w:tcPr>
            <w:tcW w:w="1991" w:type="dxa"/>
            <w:gridSpan w:val="2"/>
            <w:vAlign w:val="center"/>
          </w:tcPr>
          <w:p>
            <w:pPr>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供应商统一社会信用代码</w:t>
            </w:r>
          </w:p>
        </w:tc>
        <w:tc>
          <w:tcPr>
            <w:tcW w:w="2985" w:type="dxa"/>
            <w:gridSpan w:val="2"/>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2282" w:type="dxa"/>
            <w:gridSpan w:val="2"/>
            <w:tcBorders>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p>
        </w:tc>
        <w:tc>
          <w:tcPr>
            <w:tcW w:w="947" w:type="dxa"/>
            <w:tcBorders>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1991" w:type="dxa"/>
            <w:gridSpan w:val="2"/>
            <w:tcBorders>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身份证号码</w:t>
            </w:r>
          </w:p>
        </w:tc>
        <w:tc>
          <w:tcPr>
            <w:tcW w:w="1500" w:type="dxa"/>
            <w:tcBorders>
              <w:bottom w:val="single" w:color="auto" w:sz="4" w:space="0"/>
            </w:tcBorders>
            <w:vAlign w:val="center"/>
          </w:tcPr>
          <w:p>
            <w:pPr>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劳动合同</w:t>
            </w:r>
          </w:p>
          <w:p>
            <w:pPr>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关系单位</w:t>
            </w:r>
          </w:p>
        </w:tc>
        <w:tc>
          <w:tcPr>
            <w:tcW w:w="1485" w:type="dxa"/>
            <w:tcBorders>
              <w:bottom w:val="single" w:color="auto" w:sz="4" w:space="0"/>
            </w:tcBorders>
            <w:vAlign w:val="center"/>
          </w:tcPr>
          <w:p>
            <w:pPr>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缴纳社会</w:t>
            </w:r>
          </w:p>
          <w:p>
            <w:pPr>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36" w:type="dxa"/>
            <w:tcBorders>
              <w:top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bidi="ar"/>
              </w:rPr>
              <w:t>3</w:t>
            </w:r>
          </w:p>
        </w:tc>
        <w:tc>
          <w:tcPr>
            <w:tcW w:w="2282" w:type="dxa"/>
            <w:gridSpan w:val="2"/>
            <w:tcBorders>
              <w:top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项目负责人</w:t>
            </w:r>
          </w:p>
        </w:tc>
        <w:tc>
          <w:tcPr>
            <w:tcW w:w="947" w:type="dxa"/>
            <w:tcBorders>
              <w:top w:val="single" w:color="auto" w:sz="4" w:space="0"/>
            </w:tcBorders>
            <w:vAlign w:val="center"/>
          </w:tcPr>
          <w:p>
            <w:pPr>
              <w:jc w:val="center"/>
              <w:rPr>
                <w:rFonts w:ascii="仿宋_GB2312" w:hAnsi="仿宋_GB2312" w:eastAsia="仿宋_GB2312" w:cs="仿宋_GB2312"/>
                <w:color w:val="auto"/>
                <w:sz w:val="24"/>
              </w:rPr>
            </w:pPr>
          </w:p>
        </w:tc>
        <w:tc>
          <w:tcPr>
            <w:tcW w:w="1991" w:type="dxa"/>
            <w:gridSpan w:val="2"/>
            <w:tcBorders>
              <w:top w:val="single" w:color="auto" w:sz="4" w:space="0"/>
            </w:tcBorders>
            <w:vAlign w:val="center"/>
          </w:tcPr>
          <w:p>
            <w:pPr>
              <w:jc w:val="center"/>
              <w:rPr>
                <w:rFonts w:ascii="仿宋_GB2312" w:hAnsi="仿宋_GB2312" w:eastAsia="仿宋_GB2312" w:cs="仿宋_GB2312"/>
                <w:color w:val="auto"/>
                <w:sz w:val="24"/>
              </w:rPr>
            </w:pPr>
          </w:p>
        </w:tc>
        <w:tc>
          <w:tcPr>
            <w:tcW w:w="1500" w:type="dxa"/>
            <w:tcBorders>
              <w:top w:val="single" w:color="auto" w:sz="4" w:space="0"/>
            </w:tcBorders>
            <w:vAlign w:val="center"/>
          </w:tcPr>
          <w:p>
            <w:pPr>
              <w:jc w:val="center"/>
              <w:rPr>
                <w:rFonts w:ascii="仿宋_GB2312" w:hAnsi="仿宋_GB2312" w:eastAsia="仿宋_GB2312" w:cs="仿宋_GB2312"/>
                <w:color w:val="auto"/>
                <w:sz w:val="24"/>
              </w:rPr>
            </w:pPr>
          </w:p>
        </w:tc>
        <w:tc>
          <w:tcPr>
            <w:tcW w:w="1485" w:type="dxa"/>
            <w:tcBorders>
              <w:top w:val="single" w:color="auto" w:sz="4" w:space="0"/>
            </w:tcBorders>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36"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bidi="ar"/>
              </w:rPr>
              <w:t>4</w:t>
            </w:r>
          </w:p>
        </w:tc>
        <w:tc>
          <w:tcPr>
            <w:tcW w:w="2282" w:type="dxa"/>
            <w:gridSpan w:val="2"/>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主要技术人员</w:t>
            </w:r>
          </w:p>
        </w:tc>
        <w:tc>
          <w:tcPr>
            <w:tcW w:w="947" w:type="dxa"/>
            <w:vAlign w:val="center"/>
          </w:tcPr>
          <w:p>
            <w:pPr>
              <w:jc w:val="center"/>
              <w:rPr>
                <w:rFonts w:ascii="仿宋_GB2312" w:hAnsi="仿宋_GB2312" w:eastAsia="仿宋_GB2312" w:cs="仿宋_GB2312"/>
                <w:color w:val="auto"/>
                <w:sz w:val="24"/>
              </w:rPr>
            </w:pPr>
          </w:p>
        </w:tc>
        <w:tc>
          <w:tcPr>
            <w:tcW w:w="1991" w:type="dxa"/>
            <w:gridSpan w:val="2"/>
            <w:vAlign w:val="center"/>
          </w:tcPr>
          <w:p>
            <w:pPr>
              <w:jc w:val="center"/>
              <w:rPr>
                <w:rFonts w:ascii="仿宋_GB2312" w:hAnsi="仿宋_GB2312" w:eastAsia="仿宋_GB2312" w:cs="仿宋_GB2312"/>
                <w:color w:val="auto"/>
                <w:sz w:val="24"/>
              </w:rPr>
            </w:pPr>
          </w:p>
        </w:tc>
        <w:tc>
          <w:tcPr>
            <w:tcW w:w="1500" w:type="dxa"/>
            <w:vAlign w:val="center"/>
          </w:tcPr>
          <w:p>
            <w:pPr>
              <w:jc w:val="center"/>
              <w:rPr>
                <w:rFonts w:ascii="仿宋_GB2312" w:hAnsi="仿宋_GB2312" w:eastAsia="仿宋_GB2312" w:cs="仿宋_GB2312"/>
                <w:color w:val="auto"/>
                <w:sz w:val="24"/>
              </w:rPr>
            </w:pPr>
          </w:p>
        </w:tc>
        <w:tc>
          <w:tcPr>
            <w:tcW w:w="1485"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36" w:type="dxa"/>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bidi="ar"/>
              </w:rPr>
              <w:t>5</w:t>
            </w:r>
          </w:p>
        </w:tc>
        <w:tc>
          <w:tcPr>
            <w:tcW w:w="2282" w:type="dxa"/>
            <w:gridSpan w:val="2"/>
            <w:vAlign w:val="center"/>
          </w:tcPr>
          <w:p>
            <w:pPr>
              <w:snapToGrid w:val="0"/>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投标文件编制人员</w:t>
            </w:r>
          </w:p>
        </w:tc>
        <w:tc>
          <w:tcPr>
            <w:tcW w:w="947" w:type="dxa"/>
            <w:vAlign w:val="center"/>
          </w:tcPr>
          <w:p>
            <w:pPr>
              <w:jc w:val="center"/>
              <w:rPr>
                <w:rFonts w:ascii="仿宋_GB2312" w:hAnsi="仿宋_GB2312" w:eastAsia="仿宋_GB2312" w:cs="仿宋_GB2312"/>
                <w:color w:val="auto"/>
                <w:sz w:val="24"/>
              </w:rPr>
            </w:pPr>
          </w:p>
        </w:tc>
        <w:tc>
          <w:tcPr>
            <w:tcW w:w="1991" w:type="dxa"/>
            <w:gridSpan w:val="2"/>
            <w:vAlign w:val="center"/>
          </w:tcPr>
          <w:p>
            <w:pPr>
              <w:jc w:val="center"/>
              <w:rPr>
                <w:rFonts w:ascii="仿宋_GB2312" w:hAnsi="仿宋_GB2312" w:eastAsia="仿宋_GB2312" w:cs="仿宋_GB2312"/>
                <w:color w:val="auto"/>
                <w:sz w:val="24"/>
              </w:rPr>
            </w:pPr>
          </w:p>
        </w:tc>
        <w:tc>
          <w:tcPr>
            <w:tcW w:w="1500" w:type="dxa"/>
            <w:vAlign w:val="center"/>
          </w:tcPr>
          <w:p>
            <w:pPr>
              <w:jc w:val="center"/>
              <w:rPr>
                <w:rFonts w:ascii="仿宋_GB2312" w:hAnsi="仿宋_GB2312" w:eastAsia="仿宋_GB2312" w:cs="仿宋_GB2312"/>
                <w:color w:val="auto"/>
                <w:sz w:val="24"/>
              </w:rPr>
            </w:pPr>
          </w:p>
        </w:tc>
        <w:tc>
          <w:tcPr>
            <w:tcW w:w="1485" w:type="dxa"/>
            <w:vAlign w:val="center"/>
          </w:tcPr>
          <w:p>
            <w:pPr>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vAlign w:val="center"/>
          </w:tcPr>
          <w:p>
            <w:pPr>
              <w:jc w:val="center"/>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序号</w:t>
            </w:r>
          </w:p>
        </w:tc>
        <w:tc>
          <w:tcPr>
            <w:tcW w:w="2282" w:type="dxa"/>
            <w:gridSpan w:val="2"/>
            <w:tcBorders>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关联关系类型</w:t>
            </w:r>
          </w:p>
        </w:tc>
        <w:tc>
          <w:tcPr>
            <w:tcW w:w="1738" w:type="dxa"/>
            <w:gridSpan w:val="2"/>
            <w:tcBorders>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关联主体名称</w:t>
            </w:r>
          </w:p>
        </w:tc>
        <w:tc>
          <w:tcPr>
            <w:tcW w:w="4185" w:type="dxa"/>
            <w:gridSpan w:val="3"/>
            <w:tcBorders>
              <w:bottom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仿宋_GB2312" w:hAnsi="仿宋_GB2312" w:eastAsia="仿宋_GB2312" w:cs="仿宋_GB2312"/>
                <w:color w:val="auto"/>
                <w:sz w:val="24"/>
              </w:rPr>
            </w:pPr>
            <w:r>
              <w:rPr>
                <w:rFonts w:hint="eastAsia" w:ascii="仿宋_GB2312" w:hAnsi="仿宋_GB2312" w:eastAsia="仿宋_GB2312" w:cs="仿宋_GB2312"/>
                <w:color w:val="auto"/>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lang w:bidi="ar"/>
              </w:rPr>
            </w:pPr>
            <w:r>
              <w:rPr>
                <w:rFonts w:hint="eastAsia" w:ascii="仿宋_GB2312" w:hAnsi="仿宋_GB2312" w:eastAsia="仿宋_GB2312" w:cs="仿宋_GB2312"/>
                <w:color w:val="auto"/>
                <w:sz w:val="24"/>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color w:val="auto"/>
                <w:sz w:val="24"/>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说明：同一关联关系类型有多个主体的，应分行填写。</w:t>
            </w:r>
          </w:p>
        </w:tc>
      </w:tr>
    </w:tbl>
    <w:p>
      <w:pPr>
        <w:pStyle w:val="3"/>
        <w:rPr>
          <w:color w:val="auto"/>
        </w:rPr>
      </w:pPr>
    </w:p>
    <w:p>
      <w:pPr>
        <w:wordWrap w:val="0"/>
        <w:spacing w:line="579" w:lineRule="exact"/>
        <w:outlineLvl w:val="0"/>
        <w:rPr>
          <w:rFonts w:ascii="黑体" w:hAnsi="黑体" w:eastAsia="黑体" w:cs="黑体"/>
          <w:bCs/>
          <w:color w:val="auto"/>
          <w:sz w:val="32"/>
          <w:szCs w:val="32"/>
        </w:rPr>
      </w:pPr>
      <w:r>
        <w:rPr>
          <w:rFonts w:hint="eastAsia" w:ascii="黑体" w:hAnsi="黑体" w:eastAsia="黑体" w:cs="黑体"/>
          <w:bCs/>
          <w:color w:val="auto"/>
          <w:sz w:val="32"/>
          <w:szCs w:val="32"/>
        </w:rPr>
        <w:t>附件2</w:t>
      </w:r>
    </w:p>
    <w:p>
      <w:pPr>
        <w:spacing w:line="579" w:lineRule="exact"/>
        <w:ind w:firstLine="320" w:firstLineChars="100"/>
        <w:jc w:val="center"/>
        <w:rPr>
          <w:rFonts w:ascii="黑体" w:hAnsi="黑体" w:eastAsia="黑体" w:cs="黑体"/>
          <w:color w:val="auto"/>
          <w:sz w:val="32"/>
          <w:szCs w:val="32"/>
        </w:rPr>
      </w:pPr>
    </w:p>
    <w:p>
      <w:pPr>
        <w:widowControl/>
        <w:spacing w:line="579" w:lineRule="exact"/>
        <w:jc w:val="center"/>
        <w:outlineLvl w:val="0"/>
        <w:rPr>
          <w:rFonts w:ascii="方正小标宋_GBK" w:hAnsi="方正小标宋_GBK" w:eastAsia="方正小标宋_GBK" w:cs="方正小标宋_GBK"/>
          <w:color w:val="auto"/>
          <w:spacing w:val="-2"/>
          <w:sz w:val="44"/>
          <w:szCs w:val="44"/>
        </w:rPr>
      </w:pPr>
      <w:r>
        <w:rPr>
          <w:rFonts w:hint="eastAsia" w:ascii="方正小标宋_GBK" w:hAnsi="方正小标宋_GBK" w:eastAsia="方正小标宋_GBK" w:cs="方正小标宋_GBK"/>
          <w:color w:val="auto"/>
          <w:spacing w:val="-2"/>
          <w:sz w:val="44"/>
          <w:szCs w:val="44"/>
        </w:rPr>
        <w:t>政府采购违法行为风险知悉确认书</w:t>
      </w:r>
    </w:p>
    <w:p>
      <w:pPr>
        <w:spacing w:line="579" w:lineRule="exact"/>
        <w:ind w:firstLine="320" w:firstLineChars="100"/>
        <w:jc w:val="center"/>
        <w:rPr>
          <w:rFonts w:ascii="黑体" w:hAnsi="黑体" w:eastAsia="黑体" w:cs="黑体"/>
          <w:color w:val="auto"/>
          <w:sz w:val="32"/>
          <w:szCs w:val="32"/>
        </w:rPr>
      </w:pPr>
    </w:p>
    <w:p>
      <w:pPr>
        <w:spacing w:line="579"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本公司在投标前已充分知悉以下情形为参与政府采购活动时的重大风险事项，并承诺已对下述风险提示事项重点排查，做到严谨、诚信、依法依规参与政府采购活动。</w:t>
      </w:r>
    </w:p>
    <w:p>
      <w:p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一、本公司已充分知悉“隐瞒真实情况，提供虚假资料”的法定情形，相关情形包括但不限于</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（一）通过转让或者租借等方式从其他单位获取资格或者资质证书投标的。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（二）由其他单位或者其他单位负责人在投标供应商编制的投标文件上加盖印章或者签字的。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（三）项目负责人或者主要技术人员不是本单位人员的。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（四）投标保证金不是从投标供应商基本账户转出的。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（五）其他隐瞒真实情况、提供虚假资料的行为。</w:t>
      </w:r>
    </w:p>
    <w:p>
      <w:p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二、本公司已充分知悉“与其他采购参加人串通投标”的法定情形，相关情形包括但不限于</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（一）投标供应商之间相互约定给予未中标的供应商利益补偿。 </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（二）不同投标供应商的法定代表人、主要经营负责人、项目投标授权代表人、项目负责人、主要技术人员为同一人、属同一单位或者在同一单位缴纳社会保险。</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（三）不同投标供应商的投标文件由同一单位或者同一人编制，或者由同一人分阶段参与编制的。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（四）不同投标供应商的投标文件或部分投标文件相互混装。</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（五）不同投标供应商的投标文件内容存在非正常一致。</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（六）由同一单位工作人员为两家以上（含两家）供应商进行同一项投标活动的。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（七）不同投标人的投标报价呈规律性差异。</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（八）不同投标人的投标保证金从同一单位或者个人的账户转出。</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（九）主管部门依照法律、法规认定的其他情形。</w:t>
      </w:r>
    </w:p>
    <w:p>
      <w:pPr>
        <w:spacing w:line="579" w:lineRule="exact"/>
        <w:ind w:firstLine="640" w:firstLineChars="200"/>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三、本公司已充分知悉下列情形所对应的法律风险，并在投标前已对相关风险事项进行排查</w:t>
      </w:r>
    </w:p>
    <w:p>
      <w:pPr>
        <w:spacing w:line="579"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（一）对于</w:t>
      </w:r>
      <w:r>
        <w:rPr>
          <w:rFonts w:hint="eastAsia" w:ascii="仿宋_GB2312" w:hAnsi="Times New Roman" w:eastAsia="仿宋_GB2312" w:cs="Times New Roman"/>
          <w:color w:val="auto"/>
          <w:sz w:val="32"/>
          <w:szCs w:val="32"/>
        </w:rPr>
        <w:t>从</w:t>
      </w:r>
      <w:r>
        <w:rPr>
          <w:rFonts w:hint="eastAsia" w:ascii="仿宋_GB2312" w:hAnsi="仿宋_GB2312" w:eastAsia="仿宋_GB2312" w:cs="仿宋_GB2312"/>
          <w:color w:val="auto"/>
          <w:sz w:val="32"/>
          <w:szCs w:val="32"/>
        </w:rPr>
        <w:t>其他主体</w:t>
      </w:r>
      <w:r>
        <w:rPr>
          <w:rFonts w:hint="eastAsia" w:ascii="仿宋_GB2312" w:hAnsi="Times New Roman" w:eastAsia="仿宋_GB2312" w:cs="Times New Roman"/>
          <w:color w:val="auto"/>
          <w:sz w:val="32"/>
          <w:szCs w:val="32"/>
        </w:rPr>
        <w:t>获取</w:t>
      </w:r>
      <w:r>
        <w:rPr>
          <w:rFonts w:hint="eastAsia" w:ascii="仿宋_GB2312" w:hAnsi="仿宋_GB2312" w:eastAsia="仿宋_GB2312" w:cs="仿宋_GB2312"/>
          <w:color w:val="auto"/>
          <w:sz w:val="32"/>
          <w:szCs w:val="32"/>
        </w:rPr>
        <w:t>的投标资料，供应商应审慎核查，确保投标资料的真实性。</w:t>
      </w:r>
      <w:r>
        <w:rPr>
          <w:rFonts w:hint="eastAsia" w:ascii="仿宋_GB2312" w:hAnsi="仿宋_GB2312" w:eastAsia="仿宋_GB2312" w:cs="仿宋_GB2312"/>
          <w:b/>
          <w:bCs/>
          <w:color w:val="auto"/>
          <w:sz w:val="32"/>
          <w:szCs w:val="32"/>
        </w:rPr>
        <w:t>如主管部门查实投标文件中存在虚假资料的，无论相关资料是否由第三方或本公司员工提供，均不影响主管部门对供应商存在“隐瞒真实情况，提供虚假资料”违法行为的认定。</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（三）对于涉及安全生产、特种作业、抢险救灾、防疫等政府采购项目，供应商实施提供虚假资料、串通投标等违法行为的，主管部门将依法从严处理。 </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（四）供应商应严格规范项目授权代表、员工参与招标投标的行为，加强对投标文件的审核。项目授权代表、员工</w:t>
      </w:r>
      <w:r>
        <w:rPr>
          <w:rFonts w:hint="eastAsia" w:ascii="仿宋_GB2312" w:hAnsi="Times New Roman" w:eastAsia="仿宋_GB2312" w:cs="Times New Roman"/>
          <w:color w:val="auto"/>
          <w:sz w:val="32"/>
          <w:szCs w:val="32"/>
        </w:rPr>
        <w:t>编制、上传</w:t>
      </w:r>
      <w:r>
        <w:rPr>
          <w:rFonts w:hint="eastAsia" w:ascii="仿宋_GB2312" w:hAnsi="仿宋_GB2312" w:eastAsia="仿宋_GB2312" w:cs="仿宋_GB2312"/>
          <w:color w:val="auto"/>
          <w:sz w:val="32"/>
          <w:szCs w:val="32"/>
        </w:rPr>
        <w:t>投标文件</w:t>
      </w:r>
      <w:r>
        <w:rPr>
          <w:rFonts w:hint="eastAsia" w:ascii="仿宋_GB2312" w:hAnsi="Times New Roman" w:eastAsia="仿宋_GB2312" w:cs="Times New Roman"/>
          <w:color w:val="auto"/>
          <w:sz w:val="32"/>
          <w:szCs w:val="32"/>
        </w:rPr>
        <w:t>等行为</w:t>
      </w:r>
      <w:r>
        <w:rPr>
          <w:rFonts w:hint="eastAsia" w:ascii="仿宋_GB2312" w:hAnsi="仿宋_GB2312" w:eastAsia="仿宋_GB2312" w:cs="仿宋_GB2312"/>
          <w:color w:val="auto"/>
          <w:sz w:val="32"/>
          <w:szCs w:val="32"/>
        </w:rPr>
        <w:t>违反政府采购法律法规或招标文件要求的，投标供应商应当依法承担相应法律责任。</w:t>
      </w:r>
    </w:p>
    <w:p>
      <w:pPr>
        <w:spacing w:line="579"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（六）单位负责人为同一人或者存在直接控股、管理关系的不同供应商，不得参加同一合同项下的政府采购活动。相关情形</w:t>
      </w:r>
      <w:r>
        <w:rPr>
          <w:rFonts w:hint="eastAsia" w:ascii="仿宋_GB2312" w:hAnsi="Times New Roman" w:eastAsia="仿宋_GB2312" w:cs="Times New Roman"/>
          <w:color w:val="auto"/>
          <w:sz w:val="32"/>
          <w:szCs w:val="32"/>
        </w:rPr>
        <w:t>如</w:t>
      </w:r>
      <w:r>
        <w:rPr>
          <w:rFonts w:hint="eastAsia" w:ascii="仿宋_GB2312" w:hAnsi="仿宋_GB2312" w:eastAsia="仿宋_GB2312" w:cs="仿宋_GB2312"/>
          <w:color w:val="auto"/>
          <w:sz w:val="32"/>
          <w:szCs w:val="32"/>
        </w:rPr>
        <w:t>查实，依法作投标无效处理；涉嫌串通投标等违法行为的，主管部门将依法调查处理。</w:t>
      </w:r>
    </w:p>
    <w:p>
      <w:pPr>
        <w:spacing w:line="579"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四、本公司已充分知悉政府采购违法、违规行为的法律后果</w:t>
      </w:r>
    </w:p>
    <w:p>
      <w:pPr>
        <w:spacing w:line="579" w:lineRule="exact"/>
        <w:ind w:firstLine="640"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以下文字请投标供应商抄写并确认：“本公司已仔细阅读《政府采购违法行为风险知悉确认书》，充分知悉违法行为的法律后果，并承诺将严谨、诚信、依法依规参与政府采购活动”。</w:t>
      </w:r>
    </w:p>
    <w:p>
      <w:pPr>
        <w:spacing w:line="579"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p>
    <w:p>
      <w:pPr>
        <w:spacing w:line="579" w:lineRule="exact"/>
        <w:rPr>
          <w:rFonts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u w:val="single"/>
        </w:rPr>
        <w:t xml:space="preserve">                                                    </w:t>
      </w:r>
    </w:p>
    <w:p>
      <w:pPr>
        <w:spacing w:line="579" w:lineRule="exact"/>
        <w:rPr>
          <w:rFonts w:ascii="仿宋_GB2312" w:hAnsi="仿宋_GB2312" w:eastAsia="仿宋_GB2312" w:cs="仿宋_GB2312"/>
          <w:color w:val="auto"/>
          <w:sz w:val="32"/>
          <w:szCs w:val="32"/>
        </w:rPr>
      </w:pPr>
    </w:p>
    <w:p>
      <w:pPr>
        <w:spacing w:line="579"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负责人/投标授权代表签名：</w:t>
      </w:r>
    </w:p>
    <w:p>
      <w:pPr>
        <w:spacing w:line="579" w:lineRule="exact"/>
        <w:ind w:firstLine="3200" w:firstLineChars="10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知悉人（公章）：</w:t>
      </w:r>
    </w:p>
    <w:p>
      <w:pPr>
        <w:spacing w:line="579" w:lineRule="exact"/>
        <w:rPr>
          <w:rFonts w:ascii="Times New Roman" w:hAnsi="Times New Roman" w:eastAsia="宋体" w:cs="Times New Roman"/>
          <w:color w:val="auto"/>
          <w:sz w:val="32"/>
          <w:szCs w:val="32"/>
        </w:rPr>
      </w:pPr>
      <w:r>
        <w:rPr>
          <w:rFonts w:hint="eastAsia" w:ascii="仿宋_GB2312" w:hAnsi="仿宋_GB2312" w:eastAsia="仿宋_GB2312" w:cs="仿宋_GB2312"/>
          <w:color w:val="auto"/>
          <w:sz w:val="32"/>
          <w:szCs w:val="32"/>
        </w:rPr>
        <w:t xml:space="preserve">                    日期：</w:t>
      </w:r>
    </w:p>
    <w:p>
      <w:pPr>
        <w:spacing w:line="579" w:lineRule="exact"/>
        <w:rPr>
          <w:rFonts w:ascii="Times New Roman" w:hAnsi="Times New Roman" w:eastAsia="宋体" w:cs="Times New Roman"/>
          <w:color w:val="auto"/>
          <w:sz w:val="32"/>
          <w:szCs w:val="32"/>
        </w:rPr>
      </w:pPr>
    </w:p>
    <w:p>
      <w:pPr>
        <w:spacing w:line="579" w:lineRule="exact"/>
        <w:rPr>
          <w:rFonts w:ascii="Times New Roman" w:hAnsi="Times New Roman" w:eastAsia="宋体" w:cs="Times New Roman"/>
          <w:color w:val="auto"/>
          <w:sz w:val="32"/>
          <w:szCs w:val="32"/>
        </w:rPr>
      </w:pPr>
    </w:p>
    <w:p>
      <w:pPr>
        <w:wordWrap w:val="0"/>
        <w:spacing w:line="579" w:lineRule="exact"/>
        <w:outlineLvl w:val="0"/>
        <w:rPr>
          <w:rFonts w:ascii="黑体" w:hAnsi="黑体" w:eastAsia="黑体" w:cs="黑体"/>
          <w:bCs/>
          <w:color w:val="auto"/>
          <w:sz w:val="32"/>
          <w:szCs w:val="32"/>
        </w:rPr>
      </w:pPr>
      <w:r>
        <w:rPr>
          <w:rFonts w:hint="eastAsia" w:ascii="方正小标宋_GBK" w:hAnsi="方正小标宋_GBK" w:eastAsia="方正小标宋_GBK" w:cs="方正小标宋_GBK"/>
          <w:color w:val="auto"/>
          <w:spacing w:val="-2"/>
          <w:sz w:val="32"/>
          <w:szCs w:val="32"/>
        </w:rPr>
        <w:br w:type="page"/>
      </w:r>
      <w:r>
        <w:rPr>
          <w:rFonts w:hint="eastAsia" w:ascii="黑体" w:hAnsi="黑体" w:eastAsia="黑体" w:cs="黑体"/>
          <w:bCs/>
          <w:color w:val="auto"/>
          <w:sz w:val="32"/>
          <w:szCs w:val="32"/>
        </w:rPr>
        <w:t>附件3</w:t>
      </w:r>
    </w:p>
    <w:p>
      <w:pPr>
        <w:spacing w:line="579" w:lineRule="exact"/>
        <w:ind w:firstLine="320" w:firstLineChars="100"/>
        <w:jc w:val="center"/>
        <w:rPr>
          <w:rFonts w:ascii="黑体" w:hAnsi="黑体" w:eastAsia="黑体" w:cs="黑体"/>
          <w:color w:val="auto"/>
          <w:sz w:val="32"/>
          <w:szCs w:val="32"/>
        </w:rPr>
      </w:pPr>
    </w:p>
    <w:p>
      <w:pPr>
        <w:widowControl/>
        <w:spacing w:line="579" w:lineRule="exact"/>
        <w:jc w:val="center"/>
        <w:outlineLvl w:val="0"/>
        <w:rPr>
          <w:rFonts w:ascii="方正小标宋_GBK" w:hAnsi="方正小标宋_GBK" w:eastAsia="方正小标宋_GBK" w:cs="方正小标宋_GBK"/>
          <w:color w:val="auto"/>
          <w:spacing w:val="-2"/>
          <w:sz w:val="44"/>
          <w:szCs w:val="44"/>
        </w:rPr>
      </w:pPr>
      <w:r>
        <w:rPr>
          <w:rFonts w:hint="eastAsia" w:ascii="方正小标宋_GBK" w:hAnsi="方正小标宋_GBK" w:eastAsia="方正小标宋_GBK" w:cs="方正小标宋_GBK"/>
          <w:color w:val="auto"/>
          <w:spacing w:val="-2"/>
          <w:sz w:val="44"/>
          <w:szCs w:val="44"/>
        </w:rPr>
        <w:t>履约承诺函</w:t>
      </w:r>
    </w:p>
    <w:p>
      <w:pPr>
        <w:spacing w:line="579" w:lineRule="exact"/>
        <w:ind w:firstLine="320" w:firstLineChars="100"/>
        <w:jc w:val="center"/>
        <w:rPr>
          <w:rFonts w:ascii="黑体" w:hAnsi="黑体" w:eastAsia="黑体" w:cs="黑体"/>
          <w:color w:val="auto"/>
          <w:sz w:val="32"/>
          <w:szCs w:val="32"/>
        </w:rPr>
      </w:pP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致：深圳市福田区沙头街道办事处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1.我单位参与本项目所投标（响应）的货物、工程或服务，不存在侵犯知识产权的情况。</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2.我单位参与本项目政府采购活动时不存在被有关部门禁止参与政府采购活动且在有效期内的情况。</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3.我单位具备《中华人民共和国政府采购法》第二十二条第一款规定的六项条件。</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4.我单位未被列入失信被执行人、重大税收违法案件当事人名单（重大税收违法失信主体）、政府采购严重违法失信行为记录名单。</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bookmarkStart w:id="0" w:name="_Hlk72587269"/>
      <w:bookmarkStart w:id="1" w:name="_Hlk72587299"/>
      <w:r>
        <w:rPr>
          <w:rFonts w:hint="eastAsia" w:ascii="仿宋_GB2312" w:hAnsi="仿宋_GB2312" w:eastAsia="仿宋_GB2312" w:cs="仿宋_GB2312"/>
          <w:color w:val="auto"/>
          <w:sz w:val="32"/>
          <w:szCs w:val="32"/>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仿宋_GB2312" w:hAnsi="仿宋_GB2312" w:eastAsia="仿宋_GB2312" w:cs="仿宋_GB2312"/>
          <w:color w:val="auto"/>
          <w:sz w:val="32"/>
          <w:szCs w:val="32"/>
        </w:rPr>
        <w:t>。</w:t>
      </w:r>
    </w:p>
    <w:bookmarkEnd w:id="1"/>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8.我单位承诺中标后项目不转包，未经采购人同意不进行分包。</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10.我单位保证，若所投货物涉及《财政部生态环境部关于印发节能产品政府采购品目清单的通知》（财库〔2019〕19号）列明的政府采购强制产品，则所投该产品符合节能产品的认证要求。</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11.我单位已知悉并同意中标（成交）结果信息公示（公开）的内容。</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13.我单位清楚，如存在违反投标承诺行为情节严重的，将根据《深圳市财政局关于印发&lt;深圳市财政局政府采购供应商信用信息管理办法&gt;的通知》，依法被列入失信信息。</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以上承诺，如有违反，愿依照国家相关法律法规处理，并承担由此给采购人带来的损失。</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79" w:lineRule="exact"/>
        <w:ind w:firstLine="4480" w:firstLineChars="14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投标人：              </w:t>
      </w:r>
    </w:p>
    <w:p>
      <w:pPr>
        <w:spacing w:line="579" w:lineRule="exact"/>
        <w:ind w:firstLine="640" w:firstLineChars="200"/>
        <w:rPr>
          <w:rFonts w:ascii="微软雅黑" w:hAnsi="微软雅黑" w:eastAsia="微软雅黑" w:cs="Times New Roman"/>
          <w:color w:val="auto"/>
          <w:sz w:val="32"/>
          <w:szCs w:val="32"/>
        </w:rPr>
      </w:pPr>
      <w:r>
        <w:rPr>
          <w:rFonts w:hint="eastAsia" w:ascii="仿宋_GB2312" w:hAnsi="仿宋_GB2312" w:eastAsia="仿宋_GB2312" w:cs="仿宋_GB2312"/>
          <w:color w:val="auto"/>
          <w:sz w:val="32"/>
          <w:szCs w:val="32"/>
        </w:rPr>
        <w:t xml:space="preserve">                        日期：    年   月   日</w:t>
      </w:r>
    </w:p>
    <w:p>
      <w:pPr>
        <w:pStyle w:val="2"/>
        <w:spacing w:line="579" w:lineRule="exact"/>
        <w:jc w:val="left"/>
        <w:rPr>
          <w:color w:val="auto"/>
        </w:rPr>
      </w:pPr>
    </w:p>
    <w:p>
      <w:pPr>
        <w:pStyle w:val="3"/>
        <w:rPr>
          <w:color w:val="auto"/>
        </w:rPr>
      </w:pPr>
    </w:p>
    <w:p>
      <w:pPr>
        <w:pStyle w:val="3"/>
        <w:rPr>
          <w:color w:val="auto"/>
        </w:rPr>
      </w:pPr>
    </w:p>
    <w:p>
      <w:pPr>
        <w:pStyle w:val="3"/>
        <w:rPr>
          <w:color w:val="auto"/>
        </w:rPr>
      </w:pPr>
    </w:p>
    <w:p>
      <w:pPr>
        <w:pStyle w:val="3"/>
        <w:rPr>
          <w:color w:val="auto"/>
        </w:rPr>
      </w:pPr>
    </w:p>
    <w:p>
      <w:pPr>
        <w:spacing w:line="579" w:lineRule="exact"/>
        <w:rPr>
          <w:rFonts w:ascii="黑体" w:hAnsi="黑体" w:eastAsia="黑体" w:cs="黑体"/>
          <w:color w:val="auto"/>
          <w:sz w:val="32"/>
          <w:szCs w:val="32"/>
        </w:rPr>
      </w:pPr>
      <w:r>
        <w:rPr>
          <w:rFonts w:hint="eastAsia" w:ascii="黑体" w:hAnsi="黑体" w:eastAsia="黑体" w:cs="黑体"/>
          <w:color w:val="auto"/>
          <w:sz w:val="32"/>
          <w:szCs w:val="32"/>
        </w:rPr>
        <w:t>附件4</w:t>
      </w:r>
    </w:p>
    <w:p>
      <w:pPr>
        <w:ind w:firstLine="640" w:firstLineChars="200"/>
        <w:rPr>
          <w:rFonts w:ascii="仿宋_GB2312" w:hAnsi="Calibri" w:eastAsia="仿宋_GB2312" w:cs="Times New Roman"/>
          <w:color w:val="auto"/>
          <w:sz w:val="32"/>
        </w:rPr>
      </w:pPr>
    </w:p>
    <w:p>
      <w:pPr>
        <w:spacing w:line="579" w:lineRule="exact"/>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诚信承诺函</w:t>
      </w:r>
    </w:p>
    <w:p>
      <w:pPr>
        <w:spacing w:line="579" w:lineRule="exact"/>
        <w:jc w:val="center"/>
        <w:rPr>
          <w:rFonts w:ascii="方正小标宋_GBK" w:hAnsi="方正小标宋_GBK" w:eastAsia="方正小标宋_GBK" w:cs="方正小标宋_GBK"/>
          <w:color w:val="auto"/>
          <w:sz w:val="44"/>
          <w:szCs w:val="44"/>
        </w:rPr>
      </w:pP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致：深圳市福田区沙头街道办事处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我方承诺在政府采购招标投标活动中不存在以下情形：</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（一）被纪检监察部门立案调查，违法违规事实成立的；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（二）未按政府采购相关规定签订、履行采购合同，造成严重后果的；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（三）隐瞒真实情况，提供虚假资料的；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（四）以非法手段排斥其他供应商参与竞争的；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（五）与其他采购参加人串通投标的；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（六）在采购活动中应当回避而未回避的； </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（七）恶意投诉的； </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（八）向采购项目相关人行贿或者提供其他不当利益的； </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（九）阻碍、抗拒主管部门监督检查的；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（十）向采购代理机构及相关工作人员以各类形式进行施压的；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（十一）履约检查不合格或者评价为差的；</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（十二）主管部门认定的其他情形。</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如我方在本项目开标日前三年内存在上述行为超出法定追诉时效未被追诉、或者上述情节轻微未给予禁止参加政府采购的行政处罚，我司自愿承担虚假应标以及其他一切不利的法律后果。</w:t>
      </w:r>
    </w:p>
    <w:p>
      <w:pPr>
        <w:spacing w:line="579"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pPr>
        <w:spacing w:line="579" w:lineRule="exact"/>
        <w:rPr>
          <w:rFonts w:ascii="仿宋_GB2312" w:hAnsi="仿宋_GB2312" w:eastAsia="仿宋_GB2312" w:cs="仿宋_GB2312"/>
          <w:color w:val="auto"/>
          <w:sz w:val="32"/>
          <w:szCs w:val="32"/>
        </w:rPr>
      </w:pPr>
    </w:p>
    <w:p>
      <w:pPr>
        <w:spacing w:line="579" w:lineRule="exact"/>
        <w:ind w:firstLine="640" w:firstLineChars="200"/>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投标人：                      </w:t>
      </w:r>
    </w:p>
    <w:p>
      <w:pPr>
        <w:spacing w:line="579" w:lineRule="exact"/>
        <w:ind w:firstLine="640" w:firstLineChars="200"/>
        <w:jc w:val="right"/>
        <w:rPr>
          <w:rFonts w:ascii="Times New Roman" w:hAnsi="Times New Roman" w:eastAsia="宋体" w:cs="Times New Roman"/>
          <w:color w:val="auto"/>
        </w:rPr>
      </w:pPr>
      <w:r>
        <w:rPr>
          <w:rFonts w:hint="eastAsia" w:ascii="仿宋_GB2312" w:hAnsi="仿宋_GB2312" w:eastAsia="仿宋_GB2312" w:cs="仿宋_GB2312"/>
          <w:color w:val="auto"/>
          <w:sz w:val="32"/>
          <w:szCs w:val="32"/>
        </w:rPr>
        <w:t>日  期：      年    月    日</w:t>
      </w:r>
    </w:p>
    <w:p>
      <w:pPr>
        <w:rPr>
          <w:rFonts w:ascii="Calibri" w:hAnsi="Calibri" w:eastAsia="宋体" w:cs="宋体"/>
          <w:color w:val="auto"/>
        </w:rPr>
      </w:pPr>
    </w:p>
    <w:p>
      <w:pPr>
        <w:spacing w:line="579" w:lineRule="exact"/>
        <w:ind w:firstLine="640" w:firstLineChars="200"/>
        <w:rPr>
          <w:rFonts w:ascii="仿宋_GB2312" w:hAnsi="仿宋_GB2312" w:eastAsia="仿宋_GB2312" w:cs="仿宋_GB2312"/>
          <w:color w:val="auto"/>
          <w:sz w:val="32"/>
          <w:szCs w:val="32"/>
        </w:rPr>
      </w:pPr>
    </w:p>
    <w:p>
      <w:pPr>
        <w:rPr>
          <w:rFonts w:ascii="Times New Roman" w:hAnsi="Times New Roman" w:eastAsia="宋体" w:cs="Times New Roman"/>
        </w:rPr>
      </w:pPr>
    </w:p>
    <w:p>
      <w:pPr>
        <w:rPr>
          <w:rFonts w:asciiTheme="minorHAnsi" w:hAnsiTheme="minorHAnsi" w:eastAsiaTheme="minorEastAsia" w:cstheme="minorBidi"/>
        </w:rPr>
      </w:pPr>
    </w:p>
    <w:p/>
    <w:sectPr>
      <w:headerReference r:id="rId3" w:type="default"/>
      <w:footerReference r:id="rId4" w:type="default"/>
      <w:pgSz w:w="11906" w:h="16838"/>
      <w:pgMar w:top="2098" w:right="1474" w:bottom="1984" w:left="1587" w:header="851" w:footer="136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宋体"/>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70359"/>
    <w:multiLevelType w:val="singleLevel"/>
    <w:tmpl w:val="BBB70359"/>
    <w:lvl w:ilvl="0" w:tentative="0">
      <w:start w:val="2"/>
      <w:numFmt w:val="chineseCounting"/>
      <w:suff w:val="nothing"/>
      <w:lvlText w:val="%1、"/>
      <w:lvlJc w:val="left"/>
      <w:rPr>
        <w:rFonts w:hint="eastAsia"/>
      </w:rPr>
    </w:lvl>
  </w:abstractNum>
  <w:abstractNum w:abstractNumId="1">
    <w:nsid w:val="FBDF471C"/>
    <w:multiLevelType w:val="singleLevel"/>
    <w:tmpl w:val="FBDF471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DF3C5"/>
    <w:rsid w:val="5B5E7116"/>
    <w:rsid w:val="629DF3C5"/>
    <w:rsid w:val="6DFDF894"/>
    <w:rsid w:val="7F1B031C"/>
    <w:rsid w:val="EFF54979"/>
    <w:rsid w:val="FCFF5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jc w:val="center"/>
    </w:pPr>
    <w:rPr>
      <w:rFonts w:ascii="宋体" w:hAnsi="Times New Roman" w:eastAsia="宋体" w:cs="Times New Roman"/>
      <w:kern w:val="2"/>
      <w:sz w:val="44"/>
      <w:szCs w:val="24"/>
      <w:lang w:val="en-US" w:eastAsia="zh-CN" w:bidi="ar-SA"/>
    </w:rPr>
  </w:style>
  <w:style w:type="paragraph" w:styleId="3">
    <w:name w:val="Body Text 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next w:val="1"/>
    <w:qFormat/>
    <w:uiPriority w:val="0"/>
    <w:pPr>
      <w:widowControl w:val="0"/>
      <w:ind w:firstLine="420" w:firstLineChars="100"/>
      <w:jc w:val="center"/>
    </w:pPr>
    <w:rPr>
      <w:rFonts w:ascii="宋体" w:hAnsi="Times New Roman" w:eastAsia="宋体" w:cs="Times New Roman"/>
      <w:kern w:val="2"/>
      <w:sz w:val="44"/>
      <w:szCs w:val="24"/>
      <w:lang w:val="en-US" w:eastAsia="zh-CN" w:bidi="ar-SA"/>
    </w:rPr>
  </w:style>
  <w:style w:type="paragraph" w:styleId="7">
    <w:name w:val="Body Text First Indent 2"/>
    <w:qFormat/>
    <w:uiPriority w:val="0"/>
    <w:pPr>
      <w:widowControl w:val="0"/>
      <w:ind w:firstLine="420" w:firstLineChars="200"/>
      <w:jc w:val="both"/>
    </w:pPr>
    <w:rPr>
      <w:rFonts w:ascii="仿宋_GB2312" w:hAnsi="Times New Roman" w:eastAsia="仿宋_GB2312" w:cs="Times New Roman"/>
      <w:kern w:val="2"/>
      <w:sz w:val="32"/>
      <w:szCs w:val="24"/>
      <w:lang w:val="en-US" w:eastAsia="zh-CN" w:bidi="ar-SA"/>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2025-12-26T23:56:00Z</dcterms:created>
  <dc:creator>ljl</dc:creator>
  <cp:lastModifiedBy>ljl</cp:lastModifiedBy>
  <dcterms:modified xsi:type="dcterms:W3CDTF">2025-12-29T09:49:32Z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C53C613D1797224C3CEE4C6969935D3D</vt:lpwstr>
  </property>
</Properties>
</file>