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CBFC7">
      <w:pPr>
        <w:pStyle w:val="5"/>
        <w:tabs>
          <w:tab w:val="left" w:pos="2138"/>
        </w:tabs>
        <w:snapToGrid w:val="0"/>
        <w:spacing w:before="312" w:beforeLines="100" w:after="0"/>
        <w:jc w:val="center"/>
        <w:outlineLvl w:val="2"/>
        <w:rPr>
          <w:rFonts w:hint="eastAsia" w:ascii="方正小标宋_GBK" w:hAnsi="方正小标宋_GBK" w:eastAsia="方正小标宋_GBK" w:cs="方正小标宋_GBK"/>
          <w:sz w:val="44"/>
          <w:szCs w:val="44"/>
        </w:rPr>
      </w:pPr>
      <w:bookmarkStart w:id="0" w:name="_Toc14056"/>
      <w:r>
        <w:rPr>
          <w:rFonts w:hint="eastAsia" w:ascii="方正小标宋_GBK" w:hAnsi="方正小标宋_GBK" w:eastAsia="方正小标宋_GBK" w:cs="方正小标宋_GBK"/>
          <w:sz w:val="44"/>
          <w:szCs w:val="44"/>
        </w:rPr>
        <w:t>评分细则表</w:t>
      </w:r>
      <w:bookmarkEnd w:id="0"/>
    </w:p>
    <w:p w14:paraId="2707516D">
      <w:pPr>
        <w:spacing w:line="300" w:lineRule="auto"/>
        <w:rPr>
          <w:rFonts w:hint="eastAsia" w:ascii="宋体" w:hAnsi="宋体"/>
          <w:b/>
          <w:color w:val="auto"/>
          <w:sz w:val="22"/>
          <w:szCs w:val="22"/>
          <w:highlight w:val="none"/>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color w:val="auto"/>
          <w:sz w:val="22"/>
          <w:szCs w:val="22"/>
          <w:highlight w:val="none"/>
        </w:rPr>
        <w:t>。</w:t>
      </w:r>
    </w:p>
    <w:p w14:paraId="18AD834E">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39C29E6B">
      <w:pPr>
        <w:spacing w:line="300" w:lineRule="auto"/>
        <w:rPr>
          <w:color w:val="auto"/>
          <w:sz w:val="22"/>
          <w:szCs w:val="22"/>
          <w:highlight w:val="none"/>
        </w:rPr>
      </w:pPr>
      <w:r>
        <w:rPr>
          <w:rFonts w:hint="eastAsia"/>
          <w:color w:val="auto"/>
          <w:sz w:val="22"/>
          <w:szCs w:val="22"/>
          <w:highlight w:val="none"/>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2F058F1E">
      <w:pPr>
        <w:spacing w:line="300" w:lineRule="auto"/>
        <w:rPr>
          <w:rFonts w:hint="eastAsia"/>
          <w:color w:val="auto"/>
          <w:sz w:val="22"/>
          <w:szCs w:val="22"/>
          <w:highlight w:val="none"/>
          <w:lang w:val="en-US" w:eastAsia="zh-CN"/>
        </w:rPr>
      </w:pPr>
      <w:r>
        <w:rPr>
          <w:color w:val="auto"/>
          <w:sz w:val="22"/>
          <w:szCs w:val="22"/>
          <w:highlight w:val="none"/>
        </w:rPr>
        <w:t>4</w:t>
      </w:r>
      <w:r>
        <w:rPr>
          <w:rFonts w:hint="eastAsia"/>
          <w:color w:val="auto"/>
          <w:sz w:val="22"/>
          <w:szCs w:val="22"/>
          <w:highlight w:val="none"/>
        </w:rPr>
        <w:t>、评审统一按照下列公式计算：</w:t>
      </w:r>
    </w:p>
    <w:p w14:paraId="70047F17">
      <w:pPr>
        <w:spacing w:line="300" w:lineRule="auto"/>
        <w:ind w:firstLine="440" w:firstLineChars="200"/>
        <w:rPr>
          <w:color w:val="auto"/>
          <w:sz w:val="22"/>
          <w:szCs w:val="22"/>
          <w:highlight w:val="none"/>
        </w:rPr>
      </w:pPr>
      <w:r>
        <w:rPr>
          <w:rFonts w:hint="eastAsia"/>
          <w:color w:val="auto"/>
          <w:sz w:val="22"/>
          <w:szCs w:val="22"/>
          <w:highlight w:val="none"/>
          <w:lang w:val="en-US" w:eastAsia="zh-CN"/>
        </w:rPr>
        <w:t>（1）基准价：为所有投标报价/费率算术平均值。</w:t>
      </w:r>
    </w:p>
    <w:p w14:paraId="020EF0CF">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（2）算法类型按固定乘积法：</w:t>
      </w:r>
    </w:p>
    <w:p w14:paraId="11F1BE59">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投标报价得分=（1-A×｜1-投标报价/基准价｜）×该业态最高分值</w:t>
      </w:r>
    </w:p>
    <w:p w14:paraId="0532E797">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A为价格调整系数，当投标报价低于本次招标最佳报价（即基准价）时，A=0.8；当投标报价高于本次招标最佳报价时，取A=1；</w:t>
      </w:r>
    </w:p>
    <w:p w14:paraId="5AA48206">
      <w:pPr>
        <w:spacing w:line="300" w:lineRule="auto"/>
        <w:ind w:firstLine="440" w:firstLineChars="200"/>
        <w:rPr>
          <w:color w:val="auto"/>
          <w:sz w:val="22"/>
          <w:szCs w:val="22"/>
          <w:highlight w:val="none"/>
        </w:rPr>
      </w:pPr>
      <w:r>
        <w:rPr>
          <w:rFonts w:hint="eastAsia"/>
          <w:color w:val="auto"/>
          <w:sz w:val="22"/>
          <w:szCs w:val="22"/>
          <w:highlight w:val="none"/>
          <w:lang w:val="en-US" w:eastAsia="zh-CN"/>
        </w:rPr>
        <w:t xml:space="preserve">计算分数时四舍五入取小数点后两位，当价格分＜0时，取0。 </w:t>
      </w:r>
    </w:p>
    <w:p w14:paraId="0D08C991">
      <w:pPr>
        <w:spacing w:line="300" w:lineRule="auto"/>
        <w:ind w:firstLine="440" w:firstLineChars="200"/>
        <w:rPr>
          <w:color w:val="auto"/>
          <w:sz w:val="22"/>
          <w:szCs w:val="22"/>
          <w:highlight w:val="none"/>
        </w:rPr>
      </w:pPr>
      <w:r>
        <w:rPr>
          <w:rFonts w:hint="eastAsia"/>
          <w:color w:val="auto"/>
          <w:sz w:val="22"/>
          <w:szCs w:val="22"/>
          <w:highlight w:val="none"/>
          <w:lang w:val="en-US" w:eastAsia="zh-CN"/>
        </w:rPr>
        <w:t>投标人报价不得低于成本价报价。若报价明显偏低，投标人须对报价情况作出详细解释并须得到评标专家委员会认可。</w:t>
      </w:r>
    </w:p>
    <w:p w14:paraId="1B5FF538">
      <w:pPr>
        <w:spacing w:line="300" w:lineRule="auto"/>
        <w:ind w:firstLine="440" w:firstLineChars="200"/>
        <w:rPr>
          <w:rFonts w:hint="eastAsia"/>
          <w:color w:val="auto"/>
          <w:sz w:val="22"/>
          <w:szCs w:val="22"/>
          <w:highlight w:val="none"/>
        </w:rPr>
      </w:pPr>
      <w:r>
        <w:rPr>
          <w:rFonts w:hint="eastAsia"/>
          <w:color w:val="auto"/>
          <w:sz w:val="22"/>
          <w:szCs w:val="22"/>
          <w:highlight w:val="none"/>
        </w:rPr>
        <w:t>评标过程中，不得去掉报价中的最高报价和最低报价。</w:t>
      </w:r>
    </w:p>
    <w:p w14:paraId="5DB7152A">
      <w:pPr>
        <w:spacing w:line="300" w:lineRule="auto"/>
        <w:rPr>
          <w:b/>
          <w:bCs/>
          <w:color w:val="auto"/>
          <w:sz w:val="22"/>
          <w:szCs w:val="22"/>
          <w:highlight w:val="none"/>
        </w:rPr>
      </w:pPr>
      <w:r>
        <w:rPr>
          <w:rFonts w:hint="eastAsia"/>
          <w:color w:val="auto"/>
          <w:sz w:val="22"/>
          <w:szCs w:val="22"/>
          <w:highlight w:val="none"/>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highlight w:val="none"/>
        </w:rPr>
        <w:t>采取随机抽取方式确定</w:t>
      </w:r>
      <w:r>
        <w:rPr>
          <w:rFonts w:hint="eastAsia"/>
          <w:bCs/>
          <w:color w:val="auto"/>
          <w:sz w:val="22"/>
          <w:szCs w:val="22"/>
          <w:highlight w:val="none"/>
        </w:rPr>
        <w:t>候选</w:t>
      </w:r>
      <w:r>
        <w:rPr>
          <w:bCs/>
          <w:color w:val="auto"/>
          <w:sz w:val="22"/>
          <w:szCs w:val="22"/>
          <w:highlight w:val="none"/>
        </w:rPr>
        <w:t>中标人推荐资格</w:t>
      </w:r>
      <w:r>
        <w:rPr>
          <w:rFonts w:hint="eastAsia"/>
          <w:bCs/>
          <w:color w:val="auto"/>
          <w:sz w:val="22"/>
          <w:szCs w:val="22"/>
          <w:highlight w:val="none"/>
        </w:rPr>
        <w:t>。</w:t>
      </w:r>
    </w:p>
    <w:p w14:paraId="5CE657CA">
      <w:pPr>
        <w:spacing w:line="300" w:lineRule="auto"/>
        <w:rPr>
          <w:rFonts w:hint="eastAsia"/>
          <w:color w:val="auto"/>
          <w:sz w:val="22"/>
          <w:szCs w:val="22"/>
          <w:highlight w:val="none"/>
        </w:rPr>
      </w:pPr>
      <w:r>
        <w:rPr>
          <w:rFonts w:hint="eastAsia"/>
          <w:color w:val="auto"/>
          <w:sz w:val="22"/>
          <w:szCs w:val="22"/>
          <w:highlight w:val="none"/>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7696BAB">
      <w:pPr>
        <w:spacing w:line="300" w:lineRule="auto"/>
        <w:rPr>
          <w:rFonts w:hint="eastAsia"/>
          <w:color w:val="auto"/>
          <w:sz w:val="22"/>
          <w:szCs w:val="22"/>
          <w:highlight w:val="none"/>
        </w:rPr>
      </w:pPr>
      <w:r>
        <w:rPr>
          <w:color w:val="auto"/>
          <w:sz w:val="22"/>
          <w:szCs w:val="22"/>
          <w:highlight w:val="none"/>
        </w:rPr>
        <w:t>7</w:t>
      </w:r>
      <w:r>
        <w:rPr>
          <w:rFonts w:hint="eastAsia"/>
          <w:color w:val="auto"/>
          <w:sz w:val="22"/>
          <w:szCs w:val="22"/>
          <w:highlight w:val="none"/>
        </w:rPr>
        <w:t>、评标专家应对通过投标文件初审进入评标程序的投标文件先评技术标、再评商务标；</w:t>
      </w:r>
    </w:p>
    <w:p w14:paraId="2E370F2A">
      <w:pPr>
        <w:spacing w:line="300" w:lineRule="auto"/>
        <w:rPr>
          <w:color w:val="auto"/>
          <w:sz w:val="40"/>
          <w:szCs w:val="40"/>
          <w:highlight w:val="none"/>
        </w:rPr>
        <w:sectPr>
          <w:footerReference r:id="rId3" w:type="default"/>
          <w:pgSz w:w="11910" w:h="16840"/>
          <w:pgMar w:top="1100" w:right="800" w:bottom="1280" w:left="1100" w:header="877" w:footer="1098" w:gutter="0"/>
          <w:cols w:space="720" w:num="1"/>
        </w:sectPr>
      </w:pPr>
      <w:r>
        <w:rPr>
          <w:color w:val="auto"/>
          <w:sz w:val="22"/>
          <w:szCs w:val="22"/>
          <w:highlight w:val="none"/>
        </w:rPr>
        <w:t>8</w:t>
      </w:r>
      <w:r>
        <w:rPr>
          <w:rFonts w:hint="eastAsia"/>
          <w:color w:val="auto"/>
          <w:sz w:val="22"/>
          <w:szCs w:val="22"/>
          <w:highlight w:val="none"/>
        </w:rPr>
        <w:t>、评标专家需按招标文件规定的评审标准对投标人提交的投标文件进行评审，投标文件中与评审标准无关的内容不作为评审内容。</w:t>
      </w:r>
    </w:p>
    <w:tbl>
      <w:tblPr>
        <w:tblStyle w:val="11"/>
        <w:tblpPr w:leftFromText="180" w:rightFromText="180" w:vertAnchor="text" w:horzAnchor="margin" w:tblpXSpec="center" w:tblpY="346"/>
        <w:tblW w:w="93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2343"/>
        <w:gridCol w:w="870"/>
        <w:gridCol w:w="4783"/>
      </w:tblGrid>
      <w:tr w14:paraId="6715DE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13E40B26">
            <w:pPr>
              <w:wordWrap w:val="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3893" w:type="dxa"/>
            <w:gridSpan w:val="3"/>
            <w:tcBorders>
              <w:top w:val="single" w:color="000000" w:sz="8" w:space="0"/>
              <w:left w:val="single" w:color="000000" w:sz="8" w:space="0"/>
              <w:bottom w:val="single" w:color="000000" w:sz="8" w:space="0"/>
              <w:right w:val="single" w:color="000000" w:sz="8" w:space="0"/>
            </w:tcBorders>
            <w:vAlign w:val="center"/>
          </w:tcPr>
          <w:p w14:paraId="4B5DA23B">
            <w:pPr>
              <w:wordWrap w:val="0"/>
              <w:jc w:val="center"/>
              <w:rPr>
                <w:rFonts w:hint="eastAsia" w:ascii="仿宋_GB2312" w:hAnsi="仿宋_GB2312" w:eastAsia="仿宋_GB2312" w:cs="仿宋_GB2312"/>
              </w:rPr>
            </w:pPr>
            <w:r>
              <w:rPr>
                <w:rFonts w:hint="eastAsia" w:ascii="仿宋_GB2312" w:hAnsi="仿宋_GB2312" w:eastAsia="仿宋_GB2312" w:cs="仿宋_GB2312"/>
              </w:rPr>
              <w:t>评分项</w:t>
            </w:r>
          </w:p>
        </w:tc>
        <w:tc>
          <w:tcPr>
            <w:tcW w:w="4783" w:type="dxa"/>
            <w:tcBorders>
              <w:top w:val="single" w:color="000000" w:sz="8" w:space="0"/>
              <w:left w:val="single" w:color="000000" w:sz="8" w:space="0"/>
              <w:bottom w:val="single" w:color="000000" w:sz="8" w:space="0"/>
              <w:right w:val="single" w:color="000000" w:sz="8" w:space="0"/>
            </w:tcBorders>
            <w:vAlign w:val="center"/>
          </w:tcPr>
          <w:p w14:paraId="48CF7A2D">
            <w:pPr>
              <w:wordWrap w:val="0"/>
              <w:jc w:val="center"/>
              <w:rPr>
                <w:rFonts w:hint="eastAsia" w:ascii="仿宋_GB2312" w:hAnsi="仿宋_GB2312" w:eastAsia="仿宋_GB2312" w:cs="仿宋_GB2312"/>
              </w:rPr>
            </w:pPr>
            <w:r>
              <w:rPr>
                <w:rFonts w:hint="eastAsia" w:ascii="仿宋_GB2312" w:hAnsi="仿宋_GB2312" w:eastAsia="仿宋_GB2312" w:cs="仿宋_GB2312"/>
              </w:rPr>
              <w:t>权重</w:t>
            </w:r>
          </w:p>
        </w:tc>
      </w:tr>
      <w:tr w14:paraId="055932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80" w:type="dxa"/>
            <w:vMerge w:val="restart"/>
            <w:tcBorders>
              <w:top w:val="single" w:color="000000" w:sz="8" w:space="0"/>
              <w:left w:val="single" w:color="000000" w:sz="8" w:space="0"/>
              <w:right w:val="single" w:color="000000" w:sz="8" w:space="0"/>
            </w:tcBorders>
            <w:vAlign w:val="center"/>
          </w:tcPr>
          <w:p w14:paraId="44DE4216">
            <w:pPr>
              <w:wordWrap w:val="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3893" w:type="dxa"/>
            <w:gridSpan w:val="3"/>
            <w:tcBorders>
              <w:top w:val="single" w:color="000000" w:sz="8" w:space="0"/>
              <w:left w:val="single" w:color="000000" w:sz="8" w:space="0"/>
              <w:bottom w:val="single" w:color="000000" w:sz="8" w:space="0"/>
              <w:right w:val="single" w:color="000000" w:sz="8" w:space="0"/>
            </w:tcBorders>
          </w:tcPr>
          <w:p w14:paraId="57E30214">
            <w:pPr>
              <w:wordWrap w:val="0"/>
              <w:jc w:val="center"/>
              <w:rPr>
                <w:rFonts w:hint="eastAsia" w:ascii="仿宋_GB2312" w:hAnsi="仿宋_GB2312" w:eastAsia="仿宋_GB2312" w:cs="仿宋_GB2312"/>
              </w:rPr>
            </w:pPr>
            <w:r>
              <w:rPr>
                <w:rFonts w:hint="eastAsia" w:ascii="仿宋_GB2312" w:hAnsi="仿宋_GB2312" w:eastAsia="仿宋_GB2312" w:cs="仿宋_GB2312"/>
              </w:rPr>
              <w:t>价格</w:t>
            </w:r>
          </w:p>
        </w:tc>
        <w:tc>
          <w:tcPr>
            <w:tcW w:w="4783" w:type="dxa"/>
            <w:tcBorders>
              <w:top w:val="single" w:color="000000" w:sz="8" w:space="0"/>
              <w:left w:val="single" w:color="000000" w:sz="8" w:space="0"/>
              <w:bottom w:val="single" w:color="000000" w:sz="8" w:space="0"/>
              <w:right w:val="single" w:color="000000" w:sz="8" w:space="0"/>
            </w:tcBorders>
          </w:tcPr>
          <w:p w14:paraId="5786398E">
            <w:pPr>
              <w:wordWrap w:val="0"/>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40</w:t>
            </w:r>
          </w:p>
        </w:tc>
      </w:tr>
      <w:tr w14:paraId="6FE1B6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tcPr>
          <w:p w14:paraId="1892A0DD">
            <w:pPr>
              <w:wordWrap w:val="0"/>
              <w:jc w:val="center"/>
              <w:rPr>
                <w:rFonts w:hint="eastAsia" w:ascii="仿宋_GB2312" w:hAnsi="仿宋_GB2312" w:eastAsia="仿宋_GB2312" w:cs="仿宋_GB2312"/>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2920E3B">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序号</w:t>
            </w:r>
          </w:p>
        </w:tc>
        <w:tc>
          <w:tcPr>
            <w:tcW w:w="2343" w:type="dxa"/>
            <w:tcBorders>
              <w:top w:val="single" w:color="000000" w:sz="8" w:space="0"/>
              <w:left w:val="single" w:color="000000" w:sz="8" w:space="0"/>
              <w:bottom w:val="single" w:color="000000" w:sz="8" w:space="0"/>
              <w:right w:val="single" w:color="000000" w:sz="8" w:space="0"/>
            </w:tcBorders>
            <w:vAlign w:val="center"/>
          </w:tcPr>
          <w:p w14:paraId="3E8603C2">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评分因素</w:t>
            </w:r>
          </w:p>
        </w:tc>
        <w:tc>
          <w:tcPr>
            <w:tcW w:w="870" w:type="dxa"/>
            <w:tcBorders>
              <w:top w:val="single" w:color="000000" w:sz="8" w:space="0"/>
              <w:left w:val="single" w:color="000000" w:sz="8" w:space="0"/>
              <w:bottom w:val="single" w:color="000000" w:sz="8" w:space="0"/>
              <w:right w:val="single" w:color="000000" w:sz="8" w:space="0"/>
            </w:tcBorders>
            <w:vAlign w:val="center"/>
          </w:tcPr>
          <w:p w14:paraId="36BE1FFA">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权重</w:t>
            </w:r>
          </w:p>
        </w:tc>
        <w:tc>
          <w:tcPr>
            <w:tcW w:w="4783" w:type="dxa"/>
            <w:tcBorders>
              <w:top w:val="single" w:color="000000" w:sz="8" w:space="0"/>
              <w:left w:val="single" w:color="000000" w:sz="8" w:space="0"/>
              <w:bottom w:val="single" w:color="000000" w:sz="8" w:space="0"/>
              <w:right w:val="single" w:color="000000" w:sz="8" w:space="0"/>
            </w:tcBorders>
            <w:vAlign w:val="center"/>
          </w:tcPr>
          <w:p w14:paraId="444D51CB">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评分准则</w:t>
            </w:r>
          </w:p>
        </w:tc>
      </w:tr>
      <w:tr w14:paraId="27F02C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150" w:hRule="atLeast"/>
          <w:jc w:val="center"/>
        </w:trPr>
        <w:tc>
          <w:tcPr>
            <w:tcW w:w="680" w:type="dxa"/>
            <w:vMerge w:val="continue"/>
            <w:tcBorders>
              <w:left w:val="single" w:color="000000" w:sz="8" w:space="0"/>
              <w:right w:val="single" w:color="000000" w:sz="8" w:space="0"/>
            </w:tcBorders>
          </w:tcPr>
          <w:p w14:paraId="7EC7DA7C">
            <w:pPr>
              <w:wordWrap w:val="0"/>
              <w:jc w:val="center"/>
              <w:rPr>
                <w:rFonts w:hint="eastAsia" w:ascii="仿宋_GB2312" w:hAnsi="仿宋_GB2312" w:eastAsia="仿宋_GB2312" w:cs="仿宋_GB2312"/>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32373C6">
            <w:pPr>
              <w:wordWrap w:val="0"/>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23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63C8DC">
            <w:pPr>
              <w:wordWrap w:val="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eastAsia="zh-CN"/>
              </w:rPr>
              <w:t>物业筹备服务总价</w:t>
            </w:r>
          </w:p>
        </w:tc>
        <w:tc>
          <w:tcPr>
            <w:tcW w:w="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D118CD">
            <w:pPr>
              <w:wordWrap w:val="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10</w:t>
            </w:r>
          </w:p>
        </w:tc>
        <w:tc>
          <w:tcPr>
            <w:tcW w:w="4783" w:type="dxa"/>
            <w:tcBorders>
              <w:top w:val="single" w:color="000000" w:sz="8" w:space="0"/>
              <w:left w:val="single" w:color="000000" w:sz="8" w:space="0"/>
              <w:bottom w:val="single" w:color="000000" w:sz="8" w:space="0"/>
              <w:right w:val="single" w:color="000000" w:sz="8" w:space="0"/>
            </w:tcBorders>
            <w:vAlign w:val="center"/>
          </w:tcPr>
          <w:p w14:paraId="16BC6A3C">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（1）基准价：为所有投标报价算术平均值。 </w:t>
            </w:r>
          </w:p>
          <w:p w14:paraId="4B62677D">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（2）算法类型按固定乘积法：</w:t>
            </w:r>
          </w:p>
          <w:p w14:paraId="64436FD4">
            <w:pPr>
              <w:widowControl/>
              <w:jc w:val="left"/>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投标报价得分=（1-A×｜1-投标报价/基准价｜）×</w:t>
            </w:r>
            <w:r>
              <w:rPr>
                <w:rFonts w:hint="eastAsia" w:ascii="仿宋_GB2312" w:hAnsi="仿宋_GB2312" w:eastAsia="仿宋_GB2312" w:cs="仿宋_GB2312"/>
                <w:color w:val="000000" w:themeColor="text1"/>
                <w:lang w:val="en-US" w:eastAsia="zh-CN"/>
                <w14:textFill>
                  <w14:solidFill>
                    <w14:schemeClr w14:val="tx1"/>
                  </w14:solidFill>
                </w14:textFill>
              </w:rPr>
              <w:t>10</w:t>
            </w:r>
          </w:p>
          <w:p w14:paraId="07350ECE">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A为价格调整系数，当投标报价低于本次招标最佳报价（即基准价）时，A=0.8；当投标报价高于本次招标最佳报价时，取A=1； </w:t>
            </w:r>
          </w:p>
          <w:p w14:paraId="783855CC">
            <w:pPr>
              <w:wordWrap w:val="0"/>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计算分数时四舍五入取小数点后两位，当价格分＜0时，取0。</w:t>
            </w:r>
          </w:p>
        </w:tc>
      </w:tr>
      <w:tr w14:paraId="36F53A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205" w:hRule="atLeast"/>
          <w:jc w:val="center"/>
        </w:trPr>
        <w:tc>
          <w:tcPr>
            <w:tcW w:w="680" w:type="dxa"/>
            <w:vMerge w:val="continue"/>
            <w:tcBorders>
              <w:left w:val="single" w:color="000000" w:sz="8" w:space="0"/>
              <w:right w:val="single" w:color="000000" w:sz="8" w:space="0"/>
            </w:tcBorders>
          </w:tcPr>
          <w:p w14:paraId="1600A679">
            <w:pPr>
              <w:wordWrap w:val="0"/>
              <w:jc w:val="center"/>
              <w:rPr>
                <w:rFonts w:hint="eastAsia" w:ascii="仿宋_GB2312" w:hAnsi="仿宋_GB2312" w:eastAsia="仿宋_GB2312" w:cs="仿宋_GB2312"/>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7C4B5FD">
            <w:pPr>
              <w:wordWrap w:val="0"/>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23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D8AD4E">
            <w:pPr>
              <w:wordWrap w:val="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eastAsia="zh-CN"/>
              </w:rPr>
              <w:t>物业服务费单价</w:t>
            </w:r>
          </w:p>
        </w:tc>
        <w:tc>
          <w:tcPr>
            <w:tcW w:w="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36FDB5">
            <w:pPr>
              <w:wordWrap w:val="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20</w:t>
            </w:r>
          </w:p>
        </w:tc>
        <w:tc>
          <w:tcPr>
            <w:tcW w:w="4783" w:type="dxa"/>
            <w:tcBorders>
              <w:top w:val="single" w:color="000000" w:sz="8" w:space="0"/>
              <w:left w:val="single" w:color="000000" w:sz="8" w:space="0"/>
              <w:bottom w:val="single" w:color="000000" w:sz="8" w:space="0"/>
              <w:right w:val="single" w:color="000000" w:sz="8" w:space="0"/>
            </w:tcBorders>
            <w:vAlign w:val="center"/>
          </w:tcPr>
          <w:p w14:paraId="64DC4B32">
            <w:pPr>
              <w:widowControl/>
              <w:jc w:val="left"/>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lang w:eastAsia="zh-CN"/>
                <w14:textFill>
                  <w14:solidFill>
                    <w14:schemeClr w14:val="tx1"/>
                  </w14:solidFill>
                </w14:textFill>
              </w:rPr>
              <w:t>）针对深港青年创新工坊研发办公、商业、</w:t>
            </w:r>
            <w:bookmarkStart w:id="1" w:name="_GoBack"/>
            <w:bookmarkEnd w:id="1"/>
            <w:r>
              <w:rPr>
                <w:rFonts w:hint="eastAsia" w:ascii="仿宋_GB2312" w:hAnsi="仿宋_GB2312" w:eastAsia="仿宋_GB2312" w:cs="仿宋_GB2312"/>
                <w:color w:val="000000" w:themeColor="text1"/>
                <w:lang w:eastAsia="zh-CN"/>
                <w14:textFill>
                  <w14:solidFill>
                    <w14:schemeClr w14:val="tx1"/>
                  </w14:solidFill>
                </w14:textFill>
              </w:rPr>
              <w:t>公寓办公共三个业态分别报价，分项分值设置：研发办公最高得分</w:t>
            </w:r>
            <w:r>
              <w:rPr>
                <w:rFonts w:hint="eastAsia" w:ascii="仿宋_GB2312" w:hAnsi="仿宋_GB2312" w:eastAsia="仿宋_GB2312" w:cs="仿宋_GB2312"/>
                <w:color w:val="000000" w:themeColor="text1"/>
                <w:lang w:val="en-US" w:eastAsia="zh-CN"/>
                <w14:textFill>
                  <w14:solidFill>
                    <w14:schemeClr w14:val="tx1"/>
                  </w14:solidFill>
                </w14:textFill>
              </w:rPr>
              <w:t>10</w:t>
            </w:r>
            <w:r>
              <w:rPr>
                <w:rFonts w:hint="eastAsia" w:ascii="仿宋_GB2312" w:hAnsi="仿宋_GB2312" w:eastAsia="仿宋_GB2312" w:cs="仿宋_GB2312"/>
                <w:color w:val="000000" w:themeColor="text1"/>
                <w:lang w:eastAsia="zh-CN"/>
                <w14:textFill>
                  <w14:solidFill>
                    <w14:schemeClr w14:val="tx1"/>
                  </w14:solidFill>
                </w14:textFill>
              </w:rPr>
              <w:t>分、商业最高得分</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hint="eastAsia" w:ascii="仿宋_GB2312" w:hAnsi="仿宋_GB2312" w:eastAsia="仿宋_GB2312" w:cs="仿宋_GB2312"/>
                <w:color w:val="000000" w:themeColor="text1"/>
                <w:lang w:eastAsia="zh-CN"/>
                <w14:textFill>
                  <w14:solidFill>
                    <w14:schemeClr w14:val="tx1"/>
                  </w14:solidFill>
                </w14:textFill>
              </w:rPr>
              <w:t>分、公寓办公最高得分</w:t>
            </w:r>
            <w:r>
              <w:rPr>
                <w:rFonts w:hint="eastAsia" w:ascii="仿宋_GB2312" w:hAnsi="仿宋_GB2312" w:eastAsia="仿宋_GB2312" w:cs="仿宋_GB2312"/>
                <w:color w:val="000000" w:themeColor="text1"/>
                <w:lang w:val="en-US" w:eastAsia="zh-CN"/>
                <w14:textFill>
                  <w14:solidFill>
                    <w14:schemeClr w14:val="tx1"/>
                  </w14:solidFill>
                </w14:textFill>
              </w:rPr>
              <w:t>5</w:t>
            </w:r>
            <w:r>
              <w:rPr>
                <w:rFonts w:hint="eastAsia" w:ascii="仿宋_GB2312" w:hAnsi="仿宋_GB2312" w:eastAsia="仿宋_GB2312" w:cs="仿宋_GB2312"/>
                <w:color w:val="000000" w:themeColor="text1"/>
                <w:lang w:eastAsia="zh-CN"/>
                <w14:textFill>
                  <w14:solidFill>
                    <w14:schemeClr w14:val="tx1"/>
                  </w14:solidFill>
                </w14:textFill>
              </w:rPr>
              <w:t>分，合计最高得分20分。</w:t>
            </w:r>
          </w:p>
          <w:p w14:paraId="7F697700">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14:textFill>
                  <w14:solidFill>
                    <w14:schemeClr w14:val="tx1"/>
                  </w14:solidFill>
                </w14:textFill>
              </w:rPr>
              <w:t>）基准价：</w:t>
            </w:r>
            <w:r>
              <w:rPr>
                <w:rFonts w:hint="eastAsia" w:ascii="仿宋_GB2312" w:hAnsi="仿宋_GB2312" w:eastAsia="仿宋_GB2312" w:cs="仿宋_GB2312"/>
                <w:color w:val="000000" w:themeColor="text1"/>
                <w:lang w:eastAsia="zh-CN"/>
                <w14:textFill>
                  <w14:solidFill>
                    <w14:schemeClr w14:val="tx1"/>
                  </w14:solidFill>
                </w14:textFill>
              </w:rPr>
              <w:t>取各投标人对应业态物业投标报价的算术平均值</w:t>
            </w:r>
            <w:r>
              <w:rPr>
                <w:rFonts w:hint="eastAsia" w:ascii="仿宋_GB2312" w:hAnsi="仿宋_GB2312" w:eastAsia="仿宋_GB2312" w:cs="仿宋_GB2312"/>
                <w:color w:val="000000" w:themeColor="text1"/>
                <w14:textFill>
                  <w14:solidFill>
                    <w14:schemeClr w14:val="tx1"/>
                  </w14:solidFill>
                </w14:textFill>
              </w:rPr>
              <w:t xml:space="preserve">。 </w:t>
            </w:r>
          </w:p>
          <w:p w14:paraId="66C03477">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3</w:t>
            </w:r>
            <w:r>
              <w:rPr>
                <w:rFonts w:hint="eastAsia" w:ascii="仿宋_GB2312" w:hAnsi="仿宋_GB2312" w:eastAsia="仿宋_GB2312" w:cs="仿宋_GB2312"/>
                <w:color w:val="000000" w:themeColor="text1"/>
                <w14:textFill>
                  <w14:solidFill>
                    <w14:schemeClr w14:val="tx1"/>
                  </w14:solidFill>
                </w14:textFill>
              </w:rPr>
              <w:t>）算法类型按固定乘积法：</w:t>
            </w:r>
          </w:p>
          <w:p w14:paraId="34EE18B0">
            <w:pPr>
              <w:widowControl/>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投标报价得分=（1-A×｜1-投标报价/基准价｜）×</w:t>
            </w:r>
            <w:r>
              <w:rPr>
                <w:rFonts w:hint="eastAsia" w:ascii="仿宋_GB2312" w:hAnsi="仿宋_GB2312" w:eastAsia="仿宋_GB2312" w:cs="仿宋_GB2312"/>
                <w:color w:val="000000" w:themeColor="text1"/>
                <w:lang w:eastAsia="zh-CN"/>
                <w14:textFill>
                  <w14:solidFill>
                    <w14:schemeClr w14:val="tx1"/>
                  </w14:solidFill>
                </w14:textFill>
              </w:rPr>
              <w:t>该业态最高分值</w:t>
            </w:r>
          </w:p>
          <w:p w14:paraId="50ACA282">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A为价格调整系数，当投标报价低于本次招标最佳报价（即基准价）时，A=0.8；当投标报价高于本次招标最佳报价时，取A=1； </w:t>
            </w:r>
          </w:p>
          <w:p w14:paraId="53432925">
            <w:pPr>
              <w:wordWrap w:val="0"/>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计算分数时四舍五入取小数点后两位，当价格分＜0时，取0。</w:t>
            </w:r>
          </w:p>
        </w:tc>
      </w:tr>
      <w:tr w14:paraId="1B8C93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tcPr>
          <w:p w14:paraId="555E074B">
            <w:pPr>
              <w:wordWrap w:val="0"/>
              <w:jc w:val="center"/>
              <w:rPr>
                <w:rFonts w:hint="eastAsia" w:ascii="仿宋_GB2312" w:hAnsi="仿宋_GB2312" w:eastAsia="仿宋_GB2312" w:cs="仿宋_GB2312"/>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21BC1C9C">
            <w:pPr>
              <w:wordWrap w:val="0"/>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23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96BEBF">
            <w:pPr>
              <w:wordWrap w:val="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eastAsia="zh-CN"/>
              </w:rPr>
              <w:t>空置费（折扣率）</w:t>
            </w:r>
          </w:p>
        </w:tc>
        <w:tc>
          <w:tcPr>
            <w:tcW w:w="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998CC8">
            <w:pPr>
              <w:wordWrap w:val="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10</w:t>
            </w:r>
          </w:p>
        </w:tc>
        <w:tc>
          <w:tcPr>
            <w:tcW w:w="4783" w:type="dxa"/>
            <w:tcBorders>
              <w:top w:val="single" w:color="000000" w:sz="8" w:space="0"/>
              <w:left w:val="single" w:color="000000" w:sz="8" w:space="0"/>
              <w:bottom w:val="single" w:color="000000" w:sz="8" w:space="0"/>
              <w:right w:val="single" w:color="000000" w:sz="8" w:space="0"/>
            </w:tcBorders>
            <w:vAlign w:val="center"/>
          </w:tcPr>
          <w:p w14:paraId="2C2A78E0">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（1）基准</w:t>
            </w:r>
            <w:r>
              <w:rPr>
                <w:rFonts w:hint="eastAsia" w:ascii="仿宋_GB2312" w:hAnsi="仿宋_GB2312" w:eastAsia="仿宋_GB2312" w:cs="仿宋_GB2312"/>
                <w:color w:val="000000" w:themeColor="text1"/>
                <w:lang w:eastAsia="zh-CN"/>
                <w14:textFill>
                  <w14:solidFill>
                    <w14:schemeClr w14:val="tx1"/>
                  </w14:solidFill>
                </w14:textFill>
              </w:rPr>
              <w:t>费率</w:t>
            </w:r>
            <w:r>
              <w:rPr>
                <w:rFonts w:hint="eastAsia" w:ascii="仿宋_GB2312" w:hAnsi="仿宋_GB2312" w:eastAsia="仿宋_GB2312" w:cs="仿宋_GB2312"/>
                <w:color w:val="000000" w:themeColor="text1"/>
                <w14:textFill>
                  <w14:solidFill>
                    <w14:schemeClr w14:val="tx1"/>
                  </w14:solidFill>
                </w14:textFill>
              </w:rPr>
              <w:t>：为所有投标</w:t>
            </w:r>
            <w:r>
              <w:rPr>
                <w:rFonts w:hint="eastAsia" w:ascii="仿宋_GB2312" w:hAnsi="仿宋_GB2312" w:eastAsia="仿宋_GB2312" w:cs="仿宋_GB2312"/>
                <w:color w:val="000000" w:themeColor="text1"/>
                <w:lang w:eastAsia="zh-CN"/>
                <w14:textFill>
                  <w14:solidFill>
                    <w14:schemeClr w14:val="tx1"/>
                  </w14:solidFill>
                </w14:textFill>
              </w:rPr>
              <w:t>费率</w:t>
            </w:r>
            <w:r>
              <w:rPr>
                <w:rFonts w:hint="eastAsia" w:ascii="仿宋_GB2312" w:hAnsi="仿宋_GB2312" w:eastAsia="仿宋_GB2312" w:cs="仿宋_GB2312"/>
                <w:color w:val="000000" w:themeColor="text1"/>
                <w14:textFill>
                  <w14:solidFill>
                    <w14:schemeClr w14:val="tx1"/>
                  </w14:solidFill>
                </w14:textFill>
              </w:rPr>
              <w:t xml:space="preserve">算术平均值。 </w:t>
            </w:r>
          </w:p>
          <w:p w14:paraId="0752119B">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（2）算法类型按固定乘积法：</w:t>
            </w:r>
          </w:p>
          <w:p w14:paraId="607B8FAB">
            <w:pPr>
              <w:widowControl/>
              <w:jc w:val="left"/>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投标</w:t>
            </w:r>
            <w:r>
              <w:rPr>
                <w:rFonts w:hint="eastAsia" w:ascii="仿宋_GB2312" w:hAnsi="仿宋_GB2312" w:eastAsia="仿宋_GB2312" w:cs="仿宋_GB2312"/>
                <w:color w:val="000000" w:themeColor="text1"/>
                <w:lang w:eastAsia="zh-CN"/>
                <w14:textFill>
                  <w14:solidFill>
                    <w14:schemeClr w14:val="tx1"/>
                  </w14:solidFill>
                </w14:textFill>
              </w:rPr>
              <w:t>空置费率</w:t>
            </w:r>
            <w:r>
              <w:rPr>
                <w:rFonts w:hint="eastAsia" w:ascii="仿宋_GB2312" w:hAnsi="仿宋_GB2312" w:eastAsia="仿宋_GB2312" w:cs="仿宋_GB2312"/>
                <w:color w:val="000000" w:themeColor="text1"/>
                <w14:textFill>
                  <w14:solidFill>
                    <w14:schemeClr w14:val="tx1"/>
                  </w14:solidFill>
                </w14:textFill>
              </w:rPr>
              <w:t>得分=（1-A×｜1-投标</w:t>
            </w:r>
            <w:r>
              <w:rPr>
                <w:rFonts w:hint="eastAsia" w:ascii="仿宋_GB2312" w:hAnsi="仿宋_GB2312" w:eastAsia="仿宋_GB2312" w:cs="仿宋_GB2312"/>
                <w:color w:val="000000" w:themeColor="text1"/>
                <w:lang w:eastAsia="zh-CN"/>
                <w14:textFill>
                  <w14:solidFill>
                    <w14:schemeClr w14:val="tx1"/>
                  </w14:solidFill>
                </w14:textFill>
              </w:rPr>
              <w:t>空置费率</w:t>
            </w:r>
            <w:r>
              <w:rPr>
                <w:rFonts w:hint="eastAsia" w:ascii="仿宋_GB2312" w:hAnsi="仿宋_GB2312" w:eastAsia="仿宋_GB2312" w:cs="仿宋_GB2312"/>
                <w:color w:val="000000" w:themeColor="text1"/>
                <w14:textFill>
                  <w14:solidFill>
                    <w14:schemeClr w14:val="tx1"/>
                  </w14:solidFill>
                </w14:textFill>
              </w:rPr>
              <w:t>/基准</w:t>
            </w:r>
            <w:r>
              <w:rPr>
                <w:rFonts w:hint="eastAsia" w:ascii="仿宋_GB2312" w:hAnsi="仿宋_GB2312" w:eastAsia="仿宋_GB2312" w:cs="仿宋_GB2312"/>
                <w:color w:val="000000" w:themeColor="text1"/>
                <w:lang w:eastAsia="zh-CN"/>
                <w14:textFill>
                  <w14:solidFill>
                    <w14:schemeClr w14:val="tx1"/>
                  </w14:solidFill>
                </w14:textFill>
              </w:rPr>
              <w:t>费率</w:t>
            </w: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val="en-US" w:eastAsia="zh-CN"/>
                <w14:textFill>
                  <w14:solidFill>
                    <w14:schemeClr w14:val="tx1"/>
                  </w14:solidFill>
                </w14:textFill>
              </w:rPr>
              <w:t>10</w:t>
            </w:r>
          </w:p>
          <w:p w14:paraId="2630A9C4">
            <w:pPr>
              <w:widowControl/>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A为价格调整系数，当投标</w:t>
            </w:r>
            <w:r>
              <w:rPr>
                <w:rFonts w:hint="eastAsia" w:ascii="仿宋_GB2312" w:hAnsi="仿宋_GB2312" w:eastAsia="仿宋_GB2312" w:cs="仿宋_GB2312"/>
                <w:color w:val="000000" w:themeColor="text1"/>
                <w:lang w:eastAsia="zh-CN"/>
                <w14:textFill>
                  <w14:solidFill>
                    <w14:schemeClr w14:val="tx1"/>
                  </w14:solidFill>
                </w14:textFill>
              </w:rPr>
              <w:t>空置费率</w:t>
            </w:r>
            <w:r>
              <w:rPr>
                <w:rFonts w:hint="eastAsia" w:ascii="仿宋_GB2312" w:hAnsi="仿宋_GB2312" w:eastAsia="仿宋_GB2312" w:cs="仿宋_GB2312"/>
                <w:color w:val="000000" w:themeColor="text1"/>
                <w14:textFill>
                  <w14:solidFill>
                    <w14:schemeClr w14:val="tx1"/>
                  </w14:solidFill>
                </w14:textFill>
              </w:rPr>
              <w:t>低于本次招标基准</w:t>
            </w:r>
            <w:r>
              <w:rPr>
                <w:rFonts w:hint="eastAsia" w:ascii="仿宋_GB2312" w:hAnsi="仿宋_GB2312" w:eastAsia="仿宋_GB2312" w:cs="仿宋_GB2312"/>
                <w:color w:val="000000" w:themeColor="text1"/>
                <w:lang w:eastAsia="zh-CN"/>
                <w14:textFill>
                  <w14:solidFill>
                    <w14:schemeClr w14:val="tx1"/>
                  </w14:solidFill>
                </w14:textFill>
              </w:rPr>
              <w:t>费率</w:t>
            </w:r>
            <w:r>
              <w:rPr>
                <w:rFonts w:hint="eastAsia" w:ascii="仿宋_GB2312" w:hAnsi="仿宋_GB2312" w:eastAsia="仿宋_GB2312" w:cs="仿宋_GB2312"/>
                <w:color w:val="000000" w:themeColor="text1"/>
                <w14:textFill>
                  <w14:solidFill>
                    <w14:schemeClr w14:val="tx1"/>
                  </w14:solidFill>
                </w14:textFill>
              </w:rPr>
              <w:t>时，A=0.8；当投标</w:t>
            </w:r>
            <w:r>
              <w:rPr>
                <w:rFonts w:hint="eastAsia" w:ascii="仿宋_GB2312" w:hAnsi="仿宋_GB2312" w:eastAsia="仿宋_GB2312" w:cs="仿宋_GB2312"/>
                <w:color w:val="000000" w:themeColor="text1"/>
                <w:lang w:eastAsia="zh-CN"/>
                <w14:textFill>
                  <w14:solidFill>
                    <w14:schemeClr w14:val="tx1"/>
                  </w14:solidFill>
                </w14:textFill>
              </w:rPr>
              <w:t>空置费率</w:t>
            </w:r>
            <w:r>
              <w:rPr>
                <w:rFonts w:hint="eastAsia" w:ascii="仿宋_GB2312" w:hAnsi="仿宋_GB2312" w:eastAsia="仿宋_GB2312" w:cs="仿宋_GB2312"/>
                <w:color w:val="000000" w:themeColor="text1"/>
                <w14:textFill>
                  <w14:solidFill>
                    <w14:schemeClr w14:val="tx1"/>
                  </w14:solidFill>
                </w14:textFill>
              </w:rPr>
              <w:t>高于本次招标</w:t>
            </w:r>
            <w:r>
              <w:rPr>
                <w:rFonts w:hint="eastAsia" w:ascii="仿宋_GB2312" w:hAnsi="仿宋_GB2312" w:eastAsia="仿宋_GB2312" w:cs="仿宋_GB2312"/>
                <w:color w:val="000000" w:themeColor="text1"/>
                <w:lang w:eastAsia="zh-CN"/>
                <w14:textFill>
                  <w14:solidFill>
                    <w14:schemeClr w14:val="tx1"/>
                  </w14:solidFill>
                </w14:textFill>
              </w:rPr>
              <w:t>基准费率</w:t>
            </w:r>
            <w:r>
              <w:rPr>
                <w:rFonts w:hint="eastAsia" w:ascii="仿宋_GB2312" w:hAnsi="仿宋_GB2312" w:eastAsia="仿宋_GB2312" w:cs="仿宋_GB2312"/>
                <w:color w:val="000000" w:themeColor="text1"/>
                <w14:textFill>
                  <w14:solidFill>
                    <w14:schemeClr w14:val="tx1"/>
                  </w14:solidFill>
                </w14:textFill>
              </w:rPr>
              <w:t xml:space="preserve">时，取A=1； </w:t>
            </w:r>
          </w:p>
          <w:p w14:paraId="4ADEC10F">
            <w:pPr>
              <w:wordWrap w:val="0"/>
              <w:jc w:val="left"/>
              <w:rPr>
                <w:rFonts w:hint="eastAsia" w:ascii="仿宋_GB2312" w:hAnsi="仿宋_GB2312" w:eastAsia="仿宋_GB2312" w:cs="仿宋_GB2312"/>
                <w:szCs w:val="21"/>
                <w:highlight w:val="yellow"/>
              </w:rPr>
            </w:pPr>
            <w:r>
              <w:rPr>
                <w:rFonts w:hint="eastAsia" w:ascii="仿宋_GB2312" w:hAnsi="仿宋_GB2312" w:eastAsia="仿宋_GB2312" w:cs="仿宋_GB2312"/>
                <w:color w:val="000000" w:themeColor="text1"/>
                <w14:textFill>
                  <w14:solidFill>
                    <w14:schemeClr w14:val="tx1"/>
                  </w14:solidFill>
                </w14:textFill>
              </w:rPr>
              <w:t>计算分数时四舍五入取小数点后两位，当价格分＜0时，取0。</w:t>
            </w:r>
          </w:p>
        </w:tc>
      </w:tr>
      <w:tr w14:paraId="6BCC6D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vAlign w:val="center"/>
          </w:tcPr>
          <w:p w14:paraId="73EA6F03">
            <w:pPr>
              <w:wordWrap w:val="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3893" w:type="dxa"/>
            <w:gridSpan w:val="3"/>
            <w:tcBorders>
              <w:top w:val="single" w:color="000000" w:sz="8" w:space="0"/>
              <w:left w:val="single" w:color="000000" w:sz="8" w:space="0"/>
              <w:bottom w:val="single" w:color="000000" w:sz="8" w:space="0"/>
              <w:right w:val="single" w:color="000000" w:sz="8" w:space="0"/>
            </w:tcBorders>
          </w:tcPr>
          <w:p w14:paraId="1359A386">
            <w:pPr>
              <w:wordWrap w:val="0"/>
              <w:jc w:val="center"/>
              <w:rPr>
                <w:rFonts w:hint="eastAsia" w:ascii="仿宋_GB2312" w:hAnsi="仿宋_GB2312" w:eastAsia="仿宋_GB2312" w:cs="仿宋_GB2312"/>
              </w:rPr>
            </w:pPr>
            <w:r>
              <w:rPr>
                <w:rFonts w:hint="eastAsia" w:ascii="仿宋_GB2312" w:hAnsi="仿宋_GB2312" w:eastAsia="仿宋_GB2312" w:cs="仿宋_GB2312"/>
              </w:rPr>
              <w:t>技术部分</w:t>
            </w:r>
          </w:p>
        </w:tc>
        <w:tc>
          <w:tcPr>
            <w:tcW w:w="4783" w:type="dxa"/>
            <w:tcBorders>
              <w:top w:val="single" w:color="000000" w:sz="8" w:space="0"/>
              <w:left w:val="single" w:color="000000" w:sz="8" w:space="0"/>
              <w:bottom w:val="single" w:color="000000" w:sz="8" w:space="0"/>
              <w:right w:val="single" w:color="000000" w:sz="8" w:space="0"/>
            </w:tcBorders>
          </w:tcPr>
          <w:p w14:paraId="0B62A54F">
            <w:pPr>
              <w:wordWrap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0</w:t>
            </w:r>
          </w:p>
        </w:tc>
      </w:tr>
      <w:tr w14:paraId="598BE1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563CBD60">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53678DE2">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tcBorders>
              <w:top w:val="outset" w:color="000000" w:sz="6" w:space="0"/>
              <w:left w:val="outset" w:color="000000" w:sz="6" w:space="0"/>
              <w:bottom w:val="outset" w:color="000000" w:sz="6" w:space="0"/>
              <w:right w:val="outset" w:color="000000" w:sz="6" w:space="0"/>
            </w:tcBorders>
            <w:vAlign w:val="center"/>
          </w:tcPr>
          <w:p w14:paraId="6E345216">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tcBorders>
              <w:top w:val="outset" w:color="000000" w:sz="6" w:space="0"/>
              <w:left w:val="outset" w:color="000000" w:sz="6" w:space="0"/>
              <w:bottom w:val="outset" w:color="000000" w:sz="6" w:space="0"/>
              <w:right w:val="outset" w:color="000000" w:sz="6" w:space="0"/>
            </w:tcBorders>
            <w:vAlign w:val="center"/>
          </w:tcPr>
          <w:p w14:paraId="562E873C">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tcBorders>
              <w:top w:val="outset" w:color="000000" w:sz="6" w:space="0"/>
              <w:left w:val="outset" w:color="000000" w:sz="6" w:space="0"/>
              <w:bottom w:val="outset" w:color="000000" w:sz="6" w:space="0"/>
              <w:right w:val="outset" w:color="000000" w:sz="6" w:space="0"/>
            </w:tcBorders>
            <w:vAlign w:val="center"/>
          </w:tcPr>
          <w:p w14:paraId="32536D98">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14:paraId="55DDC4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06" w:hRule="atLeast"/>
          <w:jc w:val="center"/>
        </w:trPr>
        <w:tc>
          <w:tcPr>
            <w:tcW w:w="680" w:type="dxa"/>
            <w:vMerge w:val="continue"/>
            <w:tcBorders>
              <w:left w:val="single" w:color="000000" w:sz="8" w:space="0"/>
              <w:right w:val="single" w:color="000000" w:sz="8" w:space="0"/>
            </w:tcBorders>
            <w:vAlign w:val="center"/>
          </w:tcPr>
          <w:p w14:paraId="237427FD">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334E9EA3">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tcBorders>
              <w:top w:val="outset" w:color="000000" w:sz="6" w:space="0"/>
              <w:left w:val="outset" w:color="000000" w:sz="6" w:space="0"/>
              <w:bottom w:val="outset" w:color="000000" w:sz="6" w:space="0"/>
              <w:right w:val="outset" w:color="000000" w:sz="6" w:space="0"/>
            </w:tcBorders>
            <w:vAlign w:val="center"/>
          </w:tcPr>
          <w:p w14:paraId="4E94F964">
            <w:pPr>
              <w:wordWrap w:val="0"/>
              <w:jc w:val="center"/>
              <w:rPr>
                <w:rFonts w:hint="eastAsia" w:ascii="仿宋_GB2312" w:hAnsi="仿宋_GB2312" w:eastAsia="仿宋_GB2312" w:cs="仿宋_GB2312"/>
                <w:szCs w:val="21"/>
                <w:lang w:val="zh-CN"/>
              </w:rPr>
            </w:pPr>
            <w:r>
              <w:rPr>
                <w:rFonts w:hint="eastAsia" w:ascii="仿宋_GB2312" w:hAnsi="仿宋_GB2312" w:eastAsia="仿宋_GB2312" w:cs="仿宋_GB2312"/>
                <w:szCs w:val="21"/>
              </w:rPr>
              <w:t>项目重点难点分析</w:t>
            </w:r>
          </w:p>
        </w:tc>
        <w:tc>
          <w:tcPr>
            <w:tcW w:w="870" w:type="dxa"/>
            <w:tcBorders>
              <w:top w:val="outset" w:color="000000" w:sz="6" w:space="0"/>
              <w:left w:val="outset" w:color="000000" w:sz="6" w:space="0"/>
              <w:bottom w:val="outset" w:color="000000" w:sz="6" w:space="0"/>
              <w:right w:val="outset" w:color="000000" w:sz="6" w:space="0"/>
            </w:tcBorders>
            <w:vAlign w:val="center"/>
          </w:tcPr>
          <w:p w14:paraId="6A032D3A">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4783" w:type="dxa"/>
            <w:tcBorders>
              <w:top w:val="outset" w:color="000000" w:sz="6" w:space="0"/>
              <w:left w:val="outset" w:color="000000" w:sz="6" w:space="0"/>
              <w:bottom w:val="outset" w:color="000000" w:sz="6" w:space="0"/>
              <w:right w:val="outset" w:color="000000" w:sz="6" w:space="0"/>
            </w:tcBorders>
          </w:tcPr>
          <w:p w14:paraId="7FB94778">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eastAsia="zh-CN"/>
              </w:rPr>
              <w:t>一</w:t>
            </w:r>
            <w:r>
              <w:rPr>
                <w:rFonts w:hint="eastAsia" w:ascii="仿宋_GB2312" w:hAnsi="仿宋_GB2312" w:eastAsia="仿宋_GB2312" w:cs="仿宋_GB2312"/>
                <w:b/>
                <w:bCs/>
                <w:szCs w:val="21"/>
              </w:rPr>
              <w:t>）评审内容</w:t>
            </w:r>
            <w:r>
              <w:rPr>
                <w:rFonts w:hint="eastAsia" w:ascii="仿宋_GB2312" w:hAnsi="仿宋_GB2312" w:eastAsia="仿宋_GB2312" w:cs="仿宋_GB2312"/>
                <w:b/>
                <w:bCs/>
                <w:szCs w:val="21"/>
                <w:lang w:eastAsia="zh-CN"/>
              </w:rPr>
              <w:t>：</w:t>
            </w:r>
          </w:p>
          <w:p w14:paraId="20C6072C">
            <w:pPr>
              <w:wordWrap w:val="0"/>
              <w:jc w:val="left"/>
              <w:rPr>
                <w:rFonts w:hint="eastAsia" w:ascii="仿宋_GB2312" w:hAnsi="仿宋_GB2312" w:eastAsia="仿宋_GB2312" w:cs="仿宋_GB2312"/>
                <w:szCs w:val="21"/>
                <w:lang w:val="en" w:eastAsia="zh-CN"/>
              </w:rPr>
            </w:pPr>
            <w:r>
              <w:rPr>
                <w:rFonts w:hint="eastAsia" w:ascii="仿宋_GB2312" w:hAnsi="仿宋_GB2312" w:eastAsia="仿宋_GB2312" w:cs="仿宋_GB2312"/>
                <w:szCs w:val="21"/>
                <w:lang w:val="en" w:eastAsia="zh-CN"/>
              </w:rPr>
              <w:t>（</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lang w:val="en" w:eastAsia="zh-CN"/>
              </w:rPr>
              <w:t>）提供符合本项目服务特点的相关重点难点分析。</w:t>
            </w:r>
          </w:p>
          <w:p w14:paraId="7E171B24">
            <w:pPr>
              <w:wordWrap w:val="0"/>
              <w:jc w:val="left"/>
              <w:rPr>
                <w:rFonts w:hint="eastAsia" w:ascii="仿宋_GB2312" w:hAnsi="仿宋_GB2312" w:eastAsia="仿宋_GB2312" w:cs="仿宋_GB2312"/>
                <w:szCs w:val="21"/>
                <w:lang w:val="en" w:eastAsia="zh-CN"/>
              </w:rPr>
            </w:pPr>
            <w:r>
              <w:rPr>
                <w:rFonts w:hint="eastAsia" w:ascii="仿宋_GB2312" w:hAnsi="仿宋_GB2312" w:eastAsia="仿宋_GB2312" w:cs="仿宋_GB2312"/>
                <w:szCs w:val="21"/>
                <w:lang w:val="en" w:eastAsia="zh-CN"/>
              </w:rPr>
              <w:t>（</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lang w:val="en" w:eastAsia="zh-CN"/>
              </w:rPr>
              <w:t>）针对重难点分析提出应对措施及提出相关的合理化建议。</w:t>
            </w:r>
          </w:p>
          <w:p w14:paraId="722D3F0D">
            <w:pPr>
              <w:keepNext w:val="0"/>
              <w:keepLines w:val="0"/>
              <w:widowControl/>
              <w:suppressLineNumbers w:val="0"/>
              <w:jc w:val="left"/>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pPr>
            <w:r>
              <w:rPr>
                <w:rFonts w:hint="eastAsia" w:ascii="仿宋_GB2312" w:hAnsi="仿宋_GB2312" w:eastAsia="仿宋_GB2312" w:cs="仿宋_GB2312"/>
                <w:szCs w:val="21"/>
                <w:lang w:val="en" w:eastAsia="zh-CN"/>
              </w:rPr>
              <w:t>（</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lang w:val="en" w:eastAsia="zh-CN"/>
              </w:rPr>
              <w:t>）需</w:t>
            </w: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针对性提出可落地的应对措施与优化建议，保障项目工作标准化、高效化、合规化推进。</w:t>
            </w:r>
          </w:p>
          <w:p w14:paraId="3CDB95D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（4）</w:t>
            </w:r>
            <w:r>
              <w:rPr>
                <w:rFonts w:hint="eastAsia" w:ascii="仿宋_GB2312" w:hAnsi="仿宋_GB2312" w:eastAsia="仿宋_GB2312" w:cs="仿宋_GB2312"/>
                <w:color w:val="000000" w:themeColor="text1"/>
                <w:lang w:val="en-US" w:eastAsia="zh-CN"/>
                <w14:textFill>
                  <w14:solidFill>
                    <w14:schemeClr w14:val="tx1"/>
                  </w14:solidFill>
                </w14:textFill>
              </w:rPr>
              <w:t>本项满分9分，评分严格实行“优、良、中、差”四级量化梯度，无负分、无保底分，缺对应板块内容的对应板块计0分。</w:t>
            </w:r>
          </w:p>
          <w:p w14:paraId="2F8597BB">
            <w:pPr>
              <w:wordWrap w:val="0"/>
              <w:jc w:val="left"/>
              <w:rPr>
                <w:rFonts w:hint="eastAsia" w:ascii="仿宋_GB2312" w:hAnsi="仿宋_GB2312" w:eastAsia="仿宋_GB2312" w:cs="仿宋_GB2312"/>
                <w:b/>
                <w:bCs/>
                <w:szCs w:val="21"/>
                <w:lang w:val="en" w:eastAsia="zh-CN"/>
              </w:rPr>
            </w:pPr>
            <w:r>
              <w:rPr>
                <w:rFonts w:hint="eastAsia" w:ascii="仿宋_GB2312" w:hAnsi="仿宋_GB2312" w:eastAsia="仿宋_GB2312" w:cs="仿宋_GB2312"/>
                <w:b/>
                <w:bCs/>
                <w:szCs w:val="21"/>
                <w:lang w:val="en" w:eastAsia="zh-CN"/>
              </w:rPr>
              <w:t>（二）评审标准：</w:t>
            </w:r>
          </w:p>
          <w:p w14:paraId="7124CAEA">
            <w:pPr>
              <w:keepNext w:val="0"/>
              <w:keepLines w:val="0"/>
              <w:widowControl/>
              <w:suppressLineNumbers w:val="0"/>
              <w:jc w:val="left"/>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优评分标准（9分）：工作方案完整贴合项目实际，重难点分析全面精准；应对措施、优化建议针对性极强、落地性高，内容无缺失、逻辑严谨、贴合项目服务要求；</w:t>
            </w:r>
          </w:p>
          <w:p w14:paraId="119231A3">
            <w:pPr>
              <w:keepNext w:val="0"/>
              <w:keepLines w:val="0"/>
              <w:widowControl/>
              <w:suppressLineNumbers w:val="0"/>
              <w:jc w:val="left"/>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良评分标准</w:t>
            </w: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（6分）：工作方案内容完整，重难点分析覆盖核心内容；应对措施、优化建议合理可行，能够满足项目标准化、合规化基本要求，细节贴合度、落地深度略有不足，无关键内容缺失；</w:t>
            </w:r>
          </w:p>
          <w:p w14:paraId="6DF2EF33">
            <w:pPr>
              <w:keepNext w:val="0"/>
              <w:keepLines w:val="0"/>
              <w:widowControl/>
              <w:suppressLineNumbers w:val="0"/>
              <w:jc w:val="left"/>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中评分标准（3分）：工作方案基本完整，重难点分析较为粗浅；应对措施、优化建议通用性强、针对性偏弱，落地性一般，存在少量内容短板；</w:t>
            </w:r>
          </w:p>
          <w:p w14:paraId="5627D9EF">
            <w:pPr>
              <w:keepNext w:val="0"/>
              <w:keepLines w:val="0"/>
              <w:widowControl/>
              <w:suppressLineNumbers w:val="0"/>
              <w:jc w:val="left"/>
              <w:rPr>
                <w:rFonts w:hint="eastAsia" w:ascii="仿宋_GB2312" w:hAnsi="仿宋_GB2312" w:eastAsia="仿宋_GB2312" w:cs="仿宋_GB2312"/>
                <w:szCs w:val="21"/>
              </w:rPr>
            </w:pP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差评分标准（0分）：工作方案内容简陋、逻辑性差，重难点分析模糊、流于形式；无有效落地措施及合理优化建议，无法保障项目规范推进，关键内容缺失较多。</w:t>
            </w:r>
          </w:p>
        </w:tc>
      </w:tr>
      <w:tr w14:paraId="7DC2C0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570" w:hRule="atLeast"/>
          <w:jc w:val="center"/>
        </w:trPr>
        <w:tc>
          <w:tcPr>
            <w:tcW w:w="680" w:type="dxa"/>
            <w:vMerge w:val="continue"/>
            <w:tcBorders>
              <w:left w:val="single" w:color="000000" w:sz="8" w:space="0"/>
              <w:right w:val="single" w:color="000000" w:sz="8" w:space="0"/>
            </w:tcBorders>
            <w:vAlign w:val="center"/>
          </w:tcPr>
          <w:p w14:paraId="6B0DF488">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2800546C">
            <w:pPr>
              <w:wordWrap w:val="0"/>
              <w:jc w:val="center"/>
              <w:rPr>
                <w:rFonts w:hint="eastAsia" w:ascii="仿宋_GB2312" w:hAnsi="仿宋_GB2312" w:eastAsia="仿宋_GB2312" w:cs="仿宋_GB2312"/>
                <w:szCs w:val="21"/>
              </w:rPr>
            </w:pPr>
          </w:p>
        </w:tc>
        <w:tc>
          <w:tcPr>
            <w:tcW w:w="2343" w:type="dxa"/>
            <w:tcBorders>
              <w:top w:val="outset" w:color="000000" w:sz="6" w:space="0"/>
              <w:left w:val="outset" w:color="000000" w:sz="6" w:space="0"/>
              <w:bottom w:val="outset" w:color="000000" w:sz="6" w:space="0"/>
              <w:right w:val="outset" w:color="000000" w:sz="6" w:space="0"/>
            </w:tcBorders>
            <w:vAlign w:val="center"/>
          </w:tcPr>
          <w:p w14:paraId="30F3B1FF">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 w:eastAsia="en"/>
              </w:rPr>
              <w:t>物业管理应急预案</w:t>
            </w:r>
          </w:p>
        </w:tc>
        <w:tc>
          <w:tcPr>
            <w:tcW w:w="870" w:type="dxa"/>
            <w:tcBorders>
              <w:top w:val="outset" w:color="000000" w:sz="6" w:space="0"/>
              <w:left w:val="outset" w:color="000000" w:sz="6" w:space="0"/>
              <w:bottom w:val="outset" w:color="000000" w:sz="6" w:space="0"/>
              <w:right w:val="outset" w:color="000000" w:sz="6" w:space="0"/>
            </w:tcBorders>
            <w:vAlign w:val="center"/>
          </w:tcPr>
          <w:p w14:paraId="57BA1CD5">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w:t>
            </w:r>
          </w:p>
        </w:tc>
        <w:tc>
          <w:tcPr>
            <w:tcW w:w="4783" w:type="dxa"/>
            <w:tcBorders>
              <w:top w:val="outset" w:color="000000" w:sz="6" w:space="0"/>
              <w:left w:val="outset" w:color="000000" w:sz="6" w:space="0"/>
              <w:bottom w:val="outset" w:color="000000" w:sz="6" w:space="0"/>
              <w:right w:val="outset" w:color="000000" w:sz="6" w:space="0"/>
            </w:tcBorders>
          </w:tcPr>
          <w:p w14:paraId="231A5877">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eastAsia="zh-CN"/>
              </w:rPr>
              <w:t>一</w:t>
            </w:r>
            <w:r>
              <w:rPr>
                <w:rFonts w:hint="eastAsia" w:ascii="仿宋_GB2312" w:hAnsi="仿宋_GB2312" w:eastAsia="仿宋_GB2312" w:cs="仿宋_GB2312"/>
                <w:b/>
                <w:bCs/>
                <w:szCs w:val="21"/>
              </w:rPr>
              <w:t>）评审内容</w:t>
            </w:r>
            <w:r>
              <w:rPr>
                <w:rFonts w:hint="eastAsia" w:ascii="仿宋_GB2312" w:hAnsi="仿宋_GB2312" w:eastAsia="仿宋_GB2312" w:cs="仿宋_GB2312"/>
                <w:b/>
                <w:bCs/>
                <w:szCs w:val="21"/>
                <w:lang w:eastAsia="zh-CN"/>
              </w:rPr>
              <w:t>：</w:t>
            </w:r>
          </w:p>
          <w:p w14:paraId="02B24249">
            <w:pPr>
              <w:keepNext w:val="0"/>
              <w:keepLines w:val="0"/>
              <w:widowControl/>
              <w:suppressLineNumbers w:val="0"/>
              <w:jc w:val="left"/>
              <w:rPr>
                <w:rFonts w:hint="eastAsia" w:ascii="仿宋_GB2312" w:hAnsi="仿宋_GB2312" w:eastAsia="仿宋_GB2312" w:cs="仿宋_GB2312"/>
                <w:kern w:val="2"/>
                <w:sz w:val="21"/>
                <w:szCs w:val="21"/>
                <w:lang w:val="en" w:eastAsia="zh-CN" w:bidi="ar-SA"/>
              </w:rPr>
            </w:pPr>
            <w:r>
              <w:rPr>
                <w:rFonts w:hint="eastAsia" w:ascii="仿宋_GB2312" w:hAnsi="仿宋_GB2312" w:eastAsia="仿宋_GB2312" w:cs="仿宋_GB2312"/>
                <w:kern w:val="2"/>
                <w:sz w:val="21"/>
                <w:szCs w:val="21"/>
                <w:lang w:val="en" w:eastAsia="zh-CN" w:bidi="ar-SA"/>
              </w:rPr>
              <w:t>（</w:t>
            </w:r>
            <w:r>
              <w:rPr>
                <w:rFonts w:hint="eastAsia" w:ascii="仿宋_GB2312" w:hAnsi="仿宋_GB2312" w:eastAsia="仿宋_GB2312" w:cs="仿宋_GB2312"/>
                <w:kern w:val="2"/>
                <w:sz w:val="21"/>
                <w:szCs w:val="21"/>
                <w:lang w:val="en-US" w:eastAsia="zh-CN" w:bidi="ar-SA"/>
              </w:rPr>
              <w:t>1</w:t>
            </w:r>
            <w:r>
              <w:rPr>
                <w:rFonts w:hint="eastAsia" w:ascii="仿宋_GB2312" w:hAnsi="仿宋_GB2312" w:eastAsia="仿宋_GB2312" w:cs="仿宋_GB2312"/>
                <w:kern w:val="2"/>
                <w:sz w:val="21"/>
                <w:szCs w:val="21"/>
                <w:lang w:val="en" w:eastAsia="zh-CN" w:bidi="ar-SA"/>
              </w:rPr>
              <w:t>）投标人提供针对本项目制定物业管理应急预案及突发事件处理方案，具体内容包含但不限于应急预案的组织领导、物资准备、响应流程、处置措施、恢复评估、培训计划、组织演练等</w:t>
            </w:r>
            <w:r>
              <w:rPr>
                <w:rFonts w:hint="eastAsia" w:ascii="仿宋_GB2312" w:hAnsi="仿宋_GB2312" w:eastAsia="仿宋_GB2312" w:cs="仿宋_GB2312"/>
                <w:kern w:val="2"/>
                <w:sz w:val="21"/>
                <w:szCs w:val="21"/>
                <w:lang w:val="en-US" w:eastAsia="zh-CN" w:bidi="ar-SA"/>
              </w:rPr>
              <w:t>核心内容，同时贴合项目业态特点，具备针对性、实操性、合规性，能够全面保障项目物业应急管理工作规范、高效开展</w:t>
            </w:r>
            <w:r>
              <w:rPr>
                <w:rFonts w:hint="eastAsia" w:ascii="仿宋_GB2312" w:hAnsi="仿宋_GB2312" w:eastAsia="仿宋_GB2312" w:cs="仿宋_GB2312"/>
                <w:kern w:val="2"/>
                <w:sz w:val="21"/>
                <w:szCs w:val="21"/>
                <w:lang w:val="en" w:eastAsia="zh-CN" w:bidi="ar-SA"/>
              </w:rPr>
              <w:t>。</w:t>
            </w:r>
          </w:p>
          <w:p w14:paraId="2BEA5360">
            <w:pPr>
              <w:pStyle w:val="2"/>
              <w:rPr>
                <w:rFonts w:hint="eastAsia"/>
                <w:lang w:val="en" w:eastAsia="zh-CN"/>
              </w:rPr>
            </w:pPr>
            <w:r>
              <w:rPr>
                <w:rFonts w:hint="eastAsia" w:ascii="仿宋_GB2312" w:hAnsi="仿宋_GB2312" w:eastAsia="仿宋_GB2312" w:cs="仿宋_GB2312"/>
                <w:kern w:val="2"/>
                <w:sz w:val="21"/>
                <w:szCs w:val="21"/>
                <w:lang w:val="en" w:eastAsia="zh-CN" w:bidi="ar-SA"/>
              </w:rPr>
              <w:t>（</w:t>
            </w:r>
            <w:r>
              <w:rPr>
                <w:rFonts w:hint="eastAsia" w:ascii="仿宋_GB2312" w:hAnsi="仿宋_GB2312" w:eastAsia="仿宋_GB2312" w:cs="仿宋_GB2312"/>
                <w:kern w:val="2"/>
                <w:sz w:val="21"/>
                <w:szCs w:val="21"/>
                <w:lang w:val="en-US" w:eastAsia="zh-CN" w:bidi="ar-SA"/>
              </w:rPr>
              <w:t>2</w:t>
            </w:r>
            <w:r>
              <w:rPr>
                <w:rFonts w:hint="eastAsia" w:ascii="仿宋_GB2312" w:hAnsi="仿宋_GB2312" w:eastAsia="仿宋_GB2312" w:cs="仿宋_GB2312"/>
                <w:kern w:val="2"/>
                <w:sz w:val="21"/>
                <w:szCs w:val="21"/>
                <w:lang w:val="en" w:eastAsia="zh-CN" w:bidi="ar-SA"/>
              </w:rPr>
              <w:t>）</w:t>
            </w:r>
            <w:r>
              <w:rPr>
                <w:rFonts w:hint="eastAsia" w:ascii="仿宋_GB2312" w:hAnsi="仿宋_GB2312" w:eastAsia="仿宋_GB2312" w:cs="仿宋_GB2312"/>
                <w:color w:val="000000" w:themeColor="text1"/>
                <w:lang w:val="en-US" w:eastAsia="zh-CN"/>
                <w14:textFill>
                  <w14:solidFill>
                    <w14:schemeClr w14:val="tx1"/>
                  </w14:solidFill>
                </w14:textFill>
              </w:rPr>
              <w:t>本项满分10分，评分严格实行“优、良、中、差”四级量化梯度，无负分、无保底分，缺对应板块内容的对应板块计0分。</w:t>
            </w:r>
          </w:p>
          <w:p w14:paraId="26072CD4">
            <w:pPr>
              <w:wordWrap w:val="0"/>
              <w:jc w:val="left"/>
              <w:rPr>
                <w:rFonts w:hint="eastAsia" w:ascii="仿宋_GB2312" w:hAnsi="仿宋_GB2312" w:eastAsia="仿宋_GB2312" w:cs="仿宋_GB2312"/>
                <w:b/>
                <w:bCs/>
                <w:szCs w:val="21"/>
                <w:lang w:val="en" w:eastAsia="zh-CN"/>
              </w:rPr>
            </w:pPr>
            <w:r>
              <w:rPr>
                <w:rFonts w:hint="eastAsia" w:ascii="仿宋_GB2312" w:hAnsi="仿宋_GB2312" w:eastAsia="仿宋_GB2312" w:cs="仿宋_GB2312"/>
                <w:b/>
                <w:bCs/>
                <w:szCs w:val="21"/>
                <w:lang w:val="en" w:eastAsia="zh-CN"/>
              </w:rPr>
              <w:t>（二）评审标准：</w:t>
            </w:r>
          </w:p>
          <w:p w14:paraId="1D3C0421">
            <w:pPr>
              <w:keepNext w:val="0"/>
              <w:keepLines w:val="0"/>
              <w:widowControl/>
              <w:suppressLineNumbers w:val="0"/>
              <w:jc w:val="lef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000000" w:themeColor="text1"/>
                <w:kern w:val="2"/>
                <w:sz w:val="21"/>
                <w:szCs w:val="22"/>
                <w:lang w:val="en-US" w:eastAsia="zh-CN" w:bidi="ar-SA"/>
                <w14:textFill>
                  <w14:solidFill>
                    <w14:schemeClr w14:val="tx1"/>
                  </w14:solidFill>
                </w14:textFill>
              </w:rPr>
              <w:t>优评</w:t>
            </w:r>
            <w:r>
              <w:rPr>
                <w:rFonts w:hint="eastAsia" w:ascii="仿宋_GB2312" w:hAnsi="仿宋_GB2312" w:eastAsia="仿宋_GB2312" w:cs="仿宋_GB2312"/>
                <w:kern w:val="2"/>
                <w:sz w:val="21"/>
                <w:szCs w:val="21"/>
                <w:lang w:val="en-US" w:eastAsia="zh-CN" w:bidi="ar-SA"/>
              </w:rPr>
              <w:t>分标准（10分）：方案体系完整、逻辑清晰、内容详实；组织架构权责清晰、物资保障充分、响应流程分级明确、处置措施科学具体、复盘评估机制完善、培训及演练计划常态化可落地，完全满足项目应急管理需求，具备极强实操性；</w:t>
            </w:r>
          </w:p>
          <w:p w14:paraId="4E7012FA">
            <w:pPr>
              <w:keepNext w:val="0"/>
              <w:keepLines w:val="0"/>
              <w:widowControl/>
              <w:suppressLineNumbers w:val="0"/>
              <w:jc w:val="lef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良评分标准（7分）：方案整体完整，贴合项目基本需求；各项应急流程、处置措施、培训演练内容合理可行，整体实操性较好，仅部分细节细化程度、专项适配度略有不足，无关键内容缺失；</w:t>
            </w:r>
          </w:p>
          <w:p w14:paraId="275302A0">
            <w:pPr>
              <w:keepNext w:val="0"/>
              <w:keepLines w:val="0"/>
              <w:widowControl/>
              <w:suppressLineNumbers w:val="0"/>
              <w:jc w:val="lef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中评分标准（4分）：方案基本框架完整，核心模块存在内容简略、表述笼统问题；未充分结合本项目特点，应急处置、培训演练等内容通用性强、针对性不足，落地性一般，可基本满足基础应急管理需求；</w:t>
            </w:r>
          </w:p>
          <w:p w14:paraId="60C32BEB">
            <w:pPr>
              <w:keepNext w:val="0"/>
              <w:keepLines w:val="0"/>
              <w:widowControl/>
              <w:suppressLineNumbers w:val="0"/>
              <w:jc w:val="left"/>
              <w:rPr>
                <w:rFonts w:hint="eastAsia"/>
              </w:rPr>
            </w:pPr>
            <w:r>
              <w:rPr>
                <w:rFonts w:hint="eastAsia" w:ascii="仿宋_GB2312" w:hAnsi="仿宋_GB2312" w:eastAsia="仿宋_GB2312" w:cs="仿宋_GB2312"/>
                <w:kern w:val="2"/>
                <w:sz w:val="21"/>
                <w:szCs w:val="21"/>
                <w:lang w:val="en-US" w:eastAsia="zh-CN" w:bidi="ar-SA"/>
              </w:rPr>
              <w:t>差评分标准（0分）方案内容残缺、逻辑混乱，核心模块缺失严重；未结合本项目实际，应急流程、处置措施流于形式，无有效落地机制，无法满足项目应急管理工作要求。</w:t>
            </w:r>
          </w:p>
        </w:tc>
      </w:tr>
      <w:tr w14:paraId="4A7F8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536A9679">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7767BEFF">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2343" w:type="dxa"/>
            <w:tcBorders>
              <w:top w:val="outset" w:color="000000" w:sz="6" w:space="0"/>
              <w:left w:val="outset" w:color="000000" w:sz="6" w:space="0"/>
              <w:bottom w:val="outset" w:color="000000" w:sz="6" w:space="0"/>
              <w:right w:val="outset" w:color="000000" w:sz="6" w:space="0"/>
            </w:tcBorders>
            <w:vAlign w:val="center"/>
          </w:tcPr>
          <w:p w14:paraId="4E3D0356">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 w:eastAsia="en"/>
              </w:rPr>
              <w:t>物业管理方案</w:t>
            </w:r>
          </w:p>
        </w:tc>
        <w:tc>
          <w:tcPr>
            <w:tcW w:w="870" w:type="dxa"/>
            <w:tcBorders>
              <w:top w:val="outset" w:color="000000" w:sz="6" w:space="0"/>
              <w:left w:val="outset" w:color="000000" w:sz="6" w:space="0"/>
              <w:bottom w:val="outset" w:color="000000" w:sz="6" w:space="0"/>
              <w:right w:val="outset" w:color="000000" w:sz="6" w:space="0"/>
            </w:tcBorders>
            <w:vAlign w:val="center"/>
          </w:tcPr>
          <w:p w14:paraId="7FABA22C">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4783" w:type="dxa"/>
            <w:tcBorders>
              <w:top w:val="outset" w:color="000000" w:sz="6" w:space="0"/>
              <w:left w:val="outset" w:color="000000" w:sz="6" w:space="0"/>
              <w:bottom w:val="outset" w:color="000000" w:sz="6" w:space="0"/>
              <w:right w:val="outset" w:color="000000" w:sz="6" w:space="0"/>
            </w:tcBorders>
          </w:tcPr>
          <w:p w14:paraId="7BDEF93B">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eastAsia="zh-CN"/>
              </w:rPr>
              <w:t>一</w:t>
            </w:r>
            <w:r>
              <w:rPr>
                <w:rFonts w:hint="eastAsia" w:ascii="仿宋_GB2312" w:hAnsi="仿宋_GB2312" w:eastAsia="仿宋_GB2312" w:cs="仿宋_GB2312"/>
                <w:b/>
                <w:bCs/>
                <w:szCs w:val="21"/>
              </w:rPr>
              <w:t>）评审内容</w:t>
            </w:r>
            <w:r>
              <w:rPr>
                <w:rFonts w:hint="eastAsia" w:ascii="仿宋_GB2312" w:hAnsi="仿宋_GB2312" w:eastAsia="仿宋_GB2312" w:cs="仿宋_GB2312"/>
                <w:b/>
                <w:bCs/>
                <w:szCs w:val="21"/>
                <w:lang w:eastAsia="zh-CN"/>
              </w:rPr>
              <w:t>：</w:t>
            </w:r>
          </w:p>
          <w:p w14:paraId="614402F8">
            <w:pPr>
              <w:keepNext w:val="0"/>
              <w:keepLines w:val="0"/>
              <w:widowControl/>
              <w:suppressLineNumbers w:val="0"/>
              <w:jc w:val="left"/>
              <w:rPr>
                <w:rFonts w:hint="eastAsia" w:ascii="仿宋_GB2312" w:hAnsi="仿宋_GB2312" w:eastAsia="仿宋_GB2312" w:cs="仿宋_GB2312"/>
                <w:kern w:val="2"/>
                <w:sz w:val="21"/>
                <w:szCs w:val="21"/>
                <w:lang w:val="zh-CN" w:eastAsia="zh-CN" w:bidi="ar-SA"/>
              </w:rPr>
            </w:pPr>
            <w:r>
              <w:rPr>
                <w:rFonts w:hint="eastAsia" w:ascii="仿宋_GB2312" w:hAnsi="仿宋_GB2312" w:eastAsia="仿宋_GB2312" w:cs="仿宋_GB2312"/>
                <w:kern w:val="2"/>
                <w:sz w:val="21"/>
                <w:szCs w:val="21"/>
                <w:lang w:val="en-US" w:eastAsia="zh-CN" w:bidi="ar-SA"/>
              </w:rPr>
              <w:t>（1）投标人须结合本项目实际业态、服务需求及场地特点，编制全面、系统、可落地的专属物业管理方案。方案内容须完整覆盖以下八大核心模块，不得缺项漏项，内容具备针对性、专业性、实操性及合规性，能够全面保障项目物业服务标准化、精细化、常态化运营：①公建配套设施物业维修、养护方案；②机电设备等共用设备日常运维、管控方案；③公共秩序维护安全管理方案；④公共环境卫生清扫、保洁及绿化养护管理方案；⑤物业服务管理制度、工作规范及档案资料管理方案；⑥停车场日常运营、秩序管控、收费及安全管理方案；⑦服务质量保证体系与质量管控考核方案；⑧项目特色增值服务优化实施方案</w:t>
            </w:r>
            <w:r>
              <w:rPr>
                <w:rFonts w:hint="eastAsia" w:ascii="仿宋_GB2312" w:hAnsi="仿宋_GB2312" w:eastAsia="仿宋_GB2312" w:cs="仿宋_GB2312"/>
                <w:kern w:val="2"/>
                <w:sz w:val="21"/>
                <w:szCs w:val="21"/>
                <w:lang w:val="zh-CN" w:eastAsia="zh-CN" w:bidi="ar-SA"/>
              </w:rPr>
              <w:t>。</w:t>
            </w:r>
          </w:p>
          <w:p w14:paraId="68F3DEAB">
            <w:pPr>
              <w:pStyle w:val="2"/>
              <w:rPr>
                <w:rFonts w:hint="eastAsia"/>
                <w:lang w:val="zh-CN" w:eastAsia="zh-CN"/>
              </w:rPr>
            </w:pPr>
            <w:r>
              <w:rPr>
                <w:rFonts w:hint="eastAsia" w:ascii="仿宋_GB2312" w:hAnsi="仿宋_GB2312" w:eastAsia="仿宋_GB2312" w:cs="仿宋_GB2312"/>
                <w:kern w:val="2"/>
                <w:sz w:val="21"/>
                <w:szCs w:val="21"/>
                <w:lang w:val="zh-CN" w:eastAsia="zh-CN" w:bidi="ar-SA"/>
              </w:rPr>
              <w:t>（</w:t>
            </w:r>
            <w:r>
              <w:rPr>
                <w:rFonts w:hint="eastAsia" w:ascii="仿宋_GB2312" w:hAnsi="仿宋_GB2312" w:eastAsia="仿宋_GB2312" w:cs="仿宋_GB2312"/>
                <w:kern w:val="2"/>
                <w:sz w:val="21"/>
                <w:szCs w:val="21"/>
                <w:lang w:val="en-US" w:eastAsia="zh-CN" w:bidi="ar-SA"/>
              </w:rPr>
              <w:t>2</w:t>
            </w:r>
            <w:r>
              <w:rPr>
                <w:rFonts w:hint="eastAsia" w:ascii="仿宋_GB2312" w:hAnsi="仿宋_GB2312" w:eastAsia="仿宋_GB2312" w:cs="仿宋_GB2312"/>
                <w:kern w:val="2"/>
                <w:sz w:val="21"/>
                <w:szCs w:val="21"/>
                <w:lang w:val="zh-CN" w:eastAsia="zh-CN" w:bidi="ar-SA"/>
              </w:rPr>
              <w:t>）</w:t>
            </w:r>
            <w:r>
              <w:rPr>
                <w:rFonts w:hint="eastAsia" w:ascii="仿宋_GB2312" w:hAnsi="仿宋_GB2312" w:eastAsia="仿宋_GB2312" w:cs="仿宋_GB2312"/>
                <w:color w:val="000000" w:themeColor="text1"/>
                <w:lang w:val="en-US" w:eastAsia="zh-CN"/>
                <w14:textFill>
                  <w14:solidFill>
                    <w14:schemeClr w14:val="tx1"/>
                  </w14:solidFill>
                </w14:textFill>
              </w:rPr>
              <w:t>本项满分15分，评分严格实行“优、良、中、差”四级量化梯度，无负分、无保底分，缺对应板块内容的对应板块计0分</w:t>
            </w:r>
          </w:p>
          <w:p w14:paraId="648D3962">
            <w:pPr>
              <w:wordWrap w:val="0"/>
              <w:jc w:val="left"/>
              <w:rPr>
                <w:rFonts w:hint="eastAsia" w:ascii="仿宋_GB2312" w:hAnsi="仿宋_GB2312" w:eastAsia="仿宋_GB2312" w:cs="仿宋_GB2312"/>
                <w:b/>
                <w:bCs/>
                <w:szCs w:val="21"/>
                <w:lang w:val="en" w:eastAsia="zh-CN"/>
              </w:rPr>
            </w:pPr>
            <w:r>
              <w:rPr>
                <w:rFonts w:hint="eastAsia" w:ascii="仿宋_GB2312" w:hAnsi="仿宋_GB2312" w:eastAsia="仿宋_GB2312" w:cs="仿宋_GB2312"/>
                <w:b/>
                <w:bCs/>
                <w:szCs w:val="21"/>
                <w:lang w:val="en" w:eastAsia="zh-CN"/>
              </w:rPr>
              <w:t>（二）评审标准：</w:t>
            </w:r>
          </w:p>
          <w:p w14:paraId="280AF74F">
            <w:pPr>
              <w:wordWrap w:val="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优评分标准（15分）：方案深度贴合本项目业态及服务场景，针对性、专业性极强；各项管理制度、运维流程、管控措施、运营方案、质量体系细化详实、科学合规，增值服务贴合项目定位、可落地可执行，整体方案体系完善、逻辑严密，完全满足项目精细化、标准化物业服务要求；</w:t>
            </w:r>
          </w:p>
          <w:p w14:paraId="60E21EBD">
            <w:pPr>
              <w:wordWrap w:val="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良评分标准（10分）：整体贴合本项目物业服务需求；各项管理、运维、管控及服务方案合理可行，实操性较好，整体质量规范达标，仅部分模块细节细化程度不足、特色适配性一般，无关键内容缺失及明显短板；</w:t>
            </w:r>
          </w:p>
          <w:p w14:paraId="3224A8DF">
            <w:pPr>
              <w:wordWrap w:val="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中评分标准（5分）：内容多为通用模板，未充分结合本项目实际特点，各项管理措施、运营方案、质量管控内容较为笼统粗浅，增值服务流于形式，落地性一般，仅能满足项目基础物业服务运行需求；</w:t>
            </w:r>
          </w:p>
          <w:p w14:paraId="6D285A03">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差评分标准（0分）：内容空洞简陋，逻辑混乱；完全未结合本项目实际编制，各项管理方案、管控措施无实质内容，无完善的质量保障机制，无法支撑项目正常物业服务工作开展。</w:t>
            </w:r>
          </w:p>
        </w:tc>
      </w:tr>
      <w:tr w14:paraId="2096D6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52A775B8">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6C6473F9">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2343" w:type="dxa"/>
            <w:tcBorders>
              <w:top w:val="outset" w:color="000000" w:sz="6" w:space="0"/>
              <w:left w:val="outset" w:color="000000" w:sz="6" w:space="0"/>
              <w:bottom w:val="outset" w:color="000000" w:sz="6" w:space="0"/>
              <w:right w:val="outset" w:color="000000" w:sz="6" w:space="0"/>
            </w:tcBorders>
            <w:vAlign w:val="center"/>
          </w:tcPr>
          <w:p w14:paraId="7F5D8B5A">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拟派筹备团队人数及人员素质</w:t>
            </w:r>
          </w:p>
        </w:tc>
        <w:tc>
          <w:tcPr>
            <w:tcW w:w="870" w:type="dxa"/>
            <w:tcBorders>
              <w:top w:val="outset" w:color="000000" w:sz="6" w:space="0"/>
              <w:left w:val="outset" w:color="000000" w:sz="6" w:space="0"/>
              <w:bottom w:val="outset" w:color="000000" w:sz="6" w:space="0"/>
              <w:right w:val="outset" w:color="000000" w:sz="6" w:space="0"/>
            </w:tcBorders>
            <w:vAlign w:val="center"/>
          </w:tcPr>
          <w:p w14:paraId="118F7406">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4783" w:type="dxa"/>
            <w:tcBorders>
              <w:top w:val="outset" w:color="000000" w:sz="6" w:space="0"/>
              <w:left w:val="outset" w:color="000000" w:sz="6" w:space="0"/>
              <w:bottom w:val="outset" w:color="000000" w:sz="6" w:space="0"/>
              <w:right w:val="outset" w:color="000000" w:sz="6" w:space="0"/>
            </w:tcBorders>
          </w:tcPr>
          <w:p w14:paraId="4448307B">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rPr>
              <w:t>（</w:t>
            </w:r>
            <w:r>
              <w:rPr>
                <w:rFonts w:hint="eastAsia" w:ascii="仿宋_GB2312" w:hAnsi="仿宋_GB2312" w:eastAsia="仿宋_GB2312" w:cs="仿宋_GB2312"/>
                <w:b/>
                <w:bCs/>
                <w:szCs w:val="21"/>
                <w:lang w:eastAsia="zh-CN"/>
              </w:rPr>
              <w:t>一</w:t>
            </w:r>
            <w:r>
              <w:rPr>
                <w:rFonts w:hint="eastAsia" w:ascii="仿宋_GB2312" w:hAnsi="仿宋_GB2312" w:eastAsia="仿宋_GB2312" w:cs="仿宋_GB2312"/>
                <w:b/>
                <w:bCs/>
                <w:szCs w:val="21"/>
              </w:rPr>
              <w:t>）评审内容</w:t>
            </w:r>
            <w:r>
              <w:rPr>
                <w:rFonts w:hint="eastAsia" w:ascii="仿宋_GB2312" w:hAnsi="仿宋_GB2312" w:eastAsia="仿宋_GB2312" w:cs="仿宋_GB2312"/>
                <w:b/>
                <w:bCs/>
                <w:szCs w:val="21"/>
                <w:lang w:eastAsia="zh-CN"/>
              </w:rPr>
              <w:t>：</w:t>
            </w:r>
          </w:p>
          <w:p w14:paraId="6E52E885">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评审投标人拟派本项目的负责人和项目团队人员信息。拟派本项目负责人和项目团队人员标准：</w:t>
            </w:r>
          </w:p>
          <w:p w14:paraId="2973361F">
            <w:pPr>
              <w:pStyle w:val="6"/>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本项目配置物业服务人员数量不低于14名，包含项目负责人、客服、工程、环境、安全安保、消控等各岗位人员；</w:t>
            </w:r>
            <w:r>
              <w:rPr>
                <w:rFonts w:hint="eastAsia" w:ascii="仿宋_GB2312" w:hAnsi="仿宋_GB2312" w:eastAsia="仿宋_GB2312" w:cs="仿宋_GB2312"/>
                <w:kern w:val="2"/>
                <w:sz w:val="21"/>
                <w:szCs w:val="21"/>
                <w:lang w:val="en-US" w:eastAsia="zh-CN" w:bidi="ar-SA"/>
              </w:rPr>
              <w:t>项目团队人员均为投标</w:t>
            </w:r>
            <w:r>
              <w:rPr>
                <w:rFonts w:hint="eastAsia" w:ascii="仿宋_GB2312" w:hAnsi="仿宋_GB2312" w:eastAsia="仿宋_GB2312" w:cs="仿宋_GB2312"/>
                <w:szCs w:val="21"/>
                <w:lang w:val="en-US" w:eastAsia="zh-CN"/>
              </w:rPr>
              <w:t>人在职员工，劳务派遣、兼职人员不予认可，已缴纳社保为凭证。</w:t>
            </w:r>
          </w:p>
          <w:p w14:paraId="3C06D188">
            <w:pPr>
              <w:wordWrap w:val="0"/>
              <w:jc w:val="left"/>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项目负责人1名，须具备</w:t>
            </w: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年及以上</w:t>
            </w:r>
            <w:r>
              <w:rPr>
                <w:rFonts w:hint="eastAsia" w:ascii="仿宋_GB2312" w:hAnsi="仿宋_GB2312" w:eastAsia="仿宋_GB2312" w:cs="仿宋_GB2312"/>
                <w:szCs w:val="21"/>
                <w:lang w:val="en-US" w:eastAsia="zh-CN"/>
              </w:rPr>
              <w:t>同类型（总建面不少于5万平米）物业</w:t>
            </w:r>
            <w:r>
              <w:rPr>
                <w:rFonts w:hint="eastAsia" w:ascii="仿宋_GB2312" w:hAnsi="仿宋_GB2312" w:eastAsia="仿宋_GB2312" w:cs="仿宋_GB2312"/>
                <w:szCs w:val="21"/>
              </w:rPr>
              <w:t>相关</w:t>
            </w:r>
            <w:r>
              <w:rPr>
                <w:rFonts w:hint="eastAsia" w:ascii="仿宋_GB2312" w:hAnsi="仿宋_GB2312" w:eastAsia="仿宋_GB2312" w:cs="仿宋_GB2312"/>
                <w:szCs w:val="21"/>
                <w:lang w:val="en-US" w:eastAsia="zh-CN"/>
              </w:rPr>
              <w:t>管理</w:t>
            </w:r>
            <w:r>
              <w:rPr>
                <w:rFonts w:hint="eastAsia" w:ascii="仿宋_GB2312" w:hAnsi="仿宋_GB2312" w:eastAsia="仿宋_GB2312" w:cs="仿宋_GB2312"/>
                <w:szCs w:val="21"/>
              </w:rPr>
              <w:t>工作经验</w:t>
            </w:r>
            <w:r>
              <w:rPr>
                <w:rFonts w:hint="eastAsia" w:ascii="仿宋_GB2312" w:hAnsi="仿宋_GB2312" w:eastAsia="仿宋_GB2312" w:cs="仿宋_GB2312"/>
                <w:szCs w:val="21"/>
                <w:lang w:eastAsia="zh-CN"/>
              </w:rPr>
              <w:t>，及</w:t>
            </w:r>
            <w:r>
              <w:rPr>
                <w:rFonts w:hint="eastAsia" w:ascii="仿宋_GB2312" w:hAnsi="仿宋_GB2312" w:eastAsia="仿宋_GB2312" w:cs="仿宋_GB2312"/>
                <w:kern w:val="2"/>
                <w:sz w:val="21"/>
                <w:szCs w:val="21"/>
                <w:lang w:val="en-US" w:eastAsia="zh-CN" w:bidi="ar-SA"/>
              </w:rPr>
              <w:t>2年以上团队管理经验。</w:t>
            </w:r>
          </w:p>
          <w:p w14:paraId="3A22A1DC">
            <w:pPr>
              <w:pStyle w:val="6"/>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（3）电工、焊工、电梯维修工等相关特种技术人员必须持有相应证书。</w:t>
            </w:r>
          </w:p>
          <w:p w14:paraId="6AECBF93">
            <w:pPr>
              <w:wordWrap w:val="0"/>
              <w:jc w:val="lef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（二）证明文件</w:t>
            </w:r>
          </w:p>
          <w:p w14:paraId="47294572">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提供人员学历/学位证书、学信网验证截图、工作简历；项目负责人另需提供相关项目业绩佐证材料。</w:t>
            </w:r>
          </w:p>
          <w:p w14:paraId="71E4007C">
            <w:pPr>
              <w:wordWrap w:val="0"/>
              <w:jc w:val="left"/>
              <w:rPr>
                <w:rFonts w:hint="eastAsia" w:eastAsia="仿宋_GB2312"/>
                <w:lang w:eastAsia="zh-CN"/>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人员的参加工作年限以社保缴纳时间为计算依据，须提供社保部门出具的社保证明文件扫描件，原件备查。</w:t>
            </w:r>
          </w:p>
          <w:p w14:paraId="3F752A3F">
            <w:pPr>
              <w:pStyle w:val="6"/>
              <w:rPr>
                <w:rFonts w:hint="default" w:eastAsia="仿宋_GB2312"/>
                <w:lang w:val="en-US" w:eastAsia="zh-CN"/>
              </w:rPr>
            </w:pPr>
            <w:r>
              <w:rPr>
                <w:rFonts w:hint="eastAsia" w:eastAsia="仿宋_GB2312"/>
                <w:lang w:val="en-US" w:eastAsia="zh-CN"/>
              </w:rPr>
              <w:t>（3）特种作业证书。</w:t>
            </w:r>
          </w:p>
          <w:p w14:paraId="6F922F84">
            <w:pPr>
              <w:wordWrap w:val="0"/>
              <w:jc w:val="left"/>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zh-CN" w:eastAsia="zh-CN"/>
              </w:rPr>
              <w:t>（三）评审标准：</w:t>
            </w:r>
          </w:p>
          <w:p w14:paraId="04EB6D6D">
            <w:pPr>
              <w:wordWrap w:val="0"/>
              <w:jc w:val="left"/>
              <w:rPr>
                <w:rFonts w:hint="eastAsia" w:ascii="仿宋_GB2312" w:hAnsi="仿宋_GB2312" w:eastAsia="仿宋_GB2312" w:cs="仿宋_GB2312"/>
                <w:szCs w:val="21"/>
              </w:rPr>
            </w:pPr>
            <w:r>
              <w:rPr>
                <w:rFonts w:hint="eastAsia" w:ascii="仿宋_GB2312" w:hAnsi="仿宋_GB2312" w:eastAsia="仿宋_GB2312" w:cs="仿宋_GB2312"/>
                <w:kern w:val="2"/>
                <w:sz w:val="21"/>
                <w:szCs w:val="21"/>
                <w:lang w:val="en" w:eastAsia="zh-CN" w:bidi="ar-SA"/>
              </w:rPr>
              <w:t>每满足以上一项内容，得</w:t>
            </w:r>
            <w:r>
              <w:rPr>
                <w:rFonts w:hint="eastAsia" w:ascii="仿宋_GB2312" w:hAnsi="仿宋_GB2312" w:eastAsia="仿宋_GB2312" w:cs="仿宋_GB2312"/>
                <w:kern w:val="2"/>
                <w:sz w:val="21"/>
                <w:szCs w:val="21"/>
                <w:lang w:val="en-US" w:eastAsia="zh-CN" w:bidi="ar-SA"/>
              </w:rPr>
              <w:t>2</w:t>
            </w:r>
            <w:r>
              <w:rPr>
                <w:rFonts w:hint="eastAsia" w:ascii="仿宋_GB2312" w:hAnsi="仿宋_GB2312" w:eastAsia="仿宋_GB2312" w:cs="仿宋_GB2312"/>
                <w:kern w:val="2"/>
                <w:sz w:val="21"/>
                <w:szCs w:val="21"/>
                <w:lang w:val="en" w:eastAsia="zh-CN" w:bidi="ar-SA"/>
              </w:rPr>
              <w:t>分，全部</w:t>
            </w:r>
            <w:r>
              <w:rPr>
                <w:rFonts w:hint="eastAsia" w:ascii="仿宋_GB2312" w:hAnsi="仿宋_GB2312" w:eastAsia="仿宋_GB2312" w:cs="仿宋_GB2312"/>
                <w:kern w:val="2"/>
                <w:sz w:val="21"/>
                <w:szCs w:val="21"/>
                <w:lang w:val="en-US" w:eastAsia="zh-CN" w:bidi="ar-SA"/>
              </w:rPr>
              <w:t>满足</w:t>
            </w:r>
            <w:r>
              <w:rPr>
                <w:rFonts w:hint="eastAsia" w:ascii="仿宋_GB2312" w:hAnsi="仿宋_GB2312" w:eastAsia="仿宋_GB2312" w:cs="仿宋_GB2312"/>
                <w:kern w:val="2"/>
                <w:sz w:val="21"/>
                <w:szCs w:val="21"/>
                <w:lang w:val="en" w:eastAsia="zh-CN" w:bidi="ar-SA"/>
              </w:rPr>
              <w:t>得</w:t>
            </w:r>
            <w:r>
              <w:rPr>
                <w:rFonts w:hint="eastAsia" w:ascii="仿宋_GB2312" w:hAnsi="仿宋_GB2312" w:eastAsia="仿宋_GB2312" w:cs="仿宋_GB2312"/>
                <w:kern w:val="2"/>
                <w:sz w:val="21"/>
                <w:szCs w:val="21"/>
                <w:lang w:val="en-US" w:eastAsia="zh-CN" w:bidi="ar-SA"/>
              </w:rPr>
              <w:t>6</w:t>
            </w:r>
            <w:r>
              <w:rPr>
                <w:rFonts w:hint="eastAsia" w:ascii="仿宋_GB2312" w:hAnsi="仿宋_GB2312" w:eastAsia="仿宋_GB2312" w:cs="仿宋_GB2312"/>
                <w:kern w:val="2"/>
                <w:sz w:val="21"/>
                <w:szCs w:val="21"/>
                <w:lang w:val="en" w:eastAsia="zh-CN" w:bidi="ar-SA"/>
              </w:rPr>
              <w:t>分</w:t>
            </w:r>
            <w:r>
              <w:rPr>
                <w:rFonts w:hint="eastAsia" w:ascii="仿宋_GB2312" w:hAnsi="仿宋_GB2312" w:eastAsia="仿宋_GB2312" w:cs="仿宋_GB2312"/>
                <w:szCs w:val="21"/>
              </w:rPr>
              <w:t>，全部不符合要求或无法提供相应证明材料的不得分。</w:t>
            </w:r>
          </w:p>
        </w:tc>
      </w:tr>
      <w:tr w14:paraId="2DA73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vAlign w:val="center"/>
          </w:tcPr>
          <w:p w14:paraId="1BC8864E">
            <w:pPr>
              <w:wordWrap w:val="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3893" w:type="dxa"/>
            <w:gridSpan w:val="3"/>
            <w:tcBorders>
              <w:top w:val="single" w:color="000000" w:sz="8" w:space="0"/>
              <w:left w:val="single" w:color="000000" w:sz="8" w:space="0"/>
              <w:bottom w:val="single" w:color="000000" w:sz="8" w:space="0"/>
              <w:right w:val="single" w:color="000000" w:sz="8" w:space="0"/>
            </w:tcBorders>
          </w:tcPr>
          <w:p w14:paraId="4E9256FF">
            <w:pPr>
              <w:wordWrap w:val="0"/>
              <w:jc w:val="center"/>
              <w:rPr>
                <w:rFonts w:hint="eastAsia" w:ascii="仿宋_GB2312" w:hAnsi="仿宋_GB2312" w:eastAsia="仿宋_GB2312" w:cs="仿宋_GB2312"/>
              </w:rPr>
            </w:pPr>
            <w:r>
              <w:rPr>
                <w:rFonts w:hint="eastAsia" w:ascii="仿宋_GB2312" w:hAnsi="仿宋_GB2312" w:eastAsia="仿宋_GB2312" w:cs="仿宋_GB2312"/>
              </w:rPr>
              <w:t>综合实力部分</w:t>
            </w:r>
          </w:p>
        </w:tc>
        <w:tc>
          <w:tcPr>
            <w:tcW w:w="4783" w:type="dxa"/>
            <w:tcBorders>
              <w:top w:val="single" w:color="000000" w:sz="8" w:space="0"/>
              <w:left w:val="single" w:color="000000" w:sz="8" w:space="0"/>
              <w:bottom w:val="single" w:color="000000" w:sz="8" w:space="0"/>
              <w:right w:val="single" w:color="000000" w:sz="8" w:space="0"/>
            </w:tcBorders>
          </w:tcPr>
          <w:p w14:paraId="047E16F3">
            <w:pPr>
              <w:wordWrap w:val="0"/>
              <w:jc w:val="center"/>
              <w:rPr>
                <w:rFonts w:hint="eastAsia" w:ascii="仿宋_GB2312" w:hAnsi="仿宋_GB2312" w:eastAsia="仿宋_GB2312" w:cs="仿宋_GB2312"/>
              </w:rPr>
            </w:pPr>
            <w:r>
              <w:rPr>
                <w:rFonts w:hint="eastAsia" w:ascii="仿宋_GB2312" w:hAnsi="仿宋_GB2312" w:eastAsia="仿宋_GB2312" w:cs="仿宋_GB2312"/>
              </w:rPr>
              <w:t>20</w:t>
            </w:r>
          </w:p>
        </w:tc>
      </w:tr>
      <w:tr w14:paraId="38B370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1F9D6CC5">
            <w:pPr>
              <w:rPr>
                <w:rFonts w:hint="eastAsia" w:ascii="仿宋_GB2312" w:hAnsi="仿宋_GB2312" w:eastAsia="仿宋_GB2312" w:cs="仿宋_GB2312"/>
              </w:rPr>
            </w:pPr>
          </w:p>
        </w:tc>
        <w:tc>
          <w:tcPr>
            <w:tcW w:w="680" w:type="dxa"/>
            <w:tcBorders>
              <w:top w:val="outset" w:color="000000" w:sz="6" w:space="0"/>
              <w:left w:val="outset" w:color="000000" w:sz="6" w:space="0"/>
              <w:bottom w:val="outset" w:color="000000" w:sz="6" w:space="0"/>
              <w:right w:val="outset" w:color="000000" w:sz="6" w:space="0"/>
            </w:tcBorders>
            <w:vAlign w:val="center"/>
          </w:tcPr>
          <w:p w14:paraId="2145BD10">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tcBorders>
              <w:top w:val="outset" w:color="000000" w:sz="6" w:space="0"/>
              <w:left w:val="outset" w:color="000000" w:sz="6" w:space="0"/>
              <w:bottom w:val="outset" w:color="000000" w:sz="6" w:space="0"/>
              <w:right w:val="outset" w:color="000000" w:sz="6" w:space="0"/>
            </w:tcBorders>
            <w:vAlign w:val="center"/>
          </w:tcPr>
          <w:p w14:paraId="2E840FC0">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tcBorders>
              <w:top w:val="outset" w:color="000000" w:sz="6" w:space="0"/>
              <w:left w:val="outset" w:color="000000" w:sz="6" w:space="0"/>
              <w:bottom w:val="outset" w:color="000000" w:sz="6" w:space="0"/>
              <w:right w:val="outset" w:color="000000" w:sz="6" w:space="0"/>
            </w:tcBorders>
            <w:vAlign w:val="center"/>
          </w:tcPr>
          <w:p w14:paraId="5F98B32A">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tcBorders>
              <w:top w:val="outset" w:color="000000" w:sz="6" w:space="0"/>
              <w:left w:val="outset" w:color="000000" w:sz="6" w:space="0"/>
              <w:bottom w:val="outset" w:color="000000" w:sz="6" w:space="0"/>
              <w:right w:val="outset" w:color="000000" w:sz="6" w:space="0"/>
            </w:tcBorders>
            <w:vAlign w:val="center"/>
          </w:tcPr>
          <w:p w14:paraId="4F2B086C">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14:paraId="433B14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1DB4076A">
            <w:pPr>
              <w:wordWrap w:val="0"/>
              <w:jc w:val="center"/>
              <w:rPr>
                <w:rFonts w:hint="eastAsia" w:ascii="仿宋_GB2312" w:hAnsi="仿宋_GB2312" w:eastAsia="仿宋_GB2312" w:cs="仿宋_GB2312"/>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563C415A">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tcBorders>
              <w:top w:val="single" w:color="000000" w:sz="8" w:space="0"/>
              <w:left w:val="single" w:color="000000" w:sz="8" w:space="0"/>
              <w:bottom w:val="single" w:color="000000" w:sz="8" w:space="0"/>
              <w:right w:val="single" w:color="000000" w:sz="8" w:space="0"/>
            </w:tcBorders>
            <w:vAlign w:val="center"/>
          </w:tcPr>
          <w:p w14:paraId="7845F54B">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过往同类业绩</w:t>
            </w:r>
          </w:p>
        </w:tc>
        <w:tc>
          <w:tcPr>
            <w:tcW w:w="870" w:type="dxa"/>
            <w:tcBorders>
              <w:top w:val="single" w:color="000000" w:sz="8" w:space="0"/>
              <w:left w:val="single" w:color="000000" w:sz="8" w:space="0"/>
              <w:bottom w:val="single" w:color="000000" w:sz="8" w:space="0"/>
              <w:right w:val="single" w:color="000000" w:sz="8" w:space="0"/>
            </w:tcBorders>
            <w:vAlign w:val="center"/>
          </w:tcPr>
          <w:p w14:paraId="1195388C">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15</w:t>
            </w:r>
          </w:p>
        </w:tc>
        <w:tc>
          <w:tcPr>
            <w:tcW w:w="4783" w:type="dxa"/>
            <w:tcBorders>
              <w:top w:val="single" w:color="000000" w:sz="8" w:space="0"/>
              <w:left w:val="single" w:color="000000" w:sz="8" w:space="0"/>
              <w:bottom w:val="single" w:color="000000" w:sz="8" w:space="0"/>
              <w:right w:val="single" w:color="000000" w:sz="8" w:space="0"/>
            </w:tcBorders>
          </w:tcPr>
          <w:p w14:paraId="55AF403E">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（一）评审内容：</w:t>
            </w:r>
          </w:p>
          <w:p w14:paraId="3A0BB3DA">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投标人近3年内单个管理面积5万㎡及以上产业园、商业综合体、写字楼物业管理项目业绩，最多认可3份，每份得5分，满分15分；提供合同关键页及佐证材料方可计分，材料无法证明业绩规模、类型、服务期的不予得分</w:t>
            </w:r>
            <w:r>
              <w:rPr>
                <w:rFonts w:hint="eastAsia" w:ascii="仿宋_GB2312" w:hAnsi="仿宋_GB2312" w:eastAsia="仿宋_GB2312" w:cs="仿宋_GB2312"/>
                <w:szCs w:val="21"/>
              </w:rPr>
              <w:t>。</w:t>
            </w:r>
          </w:p>
          <w:p w14:paraId="4E9FDF81">
            <w:pPr>
              <w:wordWrap w:val="0"/>
              <w:jc w:val="left"/>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（二）证明文件：</w:t>
            </w:r>
          </w:p>
          <w:p w14:paraId="6B0CDCDB">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投标人提供近</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年</w:t>
            </w:r>
            <w:r>
              <w:rPr>
                <w:rFonts w:hint="eastAsia" w:ascii="仿宋_GB2312" w:hAnsi="仿宋_GB2312" w:eastAsia="仿宋_GB2312" w:cs="仿宋_GB2312"/>
                <w:szCs w:val="21"/>
                <w:lang w:val="en-US" w:eastAsia="zh-CN"/>
              </w:rPr>
              <w:t>项目面积超过5万平米的总体和/产业园/写字楼物业管理服务</w:t>
            </w:r>
            <w:r>
              <w:rPr>
                <w:rFonts w:hint="eastAsia" w:ascii="仿宋_GB2312" w:hAnsi="仿宋_GB2312" w:eastAsia="仿宋_GB2312" w:cs="仿宋_GB2312"/>
                <w:szCs w:val="21"/>
              </w:rPr>
              <w:t>合同关键信息（包括但不限于合同首页、项目服务内容、服务期限、签字盖章页）；</w:t>
            </w:r>
          </w:p>
          <w:p w14:paraId="20A9F8FF">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通过合同关键信息无法判断是否得分的，提供能证明得分的其它证明资料，如项目报告或合同甲方出具的证明文件等。</w:t>
            </w:r>
          </w:p>
          <w:p w14:paraId="70D9B3CC">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备注：本项最高得15分，报价人须确保所提供的证明材料清晰、可以判断，评分中若出现无证明资料或证书过期或专家无法凭所提供资料判断是否得分的情况，一律作不得分处理。</w:t>
            </w:r>
          </w:p>
        </w:tc>
      </w:tr>
      <w:tr w14:paraId="675A2C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center"/>
          </w:tcPr>
          <w:p w14:paraId="365D7103">
            <w:pPr>
              <w:wordWrap w:val="0"/>
              <w:jc w:val="center"/>
              <w:rPr>
                <w:rFonts w:hint="eastAsia" w:ascii="仿宋_GB2312" w:hAnsi="仿宋_GB2312" w:eastAsia="仿宋_GB2312" w:cs="仿宋_GB2312"/>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0A3C07C5">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2343" w:type="dxa"/>
            <w:tcBorders>
              <w:top w:val="single" w:color="000000" w:sz="8" w:space="0"/>
              <w:left w:val="single" w:color="000000" w:sz="8" w:space="0"/>
              <w:bottom w:val="single" w:color="000000" w:sz="8" w:space="0"/>
              <w:right w:val="single" w:color="000000" w:sz="8" w:space="0"/>
            </w:tcBorders>
            <w:vAlign w:val="center"/>
          </w:tcPr>
          <w:p w14:paraId="008708AF">
            <w:pPr>
              <w:keepNext w:val="0"/>
              <w:keepLines w:val="0"/>
              <w:widowControl/>
              <w:suppressLineNumbers w:val="0"/>
              <w:jc w:val="center"/>
              <w:rPr>
                <w:rFonts w:hint="eastAsia" w:ascii="仿宋_GB2312" w:hAnsi="仿宋_GB2312" w:eastAsia="仿宋_GB2312" w:cs="仿宋_GB2312"/>
                <w:szCs w:val="21"/>
              </w:rPr>
            </w:pPr>
            <w:r>
              <w:rPr>
                <w:rFonts w:hint="eastAsia" w:cs="宋体"/>
                <w:color w:val="000000"/>
                <w:kern w:val="2"/>
                <w:sz w:val="21"/>
                <w:szCs w:val="21"/>
                <w:highlight w:val="none"/>
                <w:lang w:val="en-US" w:eastAsia="zh-CN" w:bidi="ar-SA"/>
              </w:rPr>
              <w:t>履约质效</w:t>
            </w:r>
          </w:p>
        </w:tc>
        <w:tc>
          <w:tcPr>
            <w:tcW w:w="870" w:type="dxa"/>
            <w:tcBorders>
              <w:top w:val="single" w:color="000000" w:sz="8" w:space="0"/>
              <w:left w:val="single" w:color="000000" w:sz="8" w:space="0"/>
              <w:bottom w:val="single" w:color="000000" w:sz="8" w:space="0"/>
              <w:right w:val="single" w:color="000000" w:sz="8" w:space="0"/>
            </w:tcBorders>
            <w:vAlign w:val="center"/>
          </w:tcPr>
          <w:p w14:paraId="185CFB1D">
            <w:pPr>
              <w:widowControl w:val="0"/>
              <w:wordWrap w:val="0"/>
              <w:jc w:val="center"/>
              <w:rPr>
                <w:rFonts w:hint="eastAsia" w:ascii="仿宋_GB2312" w:hAnsi="仿宋_GB2312" w:eastAsia="仿宋_GB2312" w:cs="仿宋_GB2312"/>
                <w:szCs w:val="21"/>
              </w:rPr>
            </w:pPr>
            <w:r>
              <w:rPr>
                <w:rFonts w:hint="eastAsia" w:ascii="宋体" w:hAnsi="宋体" w:eastAsia="宋体" w:cs="宋体"/>
                <w:color w:val="000000"/>
                <w:kern w:val="2"/>
                <w:sz w:val="21"/>
                <w:szCs w:val="21"/>
                <w:highlight w:val="none"/>
                <w:lang w:val="en-US" w:eastAsia="zh-CN" w:bidi="ar-SA"/>
              </w:rPr>
              <w:t>5</w:t>
            </w:r>
          </w:p>
        </w:tc>
        <w:tc>
          <w:tcPr>
            <w:tcW w:w="4783" w:type="dxa"/>
            <w:tcBorders>
              <w:top w:val="single" w:color="000000" w:sz="8" w:space="0"/>
              <w:left w:val="single" w:color="000000" w:sz="8" w:space="0"/>
              <w:bottom w:val="single" w:color="000000" w:sz="8" w:space="0"/>
              <w:right w:val="single" w:color="000000" w:sz="8" w:space="0"/>
            </w:tcBorders>
          </w:tcPr>
          <w:p w14:paraId="50D4CB3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（一）评审内容： </w:t>
            </w:r>
          </w:p>
          <w:p w14:paraId="37D8BD9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对本企业在本项目履约中存在的优势做出说明，包括资源调度、技术优势等。</w:t>
            </w:r>
          </w:p>
          <w:p w14:paraId="51B66A74">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（二）评审标准： </w:t>
            </w:r>
          </w:p>
          <w:p w14:paraId="5D1BC713">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default"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未提供响应方案不得分。专家根据内容合理性评分</w:t>
            </w:r>
          </w:p>
          <w:p w14:paraId="2D3BDC80">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优评分标准（5分）:优势符合实际、对项目履约影响大；</w:t>
            </w:r>
          </w:p>
          <w:p w14:paraId="3F53E6A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良评分标准（3分）:优势较符合实际、对项目履约影响较大；</w:t>
            </w:r>
          </w:p>
          <w:p w14:paraId="4FEC7DE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中评分标准（1分）:优势较普通、对项目履约影响一般；</w:t>
            </w:r>
          </w:p>
          <w:p w14:paraId="3FBD9E1A">
            <w:pPr>
              <w:widowControl/>
              <w:jc w:val="left"/>
              <w:rPr>
                <w:rFonts w:hint="eastAsia" w:ascii="仿宋_GB2312" w:hAnsi="仿宋_GB2312" w:eastAsia="仿宋_GB2312" w:cs="仿宋_GB2312"/>
                <w:szCs w:val="21"/>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差评分标准（0分）:未作出说明，或优势对项目履约影响极小。 </w:t>
            </w:r>
          </w:p>
        </w:tc>
      </w:tr>
    </w:tbl>
    <w:p w14:paraId="5E938C6E">
      <w:pPr>
        <w:pStyle w:val="5"/>
        <w:tabs>
          <w:tab w:val="left" w:pos="2138"/>
        </w:tabs>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p w14:paraId="0C40F5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1.每一项的得分均不能超过该项最高分值。</w:t>
      </w:r>
    </w:p>
    <w:p w14:paraId="0D4758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2.缺项则该项为0分或不合格为0分。</w:t>
      </w:r>
    </w:p>
    <w:p w14:paraId="7A2AFC94">
      <w:pPr>
        <w:pStyle w:val="5"/>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3.客观评分项，所有评审专家应当统一打分分值；主观评分项，评标小组应当按照打分标准进行评分。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FA90A">
    <w:pPr>
      <w:pStyle w:val="7"/>
      <w:jc w:val="center"/>
    </w:pPr>
    <w:r>
      <w:fldChar w:fldCharType="begin"/>
    </w:r>
    <w:r>
      <w:instrText xml:space="preserve">PAGE   \* MERGEFORMAT</w:instrText>
    </w:r>
    <w:r>
      <w:fldChar w:fldCharType="separate"/>
    </w:r>
    <w:r>
      <w:rPr>
        <w:lang w:val="zh-CN" w:eastAsia="zh-CN"/>
      </w:rPr>
      <w:t>11</w:t>
    </w:r>
    <w:r>
      <w:rPr>
        <w:lang w:val="zh-CN" w:eastAsia="zh-CN"/>
      </w:rPr>
      <w:fldChar w:fldCharType="end"/>
    </w:r>
  </w:p>
  <w:p w14:paraId="2B67B88F">
    <w:pPr>
      <w:pStyle w:val="5"/>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A42DE7"/>
    <w:rsid w:val="00305FAC"/>
    <w:rsid w:val="004D6EE3"/>
    <w:rsid w:val="0053060A"/>
    <w:rsid w:val="00593371"/>
    <w:rsid w:val="00763419"/>
    <w:rsid w:val="00917D4C"/>
    <w:rsid w:val="00B82570"/>
    <w:rsid w:val="00C62378"/>
    <w:rsid w:val="047658EB"/>
    <w:rsid w:val="11385454"/>
    <w:rsid w:val="127F7594"/>
    <w:rsid w:val="186421A2"/>
    <w:rsid w:val="1CB14CC5"/>
    <w:rsid w:val="1D1F4B85"/>
    <w:rsid w:val="1EADA7E2"/>
    <w:rsid w:val="1FFFD93C"/>
    <w:rsid w:val="242D5F16"/>
    <w:rsid w:val="26C41430"/>
    <w:rsid w:val="29FB3DE6"/>
    <w:rsid w:val="2C9C45F0"/>
    <w:rsid w:val="3B472350"/>
    <w:rsid w:val="3BB95374"/>
    <w:rsid w:val="3BFBC487"/>
    <w:rsid w:val="3E76E26C"/>
    <w:rsid w:val="4019152E"/>
    <w:rsid w:val="46042D5D"/>
    <w:rsid w:val="4B3317B5"/>
    <w:rsid w:val="4B40794B"/>
    <w:rsid w:val="4FAF3539"/>
    <w:rsid w:val="4FEFFA1C"/>
    <w:rsid w:val="50772E8C"/>
    <w:rsid w:val="51573B5F"/>
    <w:rsid w:val="59FE37A2"/>
    <w:rsid w:val="5B33135D"/>
    <w:rsid w:val="5B5EB088"/>
    <w:rsid w:val="5CB08499"/>
    <w:rsid w:val="5D578603"/>
    <w:rsid w:val="5EFCA22E"/>
    <w:rsid w:val="5FFD35F1"/>
    <w:rsid w:val="5FFFD310"/>
    <w:rsid w:val="677D18D3"/>
    <w:rsid w:val="67ED69E1"/>
    <w:rsid w:val="67F7226A"/>
    <w:rsid w:val="69FD7142"/>
    <w:rsid w:val="69FF14B4"/>
    <w:rsid w:val="6CFF2EDF"/>
    <w:rsid w:val="6DED2071"/>
    <w:rsid w:val="6F9F2654"/>
    <w:rsid w:val="6FAB5D0F"/>
    <w:rsid w:val="6FEFEA37"/>
    <w:rsid w:val="6FFB92AB"/>
    <w:rsid w:val="71794D38"/>
    <w:rsid w:val="71A42DE7"/>
    <w:rsid w:val="71EEF03E"/>
    <w:rsid w:val="72094FC1"/>
    <w:rsid w:val="736B9161"/>
    <w:rsid w:val="737E0FAA"/>
    <w:rsid w:val="73D237A7"/>
    <w:rsid w:val="757C1212"/>
    <w:rsid w:val="75F82FDB"/>
    <w:rsid w:val="763DA6F9"/>
    <w:rsid w:val="77DC8952"/>
    <w:rsid w:val="77EFD59E"/>
    <w:rsid w:val="77F51421"/>
    <w:rsid w:val="7AF2ACE7"/>
    <w:rsid w:val="7B7C41F7"/>
    <w:rsid w:val="7C8C10D8"/>
    <w:rsid w:val="7D4018D7"/>
    <w:rsid w:val="7DF7567B"/>
    <w:rsid w:val="7E7F1000"/>
    <w:rsid w:val="7EE8B178"/>
    <w:rsid w:val="7EEE9CB5"/>
    <w:rsid w:val="7EF3AAF6"/>
    <w:rsid w:val="7F263450"/>
    <w:rsid w:val="7F9DC425"/>
    <w:rsid w:val="7FA7B43C"/>
    <w:rsid w:val="7FBFDB9E"/>
    <w:rsid w:val="7FF2FDB2"/>
    <w:rsid w:val="7FFB91CD"/>
    <w:rsid w:val="8F5F1F1D"/>
    <w:rsid w:val="9AFF13E0"/>
    <w:rsid w:val="9FDD0BAA"/>
    <w:rsid w:val="A5D9EEBB"/>
    <w:rsid w:val="AAFE1B8E"/>
    <w:rsid w:val="B67753B4"/>
    <w:rsid w:val="B9FDD31D"/>
    <w:rsid w:val="BDAB7E55"/>
    <w:rsid w:val="BEFE000C"/>
    <w:rsid w:val="CEEEA0BE"/>
    <w:rsid w:val="D5BD0505"/>
    <w:rsid w:val="D6FC8D48"/>
    <w:rsid w:val="D7FB3936"/>
    <w:rsid w:val="D7FF6121"/>
    <w:rsid w:val="DDC57291"/>
    <w:rsid w:val="DDFFFCCB"/>
    <w:rsid w:val="DE7A0468"/>
    <w:rsid w:val="DEB61298"/>
    <w:rsid w:val="DF3DC08D"/>
    <w:rsid w:val="DF4FEDF1"/>
    <w:rsid w:val="DF7D299C"/>
    <w:rsid w:val="DF98201F"/>
    <w:rsid w:val="E68DFC27"/>
    <w:rsid w:val="E7FB9E13"/>
    <w:rsid w:val="E87BB350"/>
    <w:rsid w:val="E9878650"/>
    <w:rsid w:val="EDF13D93"/>
    <w:rsid w:val="EEFF524B"/>
    <w:rsid w:val="EF5F92E0"/>
    <w:rsid w:val="EF9BBCE0"/>
    <w:rsid w:val="EFE50630"/>
    <w:rsid w:val="F17EC3CF"/>
    <w:rsid w:val="F4D599D1"/>
    <w:rsid w:val="F4E239C2"/>
    <w:rsid w:val="F5A9F67B"/>
    <w:rsid w:val="F5DFFFB5"/>
    <w:rsid w:val="F6FF12BD"/>
    <w:rsid w:val="F739BED0"/>
    <w:rsid w:val="F75E6209"/>
    <w:rsid w:val="F77745E7"/>
    <w:rsid w:val="F7AD2261"/>
    <w:rsid w:val="F7DFFAD9"/>
    <w:rsid w:val="F8B57865"/>
    <w:rsid w:val="FA44D3AD"/>
    <w:rsid w:val="FAEEB646"/>
    <w:rsid w:val="FB5DF6EE"/>
    <w:rsid w:val="FB649604"/>
    <w:rsid w:val="FBDFAF44"/>
    <w:rsid w:val="FC7F7164"/>
    <w:rsid w:val="FE270BA5"/>
    <w:rsid w:val="FE57C93F"/>
    <w:rsid w:val="FEDC8EDB"/>
    <w:rsid w:val="FFC6605D"/>
    <w:rsid w:val="FFDF2C61"/>
    <w:rsid w:val="FFE35C64"/>
    <w:rsid w:val="FFEF9D52"/>
    <w:rsid w:val="FFFA5638"/>
    <w:rsid w:val="FFFD3C94"/>
    <w:rsid w:val="FFFE6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非政府正文"/>
    <w:basedOn w:val="1"/>
    <w:autoRedefine/>
    <w:qFormat/>
    <w:uiPriority w:val="0"/>
  </w:style>
  <w:style w:type="paragraph" w:styleId="3">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4">
    <w:name w:val="annotation text"/>
    <w:basedOn w:val="1"/>
    <w:link w:val="16"/>
    <w:qFormat/>
    <w:uiPriority w:val="0"/>
    <w:pPr>
      <w:jc w:val="left"/>
    </w:pPr>
  </w:style>
  <w:style w:type="paragraph" w:styleId="5">
    <w:name w:val="Body Text"/>
    <w:basedOn w:val="1"/>
    <w:unhideWhenUsed/>
    <w:qFormat/>
    <w:uiPriority w:val="99"/>
    <w:pPr>
      <w:spacing w:after="120"/>
    </w:pPr>
  </w:style>
  <w:style w:type="paragraph" w:styleId="6">
    <w:name w:val="Plain Text"/>
    <w:basedOn w:val="1"/>
    <w:next w:val="3"/>
    <w:unhideWhenUsed/>
    <w:qFormat/>
    <w:uiPriority w:val="0"/>
    <w:rPr>
      <w:rFonts w:ascii="宋体" w:hAnsi="Courier New"/>
      <w:szCs w:val="21"/>
    </w:rPr>
  </w:style>
  <w:style w:type="paragraph" w:styleId="7">
    <w:name w:val="footer"/>
    <w:basedOn w:val="1"/>
    <w:link w:val="20"/>
    <w:qFormat/>
    <w:uiPriority w:val="0"/>
    <w:pPr>
      <w:tabs>
        <w:tab w:val="center" w:pos="4153"/>
        <w:tab w:val="right" w:pos="8306"/>
      </w:tabs>
      <w:snapToGrid w:val="0"/>
      <w:jc w:val="left"/>
    </w:pPr>
    <w:rPr>
      <w:sz w:val="18"/>
      <w:szCs w:val="18"/>
    </w:rPr>
  </w:style>
  <w:style w:type="paragraph" w:styleId="8">
    <w:name w:val="header"/>
    <w:basedOn w:val="1"/>
    <w:link w:val="19"/>
    <w:qFormat/>
    <w:uiPriority w:val="0"/>
    <w:pPr>
      <w:tabs>
        <w:tab w:val="center" w:pos="4153"/>
        <w:tab w:val="right" w:pos="8306"/>
      </w:tabs>
      <w:snapToGrid w:val="0"/>
      <w:jc w:val="center"/>
    </w:pPr>
    <w:rPr>
      <w:sz w:val="18"/>
      <w:szCs w:val="18"/>
    </w:rPr>
  </w:style>
  <w:style w:type="paragraph" w:styleId="9">
    <w:name w:val="toc 2"/>
    <w:basedOn w:val="1"/>
    <w:next w:val="1"/>
    <w:qFormat/>
    <w:uiPriority w:val="39"/>
    <w:pPr>
      <w:spacing w:before="120" w:after="120"/>
      <w:ind w:left="210"/>
      <w:jc w:val="left"/>
    </w:pPr>
    <w:rPr>
      <w:rFonts w:ascii="Calibri" w:hAnsi="Calibri" w:cs="Calibri"/>
      <w:smallCaps/>
      <w:szCs w:val="20"/>
    </w:rPr>
  </w:style>
  <w:style w:type="paragraph" w:styleId="10">
    <w:name w:val="annotation subject"/>
    <w:basedOn w:val="4"/>
    <w:next w:val="4"/>
    <w:link w:val="17"/>
    <w:qFormat/>
    <w:uiPriority w:val="0"/>
    <w:rPr>
      <w:b/>
      <w:bCs/>
    </w:rPr>
  </w:style>
  <w:style w:type="character" w:styleId="13">
    <w:name w:val="Strong"/>
    <w:basedOn w:val="12"/>
    <w:autoRedefine/>
    <w:qFormat/>
    <w:uiPriority w:val="0"/>
    <w:rPr>
      <w:rFonts w:ascii="Times New Roman" w:hAnsi="Times New Roman" w:eastAsia="宋体"/>
      <w:b/>
      <w:sz w:val="28"/>
    </w:rPr>
  </w:style>
  <w:style w:type="character" w:styleId="14">
    <w:name w:val="annotation reference"/>
    <w:basedOn w:val="12"/>
    <w:qFormat/>
    <w:uiPriority w:val="0"/>
    <w:rPr>
      <w:sz w:val="21"/>
      <w:szCs w:val="21"/>
    </w:rPr>
  </w:style>
  <w:style w:type="paragraph" w:customStyle="1" w:styleId="15">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12"/>
    <w:link w:val="4"/>
    <w:qFormat/>
    <w:uiPriority w:val="0"/>
    <w:rPr>
      <w:rFonts w:asciiTheme="minorHAnsi" w:hAnsiTheme="minorHAnsi" w:eastAsiaTheme="minorEastAsia" w:cstheme="minorBidi"/>
      <w:kern w:val="2"/>
      <w:sz w:val="21"/>
      <w:szCs w:val="22"/>
    </w:rPr>
  </w:style>
  <w:style w:type="character" w:customStyle="1" w:styleId="17">
    <w:name w:val="批注主题 字符"/>
    <w:basedOn w:val="16"/>
    <w:link w:val="10"/>
    <w:qFormat/>
    <w:uiPriority w:val="0"/>
    <w:rPr>
      <w:rFonts w:asciiTheme="minorHAnsi" w:hAnsiTheme="minorHAnsi" w:eastAsiaTheme="minorEastAsia" w:cstheme="minorBidi"/>
      <w:b/>
      <w:bCs/>
      <w:kern w:val="2"/>
      <w:sz w:val="21"/>
      <w:szCs w:val="22"/>
    </w:rPr>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9">
    <w:name w:val="页眉 字符"/>
    <w:basedOn w:val="12"/>
    <w:link w:val="8"/>
    <w:qFormat/>
    <w:uiPriority w:val="0"/>
    <w:rPr>
      <w:rFonts w:asciiTheme="minorHAnsi" w:hAnsiTheme="minorHAnsi" w:eastAsiaTheme="minorEastAsia" w:cstheme="minorBidi"/>
      <w:kern w:val="2"/>
      <w:sz w:val="18"/>
      <w:szCs w:val="18"/>
    </w:rPr>
  </w:style>
  <w:style w:type="character" w:customStyle="1" w:styleId="20">
    <w:name w:val="页脚 字符"/>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1721</Words>
  <Characters>1809</Characters>
  <Lines>14</Lines>
  <Paragraphs>4</Paragraphs>
  <TotalTime>6</TotalTime>
  <ScaleCrop>false</ScaleCrop>
  <LinksUpToDate>false</LinksUpToDate>
  <CharactersWithSpaces>1814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2025-05-19T07:07:00Z</dcterms:created>
  <dc:creator>马捷</dc:creator>
  <cp:lastModifiedBy>huawei</cp:lastModifiedBy>
  <dcterms:modified xsi:type="dcterms:W3CDTF">2026-08-14T17:21:00Z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7B40D8CBAC9345B78D1A9467FF860255_13</vt:lpwstr>
  </property>
  <property fmtid="{D5CDD505-2E9C-101B-9397-08002B2CF9AE}" pid="4" name="KSOTemplateDocerSaveRecord">
    <vt:lpwstr>eyJoZGlkIjoiYzhjMDViOWRlMWI3NWNlNWM1NGUxNzI3MTViOWZjZjIiLCJ1c2VySWQiOiIyNTY1NDU5MzkifQ==</vt:lpwstr>
  </property>
</Properties>
</file>