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outlineLvl w:val="1"/>
        <w:rPr>
          <w:rFonts w:ascii="黑体" w:hAnsi="黑体" w:eastAsia="黑体"/>
          <w:sz w:val="40"/>
          <w:szCs w:val="40"/>
        </w:rPr>
      </w:pPr>
      <w:bookmarkStart w:id="0" w:name="_GoBack"/>
      <w:bookmarkEnd w:id="0"/>
      <w:r>
        <w:rPr>
          <w:rFonts w:hint="eastAsia" w:ascii="黑体" w:hAnsi="黑体" w:eastAsia="黑体"/>
          <w:sz w:val="40"/>
          <w:szCs w:val="40"/>
        </w:rPr>
        <w:t>评分细则</w:t>
      </w:r>
    </w:p>
    <w:p>
      <w:r>
        <w:rPr>
          <w:rFonts w:hint="eastAsia"/>
        </w:rPr>
        <w:t>本次评标采用综合评分法，分值为满分100分，评分细则内容及分值情况如下：</w:t>
      </w:r>
    </w:p>
    <w:tbl>
      <w:tblPr>
        <w:tblStyle w:val="6"/>
        <w:tblW w:w="964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20" w:type="dxa"/>
          <w:left w:w="108" w:type="dxa"/>
          <w:bottom w:w="20" w:type="dxa"/>
          <w:right w:w="108" w:type="dxa"/>
        </w:tblCellMar>
      </w:tblPr>
      <w:tblGrid>
        <w:gridCol w:w="657"/>
        <w:gridCol w:w="654"/>
        <w:gridCol w:w="1378"/>
        <w:gridCol w:w="1009"/>
        <w:gridCol w:w="594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1"/>
                <w:szCs w:val="21"/>
              </w:rPr>
              <w:t>序号</w:t>
            </w:r>
          </w:p>
        </w:tc>
        <w:tc>
          <w:tcPr>
            <w:tcW w:w="304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1"/>
                <w:szCs w:val="21"/>
              </w:rPr>
              <w:t>评分项</w:t>
            </w:r>
          </w:p>
        </w:tc>
        <w:tc>
          <w:tcPr>
            <w:tcW w:w="59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1"/>
                <w:szCs w:val="21"/>
              </w:rPr>
              <w:t>分值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57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1"/>
                <w:szCs w:val="21"/>
              </w:rPr>
              <w:t>一</w:t>
            </w:r>
          </w:p>
        </w:tc>
        <w:tc>
          <w:tcPr>
            <w:tcW w:w="304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1"/>
                <w:szCs w:val="21"/>
              </w:rPr>
              <w:t>价格</w:t>
            </w:r>
          </w:p>
        </w:tc>
        <w:tc>
          <w:tcPr>
            <w:tcW w:w="59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1"/>
                <w:szCs w:val="21"/>
              </w:rPr>
              <w:t>40分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65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899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line="300" w:lineRule="exact"/>
              <w:rPr>
                <w:rFonts w:ascii="宋体" w:hAnsi="宋体"/>
                <w:sz w:val="21"/>
                <w:szCs w:val="21"/>
                <w:lang w:val="zh-CN"/>
              </w:rPr>
            </w:pPr>
            <w:r>
              <w:rPr>
                <w:rFonts w:ascii="宋体" w:hAnsi="宋体"/>
                <w:sz w:val="21"/>
                <w:szCs w:val="21"/>
                <w:lang w:val="zh-CN"/>
              </w:rPr>
              <w:t>价格分计算方法：采用低价优先法计算，满足</w:t>
            </w:r>
            <w:r>
              <w:rPr>
                <w:rFonts w:hint="eastAsia" w:ascii="宋体" w:hAnsi="宋体"/>
                <w:sz w:val="21"/>
                <w:szCs w:val="21"/>
                <w:lang w:val="zh-CN"/>
              </w:rPr>
              <w:t>招标文件</w:t>
            </w:r>
            <w:r>
              <w:rPr>
                <w:rFonts w:ascii="宋体" w:hAnsi="宋体"/>
                <w:sz w:val="21"/>
                <w:szCs w:val="21"/>
                <w:lang w:val="zh-CN"/>
              </w:rPr>
              <w:t>要求且</w:t>
            </w:r>
            <w:r>
              <w:rPr>
                <w:rFonts w:hint="eastAsia" w:ascii="宋体" w:hAnsi="宋体"/>
                <w:sz w:val="21"/>
                <w:szCs w:val="21"/>
                <w:lang w:val="zh-CN"/>
              </w:rPr>
              <w:t>报价</w:t>
            </w:r>
            <w:r>
              <w:rPr>
                <w:rFonts w:ascii="宋体" w:hAnsi="宋体"/>
                <w:sz w:val="21"/>
                <w:szCs w:val="21"/>
                <w:lang w:val="zh-CN"/>
              </w:rPr>
              <w:t>最低的为基准</w:t>
            </w:r>
            <w:r>
              <w:rPr>
                <w:rFonts w:hint="eastAsia" w:ascii="宋体" w:hAnsi="宋体"/>
                <w:sz w:val="21"/>
                <w:szCs w:val="21"/>
                <w:lang w:val="zh-CN"/>
              </w:rPr>
              <w:t>价</w:t>
            </w:r>
            <w:r>
              <w:rPr>
                <w:rFonts w:ascii="宋体" w:hAnsi="宋体"/>
                <w:sz w:val="21"/>
                <w:szCs w:val="21"/>
                <w:lang w:val="zh-CN"/>
              </w:rPr>
              <w:t>，</w:t>
            </w:r>
            <w:r>
              <w:rPr>
                <w:rFonts w:hint="eastAsia" w:ascii="宋体" w:hAnsi="宋体"/>
                <w:sz w:val="21"/>
                <w:szCs w:val="21"/>
                <w:lang w:val="zh-CN"/>
              </w:rPr>
              <w:t>报价为基准价的</w:t>
            </w:r>
            <w:r>
              <w:rPr>
                <w:rFonts w:ascii="宋体" w:hAnsi="宋体"/>
                <w:sz w:val="21"/>
                <w:szCs w:val="21"/>
                <w:lang w:val="zh-CN"/>
              </w:rPr>
              <w:t>价格分</w:t>
            </w:r>
            <w:r>
              <w:rPr>
                <w:rFonts w:hint="eastAsia" w:ascii="宋体" w:hAnsi="宋体"/>
                <w:sz w:val="21"/>
                <w:szCs w:val="21"/>
                <w:lang w:val="zh-CN"/>
              </w:rPr>
              <w:t>为</w:t>
            </w:r>
            <w:r>
              <w:rPr>
                <w:rFonts w:ascii="宋体" w:hAnsi="宋体"/>
                <w:sz w:val="21"/>
                <w:szCs w:val="21"/>
                <w:lang w:val="zh-CN"/>
              </w:rPr>
              <w:t>满分</w:t>
            </w:r>
            <w:r>
              <w:rPr>
                <w:rFonts w:hint="eastAsia" w:ascii="宋体" w:hAnsi="宋体"/>
                <w:sz w:val="21"/>
                <w:szCs w:val="21"/>
              </w:rPr>
              <w:t>40分</w:t>
            </w:r>
            <w:r>
              <w:rPr>
                <w:rFonts w:ascii="宋体" w:hAnsi="宋体"/>
                <w:sz w:val="21"/>
                <w:szCs w:val="21"/>
                <w:lang w:val="zh-CN"/>
              </w:rPr>
              <w:t>。其它</w:t>
            </w:r>
            <w:r>
              <w:rPr>
                <w:rFonts w:hint="eastAsia" w:ascii="宋体" w:hAnsi="宋体"/>
                <w:sz w:val="21"/>
                <w:szCs w:val="21"/>
                <w:lang w:val="zh-CN"/>
              </w:rPr>
              <w:t>报价单位</w:t>
            </w:r>
            <w:r>
              <w:rPr>
                <w:rFonts w:ascii="宋体" w:hAnsi="宋体"/>
                <w:sz w:val="21"/>
                <w:szCs w:val="21"/>
                <w:lang w:val="zh-CN"/>
              </w:rPr>
              <w:t>的价格分统一按照下列公式计算：</w:t>
            </w:r>
          </w:p>
          <w:p>
            <w:pPr>
              <w:spacing w:line="300" w:lineRule="exact"/>
              <w:ind w:firstLine="1054" w:firstLineChars="50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zh-CN"/>
              </w:rPr>
              <w:t>价格</w:t>
            </w:r>
            <w:r>
              <w:rPr>
                <w:rFonts w:ascii="宋体" w:hAnsi="宋体"/>
                <w:b/>
                <w:bCs/>
                <w:sz w:val="21"/>
                <w:szCs w:val="21"/>
                <w:lang w:val="zh-CN"/>
              </w:rPr>
              <w:t>分=（基准价/报价）×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40</w:t>
            </w:r>
          </w:p>
          <w:p>
            <w:pPr>
              <w:wordWrap w:val="0"/>
              <w:spacing w:line="300" w:lineRule="exact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zh-CN"/>
              </w:rPr>
              <w:t>各单位的</w:t>
            </w:r>
            <w:r>
              <w:rPr>
                <w:rFonts w:ascii="宋体" w:hAnsi="宋体"/>
                <w:sz w:val="21"/>
                <w:szCs w:val="21"/>
                <w:lang w:val="zh-CN"/>
              </w:rPr>
              <w:t>报价不得低于成本价。若报价明显偏低，</w:t>
            </w:r>
            <w:r>
              <w:rPr>
                <w:rFonts w:hint="eastAsia" w:ascii="宋体" w:hAnsi="宋体"/>
                <w:sz w:val="21"/>
                <w:szCs w:val="21"/>
                <w:lang w:val="zh-CN"/>
              </w:rPr>
              <w:t>投标单位</w:t>
            </w:r>
            <w:r>
              <w:rPr>
                <w:rFonts w:ascii="宋体" w:hAnsi="宋体"/>
                <w:sz w:val="21"/>
                <w:szCs w:val="21"/>
                <w:lang w:val="zh-CN"/>
              </w:rPr>
              <w:t>须对报价情况作出</w:t>
            </w:r>
            <w:r>
              <w:rPr>
                <w:rFonts w:hint="eastAsia" w:ascii="宋体" w:hAnsi="宋体"/>
                <w:sz w:val="21"/>
                <w:szCs w:val="21"/>
                <w:lang w:val="zh-CN"/>
              </w:rPr>
              <w:t>合理性</w:t>
            </w:r>
            <w:r>
              <w:rPr>
                <w:rFonts w:ascii="宋体" w:hAnsi="宋体"/>
                <w:sz w:val="21"/>
                <w:szCs w:val="21"/>
                <w:lang w:val="zh-CN"/>
              </w:rPr>
              <w:t>解释并得到</w:t>
            </w:r>
            <w:r>
              <w:rPr>
                <w:rFonts w:hint="eastAsia" w:ascii="宋体" w:hAnsi="宋体"/>
                <w:sz w:val="21"/>
                <w:szCs w:val="21"/>
                <w:lang w:val="zh-CN"/>
              </w:rPr>
              <w:t>评标</w:t>
            </w:r>
            <w:r>
              <w:rPr>
                <w:rFonts w:ascii="宋体" w:hAnsi="宋体"/>
                <w:sz w:val="21"/>
                <w:szCs w:val="21"/>
                <w:lang w:val="zh-CN"/>
              </w:rPr>
              <w:t>委员会认可。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657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1"/>
                <w:szCs w:val="21"/>
              </w:rPr>
              <w:t>二</w:t>
            </w:r>
          </w:p>
        </w:tc>
        <w:tc>
          <w:tcPr>
            <w:tcW w:w="304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1"/>
                <w:szCs w:val="21"/>
              </w:rPr>
              <w:t>资信部分</w:t>
            </w:r>
          </w:p>
        </w:tc>
        <w:tc>
          <w:tcPr>
            <w:tcW w:w="59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1"/>
                <w:szCs w:val="21"/>
              </w:rPr>
              <w:t>50分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65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ordWrap w:val="0"/>
              <w:spacing w:line="300" w:lineRule="exact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</w:rPr>
              <w:t>序号</w:t>
            </w:r>
          </w:p>
        </w:tc>
        <w:tc>
          <w:tcPr>
            <w:tcW w:w="137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</w:rPr>
              <w:t>评分因素</w:t>
            </w:r>
          </w:p>
        </w:tc>
        <w:tc>
          <w:tcPr>
            <w:tcW w:w="100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</w:rPr>
              <w:t>分值</w:t>
            </w:r>
          </w:p>
        </w:tc>
        <w:tc>
          <w:tcPr>
            <w:tcW w:w="594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</w:rPr>
              <w:t>评分标准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trHeight w:val="3061" w:hRule="atLeast"/>
          <w:jc w:val="center"/>
        </w:trPr>
        <w:tc>
          <w:tcPr>
            <w:tcW w:w="65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ordWrap w:val="0"/>
              <w:spacing w:line="300" w:lineRule="exact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</w:rPr>
              <w:t>1</w:t>
            </w:r>
          </w:p>
        </w:tc>
        <w:tc>
          <w:tcPr>
            <w:tcW w:w="1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同类项目业绩</w:t>
            </w:r>
          </w:p>
        </w:tc>
        <w:tc>
          <w:tcPr>
            <w:tcW w:w="10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20</w:t>
            </w:r>
          </w:p>
        </w:tc>
        <w:tc>
          <w:tcPr>
            <w:tcW w:w="59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1、提供近3年（自202</w:t>
            </w:r>
            <w:r>
              <w:rPr>
                <w:rFonts w:ascii="宋体" w:hAnsi="宋体"/>
                <w:sz w:val="21"/>
                <w:szCs w:val="21"/>
              </w:rPr>
              <w:t>3</w:t>
            </w:r>
            <w:r>
              <w:rPr>
                <w:rFonts w:hint="eastAsia" w:ascii="宋体" w:hAnsi="宋体"/>
                <w:sz w:val="21"/>
                <w:szCs w:val="21"/>
              </w:rPr>
              <w:t>年</w:t>
            </w:r>
            <w:r>
              <w:rPr>
                <w:rFonts w:ascii="宋体" w:hAnsi="宋体"/>
                <w:sz w:val="21"/>
                <w:szCs w:val="21"/>
              </w:rPr>
              <w:t>7</w:t>
            </w:r>
            <w:r>
              <w:rPr>
                <w:rFonts w:hint="eastAsia" w:ascii="宋体" w:hAnsi="宋体"/>
                <w:sz w:val="21"/>
                <w:szCs w:val="21"/>
              </w:rPr>
              <w:t>月3</w:t>
            </w:r>
            <w:r>
              <w:rPr>
                <w:rFonts w:ascii="宋体" w:hAnsi="宋体"/>
                <w:sz w:val="21"/>
                <w:szCs w:val="21"/>
              </w:rPr>
              <w:t>0</w:t>
            </w:r>
            <w:r>
              <w:rPr>
                <w:rFonts w:hint="eastAsia" w:ascii="宋体" w:hAnsi="宋体"/>
                <w:sz w:val="21"/>
                <w:szCs w:val="21"/>
              </w:rPr>
              <w:t>日至今）最具代表性的同类项目业绩，提供的业绩数量最多不超过5项，若超过5项则按提供材料顺序审查前5项，每提供一项业绩得4分，最高得20分。</w:t>
            </w:r>
          </w:p>
          <w:p>
            <w:pPr>
              <w:pStyle w:val="3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2、须提供合同关键页（含合同范围、服务内容、合同金额、合同签订时间），未按要求提供或提供的证明材料专家无法判断的不得分。</w:t>
            </w:r>
          </w:p>
          <w:p>
            <w:pPr>
              <w:pStyle w:val="3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备注：同类项目业绩指新建产业园类房建类业绩。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trHeight w:val="4065" w:hRule="atLeast"/>
          <w:jc w:val="center"/>
        </w:trPr>
        <w:tc>
          <w:tcPr>
            <w:tcW w:w="657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ordWrap w:val="0"/>
              <w:spacing w:line="300" w:lineRule="exact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</w:rPr>
              <w:t>2</w:t>
            </w:r>
          </w:p>
        </w:tc>
        <w:tc>
          <w:tcPr>
            <w:tcW w:w="1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获奖情况</w:t>
            </w:r>
          </w:p>
        </w:tc>
        <w:tc>
          <w:tcPr>
            <w:tcW w:w="10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20</w:t>
            </w:r>
          </w:p>
        </w:tc>
        <w:tc>
          <w:tcPr>
            <w:tcW w:w="59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1"/>
                <w:szCs w:val="21"/>
                <w:u w:val="single"/>
              </w:rPr>
            </w:pPr>
            <w:r>
              <w:rPr>
                <w:rFonts w:hint="eastAsia" w:ascii="宋体" w:hAnsi="宋体"/>
                <w:sz w:val="21"/>
                <w:szCs w:val="21"/>
                <w:u w:val="single"/>
              </w:rPr>
              <w:t>投标人近5年内曾获得工程勘察设计行业协会颁发的“优秀工程勘察设计奖（施工图审查）”。</w:t>
            </w:r>
          </w:p>
          <w:p>
            <w:pPr>
              <w:spacing w:line="30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u w:val="single"/>
              </w:rPr>
              <w:t>一等奖得10分；二等奖、三等奖得5分；没有得0分。提供的获奖项目个数最多不超过4个。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trHeight w:val="4065" w:hRule="atLeast"/>
          <w:jc w:val="center"/>
        </w:trPr>
        <w:tc>
          <w:tcPr>
            <w:tcW w:w="657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ordWrap w:val="0"/>
              <w:spacing w:line="300" w:lineRule="exact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</w:rPr>
              <w:t>3</w:t>
            </w:r>
          </w:p>
        </w:tc>
        <w:tc>
          <w:tcPr>
            <w:tcW w:w="1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履约质效情况</w:t>
            </w:r>
          </w:p>
        </w:tc>
        <w:tc>
          <w:tcPr>
            <w:tcW w:w="10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10</w:t>
            </w:r>
          </w:p>
        </w:tc>
        <w:tc>
          <w:tcPr>
            <w:tcW w:w="59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对在本项目履约质效方面的情况做出说明，包括履约质量、履约效率、企业资源调度、企业优势等。</w:t>
            </w:r>
          </w:p>
          <w:p>
            <w:pPr>
              <w:spacing w:line="30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优:优势符合实际、对项目履约影响大。</w:t>
            </w:r>
          </w:p>
          <w:p>
            <w:pPr>
              <w:spacing w:line="30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良:优势较符合实际、对项目履约影响较大。 </w:t>
            </w:r>
          </w:p>
          <w:p>
            <w:pPr>
              <w:spacing w:line="30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中:优势较普通、对项目履约影响一般。</w:t>
            </w:r>
          </w:p>
          <w:p>
            <w:pPr>
              <w:spacing w:line="30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差:优势对项目履约影响极小。</w:t>
            </w:r>
          </w:p>
          <w:p>
            <w:pPr>
              <w:spacing w:line="30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评价为优的得10分，评价为良的得6分，评价为中的得3分，评价为差不得分。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657" w:type="dxa"/>
            <w:vMerge w:val="restart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1"/>
                <w:szCs w:val="21"/>
              </w:rPr>
              <w:t>三</w:t>
            </w:r>
          </w:p>
        </w:tc>
        <w:tc>
          <w:tcPr>
            <w:tcW w:w="304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技术部分</w:t>
            </w:r>
          </w:p>
        </w:tc>
        <w:tc>
          <w:tcPr>
            <w:tcW w:w="59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10分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5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ordWrap w:val="0"/>
              <w:spacing w:line="300" w:lineRule="exact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</w:rPr>
              <w:t>序号</w:t>
            </w:r>
          </w:p>
        </w:tc>
        <w:tc>
          <w:tcPr>
            <w:tcW w:w="1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ordWrap w:val="0"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</w:rPr>
              <w:t>评分因素</w:t>
            </w:r>
          </w:p>
        </w:tc>
        <w:tc>
          <w:tcPr>
            <w:tcW w:w="10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ordWrap w:val="0"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</w:rPr>
              <w:t>分值</w:t>
            </w:r>
          </w:p>
        </w:tc>
        <w:tc>
          <w:tcPr>
            <w:tcW w:w="59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ordWrap w:val="0"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</w:rPr>
              <w:t>评分标准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trHeight w:val="3790" w:hRule="atLeast"/>
          <w:jc w:val="center"/>
        </w:trPr>
        <w:tc>
          <w:tcPr>
            <w:tcW w:w="65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ordWrap w:val="0"/>
              <w:spacing w:line="300" w:lineRule="exact"/>
              <w:rPr>
                <w:rFonts w:ascii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ordWrap w:val="0"/>
              <w:spacing w:line="300" w:lineRule="exact"/>
              <w:jc w:val="center"/>
              <w:rPr>
                <w:rFonts w:asciiTheme="minorEastAsia" w:hAnsiTheme="minorEastAsia" w:cstheme="minorEastAsia"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</w:rPr>
              <w:t>1</w:t>
            </w:r>
          </w:p>
        </w:tc>
        <w:tc>
          <w:tcPr>
            <w:tcW w:w="1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项目实施方案</w:t>
            </w:r>
          </w:p>
        </w:tc>
        <w:tc>
          <w:tcPr>
            <w:tcW w:w="10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10</w:t>
            </w:r>
          </w:p>
        </w:tc>
        <w:tc>
          <w:tcPr>
            <w:tcW w:w="59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对项目情况的了解，项目重难点分析及应对措施和相关的合理化建议，服务质量、服务进度、服务响应保障措施，应急采购服务方案，</w:t>
            </w:r>
            <w:r>
              <w:rPr>
                <w:rFonts w:hint="eastAsia" w:ascii="宋体" w:hAnsi="宋体" w:eastAsia="宋体" w:cs="宋体"/>
                <w:sz w:val="21"/>
              </w:rPr>
              <w:t>后续服务</w:t>
            </w:r>
            <w:r>
              <w:rPr>
                <w:rFonts w:hint="eastAsia" w:ascii="宋体" w:hAnsi="宋体"/>
                <w:sz w:val="21"/>
                <w:szCs w:val="21"/>
              </w:rPr>
              <w:t>，对所有投标单位横向比较评审。</w:t>
            </w:r>
          </w:p>
          <w:p>
            <w:pPr>
              <w:spacing w:line="30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评审标准：</w:t>
            </w:r>
          </w:p>
          <w:p>
            <w:pPr>
              <w:spacing w:line="30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优:方案符合实际，内容完整、规范，思路清晰，合理性强。 </w:t>
            </w:r>
          </w:p>
          <w:p>
            <w:pPr>
              <w:spacing w:line="30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良:方案较符合实际，内容较完整规范，思路较清晰，合理性较强。 </w:t>
            </w:r>
          </w:p>
          <w:p>
            <w:pPr>
              <w:spacing w:line="30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中:方案较普通，内容完整性规范性一般，思路不够清晰，合理性一般。 </w:t>
            </w:r>
          </w:p>
          <w:p>
            <w:pPr>
              <w:spacing w:line="30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差:方案不完整、不规范，思路不清晰，内容合理性较差或未提供。</w:t>
            </w:r>
          </w:p>
          <w:p>
            <w:pPr>
              <w:spacing w:line="30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评价为优的得10分，评价为良的得6分，评价为中的得3分，评价为差不得分。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2NzE1MDRmY2Q5ZjEzZDBjMGM5YTI1ZTQ2MjQ0ZjIifQ=="/>
  </w:docVars>
  <w:rsids>
    <w:rsidRoot w:val="436F50D3"/>
    <w:rsid w:val="00A96713"/>
    <w:rsid w:val="00C038A8"/>
    <w:rsid w:val="00E11559"/>
    <w:rsid w:val="01BE5F0A"/>
    <w:rsid w:val="0241622C"/>
    <w:rsid w:val="03143218"/>
    <w:rsid w:val="04574A2D"/>
    <w:rsid w:val="057B5469"/>
    <w:rsid w:val="060D2627"/>
    <w:rsid w:val="0A805ABD"/>
    <w:rsid w:val="0B4D1E43"/>
    <w:rsid w:val="0B9510F4"/>
    <w:rsid w:val="0F273F5B"/>
    <w:rsid w:val="0FC621C4"/>
    <w:rsid w:val="139674C8"/>
    <w:rsid w:val="16A84DC6"/>
    <w:rsid w:val="18736C61"/>
    <w:rsid w:val="1A1A55E6"/>
    <w:rsid w:val="1B78627D"/>
    <w:rsid w:val="1BA01CD1"/>
    <w:rsid w:val="1C084593"/>
    <w:rsid w:val="1C9D4418"/>
    <w:rsid w:val="1E792CC5"/>
    <w:rsid w:val="1F200646"/>
    <w:rsid w:val="207813A7"/>
    <w:rsid w:val="231D3170"/>
    <w:rsid w:val="23952842"/>
    <w:rsid w:val="239A2548"/>
    <w:rsid w:val="23D305B4"/>
    <w:rsid w:val="25610A8D"/>
    <w:rsid w:val="26B66B7A"/>
    <w:rsid w:val="276FF491"/>
    <w:rsid w:val="28123DA1"/>
    <w:rsid w:val="2A8B1BE9"/>
    <w:rsid w:val="2D6315C6"/>
    <w:rsid w:val="2EAE116D"/>
    <w:rsid w:val="2F034443"/>
    <w:rsid w:val="30030473"/>
    <w:rsid w:val="303962CC"/>
    <w:rsid w:val="31445A63"/>
    <w:rsid w:val="343D1216"/>
    <w:rsid w:val="35BB5FEA"/>
    <w:rsid w:val="37D7D08A"/>
    <w:rsid w:val="39537D00"/>
    <w:rsid w:val="39A7698F"/>
    <w:rsid w:val="3A654204"/>
    <w:rsid w:val="3A662108"/>
    <w:rsid w:val="3C064057"/>
    <w:rsid w:val="3C406EAC"/>
    <w:rsid w:val="3E25190D"/>
    <w:rsid w:val="3FA4757D"/>
    <w:rsid w:val="407E38C9"/>
    <w:rsid w:val="418E0468"/>
    <w:rsid w:val="436F50D3"/>
    <w:rsid w:val="442D74B5"/>
    <w:rsid w:val="45C17953"/>
    <w:rsid w:val="4625648A"/>
    <w:rsid w:val="476025F6"/>
    <w:rsid w:val="47F7AB5B"/>
    <w:rsid w:val="488E75B5"/>
    <w:rsid w:val="4CB812BF"/>
    <w:rsid w:val="4CC759FC"/>
    <w:rsid w:val="4CDC5B7B"/>
    <w:rsid w:val="4F5C0E57"/>
    <w:rsid w:val="50C636F7"/>
    <w:rsid w:val="51F00B7D"/>
    <w:rsid w:val="52BA32D9"/>
    <w:rsid w:val="5348448E"/>
    <w:rsid w:val="53DA3115"/>
    <w:rsid w:val="53EC271A"/>
    <w:rsid w:val="561876A0"/>
    <w:rsid w:val="59B241EC"/>
    <w:rsid w:val="5C574E82"/>
    <w:rsid w:val="5CF67151"/>
    <w:rsid w:val="624076BF"/>
    <w:rsid w:val="62884524"/>
    <w:rsid w:val="62DC6BCC"/>
    <w:rsid w:val="63612860"/>
    <w:rsid w:val="658D479C"/>
    <w:rsid w:val="676866E4"/>
    <w:rsid w:val="6C6825F9"/>
    <w:rsid w:val="6E5C9AA0"/>
    <w:rsid w:val="6F0649FE"/>
    <w:rsid w:val="709F6CEC"/>
    <w:rsid w:val="72FF629D"/>
    <w:rsid w:val="73517C5D"/>
    <w:rsid w:val="74685700"/>
    <w:rsid w:val="74A94EAA"/>
    <w:rsid w:val="75594E18"/>
    <w:rsid w:val="799A7BDC"/>
    <w:rsid w:val="7A7B066C"/>
    <w:rsid w:val="7AAF2EB4"/>
    <w:rsid w:val="7BE0524E"/>
    <w:rsid w:val="7DF02BBB"/>
    <w:rsid w:val="7E515B16"/>
    <w:rsid w:val="7E722019"/>
    <w:rsid w:val="7FF57F11"/>
    <w:rsid w:val="F9F79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sz w:val="20"/>
      <w:szCs w:val="20"/>
    </w:rPr>
  </w:style>
  <w:style w:type="paragraph" w:styleId="3">
    <w:name w:val="Body Text"/>
    <w:basedOn w:val="1"/>
    <w:unhideWhenUsed/>
    <w:qFormat/>
    <w:uiPriority w:val="0"/>
    <w:pPr>
      <w:spacing w:after="120"/>
    </w:pPr>
  </w:style>
  <w:style w:type="paragraph" w:styleId="4">
    <w:name w:val="Normal (Web)"/>
    <w:basedOn w:val="1"/>
    <w:qFormat/>
    <w:uiPriority w:val="0"/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8">
    <w:name w:val="样式2"/>
    <w:basedOn w:val="1"/>
    <w:next w:val="1"/>
    <w:qFormat/>
    <w:uiPriority w:val="0"/>
    <w:rPr>
      <w:rFonts w:eastAsia="仿宋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mini-outputtext1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</Words>
  <Characters>858</Characters>
  <Lines>7</Lines>
  <Paragraphs>2</Paragraphs>
  <TotalTime>14</TotalTime>
  <ScaleCrop>false</ScaleCrop>
  <LinksUpToDate>false</LinksUpToDate>
  <CharactersWithSpaces>1006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2023-05-12T16:28:00Z</dcterms:created>
  <dc:creator>WPS_1479043360</dc:creator>
  <cp:lastModifiedBy>Qqqqqq</cp:lastModifiedBy>
  <cp:lastPrinted>2024-10-16T23:10:00Z</cp:lastPrinted>
  <dcterms:modified xsi:type="dcterms:W3CDTF">2026-07-28T09:29:09Z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7FBC44E714C9443A886FCF874478A25A_13</vt:lpwstr>
  </property>
</Properties>
</file>