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center"/>
        <w:outlineLvl w:val="9"/>
        <w:rPr>
          <w:rFonts w:hint="eastAsia" w:ascii="宋体" w:hAnsi="宋体" w:eastAsia="宋体" w:cs="宋体"/>
          <w:color w:val="auto"/>
          <w:sz w:val="44"/>
          <w:szCs w:val="52"/>
        </w:rPr>
      </w:pPr>
      <w:r>
        <w:rPr>
          <w:rFonts w:hint="eastAsia" w:ascii="宋体" w:hAnsi="宋体" w:eastAsia="宋体" w:cs="宋体"/>
          <w:color w:val="auto"/>
          <w:sz w:val="44"/>
          <w:szCs w:val="52"/>
        </w:rPr>
        <w:t>询价函</w:t>
      </w:r>
    </w:p>
    <w:p>
      <w:pPr>
        <w:spacing w:line="560" w:lineRule="exact"/>
        <w:jc w:val="center"/>
        <w:rPr>
          <w:rFonts w:hint="eastAsia" w:ascii="仿宋_GB2312" w:hAnsi="仿宋_GB2312" w:eastAsia="仿宋_GB2312" w:cs="仿宋_GB2312"/>
          <w:sz w:val="44"/>
          <w:szCs w:val="52"/>
        </w:rPr>
      </w:pPr>
    </w:p>
    <w:p>
      <w:pPr>
        <w:spacing w:line="600" w:lineRule="exact"/>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各供应商：</w:t>
      </w:r>
    </w:p>
    <w:p>
      <w:pPr>
        <w:spacing w:line="60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我司拟就</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u w:val="single"/>
        </w:rPr>
        <w:t>罗湖产投公司新办公区域装修项目</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进行询价，欢迎贵公司就以下采购内容进行报价。现将有关事项说明如下：</w:t>
      </w:r>
    </w:p>
    <w:p>
      <w:pPr>
        <w:spacing w:line="600" w:lineRule="exact"/>
        <w:ind w:firstLine="640" w:firstLineChars="200"/>
        <w:rPr>
          <w:rFonts w:hint="eastAsia" w:ascii="仿宋_GB2312" w:hAnsi="仿宋_GB2312" w:eastAsia="黑体" w:cs="仿宋_GB2312"/>
          <w:sz w:val="32"/>
          <w:szCs w:val="32"/>
          <w:lang w:eastAsia="zh-CN"/>
        </w:rPr>
      </w:pPr>
      <w:r>
        <w:rPr>
          <w:rFonts w:hint="eastAsia" w:ascii="黑体" w:hAnsi="黑体" w:eastAsia="黑体" w:cs="黑体"/>
          <w:sz w:val="32"/>
          <w:szCs w:val="40"/>
        </w:rPr>
        <w:t>一、项目名称：</w:t>
      </w:r>
      <w:r>
        <w:rPr>
          <w:rFonts w:hint="eastAsia" w:ascii="仿宋_GB2312" w:hAnsi="仿宋_GB2312" w:eastAsia="仿宋_GB2312" w:cs="仿宋_GB2312"/>
          <w:sz w:val="32"/>
          <w:szCs w:val="40"/>
          <w:u w:val="none"/>
        </w:rPr>
        <w:t>罗湖产投公司新办公区域装修项目</w:t>
      </w:r>
    </w:p>
    <w:p>
      <w:pPr>
        <w:numPr>
          <w:ilvl w:val="0"/>
          <w:numId w:val="0"/>
        </w:numPr>
        <w:spacing w:line="560" w:lineRule="exact"/>
        <w:ind w:firstLine="640" w:firstLineChars="200"/>
        <w:jc w:val="left"/>
        <w:rPr>
          <w:rFonts w:hint="eastAsia" w:ascii="黑体" w:hAnsi="黑体" w:eastAsia="黑体" w:cs="黑体"/>
          <w:sz w:val="32"/>
          <w:szCs w:val="40"/>
        </w:rPr>
      </w:pPr>
      <w:r>
        <w:rPr>
          <w:rFonts w:hint="eastAsia" w:ascii="黑体" w:hAnsi="黑体" w:eastAsia="黑体" w:cs="黑体"/>
          <w:sz w:val="32"/>
          <w:szCs w:val="40"/>
          <w:lang w:eastAsia="zh-Hans"/>
        </w:rPr>
        <w:t>二</w:t>
      </w:r>
      <w:r>
        <w:rPr>
          <w:rFonts w:hint="eastAsia" w:ascii="黑体" w:hAnsi="黑体" w:eastAsia="黑体" w:cs="黑体"/>
          <w:sz w:val="32"/>
          <w:szCs w:val="40"/>
        </w:rPr>
        <w:t>、采购内容：</w:t>
      </w:r>
    </w:p>
    <w:p>
      <w:pPr>
        <w:numPr>
          <w:ilvl w:val="0"/>
          <w:numId w:val="0"/>
        </w:numPr>
        <w:spacing w:line="560" w:lineRule="exact"/>
        <w:ind w:firstLine="640" w:firstLineChars="200"/>
        <w:jc w:val="left"/>
        <w:rPr>
          <w:rFonts w:hint="eastAsia" w:ascii="仿宋_GB2312" w:eastAsia="仿宋_GB2312" w:cs="仿宋_GB2312"/>
          <w:color w:val="000000"/>
          <w:kern w:val="0"/>
          <w:sz w:val="32"/>
          <w:szCs w:val="32"/>
        </w:rPr>
      </w:pPr>
      <w:r>
        <w:rPr>
          <w:rFonts w:hint="eastAsia" w:ascii="仿宋_GB2312" w:eastAsia="仿宋_GB2312" w:cs="仿宋_GB2312"/>
          <w:color w:val="000000"/>
          <w:kern w:val="0"/>
          <w:sz w:val="32"/>
          <w:szCs w:val="32"/>
        </w:rPr>
        <w:t>招标内容包括但不限于：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eastAsia="仿宋_GB2312" w:cs="仿宋_GB2312"/>
          <w:color w:val="000000"/>
          <w:kern w:val="0"/>
          <w:sz w:val="32"/>
          <w:szCs w:val="32"/>
        </w:rPr>
      </w:pPr>
      <w:r>
        <w:rPr>
          <w:rFonts w:hint="eastAsia" w:ascii="仿宋_GB2312" w:eastAsia="仿宋_GB2312" w:cs="仿宋_GB2312"/>
          <w:color w:val="000000"/>
          <w:kern w:val="0"/>
          <w:sz w:val="32"/>
          <w:szCs w:val="32"/>
        </w:rPr>
        <w:t>拆除与清理工程：对场地内不符合设计要求的局部结构进行拆除，并全面清理建筑垃圾。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eastAsia="仿宋_GB2312" w:cs="仿宋_GB2312"/>
          <w:color w:val="000000"/>
          <w:kern w:val="0"/>
          <w:sz w:val="32"/>
          <w:szCs w:val="32"/>
        </w:rPr>
      </w:pPr>
      <w:r>
        <w:rPr>
          <w:rFonts w:hint="eastAsia" w:ascii="仿宋_GB2312" w:eastAsia="仿宋_GB2312" w:cs="仿宋_GB2312"/>
          <w:color w:val="000000"/>
          <w:kern w:val="0"/>
          <w:sz w:val="32"/>
          <w:szCs w:val="32"/>
        </w:rPr>
        <w:t>隔断与门窗工程：根据设计方案，新建轻质隔墙，将空间划分为三个相对独立的功能区域，并安装通透的玻璃门。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eastAsia="仿宋_GB2312" w:cs="仿宋_GB2312"/>
          <w:color w:val="000000"/>
          <w:kern w:val="0"/>
          <w:sz w:val="32"/>
          <w:szCs w:val="32"/>
        </w:rPr>
      </w:pPr>
      <w:r>
        <w:rPr>
          <w:rFonts w:hint="eastAsia" w:ascii="仿宋_GB2312" w:eastAsia="仿宋_GB2312" w:cs="仿宋_GB2312"/>
          <w:color w:val="000000"/>
          <w:kern w:val="0"/>
          <w:sz w:val="32"/>
          <w:szCs w:val="32"/>
        </w:rPr>
        <w:t>天花与墙面工程：天花整理管线后喷涂防火、防霉涂料，墙面采用无机涂料粉刷。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eastAsia="仿宋_GB2312" w:cs="仿宋_GB2312"/>
          <w:color w:val="000000"/>
          <w:kern w:val="0"/>
          <w:sz w:val="32"/>
          <w:szCs w:val="32"/>
        </w:rPr>
      </w:pPr>
      <w:r>
        <w:rPr>
          <w:rFonts w:hint="eastAsia" w:ascii="仿宋_GB2312" w:eastAsia="仿宋_GB2312" w:cs="仿宋_GB2312"/>
          <w:color w:val="000000"/>
          <w:kern w:val="0"/>
          <w:sz w:val="32"/>
          <w:szCs w:val="32"/>
        </w:rPr>
        <w:t>电气与智能化工程：敷设所有照明线路、电源插座及网络信息点位，并负责政务专用无线AP的布线、安装与调试，确保政务网络全覆盖。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eastAsia="仿宋_GB2312" w:cs="仿宋_GB2312"/>
          <w:color w:val="000000"/>
          <w:kern w:val="0"/>
          <w:sz w:val="32"/>
          <w:szCs w:val="32"/>
        </w:rPr>
      </w:pPr>
      <w:r>
        <w:rPr>
          <w:rFonts w:hint="eastAsia" w:ascii="仿宋_GB2312" w:eastAsia="仿宋_GB2312" w:cs="仿宋_GB2312"/>
          <w:color w:val="000000"/>
          <w:kern w:val="0"/>
          <w:sz w:val="32"/>
          <w:szCs w:val="32"/>
        </w:rPr>
        <w:t>消防改造工程：依据装修布局图，对消防喷淋系统、烟感报警系统等进行深化设计、移位、新增和安装调试，并负责完成最终的消防报审与验收工作。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eastAsia="仿宋_GB2312" w:cs="仿宋_GB2312"/>
          <w:color w:val="000000"/>
          <w:kern w:val="0"/>
          <w:sz w:val="32"/>
          <w:szCs w:val="32"/>
        </w:rPr>
      </w:pPr>
      <w:r>
        <w:rPr>
          <w:rFonts w:hint="eastAsia" w:ascii="仿宋_GB2312" w:eastAsia="仿宋_GB2312" w:cs="仿宋_GB2312"/>
          <w:color w:val="000000"/>
          <w:kern w:val="0"/>
          <w:sz w:val="32"/>
          <w:szCs w:val="32"/>
        </w:rPr>
        <w:t>过道翻新工程：对室内地面进行精细化自流平处理，铺设耐磨、环保的PVC地胶。同时，对公共过道地面（面积167.37平方米）进行一体化翻新处理。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eastAsia="仿宋_GB2312" w:cs="仿宋_GB2312"/>
          <w:color w:val="000000"/>
          <w:kern w:val="0"/>
          <w:sz w:val="32"/>
          <w:szCs w:val="32"/>
        </w:rPr>
      </w:pPr>
      <w:r>
        <w:rPr>
          <w:rFonts w:hint="eastAsia" w:ascii="仿宋_GB2312" w:eastAsia="仿宋_GB2312" w:cs="仿宋_GB2312"/>
          <w:color w:val="000000"/>
          <w:kern w:val="0"/>
          <w:sz w:val="32"/>
          <w:szCs w:val="32"/>
        </w:rPr>
        <w:t>协助办理项目相关的报批、报备、验收等全部手续</w:t>
      </w:r>
      <w:r>
        <w:rPr>
          <w:rFonts w:hint="eastAsia" w:ascii="仿宋_GB2312" w:eastAsia="仿宋_GB2312" w:cs="仿宋_GB2312"/>
          <w:color w:val="000000"/>
          <w:kern w:val="0"/>
          <w:sz w:val="32"/>
          <w:szCs w:val="32"/>
          <w:lang w:eastAsia="zh-CN"/>
        </w:rPr>
        <w:t>和</w:t>
      </w:r>
      <w:r>
        <w:rPr>
          <w:rFonts w:hint="eastAsia" w:ascii="仿宋_GB2312" w:eastAsia="仿宋_GB2312" w:cs="仿宋_GB2312"/>
          <w:color w:val="000000"/>
          <w:kern w:val="0"/>
          <w:sz w:val="32"/>
          <w:szCs w:val="32"/>
        </w:rPr>
        <w:t>本项目装修有关的其他事项。</w:t>
      </w:r>
    </w:p>
    <w:p>
      <w:pPr>
        <w:spacing w:line="600" w:lineRule="exact"/>
        <w:ind w:firstLine="640" w:firstLineChars="200"/>
        <w:rPr>
          <w:rFonts w:hint="eastAsia" w:ascii="仿宋_GB2312" w:hAnsi="仿宋_GB2312" w:eastAsia="仿宋_GB2312" w:cs="仿宋_GB2312"/>
          <w:sz w:val="32"/>
          <w:szCs w:val="40"/>
        </w:rPr>
      </w:pPr>
      <w:r>
        <w:rPr>
          <w:rFonts w:hint="eastAsia" w:ascii="黑体" w:hAnsi="黑体" w:eastAsia="黑体" w:cs="黑体"/>
          <w:sz w:val="32"/>
          <w:szCs w:val="40"/>
        </w:rPr>
        <w:t>三、项目预算限额：</w:t>
      </w:r>
      <w:r>
        <w:rPr>
          <w:rFonts w:hint="eastAsia" w:ascii="仿宋_GB2312" w:hAnsi="仿宋_GB2312" w:eastAsia="仿宋_GB2312" w:cs="仿宋_GB2312"/>
          <w:sz w:val="32"/>
          <w:szCs w:val="40"/>
        </w:rPr>
        <w:t>人民币</w:t>
      </w:r>
      <w:r>
        <w:rPr>
          <w:rFonts w:hint="eastAsia" w:ascii="仿宋_GB2312" w:hAnsi="仿宋_GB2312" w:eastAsia="仿宋_GB2312" w:cs="仿宋_GB2312"/>
          <w:sz w:val="32"/>
          <w:szCs w:val="40"/>
          <w:lang w:val="en-US" w:eastAsia="zh-CN"/>
        </w:rPr>
        <w:t>223300.00</w:t>
      </w:r>
      <w:r>
        <w:rPr>
          <w:rFonts w:hint="eastAsia" w:ascii="仿宋_GB2312" w:hAnsi="仿宋_GB2312" w:eastAsia="仿宋_GB2312" w:cs="仿宋_GB2312"/>
          <w:sz w:val="32"/>
          <w:szCs w:val="40"/>
        </w:rPr>
        <w:t>元（上限价）。</w:t>
      </w:r>
    </w:p>
    <w:p>
      <w:pPr>
        <w:spacing w:line="600" w:lineRule="exact"/>
        <w:ind w:firstLine="640" w:firstLineChars="200"/>
        <w:rPr>
          <w:rFonts w:hint="eastAsia" w:ascii="黑体" w:hAnsi="黑体" w:eastAsia="黑体" w:cs="黑体"/>
          <w:sz w:val="32"/>
          <w:szCs w:val="40"/>
        </w:rPr>
      </w:pPr>
      <w:r>
        <w:rPr>
          <w:rFonts w:hint="eastAsia" w:ascii="黑体" w:hAnsi="黑体" w:eastAsia="黑体" w:cs="黑体"/>
          <w:sz w:val="32"/>
          <w:szCs w:val="40"/>
        </w:rPr>
        <w:t>四、服务期：</w:t>
      </w:r>
      <w:r>
        <w:rPr>
          <w:rFonts w:hint="eastAsia" w:ascii="仿宋_GB2312" w:hAnsi="仿宋_GB2312" w:eastAsia="仿宋_GB2312" w:cs="仿宋_GB2312"/>
          <w:sz w:val="32"/>
          <w:szCs w:val="40"/>
        </w:rPr>
        <w:t>自合同签订之日起至所有装修工程完成并验收合格之日止。</w:t>
      </w:r>
    </w:p>
    <w:p>
      <w:pPr>
        <w:spacing w:line="600" w:lineRule="exact"/>
        <w:ind w:firstLine="640" w:firstLineChars="200"/>
        <w:rPr>
          <w:rFonts w:hint="eastAsia" w:ascii="黑体" w:hAnsi="黑体" w:eastAsia="黑体" w:cs="黑体"/>
          <w:sz w:val="32"/>
          <w:szCs w:val="40"/>
        </w:rPr>
      </w:pPr>
      <w:r>
        <w:rPr>
          <w:rFonts w:hint="eastAsia" w:ascii="黑体" w:hAnsi="黑体" w:eastAsia="黑体" w:cs="黑体"/>
          <w:sz w:val="32"/>
          <w:szCs w:val="40"/>
        </w:rPr>
        <w:t>五、特别提醒</w:t>
      </w:r>
    </w:p>
    <w:p>
      <w:pPr>
        <w:keepNext w:val="0"/>
        <w:keepLines w:val="0"/>
        <w:widowControl w:val="0"/>
        <w:suppressLineNumbers w:val="0"/>
        <w:spacing w:before="0" w:beforeAutospacing="0" w:after="0" w:afterAutospacing="0" w:line="560" w:lineRule="exact"/>
        <w:ind w:left="0" w:right="0" w:firstLine="640" w:firstLineChars="200"/>
        <w:jc w:val="left"/>
        <w:rPr>
          <w:rFonts w:hint="eastAsia" w:ascii="楷体_GB2312" w:hAnsi="楷体_GB2312" w:eastAsia="楷体_GB2312" w:cs="楷体_GB2312"/>
          <w:kern w:val="2"/>
          <w:sz w:val="32"/>
          <w:szCs w:val="32"/>
        </w:rPr>
      </w:pPr>
      <w:r>
        <w:rPr>
          <w:rFonts w:hint="eastAsia" w:ascii="楷体_GB2312" w:hAnsi="楷体_GB2312" w:eastAsia="楷体_GB2312" w:cs="楷体_GB2312"/>
          <w:kern w:val="2"/>
          <w:sz w:val="32"/>
          <w:szCs w:val="32"/>
          <w:lang w:val="en-US" w:eastAsia="zh-CN" w:bidi="ar"/>
        </w:rPr>
        <w:t>（一）报价要求</w:t>
      </w:r>
    </w:p>
    <w:p>
      <w:pPr>
        <w:pageBreakBefore w:val="0"/>
        <w:kinsoku/>
        <w:wordWrap w:val="0"/>
        <w:overflowPunct/>
        <w:topLinePunct w:val="0"/>
        <w:autoSpaceDE/>
        <w:autoSpaceDN/>
        <w:bidi w:val="0"/>
        <w:snapToGrid/>
        <w:spacing w:line="360" w:lineRule="auto"/>
        <w:ind w:firstLine="640" w:firstLineChars="200"/>
        <w:jc w:val="left"/>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rPr>
        <w:t>报价一经认可，即为签订合同的最终依据。</w:t>
      </w:r>
      <w:r>
        <w:rPr>
          <w:rFonts w:hint="eastAsia" w:ascii="仿宋_GB2312" w:hAnsi="仿宋_GB2312" w:eastAsia="仿宋_GB2312" w:cs="仿宋_GB2312"/>
          <w:sz w:val="32"/>
          <w:szCs w:val="40"/>
          <w:u w:val="none"/>
          <w:lang w:val="en-US" w:eastAsia="zh-CN"/>
        </w:rPr>
        <w:t>请各</w:t>
      </w:r>
      <w:r>
        <w:rPr>
          <w:rFonts w:hint="eastAsia" w:ascii="仿宋_GB2312" w:hAnsi="仿宋_GB2312" w:eastAsia="仿宋_GB2312" w:cs="仿宋_GB2312"/>
          <w:sz w:val="32"/>
          <w:szCs w:val="40"/>
          <w:lang w:val="en-US" w:eastAsia="zh-CN"/>
        </w:rPr>
        <w:t>报价单位</w:t>
      </w:r>
      <w:r>
        <w:rPr>
          <w:rFonts w:hint="eastAsia" w:ascii="仿宋_GB2312" w:hAnsi="仿宋_GB2312" w:eastAsia="仿宋_GB2312" w:cs="仿宋_GB2312"/>
          <w:sz w:val="32"/>
          <w:szCs w:val="40"/>
          <w:u w:val="none"/>
          <w:lang w:val="en-US" w:eastAsia="zh-CN"/>
        </w:rPr>
        <w:t>严格按照附件格式要求进行填写并加盖公章</w:t>
      </w:r>
      <w:r>
        <w:rPr>
          <w:rFonts w:hint="eastAsia" w:ascii="仿宋_GB2312" w:hAnsi="仿宋_GB2312" w:eastAsia="仿宋_GB2312" w:cs="仿宋_GB2312"/>
          <w:sz w:val="32"/>
          <w:szCs w:val="40"/>
          <w:lang w:val="en-US" w:eastAsia="zh-CN"/>
        </w:rPr>
        <w:t>密封</w:t>
      </w:r>
      <w:r>
        <w:rPr>
          <w:rFonts w:hint="eastAsia" w:ascii="仿宋_GB2312" w:hAnsi="仿宋_GB2312" w:eastAsia="仿宋_GB2312" w:cs="仿宋_GB2312"/>
          <w:sz w:val="32"/>
          <w:szCs w:val="40"/>
        </w:rPr>
        <w:t>，于</w:t>
      </w:r>
      <w:r>
        <w:rPr>
          <w:rFonts w:hint="eastAsia" w:ascii="仿宋_GB2312" w:hAnsi="仿宋_GB2312" w:eastAsia="仿宋_GB2312" w:cs="仿宋_GB2312"/>
          <w:sz w:val="32"/>
          <w:szCs w:val="40"/>
          <w:u w:val="none"/>
        </w:rPr>
        <w:t>20</w:t>
      </w:r>
      <w:r>
        <w:rPr>
          <w:rFonts w:hint="eastAsia" w:ascii="仿宋_GB2312" w:hAnsi="仿宋_GB2312" w:eastAsia="仿宋_GB2312" w:cs="仿宋_GB2312"/>
          <w:sz w:val="32"/>
          <w:szCs w:val="40"/>
          <w:u w:val="none"/>
          <w:lang w:val="en-US" w:eastAsia="zh-CN"/>
        </w:rPr>
        <w:t>26</w:t>
      </w:r>
      <w:r>
        <w:rPr>
          <w:rFonts w:hint="eastAsia" w:ascii="仿宋_GB2312" w:hAnsi="仿宋_GB2312" w:eastAsia="仿宋_GB2312" w:cs="仿宋_GB2312"/>
          <w:sz w:val="32"/>
          <w:szCs w:val="40"/>
          <w:u w:val="none"/>
        </w:rPr>
        <w:t>年</w:t>
      </w:r>
      <w:r>
        <w:rPr>
          <w:rFonts w:hint="eastAsia" w:ascii="仿宋_GB2312" w:hAnsi="仿宋_GB2312" w:eastAsia="仿宋_GB2312" w:cs="仿宋_GB2312"/>
          <w:sz w:val="32"/>
          <w:szCs w:val="40"/>
          <w:u w:val="none"/>
          <w:lang w:val="en-US" w:eastAsia="zh-CN"/>
        </w:rPr>
        <w:t>9</w:t>
      </w:r>
      <w:r>
        <w:rPr>
          <w:rFonts w:hint="eastAsia" w:ascii="仿宋_GB2312" w:hAnsi="仿宋_GB2312" w:eastAsia="仿宋_GB2312" w:cs="仿宋_GB2312"/>
          <w:sz w:val="32"/>
          <w:szCs w:val="40"/>
          <w:u w:val="none"/>
        </w:rPr>
        <w:t>月</w:t>
      </w:r>
      <w:r>
        <w:rPr>
          <w:rFonts w:hint="eastAsia" w:ascii="仿宋_GB2312" w:hAnsi="仿宋_GB2312" w:eastAsia="仿宋_GB2312" w:cs="仿宋_GB2312"/>
          <w:sz w:val="32"/>
          <w:szCs w:val="40"/>
          <w:u w:val="none"/>
          <w:lang w:val="en-US" w:eastAsia="zh-CN"/>
        </w:rPr>
        <w:t>28</w:t>
      </w:r>
      <w:r>
        <w:rPr>
          <w:rFonts w:hint="eastAsia" w:ascii="仿宋_GB2312" w:hAnsi="仿宋_GB2312" w:eastAsia="仿宋_GB2312" w:cs="仿宋_GB2312"/>
          <w:sz w:val="32"/>
          <w:szCs w:val="40"/>
          <w:u w:val="none"/>
        </w:rPr>
        <w:t>日</w:t>
      </w:r>
      <w:r>
        <w:rPr>
          <w:rFonts w:hint="eastAsia" w:ascii="仿宋_GB2312" w:hAnsi="仿宋_GB2312" w:eastAsia="仿宋_GB2312" w:cs="仿宋_GB2312"/>
          <w:sz w:val="32"/>
          <w:szCs w:val="40"/>
          <w:u w:val="none"/>
          <w:lang w:val="en-US" w:eastAsia="zh-CN"/>
        </w:rPr>
        <w:t>15</w:t>
      </w:r>
      <w:bookmarkStart w:id="1" w:name="_GoBack"/>
      <w:bookmarkEnd w:id="1"/>
      <w:r>
        <w:rPr>
          <w:rFonts w:hint="eastAsia" w:ascii="仿宋_GB2312" w:hAnsi="仿宋_GB2312" w:eastAsia="仿宋_GB2312" w:cs="仿宋_GB2312"/>
          <w:sz w:val="32"/>
          <w:szCs w:val="40"/>
          <w:u w:val="none"/>
        </w:rPr>
        <w:t>:00</w:t>
      </w:r>
      <w:r>
        <w:rPr>
          <w:rFonts w:hint="eastAsia" w:ascii="仿宋_GB2312" w:hAnsi="仿宋_GB2312" w:eastAsia="仿宋_GB2312" w:cs="仿宋_GB2312"/>
          <w:sz w:val="32"/>
          <w:szCs w:val="40"/>
          <w:u w:val="none"/>
          <w:lang w:val="en-US" w:eastAsia="zh-CN"/>
        </w:rPr>
        <w:t>前将密封纸质版报价文件一份以现场或邮寄的方式递交</w:t>
      </w:r>
      <w:r>
        <w:rPr>
          <w:rFonts w:hint="eastAsia" w:ascii="仿宋_GB2312" w:hAnsi="仿宋_GB2312" w:eastAsia="仿宋_GB2312" w:cs="仿宋_GB2312"/>
          <w:sz w:val="32"/>
          <w:szCs w:val="40"/>
        </w:rPr>
        <w:t>（邮寄地址</w:t>
      </w:r>
      <w:r>
        <w:rPr>
          <w:rFonts w:hint="eastAsia" w:ascii="仿宋_GB2312" w:hAnsi="仿宋_GB2312" w:eastAsia="仿宋_GB2312" w:cs="仿宋_GB2312"/>
          <w:sz w:val="32"/>
          <w:szCs w:val="40"/>
          <w:lang w:val="en-US" w:eastAsia="zh-CN"/>
        </w:rPr>
        <w:t>详</w:t>
      </w:r>
      <w:r>
        <w:rPr>
          <w:rFonts w:hint="eastAsia" w:ascii="仿宋_GB2312" w:hAnsi="仿宋_GB2312" w:eastAsia="仿宋_GB2312" w:cs="仿宋_GB2312"/>
          <w:sz w:val="32"/>
          <w:szCs w:val="40"/>
        </w:rPr>
        <w:t>见“六、联系方式”）</w:t>
      </w:r>
      <w:r>
        <w:rPr>
          <w:rFonts w:hint="eastAsia" w:ascii="仿宋_GB2312" w:hAnsi="仿宋_GB2312" w:eastAsia="仿宋_GB2312" w:cs="仿宋_GB2312"/>
          <w:kern w:val="2"/>
          <w:sz w:val="32"/>
          <w:szCs w:val="40"/>
          <w:u w:val="none"/>
          <w:lang w:val="en-US" w:eastAsia="zh-CN" w:bidi="ar-SA"/>
        </w:rPr>
        <w:t>。并同步将</w:t>
      </w:r>
      <w:r>
        <w:rPr>
          <w:rFonts w:hint="eastAsia" w:ascii="仿宋_GB2312" w:hAnsi="仿宋_GB2312" w:eastAsia="仿宋_GB2312" w:cs="仿宋_GB2312"/>
          <w:sz w:val="32"/>
          <w:szCs w:val="40"/>
          <w:u w:val="none"/>
          <w:lang w:val="en-US" w:eastAsia="zh-CN"/>
        </w:rPr>
        <w:t>盖章版扫描件</w:t>
      </w:r>
      <w:r>
        <w:rPr>
          <w:rFonts w:hint="eastAsia" w:ascii="仿宋" w:hAnsi="仿宋" w:eastAsia="仿宋" w:cs="仿宋"/>
          <w:sz w:val="32"/>
          <w:szCs w:val="40"/>
          <w:u w:val="none"/>
        </w:rPr>
        <w:t>发送至邮箱:</w:t>
      </w:r>
      <w:r>
        <w:rPr>
          <w:rFonts w:hint="eastAsia" w:ascii="仿宋" w:hAnsi="仿宋" w:eastAsia="仿宋" w:cs="仿宋"/>
          <w:sz w:val="32"/>
          <w:szCs w:val="40"/>
          <w:u w:val="single"/>
          <w:lang w:val="en-US" w:eastAsia="zh-CN"/>
        </w:rPr>
        <w:t>lhctgs@szlh.gov.cn</w:t>
      </w:r>
      <w:r>
        <w:rPr>
          <w:rFonts w:hint="eastAsia" w:ascii="仿宋" w:hAnsi="仿宋" w:eastAsia="仿宋" w:cs="仿宋"/>
          <w:sz w:val="32"/>
          <w:szCs w:val="40"/>
          <w:u w:val="none"/>
          <w:lang w:val="en-US" w:eastAsia="zh-CN"/>
        </w:rPr>
        <w:t>；抄送至邮箱：</w:t>
      </w:r>
      <w:r>
        <w:rPr>
          <w:rFonts w:hint="eastAsia" w:ascii="仿宋" w:hAnsi="仿宋" w:eastAsia="仿宋" w:cs="仿宋"/>
          <w:sz w:val="32"/>
          <w:szCs w:val="40"/>
          <w:u w:val="single"/>
          <w:lang w:val="en-US" w:eastAsia="zh-CN"/>
        </w:rPr>
        <w:t>709485187@qq.com</w:t>
      </w:r>
      <w:r>
        <w:rPr>
          <w:rFonts w:hint="eastAsia" w:ascii="仿宋" w:hAnsi="仿宋" w:eastAsia="仿宋" w:cs="仿宋"/>
          <w:sz w:val="32"/>
          <w:szCs w:val="40"/>
          <w:u w:val="none"/>
          <w:lang w:val="en-US" w:eastAsia="zh-CN"/>
        </w:rPr>
        <w:t>，</w:t>
      </w:r>
      <w:r>
        <w:rPr>
          <w:rFonts w:hint="eastAsia" w:ascii="仿宋_GB2312" w:hAnsi="仿宋_GB2312" w:eastAsia="仿宋_GB2312" w:cs="仿宋_GB2312"/>
          <w:sz w:val="32"/>
          <w:szCs w:val="40"/>
          <w:u w:val="none"/>
          <w:lang w:val="en-US" w:eastAsia="zh-CN"/>
        </w:rPr>
        <w:t>邮件标题注明“项目名称+报价单位名称”</w:t>
      </w:r>
      <w:r>
        <w:rPr>
          <w:rFonts w:hint="eastAsia" w:ascii="仿宋_GB2312" w:hAnsi="仿宋_GB2312" w:eastAsia="仿宋_GB2312" w:cs="仿宋_GB2312"/>
          <w:sz w:val="32"/>
          <w:szCs w:val="40"/>
        </w:rPr>
        <w:t>，逾期视为</w:t>
      </w:r>
      <w:r>
        <w:rPr>
          <w:rFonts w:hint="eastAsia" w:ascii="仿宋_GB2312" w:hAnsi="仿宋_GB2312" w:eastAsia="仿宋_GB2312" w:cs="仿宋_GB2312"/>
          <w:sz w:val="32"/>
          <w:szCs w:val="40"/>
          <w:lang w:eastAsia="zh-CN"/>
        </w:rPr>
        <w:t>废标</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u w:val="none"/>
          <w:lang w:val="en-US" w:eastAsia="zh-CN"/>
        </w:rPr>
        <w:t>纸质盖章版报价文件与电子扫描版报价文件不一致的以纸质盖章版为准</w:t>
      </w:r>
      <w:r>
        <w:rPr>
          <w:rFonts w:hint="eastAsia" w:ascii="仿宋_GB2312" w:hAnsi="仿宋_GB2312" w:eastAsia="仿宋_GB2312" w:cs="仿宋_GB2312"/>
          <w:sz w:val="32"/>
          <w:szCs w:val="40"/>
          <w:lang w:eastAsia="zh-CN"/>
        </w:rPr>
        <w:t>。</w:t>
      </w:r>
    </w:p>
    <w:p>
      <w:pPr>
        <w:pageBreakBefore w:val="0"/>
        <w:kinsoku/>
        <w:wordWrap/>
        <w:overflowPunct/>
        <w:topLinePunct w:val="0"/>
        <w:autoSpaceDE/>
        <w:autoSpaceDN/>
        <w:bidi w:val="0"/>
        <w:snapToGrid/>
        <w:spacing w:line="360" w:lineRule="auto"/>
        <w:ind w:firstLine="643" w:firstLineChars="200"/>
        <w:jc w:val="left"/>
        <w:rPr>
          <w:rFonts w:hint="eastAsia" w:ascii="仿宋" w:hAnsi="仿宋" w:eastAsia="仿宋" w:cs="仿宋"/>
          <w:sz w:val="32"/>
          <w:szCs w:val="40"/>
          <w:lang w:eastAsia="zh-CN"/>
        </w:rPr>
      </w:pPr>
      <w:r>
        <w:rPr>
          <w:rFonts w:hint="eastAsia" w:ascii="仿宋" w:hAnsi="仿宋" w:eastAsia="仿宋" w:cs="仿宋"/>
          <w:b/>
          <w:bCs/>
          <w:sz w:val="32"/>
          <w:szCs w:val="40"/>
          <w:lang w:eastAsia="zh-CN"/>
        </w:rPr>
        <w:t>注</w:t>
      </w:r>
      <w:r>
        <w:rPr>
          <w:rFonts w:hint="eastAsia" w:ascii="仿宋" w:hAnsi="仿宋" w:eastAsia="仿宋" w:cs="仿宋"/>
          <w:sz w:val="32"/>
          <w:szCs w:val="40"/>
          <w:lang w:eastAsia="zh-CN"/>
        </w:rPr>
        <w:t>：本项目基本</w:t>
      </w:r>
      <w:r>
        <w:rPr>
          <w:rFonts w:hint="eastAsia" w:ascii="仿宋" w:hAnsi="仿宋" w:eastAsia="仿宋" w:cs="仿宋"/>
          <w:sz w:val="32"/>
          <w:szCs w:val="40"/>
          <w:lang w:val="en-US" w:eastAsia="zh-CN"/>
        </w:rPr>
        <w:t>情况可联系“业务联系人”了解，联系方式详见“六、联系方式”。</w:t>
      </w:r>
    </w:p>
    <w:p>
      <w:pPr>
        <w:keepNext w:val="0"/>
        <w:keepLines w:val="0"/>
        <w:pageBreakBefore w:val="0"/>
        <w:widowControl w:val="0"/>
        <w:numPr>
          <w:ilvl w:val="0"/>
          <w:numId w:val="1"/>
        </w:numPr>
        <w:wordWrap/>
        <w:overflowPunct/>
        <w:topLinePunct w:val="0"/>
        <w:bidi w:val="0"/>
        <w:spacing w:line="560" w:lineRule="exact"/>
        <w:ind w:left="0" w:firstLine="640" w:firstLineChars="200"/>
        <w:jc w:val="both"/>
        <w:textAlignment w:val="auto"/>
        <w:rPr>
          <w:rFonts w:ascii="楷体" w:hAnsi="楷体" w:eastAsia="楷体" w:cs="楷体"/>
          <w:sz w:val="32"/>
          <w:szCs w:val="40"/>
        </w:rPr>
      </w:pPr>
      <w:r>
        <w:rPr>
          <w:rFonts w:hint="eastAsia" w:ascii="楷体" w:hAnsi="楷体" w:eastAsia="楷体" w:cs="楷体"/>
          <w:sz w:val="32"/>
          <w:szCs w:val="40"/>
        </w:rPr>
        <w:t>报价条件</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在中华人民共和国境内注册、有独立法人资格的企业或其他组织。</w:t>
      </w:r>
    </w:p>
    <w:p>
      <w:pPr>
        <w:keepNext w:val="0"/>
        <w:keepLines w:val="0"/>
        <w:pageBreakBefore w:val="0"/>
        <w:widowControl w:val="0"/>
        <w:numPr>
          <w:ilvl w:val="0"/>
          <w:numId w:val="2"/>
        </w:numPr>
        <w:kinsoku w:val="0"/>
        <w:wordWrap/>
        <w:overflowPunct/>
        <w:topLinePunct w:val="0"/>
        <w:autoSpaceDE w:val="0"/>
        <w:autoSpaceDN w:val="0"/>
        <w:bidi w:val="0"/>
        <w:adjustRightInd w:val="0"/>
        <w:snapToGrid w:val="0"/>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在信用中国网</w:t>
      </w:r>
      <w:r>
        <w:rPr>
          <w:rFonts w:hint="eastAsia" w:ascii="仿宋_GB2312" w:hAnsi="仿宋_GB2312" w:eastAsia="仿宋_GB2312" w:cs="仿宋_GB2312"/>
          <w:sz w:val="32"/>
          <w:szCs w:val="32"/>
          <w:lang w:eastAsia="zh-CN"/>
        </w:rPr>
        <w:t>站</w:t>
      </w:r>
      <w:r>
        <w:rPr>
          <w:rFonts w:hint="eastAsia" w:ascii="仿宋_GB2312" w:hAnsi="仿宋_GB2312" w:eastAsia="仿宋_GB2312" w:cs="仿宋_GB2312"/>
          <w:sz w:val="32"/>
          <w:szCs w:val="32"/>
        </w:rPr>
        <w:t>（http://www.creditchina.gov.cn/）未被列入失信被执行人、深圳市政府采购监督管理网（http://zfcg.sz.gov.cn/）未被列入政府采购严重违法失信行为记录名单。</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不接受联合体投标。</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供应商应具有建设行政主管部门核发且在有效期内的建筑装修装饰工程专业承包二级或以上资质、消防二级或以上资质。</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供应商应具有建设行政主管部门核发且在有效期内的安全生产许可证。</w:t>
      </w:r>
    </w:p>
    <w:p>
      <w:pPr>
        <w:pageBreakBefore w:val="0"/>
        <w:numPr>
          <w:ilvl w:val="0"/>
          <w:numId w:val="1"/>
        </w:numPr>
        <w:kinsoku/>
        <w:wordWrap/>
        <w:overflowPunct/>
        <w:topLinePunct w:val="0"/>
        <w:autoSpaceDE/>
        <w:autoSpaceDN/>
        <w:bidi w:val="0"/>
        <w:snapToGrid/>
        <w:spacing w:line="360" w:lineRule="auto"/>
        <w:ind w:firstLine="640" w:firstLineChars="200"/>
        <w:jc w:val="left"/>
        <w:rPr>
          <w:rFonts w:ascii="楷体" w:hAnsi="楷体" w:eastAsia="楷体" w:cs="楷体"/>
          <w:sz w:val="32"/>
          <w:szCs w:val="40"/>
        </w:rPr>
      </w:pPr>
      <w:r>
        <w:rPr>
          <w:rFonts w:hint="eastAsia" w:ascii="楷体" w:hAnsi="楷体" w:eastAsia="楷体" w:cs="楷体"/>
          <w:sz w:val="32"/>
          <w:szCs w:val="40"/>
        </w:rPr>
        <w:t>报价</w:t>
      </w:r>
      <w:r>
        <w:rPr>
          <w:rFonts w:hint="eastAsia" w:ascii="楷体" w:hAnsi="楷体" w:eastAsia="楷体" w:cs="楷体"/>
          <w:sz w:val="32"/>
          <w:szCs w:val="40"/>
          <w:lang w:val="en-US" w:eastAsia="zh-CN"/>
        </w:rPr>
        <w:t>文件组成</w:t>
      </w:r>
    </w:p>
    <w:p>
      <w:pPr>
        <w:pageBreakBefore w:val="0"/>
        <w:kinsoku/>
        <w:wordWrap/>
        <w:overflowPunct/>
        <w:topLinePunct w:val="0"/>
        <w:autoSpaceDE/>
        <w:autoSpaceDN/>
        <w:bidi w:val="0"/>
        <w:snapToGrid/>
        <w:spacing w:line="360" w:lineRule="auto"/>
        <w:ind w:firstLine="643" w:firstLineChars="200"/>
        <w:jc w:val="left"/>
        <w:rPr>
          <w:rFonts w:ascii="仿宋" w:hAnsi="仿宋" w:eastAsia="仿宋" w:cs="仿宋"/>
          <w:b/>
          <w:bCs/>
          <w:sz w:val="32"/>
          <w:szCs w:val="40"/>
        </w:rPr>
      </w:pPr>
      <w:r>
        <w:rPr>
          <w:rFonts w:hint="eastAsia" w:ascii="仿宋" w:hAnsi="仿宋" w:eastAsia="仿宋" w:cs="仿宋"/>
          <w:b/>
          <w:bCs/>
          <w:sz w:val="32"/>
          <w:szCs w:val="40"/>
        </w:rPr>
        <w:t>报价单位应</w:t>
      </w:r>
      <w:r>
        <w:rPr>
          <w:rFonts w:hint="eastAsia" w:ascii="仿宋" w:hAnsi="仿宋" w:eastAsia="仿宋" w:cs="仿宋"/>
          <w:b/>
          <w:bCs/>
          <w:sz w:val="32"/>
          <w:szCs w:val="40"/>
          <w:lang w:val="en-US" w:eastAsia="zh-CN"/>
        </w:rPr>
        <w:t>按</w:t>
      </w:r>
      <w:r>
        <w:rPr>
          <w:rFonts w:hint="eastAsia" w:ascii="仿宋" w:hAnsi="仿宋" w:eastAsia="仿宋" w:cs="仿宋"/>
          <w:b/>
          <w:bCs/>
          <w:sz w:val="32"/>
          <w:szCs w:val="40"/>
        </w:rPr>
        <w:t>以下材料</w:t>
      </w:r>
      <w:r>
        <w:rPr>
          <w:rFonts w:hint="eastAsia" w:ascii="仿宋" w:hAnsi="仿宋" w:eastAsia="仿宋" w:cs="仿宋"/>
          <w:b/>
          <w:bCs/>
          <w:sz w:val="32"/>
          <w:szCs w:val="40"/>
          <w:lang w:val="en-US" w:eastAsia="zh-CN"/>
        </w:rPr>
        <w:t>进行编制和递交</w:t>
      </w:r>
      <w:r>
        <w:rPr>
          <w:rFonts w:hint="eastAsia" w:ascii="仿宋" w:hAnsi="仿宋" w:eastAsia="仿宋" w:cs="仿宋"/>
          <w:b/>
          <w:bCs/>
          <w:sz w:val="32"/>
          <w:szCs w:val="40"/>
        </w:rPr>
        <w:t>，包括但不限于：</w:t>
      </w:r>
    </w:p>
    <w:p>
      <w:pPr>
        <w:pageBreakBefore w:val="0"/>
        <w:kinsoku/>
        <w:wordWrap/>
        <w:overflowPunct/>
        <w:topLinePunct w:val="0"/>
        <w:autoSpaceDE/>
        <w:autoSpaceDN/>
        <w:bidi w:val="0"/>
        <w:snapToGrid/>
        <w:spacing w:line="360" w:lineRule="auto"/>
        <w:ind w:firstLine="640" w:firstLineChars="200"/>
        <w:jc w:val="left"/>
        <w:rPr>
          <w:rFonts w:hint="eastAsia" w:ascii="仿宋" w:hAnsi="仿宋" w:eastAsia="仿宋" w:cs="仿宋"/>
          <w:sz w:val="32"/>
          <w:szCs w:val="40"/>
          <w:highlight w:val="none"/>
          <w:u w:val="single"/>
          <w:lang w:val="en-US" w:eastAsia="zh-CN"/>
        </w:rPr>
      </w:pPr>
      <w:r>
        <w:rPr>
          <w:rFonts w:hint="eastAsia" w:ascii="仿宋" w:hAnsi="仿宋" w:eastAsia="仿宋" w:cs="仿宋"/>
          <w:sz w:val="32"/>
          <w:szCs w:val="40"/>
          <w:highlight w:val="none"/>
          <w:u w:val="single"/>
        </w:rPr>
        <w:t>1.</w:t>
      </w:r>
      <w:r>
        <w:rPr>
          <w:rFonts w:hint="eastAsia" w:ascii="仿宋" w:hAnsi="仿宋" w:eastAsia="仿宋" w:cs="仿宋"/>
          <w:sz w:val="32"/>
          <w:szCs w:val="40"/>
          <w:highlight w:val="none"/>
          <w:u w:val="single"/>
          <w:lang w:val="en-US" w:eastAsia="zh-CN"/>
        </w:rPr>
        <w:t>报价函；</w:t>
      </w:r>
    </w:p>
    <w:p>
      <w:pPr>
        <w:pageBreakBefore w:val="0"/>
        <w:kinsoku/>
        <w:wordWrap/>
        <w:overflowPunct/>
        <w:topLinePunct w:val="0"/>
        <w:autoSpaceDE/>
        <w:autoSpaceDN/>
        <w:bidi w:val="0"/>
        <w:snapToGrid/>
        <w:spacing w:line="360" w:lineRule="auto"/>
        <w:ind w:firstLine="640" w:firstLineChars="200"/>
        <w:jc w:val="left"/>
        <w:rPr>
          <w:rFonts w:hint="eastAsia" w:ascii="仿宋" w:hAnsi="仿宋" w:eastAsia="仿宋" w:cs="仿宋"/>
          <w:sz w:val="32"/>
          <w:szCs w:val="40"/>
          <w:highlight w:val="none"/>
          <w:u w:val="single"/>
          <w:lang w:eastAsia="zh-CN"/>
        </w:rPr>
      </w:pPr>
      <w:r>
        <w:rPr>
          <w:rFonts w:hint="eastAsia" w:ascii="仿宋" w:hAnsi="仿宋" w:eastAsia="仿宋" w:cs="仿宋"/>
          <w:sz w:val="32"/>
          <w:szCs w:val="40"/>
          <w:highlight w:val="none"/>
          <w:u w:val="single"/>
          <w:lang w:val="en-US" w:eastAsia="zh-CN"/>
        </w:rPr>
        <w:t>2.</w:t>
      </w:r>
      <w:r>
        <w:rPr>
          <w:rFonts w:hint="eastAsia" w:ascii="仿宋" w:hAnsi="仿宋" w:eastAsia="仿宋" w:cs="仿宋"/>
          <w:sz w:val="32"/>
          <w:szCs w:val="40"/>
          <w:highlight w:val="none"/>
          <w:u w:val="single"/>
        </w:rPr>
        <w:t>公司营业执照</w:t>
      </w:r>
      <w:r>
        <w:rPr>
          <w:rFonts w:hint="eastAsia" w:ascii="仿宋" w:hAnsi="仿宋" w:eastAsia="仿宋" w:cs="仿宋"/>
          <w:sz w:val="32"/>
          <w:szCs w:val="40"/>
          <w:highlight w:val="none"/>
          <w:u w:val="single"/>
          <w:lang w:eastAsia="zh-CN"/>
        </w:rPr>
        <w:t>、企业资质证明、安全生产许可证；</w:t>
      </w:r>
    </w:p>
    <w:p>
      <w:pPr>
        <w:pageBreakBefore w:val="0"/>
        <w:kinsoku/>
        <w:wordWrap/>
        <w:overflowPunct/>
        <w:topLinePunct w:val="0"/>
        <w:autoSpaceDE/>
        <w:autoSpaceDN/>
        <w:bidi w:val="0"/>
        <w:snapToGrid/>
        <w:spacing w:line="360" w:lineRule="auto"/>
        <w:ind w:firstLine="640" w:firstLineChars="200"/>
        <w:jc w:val="left"/>
        <w:rPr>
          <w:rFonts w:ascii="仿宋" w:hAnsi="仿宋" w:eastAsia="仿宋" w:cs="仿宋"/>
          <w:sz w:val="32"/>
          <w:szCs w:val="40"/>
          <w:highlight w:val="none"/>
          <w:u w:val="single"/>
        </w:rPr>
      </w:pPr>
      <w:r>
        <w:rPr>
          <w:rFonts w:hint="eastAsia" w:ascii="仿宋" w:hAnsi="仿宋" w:eastAsia="仿宋" w:cs="仿宋"/>
          <w:sz w:val="32"/>
          <w:szCs w:val="40"/>
          <w:highlight w:val="none"/>
          <w:u w:val="single"/>
          <w:lang w:val="en-US" w:eastAsia="zh-CN"/>
        </w:rPr>
        <w:t>3.</w:t>
      </w:r>
      <w:r>
        <w:rPr>
          <w:rFonts w:hint="eastAsia" w:ascii="仿宋" w:hAnsi="仿宋" w:eastAsia="仿宋" w:cs="仿宋"/>
          <w:sz w:val="32"/>
          <w:szCs w:val="40"/>
          <w:highlight w:val="none"/>
          <w:u w:val="single"/>
          <w:lang w:eastAsia="zh-CN"/>
        </w:rPr>
        <w:t>法定代表人证明书及法定代表人身份证复印件（加盖投标人公章）；</w:t>
      </w:r>
    </w:p>
    <w:p>
      <w:pPr>
        <w:pageBreakBefore w:val="0"/>
        <w:kinsoku/>
        <w:wordWrap/>
        <w:overflowPunct/>
        <w:topLinePunct w:val="0"/>
        <w:autoSpaceDE/>
        <w:autoSpaceDN/>
        <w:bidi w:val="0"/>
        <w:snapToGrid/>
        <w:spacing w:line="360" w:lineRule="auto"/>
        <w:ind w:firstLine="640" w:firstLineChars="200"/>
        <w:jc w:val="left"/>
        <w:rPr>
          <w:rFonts w:hint="eastAsia" w:ascii="仿宋" w:hAnsi="仿宋" w:eastAsia="仿宋" w:cs="仿宋"/>
          <w:sz w:val="32"/>
          <w:szCs w:val="40"/>
          <w:highlight w:val="none"/>
          <w:u w:val="single"/>
          <w:lang w:eastAsia="zh-CN"/>
        </w:rPr>
      </w:pPr>
      <w:r>
        <w:rPr>
          <w:rFonts w:hint="eastAsia" w:ascii="仿宋" w:hAnsi="仿宋" w:eastAsia="仿宋" w:cs="仿宋"/>
          <w:sz w:val="32"/>
          <w:szCs w:val="40"/>
          <w:highlight w:val="none"/>
          <w:u w:val="single"/>
          <w:lang w:val="en-US" w:eastAsia="zh-CN"/>
        </w:rPr>
        <w:t>4</w:t>
      </w:r>
      <w:r>
        <w:rPr>
          <w:rFonts w:hint="eastAsia" w:ascii="仿宋" w:hAnsi="仿宋" w:eastAsia="仿宋" w:cs="仿宋"/>
          <w:sz w:val="32"/>
          <w:szCs w:val="40"/>
          <w:highlight w:val="none"/>
          <w:u w:val="single"/>
        </w:rPr>
        <w:t>.公司简介</w:t>
      </w:r>
      <w:r>
        <w:rPr>
          <w:rFonts w:hint="eastAsia" w:ascii="仿宋" w:hAnsi="仿宋" w:eastAsia="仿宋" w:cs="仿宋"/>
          <w:sz w:val="32"/>
          <w:szCs w:val="40"/>
          <w:highlight w:val="none"/>
          <w:u w:val="single"/>
          <w:lang w:eastAsia="zh-CN"/>
        </w:rPr>
        <w:t>；（</w:t>
      </w:r>
      <w:r>
        <w:rPr>
          <w:rFonts w:hint="eastAsia" w:ascii="仿宋" w:hAnsi="仿宋" w:eastAsia="仿宋" w:cs="仿宋"/>
          <w:sz w:val="32"/>
          <w:szCs w:val="40"/>
          <w:highlight w:val="none"/>
          <w:u w:val="single"/>
        </w:rPr>
        <w:t>包括设立时间、注册和实际运营地址、主营业务</w:t>
      </w:r>
      <w:r>
        <w:rPr>
          <w:rFonts w:hint="eastAsia" w:ascii="仿宋" w:hAnsi="仿宋" w:eastAsia="仿宋" w:cs="仿宋"/>
          <w:sz w:val="32"/>
          <w:szCs w:val="40"/>
          <w:highlight w:val="none"/>
          <w:u w:val="single"/>
          <w:lang w:eastAsia="zh-CN"/>
        </w:rPr>
        <w:t>）；</w:t>
      </w:r>
    </w:p>
    <w:p>
      <w:pPr>
        <w:pageBreakBefore w:val="0"/>
        <w:kinsoku/>
        <w:wordWrap/>
        <w:overflowPunct/>
        <w:topLinePunct w:val="0"/>
        <w:autoSpaceDE/>
        <w:autoSpaceDN/>
        <w:bidi w:val="0"/>
        <w:snapToGrid/>
        <w:spacing w:line="360" w:lineRule="auto"/>
        <w:ind w:firstLine="640" w:firstLineChars="200"/>
        <w:jc w:val="left"/>
        <w:rPr>
          <w:rFonts w:hint="eastAsia" w:ascii="仿宋" w:hAnsi="仿宋" w:eastAsia="仿宋" w:cs="仿宋"/>
          <w:sz w:val="32"/>
          <w:szCs w:val="40"/>
          <w:highlight w:val="none"/>
          <w:u w:val="single"/>
          <w:lang w:val="en-US" w:eastAsia="zh-CN"/>
        </w:rPr>
      </w:pPr>
      <w:r>
        <w:rPr>
          <w:rFonts w:hint="eastAsia" w:ascii="仿宋" w:hAnsi="仿宋" w:eastAsia="仿宋" w:cs="仿宋"/>
          <w:sz w:val="32"/>
          <w:szCs w:val="40"/>
          <w:highlight w:val="none"/>
          <w:u w:val="single"/>
          <w:lang w:val="en-US" w:eastAsia="zh-CN"/>
        </w:rPr>
        <w:t>5.同类项目业绩佐证（含合同范围、服务内容、合同金额、合同签订时间、双方盖章页）；</w:t>
      </w:r>
    </w:p>
    <w:p>
      <w:pPr>
        <w:pageBreakBefore w:val="0"/>
        <w:kinsoku/>
        <w:wordWrap/>
        <w:overflowPunct/>
        <w:topLinePunct w:val="0"/>
        <w:autoSpaceDE/>
        <w:autoSpaceDN/>
        <w:bidi w:val="0"/>
        <w:snapToGrid/>
        <w:spacing w:line="360" w:lineRule="auto"/>
        <w:ind w:firstLine="640" w:firstLineChars="200"/>
        <w:jc w:val="left"/>
        <w:rPr>
          <w:rFonts w:hint="eastAsia" w:ascii="仿宋" w:hAnsi="仿宋" w:eastAsia="仿宋" w:cs="仿宋"/>
          <w:color w:val="000000"/>
          <w:sz w:val="32"/>
          <w:szCs w:val="40"/>
          <w:highlight w:val="none"/>
          <w:u w:val="single"/>
          <w:lang w:val="en-US" w:eastAsia="zh-CN"/>
        </w:rPr>
      </w:pPr>
      <w:r>
        <w:rPr>
          <w:rFonts w:hint="eastAsia" w:ascii="仿宋" w:hAnsi="仿宋" w:eastAsia="仿宋" w:cs="仿宋"/>
          <w:color w:val="000000"/>
          <w:sz w:val="32"/>
          <w:szCs w:val="40"/>
          <w:highlight w:val="none"/>
          <w:u w:val="single"/>
          <w:lang w:val="en-US" w:eastAsia="zh-CN"/>
        </w:rPr>
        <w:t>6.履约质效情况说明；</w:t>
      </w:r>
    </w:p>
    <w:p>
      <w:pPr>
        <w:pageBreakBefore w:val="0"/>
        <w:kinsoku/>
        <w:wordWrap/>
        <w:overflowPunct/>
        <w:topLinePunct w:val="0"/>
        <w:autoSpaceDE/>
        <w:autoSpaceDN/>
        <w:bidi w:val="0"/>
        <w:snapToGrid/>
        <w:spacing w:line="360" w:lineRule="auto"/>
        <w:ind w:firstLine="640" w:firstLineChars="200"/>
        <w:jc w:val="left"/>
        <w:rPr>
          <w:rFonts w:hint="default" w:ascii="仿宋" w:hAnsi="仿宋" w:eastAsia="仿宋" w:cs="仿宋"/>
          <w:color w:val="000000"/>
          <w:sz w:val="32"/>
          <w:szCs w:val="40"/>
          <w:highlight w:val="none"/>
          <w:u w:val="single"/>
          <w:lang w:val="en-US" w:eastAsia="zh-CN"/>
        </w:rPr>
      </w:pPr>
      <w:r>
        <w:rPr>
          <w:rFonts w:hint="eastAsia" w:ascii="仿宋" w:hAnsi="仿宋" w:eastAsia="仿宋" w:cs="仿宋"/>
          <w:color w:val="000000"/>
          <w:sz w:val="32"/>
          <w:szCs w:val="40"/>
          <w:highlight w:val="none"/>
          <w:u w:val="single"/>
          <w:lang w:val="en-US" w:eastAsia="zh-CN"/>
        </w:rPr>
        <w:t>7.项目实施方案。</w:t>
      </w:r>
    </w:p>
    <w:p>
      <w:pPr>
        <w:numPr>
          <w:ilvl w:val="0"/>
          <w:numId w:val="1"/>
        </w:numPr>
        <w:spacing w:line="560" w:lineRule="exact"/>
        <w:ind w:firstLine="640" w:firstLineChars="200"/>
        <w:jc w:val="left"/>
        <w:rPr>
          <w:rFonts w:ascii="楷体" w:hAnsi="楷体" w:eastAsia="楷体" w:cs="楷体"/>
          <w:color w:val="000000" w:themeColor="text1"/>
          <w:sz w:val="32"/>
          <w:szCs w:val="40"/>
          <w:highlight w:val="none"/>
          <w14:textFill>
            <w14:solidFill>
              <w14:schemeClr w14:val="tx1"/>
            </w14:solidFill>
          </w14:textFill>
        </w:rPr>
      </w:pPr>
      <w:r>
        <w:rPr>
          <w:rFonts w:hint="eastAsia" w:ascii="楷体" w:hAnsi="楷体" w:eastAsia="楷体" w:cs="楷体"/>
          <w:color w:val="000000" w:themeColor="text1"/>
          <w:sz w:val="32"/>
          <w:szCs w:val="40"/>
          <w:highlight w:val="none"/>
          <w14:textFill>
            <w14:solidFill>
              <w14:schemeClr w14:val="tx1"/>
            </w14:solidFill>
          </w14:textFill>
        </w:rPr>
        <w:t>报价须知</w:t>
      </w:r>
    </w:p>
    <w:p>
      <w:pPr>
        <w:pStyle w:val="10"/>
        <w:widowControl/>
        <w:shd w:val="clear" w:color="auto" w:fill="FFFFFF"/>
        <w:spacing w:beforeAutospacing="0" w:afterAutospacing="0" w:line="360" w:lineRule="auto"/>
        <w:ind w:firstLine="640" w:firstLineChars="200"/>
        <w:textAlignment w:val="baseline"/>
        <w:rPr>
          <w:rFonts w:ascii="楷体" w:hAnsi="楷体" w:eastAsia="楷体" w:cs="楷体"/>
          <w:sz w:val="32"/>
          <w:szCs w:val="40"/>
        </w:rPr>
      </w:pPr>
      <w:r>
        <w:rPr>
          <w:rFonts w:hint="eastAsia" w:ascii="仿宋" w:hAnsi="仿宋" w:eastAsia="仿宋" w:cs="仿宋"/>
          <w:sz w:val="32"/>
          <w:szCs w:val="40"/>
        </w:rPr>
        <w:t>（1）</w:t>
      </w:r>
      <w:r>
        <w:rPr>
          <w:rFonts w:hint="eastAsia" w:ascii="仿宋" w:hAnsi="仿宋" w:eastAsia="仿宋" w:cs="仿宋"/>
          <w:kern w:val="2"/>
          <w:sz w:val="32"/>
          <w:szCs w:val="40"/>
        </w:rPr>
        <w:t>本次报价为一次性报价，报价人如对本询价函报价，即表示认可我司提出的要求，且不可撤回。否则，该报价人将被记入不诚信报价人名单，在今后规定的时间内不得参与我司组织的任何招标、询价等采购活动。</w:t>
      </w:r>
    </w:p>
    <w:p>
      <w:pPr>
        <w:pStyle w:val="10"/>
        <w:widowControl/>
        <w:shd w:val="clear" w:color="auto" w:fill="FFFFFF"/>
        <w:spacing w:beforeAutospacing="0" w:afterAutospacing="0" w:line="360" w:lineRule="auto"/>
        <w:ind w:firstLine="640" w:firstLineChars="200"/>
        <w:textAlignment w:val="baseline"/>
        <w:rPr>
          <w:rFonts w:ascii="仿宋" w:hAnsi="仿宋" w:eastAsia="仿宋" w:cs="仿宋"/>
          <w:kern w:val="2"/>
          <w:sz w:val="32"/>
          <w:szCs w:val="40"/>
        </w:rPr>
      </w:pPr>
      <w:r>
        <w:rPr>
          <w:rFonts w:hint="eastAsia" w:ascii="仿宋" w:hAnsi="仿宋" w:eastAsia="仿宋" w:cs="仿宋"/>
          <w:kern w:val="2"/>
          <w:sz w:val="32"/>
          <w:szCs w:val="40"/>
        </w:rPr>
        <w:t>（2）询价函、报价函均为采购合同的组成部分。</w:t>
      </w:r>
    </w:p>
    <w:p>
      <w:pPr>
        <w:pStyle w:val="10"/>
        <w:widowControl/>
        <w:shd w:val="clear" w:color="auto" w:fill="FFFFFF"/>
        <w:spacing w:beforeAutospacing="0" w:afterAutospacing="0" w:line="360" w:lineRule="auto"/>
        <w:ind w:firstLine="640" w:firstLineChars="200"/>
        <w:textAlignment w:val="baseline"/>
        <w:rPr>
          <w:rFonts w:hint="eastAsia" w:ascii="仿宋" w:hAnsi="仿宋" w:eastAsia="仿宋" w:cs="仿宋"/>
          <w:kern w:val="2"/>
          <w:sz w:val="32"/>
          <w:szCs w:val="40"/>
        </w:rPr>
      </w:pPr>
      <w:r>
        <w:rPr>
          <w:rFonts w:hint="eastAsia" w:ascii="仿宋" w:hAnsi="仿宋" w:eastAsia="仿宋" w:cs="仿宋"/>
          <w:kern w:val="2"/>
          <w:sz w:val="32"/>
          <w:szCs w:val="40"/>
        </w:rPr>
        <w:t>（3）报价人在采购过程中应遵守诚实信用的原则，在采购及合同履行过程中，应无条件配合我司查验有关报价文件及有关合同业绩原件、合同履行中的有关文件、事项等，如发现报价人有欺诈等不诚实行为、违法行为及违反合同约定等行为，我司将依法依规采取将报价人列入黑名单、网上通报、取消中标等处理。希望各竞投报价人在认真阅读询价函内容后再进行报价。</w:t>
      </w:r>
    </w:p>
    <w:p>
      <w:pPr>
        <w:spacing w:line="560" w:lineRule="exact"/>
        <w:ind w:firstLine="640" w:firstLineChars="200"/>
        <w:jc w:val="left"/>
        <w:rPr>
          <w:rFonts w:ascii="黑体" w:hAnsi="黑体" w:eastAsia="黑体" w:cs="黑体"/>
          <w:sz w:val="32"/>
          <w:szCs w:val="40"/>
        </w:rPr>
      </w:pPr>
      <w:r>
        <w:rPr>
          <w:rFonts w:hint="eastAsia" w:ascii="黑体" w:hAnsi="黑体" w:eastAsia="黑体" w:cs="黑体"/>
          <w:sz w:val="32"/>
          <w:szCs w:val="40"/>
        </w:rPr>
        <w:t>六、联系方式</w:t>
      </w:r>
    </w:p>
    <w:p>
      <w:pPr>
        <w:pStyle w:val="10"/>
        <w:widowControl/>
        <w:shd w:val="clear" w:color="auto" w:fill="FFFFFF"/>
        <w:spacing w:beforeAutospacing="0" w:afterAutospacing="0" w:line="360" w:lineRule="auto"/>
        <w:ind w:firstLine="640" w:firstLineChars="200"/>
        <w:textAlignment w:val="baseline"/>
        <w:rPr>
          <w:rFonts w:hint="eastAsia" w:ascii="仿宋_GB2312" w:hAnsi="仿宋_GB2312" w:eastAsia="仿宋_GB2312" w:cs="仿宋_GB2312"/>
          <w:kern w:val="2"/>
          <w:sz w:val="32"/>
          <w:szCs w:val="40"/>
        </w:rPr>
      </w:pPr>
      <w:r>
        <w:rPr>
          <w:rFonts w:hint="eastAsia" w:ascii="仿宋_GB2312" w:hAnsi="仿宋_GB2312" w:eastAsia="仿宋_GB2312" w:cs="仿宋_GB2312"/>
          <w:kern w:val="2"/>
          <w:sz w:val="32"/>
          <w:szCs w:val="40"/>
        </w:rPr>
        <w:t>招采联系人：</w:t>
      </w:r>
      <w:r>
        <w:rPr>
          <w:rFonts w:hint="eastAsia" w:ascii="仿宋_GB2312" w:hAnsi="仿宋_GB2312" w:eastAsia="仿宋_GB2312" w:cs="仿宋_GB2312"/>
          <w:kern w:val="2"/>
          <w:sz w:val="32"/>
          <w:szCs w:val="40"/>
          <w:lang w:val="en-US" w:eastAsia="zh-CN"/>
        </w:rPr>
        <w:t>聂</w:t>
      </w:r>
      <w:r>
        <w:rPr>
          <w:rFonts w:hint="eastAsia" w:ascii="仿宋_GB2312" w:hAnsi="仿宋_GB2312" w:eastAsia="仿宋_GB2312" w:cs="仿宋_GB2312"/>
          <w:kern w:val="2"/>
          <w:sz w:val="32"/>
          <w:szCs w:val="40"/>
        </w:rPr>
        <w:t>工</w:t>
      </w:r>
    </w:p>
    <w:p>
      <w:pPr>
        <w:pStyle w:val="10"/>
        <w:widowControl/>
        <w:shd w:val="clear" w:color="auto" w:fill="FFFFFF"/>
        <w:spacing w:beforeAutospacing="0" w:afterAutospacing="0" w:line="360" w:lineRule="auto"/>
        <w:ind w:firstLine="640" w:firstLineChars="200"/>
        <w:textAlignment w:val="baseline"/>
        <w:rPr>
          <w:rFonts w:hint="eastAsia" w:ascii="仿宋_GB2312" w:hAnsi="仿宋_GB2312" w:eastAsia="仿宋_GB2312" w:cs="仿宋_GB2312"/>
          <w:kern w:val="2"/>
          <w:sz w:val="32"/>
          <w:szCs w:val="40"/>
          <w:lang w:val="en-US" w:eastAsia="zh-CN"/>
        </w:rPr>
      </w:pPr>
      <w:r>
        <w:rPr>
          <w:rFonts w:hint="eastAsia" w:ascii="仿宋_GB2312" w:hAnsi="仿宋_GB2312" w:eastAsia="仿宋_GB2312" w:cs="仿宋_GB2312"/>
          <w:kern w:val="2"/>
          <w:sz w:val="32"/>
          <w:szCs w:val="40"/>
        </w:rPr>
        <w:t>联系电话：0755-82</w:t>
      </w:r>
      <w:r>
        <w:rPr>
          <w:rFonts w:hint="eastAsia" w:ascii="仿宋_GB2312" w:hAnsi="仿宋_GB2312" w:eastAsia="仿宋_GB2312" w:cs="仿宋_GB2312"/>
          <w:kern w:val="2"/>
          <w:sz w:val="32"/>
          <w:szCs w:val="40"/>
          <w:lang w:val="en-US" w:eastAsia="zh-CN"/>
        </w:rPr>
        <w:t>268052</w:t>
      </w:r>
    </w:p>
    <w:p>
      <w:pPr>
        <w:pStyle w:val="10"/>
        <w:widowControl/>
        <w:shd w:val="clear" w:color="auto" w:fill="FFFFFF"/>
        <w:spacing w:beforeAutospacing="0" w:afterAutospacing="0" w:line="440" w:lineRule="exact"/>
        <w:ind w:firstLine="640" w:firstLineChars="200"/>
        <w:textAlignment w:val="baseline"/>
        <w:rPr>
          <w:rFonts w:hint="eastAsia" w:ascii="仿宋_GB2312" w:hAnsi="仿宋_GB2312" w:eastAsia="仿宋_GB2312" w:cs="仿宋_GB2312"/>
          <w:kern w:val="2"/>
          <w:sz w:val="32"/>
          <w:szCs w:val="40"/>
        </w:rPr>
      </w:pPr>
      <w:r>
        <w:rPr>
          <w:rFonts w:hint="eastAsia" w:ascii="仿宋_GB2312" w:hAnsi="仿宋_GB2312" w:eastAsia="仿宋_GB2312" w:cs="仿宋_GB2312"/>
          <w:kern w:val="2"/>
          <w:sz w:val="32"/>
          <w:szCs w:val="40"/>
        </w:rPr>
        <w:t>联系地址：</w:t>
      </w:r>
      <w:r>
        <w:rPr>
          <w:rFonts w:hint="eastAsia" w:ascii="仿宋_GB2312" w:hAnsi="仿宋_GB2312" w:eastAsia="仿宋_GB2312" w:cs="仿宋_GB2312"/>
          <w:kern w:val="2"/>
          <w:sz w:val="32"/>
          <w:szCs w:val="40"/>
          <w:lang w:eastAsia="zh-CN"/>
        </w:rPr>
        <w:t>深圳市罗湖区</w:t>
      </w:r>
      <w:r>
        <w:rPr>
          <w:rFonts w:hint="eastAsia" w:ascii="仿宋_GB2312" w:hAnsi="仿宋_GB2312" w:eastAsia="仿宋_GB2312" w:cs="仿宋_GB2312"/>
          <w:kern w:val="2"/>
          <w:sz w:val="32"/>
          <w:szCs w:val="40"/>
          <w:lang w:val="en-US" w:eastAsia="zh-CN"/>
        </w:rPr>
        <w:t>东门街道城东社区深南东路2028号罗湖商务中心1201室</w:t>
      </w:r>
    </w:p>
    <w:p>
      <w:pPr>
        <w:pStyle w:val="10"/>
        <w:widowControl/>
        <w:shd w:val="clear" w:color="auto" w:fill="FFFFFF"/>
        <w:spacing w:beforeAutospacing="0" w:afterAutospacing="0" w:line="360" w:lineRule="auto"/>
        <w:ind w:firstLine="640" w:firstLineChars="200"/>
        <w:textAlignment w:val="baseline"/>
        <w:rPr>
          <w:rFonts w:hint="eastAsia" w:ascii="仿宋_GB2312" w:hAnsi="仿宋_GB2312" w:eastAsia="仿宋_GB2312" w:cs="仿宋_GB2312"/>
          <w:kern w:val="2"/>
          <w:sz w:val="32"/>
          <w:szCs w:val="40"/>
          <w:lang w:eastAsia="zh-CN"/>
        </w:rPr>
      </w:pPr>
      <w:r>
        <w:rPr>
          <w:rFonts w:hint="eastAsia" w:ascii="仿宋_GB2312" w:hAnsi="仿宋_GB2312" w:eastAsia="仿宋_GB2312" w:cs="仿宋_GB2312"/>
          <w:kern w:val="2"/>
          <w:sz w:val="32"/>
          <w:szCs w:val="40"/>
        </w:rPr>
        <w:t>业务联系人：</w:t>
      </w:r>
      <w:r>
        <w:rPr>
          <w:rFonts w:hint="eastAsia" w:ascii="仿宋_GB2312" w:hAnsi="仿宋_GB2312" w:eastAsia="仿宋_GB2312" w:cs="仿宋_GB2312"/>
          <w:kern w:val="2"/>
          <w:sz w:val="32"/>
          <w:szCs w:val="40"/>
          <w:lang w:eastAsia="zh-CN"/>
        </w:rPr>
        <w:t>郭乔石</w:t>
      </w:r>
    </w:p>
    <w:p>
      <w:pPr>
        <w:pStyle w:val="10"/>
        <w:widowControl/>
        <w:shd w:val="clear" w:color="auto" w:fill="FFFFFF"/>
        <w:spacing w:beforeAutospacing="0" w:afterAutospacing="0" w:line="360" w:lineRule="auto"/>
        <w:ind w:firstLine="640" w:firstLineChars="200"/>
        <w:textAlignment w:val="baseline"/>
        <w:rPr>
          <w:rFonts w:hint="default" w:ascii="仿宋_GB2312" w:hAnsi="仿宋_GB2312" w:eastAsia="仿宋_GB2312" w:cs="仿宋_GB2312"/>
          <w:kern w:val="2"/>
          <w:sz w:val="32"/>
          <w:szCs w:val="40"/>
          <w:lang w:val="en-US" w:eastAsia="zh-CN"/>
        </w:rPr>
      </w:pPr>
      <w:r>
        <w:rPr>
          <w:rFonts w:hint="eastAsia" w:ascii="仿宋_GB2312" w:hAnsi="仿宋_GB2312" w:eastAsia="仿宋_GB2312" w:cs="仿宋_GB2312"/>
          <w:kern w:val="2"/>
          <w:sz w:val="32"/>
          <w:szCs w:val="40"/>
        </w:rPr>
        <w:t>联系电话：</w:t>
      </w:r>
      <w:r>
        <w:rPr>
          <w:rFonts w:hint="eastAsia" w:ascii="仿宋_GB2312" w:hAnsi="仿宋_GB2312" w:eastAsia="仿宋_GB2312" w:cs="仿宋_GB2312"/>
          <w:kern w:val="2"/>
          <w:sz w:val="32"/>
          <w:szCs w:val="40"/>
          <w:lang w:val="en-US" w:eastAsia="zh-CN"/>
        </w:rPr>
        <w:t>15907476032</w:t>
      </w:r>
    </w:p>
    <w:p>
      <w:pPr>
        <w:spacing w:line="560" w:lineRule="exact"/>
        <w:jc w:val="left"/>
        <w:rPr>
          <w:rFonts w:hint="eastAsia" w:ascii="仿宋_GB2312" w:hAnsi="仿宋_GB2312" w:eastAsia="仿宋_GB2312" w:cs="仿宋_GB2312"/>
          <w:sz w:val="32"/>
          <w:szCs w:val="40"/>
        </w:rPr>
      </w:pPr>
    </w:p>
    <w:p>
      <w:pPr>
        <w:spacing w:line="560" w:lineRule="exact"/>
        <w:ind w:firstLine="640" w:firstLineChars="200"/>
        <w:jc w:val="left"/>
        <w:rPr>
          <w:rFonts w:hint="eastAsia" w:ascii="仿宋_GB2312" w:hAnsi="仿宋_GB2312" w:eastAsia="仿宋_GB2312" w:cs="仿宋_GB2312"/>
          <w:sz w:val="32"/>
          <w:szCs w:val="40"/>
        </w:rPr>
      </w:pPr>
    </w:p>
    <w:p>
      <w:pPr>
        <w:spacing w:line="560" w:lineRule="exact"/>
        <w:ind w:firstLine="640" w:firstLineChars="200"/>
        <w:jc w:val="left"/>
        <w:rPr>
          <w:rFonts w:hint="eastAsia" w:ascii="仿宋_GB2312" w:hAnsi="仿宋_GB2312" w:eastAsia="仿宋_GB2312" w:cs="仿宋_GB2312"/>
          <w:sz w:val="32"/>
          <w:szCs w:val="40"/>
        </w:rPr>
      </w:pPr>
    </w:p>
    <w:p>
      <w:pPr>
        <w:spacing w:line="560" w:lineRule="exact"/>
        <w:ind w:firstLine="640" w:firstLineChars="200"/>
        <w:jc w:val="left"/>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附件：</w:t>
      </w:r>
      <w:r>
        <w:rPr>
          <w:rFonts w:hint="eastAsia" w:ascii="仿宋_GB2312" w:hAnsi="仿宋_GB2312" w:eastAsia="仿宋_GB2312" w:cs="仿宋_GB2312"/>
          <w:sz w:val="32"/>
          <w:szCs w:val="40"/>
          <w:lang w:val="en-US" w:eastAsia="zh-CN"/>
        </w:rPr>
        <w:t xml:space="preserve"> 1.</w:t>
      </w:r>
      <w:r>
        <w:rPr>
          <w:rFonts w:hint="eastAsia" w:ascii="仿宋_GB2312" w:hAnsi="仿宋_GB2312" w:eastAsia="仿宋_GB2312" w:cs="仿宋_GB2312"/>
          <w:sz w:val="32"/>
          <w:szCs w:val="40"/>
        </w:rPr>
        <w:t>报价函模板</w:t>
      </w:r>
    </w:p>
    <w:p>
      <w:pPr>
        <w:pStyle w:val="6"/>
        <w:numPr>
          <w:ilvl w:val="0"/>
          <w:numId w:val="3"/>
        </w:numPr>
        <w:ind w:left="1764" w:leftChars="0" w:firstLine="0" w:firstLineChars="0"/>
        <w:rPr>
          <w:rFonts w:hint="eastAsia" w:ascii="仿宋_GB2312" w:hAnsi="仿宋_GB2312" w:eastAsia="仿宋_GB2312" w:cs="仿宋_GB2312"/>
          <w:b w:val="0"/>
          <w:bCs w:val="0"/>
          <w:kern w:val="2"/>
          <w:sz w:val="32"/>
          <w:szCs w:val="40"/>
          <w:lang w:val="en-US" w:eastAsia="zh-CN" w:bidi="ar-SA"/>
        </w:rPr>
      </w:pPr>
      <w:r>
        <w:rPr>
          <w:rFonts w:hint="eastAsia" w:ascii="仿宋_GB2312" w:hAnsi="仿宋_GB2312" w:eastAsia="仿宋_GB2312" w:cs="仿宋_GB2312"/>
          <w:b w:val="0"/>
          <w:bCs w:val="0"/>
          <w:kern w:val="2"/>
          <w:sz w:val="32"/>
          <w:szCs w:val="40"/>
          <w:lang w:val="en-US" w:eastAsia="zh-CN" w:bidi="ar-SA"/>
        </w:rPr>
        <w:t>评分细则表</w:t>
      </w:r>
    </w:p>
    <w:p>
      <w:pPr>
        <w:pStyle w:val="6"/>
        <w:numPr>
          <w:ilvl w:val="0"/>
          <w:numId w:val="3"/>
        </w:numPr>
        <w:ind w:left="1764" w:leftChars="0" w:firstLine="0" w:firstLineChars="0"/>
        <w:rPr>
          <w:rFonts w:hint="eastAsia" w:ascii="仿宋_GB2312" w:hAnsi="仿宋_GB2312" w:eastAsia="仿宋_GB2312" w:cs="仿宋_GB2312"/>
          <w:b w:val="0"/>
          <w:bCs w:val="0"/>
          <w:kern w:val="2"/>
          <w:sz w:val="32"/>
          <w:szCs w:val="40"/>
          <w:lang w:val="en-US" w:eastAsia="zh-CN" w:bidi="ar-SA"/>
        </w:rPr>
      </w:pPr>
      <w:r>
        <w:rPr>
          <w:rFonts w:hint="eastAsia" w:ascii="仿宋_GB2312" w:hAnsi="仿宋_GB2312" w:eastAsia="仿宋_GB2312" w:cs="仿宋_GB2312"/>
          <w:b w:val="0"/>
          <w:bCs w:val="0"/>
          <w:kern w:val="2"/>
          <w:sz w:val="32"/>
          <w:szCs w:val="40"/>
          <w:lang w:val="en-US" w:eastAsia="zh-CN" w:bidi="ar-SA"/>
        </w:rPr>
        <w:t>罗湖产投公司新办公区域装修项目报价清单</w:t>
      </w:r>
    </w:p>
    <w:p>
      <w:pPr>
        <w:spacing w:line="600" w:lineRule="exact"/>
        <w:rPr>
          <w:rFonts w:hint="eastAsia" w:ascii="仿宋_GB2312" w:hAnsi="仿宋_GB2312" w:eastAsia="仿宋_GB2312" w:cs="仿宋_GB2312"/>
          <w:sz w:val="32"/>
          <w:szCs w:val="40"/>
        </w:rPr>
      </w:pPr>
    </w:p>
    <w:p>
      <w:pPr>
        <w:spacing w:line="600" w:lineRule="exact"/>
        <w:rPr>
          <w:rFonts w:hint="eastAsia" w:ascii="仿宋_GB2312" w:hAnsi="仿宋_GB2312" w:eastAsia="仿宋_GB2312" w:cs="仿宋_GB2312"/>
          <w:sz w:val="32"/>
          <w:szCs w:val="40"/>
        </w:rPr>
      </w:pPr>
    </w:p>
    <w:p>
      <w:pPr>
        <w:spacing w:line="600" w:lineRule="exact"/>
        <w:jc w:val="center"/>
        <w:rPr>
          <w:rFonts w:hint="eastAsia" w:ascii="仿宋_GB2312" w:hAnsi="仿宋_GB2312" w:eastAsia="仿宋_GB2312" w:cs="仿宋_GB2312"/>
          <w:sz w:val="32"/>
          <w:szCs w:val="40"/>
        </w:rPr>
      </w:pPr>
      <w:r>
        <w:rPr>
          <w:rFonts w:hint="eastAsia" w:ascii="仿宋_GB2312" w:hAnsi="仿宋_GB2312" w:eastAsia="仿宋_GB2312" w:cs="仿宋_GB2312"/>
          <w:sz w:val="32"/>
          <w:szCs w:val="32"/>
          <w:lang w:val="en-US" w:eastAsia="zh-CN"/>
        </w:rPr>
        <w:t xml:space="preserve">                         深圳市罗湖产业投资建设有限</w:t>
      </w:r>
      <w:r>
        <w:rPr>
          <w:rFonts w:hint="eastAsia" w:ascii="仿宋_GB2312" w:hAnsi="仿宋_GB2312" w:eastAsia="仿宋_GB2312" w:cs="仿宋_GB2312"/>
          <w:sz w:val="32"/>
          <w:szCs w:val="32"/>
        </w:rPr>
        <w:t>公司</w:t>
      </w:r>
    </w:p>
    <w:p>
      <w:pPr>
        <w:wordWrap w:val="0"/>
        <w:spacing w:line="600" w:lineRule="exact"/>
        <w:jc w:val="center"/>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rPr>
        <w:t>202</w:t>
      </w:r>
      <w:r>
        <w:rPr>
          <w:rFonts w:hint="eastAsia" w:ascii="仿宋_GB2312" w:hAnsi="仿宋_GB2312" w:eastAsia="仿宋_GB2312" w:cs="仿宋_GB2312"/>
          <w:sz w:val="32"/>
          <w:szCs w:val="40"/>
          <w:lang w:val="en-US" w:eastAsia="zh-CN"/>
        </w:rPr>
        <w:t>6</w:t>
      </w:r>
      <w:r>
        <w:rPr>
          <w:rFonts w:hint="eastAsia" w:ascii="仿宋_GB2312" w:hAnsi="仿宋_GB2312" w:eastAsia="仿宋_GB2312" w:cs="仿宋_GB2312"/>
          <w:sz w:val="32"/>
          <w:szCs w:val="40"/>
        </w:rPr>
        <w:t>年</w:t>
      </w:r>
      <w:r>
        <w:rPr>
          <w:rFonts w:hint="eastAsia" w:ascii="仿宋_GB2312" w:hAnsi="仿宋_GB2312" w:eastAsia="仿宋_GB2312" w:cs="仿宋_GB2312"/>
          <w:sz w:val="32"/>
          <w:szCs w:val="40"/>
          <w:lang w:val="en-US" w:eastAsia="zh-CN"/>
        </w:rPr>
        <w:t>9</w:t>
      </w:r>
      <w:r>
        <w:rPr>
          <w:rFonts w:hint="eastAsia" w:ascii="仿宋_GB2312" w:hAnsi="仿宋_GB2312" w:eastAsia="仿宋_GB2312" w:cs="仿宋_GB2312"/>
          <w:sz w:val="32"/>
          <w:szCs w:val="40"/>
        </w:rPr>
        <w:t>月</w:t>
      </w:r>
      <w:r>
        <w:rPr>
          <w:rFonts w:hint="eastAsia" w:ascii="仿宋_GB2312" w:hAnsi="仿宋_GB2312" w:eastAsia="仿宋_GB2312" w:cs="仿宋_GB2312"/>
          <w:sz w:val="32"/>
          <w:szCs w:val="40"/>
          <w:lang w:val="en-US" w:eastAsia="zh-CN"/>
        </w:rPr>
        <w:t>22</w:t>
      </w:r>
      <w:r>
        <w:rPr>
          <w:rFonts w:hint="eastAsia" w:ascii="仿宋_GB2312" w:hAnsi="仿宋_GB2312" w:eastAsia="仿宋_GB2312" w:cs="仿宋_GB2312"/>
          <w:sz w:val="32"/>
          <w:szCs w:val="40"/>
        </w:rPr>
        <w:t xml:space="preserve">日     </w:t>
      </w:r>
    </w:p>
    <w:p>
      <w:pPr>
        <w:wordWrap w:val="0"/>
        <w:spacing w:line="600" w:lineRule="exact"/>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 xml:space="preserve">   </w:t>
      </w:r>
    </w:p>
    <w:p>
      <w:pPr>
        <w:wordWrap w:val="0"/>
        <w:spacing w:line="600" w:lineRule="exact"/>
        <w:rPr>
          <w:rFonts w:hint="eastAsia" w:ascii="仿宋_GB2312" w:hAnsi="仿宋_GB2312" w:eastAsia="仿宋_GB2312" w:cs="仿宋_GB2312"/>
          <w:sz w:val="32"/>
          <w:szCs w:val="40"/>
        </w:rPr>
      </w:pPr>
    </w:p>
    <w:p>
      <w:pPr>
        <w:wordWrap w:val="0"/>
        <w:spacing w:line="600" w:lineRule="exact"/>
        <w:rPr>
          <w:rFonts w:hint="eastAsia" w:ascii="仿宋_GB2312" w:hAnsi="仿宋_GB2312" w:eastAsia="仿宋_GB2312" w:cs="仿宋_GB2312"/>
          <w:sz w:val="32"/>
          <w:szCs w:val="40"/>
        </w:rPr>
      </w:pPr>
    </w:p>
    <w:p>
      <w:pPr>
        <w:wordWrap w:val="0"/>
        <w:spacing w:line="600" w:lineRule="exact"/>
        <w:rPr>
          <w:rFonts w:hint="eastAsia" w:ascii="仿宋_GB2312" w:hAnsi="仿宋_GB2312" w:eastAsia="仿宋_GB2312" w:cs="仿宋_GB2312"/>
          <w:sz w:val="32"/>
          <w:szCs w:val="40"/>
        </w:rPr>
      </w:pPr>
    </w:p>
    <w:p>
      <w:pPr>
        <w:wordWrap w:val="0"/>
        <w:spacing w:line="600" w:lineRule="exact"/>
        <w:rPr>
          <w:rFonts w:hint="eastAsia" w:ascii="仿宋_GB2312" w:hAnsi="仿宋_GB2312" w:eastAsia="仿宋_GB2312" w:cs="仿宋_GB2312"/>
          <w:sz w:val="32"/>
          <w:szCs w:val="40"/>
        </w:rPr>
      </w:pPr>
    </w:p>
    <w:p>
      <w:pPr>
        <w:spacing w:line="560" w:lineRule="exact"/>
        <w:jc w:val="left"/>
        <w:rPr>
          <w:rFonts w:hint="eastAsia" w:ascii="仿宋" w:hAnsi="仿宋" w:eastAsia="仿宋" w:cs="仿宋"/>
          <w:sz w:val="32"/>
          <w:szCs w:val="40"/>
        </w:rPr>
      </w:pPr>
    </w:p>
    <w:p>
      <w:pPr>
        <w:spacing w:line="560" w:lineRule="exact"/>
        <w:jc w:val="left"/>
        <w:rPr>
          <w:rFonts w:hint="eastAsia" w:ascii="仿宋" w:hAnsi="仿宋" w:eastAsia="仿宋" w:cs="仿宋"/>
          <w:sz w:val="32"/>
          <w:szCs w:val="40"/>
        </w:rPr>
      </w:pPr>
    </w:p>
    <w:p>
      <w:pPr>
        <w:spacing w:line="560" w:lineRule="exact"/>
        <w:jc w:val="left"/>
        <w:rPr>
          <w:rFonts w:hint="eastAsia" w:ascii="仿宋" w:hAnsi="仿宋" w:eastAsia="仿宋" w:cs="仿宋"/>
          <w:sz w:val="32"/>
          <w:szCs w:val="40"/>
        </w:rPr>
      </w:pPr>
    </w:p>
    <w:p>
      <w:pPr>
        <w:spacing w:line="560" w:lineRule="exact"/>
        <w:jc w:val="left"/>
        <w:rPr>
          <w:rFonts w:hint="eastAsia" w:ascii="仿宋" w:hAnsi="仿宋" w:eastAsia="仿宋" w:cs="仿宋"/>
          <w:sz w:val="32"/>
          <w:szCs w:val="40"/>
        </w:rPr>
      </w:pPr>
    </w:p>
    <w:p>
      <w:pPr>
        <w:spacing w:line="560" w:lineRule="exact"/>
        <w:jc w:val="left"/>
        <w:rPr>
          <w:rFonts w:hint="eastAsia" w:ascii="仿宋" w:hAnsi="仿宋" w:eastAsia="仿宋" w:cs="仿宋"/>
          <w:sz w:val="32"/>
          <w:szCs w:val="40"/>
        </w:rPr>
      </w:pPr>
    </w:p>
    <w:p>
      <w:pPr>
        <w:spacing w:line="560" w:lineRule="exact"/>
        <w:jc w:val="left"/>
        <w:rPr>
          <w:rFonts w:hint="eastAsia" w:ascii="仿宋" w:hAnsi="仿宋" w:eastAsia="仿宋" w:cs="仿宋"/>
          <w:sz w:val="32"/>
          <w:szCs w:val="40"/>
        </w:rPr>
      </w:pPr>
    </w:p>
    <w:p>
      <w:pPr>
        <w:spacing w:line="560" w:lineRule="exact"/>
        <w:jc w:val="left"/>
        <w:rPr>
          <w:rFonts w:hint="eastAsia" w:ascii="仿宋" w:hAnsi="仿宋" w:eastAsia="仿宋" w:cs="仿宋"/>
          <w:sz w:val="32"/>
          <w:szCs w:val="40"/>
        </w:rPr>
      </w:pPr>
    </w:p>
    <w:p>
      <w:pPr>
        <w:spacing w:line="560" w:lineRule="exact"/>
        <w:jc w:val="left"/>
        <w:rPr>
          <w:rFonts w:hint="eastAsia" w:ascii="仿宋" w:hAnsi="仿宋" w:eastAsia="仿宋" w:cs="仿宋"/>
          <w:sz w:val="32"/>
          <w:szCs w:val="40"/>
        </w:rPr>
      </w:pPr>
    </w:p>
    <w:p>
      <w:pPr>
        <w:spacing w:line="560" w:lineRule="exact"/>
        <w:jc w:val="left"/>
        <w:rPr>
          <w:rFonts w:hint="eastAsia" w:ascii="仿宋" w:hAnsi="仿宋" w:eastAsia="仿宋" w:cs="仿宋"/>
          <w:sz w:val="32"/>
          <w:szCs w:val="40"/>
          <w:lang w:eastAsia="zh-CN"/>
        </w:rPr>
      </w:pPr>
      <w:r>
        <w:rPr>
          <w:rFonts w:hint="eastAsia" w:ascii="仿宋" w:hAnsi="仿宋" w:eastAsia="仿宋" w:cs="仿宋"/>
          <w:sz w:val="32"/>
          <w:szCs w:val="40"/>
        </w:rPr>
        <w:t>附件1</w:t>
      </w:r>
      <w:r>
        <w:rPr>
          <w:rFonts w:hint="eastAsia" w:ascii="仿宋" w:hAnsi="仿宋" w:eastAsia="仿宋" w:cs="仿宋"/>
          <w:sz w:val="32"/>
          <w:szCs w:val="40"/>
          <w:lang w:eastAsia="zh-CN"/>
        </w:rPr>
        <w:t>：</w:t>
      </w:r>
    </w:p>
    <w:p>
      <w:pPr>
        <w:widowControl/>
        <w:jc w:val="both"/>
        <w:outlineLvl w:val="9"/>
        <w:rPr>
          <w:rFonts w:hint="eastAsia" w:ascii="方正小标宋_GBK" w:hAnsi="方正小标宋_GBK" w:eastAsia="方正小标宋_GBK" w:cs="方正小标宋_GBK"/>
          <w:color w:val="auto"/>
          <w:sz w:val="44"/>
          <w:szCs w:val="44"/>
        </w:rPr>
      </w:pPr>
    </w:p>
    <w:p>
      <w:pPr>
        <w:widowControl/>
        <w:spacing w:line="560" w:lineRule="exact"/>
        <w:jc w:val="center"/>
        <w:outlineLvl w:val="9"/>
        <w:rPr>
          <w:rFonts w:hint="eastAsia" w:ascii="国标小标宋-GB/T 2312" w:hAnsi="国标小标宋-GB/T 2312" w:eastAsia="国标小标宋-GB/T 2312" w:cs="国标小标宋-GB/T 2312"/>
          <w:sz w:val="44"/>
          <w:szCs w:val="44"/>
        </w:rPr>
      </w:pPr>
      <w:r>
        <w:rPr>
          <w:rFonts w:hint="eastAsia" w:ascii="国标小标宋-GB/T 2312" w:hAnsi="国标小标宋-GB/T 2312" w:eastAsia="国标小标宋-GB/T 2312" w:cs="国标小标宋-GB/T 2312"/>
          <w:sz w:val="44"/>
          <w:szCs w:val="44"/>
        </w:rPr>
        <w:t>一、报价函</w:t>
      </w:r>
    </w:p>
    <w:p>
      <w:pPr>
        <w:spacing w:line="560" w:lineRule="exact"/>
        <w:jc w:val="center"/>
        <w:rPr>
          <w:rFonts w:hint="eastAsia" w:asciiTheme="majorEastAsia" w:hAnsiTheme="majorEastAsia" w:eastAsiaTheme="majorEastAsia" w:cstheme="majorEastAsia"/>
          <w:sz w:val="44"/>
          <w:szCs w:val="52"/>
        </w:rPr>
      </w:pPr>
    </w:p>
    <w:p>
      <w:pPr>
        <w:spacing w:line="560" w:lineRule="exact"/>
        <w:jc w:val="left"/>
        <w:rPr>
          <w:rFonts w:hint="eastAsia" w:ascii="仿宋" w:hAnsi="仿宋" w:eastAsia="仿宋" w:cs="仿宋"/>
          <w:sz w:val="32"/>
          <w:szCs w:val="40"/>
        </w:rPr>
      </w:pPr>
      <w:r>
        <w:rPr>
          <w:rFonts w:hint="eastAsia" w:ascii="仿宋_GB2312" w:hAnsi="仿宋_GB2312" w:eastAsia="仿宋_GB2312" w:cs="仿宋_GB2312"/>
          <w:sz w:val="32"/>
          <w:szCs w:val="32"/>
          <w:lang w:val="en-US" w:eastAsia="zh-CN"/>
        </w:rPr>
        <w:t>XXX</w:t>
      </w:r>
      <w:r>
        <w:rPr>
          <w:rFonts w:hint="eastAsia" w:ascii="仿宋_GB2312" w:hAnsi="仿宋_GB2312" w:eastAsia="仿宋_GB2312" w:cs="仿宋_GB2312"/>
          <w:sz w:val="32"/>
          <w:szCs w:val="32"/>
        </w:rPr>
        <w:t>公司</w:t>
      </w:r>
      <w:r>
        <w:rPr>
          <w:rFonts w:hint="eastAsia" w:ascii="仿宋" w:hAnsi="仿宋" w:eastAsia="仿宋" w:cs="仿宋"/>
          <w:sz w:val="32"/>
          <w:szCs w:val="40"/>
        </w:rPr>
        <w:t>：</w:t>
      </w:r>
    </w:p>
    <w:p>
      <w:pPr>
        <w:numPr>
          <w:ilvl w:val="0"/>
          <w:numId w:val="0"/>
        </w:numPr>
        <w:spacing w:line="560" w:lineRule="exact"/>
        <w:ind w:firstLine="640" w:firstLineChars="200"/>
        <w:jc w:val="left"/>
        <w:rPr>
          <w:rFonts w:ascii="仿宋" w:hAnsi="仿宋" w:eastAsia="仿宋" w:cs="仿宋"/>
          <w:sz w:val="32"/>
          <w:szCs w:val="40"/>
        </w:rPr>
      </w:pPr>
      <w:r>
        <w:rPr>
          <w:rFonts w:hint="eastAsia" w:ascii="仿宋" w:hAnsi="仿宋" w:eastAsia="仿宋" w:cs="仿宋"/>
          <w:sz w:val="32"/>
          <w:szCs w:val="40"/>
        </w:rPr>
        <w:t>贵司询价函我司已收悉，决定参与报价，现就</w:t>
      </w:r>
      <w:r>
        <w:rPr>
          <w:rFonts w:hint="eastAsia" w:ascii="仿宋" w:hAnsi="仿宋" w:eastAsia="仿宋" w:cs="仿宋"/>
          <w:sz w:val="32"/>
          <w:szCs w:val="40"/>
          <w:u w:val="none"/>
        </w:rPr>
        <w:t>“</w:t>
      </w:r>
      <w:r>
        <w:rPr>
          <w:rFonts w:hint="eastAsia" w:ascii="仿宋" w:hAnsi="仿宋" w:eastAsia="仿宋" w:cs="仿宋"/>
          <w:sz w:val="32"/>
          <w:szCs w:val="40"/>
          <w:u w:val="single"/>
        </w:rPr>
        <w:t>罗湖产投公司新办公区域装修项目</w:t>
      </w:r>
      <w:r>
        <w:rPr>
          <w:rFonts w:hint="eastAsia" w:ascii="仿宋" w:hAnsi="仿宋" w:eastAsia="仿宋" w:cs="仿宋"/>
          <w:sz w:val="32"/>
          <w:szCs w:val="40"/>
          <w:u w:val="none"/>
          <w:lang w:eastAsia="zh-CN"/>
        </w:rPr>
        <w:t>”</w:t>
      </w:r>
      <w:r>
        <w:rPr>
          <w:rFonts w:hint="eastAsia" w:ascii="仿宋" w:hAnsi="仿宋" w:eastAsia="仿宋" w:cs="仿宋"/>
          <w:sz w:val="32"/>
          <w:szCs w:val="40"/>
        </w:rPr>
        <w:t>报价如下：</w:t>
      </w:r>
    </w:p>
    <w:p>
      <w:pPr>
        <w:pageBreakBefore w:val="0"/>
        <w:kinsoku/>
        <w:wordWrap/>
        <w:overflowPunct/>
        <w:topLinePunct w:val="0"/>
        <w:autoSpaceDE/>
        <w:autoSpaceDN/>
        <w:bidi w:val="0"/>
        <w:snapToGrid/>
        <w:spacing w:line="360" w:lineRule="auto"/>
        <w:ind w:firstLine="640" w:firstLineChars="200"/>
        <w:jc w:val="left"/>
        <w:rPr>
          <w:rFonts w:ascii="仿宋" w:hAnsi="仿宋" w:eastAsia="仿宋" w:cs="仿宋"/>
          <w:sz w:val="32"/>
          <w:szCs w:val="40"/>
        </w:rPr>
      </w:pPr>
      <w:r>
        <w:rPr>
          <w:rFonts w:hint="eastAsia" w:ascii="仿宋" w:hAnsi="仿宋" w:eastAsia="仿宋" w:cs="仿宋"/>
          <w:sz w:val="32"/>
          <w:szCs w:val="40"/>
          <w:lang w:val="en-US" w:eastAsia="zh-CN"/>
        </w:rPr>
        <w:t>一</w:t>
      </w:r>
      <w:r>
        <w:rPr>
          <w:rFonts w:hint="eastAsia" w:ascii="仿宋" w:hAnsi="仿宋" w:eastAsia="仿宋" w:cs="仿宋"/>
          <w:sz w:val="32"/>
          <w:szCs w:val="40"/>
        </w:rPr>
        <w:t>、我方愿意按照询价函规定的各项要求，向</w:t>
      </w:r>
      <w:r>
        <w:rPr>
          <w:rFonts w:hint="eastAsia" w:ascii="仿宋" w:hAnsi="仿宋" w:eastAsia="仿宋" w:cs="仿宋"/>
          <w:sz w:val="32"/>
          <w:szCs w:val="40"/>
          <w:lang w:eastAsia="zh-CN"/>
        </w:rPr>
        <w:t>贵</w:t>
      </w:r>
      <w:r>
        <w:rPr>
          <w:rFonts w:hint="eastAsia" w:ascii="仿宋" w:hAnsi="仿宋" w:eastAsia="仿宋" w:cs="仿宋"/>
          <w:sz w:val="32"/>
          <w:szCs w:val="40"/>
        </w:rPr>
        <w:t>司提供相应服务，总报价为人民币</w:t>
      </w:r>
      <w:r>
        <w:rPr>
          <w:rFonts w:hint="eastAsia" w:ascii="仿宋" w:hAnsi="仿宋" w:eastAsia="仿宋" w:cs="仿宋"/>
          <w:sz w:val="32"/>
          <w:szCs w:val="40"/>
          <w:u w:val="none"/>
          <w:lang w:eastAsia="zh-CN"/>
        </w:rPr>
        <w:t>（</w:t>
      </w:r>
      <w:r>
        <w:rPr>
          <w:rFonts w:hint="eastAsia" w:ascii="仿宋" w:hAnsi="仿宋" w:eastAsia="仿宋" w:cs="仿宋"/>
          <w:sz w:val="32"/>
          <w:szCs w:val="40"/>
          <w:u w:val="none"/>
          <w:lang w:val="en-US" w:eastAsia="zh-CN"/>
        </w:rPr>
        <w:t>小写</w:t>
      </w:r>
      <w:r>
        <w:rPr>
          <w:rFonts w:hint="eastAsia" w:ascii="仿宋" w:hAnsi="仿宋" w:eastAsia="仿宋" w:cs="仿宋"/>
          <w:sz w:val="32"/>
          <w:szCs w:val="40"/>
          <w:u w:val="none"/>
          <w:lang w:eastAsia="zh-CN"/>
        </w:rPr>
        <w:t>）</w:t>
      </w:r>
      <w:r>
        <w:rPr>
          <w:rFonts w:hint="eastAsia" w:ascii="仿宋" w:hAnsi="仿宋" w:eastAsia="仿宋" w:cs="仿宋"/>
          <w:sz w:val="32"/>
          <w:szCs w:val="40"/>
          <w:u w:val="single"/>
        </w:rPr>
        <w:t>XX元</w:t>
      </w:r>
      <w:r>
        <w:rPr>
          <w:rFonts w:hint="eastAsia" w:ascii="仿宋" w:hAnsi="仿宋" w:eastAsia="仿宋" w:cs="仿宋"/>
          <w:sz w:val="32"/>
          <w:szCs w:val="40"/>
          <w:u w:val="single"/>
          <w:lang w:eastAsia="zh-CN"/>
        </w:rPr>
        <w:t>，</w:t>
      </w:r>
      <w:r>
        <w:rPr>
          <w:rFonts w:hint="eastAsia" w:ascii="仿宋" w:hAnsi="仿宋" w:eastAsia="仿宋" w:cs="仿宋"/>
          <w:sz w:val="32"/>
          <w:szCs w:val="40"/>
          <w:u w:val="none"/>
          <w:lang w:eastAsia="zh-CN"/>
        </w:rPr>
        <w:t>（</w:t>
      </w:r>
      <w:r>
        <w:rPr>
          <w:rFonts w:hint="eastAsia" w:ascii="仿宋" w:hAnsi="仿宋" w:eastAsia="仿宋" w:cs="仿宋"/>
          <w:sz w:val="32"/>
          <w:szCs w:val="40"/>
          <w:u w:val="none"/>
          <w:lang w:val="en-US" w:eastAsia="zh-CN"/>
        </w:rPr>
        <w:t>大写</w:t>
      </w:r>
      <w:r>
        <w:rPr>
          <w:rFonts w:hint="eastAsia" w:ascii="仿宋" w:hAnsi="仿宋" w:eastAsia="仿宋" w:cs="仿宋"/>
          <w:sz w:val="32"/>
          <w:szCs w:val="40"/>
          <w:u w:val="none"/>
          <w:lang w:eastAsia="zh-CN"/>
        </w:rPr>
        <w:t>）</w:t>
      </w:r>
      <w:r>
        <w:rPr>
          <w:rFonts w:hint="eastAsia" w:ascii="仿宋" w:hAnsi="仿宋" w:eastAsia="仿宋" w:cs="仿宋"/>
          <w:sz w:val="32"/>
          <w:szCs w:val="40"/>
          <w:u w:val="single"/>
        </w:rPr>
        <w:t>XX元</w:t>
      </w:r>
      <w:r>
        <w:rPr>
          <w:rFonts w:hint="eastAsia" w:ascii="仿宋" w:hAnsi="仿宋" w:eastAsia="仿宋" w:cs="仿宋"/>
          <w:sz w:val="32"/>
          <w:szCs w:val="40"/>
          <w:u w:val="none"/>
          <w:lang w:eastAsia="zh-CN"/>
        </w:rPr>
        <w:t>（</w:t>
      </w:r>
      <w:r>
        <w:rPr>
          <w:rFonts w:hint="eastAsia" w:ascii="仿宋" w:hAnsi="仿宋" w:eastAsia="仿宋" w:cs="仿宋"/>
          <w:sz w:val="32"/>
          <w:szCs w:val="40"/>
          <w:u w:val="none"/>
          <w:lang w:val="en-US" w:eastAsia="zh-CN"/>
        </w:rPr>
        <w:t>含税</w:t>
      </w:r>
      <w:r>
        <w:rPr>
          <w:rFonts w:hint="eastAsia" w:ascii="仿宋" w:hAnsi="仿宋" w:eastAsia="仿宋" w:cs="仿宋"/>
          <w:sz w:val="32"/>
          <w:szCs w:val="40"/>
          <w:u w:val="none"/>
          <w:lang w:eastAsia="zh-CN"/>
        </w:rPr>
        <w:t>）</w:t>
      </w:r>
      <w:r>
        <w:rPr>
          <w:rFonts w:hint="eastAsia" w:ascii="仿宋" w:hAnsi="仿宋" w:eastAsia="仿宋" w:cs="仿宋"/>
          <w:sz w:val="32"/>
          <w:szCs w:val="40"/>
        </w:rPr>
        <w:t>；</w:t>
      </w:r>
    </w:p>
    <w:p>
      <w:pPr>
        <w:spacing w:line="560" w:lineRule="exact"/>
        <w:ind w:firstLine="640" w:firstLineChars="200"/>
        <w:jc w:val="left"/>
        <w:rPr>
          <w:rFonts w:hint="eastAsia" w:ascii="仿宋" w:hAnsi="仿宋" w:eastAsia="仿宋" w:cs="仿宋"/>
          <w:sz w:val="32"/>
          <w:szCs w:val="40"/>
        </w:rPr>
      </w:pPr>
      <w:r>
        <w:rPr>
          <w:rFonts w:hint="eastAsia" w:ascii="仿宋" w:hAnsi="仿宋" w:eastAsia="仿宋" w:cs="仿宋"/>
          <w:sz w:val="32"/>
          <w:szCs w:val="40"/>
          <w:lang w:val="en-US" w:eastAsia="zh-CN"/>
        </w:rPr>
        <w:t>二</w:t>
      </w:r>
      <w:r>
        <w:rPr>
          <w:rFonts w:hint="eastAsia" w:ascii="仿宋" w:hAnsi="仿宋" w:eastAsia="仿宋" w:cs="仿宋"/>
          <w:sz w:val="32"/>
          <w:szCs w:val="40"/>
        </w:rPr>
        <w:t>、一旦我方中标，双方合同签字生效后，我方将严格履行合同规定的职责和义务，保证按照合同要求贵司要求提供服务。</w:t>
      </w:r>
    </w:p>
    <w:p>
      <w:pPr>
        <w:spacing w:line="560" w:lineRule="exact"/>
        <w:ind w:firstLine="640" w:firstLineChars="200"/>
        <w:jc w:val="left"/>
        <w:rPr>
          <w:rFonts w:ascii="仿宋" w:hAnsi="仿宋" w:eastAsia="仿宋" w:cs="仿宋"/>
          <w:sz w:val="32"/>
          <w:szCs w:val="40"/>
        </w:rPr>
      </w:pPr>
      <w:r>
        <w:rPr>
          <w:rFonts w:hint="eastAsia" w:ascii="仿宋" w:hAnsi="仿宋" w:eastAsia="仿宋" w:cs="仿宋"/>
          <w:sz w:val="32"/>
          <w:szCs w:val="40"/>
          <w:lang w:val="en-US" w:eastAsia="zh-CN"/>
        </w:rPr>
        <w:t>三</w:t>
      </w:r>
      <w:r>
        <w:rPr>
          <w:rFonts w:hint="eastAsia" w:ascii="仿宋" w:hAnsi="仿宋" w:eastAsia="仿宋" w:cs="仿宋"/>
          <w:sz w:val="32"/>
          <w:szCs w:val="40"/>
        </w:rPr>
        <w:t>、我方提供给贵单位的与本项目采购有关的文件资料，保证文件资料的真实性和准确性。</w:t>
      </w:r>
    </w:p>
    <w:p>
      <w:pPr>
        <w:spacing w:line="560" w:lineRule="exact"/>
        <w:ind w:firstLine="640" w:firstLineChars="200"/>
        <w:jc w:val="left"/>
        <w:rPr>
          <w:rFonts w:hint="eastAsia" w:ascii="仿宋" w:hAnsi="仿宋" w:eastAsia="仿宋" w:cs="仿宋"/>
          <w:sz w:val="32"/>
          <w:szCs w:val="40"/>
        </w:rPr>
      </w:pPr>
    </w:p>
    <w:p>
      <w:pPr>
        <w:spacing w:line="560" w:lineRule="exact"/>
        <w:ind w:firstLine="640" w:firstLineChars="200"/>
        <w:jc w:val="left"/>
        <w:rPr>
          <w:rFonts w:hint="eastAsia" w:ascii="仿宋" w:hAnsi="仿宋" w:eastAsia="仿宋" w:cs="仿宋"/>
          <w:sz w:val="32"/>
          <w:szCs w:val="40"/>
        </w:rPr>
      </w:pPr>
    </w:p>
    <w:p>
      <w:pPr>
        <w:spacing w:line="560" w:lineRule="exact"/>
        <w:ind w:firstLine="640" w:firstLineChars="200"/>
        <w:jc w:val="left"/>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报价人名称（公章）：</w:t>
      </w:r>
    </w:p>
    <w:p>
      <w:pPr>
        <w:spacing w:line="560" w:lineRule="exact"/>
        <w:ind w:firstLine="640" w:firstLineChars="200"/>
        <w:jc w:val="left"/>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法定代表人或委托代理人签名：</w:t>
      </w:r>
    </w:p>
    <w:p>
      <w:pPr>
        <w:spacing w:line="560" w:lineRule="exact"/>
        <w:ind w:firstLine="640" w:firstLineChars="200"/>
        <w:jc w:val="left"/>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日期：</w:t>
      </w:r>
    </w:p>
    <w:p>
      <w:pPr>
        <w:spacing w:line="560" w:lineRule="exact"/>
        <w:ind w:firstLine="640" w:firstLineChars="200"/>
        <w:jc w:val="left"/>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通讯地址：</w:t>
      </w:r>
    </w:p>
    <w:p>
      <w:pPr>
        <w:spacing w:line="560" w:lineRule="exact"/>
        <w:ind w:firstLine="640" w:firstLineChars="200"/>
        <w:jc w:val="left"/>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联系人及联系方式：</w:t>
      </w:r>
    </w:p>
    <w:p/>
    <w:p/>
    <w:p>
      <w:pPr>
        <w:spacing w:line="560" w:lineRule="exact"/>
        <w:jc w:val="left"/>
        <w:rPr>
          <w:rFonts w:hint="default" w:ascii="仿宋" w:hAnsi="仿宋" w:eastAsia="仿宋" w:cs="仿宋"/>
          <w:sz w:val="32"/>
          <w:szCs w:val="40"/>
          <w:lang w:val="en-US" w:eastAsia="zh-CN"/>
        </w:rPr>
      </w:pPr>
      <w:r>
        <w:rPr>
          <w:rFonts w:hint="eastAsia" w:ascii="仿宋" w:hAnsi="仿宋" w:eastAsia="仿宋" w:cs="仿宋"/>
          <w:sz w:val="32"/>
          <w:szCs w:val="40"/>
          <w:lang w:val="en-US" w:eastAsia="zh-CN"/>
        </w:rPr>
        <w:t>附表：报价明细表</w:t>
      </w:r>
    </w:p>
    <w:tbl>
      <w:tblPr>
        <w:tblStyle w:val="12"/>
        <w:tblW w:w="9209" w:type="dxa"/>
        <w:jc w:val="center"/>
        <w:shd w:val="clear" w:color="auto" w:fill="FFFFFF"/>
        <w:tblLayout w:type="fixed"/>
        <w:tblCellMar>
          <w:top w:w="0" w:type="dxa"/>
          <w:left w:w="0" w:type="dxa"/>
          <w:bottom w:w="0" w:type="dxa"/>
          <w:right w:w="0" w:type="dxa"/>
        </w:tblCellMar>
      </w:tblPr>
      <w:tblGrid>
        <w:gridCol w:w="2030"/>
        <w:gridCol w:w="3045"/>
        <w:gridCol w:w="1875"/>
        <w:gridCol w:w="2259"/>
      </w:tblGrid>
      <w:tr>
        <w:tblPrEx>
          <w:shd w:val="clear" w:color="auto" w:fill="FFFFFF"/>
        </w:tblPrEx>
        <w:trPr>
          <w:trHeight w:val="90" w:hRule="atLeast"/>
          <w:jc w:val="center"/>
        </w:trPr>
        <w:tc>
          <w:tcPr>
            <w:tcW w:w="2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eastAsia="宋体"/>
                <w:b/>
                <w:color w:val="000000"/>
                <w:sz w:val="21"/>
                <w:szCs w:val="21"/>
                <w:highlight w:val="none"/>
                <w:lang w:eastAsia="zh-CN"/>
              </w:rPr>
            </w:pPr>
            <w:r>
              <w:rPr>
                <w:rFonts w:hint="eastAsia"/>
                <w:b/>
                <w:color w:val="000000"/>
                <w:sz w:val="21"/>
                <w:szCs w:val="21"/>
                <w:highlight w:val="none"/>
                <w:lang w:eastAsia="zh-CN"/>
              </w:rPr>
              <w:t>报价内容</w:t>
            </w:r>
          </w:p>
        </w:tc>
        <w:tc>
          <w:tcPr>
            <w:tcW w:w="30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eastAsia="宋体"/>
                <w:b/>
                <w:color w:val="000000"/>
                <w:sz w:val="21"/>
                <w:szCs w:val="21"/>
                <w:highlight w:val="none"/>
                <w:lang w:eastAsia="zh-CN"/>
              </w:rPr>
            </w:pPr>
            <w:r>
              <w:rPr>
                <w:rFonts w:hint="eastAsia"/>
                <w:b/>
                <w:color w:val="000000"/>
                <w:szCs w:val="21"/>
              </w:rPr>
              <w:t>投标报价上限</w:t>
            </w:r>
          </w:p>
        </w:tc>
        <w:tc>
          <w:tcPr>
            <w:tcW w:w="18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eastAsia="宋体"/>
                <w:b/>
                <w:bCs/>
                <w:sz w:val="21"/>
                <w:szCs w:val="21"/>
                <w:highlight w:val="none"/>
                <w:lang w:eastAsia="zh-CN"/>
              </w:rPr>
            </w:pPr>
            <w:r>
              <w:rPr>
                <w:rFonts w:hint="eastAsia"/>
                <w:b/>
                <w:color w:val="000000"/>
                <w:szCs w:val="21"/>
              </w:rPr>
              <w:t>投标下浮率</w:t>
            </w:r>
          </w:p>
        </w:tc>
        <w:tc>
          <w:tcPr>
            <w:tcW w:w="225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b/>
                <w:color w:val="000000"/>
                <w:szCs w:val="21"/>
              </w:rPr>
            </w:pPr>
            <w:r>
              <w:rPr>
                <w:rFonts w:hint="eastAsia"/>
                <w:b/>
                <w:color w:val="000000"/>
                <w:szCs w:val="21"/>
              </w:rPr>
              <w:t>投标报价</w:t>
            </w:r>
          </w:p>
          <w:p>
            <w:pPr>
              <w:widowControl/>
              <w:jc w:val="center"/>
              <w:textAlignment w:val="center"/>
              <w:rPr>
                <w:b/>
                <w:color w:val="000000"/>
                <w:sz w:val="21"/>
                <w:szCs w:val="21"/>
                <w:highlight w:val="none"/>
                <w:lang w:eastAsia="zh-CN"/>
              </w:rPr>
            </w:pPr>
            <w:r>
              <w:rPr>
                <w:rFonts w:hint="eastAsia"/>
                <w:b/>
                <w:color w:val="000000"/>
                <w:sz w:val="21"/>
                <w:szCs w:val="21"/>
                <w:highlight w:val="none"/>
                <w:lang w:eastAsia="zh-CN"/>
              </w:rPr>
              <w:t>（元）</w:t>
            </w:r>
          </w:p>
        </w:tc>
      </w:tr>
      <w:tr>
        <w:tblPrEx>
          <w:tblCellMar>
            <w:top w:w="0" w:type="dxa"/>
            <w:left w:w="0" w:type="dxa"/>
            <w:bottom w:w="0" w:type="dxa"/>
            <w:right w:w="0" w:type="dxa"/>
          </w:tblCellMar>
        </w:tblPrEx>
        <w:trPr>
          <w:trHeight w:val="665" w:hRule="atLeast"/>
          <w:jc w:val="center"/>
        </w:trPr>
        <w:tc>
          <w:tcPr>
            <w:tcW w:w="2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color w:val="000000"/>
                <w:sz w:val="21"/>
                <w:szCs w:val="21"/>
                <w:highlight w:val="none"/>
                <w:lang w:val="en-US" w:eastAsia="zh-CN"/>
              </w:rPr>
            </w:pPr>
            <w:r>
              <w:rPr>
                <w:rFonts w:hint="default"/>
                <w:color w:val="000000"/>
                <w:sz w:val="21"/>
                <w:szCs w:val="21"/>
                <w:highlight w:val="none"/>
                <w:lang w:val="en-US" w:eastAsia="zh-CN"/>
              </w:rPr>
              <w:t>罗湖产投公司新办公区域装修项目</w:t>
            </w:r>
          </w:p>
        </w:tc>
        <w:tc>
          <w:tcPr>
            <w:tcW w:w="30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default"/>
                <w:color w:val="000000"/>
                <w:sz w:val="21"/>
                <w:szCs w:val="21"/>
                <w:highlight w:val="none"/>
                <w:lang w:val="en-US" w:eastAsia="zh-CN"/>
              </w:rPr>
            </w:pPr>
            <w:r>
              <w:rPr>
                <w:rFonts w:hint="eastAsia"/>
                <w:b w:val="0"/>
                <w:bCs w:val="0"/>
                <w:color w:val="000000"/>
                <w:sz w:val="21"/>
                <w:szCs w:val="21"/>
                <w:highlight w:val="none"/>
                <w:u w:val="single"/>
                <w:lang w:val="en-US" w:eastAsia="zh-CN"/>
              </w:rPr>
              <w:t>223300元</w:t>
            </w:r>
          </w:p>
        </w:tc>
        <w:tc>
          <w:tcPr>
            <w:tcW w:w="18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both"/>
              <w:textAlignment w:val="center"/>
              <w:rPr>
                <w:color w:val="000000"/>
                <w:sz w:val="21"/>
                <w:szCs w:val="21"/>
                <w:highlight w:val="none"/>
                <w:u w:val="single"/>
                <w:lang w:eastAsia="zh-CN"/>
              </w:rPr>
            </w:pPr>
            <w:r>
              <w:rPr>
                <w:rFonts w:hint="eastAsia"/>
                <w:b/>
                <w:bCs/>
                <w:color w:val="000000"/>
                <w:sz w:val="21"/>
                <w:szCs w:val="21"/>
                <w:highlight w:val="none"/>
                <w:u w:val="none"/>
                <w:lang w:val="en-US" w:eastAsia="zh-CN"/>
              </w:rPr>
              <w:t xml:space="preserve">      </w:t>
            </w:r>
            <w:r>
              <w:rPr>
                <w:rFonts w:hint="eastAsia"/>
                <w:b/>
                <w:bCs/>
                <w:color w:val="000000"/>
                <w:sz w:val="21"/>
                <w:szCs w:val="21"/>
                <w:highlight w:val="none"/>
                <w:u w:val="single"/>
                <w:lang w:val="en-US" w:eastAsia="zh-CN"/>
              </w:rPr>
              <w:t xml:space="preserve">    </w:t>
            </w:r>
            <w:r>
              <w:rPr>
                <w:b/>
                <w:bCs/>
                <w:color w:val="000000"/>
                <w:sz w:val="21"/>
                <w:szCs w:val="21"/>
                <w:highlight w:val="none"/>
                <w:u w:val="single"/>
              </w:rPr>
              <w:t xml:space="preserve">  </w:t>
            </w:r>
            <w:r>
              <w:rPr>
                <w:rFonts w:hint="eastAsia"/>
                <w:b/>
                <w:bCs/>
                <w:color w:val="000000"/>
                <w:sz w:val="21"/>
                <w:szCs w:val="21"/>
                <w:highlight w:val="none"/>
                <w:u w:val="single"/>
              </w:rPr>
              <w:t xml:space="preserve">   </w:t>
            </w:r>
            <w:r>
              <w:rPr>
                <w:rFonts w:hint="eastAsia"/>
                <w:color w:val="000000"/>
                <w:sz w:val="21"/>
                <w:szCs w:val="21"/>
                <w:highlight w:val="none"/>
                <w:lang w:bidi="ar"/>
              </w:rPr>
              <w:t>%</w:t>
            </w:r>
          </w:p>
        </w:tc>
        <w:tc>
          <w:tcPr>
            <w:tcW w:w="225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both"/>
              <w:textAlignment w:val="center"/>
              <w:rPr>
                <w:b/>
                <w:bCs/>
                <w:color w:val="000000"/>
                <w:sz w:val="21"/>
                <w:szCs w:val="21"/>
                <w:highlight w:val="none"/>
                <w:u w:val="single"/>
              </w:rPr>
            </w:pPr>
            <w:r>
              <w:rPr>
                <w:rFonts w:hint="eastAsia"/>
                <w:b/>
                <w:bCs/>
                <w:color w:val="000000"/>
                <w:sz w:val="21"/>
                <w:szCs w:val="21"/>
                <w:highlight w:val="none"/>
                <w:u w:val="none"/>
                <w:lang w:val="en-US" w:eastAsia="zh-CN"/>
              </w:rPr>
              <w:t xml:space="preserve">    </w:t>
            </w:r>
            <w:r>
              <w:rPr>
                <w:rFonts w:hint="eastAsia"/>
                <w:b/>
                <w:bCs/>
                <w:color w:val="000000"/>
                <w:sz w:val="21"/>
                <w:szCs w:val="21"/>
                <w:highlight w:val="none"/>
                <w:u w:val="single"/>
                <w:lang w:val="en-US" w:eastAsia="zh-CN"/>
              </w:rPr>
              <w:t xml:space="preserve">    </w:t>
            </w:r>
            <w:r>
              <w:rPr>
                <w:b/>
                <w:bCs/>
                <w:color w:val="000000"/>
                <w:sz w:val="21"/>
                <w:szCs w:val="21"/>
                <w:highlight w:val="none"/>
                <w:u w:val="single"/>
              </w:rPr>
              <w:t xml:space="preserve"> </w:t>
            </w:r>
            <w:r>
              <w:rPr>
                <w:rFonts w:hint="eastAsia"/>
                <w:b/>
                <w:bCs/>
                <w:color w:val="000000"/>
                <w:sz w:val="21"/>
                <w:szCs w:val="21"/>
                <w:highlight w:val="none"/>
                <w:u w:val="single"/>
                <w:lang w:val="en-US" w:eastAsia="zh-CN"/>
              </w:rPr>
              <w:t xml:space="preserve">  </w:t>
            </w:r>
            <w:r>
              <w:rPr>
                <w:b/>
                <w:bCs/>
                <w:color w:val="000000"/>
                <w:sz w:val="21"/>
                <w:szCs w:val="21"/>
                <w:highlight w:val="none"/>
                <w:u w:val="single"/>
              </w:rPr>
              <w:t xml:space="preserve"> </w:t>
            </w:r>
            <w:r>
              <w:rPr>
                <w:rFonts w:hint="eastAsia"/>
                <w:b/>
                <w:bCs/>
                <w:color w:val="000000"/>
                <w:sz w:val="21"/>
                <w:szCs w:val="21"/>
                <w:highlight w:val="none"/>
                <w:u w:val="single"/>
              </w:rPr>
              <w:t xml:space="preserve">   </w:t>
            </w:r>
          </w:p>
        </w:tc>
      </w:tr>
      <w:tr>
        <w:tblPrEx>
          <w:shd w:val="clear" w:color="auto" w:fill="FFFFFF"/>
          <w:tblCellMar>
            <w:top w:w="0" w:type="dxa"/>
            <w:left w:w="0" w:type="dxa"/>
            <w:bottom w:w="0" w:type="dxa"/>
            <w:right w:w="0" w:type="dxa"/>
          </w:tblCellMar>
        </w:tblPrEx>
        <w:trPr>
          <w:trHeight w:val="770" w:hRule="atLeast"/>
          <w:jc w:val="center"/>
        </w:trPr>
        <w:tc>
          <w:tcPr>
            <w:tcW w:w="6950"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b/>
                <w:bCs/>
                <w:color w:val="000000"/>
                <w:sz w:val="21"/>
                <w:szCs w:val="21"/>
                <w:highlight w:val="none"/>
                <w:u w:val="none"/>
                <w:lang w:val="en-US" w:eastAsia="zh-CN"/>
              </w:rPr>
            </w:pPr>
            <w:r>
              <w:rPr>
                <w:rFonts w:hint="eastAsia"/>
                <w:color w:val="000000"/>
                <w:szCs w:val="21"/>
                <w:lang w:bidi="ar"/>
              </w:rPr>
              <w:t>投标</w:t>
            </w:r>
            <w:r>
              <w:rPr>
                <w:rFonts w:hint="eastAsia"/>
                <w:b w:val="0"/>
                <w:bCs w:val="0"/>
                <w:color w:val="000000"/>
                <w:sz w:val="21"/>
                <w:szCs w:val="21"/>
                <w:highlight w:val="none"/>
                <w:lang w:eastAsia="zh-CN" w:bidi="ar"/>
              </w:rPr>
              <w:t>报价总价（元）</w:t>
            </w:r>
          </w:p>
        </w:tc>
        <w:tc>
          <w:tcPr>
            <w:tcW w:w="225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rPr>
                <w:rFonts w:hint="eastAsia"/>
                <w:b/>
                <w:bCs/>
                <w:color w:val="000000"/>
                <w:sz w:val="21"/>
                <w:szCs w:val="21"/>
                <w:highlight w:val="none"/>
                <w:u w:val="none"/>
                <w:lang w:val="en-US" w:eastAsia="zh-CN"/>
              </w:rPr>
            </w:pPr>
            <w:r>
              <w:rPr>
                <w:b/>
                <w:bCs/>
                <w:color w:val="000000"/>
                <w:sz w:val="21"/>
                <w:szCs w:val="21"/>
                <w:highlight w:val="none"/>
              </w:rPr>
              <w:t xml:space="preserve">   </w:t>
            </w:r>
            <w:r>
              <w:rPr>
                <w:b/>
                <w:bCs/>
                <w:color w:val="000000"/>
                <w:sz w:val="21"/>
                <w:szCs w:val="21"/>
                <w:highlight w:val="none"/>
                <w:u w:val="single"/>
              </w:rPr>
              <w:t xml:space="preserve">        </w:t>
            </w:r>
            <w:r>
              <w:rPr>
                <w:rFonts w:hint="eastAsia"/>
                <w:b/>
                <w:bCs/>
                <w:color w:val="000000"/>
                <w:sz w:val="21"/>
                <w:szCs w:val="21"/>
                <w:highlight w:val="none"/>
                <w:u w:val="single"/>
              </w:rPr>
              <w:t xml:space="preserve"> </w:t>
            </w:r>
            <w:r>
              <w:rPr>
                <w:rFonts w:hint="eastAsia"/>
                <w:b/>
                <w:bCs/>
                <w:color w:val="000000"/>
                <w:sz w:val="21"/>
                <w:szCs w:val="21"/>
                <w:highlight w:val="none"/>
                <w:u w:val="single"/>
                <w:lang w:val="en-US" w:eastAsia="zh-CN"/>
              </w:rPr>
              <w:t xml:space="preserve"> </w:t>
            </w:r>
            <w:r>
              <w:rPr>
                <w:rFonts w:hint="eastAsia"/>
                <w:b/>
                <w:bCs/>
                <w:color w:val="000000"/>
                <w:sz w:val="21"/>
                <w:szCs w:val="21"/>
                <w:highlight w:val="none"/>
                <w:u w:val="single"/>
              </w:rPr>
              <w:t xml:space="preserve">  </w:t>
            </w:r>
          </w:p>
        </w:tc>
      </w:tr>
      <w:tr>
        <w:tblPrEx>
          <w:tblCellMar>
            <w:top w:w="0" w:type="dxa"/>
            <w:left w:w="0" w:type="dxa"/>
            <w:bottom w:w="0" w:type="dxa"/>
            <w:right w:w="0" w:type="dxa"/>
          </w:tblCellMar>
        </w:tblPrEx>
        <w:trPr>
          <w:trHeight w:val="770" w:hRule="atLeast"/>
          <w:jc w:val="center"/>
        </w:trPr>
        <w:tc>
          <w:tcPr>
            <w:tcW w:w="6950"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b w:val="0"/>
                <w:bCs w:val="0"/>
                <w:color w:val="000000"/>
                <w:sz w:val="21"/>
                <w:szCs w:val="21"/>
                <w:highlight w:val="none"/>
                <w:lang w:eastAsia="zh-CN" w:bidi="ar"/>
              </w:rPr>
            </w:pPr>
            <w:r>
              <w:rPr>
                <w:rFonts w:hint="eastAsia"/>
                <w:b w:val="0"/>
                <w:bCs w:val="0"/>
                <w:color w:val="000000"/>
                <w:sz w:val="21"/>
                <w:szCs w:val="21"/>
                <w:highlight w:val="none"/>
                <w:lang w:eastAsia="zh-CN" w:bidi="ar"/>
              </w:rPr>
              <w:t>增值税税率（</w:t>
            </w:r>
            <w:r>
              <w:rPr>
                <w:rFonts w:hint="eastAsia"/>
                <w:b w:val="0"/>
                <w:bCs w:val="0"/>
                <w:color w:val="000000"/>
                <w:sz w:val="21"/>
                <w:szCs w:val="21"/>
                <w:highlight w:val="none"/>
                <w:lang w:val="en-US" w:eastAsia="zh-CN" w:bidi="ar"/>
              </w:rPr>
              <w:t>%</w:t>
            </w:r>
            <w:r>
              <w:rPr>
                <w:rFonts w:hint="eastAsia"/>
                <w:b w:val="0"/>
                <w:bCs w:val="0"/>
                <w:color w:val="000000"/>
                <w:sz w:val="21"/>
                <w:szCs w:val="21"/>
                <w:highlight w:val="none"/>
                <w:lang w:eastAsia="zh-CN" w:bidi="ar"/>
              </w:rPr>
              <w:t>）</w:t>
            </w:r>
          </w:p>
        </w:tc>
        <w:tc>
          <w:tcPr>
            <w:tcW w:w="225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rPr>
                <w:b/>
                <w:bCs/>
                <w:color w:val="000000"/>
                <w:sz w:val="21"/>
                <w:szCs w:val="21"/>
                <w:highlight w:val="none"/>
              </w:rPr>
            </w:pPr>
            <w:r>
              <w:rPr>
                <w:rFonts w:hint="eastAsia"/>
                <w:b/>
                <w:bCs/>
                <w:color w:val="000000"/>
                <w:sz w:val="21"/>
                <w:szCs w:val="21"/>
                <w:highlight w:val="none"/>
                <w:u w:val="none"/>
                <w:lang w:val="en-US" w:eastAsia="zh-CN"/>
              </w:rPr>
              <w:t xml:space="preserve">    </w:t>
            </w:r>
            <w:r>
              <w:rPr>
                <w:rFonts w:hint="eastAsia"/>
                <w:b/>
                <w:bCs/>
                <w:color w:val="000000"/>
                <w:sz w:val="21"/>
                <w:szCs w:val="21"/>
                <w:highlight w:val="none"/>
                <w:u w:val="single"/>
                <w:lang w:val="en-US" w:eastAsia="zh-CN"/>
              </w:rPr>
              <w:t xml:space="preserve">    </w:t>
            </w:r>
            <w:r>
              <w:rPr>
                <w:b/>
                <w:bCs/>
                <w:color w:val="000000"/>
                <w:sz w:val="21"/>
                <w:szCs w:val="21"/>
                <w:highlight w:val="none"/>
                <w:u w:val="single"/>
              </w:rPr>
              <w:t xml:space="preserve">  </w:t>
            </w:r>
            <w:r>
              <w:rPr>
                <w:rFonts w:hint="eastAsia"/>
                <w:b/>
                <w:bCs/>
                <w:color w:val="000000"/>
                <w:sz w:val="21"/>
                <w:szCs w:val="21"/>
                <w:highlight w:val="none"/>
                <w:u w:val="single"/>
                <w:lang w:val="en-US" w:eastAsia="zh-CN"/>
              </w:rPr>
              <w:t xml:space="preserve">   </w:t>
            </w:r>
            <w:r>
              <w:rPr>
                <w:rFonts w:hint="eastAsia"/>
                <w:b/>
                <w:bCs/>
                <w:color w:val="000000"/>
                <w:sz w:val="21"/>
                <w:szCs w:val="21"/>
                <w:highlight w:val="none"/>
                <w:u w:val="single"/>
              </w:rPr>
              <w:t xml:space="preserve">   </w:t>
            </w:r>
          </w:p>
        </w:tc>
      </w:tr>
      <w:tr>
        <w:tblPrEx>
          <w:tblCellMar>
            <w:top w:w="0" w:type="dxa"/>
            <w:left w:w="0" w:type="dxa"/>
            <w:bottom w:w="0" w:type="dxa"/>
            <w:right w:w="0" w:type="dxa"/>
          </w:tblCellMar>
        </w:tblPrEx>
        <w:trPr>
          <w:trHeight w:val="2646" w:hRule="atLeast"/>
          <w:jc w:val="center"/>
        </w:trPr>
        <w:tc>
          <w:tcPr>
            <w:tcW w:w="9209" w:type="dxa"/>
            <w:gridSpan w:val="4"/>
            <w:tcBorders>
              <w:top w:val="single" w:color="000000" w:sz="4" w:space="0"/>
              <w:left w:val="single" w:color="000000" w:sz="4" w:space="0"/>
              <w:bottom w:val="single" w:color="auto" w:sz="4" w:space="0"/>
              <w:right w:val="single" w:color="000000" w:sz="4" w:space="0"/>
            </w:tcBorders>
            <w:shd w:val="clear" w:color="auto" w:fill="FFFFFF"/>
            <w:tcMar>
              <w:top w:w="15" w:type="dxa"/>
              <w:left w:w="15" w:type="dxa"/>
              <w:right w:w="15" w:type="dxa"/>
            </w:tcMar>
            <w:vAlign w:val="center"/>
          </w:tcPr>
          <w:p>
            <w:pP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备注：1、投标报价和投标下浮率说明:投标报价=[投标报价上限价]*(1-投标下浮率)。</w:t>
            </w:r>
          </w:p>
          <w:p>
            <w:pPr>
              <w:ind w:firstLine="630" w:firstLineChars="300"/>
              <w:rPr>
                <w:rFonts w:hint="default"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2、报价为暂定，最终以合同签订及实际委托为准。</w:t>
            </w:r>
          </w:p>
          <w:p>
            <w:pPr>
              <w:ind w:firstLine="630" w:firstLineChars="30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4、报价保留两位小数，报价下浮率保留两位小数。</w:t>
            </w:r>
          </w:p>
          <w:p>
            <w:pPr>
              <w:ind w:firstLine="630" w:firstLineChars="300"/>
              <w:rPr>
                <w:rFonts w:hint="eastAsia" w:ascii="宋体" w:hAnsi="宋体" w:eastAsia="宋体" w:cs="宋体"/>
                <w:snapToGrid w:val="0"/>
                <w:color w:val="auto"/>
                <w:kern w:val="0"/>
                <w:sz w:val="21"/>
                <w:szCs w:val="21"/>
                <w:highlight w:val="none"/>
                <w:lang w:val="en-US" w:eastAsia="zh-CN" w:bidi="ar-SA"/>
              </w:rPr>
            </w:pPr>
            <w:r>
              <w:rPr>
                <w:rFonts w:hint="eastAsia"/>
                <w:szCs w:val="21"/>
                <w:highlight w:val="none"/>
                <w:lang w:val="en-US" w:eastAsia="zh-CN"/>
              </w:rPr>
              <w:t>5、采购人</w:t>
            </w:r>
            <w:r>
              <w:rPr>
                <w:rFonts w:hint="eastAsia"/>
                <w:szCs w:val="21"/>
                <w:highlight w:val="none"/>
                <w:lang w:eastAsia="zh-CN"/>
              </w:rPr>
              <w:t>不承诺最低价</w:t>
            </w:r>
            <w:r>
              <w:rPr>
                <w:rFonts w:hint="eastAsia"/>
                <w:szCs w:val="21"/>
                <w:highlight w:val="none"/>
                <w:lang w:val="en-US" w:eastAsia="zh-CN"/>
              </w:rPr>
              <w:t>采购</w:t>
            </w:r>
            <w:r>
              <w:rPr>
                <w:rFonts w:hint="eastAsia"/>
                <w:szCs w:val="21"/>
                <w:highlight w:val="none"/>
                <w:lang w:eastAsia="zh-CN"/>
              </w:rPr>
              <w:t>，</w:t>
            </w:r>
            <w:r>
              <w:rPr>
                <w:rFonts w:hint="eastAsia" w:ascii="宋体" w:hAnsi="宋体" w:eastAsia="宋体" w:cs="宋体"/>
                <w:snapToGrid w:val="0"/>
                <w:color w:val="auto"/>
                <w:kern w:val="0"/>
                <w:sz w:val="21"/>
                <w:szCs w:val="21"/>
                <w:highlight w:val="none"/>
                <w:lang w:val="en-US" w:eastAsia="zh-CN" w:bidi="ar-SA"/>
              </w:rPr>
              <w:t>超过报价上限的报价将按做废处理。</w:t>
            </w:r>
          </w:p>
          <w:p>
            <w:pPr>
              <w:pStyle w:val="4"/>
              <w:ind w:left="598" w:leftChars="285" w:firstLine="0" w:firstLineChars="0"/>
              <w:rPr>
                <w:rFonts w:hint="default"/>
                <w:highlight w:val="none"/>
                <w:lang w:val="en-US" w:eastAsia="zh-CN"/>
              </w:rPr>
            </w:pPr>
            <w:r>
              <w:rPr>
                <w:rFonts w:hint="eastAsia" w:ascii="宋体" w:hAnsi="宋体" w:eastAsia="宋体" w:cs="宋体"/>
                <w:szCs w:val="21"/>
                <w:highlight w:val="none"/>
                <w:lang w:val="en-US" w:eastAsia="zh-CN"/>
              </w:rPr>
              <w:t>6、投标人</w:t>
            </w:r>
            <w:r>
              <w:rPr>
                <w:rFonts w:hint="eastAsia" w:ascii="宋体" w:hAnsi="宋体" w:eastAsia="宋体" w:cs="宋体"/>
                <w:szCs w:val="21"/>
                <w:highlight w:val="none"/>
                <w:lang w:eastAsia="zh-CN"/>
              </w:rPr>
              <w:t>须自</w:t>
            </w:r>
            <w:r>
              <w:rPr>
                <w:rFonts w:hint="eastAsia"/>
                <w:szCs w:val="21"/>
                <w:highlight w:val="none"/>
                <w:lang w:eastAsia="zh-CN"/>
              </w:rPr>
              <w:t>行填报增值税税率，上述报价均已含税。</w:t>
            </w:r>
          </w:p>
        </w:tc>
      </w:tr>
    </w:tbl>
    <w:p>
      <w:pPr>
        <w:pStyle w:val="2"/>
        <w:tabs>
          <w:tab w:val="left" w:pos="7137"/>
        </w:tabs>
        <w:rPr>
          <w:rFonts w:hint="eastAsia" w:eastAsiaTheme="majorEastAsia"/>
          <w:lang w:eastAsia="zh-CN"/>
        </w:rPr>
      </w:pPr>
      <w:r>
        <w:rPr>
          <w:rFonts w:hint="eastAsia"/>
          <w:lang w:eastAsia="zh-CN"/>
        </w:rPr>
        <w:tab/>
      </w:r>
    </w:p>
    <w:p/>
    <w:p>
      <w:pPr>
        <w:pStyle w:val="4"/>
      </w:pPr>
    </w:p>
    <w:p/>
    <w:p>
      <w:pPr>
        <w:pStyle w:val="4"/>
      </w:pPr>
    </w:p>
    <w:p/>
    <w:p>
      <w:pPr>
        <w:pStyle w:val="4"/>
      </w:pPr>
    </w:p>
    <w:p/>
    <w:p>
      <w:pPr>
        <w:pStyle w:val="4"/>
      </w:pPr>
    </w:p>
    <w:p/>
    <w:p>
      <w:pPr>
        <w:spacing w:line="560" w:lineRule="exact"/>
        <w:jc w:val="left"/>
        <w:rPr>
          <w:rFonts w:hint="default" w:ascii="仿宋" w:hAnsi="仿宋" w:eastAsia="仿宋" w:cs="仿宋"/>
          <w:color w:val="auto"/>
          <w:sz w:val="32"/>
          <w:szCs w:val="40"/>
          <w:lang w:val="en-US" w:eastAsia="zh-CN"/>
        </w:rPr>
      </w:pPr>
    </w:p>
    <w:p>
      <w:pPr>
        <w:spacing w:line="560" w:lineRule="exact"/>
        <w:jc w:val="center"/>
        <w:rPr>
          <w:rFonts w:hint="eastAsia" w:ascii="国标小标宋-GB/T 2312" w:hAnsi="国标小标宋-GB/T 2312" w:eastAsia="国标小标宋-GB/T 2312" w:cs="国标小标宋-GB/T 2312"/>
          <w:color w:val="auto"/>
          <w:sz w:val="44"/>
          <w:szCs w:val="44"/>
          <w:lang w:val="en-US" w:eastAsia="zh-CN"/>
        </w:rPr>
      </w:pPr>
    </w:p>
    <w:p>
      <w:pPr>
        <w:spacing w:line="560" w:lineRule="exact"/>
        <w:jc w:val="center"/>
        <w:rPr>
          <w:rFonts w:hint="eastAsia" w:ascii="国标小标宋-GB/T 2312" w:hAnsi="国标小标宋-GB/T 2312" w:eastAsia="国标小标宋-GB/T 2312" w:cs="国标小标宋-GB/T 2312"/>
          <w:color w:val="auto"/>
          <w:sz w:val="44"/>
          <w:szCs w:val="44"/>
          <w:lang w:val="en-US" w:eastAsia="zh-CN"/>
        </w:rPr>
      </w:pPr>
    </w:p>
    <w:p>
      <w:pPr>
        <w:spacing w:line="560" w:lineRule="exact"/>
        <w:jc w:val="center"/>
        <w:rPr>
          <w:rFonts w:hint="eastAsia" w:ascii="国标小标宋-GB/T 2312" w:hAnsi="国标小标宋-GB/T 2312" w:eastAsia="国标小标宋-GB/T 2312" w:cs="国标小标宋-GB/T 2312"/>
          <w:color w:val="auto"/>
          <w:sz w:val="44"/>
          <w:szCs w:val="44"/>
          <w:lang w:val="en-US" w:eastAsia="zh-CN"/>
        </w:rPr>
      </w:pPr>
    </w:p>
    <w:p>
      <w:pPr>
        <w:spacing w:line="560" w:lineRule="exact"/>
        <w:jc w:val="center"/>
        <w:rPr>
          <w:rFonts w:hint="eastAsia" w:ascii="国标小标宋-GB/T 2312" w:hAnsi="国标小标宋-GB/T 2312" w:eastAsia="国标小标宋-GB/T 2312" w:cs="国标小标宋-GB/T 2312"/>
          <w:color w:val="auto"/>
          <w:sz w:val="44"/>
          <w:szCs w:val="44"/>
          <w:lang w:val="en-US" w:eastAsia="zh-CN"/>
        </w:rPr>
      </w:pPr>
      <w:r>
        <w:rPr>
          <w:rFonts w:hint="eastAsia" w:ascii="国标小标宋-GB/T 2312" w:hAnsi="国标小标宋-GB/T 2312" w:eastAsia="国标小标宋-GB/T 2312" w:cs="国标小标宋-GB/T 2312"/>
          <w:color w:val="auto"/>
          <w:sz w:val="44"/>
          <w:szCs w:val="44"/>
          <w:lang w:val="en-US" w:eastAsia="zh-CN"/>
        </w:rPr>
        <w:t>二、公司营业执照</w:t>
      </w:r>
    </w:p>
    <w:p>
      <w:pPr>
        <w:spacing w:line="560" w:lineRule="exact"/>
        <w:jc w:val="center"/>
        <w:rPr>
          <w:rFonts w:hint="eastAsia" w:ascii="国标小标宋-GB/T 2312" w:hAnsi="国标小标宋-GB/T 2312" w:eastAsia="国标小标宋-GB/T 2312" w:cs="国标小标宋-GB/T 2312"/>
          <w:color w:val="auto"/>
          <w:sz w:val="44"/>
          <w:szCs w:val="44"/>
          <w:lang w:val="en-US" w:eastAsia="zh-CN"/>
        </w:rPr>
      </w:pPr>
    </w:p>
    <w:p>
      <w:pPr>
        <w:spacing w:line="560" w:lineRule="exact"/>
        <w:ind w:firstLine="880" w:firstLineChars="200"/>
        <w:jc w:val="center"/>
        <w:rPr>
          <w:rFonts w:hint="eastAsia" w:ascii="国标小标宋-GB/T 2312" w:hAnsi="国标小标宋-GB/T 2312" w:eastAsia="国标小标宋-GB/T 2312" w:cs="国标小标宋-GB/T 2312"/>
          <w:color w:val="auto"/>
          <w:sz w:val="44"/>
          <w:szCs w:val="44"/>
          <w:lang w:val="en-US" w:eastAsia="zh-CN"/>
        </w:rPr>
      </w:pPr>
    </w:p>
    <w:p>
      <w:pPr>
        <w:spacing w:line="560" w:lineRule="exact"/>
        <w:ind w:firstLine="880" w:firstLineChars="200"/>
        <w:jc w:val="center"/>
        <w:rPr>
          <w:rFonts w:hint="eastAsia" w:ascii="国标小标宋-GB/T 2312" w:hAnsi="国标小标宋-GB/T 2312" w:eastAsia="国标小标宋-GB/T 2312" w:cs="国标小标宋-GB/T 2312"/>
          <w:color w:val="auto"/>
          <w:sz w:val="44"/>
          <w:szCs w:val="44"/>
          <w:lang w:val="en-US" w:eastAsia="zh-CN"/>
        </w:rPr>
      </w:pPr>
    </w:p>
    <w:p>
      <w:pPr>
        <w:numPr>
          <w:ilvl w:val="0"/>
          <w:numId w:val="4"/>
        </w:numPr>
        <w:spacing w:line="560" w:lineRule="exact"/>
        <w:ind w:firstLine="640" w:firstLineChars="200"/>
        <w:jc w:val="center"/>
        <w:rPr>
          <w:rFonts w:hint="eastAsia" w:ascii="仿宋" w:hAnsi="仿宋" w:eastAsia="仿宋" w:cs="仿宋"/>
          <w:sz w:val="32"/>
          <w:szCs w:val="40"/>
          <w:highlight w:val="none"/>
          <w:u w:val="single"/>
          <w:lang w:eastAsia="zh-CN"/>
        </w:rPr>
      </w:pPr>
      <w:r>
        <w:rPr>
          <w:rFonts w:hint="eastAsia" w:ascii="仿宋" w:hAnsi="仿宋" w:eastAsia="仿宋" w:cs="仿宋"/>
          <w:sz w:val="32"/>
          <w:szCs w:val="40"/>
          <w:highlight w:val="none"/>
          <w:u w:val="single"/>
          <w:lang w:eastAsia="zh-CN"/>
        </w:rPr>
        <w:t>法定代表人证明书及法定代表人身份证复印件（加盖投标人公章）；</w:t>
      </w:r>
    </w:p>
    <w:p>
      <w:pPr>
        <w:numPr>
          <w:ilvl w:val="0"/>
          <w:numId w:val="0"/>
        </w:numPr>
        <w:spacing w:line="560" w:lineRule="exact"/>
        <w:ind w:firstLine="640" w:firstLineChars="200"/>
        <w:jc w:val="center"/>
        <w:rPr>
          <w:rFonts w:hint="eastAsia" w:ascii="仿宋" w:hAnsi="仿宋" w:eastAsia="仿宋" w:cs="仿宋"/>
          <w:sz w:val="32"/>
          <w:szCs w:val="40"/>
          <w:highlight w:val="none"/>
          <w:u w:val="single"/>
          <w:lang w:val="en-US" w:eastAsia="zh-CN"/>
        </w:rPr>
      </w:pPr>
    </w:p>
    <w:p>
      <w:pPr>
        <w:numPr>
          <w:ilvl w:val="0"/>
          <w:numId w:val="0"/>
        </w:numPr>
        <w:spacing w:line="560" w:lineRule="exact"/>
        <w:ind w:firstLine="640" w:firstLineChars="200"/>
        <w:jc w:val="center"/>
        <w:rPr>
          <w:rFonts w:hint="eastAsia" w:ascii="仿宋" w:hAnsi="仿宋" w:eastAsia="仿宋" w:cs="仿宋"/>
          <w:sz w:val="32"/>
          <w:szCs w:val="40"/>
          <w:highlight w:val="none"/>
          <w:u w:val="single"/>
          <w:lang w:val="en-US" w:eastAsia="zh-CN"/>
        </w:rPr>
      </w:pPr>
    </w:p>
    <w:p>
      <w:pPr>
        <w:numPr>
          <w:ilvl w:val="0"/>
          <w:numId w:val="0"/>
        </w:numPr>
        <w:spacing w:line="560" w:lineRule="exact"/>
        <w:ind w:firstLine="640" w:firstLineChars="200"/>
        <w:jc w:val="center"/>
        <w:rPr>
          <w:rFonts w:hint="eastAsia" w:ascii="仿宋" w:hAnsi="仿宋" w:eastAsia="仿宋" w:cs="仿宋"/>
          <w:sz w:val="32"/>
          <w:szCs w:val="40"/>
          <w:highlight w:val="none"/>
          <w:u w:val="single"/>
          <w:lang w:val="en-US" w:eastAsia="zh-CN"/>
        </w:rPr>
      </w:pPr>
    </w:p>
    <w:p>
      <w:pPr>
        <w:numPr>
          <w:ilvl w:val="0"/>
          <w:numId w:val="0"/>
        </w:numPr>
        <w:spacing w:line="560" w:lineRule="exact"/>
        <w:ind w:firstLine="640" w:firstLineChars="200"/>
        <w:jc w:val="center"/>
        <w:rPr>
          <w:rFonts w:hint="eastAsia" w:ascii="仿宋" w:hAnsi="仿宋" w:eastAsia="仿宋" w:cs="仿宋"/>
          <w:sz w:val="32"/>
          <w:szCs w:val="40"/>
          <w:highlight w:val="none"/>
          <w:u w:val="single"/>
          <w:lang w:val="en-US" w:eastAsia="zh-CN"/>
        </w:rPr>
      </w:pPr>
    </w:p>
    <w:p>
      <w:pPr>
        <w:spacing w:line="560" w:lineRule="exact"/>
        <w:jc w:val="center"/>
        <w:rPr>
          <w:rFonts w:hint="eastAsia" w:ascii="国标小标宋-GB/T 2312" w:hAnsi="国标小标宋-GB/T 2312" w:eastAsia="国标小标宋-GB/T 2312" w:cs="国标小标宋-GB/T 2312"/>
          <w:color w:val="auto"/>
          <w:sz w:val="44"/>
          <w:szCs w:val="44"/>
          <w:lang w:val="en-US" w:eastAsia="zh-CN"/>
        </w:rPr>
      </w:pPr>
      <w:r>
        <w:rPr>
          <w:rFonts w:hint="eastAsia" w:ascii="国标小标宋-GB/T 2312" w:hAnsi="国标小标宋-GB/T 2312" w:eastAsia="国标小标宋-GB/T 2312" w:cs="国标小标宋-GB/T 2312"/>
          <w:color w:val="auto"/>
          <w:sz w:val="44"/>
          <w:szCs w:val="44"/>
          <w:lang w:val="en-US" w:eastAsia="zh-CN"/>
        </w:rPr>
        <w:t>四、公司简介</w:t>
      </w:r>
    </w:p>
    <w:p>
      <w:pPr>
        <w:spacing w:line="360" w:lineRule="auto"/>
        <w:jc w:val="both"/>
        <w:rPr>
          <w:rFonts w:hint="eastAsia" w:ascii="仿宋" w:hAnsi="仿宋" w:eastAsia="仿宋" w:cs="仿宋"/>
          <w:color w:val="auto"/>
          <w:sz w:val="32"/>
          <w:szCs w:val="40"/>
          <w:lang w:val="en-US" w:eastAsia="zh-CN"/>
        </w:rPr>
      </w:pPr>
      <w:r>
        <w:rPr>
          <w:rFonts w:hint="eastAsia" w:ascii="仿宋" w:hAnsi="仿宋" w:eastAsia="仿宋" w:cs="仿宋"/>
          <w:color w:val="auto"/>
          <w:sz w:val="32"/>
          <w:szCs w:val="40"/>
          <w:lang w:val="en-US" w:eastAsia="zh-CN"/>
        </w:rPr>
        <w:t>（包括设立时间、注册和实际运营地址、主营业务）。</w:t>
      </w:r>
    </w:p>
    <w:p>
      <w:pPr>
        <w:spacing w:line="560" w:lineRule="exact"/>
        <w:ind w:firstLine="880" w:firstLineChars="200"/>
        <w:jc w:val="center"/>
        <w:rPr>
          <w:rFonts w:hint="eastAsia" w:ascii="国标小标宋-GB/T 2312" w:hAnsi="国标小标宋-GB/T 2312" w:eastAsia="国标小标宋-GB/T 2312" w:cs="国标小标宋-GB/T 2312"/>
          <w:color w:val="auto"/>
          <w:sz w:val="44"/>
          <w:szCs w:val="44"/>
          <w:lang w:val="en-US" w:eastAsia="zh-CN"/>
        </w:rPr>
      </w:pPr>
    </w:p>
    <w:p>
      <w:pPr>
        <w:spacing w:line="560" w:lineRule="exact"/>
        <w:ind w:firstLine="880" w:firstLineChars="200"/>
        <w:jc w:val="center"/>
        <w:rPr>
          <w:rFonts w:hint="eastAsia" w:ascii="国标小标宋-GB/T 2312" w:hAnsi="国标小标宋-GB/T 2312" w:eastAsia="国标小标宋-GB/T 2312" w:cs="国标小标宋-GB/T 2312"/>
          <w:color w:val="auto"/>
          <w:sz w:val="44"/>
          <w:szCs w:val="44"/>
          <w:lang w:val="en-US" w:eastAsia="zh-CN"/>
        </w:rPr>
      </w:pPr>
    </w:p>
    <w:p>
      <w:pPr>
        <w:numPr>
          <w:ilvl w:val="0"/>
          <w:numId w:val="0"/>
        </w:numPr>
        <w:spacing w:line="560" w:lineRule="exact"/>
        <w:jc w:val="center"/>
        <w:rPr>
          <w:rFonts w:hint="eastAsia" w:ascii="国标小标宋-GB/T 2312" w:hAnsi="国标小标宋-GB/T 2312" w:eastAsia="国标小标宋-GB/T 2312" w:cs="国标小标宋-GB/T 2312"/>
          <w:color w:val="auto"/>
          <w:sz w:val="44"/>
          <w:szCs w:val="44"/>
          <w:lang w:val="en-US" w:eastAsia="zh-CN"/>
        </w:rPr>
      </w:pPr>
      <w:r>
        <w:rPr>
          <w:rFonts w:hint="eastAsia" w:ascii="国标小标宋-GB/T 2312" w:hAnsi="国标小标宋-GB/T 2312" w:eastAsia="国标小标宋-GB/T 2312" w:cs="国标小标宋-GB/T 2312"/>
          <w:color w:val="auto"/>
          <w:sz w:val="44"/>
          <w:szCs w:val="44"/>
          <w:lang w:val="en-US" w:eastAsia="zh-CN"/>
        </w:rPr>
        <w:t>五、同类项目业绩佐证</w:t>
      </w:r>
    </w:p>
    <w:p>
      <w:pPr>
        <w:spacing w:line="360" w:lineRule="auto"/>
        <w:jc w:val="center"/>
        <w:rPr>
          <w:rFonts w:hint="eastAsia" w:ascii="仿宋" w:hAnsi="仿宋" w:eastAsia="仿宋" w:cs="仿宋"/>
          <w:color w:val="auto"/>
          <w:sz w:val="32"/>
          <w:szCs w:val="40"/>
          <w:lang w:val="en-US" w:eastAsia="zh-CN"/>
        </w:rPr>
      </w:pPr>
    </w:p>
    <w:p>
      <w:pPr>
        <w:spacing w:line="360" w:lineRule="auto"/>
        <w:jc w:val="center"/>
        <w:rPr>
          <w:rFonts w:hint="eastAsia" w:ascii="仿宋" w:hAnsi="仿宋" w:eastAsia="仿宋" w:cs="仿宋"/>
          <w:color w:val="auto"/>
          <w:sz w:val="32"/>
          <w:szCs w:val="40"/>
          <w:lang w:val="en-US" w:eastAsia="zh-CN"/>
        </w:rPr>
      </w:pPr>
      <w:r>
        <w:rPr>
          <w:rFonts w:hint="eastAsia" w:ascii="仿宋" w:hAnsi="仿宋" w:eastAsia="仿宋" w:cs="仿宋"/>
          <w:color w:val="auto"/>
          <w:sz w:val="32"/>
          <w:szCs w:val="40"/>
          <w:lang w:val="en-US" w:eastAsia="zh-CN"/>
        </w:rPr>
        <w:t>业绩清单一览表</w:t>
      </w:r>
    </w:p>
    <w:tbl>
      <w:tblPr>
        <w:tblStyle w:val="12"/>
        <w:tblW w:w="94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2656"/>
        <w:gridCol w:w="1768"/>
        <w:gridCol w:w="1819"/>
        <w:gridCol w:w="1364"/>
        <w:gridCol w:w="1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8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序号</w:t>
            </w:r>
          </w:p>
        </w:tc>
        <w:tc>
          <w:tcPr>
            <w:tcW w:w="265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项目名称</w:t>
            </w:r>
          </w:p>
        </w:tc>
        <w:tc>
          <w:tcPr>
            <w:tcW w:w="176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项目委托方</w:t>
            </w:r>
          </w:p>
        </w:tc>
        <w:tc>
          <w:tcPr>
            <w:tcW w:w="181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合同签订时间</w:t>
            </w:r>
          </w:p>
        </w:tc>
        <w:tc>
          <w:tcPr>
            <w:tcW w:w="136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合同</w:t>
            </w:r>
            <w:r>
              <w:rPr>
                <w:rFonts w:hint="eastAsia" w:ascii="宋体" w:hAnsi="宋体" w:cs="宋体"/>
                <w:i w:val="0"/>
                <w:iCs w:val="0"/>
                <w:color w:val="auto"/>
                <w:kern w:val="0"/>
                <w:sz w:val="24"/>
                <w:szCs w:val="24"/>
                <w:u w:val="none"/>
                <w:lang w:val="en-US" w:eastAsia="zh-CN" w:bidi="ar"/>
              </w:rPr>
              <w:t>金额</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（万元）</w:t>
            </w:r>
          </w:p>
        </w:tc>
        <w:tc>
          <w:tcPr>
            <w:tcW w:w="106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8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265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p>
        </w:tc>
        <w:tc>
          <w:tcPr>
            <w:tcW w:w="176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p>
        </w:tc>
        <w:tc>
          <w:tcPr>
            <w:tcW w:w="181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p>
        </w:tc>
        <w:tc>
          <w:tcPr>
            <w:tcW w:w="136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p>
        </w:tc>
        <w:tc>
          <w:tcPr>
            <w:tcW w:w="106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8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265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p>
        </w:tc>
        <w:tc>
          <w:tcPr>
            <w:tcW w:w="176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p>
        </w:tc>
        <w:tc>
          <w:tcPr>
            <w:tcW w:w="181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p>
        </w:tc>
        <w:tc>
          <w:tcPr>
            <w:tcW w:w="136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p>
        </w:tc>
        <w:tc>
          <w:tcPr>
            <w:tcW w:w="106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8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265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p>
        </w:tc>
        <w:tc>
          <w:tcPr>
            <w:tcW w:w="176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p>
        </w:tc>
        <w:tc>
          <w:tcPr>
            <w:tcW w:w="181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p>
        </w:tc>
        <w:tc>
          <w:tcPr>
            <w:tcW w:w="136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p>
        </w:tc>
        <w:tc>
          <w:tcPr>
            <w:tcW w:w="106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80" w:type="dxa"/>
            <w:noWrap w:val="0"/>
            <w:vAlign w:val="center"/>
          </w:tcPr>
          <w:p>
            <w:pPr>
              <w:keepNext w:val="0"/>
              <w:keepLines w:val="0"/>
              <w:pageBreakBefore w:val="0"/>
              <w:tabs>
                <w:tab w:val="left" w:pos="426"/>
              </w:tabs>
              <w:kinsoku/>
              <w:wordWrap/>
              <w:overflowPunct/>
              <w:topLinePunct w:val="0"/>
              <w:autoSpaceDE/>
              <w:autoSpaceDN/>
              <w:bidi w:val="0"/>
              <w:adjustRightInd/>
              <w:snapToGrid/>
              <w:spacing w:line="360" w:lineRule="auto"/>
              <w:jc w:val="center"/>
              <w:rPr>
                <w:rFonts w:hint="eastAsia" w:ascii="宋体" w:hAnsi="宋体" w:eastAsia="宋体"/>
                <w:b/>
                <w:color w:val="auto"/>
                <w:sz w:val="24"/>
                <w:lang w:eastAsia="zh-CN"/>
              </w:rPr>
            </w:pPr>
            <w:r>
              <w:rPr>
                <w:rFonts w:hint="eastAsia" w:ascii="宋体" w:hAnsi="宋体"/>
                <w:b/>
                <w:color w:val="auto"/>
                <w:sz w:val="24"/>
                <w:lang w:eastAsia="zh-CN"/>
              </w:rPr>
              <w:t>…</w:t>
            </w:r>
          </w:p>
        </w:tc>
        <w:tc>
          <w:tcPr>
            <w:tcW w:w="2656" w:type="dxa"/>
            <w:noWrap w:val="0"/>
            <w:vAlign w:val="center"/>
          </w:tcPr>
          <w:p>
            <w:pPr>
              <w:keepNext w:val="0"/>
              <w:keepLines w:val="0"/>
              <w:pageBreakBefore w:val="0"/>
              <w:tabs>
                <w:tab w:val="left" w:pos="426"/>
              </w:tabs>
              <w:kinsoku/>
              <w:wordWrap/>
              <w:overflowPunct/>
              <w:topLinePunct w:val="0"/>
              <w:autoSpaceDE/>
              <w:autoSpaceDN/>
              <w:bidi w:val="0"/>
              <w:adjustRightInd/>
              <w:snapToGrid/>
              <w:spacing w:line="360" w:lineRule="auto"/>
              <w:jc w:val="center"/>
              <w:rPr>
                <w:rFonts w:ascii="仿宋_GB2312" w:eastAsia="仿宋_GB2312"/>
                <w:color w:val="auto"/>
              </w:rPr>
            </w:pPr>
          </w:p>
        </w:tc>
        <w:tc>
          <w:tcPr>
            <w:tcW w:w="1768" w:type="dxa"/>
            <w:noWrap w:val="0"/>
            <w:vAlign w:val="center"/>
          </w:tcPr>
          <w:p>
            <w:pPr>
              <w:keepNext w:val="0"/>
              <w:keepLines w:val="0"/>
              <w:pageBreakBefore w:val="0"/>
              <w:tabs>
                <w:tab w:val="left" w:pos="426"/>
              </w:tabs>
              <w:kinsoku/>
              <w:wordWrap/>
              <w:overflowPunct/>
              <w:topLinePunct w:val="0"/>
              <w:autoSpaceDE/>
              <w:autoSpaceDN/>
              <w:bidi w:val="0"/>
              <w:adjustRightInd/>
              <w:snapToGrid/>
              <w:spacing w:line="360" w:lineRule="auto"/>
              <w:jc w:val="center"/>
              <w:rPr>
                <w:rFonts w:ascii="仿宋_GB2312" w:eastAsia="仿宋_GB2312"/>
                <w:color w:val="auto"/>
              </w:rPr>
            </w:pPr>
          </w:p>
        </w:tc>
        <w:tc>
          <w:tcPr>
            <w:tcW w:w="1819" w:type="dxa"/>
            <w:noWrap w:val="0"/>
            <w:vAlign w:val="center"/>
          </w:tcPr>
          <w:p>
            <w:pPr>
              <w:keepNext w:val="0"/>
              <w:keepLines w:val="0"/>
              <w:pageBreakBefore w:val="0"/>
              <w:tabs>
                <w:tab w:val="left" w:pos="426"/>
              </w:tabs>
              <w:kinsoku/>
              <w:wordWrap/>
              <w:overflowPunct/>
              <w:topLinePunct w:val="0"/>
              <w:autoSpaceDE/>
              <w:autoSpaceDN/>
              <w:bidi w:val="0"/>
              <w:adjustRightInd/>
              <w:snapToGrid/>
              <w:spacing w:line="360" w:lineRule="auto"/>
              <w:jc w:val="center"/>
              <w:rPr>
                <w:rFonts w:ascii="仿宋_GB2312" w:eastAsia="仿宋_GB2312"/>
                <w:color w:val="auto"/>
              </w:rPr>
            </w:pPr>
          </w:p>
        </w:tc>
        <w:tc>
          <w:tcPr>
            <w:tcW w:w="1364" w:type="dxa"/>
            <w:noWrap w:val="0"/>
            <w:vAlign w:val="center"/>
          </w:tcPr>
          <w:p>
            <w:pPr>
              <w:keepNext w:val="0"/>
              <w:keepLines w:val="0"/>
              <w:pageBreakBefore w:val="0"/>
              <w:tabs>
                <w:tab w:val="left" w:pos="426"/>
              </w:tabs>
              <w:kinsoku/>
              <w:wordWrap/>
              <w:overflowPunct/>
              <w:topLinePunct w:val="0"/>
              <w:autoSpaceDE/>
              <w:autoSpaceDN/>
              <w:bidi w:val="0"/>
              <w:adjustRightInd/>
              <w:snapToGrid/>
              <w:spacing w:line="360" w:lineRule="auto"/>
              <w:jc w:val="center"/>
              <w:rPr>
                <w:rFonts w:ascii="仿宋_GB2312" w:eastAsia="仿宋_GB2312"/>
                <w:color w:val="auto"/>
              </w:rPr>
            </w:pPr>
          </w:p>
        </w:tc>
        <w:tc>
          <w:tcPr>
            <w:tcW w:w="1068" w:type="dxa"/>
            <w:noWrap w:val="0"/>
            <w:vAlign w:val="center"/>
          </w:tcPr>
          <w:p>
            <w:pPr>
              <w:keepNext w:val="0"/>
              <w:keepLines w:val="0"/>
              <w:pageBreakBefore w:val="0"/>
              <w:tabs>
                <w:tab w:val="left" w:pos="426"/>
              </w:tabs>
              <w:kinsoku/>
              <w:wordWrap/>
              <w:overflowPunct/>
              <w:topLinePunct w:val="0"/>
              <w:autoSpaceDE/>
              <w:autoSpaceDN/>
              <w:bidi w:val="0"/>
              <w:adjustRightInd/>
              <w:snapToGrid/>
              <w:spacing w:line="360" w:lineRule="auto"/>
              <w:jc w:val="center"/>
              <w:rPr>
                <w:rFonts w:ascii="仿宋_GB2312" w:eastAsia="仿宋_GB2312"/>
                <w:color w:val="auto"/>
              </w:rPr>
            </w:pPr>
          </w:p>
        </w:tc>
      </w:tr>
    </w:tbl>
    <w:p>
      <w:pPr>
        <w:spacing w:line="360" w:lineRule="auto"/>
        <w:jc w:val="left"/>
        <w:rPr>
          <w:rFonts w:hint="eastAsia" w:ascii="仿宋" w:hAnsi="仿宋" w:eastAsia="仿宋" w:cs="仿宋"/>
          <w:color w:val="auto"/>
          <w:sz w:val="32"/>
          <w:szCs w:val="40"/>
          <w:lang w:val="en-US" w:eastAsia="zh-CN"/>
        </w:rPr>
      </w:pPr>
      <w:r>
        <w:rPr>
          <w:rFonts w:hint="eastAsia" w:ascii="仿宋" w:hAnsi="仿宋" w:eastAsia="仿宋" w:cs="仿宋"/>
          <w:color w:val="auto"/>
          <w:sz w:val="32"/>
          <w:szCs w:val="40"/>
          <w:lang w:val="en-US" w:eastAsia="zh-CN"/>
        </w:rPr>
        <w:t>注：附相关证明文件，具体要求详见评分细则</w:t>
      </w:r>
    </w:p>
    <w:p>
      <w:pPr>
        <w:numPr>
          <w:ilvl w:val="0"/>
          <w:numId w:val="0"/>
        </w:numPr>
        <w:spacing w:line="560" w:lineRule="exact"/>
        <w:jc w:val="both"/>
        <w:rPr>
          <w:rFonts w:hint="default" w:ascii="国标小标宋-GB/T 2312" w:hAnsi="国标小标宋-GB/T 2312" w:eastAsia="国标小标宋-GB/T 2312" w:cs="国标小标宋-GB/T 2312"/>
          <w:color w:val="auto"/>
          <w:sz w:val="44"/>
          <w:szCs w:val="44"/>
          <w:lang w:val="en-US" w:eastAsia="zh-CN"/>
        </w:rPr>
      </w:pPr>
    </w:p>
    <w:p>
      <w:pPr>
        <w:numPr>
          <w:ilvl w:val="0"/>
          <w:numId w:val="0"/>
        </w:numPr>
        <w:spacing w:line="560" w:lineRule="exact"/>
        <w:jc w:val="both"/>
        <w:rPr>
          <w:rFonts w:hint="default" w:ascii="国标小标宋-GB/T 2312" w:hAnsi="国标小标宋-GB/T 2312" w:eastAsia="国标小标宋-GB/T 2312" w:cs="国标小标宋-GB/T 2312"/>
          <w:color w:val="auto"/>
          <w:sz w:val="44"/>
          <w:szCs w:val="44"/>
          <w:lang w:val="en-US" w:eastAsia="zh-CN"/>
        </w:rPr>
      </w:pPr>
    </w:p>
    <w:p>
      <w:pPr>
        <w:numPr>
          <w:ilvl w:val="0"/>
          <w:numId w:val="0"/>
        </w:numPr>
        <w:spacing w:line="360" w:lineRule="auto"/>
        <w:jc w:val="center"/>
        <w:rPr>
          <w:rFonts w:hint="eastAsia" w:ascii="国标小标宋-GB/T 2312" w:hAnsi="国标小标宋-GB/T 2312" w:eastAsia="国标小标宋-GB/T 2312" w:cs="国标小标宋-GB/T 2312"/>
          <w:sz w:val="44"/>
          <w:szCs w:val="44"/>
          <w:lang w:val="en-US" w:eastAsia="zh-CN"/>
        </w:rPr>
      </w:pPr>
      <w:r>
        <w:rPr>
          <w:rFonts w:hint="eastAsia" w:ascii="国标小标宋-GB/T 2312" w:hAnsi="国标小标宋-GB/T 2312" w:eastAsia="国标小标宋-GB/T 2312" w:cs="国标小标宋-GB/T 2312"/>
          <w:color w:val="auto"/>
          <w:sz w:val="44"/>
          <w:szCs w:val="44"/>
          <w:lang w:val="en-US" w:eastAsia="zh-CN"/>
        </w:rPr>
        <w:t>六、履约质效情况说明</w:t>
      </w:r>
    </w:p>
    <w:p>
      <w:pPr>
        <w:numPr>
          <w:ilvl w:val="0"/>
          <w:numId w:val="0"/>
        </w:numPr>
        <w:spacing w:line="360" w:lineRule="auto"/>
        <w:jc w:val="center"/>
        <w:rPr>
          <w:rFonts w:hint="eastAsia" w:ascii="国标小标宋-GB/T 2312" w:hAnsi="国标小标宋-GB/T 2312" w:eastAsia="国标小标宋-GB/T 2312" w:cs="国标小标宋-GB/T 2312"/>
          <w:sz w:val="44"/>
          <w:szCs w:val="44"/>
          <w:lang w:val="en-US" w:eastAsia="zh-CN"/>
        </w:rPr>
      </w:pPr>
      <w:r>
        <w:rPr>
          <w:rFonts w:hint="eastAsia" w:ascii="仿宋" w:hAnsi="仿宋" w:eastAsia="仿宋" w:cs="仿宋"/>
          <w:color w:val="auto"/>
          <w:sz w:val="32"/>
          <w:szCs w:val="40"/>
          <w:lang w:val="en-US" w:eastAsia="zh-CN"/>
        </w:rPr>
        <w:t>（格式自拟）</w:t>
      </w:r>
    </w:p>
    <w:p>
      <w:pPr>
        <w:numPr>
          <w:ilvl w:val="0"/>
          <w:numId w:val="0"/>
        </w:numPr>
        <w:spacing w:line="360" w:lineRule="auto"/>
        <w:jc w:val="center"/>
        <w:rPr>
          <w:rFonts w:hint="eastAsia" w:ascii="国标小标宋-GB/T 2312" w:hAnsi="国标小标宋-GB/T 2312" w:eastAsia="国标小标宋-GB/T 2312" w:cs="国标小标宋-GB/T 2312"/>
          <w:sz w:val="44"/>
          <w:szCs w:val="44"/>
          <w:lang w:val="en-US" w:eastAsia="zh-CN"/>
        </w:rPr>
      </w:pPr>
    </w:p>
    <w:p>
      <w:pPr>
        <w:numPr>
          <w:ilvl w:val="0"/>
          <w:numId w:val="0"/>
        </w:numPr>
        <w:spacing w:line="360" w:lineRule="auto"/>
        <w:jc w:val="center"/>
        <w:rPr>
          <w:rFonts w:hint="eastAsia" w:ascii="国标小标宋-GB/T 2312" w:hAnsi="国标小标宋-GB/T 2312" w:eastAsia="国标小标宋-GB/T 2312" w:cs="国标小标宋-GB/T 2312"/>
          <w:sz w:val="44"/>
          <w:szCs w:val="44"/>
          <w:lang w:val="en-US" w:eastAsia="zh-CN"/>
        </w:rPr>
      </w:pPr>
    </w:p>
    <w:p>
      <w:pPr>
        <w:numPr>
          <w:ilvl w:val="0"/>
          <w:numId w:val="0"/>
        </w:numPr>
        <w:spacing w:line="360" w:lineRule="auto"/>
        <w:jc w:val="center"/>
        <w:rPr>
          <w:rFonts w:hint="eastAsia" w:ascii="国标小标宋-GB/T 2312" w:hAnsi="国标小标宋-GB/T 2312" w:eastAsia="国标小标宋-GB/T 2312" w:cs="国标小标宋-GB/T 2312"/>
          <w:color w:val="auto"/>
          <w:sz w:val="44"/>
          <w:szCs w:val="44"/>
          <w:lang w:val="en-US" w:eastAsia="zh-CN"/>
        </w:rPr>
      </w:pPr>
    </w:p>
    <w:p>
      <w:pPr>
        <w:spacing w:line="360" w:lineRule="auto"/>
        <w:jc w:val="center"/>
        <w:rPr>
          <w:rFonts w:hint="eastAsia" w:ascii="国标小标宋-GB/T 2312" w:hAnsi="国标小标宋-GB/T 2312" w:eastAsia="国标小标宋-GB/T 2312" w:cs="国标小标宋-GB/T 2312"/>
          <w:color w:val="auto"/>
          <w:sz w:val="44"/>
          <w:szCs w:val="44"/>
          <w:lang w:val="en-US" w:eastAsia="zh-CN"/>
        </w:rPr>
      </w:pPr>
      <w:r>
        <w:rPr>
          <w:rFonts w:hint="eastAsia" w:ascii="国标小标宋-GB/T 2312" w:hAnsi="国标小标宋-GB/T 2312" w:eastAsia="国标小标宋-GB/T 2312" w:cs="国标小标宋-GB/T 2312"/>
          <w:sz w:val="44"/>
          <w:szCs w:val="44"/>
          <w:lang w:val="en-US" w:eastAsia="zh-CN"/>
        </w:rPr>
        <w:t>七、</w:t>
      </w:r>
      <w:r>
        <w:rPr>
          <w:rFonts w:hint="eastAsia" w:ascii="国标小标宋-GB/T 2312" w:hAnsi="国标小标宋-GB/T 2312" w:eastAsia="国标小标宋-GB/T 2312" w:cs="国标小标宋-GB/T 2312"/>
          <w:color w:val="auto"/>
          <w:sz w:val="44"/>
          <w:szCs w:val="44"/>
          <w:lang w:val="en-US" w:eastAsia="zh-CN"/>
        </w:rPr>
        <w:t>项目实施方案</w:t>
      </w:r>
    </w:p>
    <w:p>
      <w:pPr>
        <w:numPr>
          <w:ilvl w:val="0"/>
          <w:numId w:val="0"/>
        </w:numPr>
        <w:spacing w:line="360" w:lineRule="auto"/>
        <w:jc w:val="center"/>
        <w:rPr>
          <w:rFonts w:hint="eastAsia" w:ascii="国标小标宋-GB/T 2312" w:hAnsi="国标小标宋-GB/T 2312" w:eastAsia="国标小标宋-GB/T 2312" w:cs="国标小标宋-GB/T 2312"/>
          <w:sz w:val="44"/>
          <w:szCs w:val="44"/>
          <w:lang w:val="en-US" w:eastAsia="zh-CN"/>
        </w:rPr>
      </w:pPr>
      <w:r>
        <w:rPr>
          <w:rFonts w:hint="eastAsia" w:ascii="仿宋" w:hAnsi="仿宋" w:eastAsia="仿宋" w:cs="仿宋"/>
          <w:color w:val="auto"/>
          <w:sz w:val="32"/>
          <w:szCs w:val="40"/>
          <w:lang w:val="en-US" w:eastAsia="zh-CN"/>
        </w:rPr>
        <w:t>（格式自拟）</w:t>
      </w:r>
    </w:p>
    <w:p>
      <w:pPr>
        <w:numPr>
          <w:ilvl w:val="0"/>
          <w:numId w:val="0"/>
        </w:numPr>
        <w:spacing w:line="560" w:lineRule="exact"/>
        <w:jc w:val="both"/>
        <w:rPr>
          <w:rFonts w:hint="default" w:ascii="国标小标宋-GB/T 2312" w:hAnsi="国标小标宋-GB/T 2312" w:eastAsia="国标小标宋-GB/T 2312" w:cs="国标小标宋-GB/T 2312"/>
          <w:color w:val="auto"/>
          <w:sz w:val="44"/>
          <w:szCs w:val="44"/>
          <w:lang w:val="en-US" w:eastAsia="zh-CN"/>
        </w:rPr>
      </w:pPr>
    </w:p>
    <w:p>
      <w:pPr>
        <w:spacing w:line="560" w:lineRule="exact"/>
        <w:jc w:val="left"/>
        <w:rPr>
          <w:rFonts w:hint="eastAsia" w:ascii="仿宋" w:hAnsi="仿宋" w:eastAsia="仿宋" w:cs="仿宋"/>
          <w:color w:val="auto"/>
          <w:sz w:val="32"/>
          <w:szCs w:val="40"/>
          <w:lang w:val="en-US" w:eastAsia="zh-CN"/>
        </w:rPr>
      </w:pPr>
    </w:p>
    <w:p>
      <w:pPr>
        <w:spacing w:line="560" w:lineRule="exact"/>
        <w:jc w:val="left"/>
        <w:rPr>
          <w:rFonts w:hint="eastAsia" w:ascii="仿宋" w:hAnsi="仿宋" w:eastAsia="仿宋" w:cs="仿宋"/>
          <w:color w:val="auto"/>
          <w:sz w:val="32"/>
          <w:szCs w:val="40"/>
          <w:lang w:val="en-US" w:eastAsia="zh-CN"/>
        </w:rPr>
      </w:pPr>
    </w:p>
    <w:p>
      <w:pPr>
        <w:spacing w:line="560" w:lineRule="exact"/>
        <w:jc w:val="left"/>
        <w:rPr>
          <w:rFonts w:hint="eastAsia" w:ascii="仿宋" w:hAnsi="仿宋" w:eastAsia="仿宋" w:cs="仿宋"/>
          <w:color w:val="auto"/>
          <w:sz w:val="32"/>
          <w:szCs w:val="40"/>
          <w:lang w:val="en-US" w:eastAsia="zh-CN"/>
        </w:rPr>
      </w:pPr>
    </w:p>
    <w:p>
      <w:pPr>
        <w:spacing w:line="560" w:lineRule="exact"/>
        <w:jc w:val="left"/>
        <w:rPr>
          <w:rFonts w:hint="eastAsia" w:ascii="仿宋" w:hAnsi="仿宋" w:eastAsia="仿宋" w:cs="仿宋"/>
          <w:color w:val="auto"/>
          <w:sz w:val="32"/>
          <w:szCs w:val="40"/>
          <w:lang w:val="en-US" w:eastAsia="zh-CN"/>
        </w:rPr>
      </w:pPr>
    </w:p>
    <w:p>
      <w:pPr>
        <w:spacing w:line="560" w:lineRule="exact"/>
        <w:jc w:val="left"/>
        <w:rPr>
          <w:rFonts w:hint="eastAsia" w:ascii="仿宋" w:hAnsi="仿宋" w:eastAsia="仿宋" w:cs="仿宋"/>
          <w:color w:val="auto"/>
          <w:sz w:val="32"/>
          <w:szCs w:val="40"/>
          <w:lang w:val="en-US" w:eastAsia="zh-CN"/>
        </w:rPr>
      </w:pPr>
    </w:p>
    <w:p>
      <w:pPr>
        <w:spacing w:line="560" w:lineRule="exact"/>
        <w:jc w:val="left"/>
        <w:rPr>
          <w:rFonts w:hint="eastAsia" w:ascii="仿宋" w:hAnsi="仿宋" w:eastAsia="仿宋" w:cs="仿宋"/>
          <w:color w:val="auto"/>
          <w:sz w:val="32"/>
          <w:szCs w:val="40"/>
          <w:lang w:val="en-US" w:eastAsia="zh-CN"/>
        </w:rPr>
      </w:pPr>
    </w:p>
    <w:p>
      <w:pPr>
        <w:spacing w:line="560" w:lineRule="exact"/>
        <w:jc w:val="left"/>
        <w:rPr>
          <w:rFonts w:hint="eastAsia" w:ascii="仿宋" w:hAnsi="仿宋" w:eastAsia="仿宋" w:cs="仿宋"/>
          <w:color w:val="auto"/>
          <w:sz w:val="32"/>
          <w:szCs w:val="40"/>
          <w:lang w:val="en-US" w:eastAsia="zh-CN"/>
        </w:rPr>
      </w:pPr>
    </w:p>
    <w:p>
      <w:pPr>
        <w:spacing w:line="560" w:lineRule="exact"/>
        <w:jc w:val="left"/>
        <w:rPr>
          <w:rFonts w:hint="eastAsia" w:ascii="仿宋" w:hAnsi="仿宋" w:eastAsia="仿宋" w:cs="仿宋"/>
          <w:color w:val="auto"/>
          <w:sz w:val="32"/>
          <w:szCs w:val="40"/>
          <w:lang w:val="en-US" w:eastAsia="zh-CN"/>
        </w:rPr>
      </w:pPr>
    </w:p>
    <w:p>
      <w:pPr>
        <w:spacing w:line="560" w:lineRule="exact"/>
        <w:ind w:firstLine="0" w:firstLineChars="0"/>
        <w:jc w:val="left"/>
        <w:rPr>
          <w:rFonts w:hint="eastAsia" w:ascii="仿宋" w:hAnsi="仿宋" w:eastAsia="仿宋" w:cs="仿宋"/>
          <w:color w:val="auto"/>
          <w:sz w:val="32"/>
          <w:szCs w:val="40"/>
          <w:lang w:val="en-US" w:eastAsia="zh-CN"/>
        </w:rPr>
      </w:pPr>
      <w:r>
        <w:rPr>
          <w:rFonts w:hint="eastAsia" w:ascii="仿宋" w:hAnsi="仿宋" w:eastAsia="仿宋" w:cs="仿宋"/>
          <w:color w:val="auto"/>
          <w:sz w:val="32"/>
          <w:szCs w:val="40"/>
          <w:lang w:val="en-US" w:eastAsia="zh-CN"/>
        </w:rPr>
        <w:t>附件2：</w:t>
      </w:r>
    </w:p>
    <w:p>
      <w:pPr>
        <w:pStyle w:val="6"/>
        <w:keepNext w:val="0"/>
        <w:keepLines w:val="0"/>
        <w:pageBreakBefore w:val="0"/>
        <w:widowControl w:val="0"/>
        <w:tabs>
          <w:tab w:val="left" w:pos="2138"/>
        </w:tabs>
        <w:kinsoku/>
        <w:wordWrap/>
        <w:overflowPunct/>
        <w:topLinePunct w:val="0"/>
        <w:autoSpaceDE/>
        <w:autoSpaceDN/>
        <w:bidi w:val="0"/>
        <w:adjustRightInd/>
        <w:snapToGrid w:val="0"/>
        <w:spacing w:before="0" w:beforeLines="100" w:after="0"/>
        <w:jc w:val="center"/>
        <w:textAlignment w:val="auto"/>
        <w:outlineLvl w:val="2"/>
        <w:rPr>
          <w:rFonts w:hint="eastAsia" w:ascii="宋体" w:hAnsi="宋体" w:eastAsia="宋体" w:cs="宋体"/>
          <w:b/>
          <w:bCs/>
          <w:color w:val="000000"/>
          <w:kern w:val="0"/>
          <w:sz w:val="28"/>
          <w:szCs w:val="28"/>
          <w:highlight w:val="none"/>
          <w:lang w:val="en-US" w:eastAsia="zh-CN" w:bidi="ar"/>
        </w:rPr>
      </w:pPr>
      <w:bookmarkStart w:id="0" w:name="_Toc14056"/>
      <w:r>
        <w:rPr>
          <w:rFonts w:hint="eastAsia" w:ascii="宋体" w:hAnsi="宋体" w:eastAsia="宋体" w:cs="宋体"/>
          <w:b/>
          <w:bCs/>
          <w:color w:val="000000"/>
          <w:kern w:val="0"/>
          <w:sz w:val="28"/>
          <w:szCs w:val="28"/>
          <w:highlight w:val="none"/>
          <w:lang w:val="en-US" w:eastAsia="zh-CN" w:bidi="ar"/>
        </w:rPr>
        <w:t>评分细则表</w:t>
      </w:r>
      <w:bookmarkEnd w:id="0"/>
    </w:p>
    <w:p>
      <w:pPr>
        <w:bidi w:val="0"/>
        <w:rPr>
          <w:rFonts w:hint="eastAsia"/>
        </w:rPr>
      </w:pPr>
      <w:r>
        <w:rPr>
          <w:rFonts w:hint="eastAsia"/>
        </w:rPr>
        <w:t>本次</w:t>
      </w:r>
      <w:r>
        <w:rPr>
          <w:rFonts w:hint="eastAsia"/>
          <w:lang w:val="en-US" w:eastAsia="zh-CN"/>
        </w:rPr>
        <w:t>报价</w:t>
      </w:r>
      <w:r>
        <w:rPr>
          <w:rFonts w:hint="eastAsia"/>
        </w:rPr>
        <w:t>采用综合评分法</w:t>
      </w:r>
      <w:r>
        <w:rPr>
          <w:rFonts w:hint="eastAsia"/>
          <w:lang w:val="en-US" w:eastAsia="zh-CN"/>
        </w:rPr>
        <w:t>进行评分</w:t>
      </w:r>
      <w:r>
        <w:rPr>
          <w:rFonts w:hint="eastAsia"/>
        </w:rPr>
        <w:t>，</w:t>
      </w:r>
      <w:r>
        <w:rPr>
          <w:rFonts w:hint="eastAsia"/>
          <w:lang w:eastAsia="zh-CN"/>
        </w:rPr>
        <w:t>分值为满分</w:t>
      </w:r>
      <w:r>
        <w:rPr>
          <w:rFonts w:hint="eastAsia"/>
          <w:lang w:val="en-US" w:eastAsia="zh-CN"/>
        </w:rPr>
        <w:t>100分，</w:t>
      </w:r>
      <w:r>
        <w:rPr>
          <w:rFonts w:hint="eastAsia"/>
        </w:rPr>
        <w:t>评分</w:t>
      </w:r>
      <w:r>
        <w:rPr>
          <w:rFonts w:hint="eastAsia"/>
          <w:lang w:eastAsia="zh-CN"/>
        </w:rPr>
        <w:t>细则</w:t>
      </w:r>
      <w:r>
        <w:rPr>
          <w:rFonts w:hint="eastAsia"/>
        </w:rPr>
        <w:t>内容及分值</w:t>
      </w:r>
      <w:r>
        <w:rPr>
          <w:rFonts w:hint="eastAsia"/>
          <w:lang w:eastAsia="zh-CN"/>
        </w:rPr>
        <w:t>情况</w:t>
      </w:r>
      <w:r>
        <w:rPr>
          <w:rFonts w:hint="eastAsia"/>
        </w:rPr>
        <w:t>如下：</w:t>
      </w:r>
    </w:p>
    <w:tbl>
      <w:tblPr>
        <w:tblStyle w:val="12"/>
        <w:tblW w:w="981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668"/>
        <w:gridCol w:w="665"/>
        <w:gridCol w:w="1402"/>
        <w:gridCol w:w="1028"/>
        <w:gridCol w:w="605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384" w:hRule="atLeast"/>
          <w:jc w:val="center"/>
        </w:trPr>
        <w:tc>
          <w:tcPr>
            <w:tcW w:w="668"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pageBreakBefore w:val="0"/>
              <w:kinsoku/>
              <w:wordWrap w:val="0"/>
              <w:overflowPunct/>
              <w:topLinePunct w:val="0"/>
              <w:autoSpaceDE/>
              <w:autoSpaceDN/>
              <w:bidi w:val="0"/>
              <w:adjustRightInd/>
              <w:snapToGrid/>
              <w:spacing w:line="300" w:lineRule="exact"/>
              <w:jc w:val="center"/>
              <w:textAlignment w:val="auto"/>
              <w:rPr>
                <w:rFonts w:asciiTheme="minorEastAsia" w:hAnsiTheme="minorEastAsia" w:cstheme="minorEastAsia"/>
                <w:b/>
                <w:bCs/>
                <w:kern w:val="2"/>
                <w:sz w:val="21"/>
                <w:szCs w:val="21"/>
              </w:rPr>
            </w:pPr>
            <w:r>
              <w:rPr>
                <w:rFonts w:hint="eastAsia" w:asciiTheme="minorEastAsia" w:hAnsiTheme="minorEastAsia" w:cstheme="minorEastAsia"/>
                <w:b/>
                <w:bCs/>
                <w:kern w:val="2"/>
                <w:sz w:val="21"/>
                <w:szCs w:val="21"/>
              </w:rPr>
              <w:t>序号</w:t>
            </w:r>
          </w:p>
        </w:tc>
        <w:tc>
          <w:tcPr>
            <w:tcW w:w="3095"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pageBreakBefore w:val="0"/>
              <w:kinsoku/>
              <w:wordWrap w:val="0"/>
              <w:overflowPunct/>
              <w:topLinePunct w:val="0"/>
              <w:autoSpaceDE/>
              <w:autoSpaceDN/>
              <w:bidi w:val="0"/>
              <w:adjustRightInd/>
              <w:snapToGrid/>
              <w:spacing w:line="300" w:lineRule="exact"/>
              <w:jc w:val="center"/>
              <w:textAlignment w:val="auto"/>
              <w:rPr>
                <w:rFonts w:asciiTheme="minorEastAsia" w:hAnsiTheme="minorEastAsia" w:cstheme="minorEastAsia"/>
                <w:b/>
                <w:bCs/>
                <w:kern w:val="2"/>
                <w:sz w:val="21"/>
                <w:szCs w:val="21"/>
              </w:rPr>
            </w:pPr>
            <w:r>
              <w:rPr>
                <w:rFonts w:hint="eastAsia" w:asciiTheme="minorEastAsia" w:hAnsiTheme="minorEastAsia" w:cstheme="minorEastAsia"/>
                <w:b/>
                <w:bCs/>
                <w:kern w:val="2"/>
                <w:sz w:val="21"/>
                <w:szCs w:val="21"/>
              </w:rPr>
              <w:t>评分项</w:t>
            </w:r>
          </w:p>
        </w:tc>
        <w:tc>
          <w:tcPr>
            <w:tcW w:w="6055"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pageBreakBefore w:val="0"/>
              <w:kinsoku/>
              <w:wordWrap w:val="0"/>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b/>
                <w:bCs/>
                <w:kern w:val="2"/>
                <w:sz w:val="21"/>
                <w:szCs w:val="21"/>
                <w:lang w:eastAsia="zh-CN"/>
              </w:rPr>
            </w:pPr>
            <w:r>
              <w:rPr>
                <w:rFonts w:hint="eastAsia" w:asciiTheme="minorEastAsia" w:hAnsiTheme="minorEastAsia" w:cstheme="minorEastAsia"/>
                <w:b/>
                <w:bCs/>
                <w:kern w:val="2"/>
                <w:sz w:val="21"/>
                <w:szCs w:val="21"/>
                <w:lang w:eastAsia="zh-CN"/>
              </w:rPr>
              <w:t>分值</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384" w:hRule="atLeast"/>
          <w:jc w:val="center"/>
        </w:trPr>
        <w:tc>
          <w:tcPr>
            <w:tcW w:w="668" w:type="dxa"/>
            <w:vMerge w:val="restart"/>
            <w:tcBorders>
              <w:top w:val="single" w:color="000000" w:sz="8" w:space="0"/>
              <w:left w:val="single" w:color="000000" w:sz="8" w:space="0"/>
              <w:right w:val="single" w:color="000000" w:sz="8" w:space="0"/>
            </w:tcBorders>
            <w:shd w:val="clear" w:color="auto" w:fill="auto"/>
          </w:tcPr>
          <w:p>
            <w:pPr>
              <w:keepNext w:val="0"/>
              <w:keepLines w:val="0"/>
              <w:pageBreakBefore w:val="0"/>
              <w:kinsoku/>
              <w:wordWrap w:val="0"/>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b/>
                <w:bCs/>
                <w:color w:val="auto"/>
                <w:kern w:val="2"/>
                <w:sz w:val="21"/>
                <w:szCs w:val="21"/>
                <w:lang w:eastAsia="zh-CN"/>
              </w:rPr>
            </w:pPr>
            <w:r>
              <w:rPr>
                <w:rFonts w:hint="eastAsia" w:asciiTheme="minorEastAsia" w:hAnsiTheme="minorEastAsia" w:cstheme="minorEastAsia"/>
                <w:b/>
                <w:bCs/>
                <w:color w:val="auto"/>
                <w:kern w:val="2"/>
                <w:sz w:val="21"/>
                <w:szCs w:val="21"/>
                <w:lang w:eastAsia="zh-CN"/>
              </w:rPr>
              <w:t>一</w:t>
            </w:r>
          </w:p>
        </w:tc>
        <w:tc>
          <w:tcPr>
            <w:tcW w:w="3095" w:type="dxa"/>
            <w:gridSpan w:val="3"/>
            <w:tcBorders>
              <w:top w:val="single" w:color="000000" w:sz="8" w:space="0"/>
              <w:left w:val="single" w:color="000000" w:sz="8" w:space="0"/>
              <w:bottom w:val="single" w:color="000000" w:sz="8" w:space="0"/>
              <w:right w:val="single" w:color="000000" w:sz="8" w:space="0"/>
            </w:tcBorders>
            <w:shd w:val="clear" w:color="auto" w:fill="auto"/>
          </w:tcPr>
          <w:p>
            <w:pPr>
              <w:keepNext w:val="0"/>
              <w:keepLines w:val="0"/>
              <w:pageBreakBefore w:val="0"/>
              <w:kinsoku/>
              <w:wordWrap w:val="0"/>
              <w:overflowPunct/>
              <w:topLinePunct w:val="0"/>
              <w:autoSpaceDE/>
              <w:autoSpaceDN/>
              <w:bidi w:val="0"/>
              <w:adjustRightInd/>
              <w:snapToGrid/>
              <w:spacing w:line="300" w:lineRule="exact"/>
              <w:jc w:val="center"/>
              <w:textAlignment w:val="auto"/>
              <w:rPr>
                <w:rFonts w:asciiTheme="minorEastAsia" w:hAnsiTheme="minorEastAsia" w:cstheme="minorEastAsia"/>
                <w:b/>
                <w:bCs/>
                <w:color w:val="auto"/>
                <w:kern w:val="2"/>
                <w:sz w:val="21"/>
                <w:szCs w:val="21"/>
              </w:rPr>
            </w:pPr>
            <w:r>
              <w:rPr>
                <w:rFonts w:hint="eastAsia" w:asciiTheme="minorEastAsia" w:hAnsiTheme="minorEastAsia" w:cstheme="minorEastAsia"/>
                <w:b/>
                <w:bCs/>
                <w:color w:val="auto"/>
                <w:kern w:val="2"/>
                <w:sz w:val="21"/>
                <w:szCs w:val="21"/>
              </w:rPr>
              <w:t>价格</w:t>
            </w:r>
          </w:p>
        </w:tc>
        <w:tc>
          <w:tcPr>
            <w:tcW w:w="6055" w:type="dxa"/>
            <w:tcBorders>
              <w:top w:val="single" w:color="000000" w:sz="8" w:space="0"/>
              <w:left w:val="single" w:color="000000" w:sz="8" w:space="0"/>
              <w:bottom w:val="single" w:color="000000" w:sz="8" w:space="0"/>
              <w:right w:val="single" w:color="000000" w:sz="8" w:space="0"/>
            </w:tcBorders>
            <w:shd w:val="clear" w:color="auto" w:fill="auto"/>
          </w:tcPr>
          <w:p>
            <w:pPr>
              <w:keepNext w:val="0"/>
              <w:keepLines w:val="0"/>
              <w:pageBreakBefore w:val="0"/>
              <w:kinsoku/>
              <w:wordWrap w:val="0"/>
              <w:overflowPunct/>
              <w:topLinePunct w:val="0"/>
              <w:autoSpaceDE/>
              <w:autoSpaceDN/>
              <w:bidi w:val="0"/>
              <w:adjustRightInd/>
              <w:snapToGrid/>
              <w:spacing w:line="300" w:lineRule="exact"/>
              <w:jc w:val="center"/>
              <w:textAlignment w:val="auto"/>
              <w:rPr>
                <w:rFonts w:hint="default" w:asciiTheme="minorEastAsia" w:hAnsiTheme="minorEastAsia" w:eastAsiaTheme="minorEastAsia" w:cstheme="minorEastAsia"/>
                <w:b/>
                <w:bCs/>
                <w:color w:val="auto"/>
                <w:kern w:val="2"/>
                <w:sz w:val="21"/>
                <w:szCs w:val="21"/>
                <w:lang w:val="en-US" w:eastAsia="zh-CN"/>
              </w:rPr>
            </w:pPr>
            <w:r>
              <w:rPr>
                <w:rFonts w:hint="eastAsia" w:asciiTheme="minorEastAsia" w:hAnsiTheme="minorEastAsia" w:cstheme="minorEastAsia"/>
                <w:b/>
                <w:bCs/>
                <w:color w:val="auto"/>
                <w:kern w:val="2"/>
                <w:sz w:val="21"/>
                <w:szCs w:val="21"/>
                <w:lang w:val="en-US" w:eastAsia="zh-CN"/>
              </w:rPr>
              <w:t>50分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2425" w:hRule="atLeast"/>
          <w:jc w:val="center"/>
        </w:trPr>
        <w:tc>
          <w:tcPr>
            <w:tcW w:w="668" w:type="dxa"/>
            <w:vMerge w:val="continue"/>
            <w:tcBorders>
              <w:left w:val="single" w:color="000000" w:sz="8" w:space="0"/>
              <w:bottom w:val="single" w:color="000000" w:sz="8" w:space="0"/>
              <w:right w:val="single" w:color="000000" w:sz="8" w:space="0"/>
            </w:tcBorders>
            <w:shd w:val="clear" w:color="auto" w:fill="auto"/>
          </w:tcPr>
          <w:p>
            <w:pPr>
              <w:keepNext w:val="0"/>
              <w:keepLines w:val="0"/>
              <w:pageBreakBefore w:val="0"/>
              <w:kinsoku/>
              <w:wordWrap w:val="0"/>
              <w:overflowPunct/>
              <w:topLinePunct w:val="0"/>
              <w:autoSpaceDE/>
              <w:autoSpaceDN/>
              <w:bidi w:val="0"/>
              <w:adjustRightInd/>
              <w:snapToGrid/>
              <w:spacing w:line="300" w:lineRule="exact"/>
              <w:jc w:val="center"/>
              <w:textAlignment w:val="auto"/>
              <w:rPr>
                <w:rFonts w:hint="eastAsia" w:asciiTheme="minorEastAsia" w:hAnsiTheme="minorEastAsia" w:cstheme="minorEastAsia"/>
                <w:b/>
                <w:bCs/>
                <w:color w:val="auto"/>
                <w:kern w:val="2"/>
                <w:sz w:val="21"/>
                <w:szCs w:val="21"/>
              </w:rPr>
            </w:pPr>
          </w:p>
        </w:tc>
        <w:tc>
          <w:tcPr>
            <w:tcW w:w="9150" w:type="dxa"/>
            <w:gridSpan w:val="4"/>
            <w:tcBorders>
              <w:top w:val="single" w:color="000000" w:sz="8" w:space="0"/>
              <w:left w:val="single" w:color="000000" w:sz="8" w:space="0"/>
              <w:bottom w:val="single" w:color="000000" w:sz="8" w:space="0"/>
              <w:right w:val="single" w:color="000000" w:sz="8" w:space="0"/>
            </w:tcBorders>
            <w:shd w:val="clear" w:color="auto" w:fill="auto"/>
          </w:tcPr>
          <w:p>
            <w:pPr>
              <w:keepNext w:val="0"/>
              <w:keepLines w:val="0"/>
              <w:pageBreakBefore w:val="0"/>
              <w:kinsoku/>
              <w:overflowPunct/>
              <w:topLinePunct w:val="0"/>
              <w:autoSpaceDE/>
              <w:autoSpaceDN/>
              <w:bidi w:val="0"/>
              <w:adjustRightInd/>
              <w:snapToGrid/>
              <w:spacing w:line="300" w:lineRule="exact"/>
              <w:jc w:val="left"/>
              <w:textAlignment w:val="auto"/>
              <w:rPr>
                <w:rFonts w:hint="default" w:ascii="宋体" w:hAnsi="宋体" w:cs="Times New Roman"/>
                <w:color w:val="auto"/>
                <w:sz w:val="21"/>
                <w:szCs w:val="21"/>
                <w:lang w:val="zh-CN"/>
              </w:rPr>
            </w:pPr>
            <w:r>
              <w:rPr>
                <w:rFonts w:hint="default" w:ascii="宋体" w:hAnsi="宋体" w:cs="Times New Roman"/>
                <w:color w:val="auto"/>
                <w:sz w:val="21"/>
                <w:szCs w:val="21"/>
                <w:lang w:val="zh-CN"/>
              </w:rPr>
              <w:t>价格分计算方法：采用</w:t>
            </w:r>
            <w:r>
              <w:rPr>
                <w:rFonts w:hint="eastAsia" w:ascii="宋体" w:hAnsi="宋体" w:cs="Times New Roman"/>
                <w:color w:val="auto"/>
                <w:sz w:val="21"/>
                <w:szCs w:val="21"/>
                <w:lang w:val="zh-CN"/>
              </w:rPr>
              <w:t>平均价</w:t>
            </w:r>
            <w:r>
              <w:rPr>
                <w:rFonts w:hint="default" w:ascii="宋体" w:hAnsi="宋体" w:cs="Times New Roman"/>
                <w:color w:val="auto"/>
                <w:sz w:val="21"/>
                <w:szCs w:val="21"/>
                <w:lang w:val="zh-CN"/>
              </w:rPr>
              <w:t>法计算，满足</w:t>
            </w:r>
            <w:r>
              <w:rPr>
                <w:rFonts w:hint="eastAsia" w:ascii="宋体" w:hAnsi="宋体" w:cs="Times New Roman"/>
                <w:color w:val="auto"/>
                <w:sz w:val="21"/>
                <w:szCs w:val="21"/>
                <w:lang w:val="en-US" w:eastAsia="zh-CN"/>
              </w:rPr>
              <w:t>询价函</w:t>
            </w:r>
            <w:r>
              <w:rPr>
                <w:rFonts w:hint="default" w:ascii="宋体" w:hAnsi="宋体" w:cs="Times New Roman"/>
                <w:color w:val="auto"/>
                <w:sz w:val="21"/>
                <w:szCs w:val="21"/>
                <w:lang w:val="zh-CN"/>
              </w:rPr>
              <w:t>要求且</w:t>
            </w:r>
            <w:r>
              <w:rPr>
                <w:rFonts w:hint="default" w:ascii="宋体" w:hAnsi="宋体" w:cs="Times New Roman"/>
                <w:color w:val="auto"/>
                <w:sz w:val="21"/>
                <w:szCs w:val="21"/>
                <w:lang w:val="zh-CN" w:eastAsia="zh-CN"/>
              </w:rPr>
              <w:t>所有有效报价的平均值</w:t>
            </w:r>
            <w:r>
              <w:rPr>
                <w:rFonts w:hint="default" w:ascii="宋体" w:hAnsi="宋体" w:cs="Times New Roman"/>
                <w:color w:val="auto"/>
                <w:sz w:val="21"/>
                <w:szCs w:val="21"/>
                <w:lang w:val="zh-CN"/>
              </w:rPr>
              <w:t>为基准</w:t>
            </w:r>
            <w:r>
              <w:rPr>
                <w:rFonts w:hint="eastAsia" w:ascii="宋体" w:hAnsi="宋体" w:cs="Times New Roman"/>
                <w:color w:val="auto"/>
                <w:sz w:val="21"/>
                <w:szCs w:val="21"/>
                <w:lang w:val="zh-CN"/>
              </w:rPr>
              <w:t>价</w:t>
            </w:r>
            <w:r>
              <w:rPr>
                <w:rFonts w:hint="default" w:ascii="宋体" w:hAnsi="宋体" w:cs="Times New Roman"/>
                <w:color w:val="auto"/>
                <w:sz w:val="21"/>
                <w:szCs w:val="21"/>
                <w:lang w:val="zh-CN"/>
              </w:rPr>
              <w:t>，</w:t>
            </w:r>
            <w:r>
              <w:rPr>
                <w:rFonts w:hint="eastAsia" w:ascii="宋体" w:hAnsi="宋体" w:cs="Times New Roman"/>
                <w:color w:val="auto"/>
                <w:sz w:val="21"/>
                <w:szCs w:val="21"/>
                <w:lang w:val="zh-CN"/>
              </w:rPr>
              <w:t>报价为基准价的</w:t>
            </w:r>
            <w:r>
              <w:rPr>
                <w:rFonts w:hint="default" w:ascii="宋体" w:hAnsi="宋体" w:cs="Times New Roman"/>
                <w:color w:val="auto"/>
                <w:sz w:val="21"/>
                <w:szCs w:val="21"/>
                <w:lang w:val="zh-CN"/>
              </w:rPr>
              <w:t>价格分</w:t>
            </w:r>
            <w:r>
              <w:rPr>
                <w:rFonts w:hint="eastAsia" w:ascii="宋体" w:hAnsi="宋体" w:cs="Times New Roman"/>
                <w:color w:val="auto"/>
                <w:sz w:val="21"/>
                <w:szCs w:val="21"/>
                <w:lang w:val="zh-CN"/>
              </w:rPr>
              <w:t>为</w:t>
            </w:r>
            <w:r>
              <w:rPr>
                <w:rFonts w:hint="default" w:ascii="宋体" w:hAnsi="宋体" w:cs="Times New Roman"/>
                <w:color w:val="auto"/>
                <w:sz w:val="21"/>
                <w:szCs w:val="21"/>
                <w:lang w:val="zh-CN"/>
              </w:rPr>
              <w:t>满分</w:t>
            </w:r>
            <w:r>
              <w:rPr>
                <w:rFonts w:hint="eastAsia" w:ascii="宋体" w:hAnsi="宋体" w:cs="Times New Roman"/>
                <w:color w:val="auto"/>
                <w:sz w:val="21"/>
                <w:szCs w:val="21"/>
                <w:lang w:val="en-US" w:eastAsia="zh-CN"/>
              </w:rPr>
              <w:t>50分</w:t>
            </w:r>
            <w:r>
              <w:rPr>
                <w:rFonts w:hint="default" w:ascii="宋体" w:hAnsi="宋体" w:cs="Times New Roman"/>
                <w:color w:val="auto"/>
                <w:sz w:val="21"/>
                <w:szCs w:val="21"/>
                <w:lang w:val="zh-CN"/>
              </w:rPr>
              <w:t>。其它</w:t>
            </w:r>
            <w:r>
              <w:rPr>
                <w:rFonts w:hint="eastAsia" w:ascii="宋体" w:hAnsi="宋体" w:cs="Times New Roman"/>
                <w:color w:val="auto"/>
                <w:sz w:val="21"/>
                <w:szCs w:val="21"/>
                <w:lang w:val="zh-CN"/>
              </w:rPr>
              <w:t>报价单位</w:t>
            </w:r>
            <w:r>
              <w:rPr>
                <w:rFonts w:hint="default" w:ascii="宋体" w:hAnsi="宋体" w:cs="Times New Roman"/>
                <w:color w:val="auto"/>
                <w:sz w:val="21"/>
                <w:szCs w:val="21"/>
                <w:lang w:val="zh-CN"/>
              </w:rPr>
              <w:t>的价格分统一按照下列公式计算：</w:t>
            </w:r>
          </w:p>
          <w:p>
            <w:pPr>
              <w:keepNext w:val="0"/>
              <w:keepLines w:val="0"/>
              <w:pageBreakBefore w:val="0"/>
              <w:kinsoku/>
              <w:overflowPunct/>
              <w:topLinePunct w:val="0"/>
              <w:autoSpaceDE/>
              <w:autoSpaceDN/>
              <w:bidi w:val="0"/>
              <w:adjustRightInd/>
              <w:snapToGrid/>
              <w:spacing w:line="300" w:lineRule="exact"/>
              <w:ind w:firstLine="1054" w:firstLineChars="500"/>
              <w:jc w:val="left"/>
              <w:textAlignment w:val="auto"/>
              <w:rPr>
                <w:rFonts w:hint="default" w:ascii="宋体" w:hAnsi="宋体" w:cs="Times New Roman"/>
                <w:color w:val="auto"/>
                <w:sz w:val="21"/>
                <w:szCs w:val="21"/>
                <w:lang w:val="en-US"/>
              </w:rPr>
            </w:pPr>
            <w:r>
              <w:rPr>
                <w:rFonts w:hint="eastAsia" w:ascii="宋体" w:hAnsi="宋体" w:cs="Times New Roman"/>
                <w:b/>
                <w:bCs/>
                <w:color w:val="auto"/>
                <w:sz w:val="21"/>
                <w:szCs w:val="21"/>
                <w:lang w:val="zh-CN"/>
              </w:rPr>
              <w:t>价格</w:t>
            </w:r>
            <w:r>
              <w:rPr>
                <w:rFonts w:hint="default" w:ascii="宋体" w:hAnsi="宋体" w:cs="Times New Roman"/>
                <w:b/>
                <w:bCs/>
                <w:color w:val="auto"/>
                <w:sz w:val="21"/>
                <w:szCs w:val="21"/>
                <w:lang w:val="zh-CN"/>
              </w:rPr>
              <w:t>分=（基准价/报价）×</w:t>
            </w:r>
            <w:r>
              <w:rPr>
                <w:rFonts w:hint="eastAsia" w:ascii="宋体" w:hAnsi="宋体" w:cs="Times New Roman"/>
                <w:b/>
                <w:bCs/>
                <w:color w:val="auto"/>
                <w:sz w:val="21"/>
                <w:szCs w:val="21"/>
                <w:lang w:val="en-US" w:eastAsia="zh-CN"/>
              </w:rPr>
              <w:t>50</w:t>
            </w:r>
          </w:p>
          <w:p>
            <w:pPr>
              <w:keepNext w:val="0"/>
              <w:keepLines w:val="0"/>
              <w:pageBreakBefore w:val="0"/>
              <w:kinsoku/>
              <w:wordWrap w:val="0"/>
              <w:overflowPunct/>
              <w:topLinePunct w:val="0"/>
              <w:autoSpaceDE/>
              <w:autoSpaceDN/>
              <w:bidi w:val="0"/>
              <w:adjustRightInd/>
              <w:snapToGrid/>
              <w:spacing w:line="300" w:lineRule="exact"/>
              <w:jc w:val="left"/>
              <w:textAlignment w:val="auto"/>
              <w:rPr>
                <w:rFonts w:hint="eastAsia" w:asciiTheme="minorEastAsia" w:hAnsiTheme="minorEastAsia" w:cstheme="minorEastAsia"/>
                <w:b/>
                <w:bCs/>
                <w:color w:val="auto"/>
                <w:kern w:val="2"/>
                <w:sz w:val="21"/>
                <w:szCs w:val="21"/>
                <w:lang w:val="en-US" w:eastAsia="zh-CN"/>
              </w:rPr>
            </w:pPr>
            <w:r>
              <w:rPr>
                <w:rFonts w:hint="eastAsia" w:ascii="宋体" w:hAnsi="宋体" w:cs="Times New Roman"/>
                <w:color w:val="auto"/>
                <w:sz w:val="21"/>
                <w:szCs w:val="21"/>
                <w:lang w:val="zh-CN"/>
              </w:rPr>
              <w:t>各单位的</w:t>
            </w:r>
            <w:r>
              <w:rPr>
                <w:rFonts w:hint="default" w:ascii="宋体" w:hAnsi="宋体" w:cs="Times New Roman"/>
                <w:color w:val="auto"/>
                <w:sz w:val="21"/>
                <w:szCs w:val="21"/>
                <w:lang w:val="zh-CN"/>
              </w:rPr>
              <w:t>报价不得低于成本价。若报价明显偏低，</w:t>
            </w:r>
            <w:r>
              <w:rPr>
                <w:rFonts w:hint="eastAsia" w:ascii="宋体" w:hAnsi="宋体" w:cs="Times New Roman"/>
                <w:color w:val="auto"/>
                <w:sz w:val="21"/>
                <w:szCs w:val="21"/>
                <w:lang w:val="en-US" w:eastAsia="zh-CN"/>
              </w:rPr>
              <w:t>报价</w:t>
            </w:r>
            <w:r>
              <w:rPr>
                <w:rFonts w:hint="eastAsia" w:ascii="宋体" w:hAnsi="宋体" w:cs="Times New Roman"/>
                <w:color w:val="auto"/>
                <w:sz w:val="21"/>
                <w:szCs w:val="21"/>
                <w:lang w:val="zh-CN"/>
              </w:rPr>
              <w:t>单位</w:t>
            </w:r>
            <w:r>
              <w:rPr>
                <w:rFonts w:hint="default" w:ascii="宋体" w:hAnsi="宋体" w:cs="Times New Roman"/>
                <w:color w:val="auto"/>
                <w:sz w:val="21"/>
                <w:szCs w:val="21"/>
                <w:lang w:val="zh-CN"/>
              </w:rPr>
              <w:t>须对报价情况作出</w:t>
            </w:r>
            <w:r>
              <w:rPr>
                <w:rFonts w:hint="eastAsia" w:ascii="宋体" w:hAnsi="宋体" w:cs="Times New Roman"/>
                <w:color w:val="auto"/>
                <w:sz w:val="21"/>
                <w:szCs w:val="21"/>
                <w:lang w:val="zh-CN"/>
              </w:rPr>
              <w:t>合理性</w:t>
            </w:r>
            <w:r>
              <w:rPr>
                <w:rFonts w:hint="default" w:ascii="宋体" w:hAnsi="宋体" w:cs="Times New Roman"/>
                <w:color w:val="auto"/>
                <w:sz w:val="21"/>
                <w:szCs w:val="21"/>
                <w:lang w:val="zh-CN"/>
              </w:rPr>
              <w:t>解释并得到</w:t>
            </w:r>
            <w:r>
              <w:rPr>
                <w:rFonts w:hint="eastAsia" w:ascii="宋体" w:hAnsi="宋体" w:cs="Times New Roman"/>
                <w:color w:val="auto"/>
                <w:sz w:val="21"/>
                <w:szCs w:val="21"/>
                <w:lang w:val="zh-CN"/>
              </w:rPr>
              <w:t>评标</w:t>
            </w:r>
            <w:r>
              <w:rPr>
                <w:rFonts w:hint="default" w:ascii="宋体" w:hAnsi="宋体" w:cs="Times New Roman"/>
                <w:color w:val="auto"/>
                <w:sz w:val="21"/>
                <w:szCs w:val="21"/>
                <w:lang w:val="zh-CN"/>
              </w:rPr>
              <w:t>委员会认可。</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384" w:hRule="atLeast"/>
          <w:jc w:val="center"/>
        </w:trPr>
        <w:tc>
          <w:tcPr>
            <w:tcW w:w="668" w:type="dxa"/>
            <w:vMerge w:val="restart"/>
            <w:tcBorders>
              <w:top w:val="single" w:color="000000" w:sz="8" w:space="0"/>
              <w:left w:val="single" w:color="000000" w:sz="8" w:space="0"/>
              <w:right w:val="single" w:color="000000" w:sz="8" w:space="0"/>
            </w:tcBorders>
            <w:shd w:val="clear" w:color="auto" w:fill="auto"/>
          </w:tcPr>
          <w:p>
            <w:pPr>
              <w:keepNext w:val="0"/>
              <w:keepLines w:val="0"/>
              <w:pageBreakBefore w:val="0"/>
              <w:kinsoku/>
              <w:wordWrap w:val="0"/>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b/>
                <w:bCs/>
                <w:color w:val="auto"/>
                <w:kern w:val="2"/>
                <w:sz w:val="21"/>
                <w:szCs w:val="21"/>
                <w:lang w:eastAsia="zh-CN"/>
              </w:rPr>
            </w:pPr>
            <w:r>
              <w:rPr>
                <w:rFonts w:hint="eastAsia" w:asciiTheme="minorEastAsia" w:hAnsiTheme="minorEastAsia" w:cstheme="minorEastAsia"/>
                <w:b/>
                <w:bCs/>
                <w:color w:val="auto"/>
                <w:kern w:val="2"/>
                <w:sz w:val="21"/>
                <w:szCs w:val="21"/>
                <w:lang w:eastAsia="zh-CN"/>
              </w:rPr>
              <w:t>二</w:t>
            </w:r>
          </w:p>
        </w:tc>
        <w:tc>
          <w:tcPr>
            <w:tcW w:w="3095" w:type="dxa"/>
            <w:gridSpan w:val="3"/>
            <w:tcBorders>
              <w:top w:val="single" w:color="000000" w:sz="8" w:space="0"/>
              <w:left w:val="single" w:color="000000" w:sz="8" w:space="0"/>
              <w:bottom w:val="single" w:color="000000" w:sz="8" w:space="0"/>
              <w:right w:val="single" w:color="000000" w:sz="8" w:space="0"/>
            </w:tcBorders>
            <w:shd w:val="clear" w:color="auto" w:fill="auto"/>
          </w:tcPr>
          <w:p>
            <w:pPr>
              <w:keepNext w:val="0"/>
              <w:keepLines w:val="0"/>
              <w:pageBreakBefore w:val="0"/>
              <w:kinsoku/>
              <w:wordWrap w:val="0"/>
              <w:overflowPunct/>
              <w:topLinePunct w:val="0"/>
              <w:autoSpaceDE/>
              <w:autoSpaceDN/>
              <w:bidi w:val="0"/>
              <w:adjustRightInd/>
              <w:snapToGrid/>
              <w:spacing w:line="300" w:lineRule="exact"/>
              <w:jc w:val="center"/>
              <w:textAlignment w:val="auto"/>
              <w:rPr>
                <w:rFonts w:asciiTheme="minorEastAsia" w:hAnsiTheme="minorEastAsia" w:cstheme="minorEastAsia"/>
                <w:b/>
                <w:bCs/>
                <w:color w:val="auto"/>
                <w:kern w:val="2"/>
                <w:sz w:val="21"/>
                <w:szCs w:val="21"/>
              </w:rPr>
            </w:pPr>
            <w:r>
              <w:rPr>
                <w:rFonts w:hint="eastAsia" w:asciiTheme="minorEastAsia" w:hAnsiTheme="minorEastAsia" w:cstheme="minorEastAsia"/>
                <w:b/>
                <w:bCs/>
                <w:color w:val="auto"/>
                <w:kern w:val="2"/>
                <w:sz w:val="21"/>
                <w:szCs w:val="21"/>
                <w:lang w:val="en-US" w:eastAsia="zh-CN"/>
              </w:rPr>
              <w:t>资信</w:t>
            </w:r>
            <w:r>
              <w:rPr>
                <w:rFonts w:hint="eastAsia" w:asciiTheme="minorEastAsia" w:hAnsiTheme="minorEastAsia" w:cstheme="minorEastAsia"/>
                <w:b/>
                <w:bCs/>
                <w:color w:val="auto"/>
                <w:kern w:val="2"/>
                <w:sz w:val="21"/>
                <w:szCs w:val="21"/>
              </w:rPr>
              <w:t>部分</w:t>
            </w:r>
          </w:p>
        </w:tc>
        <w:tc>
          <w:tcPr>
            <w:tcW w:w="6055" w:type="dxa"/>
            <w:tcBorders>
              <w:top w:val="single" w:color="000000" w:sz="8" w:space="0"/>
              <w:left w:val="single" w:color="000000" w:sz="8" w:space="0"/>
              <w:bottom w:val="single" w:color="000000" w:sz="8" w:space="0"/>
              <w:right w:val="single" w:color="000000" w:sz="8" w:space="0"/>
            </w:tcBorders>
            <w:shd w:val="clear" w:color="auto" w:fill="auto"/>
          </w:tcPr>
          <w:p>
            <w:pPr>
              <w:keepNext w:val="0"/>
              <w:keepLines w:val="0"/>
              <w:pageBreakBefore w:val="0"/>
              <w:kinsoku/>
              <w:wordWrap w:val="0"/>
              <w:overflowPunct/>
              <w:topLinePunct w:val="0"/>
              <w:autoSpaceDE/>
              <w:autoSpaceDN/>
              <w:bidi w:val="0"/>
              <w:adjustRightInd/>
              <w:snapToGrid/>
              <w:spacing w:line="300" w:lineRule="exact"/>
              <w:jc w:val="center"/>
              <w:textAlignment w:val="auto"/>
              <w:rPr>
                <w:rFonts w:hint="default" w:asciiTheme="minorEastAsia" w:hAnsiTheme="minorEastAsia" w:eastAsiaTheme="minorEastAsia" w:cstheme="minorEastAsia"/>
                <w:b/>
                <w:bCs/>
                <w:color w:val="auto"/>
                <w:kern w:val="2"/>
                <w:sz w:val="21"/>
                <w:szCs w:val="21"/>
                <w:lang w:val="en-US" w:eastAsia="zh-CN"/>
              </w:rPr>
            </w:pPr>
            <w:r>
              <w:rPr>
                <w:rFonts w:hint="eastAsia" w:asciiTheme="minorEastAsia" w:hAnsiTheme="minorEastAsia" w:cstheme="minorEastAsia"/>
                <w:b/>
                <w:bCs/>
                <w:color w:val="auto"/>
                <w:kern w:val="2"/>
                <w:sz w:val="21"/>
                <w:szCs w:val="21"/>
                <w:lang w:val="en-US" w:eastAsia="zh-CN"/>
              </w:rPr>
              <w:t>25分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778" w:hRule="atLeast"/>
          <w:jc w:val="center"/>
        </w:trPr>
        <w:tc>
          <w:tcPr>
            <w:tcW w:w="668" w:type="dxa"/>
            <w:vMerge w:val="continue"/>
            <w:tcBorders>
              <w:left w:val="single" w:color="000000" w:sz="8" w:space="0"/>
              <w:right w:val="single" w:color="000000" w:sz="8" w:space="0"/>
            </w:tcBorders>
            <w:shd w:val="clear" w:color="auto" w:fill="auto"/>
            <w:vAlign w:val="center"/>
          </w:tcPr>
          <w:p>
            <w:pPr>
              <w:keepNext w:val="0"/>
              <w:keepLines w:val="0"/>
              <w:pageBreakBefore w:val="0"/>
              <w:kinsoku/>
              <w:wordWrap w:val="0"/>
              <w:overflowPunct/>
              <w:topLinePunct w:val="0"/>
              <w:autoSpaceDE/>
              <w:autoSpaceDN/>
              <w:bidi w:val="0"/>
              <w:adjustRightInd/>
              <w:snapToGrid/>
              <w:spacing w:line="300" w:lineRule="exact"/>
              <w:textAlignment w:val="auto"/>
              <w:rPr>
                <w:rFonts w:asciiTheme="minorEastAsia" w:hAnsiTheme="minorEastAsia" w:cstheme="minorEastAsia"/>
                <w:b/>
                <w:bCs/>
                <w:color w:val="auto"/>
                <w:kern w:val="2"/>
                <w:sz w:val="21"/>
                <w:szCs w:val="21"/>
              </w:rPr>
            </w:pPr>
          </w:p>
        </w:tc>
        <w:tc>
          <w:tcPr>
            <w:tcW w:w="665" w:type="dxa"/>
            <w:tcBorders>
              <w:top w:val="outset" w:color="000000" w:sz="6" w:space="0"/>
              <w:left w:val="outset" w:color="000000" w:sz="6" w:space="0"/>
              <w:bottom w:val="outset" w:color="000000" w:sz="6" w:space="0"/>
              <w:right w:val="outset" w:color="000000" w:sz="6" w:space="0"/>
            </w:tcBorders>
            <w:shd w:val="clear" w:color="auto" w:fill="auto"/>
            <w:vAlign w:val="center"/>
          </w:tcPr>
          <w:p>
            <w:pPr>
              <w:keepNext w:val="0"/>
              <w:keepLines w:val="0"/>
              <w:pageBreakBefore w:val="0"/>
              <w:kinsoku/>
              <w:wordWrap w:val="0"/>
              <w:overflowPunct/>
              <w:topLinePunct w:val="0"/>
              <w:autoSpaceDE/>
              <w:autoSpaceDN/>
              <w:bidi w:val="0"/>
              <w:adjustRightInd/>
              <w:snapToGrid/>
              <w:spacing w:line="300" w:lineRule="exact"/>
              <w:jc w:val="center"/>
              <w:textAlignment w:val="auto"/>
              <w:rPr>
                <w:rFonts w:asciiTheme="minorEastAsia" w:hAnsiTheme="minorEastAsia" w:cstheme="minorEastAsia"/>
                <w:color w:val="auto"/>
                <w:kern w:val="2"/>
                <w:sz w:val="21"/>
                <w:szCs w:val="21"/>
              </w:rPr>
            </w:pPr>
            <w:r>
              <w:rPr>
                <w:rFonts w:hint="eastAsia" w:asciiTheme="minorEastAsia" w:hAnsiTheme="minorEastAsia" w:cstheme="minorEastAsia"/>
                <w:color w:val="auto"/>
                <w:kern w:val="2"/>
                <w:sz w:val="21"/>
                <w:szCs w:val="21"/>
              </w:rPr>
              <w:t>序号</w:t>
            </w:r>
          </w:p>
        </w:tc>
        <w:tc>
          <w:tcPr>
            <w:tcW w:w="1402" w:type="dxa"/>
            <w:tcBorders>
              <w:top w:val="outset" w:color="000000" w:sz="6" w:space="0"/>
              <w:left w:val="outset" w:color="000000" w:sz="6" w:space="0"/>
              <w:bottom w:val="outset" w:color="000000" w:sz="6" w:space="0"/>
              <w:right w:val="outset" w:color="000000" w:sz="6" w:space="0"/>
            </w:tcBorders>
            <w:shd w:val="clear" w:color="auto" w:fill="auto"/>
            <w:vAlign w:val="center"/>
          </w:tcPr>
          <w:p>
            <w:pPr>
              <w:keepNext w:val="0"/>
              <w:keepLines w:val="0"/>
              <w:pageBreakBefore w:val="0"/>
              <w:kinsoku/>
              <w:wordWrap w:val="0"/>
              <w:overflowPunct/>
              <w:topLinePunct w:val="0"/>
              <w:autoSpaceDE/>
              <w:autoSpaceDN/>
              <w:bidi w:val="0"/>
              <w:adjustRightInd/>
              <w:snapToGrid/>
              <w:spacing w:line="300" w:lineRule="exact"/>
              <w:jc w:val="center"/>
              <w:textAlignment w:val="auto"/>
              <w:rPr>
                <w:rFonts w:asciiTheme="minorEastAsia" w:hAnsiTheme="minorEastAsia" w:cstheme="minorEastAsia"/>
                <w:color w:val="auto"/>
                <w:kern w:val="2"/>
                <w:sz w:val="21"/>
                <w:szCs w:val="21"/>
              </w:rPr>
            </w:pPr>
            <w:r>
              <w:rPr>
                <w:rFonts w:hint="eastAsia" w:asciiTheme="minorEastAsia" w:hAnsiTheme="minorEastAsia" w:cstheme="minorEastAsia"/>
                <w:color w:val="auto"/>
                <w:kern w:val="2"/>
                <w:sz w:val="21"/>
                <w:szCs w:val="21"/>
              </w:rPr>
              <w:t>评分因素</w:t>
            </w:r>
          </w:p>
        </w:tc>
        <w:tc>
          <w:tcPr>
            <w:tcW w:w="1028" w:type="dxa"/>
            <w:tcBorders>
              <w:top w:val="outset" w:color="000000" w:sz="6" w:space="0"/>
              <w:left w:val="outset" w:color="000000" w:sz="6" w:space="0"/>
              <w:bottom w:val="outset" w:color="000000" w:sz="6" w:space="0"/>
              <w:right w:val="outset" w:color="000000" w:sz="6" w:space="0"/>
            </w:tcBorders>
            <w:shd w:val="clear" w:color="auto" w:fill="auto"/>
            <w:vAlign w:val="center"/>
          </w:tcPr>
          <w:p>
            <w:pPr>
              <w:keepNext w:val="0"/>
              <w:keepLines w:val="0"/>
              <w:pageBreakBefore w:val="0"/>
              <w:kinsoku/>
              <w:wordWrap w:val="0"/>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kern w:val="2"/>
                <w:sz w:val="21"/>
                <w:szCs w:val="21"/>
                <w:lang w:eastAsia="zh-CN"/>
              </w:rPr>
            </w:pPr>
            <w:r>
              <w:rPr>
                <w:rFonts w:hint="eastAsia" w:asciiTheme="minorEastAsia" w:hAnsiTheme="minorEastAsia" w:cstheme="minorEastAsia"/>
                <w:color w:val="auto"/>
                <w:kern w:val="2"/>
                <w:sz w:val="21"/>
                <w:szCs w:val="21"/>
                <w:lang w:eastAsia="zh-CN"/>
              </w:rPr>
              <w:t>分值</w:t>
            </w:r>
          </w:p>
        </w:tc>
        <w:tc>
          <w:tcPr>
            <w:tcW w:w="6055" w:type="dxa"/>
            <w:tcBorders>
              <w:top w:val="outset" w:color="000000" w:sz="6" w:space="0"/>
              <w:left w:val="outset" w:color="000000" w:sz="6" w:space="0"/>
              <w:bottom w:val="outset" w:color="000000" w:sz="6" w:space="0"/>
              <w:right w:val="outset" w:color="000000" w:sz="6" w:space="0"/>
            </w:tcBorders>
            <w:shd w:val="clear" w:color="auto" w:fill="auto"/>
            <w:vAlign w:val="center"/>
          </w:tcPr>
          <w:p>
            <w:pPr>
              <w:keepNext w:val="0"/>
              <w:keepLines w:val="0"/>
              <w:pageBreakBefore w:val="0"/>
              <w:kinsoku/>
              <w:wordWrap w:val="0"/>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kern w:val="2"/>
                <w:sz w:val="21"/>
                <w:szCs w:val="21"/>
                <w:lang w:eastAsia="zh-CN"/>
              </w:rPr>
            </w:pPr>
            <w:r>
              <w:rPr>
                <w:rFonts w:hint="eastAsia" w:asciiTheme="minorEastAsia" w:hAnsiTheme="minorEastAsia" w:cstheme="minorEastAsia"/>
                <w:color w:val="auto"/>
                <w:kern w:val="2"/>
                <w:sz w:val="21"/>
                <w:szCs w:val="21"/>
              </w:rPr>
              <w:t>评分</w:t>
            </w:r>
            <w:r>
              <w:rPr>
                <w:rFonts w:hint="eastAsia" w:asciiTheme="minorEastAsia" w:hAnsiTheme="minorEastAsia" w:cstheme="minorEastAsia"/>
                <w:color w:val="auto"/>
                <w:kern w:val="2"/>
                <w:sz w:val="21"/>
                <w:szCs w:val="21"/>
                <w:lang w:eastAsia="zh-CN"/>
              </w:rPr>
              <w:t>标准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3332" w:hRule="atLeast"/>
          <w:jc w:val="center"/>
        </w:trPr>
        <w:tc>
          <w:tcPr>
            <w:tcW w:w="668" w:type="dxa"/>
            <w:vMerge w:val="continue"/>
            <w:tcBorders>
              <w:left w:val="single" w:color="000000" w:sz="8" w:space="0"/>
              <w:right w:val="single" w:color="000000" w:sz="8" w:space="0"/>
            </w:tcBorders>
            <w:vAlign w:val="center"/>
          </w:tcPr>
          <w:p>
            <w:pPr>
              <w:keepNext w:val="0"/>
              <w:keepLines w:val="0"/>
              <w:pageBreakBefore w:val="0"/>
              <w:kinsoku/>
              <w:wordWrap w:val="0"/>
              <w:overflowPunct/>
              <w:topLinePunct w:val="0"/>
              <w:autoSpaceDE/>
              <w:autoSpaceDN/>
              <w:bidi w:val="0"/>
              <w:adjustRightInd/>
              <w:snapToGrid/>
              <w:spacing w:line="300" w:lineRule="exact"/>
              <w:textAlignment w:val="auto"/>
              <w:rPr>
                <w:rFonts w:asciiTheme="minorEastAsia" w:hAnsiTheme="minorEastAsia" w:cstheme="minorEastAsia"/>
                <w:b/>
                <w:bCs/>
                <w:color w:val="auto"/>
                <w:kern w:val="2"/>
                <w:sz w:val="21"/>
                <w:szCs w:val="21"/>
              </w:rPr>
            </w:pPr>
          </w:p>
        </w:tc>
        <w:tc>
          <w:tcPr>
            <w:tcW w:w="665"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val="0"/>
              <w:overflowPunct/>
              <w:topLinePunct w:val="0"/>
              <w:autoSpaceDE/>
              <w:autoSpaceDN/>
              <w:bidi w:val="0"/>
              <w:adjustRightInd/>
              <w:snapToGrid/>
              <w:spacing w:line="300" w:lineRule="exact"/>
              <w:jc w:val="center"/>
              <w:textAlignment w:val="auto"/>
              <w:rPr>
                <w:rFonts w:asciiTheme="minorEastAsia" w:hAnsiTheme="minorEastAsia" w:cstheme="minorEastAsia"/>
                <w:color w:val="auto"/>
                <w:kern w:val="2"/>
                <w:sz w:val="21"/>
                <w:szCs w:val="21"/>
              </w:rPr>
            </w:pPr>
            <w:r>
              <w:rPr>
                <w:rFonts w:hint="eastAsia" w:asciiTheme="minorEastAsia" w:hAnsiTheme="minorEastAsia" w:cstheme="minorEastAsia"/>
                <w:color w:val="auto"/>
                <w:kern w:val="2"/>
                <w:sz w:val="21"/>
                <w:szCs w:val="21"/>
              </w:rPr>
              <w:t>1</w:t>
            </w:r>
          </w:p>
        </w:tc>
        <w:tc>
          <w:tcPr>
            <w:tcW w:w="1402"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overflowPunct/>
              <w:topLinePunct w:val="0"/>
              <w:autoSpaceDE/>
              <w:autoSpaceDN/>
              <w:bidi w:val="0"/>
              <w:adjustRightInd/>
              <w:snapToGrid/>
              <w:spacing w:line="300" w:lineRule="exact"/>
              <w:jc w:val="center"/>
              <w:textAlignment w:val="auto"/>
              <w:rPr>
                <w:rFonts w:hint="eastAsia" w:ascii="宋体" w:hAnsi="宋体" w:cs="Times New Roman"/>
                <w:color w:val="auto"/>
                <w:sz w:val="21"/>
                <w:szCs w:val="21"/>
              </w:rPr>
            </w:pPr>
            <w:r>
              <w:rPr>
                <w:rFonts w:hint="eastAsia" w:ascii="宋体" w:hAnsi="宋体" w:cs="Times New Roman"/>
                <w:color w:val="auto"/>
                <w:sz w:val="21"/>
                <w:szCs w:val="21"/>
              </w:rPr>
              <w:t>同类项目业绩</w:t>
            </w:r>
          </w:p>
        </w:tc>
        <w:tc>
          <w:tcPr>
            <w:tcW w:w="1028"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overflowPunct/>
              <w:topLinePunct w:val="0"/>
              <w:autoSpaceDE/>
              <w:autoSpaceDN/>
              <w:bidi w:val="0"/>
              <w:adjustRightInd/>
              <w:snapToGrid/>
              <w:spacing w:line="300" w:lineRule="exact"/>
              <w:jc w:val="center"/>
              <w:textAlignment w:val="auto"/>
              <w:rPr>
                <w:rFonts w:hint="default" w:ascii="宋体" w:hAnsi="宋体" w:cs="Times New Roman" w:eastAsiaTheme="minorEastAsia"/>
                <w:color w:val="auto"/>
                <w:sz w:val="21"/>
                <w:szCs w:val="21"/>
                <w:lang w:val="en-US" w:eastAsia="zh-CN"/>
              </w:rPr>
            </w:pPr>
            <w:r>
              <w:rPr>
                <w:rFonts w:hint="eastAsia" w:ascii="宋体" w:hAnsi="宋体" w:cs="Times New Roman"/>
                <w:color w:val="auto"/>
                <w:sz w:val="21"/>
                <w:szCs w:val="21"/>
                <w:lang w:val="en-US" w:eastAsia="zh-CN"/>
              </w:rPr>
              <w:t>15</w:t>
            </w:r>
          </w:p>
        </w:tc>
        <w:tc>
          <w:tcPr>
            <w:tcW w:w="6055"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numPr>
                <w:ilvl w:val="0"/>
                <w:numId w:val="0"/>
              </w:numPr>
              <w:kinsoku/>
              <w:overflowPunct/>
              <w:topLinePunct w:val="0"/>
              <w:autoSpaceDE/>
              <w:autoSpaceDN/>
              <w:bidi w:val="0"/>
              <w:adjustRightInd/>
              <w:snapToGrid/>
              <w:spacing w:line="300" w:lineRule="exact"/>
              <w:jc w:val="left"/>
              <w:textAlignment w:val="auto"/>
              <w:rPr>
                <w:rFonts w:hint="default" w:ascii="宋体" w:hAnsi="宋体" w:cs="Times New Roman"/>
                <w:color w:val="auto"/>
                <w:sz w:val="21"/>
                <w:szCs w:val="21"/>
                <w:lang w:val="en-US" w:eastAsia="zh-CN"/>
              </w:rPr>
            </w:pPr>
            <w:r>
              <w:rPr>
                <w:rFonts w:hint="eastAsia" w:ascii="宋体" w:hAnsi="宋体" w:cs="Times New Roman"/>
                <w:color w:val="auto"/>
                <w:sz w:val="21"/>
                <w:szCs w:val="21"/>
                <w:lang w:val="en-US" w:eastAsia="zh-CN"/>
              </w:rPr>
              <w:t>1、提供</w:t>
            </w:r>
            <w:r>
              <w:rPr>
                <w:rFonts w:hint="eastAsia" w:ascii="宋体" w:hAnsi="宋体" w:cs="Times New Roman"/>
                <w:color w:val="auto"/>
                <w:sz w:val="21"/>
                <w:szCs w:val="21"/>
              </w:rPr>
              <w:t>近</w:t>
            </w:r>
            <w:r>
              <w:rPr>
                <w:rFonts w:hint="eastAsia" w:ascii="宋体" w:hAnsi="宋体" w:cs="Times New Roman"/>
                <w:color w:val="auto"/>
                <w:sz w:val="21"/>
                <w:szCs w:val="21"/>
                <w:lang w:val="en-US" w:eastAsia="zh-CN"/>
              </w:rPr>
              <w:t>3</w:t>
            </w:r>
            <w:r>
              <w:rPr>
                <w:rFonts w:hint="eastAsia" w:ascii="宋体" w:hAnsi="宋体" w:cs="Times New Roman"/>
                <w:color w:val="auto"/>
                <w:sz w:val="21"/>
                <w:szCs w:val="21"/>
              </w:rPr>
              <w:t>年（自20</w:t>
            </w:r>
            <w:r>
              <w:rPr>
                <w:rFonts w:hint="eastAsia" w:ascii="宋体" w:hAnsi="宋体" w:cs="Times New Roman"/>
                <w:color w:val="auto"/>
                <w:sz w:val="21"/>
                <w:szCs w:val="21"/>
                <w:lang w:val="en-US" w:eastAsia="zh-CN"/>
              </w:rPr>
              <w:t>23</w:t>
            </w:r>
            <w:r>
              <w:rPr>
                <w:rFonts w:hint="eastAsia" w:ascii="宋体" w:hAnsi="宋体" w:cs="Times New Roman"/>
                <w:color w:val="auto"/>
                <w:sz w:val="21"/>
                <w:szCs w:val="21"/>
              </w:rPr>
              <w:t>年</w:t>
            </w:r>
            <w:r>
              <w:rPr>
                <w:rFonts w:hint="eastAsia" w:ascii="宋体" w:hAnsi="宋体" w:cs="Times New Roman"/>
                <w:color w:val="auto"/>
                <w:sz w:val="21"/>
                <w:szCs w:val="21"/>
                <w:lang w:val="en-US" w:eastAsia="zh-CN"/>
              </w:rPr>
              <w:t>1月1日</w:t>
            </w:r>
            <w:r>
              <w:rPr>
                <w:rFonts w:hint="eastAsia" w:ascii="宋体" w:hAnsi="宋体" w:cs="Times New Roman"/>
                <w:color w:val="auto"/>
                <w:sz w:val="21"/>
                <w:szCs w:val="21"/>
              </w:rPr>
              <w:t>至</w:t>
            </w:r>
            <w:r>
              <w:rPr>
                <w:rFonts w:hint="eastAsia" w:ascii="宋体" w:hAnsi="宋体" w:cs="Times New Roman"/>
                <w:color w:val="auto"/>
                <w:sz w:val="21"/>
                <w:szCs w:val="21"/>
                <w:lang w:eastAsia="zh-CN"/>
              </w:rPr>
              <w:t>今</w:t>
            </w:r>
            <w:r>
              <w:rPr>
                <w:rFonts w:hint="eastAsia" w:ascii="宋体" w:hAnsi="宋体" w:cs="Times New Roman"/>
                <w:color w:val="auto"/>
                <w:sz w:val="21"/>
                <w:szCs w:val="21"/>
              </w:rPr>
              <w:t>）</w:t>
            </w:r>
            <w:r>
              <w:rPr>
                <w:rFonts w:hint="eastAsia" w:ascii="宋体" w:hAnsi="宋体" w:cs="Times New Roman"/>
                <w:color w:val="auto"/>
                <w:sz w:val="21"/>
                <w:szCs w:val="21"/>
                <w:lang w:eastAsia="zh-CN"/>
              </w:rPr>
              <w:t>最具代表性的同类项目业绩，提供的业绩数量最多不超过</w:t>
            </w:r>
            <w:r>
              <w:rPr>
                <w:rFonts w:hint="eastAsia" w:ascii="宋体" w:hAnsi="宋体" w:cs="Times New Roman"/>
                <w:color w:val="auto"/>
                <w:sz w:val="21"/>
                <w:szCs w:val="21"/>
                <w:lang w:val="en-US" w:eastAsia="zh-CN"/>
              </w:rPr>
              <w:t>3项，若超过3项则按提供材料顺序审查前3项，每提供一项业绩得5分，最高得15分。</w:t>
            </w:r>
          </w:p>
          <w:p>
            <w:pPr>
              <w:pStyle w:val="6"/>
              <w:rPr>
                <w:rFonts w:hint="eastAsia"/>
                <w:color w:val="auto"/>
              </w:rPr>
            </w:pPr>
            <w:r>
              <w:rPr>
                <w:rFonts w:hint="eastAsia" w:ascii="宋体" w:hAnsi="宋体" w:cs="Times New Roman"/>
                <w:color w:val="auto"/>
                <w:sz w:val="21"/>
                <w:szCs w:val="21"/>
                <w:lang w:val="en-US" w:eastAsia="zh-CN"/>
              </w:rPr>
              <w:t>2、</w:t>
            </w:r>
            <w:r>
              <w:rPr>
                <w:rFonts w:hint="eastAsia" w:ascii="宋体" w:hAnsi="宋体" w:cs="Times New Roman"/>
                <w:color w:val="auto"/>
                <w:sz w:val="21"/>
                <w:szCs w:val="21"/>
              </w:rPr>
              <w:t>须提供合同关键页</w:t>
            </w:r>
            <w:r>
              <w:rPr>
                <w:rFonts w:hint="eastAsia" w:ascii="宋体" w:hAnsi="宋体" w:cs="Times New Roman"/>
                <w:color w:val="auto"/>
                <w:sz w:val="21"/>
                <w:szCs w:val="21"/>
                <w:lang w:eastAsia="zh-CN"/>
              </w:rPr>
              <w:t>（含合同范围、服务内容、合同金额、合同签订时间）</w:t>
            </w:r>
            <w:r>
              <w:rPr>
                <w:rFonts w:hint="eastAsia" w:ascii="宋体" w:hAnsi="宋体" w:cs="Times New Roman"/>
                <w:color w:val="auto"/>
                <w:sz w:val="21"/>
                <w:szCs w:val="21"/>
              </w:rPr>
              <w:t>，未按要求提供或提供的证明材料</w:t>
            </w:r>
            <w:r>
              <w:rPr>
                <w:rFonts w:hint="eastAsia" w:ascii="宋体" w:hAnsi="宋体" w:cs="Times New Roman"/>
                <w:color w:val="auto"/>
                <w:sz w:val="21"/>
                <w:szCs w:val="21"/>
                <w:lang w:eastAsia="zh-CN"/>
              </w:rPr>
              <w:t>专家</w:t>
            </w:r>
            <w:r>
              <w:rPr>
                <w:rFonts w:hint="eastAsia" w:ascii="宋体" w:hAnsi="宋体" w:cs="Times New Roman"/>
                <w:color w:val="auto"/>
                <w:sz w:val="21"/>
                <w:szCs w:val="21"/>
              </w:rPr>
              <w:t>无法判断的不得分。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4405" w:hRule="atLeast"/>
          <w:jc w:val="center"/>
        </w:trPr>
        <w:tc>
          <w:tcPr>
            <w:tcW w:w="668" w:type="dxa"/>
            <w:vMerge w:val="continue"/>
            <w:tcBorders>
              <w:left w:val="single" w:color="000000" w:sz="8" w:space="0"/>
              <w:right w:val="single" w:color="000000" w:sz="8" w:space="0"/>
            </w:tcBorders>
            <w:vAlign w:val="center"/>
          </w:tcPr>
          <w:p>
            <w:pPr>
              <w:keepNext w:val="0"/>
              <w:keepLines w:val="0"/>
              <w:pageBreakBefore w:val="0"/>
              <w:kinsoku/>
              <w:wordWrap w:val="0"/>
              <w:overflowPunct/>
              <w:topLinePunct w:val="0"/>
              <w:autoSpaceDE/>
              <w:autoSpaceDN/>
              <w:bidi w:val="0"/>
              <w:adjustRightInd/>
              <w:snapToGrid/>
              <w:spacing w:line="300" w:lineRule="exact"/>
              <w:textAlignment w:val="auto"/>
              <w:rPr>
                <w:rFonts w:asciiTheme="minorEastAsia" w:hAnsiTheme="minorEastAsia" w:cstheme="minorEastAsia"/>
                <w:b/>
                <w:bCs/>
                <w:color w:val="auto"/>
                <w:kern w:val="2"/>
                <w:sz w:val="21"/>
                <w:szCs w:val="21"/>
              </w:rPr>
            </w:pPr>
          </w:p>
        </w:tc>
        <w:tc>
          <w:tcPr>
            <w:tcW w:w="665"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val="0"/>
              <w:overflowPunct/>
              <w:topLinePunct w:val="0"/>
              <w:autoSpaceDE/>
              <w:autoSpaceDN/>
              <w:bidi w:val="0"/>
              <w:adjustRightInd/>
              <w:snapToGrid/>
              <w:spacing w:line="300" w:lineRule="exact"/>
              <w:jc w:val="center"/>
              <w:textAlignment w:val="auto"/>
              <w:rPr>
                <w:rFonts w:hint="default" w:asciiTheme="minorEastAsia" w:hAnsiTheme="minorEastAsia" w:cstheme="minorEastAsia"/>
                <w:color w:val="auto"/>
                <w:kern w:val="2"/>
                <w:sz w:val="21"/>
                <w:szCs w:val="21"/>
                <w:lang w:val="en-US" w:eastAsia="zh-CN"/>
              </w:rPr>
            </w:pPr>
            <w:r>
              <w:rPr>
                <w:rFonts w:hint="eastAsia" w:asciiTheme="minorEastAsia" w:hAnsiTheme="minorEastAsia" w:cstheme="minorEastAsia"/>
                <w:color w:val="auto"/>
                <w:kern w:val="2"/>
                <w:sz w:val="21"/>
                <w:szCs w:val="21"/>
                <w:lang w:val="en-US" w:eastAsia="zh-CN"/>
              </w:rPr>
              <w:t>2</w:t>
            </w:r>
          </w:p>
        </w:tc>
        <w:tc>
          <w:tcPr>
            <w:tcW w:w="1402"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overflowPunct/>
              <w:topLinePunct w:val="0"/>
              <w:autoSpaceDE/>
              <w:autoSpaceDN/>
              <w:bidi w:val="0"/>
              <w:adjustRightInd/>
              <w:snapToGrid/>
              <w:spacing w:line="300" w:lineRule="exact"/>
              <w:jc w:val="center"/>
              <w:textAlignment w:val="auto"/>
              <w:rPr>
                <w:rFonts w:ascii="宋体" w:hAnsi="宋体" w:eastAsia="宋体" w:cs="宋体"/>
                <w:sz w:val="21"/>
              </w:rPr>
            </w:pPr>
            <w:r>
              <w:rPr>
                <w:rFonts w:hint="eastAsia" w:ascii="宋体" w:hAnsi="宋体" w:cs="Times New Roman"/>
                <w:color w:val="auto"/>
                <w:sz w:val="21"/>
                <w:szCs w:val="21"/>
                <w:lang w:eastAsia="zh-CN"/>
              </w:rPr>
              <w:t>履约质效情况</w:t>
            </w:r>
          </w:p>
        </w:tc>
        <w:tc>
          <w:tcPr>
            <w:tcW w:w="1028"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overflowPunct/>
              <w:topLinePunct w:val="0"/>
              <w:autoSpaceDE/>
              <w:autoSpaceDN/>
              <w:bidi w:val="0"/>
              <w:adjustRightInd/>
              <w:snapToGrid/>
              <w:spacing w:line="300" w:lineRule="exact"/>
              <w:jc w:val="center"/>
              <w:textAlignment w:val="auto"/>
              <w:rPr>
                <w:rFonts w:hint="default" w:ascii="宋体" w:hAnsi="宋体" w:cs="Times New Roman"/>
                <w:color w:val="auto"/>
                <w:sz w:val="21"/>
                <w:szCs w:val="21"/>
                <w:lang w:val="en-US" w:eastAsia="zh-CN"/>
              </w:rPr>
            </w:pPr>
            <w:r>
              <w:rPr>
                <w:rFonts w:hint="eastAsia" w:ascii="宋体" w:hAnsi="宋体" w:cs="Times New Roman"/>
                <w:color w:val="auto"/>
                <w:sz w:val="21"/>
                <w:szCs w:val="21"/>
                <w:lang w:val="en-US" w:eastAsia="zh-CN"/>
              </w:rPr>
              <w:t>10</w:t>
            </w:r>
          </w:p>
        </w:tc>
        <w:tc>
          <w:tcPr>
            <w:tcW w:w="6055"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numPr>
                <w:ilvl w:val="0"/>
                <w:numId w:val="0"/>
              </w:numPr>
              <w:kinsoku/>
              <w:overflowPunct/>
              <w:topLinePunct w:val="0"/>
              <w:autoSpaceDE/>
              <w:autoSpaceDN/>
              <w:bidi w:val="0"/>
              <w:adjustRightInd/>
              <w:snapToGrid/>
              <w:spacing w:line="300" w:lineRule="exact"/>
              <w:jc w:val="left"/>
              <w:textAlignment w:val="auto"/>
              <w:rPr>
                <w:rFonts w:hint="eastAsia" w:ascii="宋体" w:hAnsi="宋体" w:cs="Times New Roman"/>
                <w:color w:val="auto"/>
                <w:sz w:val="21"/>
                <w:szCs w:val="21"/>
                <w:lang w:val="en-US" w:eastAsia="zh-CN"/>
              </w:rPr>
            </w:pPr>
            <w:r>
              <w:rPr>
                <w:rFonts w:hint="eastAsia" w:ascii="宋体" w:hAnsi="宋体" w:cs="Times New Roman"/>
                <w:color w:val="auto"/>
                <w:sz w:val="21"/>
                <w:szCs w:val="21"/>
                <w:lang w:val="en-US" w:eastAsia="zh-CN"/>
              </w:rPr>
              <w:t>对在本项目履约质效方面的情况做出说明，包括履约质量、履约效率、企业资源调度、企业优势等。</w:t>
            </w:r>
          </w:p>
          <w:p>
            <w:pPr>
              <w:keepNext w:val="0"/>
              <w:keepLines w:val="0"/>
              <w:pageBreakBefore w:val="0"/>
              <w:numPr>
                <w:ilvl w:val="0"/>
                <w:numId w:val="0"/>
              </w:numPr>
              <w:kinsoku/>
              <w:overflowPunct/>
              <w:topLinePunct w:val="0"/>
              <w:autoSpaceDE/>
              <w:autoSpaceDN/>
              <w:bidi w:val="0"/>
              <w:adjustRightInd/>
              <w:snapToGrid/>
              <w:spacing w:line="300" w:lineRule="exact"/>
              <w:jc w:val="left"/>
              <w:textAlignment w:val="auto"/>
              <w:rPr>
                <w:rFonts w:hint="eastAsia" w:ascii="宋体" w:hAnsi="宋体" w:cs="Times New Roman"/>
                <w:color w:val="auto"/>
                <w:sz w:val="21"/>
                <w:szCs w:val="21"/>
                <w:lang w:val="en-US" w:eastAsia="zh-CN"/>
              </w:rPr>
            </w:pPr>
            <w:r>
              <w:rPr>
                <w:rFonts w:hint="eastAsia" w:ascii="宋体" w:hAnsi="宋体" w:cs="Times New Roman"/>
                <w:color w:val="auto"/>
                <w:sz w:val="21"/>
                <w:szCs w:val="21"/>
                <w:lang w:val="en-US" w:eastAsia="zh-CN"/>
              </w:rPr>
              <w:t>优:优势符合实际、对项目履约影响大。</w:t>
            </w:r>
          </w:p>
          <w:p>
            <w:pPr>
              <w:keepNext w:val="0"/>
              <w:keepLines w:val="0"/>
              <w:pageBreakBefore w:val="0"/>
              <w:numPr>
                <w:ilvl w:val="0"/>
                <w:numId w:val="0"/>
              </w:numPr>
              <w:kinsoku/>
              <w:overflowPunct/>
              <w:topLinePunct w:val="0"/>
              <w:autoSpaceDE/>
              <w:autoSpaceDN/>
              <w:bidi w:val="0"/>
              <w:adjustRightInd/>
              <w:snapToGrid/>
              <w:spacing w:line="300" w:lineRule="exact"/>
              <w:jc w:val="left"/>
              <w:textAlignment w:val="auto"/>
              <w:rPr>
                <w:rFonts w:hint="eastAsia" w:ascii="宋体" w:hAnsi="宋体" w:cs="Times New Roman"/>
                <w:color w:val="auto"/>
                <w:sz w:val="21"/>
                <w:szCs w:val="21"/>
                <w:lang w:val="en-US" w:eastAsia="zh-CN"/>
              </w:rPr>
            </w:pPr>
            <w:r>
              <w:rPr>
                <w:rFonts w:hint="eastAsia" w:ascii="宋体" w:hAnsi="宋体" w:cs="Times New Roman"/>
                <w:color w:val="auto"/>
                <w:sz w:val="21"/>
                <w:szCs w:val="21"/>
                <w:lang w:val="en-US" w:eastAsia="zh-CN"/>
              </w:rPr>
              <w:t xml:space="preserve">良:优势较符合实际、对项目履约影响较大。 </w:t>
            </w:r>
          </w:p>
          <w:p>
            <w:pPr>
              <w:keepNext w:val="0"/>
              <w:keepLines w:val="0"/>
              <w:pageBreakBefore w:val="0"/>
              <w:numPr>
                <w:ilvl w:val="0"/>
                <w:numId w:val="0"/>
              </w:numPr>
              <w:kinsoku/>
              <w:overflowPunct/>
              <w:topLinePunct w:val="0"/>
              <w:autoSpaceDE/>
              <w:autoSpaceDN/>
              <w:bidi w:val="0"/>
              <w:adjustRightInd/>
              <w:snapToGrid/>
              <w:spacing w:line="300" w:lineRule="exact"/>
              <w:jc w:val="left"/>
              <w:textAlignment w:val="auto"/>
              <w:rPr>
                <w:rFonts w:hint="eastAsia" w:ascii="宋体" w:hAnsi="宋体" w:cs="Times New Roman"/>
                <w:color w:val="auto"/>
                <w:sz w:val="21"/>
                <w:szCs w:val="21"/>
                <w:lang w:val="en-US" w:eastAsia="zh-CN"/>
              </w:rPr>
            </w:pPr>
            <w:r>
              <w:rPr>
                <w:rFonts w:hint="eastAsia" w:ascii="宋体" w:hAnsi="宋体" w:cs="Times New Roman"/>
                <w:color w:val="auto"/>
                <w:sz w:val="21"/>
                <w:szCs w:val="21"/>
                <w:lang w:val="en-US" w:eastAsia="zh-CN"/>
              </w:rPr>
              <w:t>中:优势较普通、对项目履约影响一般。</w:t>
            </w:r>
          </w:p>
          <w:p>
            <w:pPr>
              <w:keepNext w:val="0"/>
              <w:keepLines w:val="0"/>
              <w:pageBreakBefore w:val="0"/>
              <w:numPr>
                <w:ilvl w:val="0"/>
                <w:numId w:val="0"/>
              </w:numPr>
              <w:kinsoku/>
              <w:overflowPunct/>
              <w:topLinePunct w:val="0"/>
              <w:autoSpaceDE/>
              <w:autoSpaceDN/>
              <w:bidi w:val="0"/>
              <w:adjustRightInd/>
              <w:snapToGrid/>
              <w:spacing w:line="300" w:lineRule="exact"/>
              <w:jc w:val="left"/>
              <w:textAlignment w:val="auto"/>
              <w:rPr>
                <w:rFonts w:hint="eastAsia" w:ascii="宋体" w:hAnsi="宋体" w:cs="Times New Roman"/>
                <w:color w:val="auto"/>
                <w:sz w:val="21"/>
                <w:szCs w:val="21"/>
                <w:lang w:val="en-US" w:eastAsia="zh-CN"/>
              </w:rPr>
            </w:pPr>
            <w:r>
              <w:rPr>
                <w:rFonts w:hint="eastAsia" w:ascii="宋体" w:hAnsi="宋体" w:cs="Times New Roman"/>
                <w:color w:val="auto"/>
                <w:sz w:val="21"/>
                <w:szCs w:val="21"/>
                <w:lang w:val="en-US" w:eastAsia="zh-CN"/>
              </w:rPr>
              <w:t>差:优势对项目履约影响极小。</w:t>
            </w:r>
          </w:p>
          <w:p>
            <w:pPr>
              <w:keepNext w:val="0"/>
              <w:keepLines w:val="0"/>
              <w:pageBreakBefore w:val="0"/>
              <w:numPr>
                <w:ilvl w:val="0"/>
                <w:numId w:val="0"/>
              </w:numPr>
              <w:kinsoku/>
              <w:overflowPunct/>
              <w:topLinePunct w:val="0"/>
              <w:autoSpaceDE/>
              <w:autoSpaceDN/>
              <w:bidi w:val="0"/>
              <w:adjustRightInd/>
              <w:snapToGrid/>
              <w:spacing w:line="300" w:lineRule="exact"/>
              <w:ind w:left="0" w:leftChars="0" w:firstLine="0" w:firstLineChars="0"/>
              <w:jc w:val="left"/>
              <w:textAlignment w:val="auto"/>
              <w:rPr>
                <w:rFonts w:hint="eastAsia" w:ascii="宋体" w:hAnsi="宋体" w:cs="Times New Roman"/>
                <w:color w:val="auto"/>
                <w:sz w:val="21"/>
                <w:szCs w:val="21"/>
                <w:lang w:val="en-US" w:eastAsia="zh-CN"/>
              </w:rPr>
            </w:pPr>
            <w:r>
              <w:rPr>
                <w:rFonts w:hint="eastAsia" w:ascii="宋体" w:hAnsi="宋体" w:cs="Times New Roman"/>
                <w:color w:val="auto"/>
                <w:sz w:val="21"/>
                <w:szCs w:val="21"/>
                <w:lang w:val="en-US" w:eastAsia="zh-CN"/>
              </w:rPr>
              <w:t>评价为优的得10分，评价为良的得6分，评价为中的得3分，评价为差不得分。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699" w:hRule="atLeast"/>
          <w:jc w:val="center"/>
        </w:trPr>
        <w:tc>
          <w:tcPr>
            <w:tcW w:w="668" w:type="dxa"/>
            <w:vMerge w:val="restart"/>
            <w:tcBorders>
              <w:left w:val="single" w:color="000000" w:sz="8" w:space="0"/>
              <w:right w:val="single" w:color="000000" w:sz="8" w:space="0"/>
            </w:tcBorders>
            <w:vAlign w:val="top"/>
          </w:tcPr>
          <w:p>
            <w:pPr>
              <w:keepNext w:val="0"/>
              <w:keepLines w:val="0"/>
              <w:pageBreakBefore w:val="0"/>
              <w:kinsoku/>
              <w:wordWrap w:val="0"/>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b/>
                <w:bCs/>
                <w:color w:val="auto"/>
                <w:kern w:val="2"/>
                <w:sz w:val="21"/>
                <w:szCs w:val="21"/>
                <w:lang w:eastAsia="zh-CN"/>
              </w:rPr>
            </w:pPr>
            <w:r>
              <w:rPr>
                <w:rFonts w:hint="eastAsia" w:asciiTheme="minorEastAsia" w:hAnsiTheme="minorEastAsia" w:cstheme="minorEastAsia"/>
                <w:b/>
                <w:bCs/>
                <w:color w:val="auto"/>
                <w:kern w:val="2"/>
                <w:sz w:val="21"/>
                <w:szCs w:val="21"/>
                <w:lang w:eastAsia="zh-CN"/>
              </w:rPr>
              <w:t>三</w:t>
            </w:r>
          </w:p>
        </w:tc>
        <w:tc>
          <w:tcPr>
            <w:tcW w:w="3095" w:type="dxa"/>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overflowPunct/>
              <w:topLinePunct w:val="0"/>
              <w:autoSpaceDE/>
              <w:autoSpaceDN/>
              <w:bidi w:val="0"/>
              <w:adjustRightInd/>
              <w:snapToGrid/>
              <w:spacing w:line="300" w:lineRule="exact"/>
              <w:jc w:val="center"/>
              <w:textAlignment w:val="auto"/>
              <w:rPr>
                <w:rFonts w:hint="eastAsia" w:ascii="宋体" w:hAnsi="宋体" w:cs="Times New Roman"/>
                <w:b/>
                <w:bCs/>
                <w:color w:val="auto"/>
                <w:sz w:val="21"/>
                <w:szCs w:val="21"/>
                <w:lang w:val="en-US" w:eastAsia="zh-CN"/>
              </w:rPr>
            </w:pPr>
            <w:r>
              <w:rPr>
                <w:rFonts w:hint="eastAsia" w:ascii="宋体" w:hAnsi="宋体" w:cs="Times New Roman"/>
                <w:b/>
                <w:bCs/>
                <w:color w:val="auto"/>
                <w:sz w:val="21"/>
                <w:szCs w:val="21"/>
                <w:lang w:val="en-US" w:eastAsia="zh-CN"/>
              </w:rPr>
              <w:t>技术部分</w:t>
            </w:r>
          </w:p>
        </w:tc>
        <w:tc>
          <w:tcPr>
            <w:tcW w:w="6055"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numPr>
                <w:ilvl w:val="0"/>
                <w:numId w:val="0"/>
              </w:numPr>
              <w:kinsoku/>
              <w:overflowPunct/>
              <w:topLinePunct w:val="0"/>
              <w:autoSpaceDE/>
              <w:autoSpaceDN/>
              <w:bidi w:val="0"/>
              <w:adjustRightInd/>
              <w:snapToGrid/>
              <w:spacing w:line="300" w:lineRule="exact"/>
              <w:ind w:left="0" w:leftChars="0" w:firstLine="0" w:firstLineChars="0"/>
              <w:jc w:val="center"/>
              <w:textAlignment w:val="auto"/>
              <w:rPr>
                <w:rFonts w:hint="default" w:ascii="宋体" w:hAnsi="宋体" w:cs="Times New Roman"/>
                <w:b/>
                <w:bCs/>
                <w:color w:val="auto"/>
                <w:sz w:val="21"/>
                <w:szCs w:val="21"/>
                <w:lang w:val="en-US" w:eastAsia="zh-CN"/>
              </w:rPr>
            </w:pPr>
            <w:r>
              <w:rPr>
                <w:rFonts w:hint="eastAsia" w:ascii="宋体" w:hAnsi="宋体" w:cs="Times New Roman"/>
                <w:b/>
                <w:bCs/>
                <w:color w:val="auto"/>
                <w:sz w:val="21"/>
                <w:szCs w:val="21"/>
                <w:lang w:val="en-US" w:eastAsia="zh-CN"/>
              </w:rPr>
              <w:t>25分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640" w:hRule="atLeast"/>
          <w:jc w:val="center"/>
        </w:trPr>
        <w:tc>
          <w:tcPr>
            <w:tcW w:w="668" w:type="dxa"/>
            <w:vMerge w:val="continue"/>
            <w:tcBorders>
              <w:left w:val="single" w:color="000000" w:sz="8" w:space="0"/>
              <w:right w:val="single" w:color="000000" w:sz="8" w:space="0"/>
            </w:tcBorders>
            <w:vAlign w:val="center"/>
          </w:tcPr>
          <w:p>
            <w:pPr>
              <w:keepNext w:val="0"/>
              <w:keepLines w:val="0"/>
              <w:pageBreakBefore w:val="0"/>
              <w:kinsoku/>
              <w:wordWrap w:val="0"/>
              <w:overflowPunct/>
              <w:topLinePunct w:val="0"/>
              <w:autoSpaceDE/>
              <w:autoSpaceDN/>
              <w:bidi w:val="0"/>
              <w:adjustRightInd/>
              <w:snapToGrid/>
              <w:spacing w:line="300" w:lineRule="exact"/>
              <w:textAlignment w:val="auto"/>
              <w:rPr>
                <w:rFonts w:asciiTheme="minorEastAsia" w:hAnsiTheme="minorEastAsia" w:cstheme="minorEastAsia"/>
                <w:b/>
                <w:bCs/>
                <w:color w:val="auto"/>
                <w:kern w:val="2"/>
                <w:sz w:val="21"/>
                <w:szCs w:val="21"/>
              </w:rPr>
            </w:pPr>
          </w:p>
        </w:tc>
        <w:tc>
          <w:tcPr>
            <w:tcW w:w="665"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val="0"/>
              <w:overflowPunct/>
              <w:topLinePunct w:val="0"/>
              <w:autoSpaceDE/>
              <w:autoSpaceDN/>
              <w:bidi w:val="0"/>
              <w:adjustRightInd/>
              <w:snapToGrid/>
              <w:spacing w:line="300" w:lineRule="exact"/>
              <w:jc w:val="center"/>
              <w:textAlignment w:val="auto"/>
              <w:rPr>
                <w:rFonts w:hint="eastAsia" w:asciiTheme="minorEastAsia" w:hAnsiTheme="minorEastAsia" w:cstheme="minorEastAsia"/>
                <w:color w:val="auto"/>
                <w:kern w:val="2"/>
                <w:sz w:val="21"/>
                <w:szCs w:val="21"/>
                <w:lang w:val="en-US" w:eastAsia="zh-CN"/>
              </w:rPr>
            </w:pPr>
            <w:r>
              <w:rPr>
                <w:rFonts w:hint="eastAsia" w:asciiTheme="minorEastAsia" w:hAnsiTheme="minorEastAsia" w:cstheme="minorEastAsia"/>
                <w:color w:val="auto"/>
                <w:kern w:val="2"/>
                <w:sz w:val="21"/>
                <w:szCs w:val="21"/>
              </w:rPr>
              <w:t>序号</w:t>
            </w:r>
          </w:p>
        </w:tc>
        <w:tc>
          <w:tcPr>
            <w:tcW w:w="1402"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val="0"/>
              <w:overflowPunct/>
              <w:topLinePunct w:val="0"/>
              <w:autoSpaceDE/>
              <w:autoSpaceDN/>
              <w:bidi w:val="0"/>
              <w:adjustRightInd/>
              <w:snapToGrid/>
              <w:spacing w:line="300" w:lineRule="exact"/>
              <w:jc w:val="center"/>
              <w:textAlignment w:val="auto"/>
              <w:rPr>
                <w:rFonts w:hint="eastAsia" w:ascii="宋体" w:hAnsi="宋体" w:cs="Times New Roman"/>
                <w:color w:val="auto"/>
                <w:sz w:val="21"/>
                <w:szCs w:val="21"/>
                <w:lang w:eastAsia="zh-CN"/>
              </w:rPr>
            </w:pPr>
            <w:r>
              <w:rPr>
                <w:rFonts w:hint="eastAsia" w:asciiTheme="minorEastAsia" w:hAnsiTheme="minorEastAsia" w:cstheme="minorEastAsia"/>
                <w:color w:val="auto"/>
                <w:kern w:val="2"/>
                <w:sz w:val="21"/>
                <w:szCs w:val="21"/>
              </w:rPr>
              <w:t>评分因素</w:t>
            </w:r>
          </w:p>
        </w:tc>
        <w:tc>
          <w:tcPr>
            <w:tcW w:w="1028"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val="0"/>
              <w:overflowPunct/>
              <w:topLinePunct w:val="0"/>
              <w:autoSpaceDE/>
              <w:autoSpaceDN/>
              <w:bidi w:val="0"/>
              <w:adjustRightInd/>
              <w:snapToGrid/>
              <w:spacing w:line="300" w:lineRule="exact"/>
              <w:jc w:val="center"/>
              <w:textAlignment w:val="auto"/>
              <w:rPr>
                <w:rFonts w:hint="eastAsia" w:ascii="宋体" w:hAnsi="宋体" w:cs="Times New Roman"/>
                <w:color w:val="auto"/>
                <w:sz w:val="21"/>
                <w:szCs w:val="21"/>
                <w:lang w:val="en-US" w:eastAsia="zh-CN"/>
              </w:rPr>
            </w:pPr>
            <w:r>
              <w:rPr>
                <w:rFonts w:hint="eastAsia" w:asciiTheme="minorEastAsia" w:hAnsiTheme="minorEastAsia" w:cstheme="minorEastAsia"/>
                <w:color w:val="auto"/>
                <w:kern w:val="2"/>
                <w:sz w:val="21"/>
                <w:szCs w:val="21"/>
                <w:lang w:eastAsia="zh-CN"/>
              </w:rPr>
              <w:t>分值</w:t>
            </w:r>
          </w:p>
        </w:tc>
        <w:tc>
          <w:tcPr>
            <w:tcW w:w="6055"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val="0"/>
              <w:overflowPunct/>
              <w:topLinePunct w:val="0"/>
              <w:autoSpaceDE/>
              <w:autoSpaceDN/>
              <w:bidi w:val="0"/>
              <w:adjustRightInd/>
              <w:snapToGrid/>
              <w:spacing w:line="300" w:lineRule="exact"/>
              <w:jc w:val="center"/>
              <w:textAlignment w:val="auto"/>
              <w:rPr>
                <w:rFonts w:hint="eastAsia" w:ascii="宋体" w:hAnsi="宋体" w:cs="Times New Roman"/>
                <w:color w:val="auto"/>
                <w:sz w:val="21"/>
                <w:szCs w:val="21"/>
                <w:lang w:val="en-US" w:eastAsia="zh-CN"/>
              </w:rPr>
            </w:pPr>
            <w:r>
              <w:rPr>
                <w:rFonts w:hint="eastAsia" w:asciiTheme="minorEastAsia" w:hAnsiTheme="minorEastAsia" w:cstheme="minorEastAsia"/>
                <w:color w:val="auto"/>
                <w:kern w:val="2"/>
                <w:sz w:val="21"/>
                <w:szCs w:val="21"/>
              </w:rPr>
              <w:t>评分</w:t>
            </w:r>
            <w:r>
              <w:rPr>
                <w:rFonts w:hint="eastAsia" w:asciiTheme="minorEastAsia" w:hAnsiTheme="minorEastAsia" w:cstheme="minorEastAsia"/>
                <w:color w:val="auto"/>
                <w:kern w:val="2"/>
                <w:sz w:val="21"/>
                <w:szCs w:val="21"/>
                <w:lang w:eastAsia="zh-CN"/>
              </w:rPr>
              <w:t>标准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4250" w:hRule="atLeast"/>
          <w:jc w:val="center"/>
        </w:trPr>
        <w:tc>
          <w:tcPr>
            <w:tcW w:w="668" w:type="dxa"/>
            <w:vMerge w:val="continue"/>
            <w:tcBorders>
              <w:left w:val="single" w:color="000000" w:sz="8" w:space="0"/>
              <w:right w:val="single" w:color="000000" w:sz="8" w:space="0"/>
            </w:tcBorders>
            <w:vAlign w:val="center"/>
          </w:tcPr>
          <w:p>
            <w:pPr>
              <w:keepNext w:val="0"/>
              <w:keepLines w:val="0"/>
              <w:pageBreakBefore w:val="0"/>
              <w:kinsoku/>
              <w:wordWrap w:val="0"/>
              <w:overflowPunct/>
              <w:topLinePunct w:val="0"/>
              <w:autoSpaceDE/>
              <w:autoSpaceDN/>
              <w:bidi w:val="0"/>
              <w:adjustRightInd/>
              <w:snapToGrid/>
              <w:spacing w:line="300" w:lineRule="exact"/>
              <w:textAlignment w:val="auto"/>
              <w:rPr>
                <w:rFonts w:asciiTheme="minorEastAsia" w:hAnsiTheme="minorEastAsia" w:cstheme="minorEastAsia"/>
                <w:b/>
                <w:bCs/>
                <w:color w:val="auto"/>
                <w:kern w:val="2"/>
                <w:sz w:val="21"/>
                <w:szCs w:val="21"/>
              </w:rPr>
            </w:pPr>
          </w:p>
        </w:tc>
        <w:tc>
          <w:tcPr>
            <w:tcW w:w="665"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val="0"/>
              <w:overflowPunct/>
              <w:topLinePunct w:val="0"/>
              <w:autoSpaceDE/>
              <w:autoSpaceDN/>
              <w:bidi w:val="0"/>
              <w:adjustRightInd/>
              <w:snapToGrid/>
              <w:spacing w:line="300" w:lineRule="exact"/>
              <w:jc w:val="center"/>
              <w:textAlignment w:val="auto"/>
              <w:rPr>
                <w:rFonts w:hint="eastAsia" w:asciiTheme="minorEastAsia" w:hAnsiTheme="minorEastAsia" w:cstheme="minorEastAsia"/>
                <w:color w:val="auto"/>
                <w:kern w:val="2"/>
                <w:sz w:val="21"/>
                <w:szCs w:val="21"/>
                <w:lang w:val="en-US" w:eastAsia="zh-CN"/>
              </w:rPr>
            </w:pPr>
            <w:r>
              <w:rPr>
                <w:rFonts w:hint="eastAsia" w:asciiTheme="minorEastAsia" w:hAnsiTheme="minorEastAsia" w:cstheme="minorEastAsia"/>
                <w:color w:val="auto"/>
                <w:kern w:val="2"/>
                <w:sz w:val="21"/>
                <w:szCs w:val="21"/>
              </w:rPr>
              <w:t>1</w:t>
            </w:r>
          </w:p>
        </w:tc>
        <w:tc>
          <w:tcPr>
            <w:tcW w:w="1402"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overflowPunct/>
              <w:topLinePunct w:val="0"/>
              <w:autoSpaceDE/>
              <w:autoSpaceDN/>
              <w:bidi w:val="0"/>
              <w:adjustRightInd/>
              <w:snapToGrid/>
              <w:spacing w:line="300" w:lineRule="exact"/>
              <w:jc w:val="center"/>
              <w:textAlignment w:val="auto"/>
              <w:rPr>
                <w:rFonts w:hint="eastAsia" w:ascii="宋体" w:hAnsi="宋体" w:cs="Times New Roman"/>
                <w:color w:val="auto"/>
                <w:sz w:val="21"/>
                <w:szCs w:val="21"/>
                <w:lang w:eastAsia="zh-CN"/>
              </w:rPr>
            </w:pPr>
            <w:r>
              <w:rPr>
                <w:rFonts w:hint="eastAsia" w:ascii="宋体" w:hAnsi="宋体" w:cs="Times New Roman"/>
                <w:color w:val="auto"/>
                <w:sz w:val="21"/>
                <w:szCs w:val="21"/>
                <w:lang w:eastAsia="zh-CN"/>
              </w:rPr>
              <w:t>项目</w:t>
            </w:r>
            <w:r>
              <w:rPr>
                <w:rFonts w:hint="eastAsia" w:ascii="宋体" w:hAnsi="宋体" w:cs="Times New Roman"/>
                <w:color w:val="auto"/>
                <w:sz w:val="21"/>
                <w:szCs w:val="21"/>
              </w:rPr>
              <w:t>实施方案</w:t>
            </w:r>
          </w:p>
        </w:tc>
        <w:tc>
          <w:tcPr>
            <w:tcW w:w="1028"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overflowPunct/>
              <w:topLinePunct w:val="0"/>
              <w:autoSpaceDE/>
              <w:autoSpaceDN/>
              <w:bidi w:val="0"/>
              <w:adjustRightInd/>
              <w:snapToGrid/>
              <w:spacing w:line="300" w:lineRule="exact"/>
              <w:jc w:val="center"/>
              <w:textAlignment w:val="auto"/>
              <w:rPr>
                <w:rFonts w:hint="default" w:ascii="宋体" w:hAnsi="宋体" w:cs="Times New Roman"/>
                <w:color w:val="auto"/>
                <w:sz w:val="21"/>
                <w:szCs w:val="21"/>
                <w:lang w:val="en-US" w:eastAsia="zh-CN"/>
              </w:rPr>
            </w:pPr>
            <w:r>
              <w:rPr>
                <w:rFonts w:hint="eastAsia" w:ascii="宋体" w:hAnsi="宋体" w:cs="Times New Roman"/>
                <w:color w:val="auto"/>
                <w:sz w:val="21"/>
                <w:szCs w:val="21"/>
                <w:lang w:val="en-US" w:eastAsia="zh-CN"/>
              </w:rPr>
              <w:t>25</w:t>
            </w:r>
          </w:p>
        </w:tc>
        <w:tc>
          <w:tcPr>
            <w:tcW w:w="6055"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overflowPunct/>
              <w:topLinePunct w:val="0"/>
              <w:autoSpaceDE/>
              <w:autoSpaceDN/>
              <w:bidi w:val="0"/>
              <w:adjustRightInd/>
              <w:snapToGrid/>
              <w:spacing w:line="300" w:lineRule="exact"/>
              <w:jc w:val="left"/>
              <w:textAlignment w:val="auto"/>
              <w:rPr>
                <w:rFonts w:hint="eastAsia" w:ascii="宋体" w:hAnsi="宋体" w:cs="Times New Roman"/>
                <w:color w:val="auto"/>
                <w:sz w:val="21"/>
                <w:szCs w:val="21"/>
                <w:lang w:eastAsia="zh-CN"/>
              </w:rPr>
            </w:pPr>
            <w:r>
              <w:rPr>
                <w:rFonts w:hint="eastAsia" w:ascii="宋体" w:hAnsi="宋体" w:cs="Times New Roman"/>
                <w:color w:val="auto"/>
                <w:sz w:val="21"/>
                <w:szCs w:val="21"/>
                <w:lang w:eastAsia="zh-CN"/>
              </w:rPr>
              <w:t>对项目情况的了解</w:t>
            </w:r>
            <w:r>
              <w:rPr>
                <w:rFonts w:hint="eastAsia" w:ascii="宋体" w:hAnsi="宋体" w:cs="Times New Roman"/>
                <w:color w:val="auto"/>
                <w:sz w:val="21"/>
                <w:szCs w:val="21"/>
                <w:lang w:val="en-US" w:eastAsia="zh-CN"/>
              </w:rPr>
              <w:t>，</w:t>
            </w:r>
            <w:r>
              <w:rPr>
                <w:rFonts w:hint="eastAsia" w:ascii="宋体" w:hAnsi="宋体" w:cs="Times New Roman"/>
                <w:color w:val="auto"/>
                <w:sz w:val="21"/>
                <w:szCs w:val="21"/>
                <w:lang w:eastAsia="zh-CN"/>
              </w:rPr>
              <w:t>项目重难点分析及应对措施和相关的合理化建议，服务质量、服务进度、服务响应保障措施，应急采购服务方案，</w:t>
            </w:r>
            <w:r>
              <w:rPr>
                <w:rFonts w:hint="eastAsia" w:ascii="宋体" w:hAnsi="宋体" w:eastAsia="宋体" w:cs="宋体"/>
                <w:sz w:val="21"/>
                <w:highlight w:val="none"/>
                <w:lang w:eastAsia="zh-CN"/>
              </w:rPr>
              <w:t>后续服务</w:t>
            </w:r>
            <w:r>
              <w:rPr>
                <w:rFonts w:hint="eastAsia" w:ascii="宋体" w:hAnsi="宋体" w:cs="Times New Roman"/>
                <w:color w:val="auto"/>
                <w:sz w:val="21"/>
                <w:szCs w:val="21"/>
                <w:lang w:eastAsia="zh-CN"/>
              </w:rPr>
              <w:t>，对所有</w:t>
            </w:r>
            <w:r>
              <w:rPr>
                <w:rFonts w:hint="eastAsia" w:ascii="宋体" w:hAnsi="宋体" w:cs="Times New Roman"/>
                <w:color w:val="auto"/>
                <w:sz w:val="21"/>
                <w:szCs w:val="21"/>
                <w:lang w:val="en-US" w:eastAsia="zh-CN"/>
              </w:rPr>
              <w:t>报价</w:t>
            </w:r>
            <w:r>
              <w:rPr>
                <w:rFonts w:hint="eastAsia" w:ascii="宋体" w:hAnsi="宋体" w:cs="Times New Roman"/>
                <w:color w:val="auto"/>
                <w:sz w:val="21"/>
                <w:szCs w:val="21"/>
                <w:lang w:eastAsia="zh-CN"/>
              </w:rPr>
              <w:t>单位横向比较评审。</w:t>
            </w:r>
          </w:p>
          <w:p>
            <w:pPr>
              <w:keepNext w:val="0"/>
              <w:keepLines w:val="0"/>
              <w:pageBreakBefore w:val="0"/>
              <w:kinsoku/>
              <w:overflowPunct/>
              <w:topLinePunct w:val="0"/>
              <w:autoSpaceDE/>
              <w:autoSpaceDN/>
              <w:bidi w:val="0"/>
              <w:adjustRightInd/>
              <w:snapToGrid/>
              <w:spacing w:line="300" w:lineRule="exact"/>
              <w:jc w:val="left"/>
              <w:textAlignment w:val="auto"/>
              <w:rPr>
                <w:rFonts w:hint="eastAsia" w:ascii="宋体" w:hAnsi="宋体" w:cs="Times New Roman"/>
                <w:color w:val="auto"/>
                <w:sz w:val="21"/>
                <w:szCs w:val="21"/>
                <w:lang w:eastAsia="zh-CN"/>
              </w:rPr>
            </w:pPr>
            <w:r>
              <w:rPr>
                <w:rFonts w:hint="eastAsia" w:ascii="宋体" w:hAnsi="宋体" w:cs="Times New Roman"/>
                <w:b/>
                <w:bCs/>
                <w:color w:val="auto"/>
                <w:sz w:val="21"/>
                <w:szCs w:val="21"/>
              </w:rPr>
              <w:t>评审标准：</w:t>
            </w:r>
          </w:p>
          <w:p>
            <w:pPr>
              <w:keepNext w:val="0"/>
              <w:keepLines w:val="0"/>
              <w:pageBreakBefore w:val="0"/>
              <w:kinsoku/>
              <w:overflowPunct/>
              <w:topLinePunct w:val="0"/>
              <w:autoSpaceDE/>
              <w:autoSpaceDN/>
              <w:bidi w:val="0"/>
              <w:adjustRightInd/>
              <w:snapToGrid/>
              <w:spacing w:line="300" w:lineRule="exact"/>
              <w:jc w:val="left"/>
              <w:textAlignment w:val="auto"/>
              <w:rPr>
                <w:rFonts w:hint="eastAsia" w:ascii="宋体" w:hAnsi="宋体" w:cs="Times New Roman"/>
                <w:color w:val="auto"/>
                <w:sz w:val="21"/>
                <w:szCs w:val="21"/>
                <w:lang w:eastAsia="zh-CN"/>
              </w:rPr>
            </w:pPr>
            <w:r>
              <w:rPr>
                <w:rFonts w:hint="eastAsia" w:ascii="宋体" w:hAnsi="宋体" w:cs="Times New Roman"/>
                <w:color w:val="auto"/>
                <w:sz w:val="21"/>
                <w:szCs w:val="21"/>
                <w:lang w:val="en-US" w:eastAsia="zh-CN"/>
              </w:rPr>
              <w:t xml:space="preserve">优:方案符合实际，内容完整、规范，思路清晰，合理性强。 </w:t>
            </w:r>
          </w:p>
          <w:p>
            <w:pPr>
              <w:keepNext w:val="0"/>
              <w:keepLines w:val="0"/>
              <w:pageBreakBefore w:val="0"/>
              <w:kinsoku/>
              <w:overflowPunct/>
              <w:topLinePunct w:val="0"/>
              <w:autoSpaceDE/>
              <w:autoSpaceDN/>
              <w:bidi w:val="0"/>
              <w:adjustRightInd/>
              <w:snapToGrid/>
              <w:spacing w:line="300" w:lineRule="exact"/>
              <w:jc w:val="left"/>
              <w:textAlignment w:val="auto"/>
              <w:rPr>
                <w:rFonts w:hint="eastAsia" w:ascii="宋体" w:hAnsi="宋体" w:cs="Times New Roman"/>
                <w:color w:val="auto"/>
                <w:sz w:val="21"/>
                <w:szCs w:val="21"/>
                <w:lang w:eastAsia="zh-CN"/>
              </w:rPr>
            </w:pPr>
            <w:r>
              <w:rPr>
                <w:rFonts w:hint="eastAsia" w:ascii="宋体" w:hAnsi="宋体" w:cs="Times New Roman"/>
                <w:color w:val="auto"/>
                <w:sz w:val="21"/>
                <w:szCs w:val="21"/>
                <w:lang w:val="en-US" w:eastAsia="zh-CN"/>
              </w:rPr>
              <w:t xml:space="preserve">良:方案较符合实际，内容较完整规范，思路较清晰，合理性较强。 </w:t>
            </w:r>
          </w:p>
          <w:p>
            <w:pPr>
              <w:keepNext w:val="0"/>
              <w:keepLines w:val="0"/>
              <w:pageBreakBefore w:val="0"/>
              <w:kinsoku/>
              <w:overflowPunct/>
              <w:topLinePunct w:val="0"/>
              <w:autoSpaceDE/>
              <w:autoSpaceDN/>
              <w:bidi w:val="0"/>
              <w:adjustRightInd/>
              <w:snapToGrid/>
              <w:spacing w:line="300" w:lineRule="exact"/>
              <w:jc w:val="left"/>
              <w:textAlignment w:val="auto"/>
              <w:rPr>
                <w:rFonts w:hint="eastAsia" w:ascii="宋体" w:hAnsi="宋体" w:cs="Times New Roman"/>
                <w:color w:val="auto"/>
                <w:sz w:val="21"/>
                <w:szCs w:val="21"/>
                <w:lang w:eastAsia="zh-CN"/>
              </w:rPr>
            </w:pPr>
            <w:r>
              <w:rPr>
                <w:rFonts w:hint="eastAsia" w:ascii="宋体" w:hAnsi="宋体" w:cs="Times New Roman"/>
                <w:color w:val="auto"/>
                <w:sz w:val="21"/>
                <w:szCs w:val="21"/>
                <w:lang w:val="en-US" w:eastAsia="zh-CN"/>
              </w:rPr>
              <w:t xml:space="preserve">中:方案较普通，内容完整性规范性一般，思路不够清晰，合理性一般。 </w:t>
            </w:r>
          </w:p>
          <w:p>
            <w:pPr>
              <w:keepNext w:val="0"/>
              <w:keepLines w:val="0"/>
              <w:pageBreakBefore w:val="0"/>
              <w:kinsoku/>
              <w:overflowPunct/>
              <w:topLinePunct w:val="0"/>
              <w:autoSpaceDE/>
              <w:autoSpaceDN/>
              <w:bidi w:val="0"/>
              <w:adjustRightInd/>
              <w:snapToGrid/>
              <w:spacing w:line="300" w:lineRule="exact"/>
              <w:jc w:val="left"/>
              <w:textAlignment w:val="auto"/>
              <w:rPr>
                <w:rFonts w:hint="eastAsia" w:ascii="宋体" w:hAnsi="宋体" w:cs="Times New Roman"/>
                <w:color w:val="auto"/>
                <w:sz w:val="21"/>
                <w:szCs w:val="21"/>
                <w:lang w:val="en-US" w:eastAsia="zh-CN"/>
              </w:rPr>
            </w:pPr>
            <w:r>
              <w:rPr>
                <w:rFonts w:hint="eastAsia" w:ascii="宋体" w:hAnsi="宋体" w:cs="Times New Roman"/>
                <w:color w:val="auto"/>
                <w:sz w:val="21"/>
                <w:szCs w:val="21"/>
                <w:lang w:val="en-US" w:eastAsia="zh-CN"/>
              </w:rPr>
              <w:t>差:方案不完整、不规范，思路不清晰，内容合理性较差或未提供。</w:t>
            </w:r>
          </w:p>
          <w:p>
            <w:pPr>
              <w:keepNext w:val="0"/>
              <w:keepLines w:val="0"/>
              <w:pageBreakBefore w:val="0"/>
              <w:kinsoku/>
              <w:overflowPunct/>
              <w:topLinePunct w:val="0"/>
              <w:autoSpaceDE/>
              <w:autoSpaceDN/>
              <w:bidi w:val="0"/>
              <w:adjustRightInd/>
              <w:snapToGrid/>
              <w:spacing w:line="300" w:lineRule="exact"/>
              <w:jc w:val="left"/>
              <w:textAlignment w:val="auto"/>
              <w:rPr>
                <w:rFonts w:hint="eastAsia" w:ascii="宋体" w:hAnsi="宋体" w:cs="Times New Roman"/>
                <w:color w:val="auto"/>
                <w:sz w:val="21"/>
                <w:szCs w:val="21"/>
                <w:lang w:val="en-US" w:eastAsia="zh-CN"/>
              </w:rPr>
            </w:pPr>
            <w:r>
              <w:rPr>
                <w:rFonts w:hint="eastAsia" w:ascii="宋体" w:hAnsi="宋体" w:cs="Times New Roman"/>
                <w:color w:val="auto"/>
                <w:sz w:val="21"/>
                <w:szCs w:val="21"/>
                <w:lang w:val="en-US" w:eastAsia="zh-CN"/>
              </w:rPr>
              <w:t>评价为优的得25分，评价为良的得20分，评价为合格的得15</w:t>
            </w:r>
          </w:p>
          <w:p>
            <w:pPr>
              <w:keepNext w:val="0"/>
              <w:keepLines w:val="0"/>
              <w:pageBreakBefore w:val="0"/>
              <w:kinsoku/>
              <w:overflowPunct/>
              <w:topLinePunct w:val="0"/>
              <w:autoSpaceDE/>
              <w:autoSpaceDN/>
              <w:bidi w:val="0"/>
              <w:adjustRightInd/>
              <w:snapToGrid/>
              <w:spacing w:line="300" w:lineRule="exact"/>
              <w:jc w:val="left"/>
              <w:textAlignment w:val="auto"/>
              <w:rPr>
                <w:rFonts w:hint="eastAsia" w:ascii="宋体" w:hAnsi="宋体" w:cs="Times New Roman"/>
                <w:color w:val="auto"/>
                <w:sz w:val="21"/>
                <w:szCs w:val="21"/>
                <w:lang w:val="en-US" w:eastAsia="zh-CN"/>
              </w:rPr>
            </w:pPr>
            <w:r>
              <w:rPr>
                <w:rFonts w:hint="eastAsia" w:ascii="宋体" w:hAnsi="宋体" w:cs="Times New Roman"/>
                <w:color w:val="auto"/>
                <w:sz w:val="21"/>
                <w:szCs w:val="21"/>
                <w:lang w:val="en-US" w:eastAsia="zh-CN"/>
              </w:rPr>
              <w:t>分，评价为差不得分。</w:t>
            </w:r>
          </w:p>
        </w:tc>
      </w:tr>
    </w:tbl>
    <w:p>
      <w:pPr>
        <w:topLinePunct/>
        <w:adjustRightInd w:val="0"/>
        <w:snapToGrid w:val="0"/>
        <w:spacing w:line="360" w:lineRule="auto"/>
        <w:ind w:firstLine="420" w:firstLineChars="200"/>
        <w:rPr>
          <w:rFonts w:hint="eastAsia"/>
          <w:lang w:eastAsia="zh-CN"/>
        </w:rPr>
      </w:pPr>
    </w:p>
    <w:p>
      <w:pPr>
        <w:topLinePunct/>
        <w:adjustRightInd w:val="0"/>
        <w:snapToGrid w:val="0"/>
        <w:spacing w:line="360" w:lineRule="auto"/>
        <w:ind w:firstLine="420" w:firstLineChars="200"/>
        <w:rPr>
          <w:rFonts w:hint="eastAsia"/>
          <w:lang w:eastAsia="zh-CN"/>
        </w:rPr>
      </w:pPr>
    </w:p>
    <w:p>
      <w:pPr>
        <w:topLinePunct/>
        <w:adjustRightInd w:val="0"/>
        <w:snapToGrid w:val="0"/>
        <w:spacing w:line="360" w:lineRule="auto"/>
        <w:ind w:firstLine="420" w:firstLineChars="200"/>
        <w:rPr>
          <w:rFonts w:hint="eastAsia"/>
          <w:lang w:eastAsia="zh-CN"/>
        </w:rPr>
      </w:pPr>
    </w:p>
    <w:p>
      <w:pPr>
        <w:topLinePunct/>
        <w:adjustRightInd w:val="0"/>
        <w:snapToGrid w:val="0"/>
        <w:spacing w:line="360" w:lineRule="auto"/>
        <w:ind w:firstLine="420" w:firstLineChars="200"/>
        <w:rPr>
          <w:rFonts w:hint="eastAsia"/>
          <w:lang w:eastAsia="zh-CN"/>
        </w:rPr>
      </w:pPr>
    </w:p>
    <w:p>
      <w:pPr>
        <w:topLinePunct/>
        <w:adjustRightInd w:val="0"/>
        <w:snapToGrid w:val="0"/>
        <w:spacing w:line="360" w:lineRule="auto"/>
        <w:ind w:firstLine="420" w:firstLineChars="200"/>
        <w:rPr>
          <w:rFonts w:hint="eastAsia"/>
          <w:lang w:eastAsia="zh-CN"/>
        </w:rPr>
      </w:pPr>
    </w:p>
    <w:p>
      <w:pPr>
        <w:topLinePunct/>
        <w:adjustRightInd w:val="0"/>
        <w:snapToGrid w:val="0"/>
        <w:spacing w:line="360" w:lineRule="auto"/>
        <w:ind w:firstLine="640" w:firstLineChars="200"/>
        <w:rPr>
          <w:rFonts w:hint="eastAsia" w:ascii="仿宋" w:hAnsi="仿宋" w:eastAsia="仿宋" w:cs="仿宋"/>
          <w:sz w:val="32"/>
          <w:szCs w:val="32"/>
          <w:lang w:eastAsia="zh-CN"/>
        </w:rPr>
      </w:pPr>
    </w:p>
    <w:p>
      <w:pPr>
        <w:topLinePunct/>
        <w:adjustRightInd w:val="0"/>
        <w:snapToGrid w:val="0"/>
        <w:spacing w:line="360" w:lineRule="auto"/>
        <w:ind w:firstLine="640" w:firstLineChars="200"/>
        <w:rPr>
          <w:rFonts w:hint="eastAsia"/>
          <w:lang w:eastAsia="zh-CN"/>
        </w:rPr>
      </w:pPr>
      <w:r>
        <w:rPr>
          <w:rFonts w:hint="eastAsia" w:ascii="仿宋" w:hAnsi="仿宋" w:eastAsia="仿宋" w:cs="仿宋"/>
          <w:sz w:val="32"/>
          <w:szCs w:val="32"/>
          <w:lang w:eastAsia="zh-CN"/>
        </w:rPr>
        <w:t>附件</w:t>
      </w:r>
      <w:r>
        <w:rPr>
          <w:rFonts w:hint="eastAsia" w:ascii="仿宋" w:hAnsi="仿宋" w:eastAsia="仿宋" w:cs="仿宋"/>
          <w:sz w:val="32"/>
          <w:szCs w:val="32"/>
          <w:lang w:val="en-US" w:eastAsia="zh-CN"/>
        </w:rPr>
        <w:t>3：</w:t>
      </w:r>
    </w:p>
    <w:tbl>
      <w:tblPr>
        <w:tblStyle w:val="12"/>
        <w:tblpPr w:leftFromText="180" w:rightFromText="180" w:vertAnchor="text" w:horzAnchor="page" w:tblpX="1548" w:tblpY="775"/>
        <w:tblOverlap w:val="never"/>
        <w:tblW w:w="93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0"/>
        <w:gridCol w:w="1068"/>
        <w:gridCol w:w="2991"/>
        <w:gridCol w:w="689"/>
        <w:gridCol w:w="1000"/>
        <w:gridCol w:w="1194"/>
        <w:gridCol w:w="1010"/>
        <w:gridCol w:w="8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32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罗湖产投公司新办公区域装修项目报价清单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名称</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工艺做法</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工程量</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综合单价</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合价</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墙面油漆铲除</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1.拆除的种类：油漆、涂料</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135.35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天棚油漆铲除</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1.拆除的种类：油漆、涂料</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167.37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地面铲除</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1.拆除的种类：油漆、涂料</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167.37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走道地面</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1.完成地面平整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2.结合层厚度、砂浆配合比：地胶板专用粘结剂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3.面层材料品种、规格：地胶板（厚度不低于2.6mm）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4.嵌缝材料种类：收口、清理，满足交付使用功能要求</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167.37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办公区地面</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1.完成地面平整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2.结合层厚度、砂浆配合比：地胶板专用粘结剂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3.面层材料品种、规格：地胶板（厚度不低于2.6mm）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4.嵌缝材料种类：收口、清理，满足交付使用功能要求</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135.35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墙面涂料</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1.墙面清理干净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2.腻子种类：普通腻子粉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3.刮腻子遍数：二遍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4.油漆品种、刷漆遍数：一遍底漆、二遍面漆</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191.59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顶棚喷涂</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1.天棚清理干净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2.油漆品种、喷漆遍数：二遍底漆、二遍面漆</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135.35</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玻璃隔断</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1.玻璃品种、规格：10mm钢化玻璃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2.嵌缝、塞口材料品种：玻璃胶、密封胶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3.其他：含玻璃开孔、玻璃边打磨、金属配件</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13.30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玻璃门</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1.门扇材料种类：12mm钢化玻璃门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2.不含五金配件及门拉手</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门地锁安装</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1.玻璃门地锁安装</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玻璃门地弹簧安装</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1.玻璃门地弹簧安装</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门拉手安装</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1.普通不锈钢拉手安装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2.规格材质：1.2mm厚304#不锈钢，L=600～800mm</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玻璃门门夹安装</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1.玻璃门上下七字门夹安装</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窗帘</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1.窗帘材质：聚酯纤维或玻璃丝纤维等。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2.窗帘层数：单层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3.手动控制，带拉链升降装置及相关配件</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配电箱（半周长≤1.5m）</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1.名称：配电箱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2.材质：热镀锌钢板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3.规格：半周长≤1.5m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4.箱体支架：支架制作安装（按国家规范规定制安）                        5.防锈油漆品种、刷漆遍数：红丹漆二道                          6.金属面油漆品种、刷漆遍数：刷金属面专用漆一道）                     7.箱内设计：按国家规范规定设计线路布置</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配线（BV2.5）</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1.名称：照明/动力配线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2.配线形式：管内穿线、资夹板配线、塑料夹板配线、绝缘子配线、槽板配线、塑料护套配线、线槽配线、车间带形母线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3.型号、规格：ZRBV-3*2.5mm2</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735.00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配管（DN20）</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1.名称：钢管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2.材质：镀锌钢管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3.规格：DN20*1mm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4.配置形式：暗配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5.配管安装中包括凿槽、刨沟及水泥砂浆恢复至面层处理</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245.00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照明开关（单联双控）</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1.名称：组合控制开关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2.规格、型号：单联双控开关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3.品牌：中高档品牌</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插座</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1.名称：插座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2.规格、型号：五孔插座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3.品牌：中高档品牌</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线性灯</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1.名称:定制线性灯L3</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2.材质:铝质、LED</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3.安装形式:吊装                                             4.品牌：中等以上品牌</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送配电装置系统</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1.名称:1kV以下交流供电系统调试</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配电箱（半周长≤1.0m）</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1.名称：弱电箱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2.材质：热镀锌钢板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3.规格：半周长≤1.0m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4.箱体支架：支架制作安装（按国家规范规定制安）                        5.防锈油漆品种、刷漆遍数：红丹漆二道                          6.金属面油漆品种、刷漆遍数：刷金属面专用漆一道）                     7.箱内设计：按国家规范规定设计线路布置</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配线（RVS-2*1.5）</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1.名称：弱电配线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2.配线形式：管内穿线线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3.型号、规格：RVS-2*1.5</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145.00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配管（DN20）</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1.名称：钢管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2.材质：镀锌钢管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3.规格：DN20*1mm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4.配置形式：暗配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5.配管安装中包括凿槽、刨沟及水泥砂浆恢复至面层处理</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145.00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网线（超六类）</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1.名称：网线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2.规格：超六类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3.敷设方式：暗配</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218.00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路由器等设备</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路由器、交换机、设备安装调试等</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信息插座</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(1)TO信息双口插座</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安装感烟探测器</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1.重新安装感烟探测器</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镀锌钢管（DN25）</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1.安装部位：室内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2.材质、规格：镀锌钢管、DN25                             3.连接形式：焊接连接等管道安装配件</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镀锌钢管（DN32）</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1.安装部位：室内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2.材质、规格：镀锌钢管、DN32                                3.连接形式：焊接连接等管道安装配件</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水喷淋(雾)喷头</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1.名称:水喷淋喷头</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自动报警系统调试</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1.自动报警系统调试</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地面保护</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1.安装保护层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2.地面保护层规格、厚度：9mm厚木夹板加膜                               3.施工作业完毕后拆除并清理干净</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302.70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开荒保洁</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1.开荒保洁</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围板</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1.龙骨材料种类：规格：围板专用轻钢龙骨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2.面层材料种类、规格：9mm厚阻燃夹板</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19.80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搭脚手架（高度3＜H≤5m）</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1.简易门式脚手架搭建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2.高度在5m以内（包括5m）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3.脚手架使用完毕后拆除</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电梯保护</w:t>
            </w:r>
          </w:p>
        </w:tc>
        <w:tc>
          <w:tcPr>
            <w:tcW w:w="2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1.安装保护层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2.地面保护层规格、厚度：9mm厚木夹板加膜                               3.施工作业完毕后拆除并清理干净</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40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40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管理、规费、利润及其他费</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40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税费</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40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932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1、本清单未列项目，由报价人综合考虑；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2、本项目采用总价包干，工程量及报价由报价人综合考虑；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3、本项目位于已入驻办公楼，施工时间需规避物业禁止施工时间。</w:t>
            </w:r>
          </w:p>
        </w:tc>
      </w:tr>
    </w:tbl>
    <w:p>
      <w:pPr>
        <w:rPr>
          <w:rFonts w:hint="eastAsia" w:eastAsiaTheme="minorEastAsia"/>
          <w:lang w:val="en-US" w:eastAsia="zh-CN"/>
        </w:rPr>
      </w:pPr>
    </w:p>
    <w:p>
      <w:pPr>
        <w:topLinePunct/>
        <w:adjustRightInd w:val="0"/>
        <w:snapToGrid w:val="0"/>
        <w:spacing w:line="360" w:lineRule="auto"/>
        <w:ind w:firstLine="420" w:firstLineChars="200"/>
      </w:pPr>
    </w:p>
    <w:p>
      <w:pPr>
        <w:topLinePunct/>
        <w:adjustRightInd w:val="0"/>
        <w:snapToGrid w:val="0"/>
        <w:spacing w:line="360" w:lineRule="auto"/>
        <w:ind w:firstLine="640" w:firstLineChars="200"/>
        <w:rPr>
          <w:rFonts w:hint="eastAsia" w:ascii="仿宋" w:hAnsi="仿宋" w:eastAsia="仿宋" w:cs="仿宋"/>
          <w:sz w:val="32"/>
          <w:szCs w:val="32"/>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国标小标宋-GB/T 2312">
    <w:altName w:val="宋体"/>
    <w:panose1 w:val="020005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9E6D07"/>
    <w:multiLevelType w:val="singleLevel"/>
    <w:tmpl w:val="FE9E6D07"/>
    <w:lvl w:ilvl="0" w:tentative="0">
      <w:start w:val="1"/>
      <w:numFmt w:val="decimal"/>
      <w:lvlText w:val="%1."/>
      <w:lvlJc w:val="left"/>
      <w:pPr>
        <w:ind w:left="425" w:hanging="425"/>
      </w:pPr>
      <w:rPr>
        <w:rFonts w:hint="default"/>
      </w:rPr>
    </w:lvl>
  </w:abstractNum>
  <w:abstractNum w:abstractNumId="1">
    <w:nsid w:val="1ADE2D38"/>
    <w:multiLevelType w:val="singleLevel"/>
    <w:tmpl w:val="1ADE2D38"/>
    <w:lvl w:ilvl="0" w:tentative="0">
      <w:start w:val="2"/>
      <w:numFmt w:val="chineseCounting"/>
      <w:suff w:val="nothing"/>
      <w:lvlText w:val="（%1）"/>
      <w:lvlJc w:val="left"/>
      <w:rPr>
        <w:rFonts w:hint="eastAsia"/>
      </w:rPr>
    </w:lvl>
  </w:abstractNum>
  <w:abstractNum w:abstractNumId="2">
    <w:nsid w:val="49677F6C"/>
    <w:multiLevelType w:val="singleLevel"/>
    <w:tmpl w:val="49677F6C"/>
    <w:lvl w:ilvl="0" w:tentative="0">
      <w:start w:val="2"/>
      <w:numFmt w:val="decimal"/>
      <w:lvlText w:val="%1."/>
      <w:lvlJc w:val="left"/>
      <w:pPr>
        <w:tabs>
          <w:tab w:val="left" w:pos="312"/>
        </w:tabs>
        <w:ind w:left="1764" w:leftChars="0" w:firstLine="0" w:firstLineChars="0"/>
      </w:pPr>
    </w:lvl>
  </w:abstractNum>
  <w:abstractNum w:abstractNumId="3">
    <w:nsid w:val="6A53B222"/>
    <w:multiLevelType w:val="singleLevel"/>
    <w:tmpl w:val="6A53B222"/>
    <w:lvl w:ilvl="0" w:tentative="0">
      <w:start w:val="3"/>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yMmQ4NmM5MGQ1MTg5NTIwNTY2ZWZlMzJjMmViZTkifQ=="/>
  </w:docVars>
  <w:rsids>
    <w:rsidRoot w:val="14F87D44"/>
    <w:rsid w:val="00373697"/>
    <w:rsid w:val="00662D4F"/>
    <w:rsid w:val="006E676D"/>
    <w:rsid w:val="00703AC4"/>
    <w:rsid w:val="008A110F"/>
    <w:rsid w:val="00996E87"/>
    <w:rsid w:val="00B50417"/>
    <w:rsid w:val="00F0652D"/>
    <w:rsid w:val="01FE74C2"/>
    <w:rsid w:val="02F07E01"/>
    <w:rsid w:val="034F7943"/>
    <w:rsid w:val="03C32C53"/>
    <w:rsid w:val="043F0BEF"/>
    <w:rsid w:val="06AE470A"/>
    <w:rsid w:val="06F6759D"/>
    <w:rsid w:val="09DD2855"/>
    <w:rsid w:val="0A0D52EB"/>
    <w:rsid w:val="0A1275B6"/>
    <w:rsid w:val="0B7E6F7D"/>
    <w:rsid w:val="0B8E75A8"/>
    <w:rsid w:val="0BFF5177"/>
    <w:rsid w:val="0D4102A0"/>
    <w:rsid w:val="0D7131DE"/>
    <w:rsid w:val="0DE7375C"/>
    <w:rsid w:val="0E1A2356"/>
    <w:rsid w:val="0E4E1622"/>
    <w:rsid w:val="11280DAA"/>
    <w:rsid w:val="11586E4C"/>
    <w:rsid w:val="11FA5D69"/>
    <w:rsid w:val="12542436"/>
    <w:rsid w:val="142E2566"/>
    <w:rsid w:val="14422006"/>
    <w:rsid w:val="14F87D44"/>
    <w:rsid w:val="155A0C25"/>
    <w:rsid w:val="15AB4A76"/>
    <w:rsid w:val="17274B3E"/>
    <w:rsid w:val="17B40D82"/>
    <w:rsid w:val="17BF217F"/>
    <w:rsid w:val="17C06A28"/>
    <w:rsid w:val="18290170"/>
    <w:rsid w:val="1858745C"/>
    <w:rsid w:val="1890336F"/>
    <w:rsid w:val="18C354F3"/>
    <w:rsid w:val="18DBB072"/>
    <w:rsid w:val="19322678"/>
    <w:rsid w:val="1A335B66"/>
    <w:rsid w:val="1AC15DB2"/>
    <w:rsid w:val="1B762CF0"/>
    <w:rsid w:val="1D625571"/>
    <w:rsid w:val="1E181D67"/>
    <w:rsid w:val="1F1060F7"/>
    <w:rsid w:val="1F7E7EDF"/>
    <w:rsid w:val="20183600"/>
    <w:rsid w:val="22603DB2"/>
    <w:rsid w:val="22717D6E"/>
    <w:rsid w:val="22BE0AA7"/>
    <w:rsid w:val="23451001"/>
    <w:rsid w:val="234C44CD"/>
    <w:rsid w:val="2580651A"/>
    <w:rsid w:val="25DF3A4E"/>
    <w:rsid w:val="26263565"/>
    <w:rsid w:val="26BA5091"/>
    <w:rsid w:val="26CF92FD"/>
    <w:rsid w:val="26D250DE"/>
    <w:rsid w:val="27A9485A"/>
    <w:rsid w:val="27F03E2A"/>
    <w:rsid w:val="28031212"/>
    <w:rsid w:val="29423FBC"/>
    <w:rsid w:val="29AB7AD1"/>
    <w:rsid w:val="29BA46F0"/>
    <w:rsid w:val="29EF5417"/>
    <w:rsid w:val="29F8067F"/>
    <w:rsid w:val="2C7F523F"/>
    <w:rsid w:val="2CC020A5"/>
    <w:rsid w:val="2CDE9DEF"/>
    <w:rsid w:val="2DD50367"/>
    <w:rsid w:val="2FA51C36"/>
    <w:rsid w:val="2FFD3478"/>
    <w:rsid w:val="3019374D"/>
    <w:rsid w:val="305A0378"/>
    <w:rsid w:val="30C62991"/>
    <w:rsid w:val="30C74D94"/>
    <w:rsid w:val="30E3755D"/>
    <w:rsid w:val="3147146F"/>
    <w:rsid w:val="31C122DE"/>
    <w:rsid w:val="31E276C3"/>
    <w:rsid w:val="323B596D"/>
    <w:rsid w:val="32CD1FA6"/>
    <w:rsid w:val="33BF58CC"/>
    <w:rsid w:val="34E45D5E"/>
    <w:rsid w:val="34ED0D56"/>
    <w:rsid w:val="357B043D"/>
    <w:rsid w:val="37826121"/>
    <w:rsid w:val="37C14E9C"/>
    <w:rsid w:val="37FE3C3E"/>
    <w:rsid w:val="390D5EBD"/>
    <w:rsid w:val="3969728A"/>
    <w:rsid w:val="39893452"/>
    <w:rsid w:val="3BFC14B6"/>
    <w:rsid w:val="3C497CAC"/>
    <w:rsid w:val="3C7376BB"/>
    <w:rsid w:val="3C7921E9"/>
    <w:rsid w:val="3CA229D8"/>
    <w:rsid w:val="3E524A9F"/>
    <w:rsid w:val="3E5F17A4"/>
    <w:rsid w:val="3EFF7270"/>
    <w:rsid w:val="3F171845"/>
    <w:rsid w:val="3F1B5420"/>
    <w:rsid w:val="3F5E397E"/>
    <w:rsid w:val="3F63D810"/>
    <w:rsid w:val="3F7B9267"/>
    <w:rsid w:val="3FFBCDED"/>
    <w:rsid w:val="41870FCB"/>
    <w:rsid w:val="41E06F8D"/>
    <w:rsid w:val="42085A5F"/>
    <w:rsid w:val="42F54B92"/>
    <w:rsid w:val="45F97EF6"/>
    <w:rsid w:val="47596E9F"/>
    <w:rsid w:val="47A8147B"/>
    <w:rsid w:val="47C048BA"/>
    <w:rsid w:val="47C43E7C"/>
    <w:rsid w:val="4A7402E3"/>
    <w:rsid w:val="4A7927D5"/>
    <w:rsid w:val="4A96762A"/>
    <w:rsid w:val="4AD06454"/>
    <w:rsid w:val="4B81448E"/>
    <w:rsid w:val="4BE56F53"/>
    <w:rsid w:val="4D2D0076"/>
    <w:rsid w:val="4D2F6460"/>
    <w:rsid w:val="4D7C350C"/>
    <w:rsid w:val="4FDF48D9"/>
    <w:rsid w:val="50000D3F"/>
    <w:rsid w:val="52363F95"/>
    <w:rsid w:val="54C1532E"/>
    <w:rsid w:val="558F2602"/>
    <w:rsid w:val="55A415C0"/>
    <w:rsid w:val="565F5B54"/>
    <w:rsid w:val="56B279BB"/>
    <w:rsid w:val="590F5B0B"/>
    <w:rsid w:val="591F0784"/>
    <w:rsid w:val="5AB606AA"/>
    <w:rsid w:val="5AF32D0E"/>
    <w:rsid w:val="5B215ACE"/>
    <w:rsid w:val="5BB7EF7C"/>
    <w:rsid w:val="5BDF712C"/>
    <w:rsid w:val="5BED56FD"/>
    <w:rsid w:val="5EA01C15"/>
    <w:rsid w:val="5EEB0014"/>
    <w:rsid w:val="5F754742"/>
    <w:rsid w:val="5FBC8F17"/>
    <w:rsid w:val="609871D6"/>
    <w:rsid w:val="618A11D6"/>
    <w:rsid w:val="67427010"/>
    <w:rsid w:val="67C95523"/>
    <w:rsid w:val="67DF0F1D"/>
    <w:rsid w:val="69B456C5"/>
    <w:rsid w:val="69E208D8"/>
    <w:rsid w:val="6ABA3303"/>
    <w:rsid w:val="6B034790"/>
    <w:rsid w:val="6BCA6B98"/>
    <w:rsid w:val="6BD25B2D"/>
    <w:rsid w:val="6CA91516"/>
    <w:rsid w:val="6D3E2CBC"/>
    <w:rsid w:val="6D494E7F"/>
    <w:rsid w:val="6D5D2563"/>
    <w:rsid w:val="6DD92F9D"/>
    <w:rsid w:val="6E3A2BFE"/>
    <w:rsid w:val="6F7DDC13"/>
    <w:rsid w:val="6FFFA0AA"/>
    <w:rsid w:val="714031CF"/>
    <w:rsid w:val="728D38D3"/>
    <w:rsid w:val="73561597"/>
    <w:rsid w:val="73DB6B26"/>
    <w:rsid w:val="73E52352"/>
    <w:rsid w:val="742A10F7"/>
    <w:rsid w:val="744F24FF"/>
    <w:rsid w:val="747B7BA5"/>
    <w:rsid w:val="74E136AB"/>
    <w:rsid w:val="765F180F"/>
    <w:rsid w:val="7682346D"/>
    <w:rsid w:val="78986F77"/>
    <w:rsid w:val="7A41593D"/>
    <w:rsid w:val="7AD628E1"/>
    <w:rsid w:val="7AE81D12"/>
    <w:rsid w:val="7B752F0F"/>
    <w:rsid w:val="7B7FCB1B"/>
    <w:rsid w:val="7CEFD4EA"/>
    <w:rsid w:val="7D697134"/>
    <w:rsid w:val="7E3323B4"/>
    <w:rsid w:val="7E73D894"/>
    <w:rsid w:val="7E8FB968"/>
    <w:rsid w:val="7EFE4011"/>
    <w:rsid w:val="7FFEFBE1"/>
    <w:rsid w:val="7FFFE884"/>
    <w:rsid w:val="97F91C48"/>
    <w:rsid w:val="97FFB5DF"/>
    <w:rsid w:val="9EDC0A33"/>
    <w:rsid w:val="9FAE61E7"/>
    <w:rsid w:val="A76FDC13"/>
    <w:rsid w:val="A7F733A4"/>
    <w:rsid w:val="AFF578B4"/>
    <w:rsid w:val="B756FB73"/>
    <w:rsid w:val="B7FB7987"/>
    <w:rsid w:val="BB7F8371"/>
    <w:rsid w:val="BBF919B7"/>
    <w:rsid w:val="BD9CB507"/>
    <w:rsid w:val="BDBC918A"/>
    <w:rsid w:val="BE7E258A"/>
    <w:rsid w:val="CC7F5511"/>
    <w:rsid w:val="D5FB00EF"/>
    <w:rsid w:val="D7724C0E"/>
    <w:rsid w:val="DF9AA136"/>
    <w:rsid w:val="EDFF49D3"/>
    <w:rsid w:val="F7F2B4B4"/>
    <w:rsid w:val="FAB7C5E0"/>
    <w:rsid w:val="FABEB416"/>
    <w:rsid w:val="FBDB4662"/>
    <w:rsid w:val="FDC6F6B1"/>
    <w:rsid w:val="FEF9FC78"/>
    <w:rsid w:val="FFBF1C13"/>
    <w:rsid w:val="FFFF0E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index 8"/>
    <w:basedOn w:val="1"/>
    <w:next w:val="1"/>
    <w:semiHidden/>
    <w:qFormat/>
    <w:uiPriority w:val="0"/>
    <w:pPr>
      <w:ind w:left="1680" w:hanging="210"/>
      <w:jc w:val="left"/>
    </w:pPr>
    <w:rPr>
      <w:rFonts w:ascii="Times New Roman" w:hAnsi="Times New Roman" w:eastAsia="宋体" w:cs="Times New Roman"/>
      <w:sz w:val="20"/>
      <w:szCs w:val="20"/>
    </w:rPr>
  </w:style>
  <w:style w:type="paragraph" w:styleId="4">
    <w:name w:val="Normal Indent"/>
    <w:basedOn w:val="1"/>
    <w:next w:val="1"/>
    <w:unhideWhenUsed/>
    <w:qFormat/>
    <w:uiPriority w:val="0"/>
    <w:pPr>
      <w:ind w:firstLine="420" w:firstLineChars="200"/>
    </w:pPr>
    <w:rPr>
      <w:rFonts w:ascii="Times New Roman" w:hAnsi="Times New Roman" w:cs="Times New Roman"/>
    </w:rPr>
  </w:style>
  <w:style w:type="paragraph" w:styleId="5">
    <w:name w:val="annotation text"/>
    <w:basedOn w:val="1"/>
    <w:link w:val="23"/>
    <w:qFormat/>
    <w:uiPriority w:val="0"/>
    <w:pPr>
      <w:jc w:val="left"/>
    </w:pPr>
  </w:style>
  <w:style w:type="paragraph" w:styleId="6">
    <w:name w:val="Body Text"/>
    <w:basedOn w:val="1"/>
    <w:qFormat/>
    <w:uiPriority w:val="0"/>
    <w:pPr>
      <w:spacing w:line="360" w:lineRule="auto"/>
    </w:pPr>
    <w:rPr>
      <w:rFonts w:ascii="Times New Roman" w:hAnsi="Times New Roman"/>
      <w:b/>
      <w:bCs/>
      <w:sz w:val="24"/>
    </w:rPr>
  </w:style>
  <w:style w:type="paragraph" w:styleId="7">
    <w:name w:val="Plain Text"/>
    <w:basedOn w:val="1"/>
    <w:unhideWhenUsed/>
    <w:qFormat/>
    <w:uiPriority w:val="0"/>
    <w:rPr>
      <w:rFonts w:ascii="宋体" w:hAnsi="Courier New"/>
      <w:szCs w:val="21"/>
    </w:rPr>
  </w:style>
  <w:style w:type="paragraph" w:styleId="8">
    <w:name w:val="footer"/>
    <w:basedOn w:val="1"/>
    <w:link w:val="22"/>
    <w:qFormat/>
    <w:uiPriority w:val="0"/>
    <w:pPr>
      <w:tabs>
        <w:tab w:val="center" w:pos="4153"/>
        <w:tab w:val="right" w:pos="8306"/>
      </w:tabs>
      <w:snapToGrid w:val="0"/>
      <w:jc w:val="left"/>
    </w:pPr>
    <w:rPr>
      <w:sz w:val="18"/>
      <w:szCs w:val="18"/>
    </w:rPr>
  </w:style>
  <w:style w:type="paragraph" w:styleId="9">
    <w:name w:val="header"/>
    <w:basedOn w:val="1"/>
    <w:link w:val="21"/>
    <w:qFormat/>
    <w:uiPriority w:val="0"/>
    <w:pPr>
      <w:tabs>
        <w:tab w:val="center" w:pos="4153"/>
        <w:tab w:val="right" w:pos="8306"/>
      </w:tabs>
      <w:snapToGrid w:val="0"/>
      <w:jc w:val="center"/>
    </w:pPr>
    <w:rPr>
      <w:sz w:val="18"/>
      <w:szCs w:val="18"/>
    </w:rPr>
  </w:style>
  <w:style w:type="paragraph" w:styleId="10">
    <w:name w:val="Normal (Web)"/>
    <w:basedOn w:val="1"/>
    <w:qFormat/>
    <w:uiPriority w:val="0"/>
    <w:pPr>
      <w:spacing w:beforeAutospacing="1" w:afterAutospacing="1"/>
      <w:jc w:val="left"/>
    </w:pPr>
    <w:rPr>
      <w:rFonts w:cs="Times New Roman"/>
      <w:kern w:val="0"/>
      <w:sz w:val="24"/>
    </w:rPr>
  </w:style>
  <w:style w:type="paragraph" w:styleId="11">
    <w:name w:val="annotation subject"/>
    <w:basedOn w:val="5"/>
    <w:next w:val="5"/>
    <w:link w:val="24"/>
    <w:qFormat/>
    <w:uiPriority w:val="0"/>
    <w:rPr>
      <w:b/>
      <w:bCs/>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qFormat/>
    <w:uiPriority w:val="0"/>
    <w:rPr>
      <w:color w:val="0000FF"/>
      <w:u w:val="single"/>
    </w:rPr>
  </w:style>
  <w:style w:type="character" w:styleId="16">
    <w:name w:val="annotation reference"/>
    <w:basedOn w:val="14"/>
    <w:qFormat/>
    <w:uiPriority w:val="0"/>
    <w:rPr>
      <w:sz w:val="21"/>
      <w:szCs w:val="21"/>
    </w:rPr>
  </w:style>
  <w:style w:type="paragraph" w:customStyle="1" w:styleId="17">
    <w:name w:val="Table Paragraph"/>
    <w:basedOn w:val="1"/>
    <w:qFormat/>
    <w:uiPriority w:val="1"/>
  </w:style>
  <w:style w:type="paragraph" w:styleId="18">
    <w:name w:val="List Paragraph"/>
    <w:basedOn w:val="1"/>
    <w:unhideWhenUsed/>
    <w:qFormat/>
    <w:uiPriority w:val="99"/>
    <w:pPr>
      <w:ind w:firstLine="420" w:firstLineChars="200"/>
    </w:pPr>
  </w:style>
  <w:style w:type="paragraph" w:customStyle="1" w:styleId="19">
    <w:name w:val="非政府正文"/>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0">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21">
    <w:name w:val="页眉 字符"/>
    <w:basedOn w:val="14"/>
    <w:link w:val="9"/>
    <w:qFormat/>
    <w:uiPriority w:val="0"/>
    <w:rPr>
      <w:rFonts w:asciiTheme="minorHAnsi" w:hAnsiTheme="minorHAnsi" w:eastAsiaTheme="minorEastAsia" w:cstheme="minorBidi"/>
      <w:kern w:val="2"/>
      <w:sz w:val="18"/>
      <w:szCs w:val="18"/>
    </w:rPr>
  </w:style>
  <w:style w:type="character" w:customStyle="1" w:styleId="22">
    <w:name w:val="页脚 字符"/>
    <w:basedOn w:val="14"/>
    <w:link w:val="8"/>
    <w:qFormat/>
    <w:uiPriority w:val="0"/>
    <w:rPr>
      <w:rFonts w:asciiTheme="minorHAnsi" w:hAnsiTheme="minorHAnsi" w:eastAsiaTheme="minorEastAsia" w:cstheme="minorBidi"/>
      <w:kern w:val="2"/>
      <w:sz w:val="18"/>
      <w:szCs w:val="18"/>
    </w:rPr>
  </w:style>
  <w:style w:type="character" w:customStyle="1" w:styleId="23">
    <w:name w:val="批注文字 字符"/>
    <w:basedOn w:val="14"/>
    <w:link w:val="5"/>
    <w:qFormat/>
    <w:uiPriority w:val="0"/>
    <w:rPr>
      <w:rFonts w:asciiTheme="minorHAnsi" w:hAnsiTheme="minorHAnsi" w:eastAsiaTheme="minorEastAsia" w:cstheme="minorBidi"/>
      <w:kern w:val="2"/>
      <w:sz w:val="21"/>
      <w:szCs w:val="24"/>
    </w:rPr>
  </w:style>
  <w:style w:type="character" w:customStyle="1" w:styleId="24">
    <w:name w:val="批注主题 字符"/>
    <w:basedOn w:val="23"/>
    <w:link w:val="11"/>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2801</Words>
  <Characters>3002</Characters>
  <Lines>241</Lines>
  <Paragraphs>204</Paragraphs>
  <TotalTime>10</TotalTime>
  <ScaleCrop>false</ScaleCrop>
  <LinksUpToDate>false</LinksUpToDate>
  <CharactersWithSpaces>3077</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2022-09-28T18:57:00Z</dcterms:created>
  <dc:creator>Administrator</dc:creator>
  <cp:lastModifiedBy>Qqqqqq</cp:lastModifiedBy>
  <dcterms:modified xsi:type="dcterms:W3CDTF">2026-09-22T06:11:14Z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CF3D94BE0B38420FB8C4BFD3D57E5397_13</vt:lpwstr>
  </property>
  <property fmtid="{D5CDD505-2E9C-101B-9397-08002B2CF9AE}" pid="4" name="KSOTemplateDocerSaveRecord">
    <vt:lpwstr>eyJoZGlkIjoiODY0MmE1ZGVhNjhkZTRmNDc2ZjUyYTVmOTI4OTk3N2YiLCJ1c2VySWQiOiI5OTk0NTc0MDUifQ==</vt:lpwstr>
  </property>
</Properties>
</file>