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D739C0">
      <w:pPr>
        <w:pStyle w:val="18"/>
        <w:numPr>
          <w:ilvl w:val="0"/>
          <w:numId w:val="0"/>
        </w:numPr>
        <w:wordWrap w:val="0"/>
        <w:spacing w:line="400" w:lineRule="exact"/>
        <w:ind w:left="520" w:right="108"/>
        <w:rPr>
          <w:rFonts w:hint="default"/>
          <w:lang w:val="en-US" w:eastAsia="zh-CN"/>
        </w:rPr>
      </w:pPr>
    </w:p>
    <w:p w14:paraId="7782D5C9">
      <w:pPr>
        <w:pStyle w:val="18"/>
        <w:numPr>
          <w:ilvl w:val="0"/>
          <w:numId w:val="0"/>
        </w:numPr>
        <w:wordWrap w:val="0"/>
        <w:spacing w:line="400" w:lineRule="exact"/>
        <w:ind w:left="0" w:right="108"/>
        <w:rPr>
          <w:rFonts w:hint="default"/>
          <w:lang w:val="en-US" w:eastAsia="zh-CN"/>
        </w:rPr>
      </w:pPr>
    </w:p>
    <w:p w14:paraId="004ACD07">
      <w:pPr>
        <w:spacing w:line="300" w:lineRule="auto"/>
        <w:jc w:val="center"/>
        <w:rPr>
          <w:rFonts w:hint="eastAsia" w:ascii="宋体" w:hAnsi="宋体"/>
          <w:color w:val="auto"/>
          <w:sz w:val="22"/>
          <w:szCs w:val="22"/>
          <w:highlight w:val="none"/>
        </w:rPr>
      </w:pPr>
      <w:r>
        <w:rPr>
          <w:rFonts w:hint="eastAsia" w:ascii="宋体" w:hAnsi="宋体"/>
          <w:b/>
          <w:bCs/>
          <w:color w:val="auto"/>
          <w:sz w:val="32"/>
          <w:szCs w:val="32"/>
          <w:highlight w:val="none"/>
          <w:lang w:val="en-US" w:eastAsia="zh-CN"/>
        </w:rPr>
        <w:t>评分细则</w:t>
      </w:r>
    </w:p>
    <w:p w14:paraId="112B7E91">
      <w:pPr>
        <w:spacing w:line="300" w:lineRule="auto"/>
        <w:rPr>
          <w:rFonts w:hint="eastAsia" w:ascii="宋体" w:hAnsi="宋体"/>
          <w:color w:val="auto"/>
          <w:sz w:val="22"/>
          <w:szCs w:val="22"/>
          <w:highlight w:val="none"/>
        </w:rPr>
      </w:pPr>
    </w:p>
    <w:p w14:paraId="64B781F2">
      <w:pPr>
        <w:spacing w:line="300" w:lineRule="auto"/>
        <w:rPr>
          <w:rFonts w:hint="eastAsia" w:ascii="宋体" w:hAnsi="宋体"/>
          <w:b/>
          <w:color w:val="auto"/>
          <w:sz w:val="22"/>
          <w:szCs w:val="22"/>
          <w:highlight w:val="none"/>
        </w:rPr>
      </w:pPr>
      <w:r>
        <w:rPr>
          <w:rFonts w:hint="eastAsia" w:ascii="宋体" w:hAnsi="宋体"/>
          <w:color w:val="auto"/>
          <w:sz w:val="22"/>
          <w:szCs w:val="22"/>
          <w:highlight w:val="none"/>
        </w:rPr>
        <w:t>1、本项目的评标办法采用：</w:t>
      </w:r>
      <w:r>
        <w:rPr>
          <w:rFonts w:hint="eastAsia" w:ascii="宋体" w:hAnsi="宋体"/>
          <w:b/>
          <w:bCs/>
          <w:color w:val="auto"/>
          <w:sz w:val="22"/>
          <w:szCs w:val="22"/>
          <w:highlight w:val="none"/>
          <w:lang w:val="en-US" w:eastAsia="zh-CN"/>
        </w:rPr>
        <w:t>综合评分</w:t>
      </w:r>
      <w:r>
        <w:rPr>
          <w:rFonts w:hint="eastAsia" w:ascii="宋体" w:hAnsi="宋体"/>
          <w:b/>
          <w:bCs/>
          <w:color w:val="auto"/>
          <w:sz w:val="22"/>
          <w:szCs w:val="22"/>
          <w:highlight w:val="none"/>
        </w:rPr>
        <w:t>法</w:t>
      </w:r>
      <w:r>
        <w:rPr>
          <w:rFonts w:hint="eastAsia" w:ascii="宋体" w:hAnsi="宋体"/>
          <w:b/>
          <w:color w:val="auto"/>
          <w:sz w:val="22"/>
          <w:szCs w:val="22"/>
          <w:highlight w:val="none"/>
        </w:rPr>
        <w:t>。</w:t>
      </w:r>
    </w:p>
    <w:p w14:paraId="7E96767B">
      <w:pPr>
        <w:spacing w:line="300" w:lineRule="auto"/>
        <w:rPr>
          <w:color w:val="auto"/>
          <w:sz w:val="22"/>
          <w:szCs w:val="22"/>
          <w:highlight w:val="none"/>
        </w:rPr>
      </w:pPr>
      <w:r>
        <w:rPr>
          <w:rFonts w:hint="eastAsia"/>
          <w:color w:val="auto"/>
          <w:sz w:val="22"/>
          <w:szCs w:val="22"/>
          <w:highlight w:val="none"/>
        </w:rPr>
        <w:t>2、</w:t>
      </w:r>
      <w:r>
        <w:rPr>
          <w:color w:val="auto"/>
          <w:sz w:val="22"/>
          <w:szCs w:val="22"/>
          <w:highlight w:val="none"/>
        </w:rPr>
        <w:t>中标人数量</w:t>
      </w:r>
      <w:r>
        <w:rPr>
          <w:rFonts w:hint="eastAsia"/>
          <w:color w:val="auto"/>
          <w:sz w:val="22"/>
          <w:szCs w:val="22"/>
          <w:highlight w:val="none"/>
        </w:rPr>
        <w:t>：1家；候选</w:t>
      </w:r>
      <w:r>
        <w:rPr>
          <w:color w:val="auto"/>
          <w:sz w:val="22"/>
          <w:szCs w:val="22"/>
          <w:highlight w:val="none"/>
        </w:rPr>
        <w:t>中标人数量：</w:t>
      </w:r>
      <w:r>
        <w:rPr>
          <w:rFonts w:hint="eastAsia"/>
          <w:color w:val="auto"/>
          <w:sz w:val="22"/>
          <w:szCs w:val="22"/>
          <w:highlight w:val="none"/>
        </w:rPr>
        <w:t>3</w:t>
      </w:r>
      <w:r>
        <w:rPr>
          <w:color w:val="auto"/>
          <w:sz w:val="22"/>
          <w:szCs w:val="22"/>
          <w:highlight w:val="none"/>
        </w:rPr>
        <w:t>家</w:t>
      </w:r>
      <w:r>
        <w:rPr>
          <w:rFonts w:hint="eastAsia"/>
          <w:color w:val="auto"/>
          <w:sz w:val="22"/>
          <w:szCs w:val="22"/>
          <w:highlight w:val="none"/>
        </w:rPr>
        <w:t>或3家以上</w:t>
      </w:r>
      <w:r>
        <w:rPr>
          <w:color w:val="auto"/>
          <w:sz w:val="22"/>
          <w:szCs w:val="22"/>
          <w:highlight w:val="none"/>
        </w:rPr>
        <w:t>。</w:t>
      </w:r>
    </w:p>
    <w:p w14:paraId="258B366C">
      <w:pPr>
        <w:spacing w:line="300" w:lineRule="auto"/>
        <w:rPr>
          <w:color w:val="auto"/>
          <w:sz w:val="22"/>
          <w:szCs w:val="22"/>
          <w:highlight w:val="none"/>
        </w:rPr>
      </w:pPr>
      <w:r>
        <w:rPr>
          <w:rFonts w:hint="eastAsia"/>
          <w:color w:val="auto"/>
          <w:sz w:val="22"/>
          <w:szCs w:val="22"/>
          <w:highlight w:val="none"/>
        </w:rPr>
        <w:t>3、评标时，评标委员会各成员应当独立对每个通过资格性审查和符合性审查且报价不超过预算控制金额的投标人的投标文件进行评价，并汇总每个投标人每项评分因素的评分、评标委员会各成员对每个投标人评分的和，取算术平均值确定每个投标人的评审总得分。</w:t>
      </w:r>
    </w:p>
    <w:p w14:paraId="134EE678">
      <w:pPr>
        <w:spacing w:line="300" w:lineRule="auto"/>
        <w:rPr>
          <w:rFonts w:hint="eastAsia"/>
          <w:color w:val="auto"/>
          <w:sz w:val="22"/>
          <w:szCs w:val="22"/>
          <w:highlight w:val="none"/>
          <w:lang w:val="en-US" w:eastAsia="zh-CN"/>
        </w:rPr>
      </w:pPr>
      <w:r>
        <w:rPr>
          <w:color w:val="auto"/>
          <w:sz w:val="22"/>
          <w:szCs w:val="22"/>
          <w:highlight w:val="none"/>
        </w:rPr>
        <w:t>4</w:t>
      </w:r>
      <w:r>
        <w:rPr>
          <w:rFonts w:hint="eastAsia"/>
          <w:color w:val="auto"/>
          <w:sz w:val="22"/>
          <w:szCs w:val="22"/>
          <w:highlight w:val="none"/>
        </w:rPr>
        <w:t>、评审统一按照下列公式计算：</w:t>
      </w:r>
    </w:p>
    <w:p w14:paraId="534361D2">
      <w:pPr>
        <w:spacing w:line="300" w:lineRule="auto"/>
        <w:ind w:firstLine="440" w:firstLineChars="200"/>
        <w:rPr>
          <w:rFonts w:hint="eastAsia"/>
          <w:color w:val="auto"/>
          <w:sz w:val="22"/>
          <w:szCs w:val="22"/>
          <w:highlight w:val="none"/>
          <w:lang w:val="en-US" w:eastAsia="zh-CN"/>
        </w:rPr>
      </w:pPr>
      <w:r>
        <w:rPr>
          <w:rFonts w:hint="eastAsia"/>
          <w:color w:val="auto"/>
          <w:sz w:val="22"/>
          <w:szCs w:val="22"/>
          <w:highlight w:val="none"/>
          <w:lang w:val="en-US" w:eastAsia="zh-CN"/>
        </w:rPr>
        <w:t xml:space="preserve">（1）基准价：采用低价优先法计算，即满足招标文件要求且投标价格最低的投标报价为评标基准价，其价格分为满分。 </w:t>
      </w:r>
    </w:p>
    <w:p w14:paraId="494715C5">
      <w:pPr>
        <w:spacing w:line="300" w:lineRule="auto"/>
        <w:ind w:firstLine="440" w:firstLineChars="200"/>
        <w:rPr>
          <w:rFonts w:hint="eastAsia"/>
          <w:color w:val="auto"/>
          <w:sz w:val="22"/>
          <w:szCs w:val="22"/>
          <w:highlight w:val="none"/>
          <w:lang w:val="en-US" w:eastAsia="zh-CN"/>
        </w:rPr>
      </w:pPr>
      <w:r>
        <w:rPr>
          <w:rFonts w:hint="eastAsia"/>
          <w:color w:val="auto"/>
          <w:sz w:val="22"/>
          <w:szCs w:val="22"/>
          <w:highlight w:val="none"/>
          <w:lang w:val="en-US" w:eastAsia="zh-CN"/>
        </w:rPr>
        <w:t>（2）投标人价格分统一按照下列公式计算：</w:t>
      </w:r>
    </w:p>
    <w:p w14:paraId="452821D8">
      <w:pPr>
        <w:spacing w:line="300" w:lineRule="auto"/>
        <w:ind w:firstLine="440" w:firstLineChars="200"/>
        <w:rPr>
          <w:rFonts w:hint="eastAsia"/>
          <w:color w:val="auto"/>
          <w:sz w:val="22"/>
          <w:szCs w:val="22"/>
          <w:highlight w:val="none"/>
          <w:lang w:val="en-US" w:eastAsia="zh-CN"/>
        </w:rPr>
      </w:pPr>
      <w:r>
        <w:rPr>
          <w:rFonts w:hint="eastAsia"/>
          <w:color w:val="auto"/>
          <w:sz w:val="22"/>
          <w:szCs w:val="22"/>
          <w:highlight w:val="none"/>
          <w:lang w:val="en-US" w:eastAsia="zh-CN"/>
        </w:rPr>
        <w:t>投标报价得分=（评标基准价/投标报价）×100×40%</w:t>
      </w:r>
    </w:p>
    <w:p w14:paraId="27FC5143">
      <w:pPr>
        <w:spacing w:line="300" w:lineRule="auto"/>
        <w:ind w:firstLine="440" w:firstLineChars="200"/>
        <w:rPr>
          <w:color w:val="auto"/>
          <w:sz w:val="22"/>
          <w:szCs w:val="22"/>
          <w:highlight w:val="none"/>
        </w:rPr>
      </w:pPr>
      <w:r>
        <w:rPr>
          <w:rFonts w:hint="eastAsia"/>
          <w:color w:val="auto"/>
          <w:sz w:val="22"/>
          <w:szCs w:val="22"/>
          <w:highlight w:val="none"/>
          <w:lang w:val="en-US" w:eastAsia="zh-CN"/>
        </w:rPr>
        <w:t xml:space="preserve">计算分数时四舍五入取小数点后两位，当价格分＜0时，取0。 </w:t>
      </w:r>
    </w:p>
    <w:p w14:paraId="09ED58B1">
      <w:pPr>
        <w:spacing w:line="300" w:lineRule="auto"/>
        <w:ind w:firstLine="440" w:firstLineChars="200"/>
        <w:rPr>
          <w:color w:val="auto"/>
          <w:sz w:val="22"/>
          <w:szCs w:val="22"/>
          <w:highlight w:val="none"/>
        </w:rPr>
      </w:pPr>
      <w:r>
        <w:rPr>
          <w:rFonts w:hint="eastAsia"/>
          <w:color w:val="auto"/>
          <w:sz w:val="22"/>
          <w:szCs w:val="22"/>
          <w:highlight w:val="none"/>
          <w:lang w:val="en-US" w:eastAsia="zh-CN"/>
        </w:rPr>
        <w:t>投标人报价不得低于成本价报价。若报价明显偏低，投标人须对报价情况作出详细解释并须得到评标专家委员会认可。</w:t>
      </w:r>
    </w:p>
    <w:p w14:paraId="5E38296C">
      <w:pPr>
        <w:spacing w:line="300" w:lineRule="auto"/>
        <w:ind w:firstLine="440" w:firstLineChars="200"/>
        <w:rPr>
          <w:rFonts w:hint="eastAsia"/>
          <w:color w:val="auto"/>
          <w:sz w:val="22"/>
          <w:szCs w:val="22"/>
          <w:highlight w:val="none"/>
        </w:rPr>
      </w:pPr>
      <w:r>
        <w:rPr>
          <w:rFonts w:hint="eastAsia"/>
          <w:color w:val="auto"/>
          <w:sz w:val="22"/>
          <w:szCs w:val="22"/>
          <w:highlight w:val="none"/>
        </w:rPr>
        <w:t>评标过程中，不得去掉报价中的最高报价和最低报价。</w:t>
      </w:r>
    </w:p>
    <w:p w14:paraId="434FCD26">
      <w:pPr>
        <w:spacing w:line="300" w:lineRule="auto"/>
        <w:rPr>
          <w:b/>
          <w:bCs/>
          <w:color w:val="auto"/>
          <w:sz w:val="22"/>
          <w:szCs w:val="22"/>
          <w:highlight w:val="none"/>
        </w:rPr>
      </w:pPr>
      <w:r>
        <w:rPr>
          <w:rFonts w:hint="eastAsia"/>
          <w:color w:val="auto"/>
          <w:sz w:val="22"/>
          <w:szCs w:val="22"/>
          <w:highlight w:val="none"/>
        </w:rPr>
        <w:t>5、候选中标人按评审后得分由高到低顺序排列；得分相同的，按投标报价由低到高顺序排列；得分且投标报价相同的，按技术指标或服务方案优劣顺序排列；得分且投标报价相同的且技术指标或服务方案优劣相同的，</w:t>
      </w:r>
      <w:r>
        <w:rPr>
          <w:bCs/>
          <w:color w:val="auto"/>
          <w:sz w:val="22"/>
          <w:szCs w:val="22"/>
          <w:highlight w:val="none"/>
        </w:rPr>
        <w:t>采取随机抽取方式确定</w:t>
      </w:r>
      <w:r>
        <w:rPr>
          <w:rFonts w:hint="eastAsia"/>
          <w:bCs/>
          <w:color w:val="auto"/>
          <w:sz w:val="22"/>
          <w:szCs w:val="22"/>
          <w:highlight w:val="none"/>
        </w:rPr>
        <w:t>候选</w:t>
      </w:r>
      <w:r>
        <w:rPr>
          <w:bCs/>
          <w:color w:val="auto"/>
          <w:sz w:val="22"/>
          <w:szCs w:val="22"/>
          <w:highlight w:val="none"/>
        </w:rPr>
        <w:t>中标人推荐资格</w:t>
      </w:r>
      <w:r>
        <w:rPr>
          <w:rFonts w:hint="eastAsia"/>
          <w:bCs/>
          <w:color w:val="auto"/>
          <w:sz w:val="22"/>
          <w:szCs w:val="22"/>
          <w:highlight w:val="none"/>
        </w:rPr>
        <w:t>。</w:t>
      </w:r>
    </w:p>
    <w:p w14:paraId="638FAF97">
      <w:pPr>
        <w:spacing w:line="300" w:lineRule="auto"/>
        <w:rPr>
          <w:rFonts w:hint="eastAsia"/>
          <w:color w:val="auto"/>
          <w:sz w:val="22"/>
          <w:szCs w:val="22"/>
          <w:highlight w:val="none"/>
        </w:rPr>
      </w:pPr>
      <w:r>
        <w:rPr>
          <w:rFonts w:hint="eastAsia"/>
          <w:color w:val="auto"/>
          <w:sz w:val="22"/>
          <w:szCs w:val="22"/>
          <w:highlight w:val="none"/>
        </w:rPr>
        <w:t>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7EE030C">
      <w:pPr>
        <w:spacing w:line="300" w:lineRule="auto"/>
        <w:rPr>
          <w:rFonts w:hint="eastAsia"/>
          <w:color w:val="auto"/>
          <w:sz w:val="22"/>
          <w:szCs w:val="22"/>
          <w:highlight w:val="none"/>
        </w:rPr>
      </w:pPr>
      <w:r>
        <w:rPr>
          <w:color w:val="auto"/>
          <w:sz w:val="22"/>
          <w:szCs w:val="22"/>
          <w:highlight w:val="none"/>
        </w:rPr>
        <w:t>7</w:t>
      </w:r>
      <w:r>
        <w:rPr>
          <w:rFonts w:hint="eastAsia"/>
          <w:color w:val="auto"/>
          <w:sz w:val="22"/>
          <w:szCs w:val="22"/>
          <w:highlight w:val="none"/>
        </w:rPr>
        <w:t>、评标专家应对通过投标文件初审进入评标程序的投标文件先评技术标、再评商务标；</w:t>
      </w:r>
    </w:p>
    <w:p w14:paraId="2E370F2A">
      <w:pPr>
        <w:spacing w:line="300" w:lineRule="auto"/>
        <w:rPr>
          <w:color w:val="auto"/>
          <w:sz w:val="40"/>
          <w:szCs w:val="40"/>
          <w:highlight w:val="none"/>
        </w:rPr>
        <w:sectPr>
          <w:footerReference r:id="rId3" w:type="default"/>
          <w:pgSz w:w="11910" w:h="16840"/>
          <w:pgMar w:top="1100" w:right="800" w:bottom="1280" w:left="1100" w:header="877" w:footer="1098" w:gutter="0"/>
          <w:cols w:space="720" w:num="1"/>
        </w:sectPr>
      </w:pPr>
      <w:r>
        <w:rPr>
          <w:color w:val="auto"/>
          <w:sz w:val="22"/>
          <w:szCs w:val="22"/>
          <w:highlight w:val="none"/>
        </w:rPr>
        <w:t>8</w:t>
      </w:r>
      <w:r>
        <w:rPr>
          <w:rFonts w:hint="eastAsia"/>
          <w:color w:val="auto"/>
          <w:sz w:val="22"/>
          <w:szCs w:val="22"/>
          <w:highlight w:val="none"/>
        </w:rPr>
        <w:t>、评标专家需按招标文件规定的评审标准对投标人提交的投标文件进行评审，投标文件中与评审标准无关的内容不作为评审内容。</w:t>
      </w:r>
    </w:p>
    <w:p w14:paraId="3F236634">
      <w:pPr>
        <w:pStyle w:val="18"/>
        <w:keepNext w:val="0"/>
        <w:keepLines w:val="0"/>
        <w:pageBreakBefore w:val="0"/>
        <w:widowControl w:val="0"/>
        <w:tabs>
          <w:tab w:val="left" w:pos="2138"/>
        </w:tabs>
        <w:kinsoku/>
        <w:wordWrap/>
        <w:overflowPunct/>
        <w:topLinePunct w:val="0"/>
        <w:autoSpaceDE/>
        <w:autoSpaceDN/>
        <w:bidi w:val="0"/>
        <w:adjustRightInd/>
        <w:snapToGrid w:val="0"/>
        <w:spacing w:before="0" w:beforeLines="100" w:after="0"/>
        <w:jc w:val="center"/>
        <w:textAlignment w:val="auto"/>
        <w:outlineLvl w:val="2"/>
        <w:rPr>
          <w:rFonts w:hint="eastAsia" w:ascii="宋体" w:hAnsi="宋体" w:eastAsia="宋体" w:cs="宋体"/>
          <w:b/>
          <w:bCs/>
          <w:color w:val="000000"/>
          <w:kern w:val="0"/>
          <w:sz w:val="28"/>
          <w:szCs w:val="28"/>
          <w:highlight w:val="none"/>
          <w:lang w:val="en-US" w:eastAsia="zh-CN" w:bidi="ar"/>
        </w:rPr>
      </w:pPr>
      <w:bookmarkStart w:id="0" w:name="_Toc7353"/>
      <w:r>
        <w:rPr>
          <w:rFonts w:hint="eastAsia" w:ascii="宋体" w:hAnsi="宋体" w:eastAsia="宋体" w:cs="宋体"/>
          <w:b/>
          <w:bCs/>
          <w:color w:val="000000"/>
          <w:kern w:val="0"/>
          <w:sz w:val="28"/>
          <w:szCs w:val="28"/>
          <w:highlight w:val="none"/>
          <w:lang w:val="en-US" w:eastAsia="zh-CN" w:bidi="ar"/>
        </w:rPr>
        <w:t>评分细则表</w:t>
      </w:r>
      <w:bookmarkEnd w:id="0"/>
    </w:p>
    <w:tbl>
      <w:tblPr>
        <w:tblStyle w:val="42"/>
        <w:tblpPr w:leftFromText="180" w:rightFromText="180" w:vertAnchor="text" w:horzAnchor="margin" w:tblpXSpec="center" w:tblpY="346"/>
        <w:tblW w:w="9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20" w:type="dxa"/>
          <w:left w:w="108" w:type="dxa"/>
          <w:bottom w:w="20" w:type="dxa"/>
          <w:right w:w="108" w:type="dxa"/>
        </w:tblCellMar>
      </w:tblPr>
      <w:tblGrid>
        <w:gridCol w:w="680"/>
        <w:gridCol w:w="680"/>
        <w:gridCol w:w="1360"/>
        <w:gridCol w:w="900"/>
        <w:gridCol w:w="5849"/>
      </w:tblGrid>
      <w:tr w14:paraId="4577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0" w:type="dxa"/>
            <w:left w:w="108" w:type="dxa"/>
            <w:bottom w:w="20" w:type="dxa"/>
            <w:right w:w="108" w:type="dxa"/>
          </w:tblCellMar>
        </w:tblPrEx>
        <w:trPr>
          <w:jc w:val="center"/>
        </w:trPr>
        <w:tc>
          <w:tcPr>
            <w:tcW w:w="680" w:type="dxa"/>
            <w:shd w:val="clear" w:color="auto" w:fill="auto"/>
            <w:noWrap w:val="0"/>
            <w:vAlign w:val="center"/>
          </w:tcPr>
          <w:p w14:paraId="709626A8">
            <w:pPr>
              <w:widowControl w:val="0"/>
              <w:wordWrap w:val="0"/>
              <w:jc w:val="center"/>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序号</w:t>
            </w:r>
          </w:p>
        </w:tc>
        <w:tc>
          <w:tcPr>
            <w:tcW w:w="2940" w:type="dxa"/>
            <w:gridSpan w:val="3"/>
            <w:shd w:val="clear" w:color="auto" w:fill="auto"/>
            <w:noWrap w:val="0"/>
            <w:vAlign w:val="center"/>
          </w:tcPr>
          <w:p w14:paraId="3CFD7D19">
            <w:pPr>
              <w:widowControl w:val="0"/>
              <w:wordWrap w:val="0"/>
              <w:jc w:val="center"/>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评分项</w:t>
            </w:r>
          </w:p>
        </w:tc>
        <w:tc>
          <w:tcPr>
            <w:tcW w:w="5849" w:type="dxa"/>
            <w:shd w:val="clear" w:color="auto" w:fill="auto"/>
            <w:noWrap w:val="0"/>
            <w:vAlign w:val="center"/>
          </w:tcPr>
          <w:p w14:paraId="0870964E">
            <w:pPr>
              <w:widowControl w:val="0"/>
              <w:wordWrap w:val="0"/>
              <w:jc w:val="center"/>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权重</w:t>
            </w:r>
          </w:p>
        </w:tc>
      </w:tr>
      <w:tr w14:paraId="2A8F1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0" w:type="dxa"/>
            <w:left w:w="108" w:type="dxa"/>
            <w:bottom w:w="20" w:type="dxa"/>
            <w:right w:w="108" w:type="dxa"/>
          </w:tblCellMar>
        </w:tblPrEx>
        <w:trPr>
          <w:jc w:val="center"/>
        </w:trPr>
        <w:tc>
          <w:tcPr>
            <w:tcW w:w="680" w:type="dxa"/>
            <w:vMerge w:val="restart"/>
            <w:shd w:val="clear" w:color="auto" w:fill="auto"/>
            <w:noWrap w:val="0"/>
            <w:vAlign w:val="center"/>
          </w:tcPr>
          <w:p w14:paraId="341B8467">
            <w:pPr>
              <w:widowControl w:val="0"/>
              <w:wordWrap w:val="0"/>
              <w:jc w:val="center"/>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1</w:t>
            </w:r>
          </w:p>
        </w:tc>
        <w:tc>
          <w:tcPr>
            <w:tcW w:w="2940" w:type="dxa"/>
            <w:gridSpan w:val="3"/>
            <w:shd w:val="clear" w:color="auto" w:fill="auto"/>
            <w:noWrap w:val="0"/>
            <w:vAlign w:val="top"/>
          </w:tcPr>
          <w:p w14:paraId="0E73E4D5">
            <w:pPr>
              <w:widowControl w:val="0"/>
              <w:wordWrap w:val="0"/>
              <w:jc w:val="center"/>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价格</w:t>
            </w:r>
          </w:p>
        </w:tc>
        <w:tc>
          <w:tcPr>
            <w:tcW w:w="5849" w:type="dxa"/>
            <w:shd w:val="clear" w:color="auto" w:fill="auto"/>
            <w:noWrap w:val="0"/>
            <w:vAlign w:val="top"/>
          </w:tcPr>
          <w:p w14:paraId="3917D4C8">
            <w:pPr>
              <w:widowControl w:val="0"/>
              <w:wordWrap w:val="0"/>
              <w:jc w:val="center"/>
              <w:rPr>
                <w:rFonts w:hint="default" w:ascii="宋体" w:hAnsi="宋体" w:eastAsia="宋体" w:cs="宋体"/>
                <w:b/>
                <w:bCs/>
                <w:color w:val="000000"/>
                <w:kern w:val="2"/>
                <w:sz w:val="21"/>
                <w:szCs w:val="21"/>
                <w:highlight w:val="none"/>
                <w:lang w:val="en-US" w:eastAsia="zh-CN"/>
              </w:rPr>
            </w:pPr>
            <w:r>
              <w:rPr>
                <w:rFonts w:hint="eastAsia" w:cs="宋体"/>
                <w:b/>
                <w:bCs/>
                <w:color w:val="000000"/>
                <w:kern w:val="2"/>
                <w:sz w:val="21"/>
                <w:szCs w:val="21"/>
                <w:highlight w:val="none"/>
                <w:lang w:val="en-US" w:eastAsia="zh-CN"/>
              </w:rPr>
              <w:t>40</w:t>
            </w:r>
          </w:p>
        </w:tc>
      </w:tr>
      <w:tr w14:paraId="3AD91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0" w:type="dxa"/>
            <w:left w:w="108" w:type="dxa"/>
            <w:bottom w:w="20" w:type="dxa"/>
            <w:right w:w="108" w:type="dxa"/>
          </w:tblCellMar>
        </w:tblPrEx>
        <w:trPr>
          <w:jc w:val="center"/>
        </w:trPr>
        <w:tc>
          <w:tcPr>
            <w:tcW w:w="680" w:type="dxa"/>
            <w:vMerge w:val="continue"/>
            <w:shd w:val="clear" w:color="auto" w:fill="auto"/>
            <w:noWrap w:val="0"/>
            <w:vAlign w:val="top"/>
          </w:tcPr>
          <w:p w14:paraId="0BBBBEF0">
            <w:pPr>
              <w:widowControl w:val="0"/>
              <w:wordWrap w:val="0"/>
              <w:jc w:val="center"/>
              <w:rPr>
                <w:rFonts w:hint="eastAsia" w:ascii="宋体" w:hAnsi="宋体" w:eastAsia="宋体" w:cs="宋体"/>
                <w:b/>
                <w:bCs/>
                <w:color w:val="000000"/>
                <w:kern w:val="2"/>
                <w:sz w:val="21"/>
                <w:szCs w:val="21"/>
                <w:highlight w:val="none"/>
              </w:rPr>
            </w:pPr>
          </w:p>
        </w:tc>
        <w:tc>
          <w:tcPr>
            <w:tcW w:w="680" w:type="dxa"/>
            <w:shd w:val="clear" w:color="auto" w:fill="auto"/>
            <w:noWrap w:val="0"/>
            <w:vAlign w:val="top"/>
          </w:tcPr>
          <w:p w14:paraId="1C67D275">
            <w:pPr>
              <w:widowControl w:val="0"/>
              <w:wordWrap w:val="0"/>
              <w:jc w:val="center"/>
              <w:rPr>
                <w:rFonts w:hint="eastAsia" w:ascii="宋体" w:hAnsi="宋体" w:eastAsia="宋体" w:cs="宋体"/>
                <w:b/>
                <w:bCs/>
                <w:color w:val="000000"/>
                <w:kern w:val="2"/>
                <w:sz w:val="21"/>
                <w:szCs w:val="21"/>
                <w:highlight w:val="none"/>
                <w:lang w:eastAsia="zh-CN"/>
              </w:rPr>
            </w:pPr>
            <w:r>
              <w:rPr>
                <w:rFonts w:hint="eastAsia" w:cs="宋体"/>
                <w:b/>
                <w:bCs/>
                <w:color w:val="000000"/>
                <w:kern w:val="2"/>
                <w:sz w:val="21"/>
                <w:szCs w:val="21"/>
                <w:highlight w:val="none"/>
                <w:lang w:eastAsia="zh-CN"/>
              </w:rPr>
              <w:t>序号</w:t>
            </w:r>
          </w:p>
        </w:tc>
        <w:tc>
          <w:tcPr>
            <w:tcW w:w="1360" w:type="dxa"/>
            <w:shd w:val="clear" w:color="auto" w:fill="auto"/>
            <w:noWrap w:val="0"/>
            <w:vAlign w:val="top"/>
          </w:tcPr>
          <w:p w14:paraId="56E8D836">
            <w:pPr>
              <w:widowControl w:val="0"/>
              <w:wordWrap w:val="0"/>
              <w:jc w:val="center"/>
              <w:rPr>
                <w:rFonts w:hint="eastAsia" w:ascii="宋体" w:hAnsi="宋体" w:eastAsia="宋体" w:cs="宋体"/>
                <w:b/>
                <w:bCs/>
                <w:color w:val="000000"/>
                <w:kern w:val="2"/>
                <w:sz w:val="21"/>
                <w:szCs w:val="21"/>
                <w:highlight w:val="none"/>
                <w:lang w:eastAsia="zh-CN"/>
              </w:rPr>
            </w:pPr>
            <w:r>
              <w:rPr>
                <w:rFonts w:hint="eastAsia" w:cs="宋体"/>
                <w:b/>
                <w:bCs/>
                <w:color w:val="000000"/>
                <w:kern w:val="2"/>
                <w:sz w:val="21"/>
                <w:szCs w:val="21"/>
                <w:highlight w:val="none"/>
                <w:lang w:eastAsia="zh-CN"/>
              </w:rPr>
              <w:t>评分因素</w:t>
            </w:r>
          </w:p>
        </w:tc>
        <w:tc>
          <w:tcPr>
            <w:tcW w:w="900" w:type="dxa"/>
            <w:shd w:val="clear" w:color="auto" w:fill="auto"/>
            <w:noWrap w:val="0"/>
            <w:vAlign w:val="top"/>
          </w:tcPr>
          <w:p w14:paraId="044CA637">
            <w:pPr>
              <w:widowControl w:val="0"/>
              <w:wordWrap w:val="0"/>
              <w:jc w:val="center"/>
              <w:rPr>
                <w:rFonts w:hint="eastAsia" w:ascii="宋体" w:hAnsi="宋体" w:eastAsia="宋体" w:cs="宋体"/>
                <w:b/>
                <w:bCs/>
                <w:color w:val="000000"/>
                <w:kern w:val="2"/>
                <w:sz w:val="21"/>
                <w:szCs w:val="21"/>
                <w:highlight w:val="none"/>
                <w:lang w:eastAsia="zh-CN"/>
              </w:rPr>
            </w:pPr>
            <w:r>
              <w:rPr>
                <w:rFonts w:hint="eastAsia" w:cs="宋体"/>
                <w:b/>
                <w:bCs/>
                <w:color w:val="000000"/>
                <w:kern w:val="2"/>
                <w:sz w:val="21"/>
                <w:szCs w:val="21"/>
                <w:highlight w:val="none"/>
                <w:lang w:eastAsia="zh-CN"/>
              </w:rPr>
              <w:t>权重</w:t>
            </w:r>
          </w:p>
        </w:tc>
        <w:tc>
          <w:tcPr>
            <w:tcW w:w="5849" w:type="dxa"/>
            <w:shd w:val="clear" w:color="auto" w:fill="auto"/>
            <w:noWrap w:val="0"/>
            <w:vAlign w:val="top"/>
          </w:tcPr>
          <w:p w14:paraId="5E191959">
            <w:pPr>
              <w:widowControl w:val="0"/>
              <w:wordWrap w:val="0"/>
              <w:jc w:val="center"/>
              <w:rPr>
                <w:rFonts w:hint="eastAsia" w:ascii="宋体" w:hAnsi="宋体" w:eastAsia="宋体" w:cs="宋体"/>
                <w:b/>
                <w:bCs/>
                <w:color w:val="000000"/>
                <w:kern w:val="2"/>
                <w:sz w:val="21"/>
                <w:szCs w:val="21"/>
                <w:highlight w:val="none"/>
                <w:lang w:val="en-US" w:eastAsia="zh-CN"/>
              </w:rPr>
            </w:pPr>
            <w:r>
              <w:rPr>
                <w:rFonts w:hint="eastAsia" w:cs="宋体"/>
                <w:b/>
                <w:bCs/>
                <w:color w:val="000000"/>
                <w:kern w:val="2"/>
                <w:sz w:val="21"/>
                <w:szCs w:val="21"/>
                <w:highlight w:val="none"/>
                <w:lang w:val="en-US" w:eastAsia="zh-CN"/>
              </w:rPr>
              <w:t>评分准则</w:t>
            </w:r>
          </w:p>
        </w:tc>
      </w:tr>
      <w:tr w14:paraId="2540B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0" w:type="dxa"/>
            <w:left w:w="108" w:type="dxa"/>
            <w:bottom w:w="20" w:type="dxa"/>
            <w:right w:w="108" w:type="dxa"/>
          </w:tblCellMar>
        </w:tblPrEx>
        <w:trPr>
          <w:jc w:val="center"/>
        </w:trPr>
        <w:tc>
          <w:tcPr>
            <w:tcW w:w="680" w:type="dxa"/>
            <w:vMerge w:val="continue"/>
            <w:shd w:val="clear" w:color="auto" w:fill="auto"/>
            <w:noWrap w:val="0"/>
            <w:vAlign w:val="top"/>
          </w:tcPr>
          <w:p w14:paraId="0DFB6608">
            <w:pPr>
              <w:widowControl w:val="0"/>
              <w:wordWrap w:val="0"/>
              <w:jc w:val="center"/>
              <w:rPr>
                <w:rFonts w:hint="eastAsia" w:ascii="宋体" w:hAnsi="宋体" w:eastAsia="宋体" w:cs="宋体"/>
                <w:b/>
                <w:bCs/>
                <w:color w:val="000000"/>
                <w:kern w:val="2"/>
                <w:sz w:val="21"/>
                <w:szCs w:val="21"/>
                <w:highlight w:val="none"/>
              </w:rPr>
            </w:pPr>
          </w:p>
        </w:tc>
        <w:tc>
          <w:tcPr>
            <w:tcW w:w="680" w:type="dxa"/>
            <w:shd w:val="clear" w:color="auto" w:fill="auto"/>
            <w:noWrap w:val="0"/>
            <w:vAlign w:val="center"/>
          </w:tcPr>
          <w:p w14:paraId="2DB441C8">
            <w:pPr>
              <w:widowControl/>
              <w:jc w:val="center"/>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1</w:t>
            </w:r>
          </w:p>
        </w:tc>
        <w:tc>
          <w:tcPr>
            <w:tcW w:w="1360" w:type="dxa"/>
            <w:shd w:val="clear" w:color="auto" w:fill="auto"/>
            <w:noWrap w:val="0"/>
            <w:vAlign w:val="center"/>
          </w:tcPr>
          <w:p w14:paraId="364893F9">
            <w:pPr>
              <w:widowControl/>
              <w:jc w:val="center"/>
              <w:rPr>
                <w:rFonts w:hint="eastAsia" w:ascii="仿宋_GB2312" w:hAnsi="仿宋_GB2312" w:eastAsia="仿宋_GB2312" w:cs="仿宋_GB2312"/>
                <w:color w:val="000000" w:themeColor="text1"/>
                <w:lang w:eastAsia="zh-CN"/>
                <w14:textFill>
                  <w14:solidFill>
                    <w14:schemeClr w14:val="tx1"/>
                  </w14:solidFill>
                </w14:textFill>
              </w:rPr>
            </w:pPr>
            <w:r>
              <w:rPr>
                <w:rFonts w:hint="eastAsia" w:ascii="仿宋_GB2312" w:hAnsi="仿宋_GB2312" w:eastAsia="仿宋_GB2312" w:cs="仿宋_GB2312"/>
                <w:color w:val="000000" w:themeColor="text1"/>
                <w:lang w:eastAsia="zh-CN"/>
                <w14:textFill>
                  <w14:solidFill>
                    <w14:schemeClr w14:val="tx1"/>
                  </w14:solidFill>
                </w14:textFill>
              </w:rPr>
              <w:t>报价</w:t>
            </w:r>
          </w:p>
        </w:tc>
        <w:tc>
          <w:tcPr>
            <w:tcW w:w="900" w:type="dxa"/>
            <w:shd w:val="clear" w:color="auto" w:fill="auto"/>
            <w:noWrap w:val="0"/>
            <w:vAlign w:val="center"/>
          </w:tcPr>
          <w:p w14:paraId="09C86213">
            <w:pPr>
              <w:widowControl/>
              <w:jc w:val="center"/>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40</w:t>
            </w:r>
          </w:p>
        </w:tc>
        <w:tc>
          <w:tcPr>
            <w:tcW w:w="5849" w:type="dxa"/>
            <w:shd w:val="clear" w:color="auto" w:fill="auto"/>
            <w:noWrap w:val="0"/>
            <w:vAlign w:val="center"/>
          </w:tcPr>
          <w:p w14:paraId="3C702CF3">
            <w:pPr>
              <w:widowControl/>
              <w:jc w:val="left"/>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 xml:space="preserve">（1）基准价：采用低价优先法计算，即满足招标文件要求且投标价格最低的投标报价为评标基准价，其价格分为满分。 </w:t>
            </w:r>
          </w:p>
          <w:p w14:paraId="07CD80EF">
            <w:pPr>
              <w:widowControl/>
              <w:jc w:val="left"/>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（2）投标人价格分统一按照下列公式计算：</w:t>
            </w:r>
          </w:p>
          <w:p w14:paraId="552D2160">
            <w:pPr>
              <w:widowControl/>
              <w:jc w:val="left"/>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投标报价得分=（评标基准价/投标报价）×100×40%</w:t>
            </w:r>
          </w:p>
          <w:p w14:paraId="63D06EC8">
            <w:pPr>
              <w:widowControl w:val="0"/>
              <w:wordWrap w:val="0"/>
              <w:jc w:val="left"/>
              <w:rPr>
                <w:rFonts w:hint="eastAsia" w:ascii="宋体" w:hAnsi="宋体" w:eastAsia="宋体" w:cs="宋体"/>
                <w:b/>
                <w:bCs/>
                <w:color w:val="000000"/>
                <w:kern w:val="2"/>
                <w:sz w:val="21"/>
                <w:szCs w:val="21"/>
                <w:highlight w:val="none"/>
                <w:lang w:val="en-US" w:eastAsia="zh-CN"/>
              </w:rPr>
            </w:pPr>
            <w:r>
              <w:rPr>
                <w:rFonts w:hint="eastAsia" w:ascii="仿宋_GB2312" w:hAnsi="仿宋_GB2312" w:eastAsia="仿宋_GB2312" w:cs="仿宋_GB2312"/>
                <w:color w:val="000000" w:themeColor="text1"/>
                <w14:textFill>
                  <w14:solidFill>
                    <w14:schemeClr w14:val="tx1"/>
                  </w14:solidFill>
                </w14:textFill>
              </w:rPr>
              <w:t>计算分数时四舍五入取小数点后两位，当价格分＜0时，取0。</w:t>
            </w:r>
          </w:p>
        </w:tc>
      </w:tr>
      <w:tr w14:paraId="4C1F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0" w:type="dxa"/>
            <w:left w:w="108" w:type="dxa"/>
            <w:bottom w:w="20" w:type="dxa"/>
            <w:right w:w="108" w:type="dxa"/>
          </w:tblCellMar>
        </w:tblPrEx>
        <w:trPr>
          <w:jc w:val="center"/>
        </w:trPr>
        <w:tc>
          <w:tcPr>
            <w:tcW w:w="680" w:type="dxa"/>
            <w:vMerge w:val="restart"/>
            <w:shd w:val="clear" w:color="auto" w:fill="auto"/>
            <w:noWrap w:val="0"/>
            <w:vAlign w:val="center"/>
          </w:tcPr>
          <w:p w14:paraId="3E9ED3DF">
            <w:pPr>
              <w:widowControl w:val="0"/>
              <w:wordWrap w:val="0"/>
              <w:jc w:val="center"/>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2</w:t>
            </w:r>
          </w:p>
        </w:tc>
        <w:tc>
          <w:tcPr>
            <w:tcW w:w="2940" w:type="dxa"/>
            <w:gridSpan w:val="3"/>
            <w:shd w:val="clear" w:color="auto" w:fill="auto"/>
            <w:noWrap w:val="0"/>
            <w:vAlign w:val="top"/>
          </w:tcPr>
          <w:p w14:paraId="442BF8CE">
            <w:pPr>
              <w:widowControl w:val="0"/>
              <w:wordWrap w:val="0"/>
              <w:jc w:val="center"/>
              <w:rPr>
                <w:rFonts w:hint="eastAsia" w:ascii="宋体" w:hAnsi="宋体" w:eastAsia="宋体" w:cs="宋体"/>
                <w:b/>
                <w:bCs/>
                <w:color w:val="000000"/>
                <w:kern w:val="2"/>
                <w:sz w:val="21"/>
                <w:szCs w:val="21"/>
                <w:highlight w:val="none"/>
                <w:lang w:val="en-US" w:eastAsia="zh-CN"/>
              </w:rPr>
            </w:pPr>
            <w:r>
              <w:rPr>
                <w:rFonts w:hint="eastAsia" w:cs="宋体"/>
                <w:b/>
                <w:bCs/>
                <w:color w:val="000000"/>
                <w:kern w:val="2"/>
                <w:sz w:val="21"/>
                <w:szCs w:val="21"/>
                <w:highlight w:val="none"/>
                <w:lang w:val="en-US" w:eastAsia="zh-CN"/>
              </w:rPr>
              <w:t>技术部分</w:t>
            </w:r>
          </w:p>
        </w:tc>
        <w:tc>
          <w:tcPr>
            <w:tcW w:w="5849" w:type="dxa"/>
            <w:shd w:val="clear" w:color="auto" w:fill="auto"/>
            <w:noWrap w:val="0"/>
            <w:vAlign w:val="top"/>
          </w:tcPr>
          <w:p w14:paraId="39668149">
            <w:pPr>
              <w:widowControl w:val="0"/>
              <w:wordWrap w:val="0"/>
              <w:jc w:val="center"/>
              <w:rPr>
                <w:rFonts w:hint="default" w:ascii="宋体" w:hAnsi="宋体" w:eastAsia="宋体" w:cs="宋体"/>
                <w:b/>
                <w:bCs/>
                <w:color w:val="000000"/>
                <w:kern w:val="2"/>
                <w:sz w:val="21"/>
                <w:szCs w:val="21"/>
                <w:highlight w:val="none"/>
                <w:lang w:val="en-US" w:eastAsia="zh-CN"/>
              </w:rPr>
            </w:pPr>
            <w:r>
              <w:rPr>
                <w:rFonts w:hint="eastAsia" w:cs="宋体"/>
                <w:b/>
                <w:bCs/>
                <w:color w:val="000000"/>
                <w:kern w:val="2"/>
                <w:sz w:val="21"/>
                <w:szCs w:val="21"/>
                <w:highlight w:val="none"/>
                <w:lang w:val="en-US" w:eastAsia="zh-CN"/>
              </w:rPr>
              <w:t>40</w:t>
            </w:r>
          </w:p>
        </w:tc>
      </w:tr>
      <w:tr w14:paraId="3E85E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0" w:type="dxa"/>
            <w:left w:w="108" w:type="dxa"/>
            <w:bottom w:w="20" w:type="dxa"/>
            <w:right w:w="108" w:type="dxa"/>
          </w:tblCellMar>
        </w:tblPrEx>
        <w:trPr>
          <w:jc w:val="center"/>
        </w:trPr>
        <w:tc>
          <w:tcPr>
            <w:tcW w:w="680" w:type="dxa"/>
            <w:vMerge w:val="continue"/>
            <w:shd w:val="clear" w:color="auto" w:fill="auto"/>
            <w:noWrap w:val="0"/>
            <w:vAlign w:val="center"/>
          </w:tcPr>
          <w:p w14:paraId="04F13B31">
            <w:pPr>
              <w:widowControl w:val="0"/>
              <w:jc w:val="both"/>
              <w:rPr>
                <w:rFonts w:hint="eastAsia" w:ascii="宋体" w:hAnsi="宋体" w:eastAsia="宋体" w:cs="宋体"/>
                <w:b/>
                <w:bCs/>
                <w:color w:val="000000"/>
                <w:kern w:val="2"/>
                <w:sz w:val="21"/>
                <w:szCs w:val="21"/>
                <w:highlight w:val="none"/>
              </w:rPr>
            </w:pPr>
          </w:p>
        </w:tc>
        <w:tc>
          <w:tcPr>
            <w:tcW w:w="680" w:type="dxa"/>
            <w:shd w:val="clear" w:color="auto" w:fill="auto"/>
            <w:noWrap w:val="0"/>
            <w:vAlign w:val="center"/>
          </w:tcPr>
          <w:p w14:paraId="5459D404">
            <w:pPr>
              <w:widowControl w:val="0"/>
              <w:wordWrap w:val="0"/>
              <w:jc w:val="center"/>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序号</w:t>
            </w:r>
          </w:p>
        </w:tc>
        <w:tc>
          <w:tcPr>
            <w:tcW w:w="1360" w:type="dxa"/>
            <w:shd w:val="clear" w:color="auto" w:fill="auto"/>
            <w:noWrap w:val="0"/>
            <w:vAlign w:val="center"/>
          </w:tcPr>
          <w:p w14:paraId="29416AB5">
            <w:pPr>
              <w:widowControl w:val="0"/>
              <w:wordWrap w:val="0"/>
              <w:jc w:val="center"/>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评分因素</w:t>
            </w:r>
          </w:p>
        </w:tc>
        <w:tc>
          <w:tcPr>
            <w:tcW w:w="900" w:type="dxa"/>
            <w:shd w:val="clear" w:color="auto" w:fill="auto"/>
            <w:noWrap w:val="0"/>
            <w:vAlign w:val="center"/>
          </w:tcPr>
          <w:p w14:paraId="7FB37AF2">
            <w:pPr>
              <w:widowControl w:val="0"/>
              <w:wordWrap w:val="0"/>
              <w:jc w:val="center"/>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权重</w:t>
            </w:r>
          </w:p>
        </w:tc>
        <w:tc>
          <w:tcPr>
            <w:tcW w:w="5849" w:type="dxa"/>
            <w:shd w:val="clear" w:color="auto" w:fill="auto"/>
            <w:noWrap w:val="0"/>
            <w:vAlign w:val="center"/>
          </w:tcPr>
          <w:p w14:paraId="431FAFD7">
            <w:pPr>
              <w:widowControl w:val="0"/>
              <w:wordWrap w:val="0"/>
              <w:jc w:val="center"/>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评分准则</w:t>
            </w:r>
          </w:p>
        </w:tc>
      </w:tr>
      <w:tr w14:paraId="670E5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0" w:type="dxa"/>
            <w:left w:w="108" w:type="dxa"/>
            <w:bottom w:w="20" w:type="dxa"/>
            <w:right w:w="108" w:type="dxa"/>
          </w:tblCellMar>
        </w:tblPrEx>
        <w:trPr>
          <w:jc w:val="center"/>
        </w:trPr>
        <w:tc>
          <w:tcPr>
            <w:tcW w:w="680" w:type="dxa"/>
            <w:vMerge w:val="continue"/>
            <w:shd w:val="clear" w:color="auto" w:fill="auto"/>
            <w:noWrap w:val="0"/>
            <w:vAlign w:val="center"/>
          </w:tcPr>
          <w:p w14:paraId="5FF4E96F">
            <w:pPr>
              <w:widowControl w:val="0"/>
              <w:jc w:val="both"/>
              <w:rPr>
                <w:rFonts w:hint="eastAsia" w:ascii="宋体" w:hAnsi="宋体" w:eastAsia="宋体" w:cs="宋体"/>
                <w:b/>
                <w:bCs/>
                <w:color w:val="000000"/>
                <w:kern w:val="2"/>
                <w:sz w:val="21"/>
                <w:szCs w:val="21"/>
                <w:highlight w:val="none"/>
              </w:rPr>
            </w:pPr>
          </w:p>
        </w:tc>
        <w:tc>
          <w:tcPr>
            <w:tcW w:w="680" w:type="dxa"/>
            <w:shd w:val="clear" w:color="auto" w:fill="auto"/>
            <w:noWrap w:val="0"/>
            <w:vAlign w:val="center"/>
          </w:tcPr>
          <w:p w14:paraId="74C0725A">
            <w:pPr>
              <w:widowControl w:val="0"/>
              <w:wordWrap w:val="0"/>
              <w:jc w:val="center"/>
              <w:rPr>
                <w:rFonts w:hint="default" w:ascii="宋体" w:hAnsi="宋体" w:eastAsia="宋体" w:cs="宋体"/>
                <w:color w:val="000000"/>
                <w:kern w:val="2"/>
                <w:sz w:val="21"/>
                <w:szCs w:val="21"/>
                <w:highlight w:val="none"/>
                <w:lang w:val="en-US" w:eastAsia="zh-CN"/>
              </w:rPr>
            </w:pPr>
            <w:r>
              <w:rPr>
                <w:rFonts w:hint="eastAsia" w:cs="宋体"/>
                <w:color w:val="000000"/>
                <w:kern w:val="2"/>
                <w:sz w:val="21"/>
                <w:szCs w:val="21"/>
                <w:highlight w:val="none"/>
                <w:lang w:val="en-US" w:eastAsia="zh-CN"/>
              </w:rPr>
              <w:t>1</w:t>
            </w:r>
          </w:p>
        </w:tc>
        <w:tc>
          <w:tcPr>
            <w:tcW w:w="1360" w:type="dxa"/>
            <w:shd w:val="clear" w:color="auto" w:fill="auto"/>
            <w:noWrap w:val="0"/>
            <w:vAlign w:val="center"/>
          </w:tcPr>
          <w:p w14:paraId="0CBE6D4F">
            <w:pPr>
              <w:widowControl/>
              <w:numPr>
                <w:ilvl w:val="0"/>
                <w:numId w:val="0"/>
              </w:numPr>
              <w:wordWrap/>
              <w:jc w:val="center"/>
              <w:rPr>
                <w:rFonts w:hint="default" w:ascii="宋体" w:hAnsi="宋体" w:eastAsia="宋体" w:cs="宋体"/>
                <w:color w:val="000000"/>
                <w:kern w:val="2"/>
                <w:sz w:val="21"/>
                <w:szCs w:val="21"/>
                <w:highlight w:val="none"/>
                <w:lang w:val="en-US" w:eastAsia="zh-CN"/>
              </w:rPr>
            </w:pPr>
            <w:r>
              <w:rPr>
                <w:rFonts w:hint="eastAsia" w:ascii="仿宋_GB2312" w:hAnsi="仿宋_GB2312" w:eastAsia="仿宋_GB2312" w:cs="仿宋_GB2312"/>
                <w:color w:val="000000" w:themeColor="text1"/>
                <w:kern w:val="0"/>
                <w:sz w:val="22"/>
                <w:szCs w:val="22"/>
                <w:lang w:val="en-US" w:eastAsia="zh-CN"/>
                <w14:textFill>
                  <w14:solidFill>
                    <w14:schemeClr w14:val="tx1"/>
                  </w14:solidFill>
                </w14:textFill>
              </w:rPr>
              <w:t>设计方案</w:t>
            </w:r>
          </w:p>
        </w:tc>
        <w:tc>
          <w:tcPr>
            <w:tcW w:w="900" w:type="dxa"/>
            <w:shd w:val="clear" w:color="auto" w:fill="auto"/>
            <w:noWrap w:val="0"/>
            <w:vAlign w:val="center"/>
          </w:tcPr>
          <w:p w14:paraId="5F66EC2D">
            <w:pPr>
              <w:widowControl w:val="0"/>
              <w:wordWrap w:val="0"/>
              <w:jc w:val="center"/>
              <w:rPr>
                <w:rFonts w:hint="default" w:ascii="宋体" w:hAnsi="宋体" w:eastAsia="宋体" w:cs="宋体"/>
                <w:color w:val="000000"/>
                <w:kern w:val="2"/>
                <w:sz w:val="21"/>
                <w:szCs w:val="21"/>
                <w:highlight w:val="none"/>
                <w:lang w:val="en-US" w:eastAsia="zh-CN"/>
              </w:rPr>
            </w:pPr>
            <w:r>
              <w:rPr>
                <w:rFonts w:hint="eastAsia" w:cs="宋体"/>
                <w:color w:val="000000"/>
                <w:kern w:val="2"/>
                <w:sz w:val="21"/>
                <w:szCs w:val="21"/>
                <w:highlight w:val="none"/>
                <w:lang w:val="en-US" w:eastAsia="zh-CN"/>
              </w:rPr>
              <w:t>20</w:t>
            </w:r>
          </w:p>
        </w:tc>
        <w:tc>
          <w:tcPr>
            <w:tcW w:w="5849" w:type="dxa"/>
            <w:shd w:val="clear" w:color="auto" w:fill="auto"/>
            <w:noWrap w:val="0"/>
            <w:vAlign w:val="center"/>
          </w:tcPr>
          <w:p w14:paraId="64FF5289">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（一）评审内容</w:t>
            </w:r>
          </w:p>
          <w:p w14:paraId="288ACA9A">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b w:val="0"/>
                <w:bCs w:val="0"/>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lang w:val="en-US" w:eastAsia="zh-CN"/>
                <w14:textFill>
                  <w14:solidFill>
                    <w14:schemeClr w14:val="tx1"/>
                  </w14:solidFill>
                </w14:textFill>
              </w:rPr>
              <w:t>本项满分20分，主要针对投标单位泥岗路、红岗路、清源路、清水河一路门头4个门户节点的景观设计思路、设计成果深度、设计团队配置、全程配合服务方案等内容进行综合评审，依据方案的完整性、专业性、节点适配性、可落地性进行梯度打分。</w:t>
            </w:r>
          </w:p>
          <w:p w14:paraId="440827E1">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（二）评审标准</w:t>
            </w:r>
          </w:p>
          <w:p w14:paraId="41959EA1">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（1）整体设计思路与节点适配性（最高8分）</w:t>
            </w:r>
          </w:p>
          <w:p w14:paraId="32A8BBD1">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b w:val="0"/>
                <w:bCs w:val="0"/>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lang w:val="en-US" w:eastAsia="zh-CN"/>
                <w14:textFill>
                  <w14:solidFill>
                    <w14:schemeClr w14:val="tx1"/>
                  </w14:solidFill>
                </w14:textFill>
              </w:rPr>
              <w:t>① 方案完整覆盖全部4个门户节点，对每个节点的场地现状、风貌定位理解精准，设计思路贴合 "数智新城" 片区整体调性，logo字体、材质、尺寸规划与节点空间匹配度高，得8分；</w:t>
            </w:r>
          </w:p>
          <w:p w14:paraId="42B84101">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b w:val="0"/>
                <w:bCs w:val="0"/>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lang w:val="en-US" w:eastAsia="zh-CN"/>
                <w14:textFill>
                  <w14:solidFill>
                    <w14:schemeClr w14:val="tx1"/>
                  </w14:solidFill>
                </w14:textFill>
              </w:rPr>
              <w:t>② 方案覆盖全部4个节点，但部分节点设计思路针对性不足，logo及景观设计与节点空间适配性一般，得5分；</w:t>
            </w:r>
          </w:p>
          <w:p w14:paraId="66ED1ECF">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b w:val="0"/>
                <w:bCs w:val="0"/>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lang w:val="en-US" w:eastAsia="zh-CN"/>
                <w14:textFill>
                  <w14:solidFill>
                    <w14:schemeClr w14:val="tx1"/>
                  </w14:solidFill>
                </w14:textFill>
              </w:rPr>
              <w:t>③ 方案仅覆盖部分节点，设计思路通用化、无针对性，核心设计内容存在明显缺失，得2分；</w:t>
            </w:r>
          </w:p>
          <w:p w14:paraId="5157EB68">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b w:val="0"/>
                <w:bCs w:val="0"/>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lang w:val="en-US" w:eastAsia="zh-CN"/>
                <w14:textFill>
                  <w14:solidFill>
                    <w14:schemeClr w14:val="tx1"/>
                  </w14:solidFill>
                </w14:textFill>
              </w:rPr>
              <w:t>④ 方案未提供对应节点设计思路，无明确设计方向，得0分。</w:t>
            </w:r>
          </w:p>
          <w:p w14:paraId="63C036F8">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（2）设计成果深度与交付规划（最高6分）</w:t>
            </w:r>
          </w:p>
          <w:p w14:paraId="5C590B28">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b w:val="0"/>
                <w:bCs w:val="0"/>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lang w:val="en-US" w:eastAsia="zh-CN"/>
                <w14:textFill>
                  <w14:solidFill>
                    <w14:schemeClr w14:val="tx1"/>
                  </w14:solidFill>
                </w14:textFill>
              </w:rPr>
              <w:t>① 明确区分概念方案、深化设计两个阶段的交付内容，图纸深度（总图、材质详图、logo 专项图、造价估算）完全符合本项目要求，交付节点清晰、跨专业协同机制完善，得6分；</w:t>
            </w:r>
          </w:p>
          <w:p w14:paraId="751F86DD">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b w:val="0"/>
                <w:bCs w:val="0"/>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lang w:val="en-US" w:eastAsia="zh-CN"/>
                <w14:textFill>
                  <w14:solidFill>
                    <w14:schemeClr w14:val="tx1"/>
                  </w14:solidFill>
                </w14:textFill>
              </w:rPr>
              <w:t>② 设计阶段划分清晰，交付内容基本齐全，图纸深度满足项目基础要求，得3分；</w:t>
            </w:r>
          </w:p>
          <w:p w14:paraId="715ABE25">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b w:val="0"/>
                <w:bCs w:val="0"/>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lang w:val="en-US" w:eastAsia="zh-CN"/>
                <w14:textFill>
                  <w14:solidFill>
                    <w14:schemeClr w14:val="tx1"/>
                  </w14:solidFill>
                </w14:textFill>
              </w:rPr>
              <w:t>③ 设计阶段划分模糊，交付内容不完整，无明确图纸深度标准及交付节点，得0分。</w:t>
            </w:r>
          </w:p>
          <w:p w14:paraId="3B96CCA0">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（3）设计团队与配合服务（最高6分）</w:t>
            </w:r>
          </w:p>
          <w:p w14:paraId="3A19D485">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b w:val="0"/>
                <w:bCs w:val="0"/>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lang w:val="en-US" w:eastAsia="zh-CN"/>
                <w14:textFill>
                  <w14:solidFill>
                    <w14:schemeClr w14:val="tx1"/>
                  </w14:solidFill>
                </w14:textFill>
              </w:rPr>
              <w:t>① 项目主设计师具备 5 年以上城市门户景观设计经验，团队配置完整专业，人员简历及业绩佐证齐全；现场对接、施工全程驻场、修改响应的服务方案周全可行，得6分；</w:t>
            </w:r>
          </w:p>
          <w:p w14:paraId="4C8C7AFC">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b w:val="0"/>
                <w:bCs w:val="0"/>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lang w:val="en-US" w:eastAsia="zh-CN"/>
                <w14:textFill>
                  <w14:solidFill>
                    <w14:schemeClr w14:val="tx1"/>
                  </w14:solidFill>
                </w14:textFill>
              </w:rPr>
              <w:t>② 设计团队配置基本满足项目需求，具备基础配合服务方案，得3分；</w:t>
            </w:r>
          </w:p>
          <w:p w14:paraId="7C5404BF">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lang w:eastAsia="zh-CN"/>
              </w:rPr>
            </w:pPr>
            <w:r>
              <w:rPr>
                <w:rFonts w:hint="eastAsia" w:ascii="仿宋_GB2312" w:hAnsi="仿宋_GB2312" w:eastAsia="仿宋_GB2312" w:cs="仿宋_GB2312"/>
                <w:b w:val="0"/>
                <w:bCs w:val="0"/>
                <w:color w:val="000000" w:themeColor="text1"/>
                <w:lang w:val="en-US" w:eastAsia="zh-CN"/>
                <w14:textFill>
                  <w14:solidFill>
                    <w14:schemeClr w14:val="tx1"/>
                  </w14:solidFill>
                </w14:textFill>
              </w:rPr>
              <w:t>③ 无设计团队人员证明材料，未明确配合服务机制，得0分。</w:t>
            </w:r>
          </w:p>
        </w:tc>
      </w:tr>
      <w:tr w14:paraId="51216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0" w:type="dxa"/>
            <w:left w:w="108" w:type="dxa"/>
            <w:bottom w:w="20" w:type="dxa"/>
            <w:right w:w="108" w:type="dxa"/>
          </w:tblCellMar>
        </w:tblPrEx>
        <w:trPr>
          <w:jc w:val="center"/>
        </w:trPr>
        <w:tc>
          <w:tcPr>
            <w:tcW w:w="680" w:type="dxa"/>
            <w:vMerge w:val="continue"/>
            <w:shd w:val="clear" w:color="auto" w:fill="auto"/>
            <w:noWrap w:val="0"/>
            <w:vAlign w:val="center"/>
          </w:tcPr>
          <w:p w14:paraId="46C2C0D9">
            <w:pPr>
              <w:widowControl w:val="0"/>
              <w:jc w:val="both"/>
              <w:rPr>
                <w:rFonts w:hint="eastAsia" w:ascii="宋体" w:hAnsi="宋体" w:eastAsia="宋体" w:cs="宋体"/>
                <w:b/>
                <w:bCs/>
                <w:color w:val="000000"/>
                <w:kern w:val="2"/>
                <w:sz w:val="21"/>
                <w:szCs w:val="21"/>
                <w:highlight w:val="none"/>
              </w:rPr>
            </w:pPr>
          </w:p>
        </w:tc>
        <w:tc>
          <w:tcPr>
            <w:tcW w:w="680" w:type="dxa"/>
            <w:shd w:val="clear" w:color="auto" w:fill="auto"/>
            <w:noWrap w:val="0"/>
            <w:vAlign w:val="center"/>
          </w:tcPr>
          <w:p w14:paraId="20FE1FA3">
            <w:pPr>
              <w:widowControl w:val="0"/>
              <w:wordWrap w:val="0"/>
              <w:jc w:val="center"/>
              <w:rPr>
                <w:rFonts w:hint="default" w:ascii="宋体" w:hAnsi="宋体" w:eastAsia="宋体" w:cs="宋体"/>
                <w:color w:val="000000"/>
                <w:kern w:val="2"/>
                <w:sz w:val="21"/>
                <w:szCs w:val="21"/>
                <w:highlight w:val="none"/>
                <w:lang w:val="en-US" w:eastAsia="zh-CN"/>
              </w:rPr>
            </w:pPr>
            <w:r>
              <w:rPr>
                <w:rFonts w:hint="eastAsia" w:cs="宋体"/>
                <w:color w:val="000000"/>
                <w:kern w:val="2"/>
                <w:sz w:val="21"/>
                <w:szCs w:val="21"/>
                <w:highlight w:val="none"/>
                <w:lang w:val="en-US" w:eastAsia="zh-CN"/>
              </w:rPr>
              <w:t>2</w:t>
            </w:r>
          </w:p>
        </w:tc>
        <w:tc>
          <w:tcPr>
            <w:tcW w:w="1360" w:type="dxa"/>
            <w:shd w:val="clear" w:color="auto" w:fill="auto"/>
            <w:noWrap w:val="0"/>
            <w:vAlign w:val="center"/>
          </w:tcPr>
          <w:p w14:paraId="73FDAD14">
            <w:pPr>
              <w:widowControl/>
              <w:numPr>
                <w:ilvl w:val="0"/>
                <w:numId w:val="0"/>
              </w:numPr>
              <w:wordWrap/>
              <w:jc w:val="center"/>
              <w:rPr>
                <w:rFonts w:hint="eastAsia" w:ascii="宋体" w:hAnsi="宋体" w:eastAsia="宋体" w:cs="宋体"/>
                <w:color w:val="000000"/>
                <w:kern w:val="2"/>
                <w:sz w:val="21"/>
                <w:szCs w:val="21"/>
                <w:highlight w:val="none"/>
                <w:lang w:eastAsia="zh-CN"/>
              </w:rPr>
            </w:pPr>
            <w:r>
              <w:rPr>
                <w:rFonts w:hint="eastAsia" w:ascii="仿宋_GB2312" w:hAnsi="仿宋_GB2312" w:eastAsia="仿宋_GB2312" w:cs="仿宋_GB2312"/>
                <w:color w:val="000000" w:themeColor="text1"/>
                <w:kern w:val="0"/>
                <w:sz w:val="22"/>
                <w:szCs w:val="22"/>
                <w:lang w:val="en-US" w:eastAsia="zh-CN"/>
                <w14:textFill>
                  <w14:solidFill>
                    <w14:schemeClr w14:val="tx1"/>
                  </w14:solidFill>
                </w14:textFill>
              </w:rPr>
              <w:t>施工</w:t>
            </w:r>
            <w:r>
              <w:rPr>
                <w:rFonts w:hint="eastAsia" w:ascii="仿宋_GB2312" w:hAnsi="仿宋_GB2312" w:eastAsia="仿宋_GB2312" w:cs="仿宋_GB2312"/>
                <w:color w:val="000000" w:themeColor="text1"/>
                <w:kern w:val="0"/>
                <w:sz w:val="22"/>
                <w:szCs w:val="22"/>
                <w:lang w:eastAsia="zh-CN"/>
                <w14:textFill>
                  <w14:solidFill>
                    <w14:schemeClr w14:val="tx1"/>
                  </w14:solidFill>
                </w14:textFill>
              </w:rPr>
              <w:t>方案</w:t>
            </w:r>
          </w:p>
        </w:tc>
        <w:tc>
          <w:tcPr>
            <w:tcW w:w="900" w:type="dxa"/>
            <w:shd w:val="clear" w:color="auto" w:fill="auto"/>
            <w:noWrap w:val="0"/>
            <w:vAlign w:val="center"/>
          </w:tcPr>
          <w:p w14:paraId="4FB9E641">
            <w:pPr>
              <w:widowControl w:val="0"/>
              <w:wordWrap w:val="0"/>
              <w:jc w:val="center"/>
              <w:rPr>
                <w:rFonts w:hint="eastAsia" w:ascii="宋体" w:hAnsi="宋体" w:eastAsia="宋体" w:cs="宋体"/>
                <w:color w:val="000000"/>
                <w:kern w:val="2"/>
                <w:sz w:val="21"/>
                <w:szCs w:val="21"/>
                <w:highlight w:val="none"/>
                <w:lang w:val="en-US" w:eastAsia="zh-CN"/>
              </w:rPr>
            </w:pPr>
            <w:r>
              <w:rPr>
                <w:rFonts w:hint="eastAsia" w:cs="宋体"/>
                <w:color w:val="000000"/>
                <w:kern w:val="2"/>
                <w:sz w:val="21"/>
                <w:szCs w:val="21"/>
                <w:highlight w:val="none"/>
                <w:lang w:val="en-US" w:eastAsia="zh-CN"/>
              </w:rPr>
              <w:t>2</w:t>
            </w:r>
            <w:r>
              <w:rPr>
                <w:rFonts w:hint="eastAsia" w:ascii="宋体" w:hAnsi="宋体" w:eastAsia="宋体" w:cs="宋体"/>
                <w:color w:val="000000"/>
                <w:kern w:val="2"/>
                <w:sz w:val="21"/>
                <w:szCs w:val="21"/>
                <w:highlight w:val="none"/>
                <w:lang w:val="en-US" w:eastAsia="zh-CN"/>
              </w:rPr>
              <w:t>0</w:t>
            </w:r>
          </w:p>
        </w:tc>
        <w:tc>
          <w:tcPr>
            <w:tcW w:w="5849" w:type="dxa"/>
            <w:shd w:val="clear" w:color="auto" w:fill="auto"/>
            <w:noWrap w:val="0"/>
            <w:vAlign w:val="center"/>
          </w:tcPr>
          <w:p w14:paraId="7D5960BB">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jc w:val="left"/>
              <w:textAlignment w:val="auto"/>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（一）评审内容</w:t>
            </w:r>
          </w:p>
          <w:p w14:paraId="4AF57127">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jc w:val="left"/>
              <w:textAlignment w:val="auto"/>
              <w:rPr>
                <w:rFonts w:hint="eastAsia" w:ascii="仿宋_GB2312" w:hAnsi="仿宋_GB2312" w:eastAsia="仿宋_GB2312" w:cs="仿宋_GB2312"/>
                <w:b w:val="0"/>
                <w:bCs w:val="0"/>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lang w:val="en-US" w:eastAsia="zh-CN"/>
                <w14:textFill>
                  <w14:solidFill>
                    <w14:schemeClr w14:val="tx1"/>
                  </w14:solidFill>
                </w14:textFill>
              </w:rPr>
              <w:t>本项满分20分，主要针对投标单位4个门户节点的施工组织方案、核心工序工艺标准、质量与工期保障措施、安全文明与现场管理等内容进行综合评审，依据方案的完整性、专业性、可行性、安全性进行梯度打分。</w:t>
            </w:r>
          </w:p>
          <w:p w14:paraId="5D2AA2AA">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jc w:val="left"/>
              <w:textAlignment w:val="auto"/>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（二）评审标准</w:t>
            </w:r>
          </w:p>
          <w:p w14:paraId="0F05315A">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jc w:val="left"/>
              <w:textAlignment w:val="auto"/>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（1）施工组织与专项工艺方案（最高8分）</w:t>
            </w:r>
          </w:p>
          <w:p w14:paraId="5D161ECA">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jc w:val="left"/>
              <w:textAlignment w:val="auto"/>
              <w:rPr>
                <w:rFonts w:hint="eastAsia" w:ascii="仿宋_GB2312" w:hAnsi="仿宋_GB2312" w:eastAsia="仿宋_GB2312" w:cs="仿宋_GB2312"/>
                <w:b w:val="0"/>
                <w:bCs w:val="0"/>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lang w:val="en-US" w:eastAsia="zh-CN"/>
                <w14:textFill>
                  <w14:solidFill>
                    <w14:schemeClr w14:val="tx1"/>
                  </w14:solidFill>
                </w14:textFill>
              </w:rPr>
              <w:t>① 方案针对4个门户节点分别制定施工组织方案，完整覆盖钢格栅安装、墙面翻新、logo装置制作安装、绿化种植、门头翻新五大核心工序，核心工艺（氟碳漆喷涂、镀锌钢板logo制作、铝板翻新、绿化养护）的技术方案专业规范，完全符合本项目材质要求，得8分；</w:t>
            </w:r>
          </w:p>
          <w:p w14:paraId="1AB9FE1B">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jc w:val="left"/>
              <w:textAlignment w:val="auto"/>
              <w:rPr>
                <w:rFonts w:hint="eastAsia" w:ascii="仿宋_GB2312" w:hAnsi="仿宋_GB2312" w:eastAsia="仿宋_GB2312" w:cs="仿宋_GB2312"/>
                <w:b w:val="0"/>
                <w:bCs w:val="0"/>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lang w:val="en-US" w:eastAsia="zh-CN"/>
                <w14:textFill>
                  <w14:solidFill>
                    <w14:schemeClr w14:val="tx1"/>
                  </w14:solidFill>
                </w14:textFill>
              </w:rPr>
              <w:t>② 方案覆盖全部核心工序，施工组织流程基本清晰，工艺标准满足项目基础要求，得5分；</w:t>
            </w:r>
          </w:p>
          <w:p w14:paraId="26C6F38C">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jc w:val="left"/>
              <w:textAlignment w:val="auto"/>
              <w:rPr>
                <w:rFonts w:hint="eastAsia" w:ascii="仿宋_GB2312" w:hAnsi="仿宋_GB2312" w:eastAsia="仿宋_GB2312" w:cs="仿宋_GB2312"/>
                <w:b w:val="0"/>
                <w:bCs w:val="0"/>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lang w:val="en-US" w:eastAsia="zh-CN"/>
                <w14:textFill>
                  <w14:solidFill>
                    <w14:schemeClr w14:val="tx1"/>
                  </w14:solidFill>
                </w14:textFill>
              </w:rPr>
              <w:t>③ 方案仅覆盖部分核心工序，施工组织逻辑混乱，工艺标准描述简单、针对性不足，得2分；</w:t>
            </w:r>
          </w:p>
          <w:p w14:paraId="42FFC02F">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jc w:val="left"/>
              <w:textAlignment w:val="auto"/>
              <w:rPr>
                <w:rFonts w:hint="eastAsia" w:ascii="仿宋_GB2312" w:hAnsi="仿宋_GB2312" w:eastAsia="仿宋_GB2312" w:cs="仿宋_GB2312"/>
                <w:b w:val="0"/>
                <w:bCs w:val="0"/>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lang w:val="en-US" w:eastAsia="zh-CN"/>
                <w14:textFill>
                  <w14:solidFill>
                    <w14:schemeClr w14:val="tx1"/>
                  </w14:solidFill>
                </w14:textFill>
              </w:rPr>
              <w:t>④ 方案未提供施工组织及专项工艺说明，核心工序无明确技术标准，得0分。</w:t>
            </w:r>
          </w:p>
          <w:p w14:paraId="6DB8EE36">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jc w:val="left"/>
              <w:textAlignment w:val="auto"/>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（2）质量与工期保障措施（最高6分）</w:t>
            </w:r>
          </w:p>
          <w:p w14:paraId="3D3DD47B">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jc w:val="left"/>
              <w:textAlignment w:val="auto"/>
              <w:rPr>
                <w:rFonts w:hint="eastAsia" w:ascii="仿宋_GB2312" w:hAnsi="仿宋_GB2312" w:eastAsia="仿宋_GB2312" w:cs="仿宋_GB2312"/>
                <w:b w:val="0"/>
                <w:bCs w:val="0"/>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lang w:val="en-US" w:eastAsia="zh-CN"/>
                <w14:textFill>
                  <w14:solidFill>
                    <w14:schemeClr w14:val="tx1"/>
                  </w14:solidFill>
                </w14:textFill>
              </w:rPr>
              <w:t>① 材料进场验收、隐蔽工程验收、成品保护的质量管控体系完善；整体工期计划明确，各节点施工进度安排合理，赶工预案、交叉施工协调机制完整，得6分；</w:t>
            </w:r>
          </w:p>
          <w:p w14:paraId="1145E141">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jc w:val="left"/>
              <w:textAlignment w:val="auto"/>
              <w:rPr>
                <w:rFonts w:hint="eastAsia" w:ascii="仿宋_GB2312" w:hAnsi="仿宋_GB2312" w:eastAsia="仿宋_GB2312" w:cs="仿宋_GB2312"/>
                <w:b w:val="0"/>
                <w:bCs w:val="0"/>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lang w:val="en-US" w:eastAsia="zh-CN"/>
                <w14:textFill>
                  <w14:solidFill>
                    <w14:schemeClr w14:val="tx1"/>
                  </w14:solidFill>
                </w14:textFill>
              </w:rPr>
              <w:t>② 具备基础质量管控体系，工期计划完整、可满足项目整体工期要求，得3分；</w:t>
            </w:r>
          </w:p>
          <w:p w14:paraId="34EB26D2">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jc w:val="left"/>
              <w:textAlignment w:val="auto"/>
              <w:rPr>
                <w:rFonts w:hint="eastAsia" w:ascii="仿宋_GB2312" w:hAnsi="仿宋_GB2312" w:eastAsia="仿宋_GB2312" w:cs="仿宋_GB2312"/>
                <w:b w:val="0"/>
                <w:bCs w:val="0"/>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lang w:val="en-US" w:eastAsia="zh-CN"/>
                <w14:textFill>
                  <w14:solidFill>
                    <w14:schemeClr w14:val="tx1"/>
                  </w14:solidFill>
                </w14:textFill>
              </w:rPr>
              <w:t>③ 无明确质量管控措施，工期计划粗糙、节点划分模糊，无进度保障机制，得0分。</w:t>
            </w:r>
          </w:p>
          <w:p w14:paraId="5FAD95F2">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jc w:val="left"/>
              <w:textAlignment w:val="auto"/>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（3）安全文明与现场管理（最高6分）</w:t>
            </w:r>
          </w:p>
          <w:p w14:paraId="42B26247">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jc w:val="left"/>
              <w:textAlignment w:val="auto"/>
              <w:rPr>
                <w:rFonts w:hint="eastAsia" w:ascii="仿宋_GB2312" w:hAnsi="仿宋_GB2312" w:eastAsia="仿宋_GB2312" w:cs="仿宋_GB2312"/>
                <w:b w:val="0"/>
                <w:bCs w:val="0"/>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lang w:val="en-US" w:eastAsia="zh-CN"/>
                <w14:textFill>
                  <w14:solidFill>
                    <w14:schemeClr w14:val="tx1"/>
                  </w14:solidFill>
                </w14:textFill>
              </w:rPr>
              <w:t>① 方案包含完整的交通疏解、脚手架搭设、高空作业安全防护方案，安全文明施工措施符合市政项目要求；扬尘管控、渣土外运、周边环境协调的管理方案完善，完全符合罗湖片区施工管理规定，得6分；</w:t>
            </w:r>
          </w:p>
          <w:p w14:paraId="3662832A">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jc w:val="left"/>
              <w:textAlignment w:val="auto"/>
              <w:rPr>
                <w:rFonts w:hint="eastAsia" w:ascii="仿宋_GB2312" w:hAnsi="仿宋_GB2312" w:eastAsia="仿宋_GB2312" w:cs="仿宋_GB2312"/>
                <w:b w:val="0"/>
                <w:bCs w:val="0"/>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lang w:val="en-US" w:eastAsia="zh-CN"/>
                <w14:textFill>
                  <w14:solidFill>
                    <w14:schemeClr w14:val="tx1"/>
                  </w14:solidFill>
                </w14:textFill>
              </w:rPr>
              <w:t>② 具备基础安全文明施工方案，现场管理措施基本齐全，得3分；</w:t>
            </w:r>
          </w:p>
          <w:p w14:paraId="04A6258F">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jc w:val="left"/>
              <w:textAlignment w:val="auto"/>
              <w:rPr>
                <w:rFonts w:hint="eastAsia"/>
                <w:lang w:eastAsia="zh-CN"/>
              </w:rPr>
            </w:pPr>
            <w:r>
              <w:rPr>
                <w:rFonts w:hint="eastAsia" w:ascii="仿宋_GB2312" w:hAnsi="仿宋_GB2312" w:eastAsia="仿宋_GB2312" w:cs="仿宋_GB2312"/>
                <w:b w:val="0"/>
                <w:bCs w:val="0"/>
                <w:color w:val="000000" w:themeColor="text1"/>
                <w:lang w:val="en-US" w:eastAsia="zh-CN"/>
                <w14:textFill>
                  <w14:solidFill>
                    <w14:schemeClr w14:val="tx1"/>
                  </w14:solidFill>
                </w14:textFill>
              </w:rPr>
              <w:t>③ 无安全文明施工方案，未明确现场管理机制，存在重大安全隐患，得0分。</w:t>
            </w:r>
          </w:p>
        </w:tc>
      </w:tr>
      <w:tr w14:paraId="58CD6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0" w:type="dxa"/>
            <w:left w:w="108" w:type="dxa"/>
            <w:bottom w:w="20" w:type="dxa"/>
            <w:right w:w="108" w:type="dxa"/>
          </w:tblCellMar>
        </w:tblPrEx>
        <w:trPr>
          <w:jc w:val="center"/>
        </w:trPr>
        <w:tc>
          <w:tcPr>
            <w:tcW w:w="680" w:type="dxa"/>
            <w:vMerge w:val="restart"/>
            <w:shd w:val="clear" w:color="auto" w:fill="auto"/>
            <w:noWrap w:val="0"/>
            <w:vAlign w:val="center"/>
          </w:tcPr>
          <w:p w14:paraId="4C956BE2">
            <w:pPr>
              <w:widowControl w:val="0"/>
              <w:wordWrap w:val="0"/>
              <w:jc w:val="center"/>
              <w:rPr>
                <w:rFonts w:hint="default" w:ascii="宋体" w:hAnsi="宋体" w:eastAsia="宋体" w:cs="宋体"/>
                <w:b/>
                <w:bCs/>
                <w:color w:val="000000"/>
                <w:kern w:val="2"/>
                <w:sz w:val="21"/>
                <w:szCs w:val="21"/>
                <w:highlight w:val="none"/>
                <w:lang w:val="en-US" w:eastAsia="zh-CN"/>
              </w:rPr>
            </w:pPr>
            <w:r>
              <w:rPr>
                <w:rFonts w:hint="eastAsia" w:cs="宋体"/>
                <w:b/>
                <w:bCs/>
                <w:color w:val="000000"/>
                <w:kern w:val="2"/>
                <w:sz w:val="21"/>
                <w:szCs w:val="21"/>
                <w:highlight w:val="none"/>
                <w:lang w:val="en-US" w:eastAsia="zh-CN"/>
              </w:rPr>
              <w:t>3</w:t>
            </w:r>
          </w:p>
        </w:tc>
        <w:tc>
          <w:tcPr>
            <w:tcW w:w="2940" w:type="dxa"/>
            <w:gridSpan w:val="3"/>
            <w:shd w:val="clear" w:color="auto" w:fill="auto"/>
            <w:noWrap w:val="0"/>
            <w:vAlign w:val="top"/>
          </w:tcPr>
          <w:p w14:paraId="10B84AC5">
            <w:pPr>
              <w:widowControl w:val="0"/>
              <w:wordWrap w:val="0"/>
              <w:jc w:val="center"/>
              <w:rPr>
                <w:rFonts w:hint="eastAsia" w:ascii="宋体" w:hAnsi="宋体" w:eastAsia="宋体" w:cs="宋体"/>
                <w:b/>
                <w:bCs/>
                <w:color w:val="000000"/>
                <w:kern w:val="2"/>
                <w:sz w:val="21"/>
                <w:szCs w:val="21"/>
                <w:highlight w:val="none"/>
              </w:rPr>
            </w:pPr>
            <w:r>
              <w:rPr>
                <w:rFonts w:hint="eastAsia" w:cs="宋体"/>
                <w:b/>
                <w:bCs/>
                <w:color w:val="000000"/>
                <w:kern w:val="2"/>
                <w:sz w:val="21"/>
                <w:szCs w:val="21"/>
                <w:highlight w:val="none"/>
                <w:lang w:val="en-US" w:eastAsia="zh-CN"/>
              </w:rPr>
              <w:t>综合实力</w:t>
            </w:r>
            <w:bookmarkStart w:id="1" w:name="_GoBack"/>
            <w:bookmarkEnd w:id="1"/>
            <w:r>
              <w:rPr>
                <w:rFonts w:hint="eastAsia" w:ascii="宋体" w:hAnsi="宋体" w:eastAsia="宋体" w:cs="宋体"/>
                <w:b/>
                <w:bCs/>
                <w:color w:val="000000"/>
                <w:kern w:val="2"/>
                <w:sz w:val="21"/>
                <w:szCs w:val="21"/>
                <w:highlight w:val="none"/>
              </w:rPr>
              <w:t>部分</w:t>
            </w:r>
          </w:p>
        </w:tc>
        <w:tc>
          <w:tcPr>
            <w:tcW w:w="5849" w:type="dxa"/>
            <w:shd w:val="clear" w:color="auto" w:fill="auto"/>
            <w:noWrap w:val="0"/>
            <w:vAlign w:val="top"/>
          </w:tcPr>
          <w:p w14:paraId="5B2D3280">
            <w:pPr>
              <w:widowControl w:val="0"/>
              <w:wordWrap w:val="0"/>
              <w:jc w:val="center"/>
              <w:rPr>
                <w:rFonts w:hint="default" w:ascii="宋体" w:hAnsi="宋体" w:eastAsia="宋体" w:cs="宋体"/>
                <w:b/>
                <w:bCs/>
                <w:color w:val="000000"/>
                <w:kern w:val="2"/>
                <w:sz w:val="21"/>
                <w:szCs w:val="21"/>
                <w:highlight w:val="none"/>
                <w:lang w:val="en-US" w:eastAsia="zh-CN"/>
              </w:rPr>
            </w:pPr>
            <w:r>
              <w:rPr>
                <w:rFonts w:hint="eastAsia" w:ascii="宋体" w:hAnsi="宋体" w:eastAsia="宋体" w:cs="宋体"/>
                <w:b/>
                <w:bCs/>
                <w:color w:val="000000"/>
                <w:kern w:val="2"/>
                <w:sz w:val="21"/>
                <w:szCs w:val="21"/>
                <w:highlight w:val="none"/>
                <w:lang w:val="en-US" w:eastAsia="zh-CN"/>
              </w:rPr>
              <w:t>2</w:t>
            </w:r>
            <w:r>
              <w:rPr>
                <w:rFonts w:hint="eastAsia" w:cs="宋体"/>
                <w:b/>
                <w:bCs/>
                <w:color w:val="000000"/>
                <w:kern w:val="2"/>
                <w:sz w:val="21"/>
                <w:szCs w:val="21"/>
                <w:highlight w:val="none"/>
                <w:lang w:val="en-US" w:eastAsia="zh-CN"/>
              </w:rPr>
              <w:t>0</w:t>
            </w:r>
          </w:p>
        </w:tc>
      </w:tr>
      <w:tr w14:paraId="44DDF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0" w:type="dxa"/>
            <w:left w:w="108" w:type="dxa"/>
            <w:bottom w:w="20" w:type="dxa"/>
            <w:right w:w="108" w:type="dxa"/>
          </w:tblCellMar>
        </w:tblPrEx>
        <w:trPr>
          <w:jc w:val="center"/>
        </w:trPr>
        <w:tc>
          <w:tcPr>
            <w:tcW w:w="680" w:type="dxa"/>
            <w:vMerge w:val="continue"/>
            <w:shd w:val="clear" w:color="auto" w:fill="auto"/>
            <w:noWrap w:val="0"/>
            <w:vAlign w:val="center"/>
          </w:tcPr>
          <w:p w14:paraId="4FAC3D6B">
            <w:pPr>
              <w:widowControl w:val="0"/>
              <w:jc w:val="both"/>
              <w:rPr>
                <w:rFonts w:hint="eastAsia" w:ascii="宋体" w:hAnsi="宋体" w:eastAsia="宋体" w:cs="宋体"/>
                <w:b/>
                <w:bCs/>
                <w:color w:val="000000"/>
                <w:kern w:val="2"/>
                <w:sz w:val="21"/>
                <w:szCs w:val="21"/>
                <w:highlight w:val="none"/>
              </w:rPr>
            </w:pPr>
          </w:p>
        </w:tc>
        <w:tc>
          <w:tcPr>
            <w:tcW w:w="680" w:type="dxa"/>
            <w:shd w:val="clear" w:color="auto" w:fill="auto"/>
            <w:noWrap w:val="0"/>
            <w:vAlign w:val="center"/>
          </w:tcPr>
          <w:p w14:paraId="45882562">
            <w:pPr>
              <w:widowControl w:val="0"/>
              <w:wordWrap w:val="0"/>
              <w:jc w:val="center"/>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序号</w:t>
            </w:r>
          </w:p>
        </w:tc>
        <w:tc>
          <w:tcPr>
            <w:tcW w:w="1360" w:type="dxa"/>
            <w:shd w:val="clear" w:color="auto" w:fill="auto"/>
            <w:noWrap w:val="0"/>
            <w:vAlign w:val="center"/>
          </w:tcPr>
          <w:p w14:paraId="6980EC91">
            <w:pPr>
              <w:widowControl w:val="0"/>
              <w:wordWrap w:val="0"/>
              <w:jc w:val="center"/>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评分因素</w:t>
            </w:r>
          </w:p>
        </w:tc>
        <w:tc>
          <w:tcPr>
            <w:tcW w:w="900" w:type="dxa"/>
            <w:shd w:val="clear" w:color="auto" w:fill="auto"/>
            <w:noWrap w:val="0"/>
            <w:vAlign w:val="center"/>
          </w:tcPr>
          <w:p w14:paraId="6320295B">
            <w:pPr>
              <w:widowControl w:val="0"/>
              <w:wordWrap w:val="0"/>
              <w:jc w:val="center"/>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权重</w:t>
            </w:r>
          </w:p>
        </w:tc>
        <w:tc>
          <w:tcPr>
            <w:tcW w:w="5849" w:type="dxa"/>
            <w:shd w:val="clear" w:color="auto" w:fill="auto"/>
            <w:noWrap w:val="0"/>
            <w:vAlign w:val="center"/>
          </w:tcPr>
          <w:p w14:paraId="16D82151">
            <w:pPr>
              <w:widowControl w:val="0"/>
              <w:wordWrap w:val="0"/>
              <w:jc w:val="center"/>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评分准则</w:t>
            </w:r>
          </w:p>
        </w:tc>
      </w:tr>
      <w:tr w14:paraId="28242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0" w:type="dxa"/>
            <w:left w:w="108" w:type="dxa"/>
            <w:bottom w:w="20" w:type="dxa"/>
            <w:right w:w="108" w:type="dxa"/>
          </w:tblCellMar>
        </w:tblPrEx>
        <w:trPr>
          <w:jc w:val="center"/>
        </w:trPr>
        <w:tc>
          <w:tcPr>
            <w:tcW w:w="680" w:type="dxa"/>
            <w:vMerge w:val="continue"/>
            <w:shd w:val="clear" w:color="auto" w:fill="auto"/>
            <w:noWrap w:val="0"/>
            <w:vAlign w:val="center"/>
          </w:tcPr>
          <w:p w14:paraId="62F47FB9">
            <w:pPr>
              <w:widowControl w:val="0"/>
              <w:jc w:val="both"/>
              <w:rPr>
                <w:rFonts w:hint="eastAsia" w:ascii="宋体" w:hAnsi="宋体" w:eastAsia="宋体" w:cs="宋体"/>
                <w:b/>
                <w:bCs/>
                <w:color w:val="000000"/>
                <w:kern w:val="2"/>
                <w:sz w:val="21"/>
                <w:szCs w:val="21"/>
                <w:highlight w:val="none"/>
              </w:rPr>
            </w:pPr>
          </w:p>
        </w:tc>
        <w:tc>
          <w:tcPr>
            <w:tcW w:w="680" w:type="dxa"/>
            <w:shd w:val="clear" w:color="auto" w:fill="auto"/>
            <w:noWrap w:val="0"/>
            <w:vAlign w:val="center"/>
          </w:tcPr>
          <w:p w14:paraId="3C585BEF">
            <w:pPr>
              <w:widowControl w:val="0"/>
              <w:wordWrap w:val="0"/>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w:t>
            </w:r>
          </w:p>
        </w:tc>
        <w:tc>
          <w:tcPr>
            <w:tcW w:w="1360" w:type="dxa"/>
            <w:shd w:val="clear" w:color="auto" w:fill="auto"/>
            <w:noWrap w:val="0"/>
            <w:vAlign w:val="center"/>
          </w:tcPr>
          <w:p w14:paraId="7A07AD91">
            <w:pPr>
              <w:widowControl/>
              <w:wordWrap/>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0"/>
                <w:sz w:val="21"/>
                <w:szCs w:val="21"/>
                <w:highlight w:val="none"/>
                <w:lang w:val="en-US" w:eastAsia="zh-CN" w:bidi="ar"/>
              </w:rPr>
              <w:t>同类业绩</w:t>
            </w:r>
          </w:p>
        </w:tc>
        <w:tc>
          <w:tcPr>
            <w:tcW w:w="900" w:type="dxa"/>
            <w:shd w:val="clear" w:color="auto" w:fill="auto"/>
            <w:noWrap w:val="0"/>
            <w:vAlign w:val="center"/>
          </w:tcPr>
          <w:p w14:paraId="0F54B424">
            <w:pPr>
              <w:keepNext w:val="0"/>
              <w:keepLines w:val="0"/>
              <w:widowControl/>
              <w:suppressLineNumbers w:val="0"/>
              <w:jc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10</w:t>
            </w:r>
          </w:p>
        </w:tc>
        <w:tc>
          <w:tcPr>
            <w:tcW w:w="5849" w:type="dxa"/>
            <w:shd w:val="clear" w:color="auto" w:fill="auto"/>
            <w:noWrap w:val="0"/>
            <w:vAlign w:val="top"/>
          </w:tcPr>
          <w:p w14:paraId="6C672B04">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（一）评审内容</w:t>
            </w:r>
          </w:p>
          <w:p w14:paraId="70F30BD5">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b w:val="0"/>
                <w:bCs w:val="0"/>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lang w:val="en-US" w:eastAsia="zh-CN"/>
                <w14:textFill>
                  <w14:solidFill>
                    <w14:schemeClr w14:val="tx1"/>
                  </w14:solidFill>
                </w14:textFill>
              </w:rPr>
              <w:t>本项满分10分，主要针对投标单位近5年承接的城市门户景观提升、片区风貌营造、标识景观一体化类同类项目业绩进行综合评审，依据业绩数量、项目匹配度、证明材料完整性进行梯度打分。</w:t>
            </w:r>
          </w:p>
          <w:p w14:paraId="2C809B08">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（二）评审标准</w:t>
            </w:r>
          </w:p>
          <w:p w14:paraId="76823603">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b w:val="0"/>
                <w:bCs w:val="0"/>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lang w:val="en-US" w:eastAsia="zh-CN"/>
                <w14:textFill>
                  <w14:solidFill>
                    <w14:schemeClr w14:val="tx1"/>
                  </w14:solidFill>
                </w14:textFill>
              </w:rPr>
              <w:t>① 提供近5年4项及以上同类项目业绩，全部项目均包含景观设计+施工一体化内容，业绩合同关键页（服务内容、签字盖章页）齐全，可完全佐证项目真实性，得10分；</w:t>
            </w:r>
          </w:p>
          <w:p w14:paraId="30974332">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b w:val="0"/>
                <w:bCs w:val="0"/>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lang w:val="en-US" w:eastAsia="zh-CN"/>
                <w14:textFill>
                  <w14:solidFill>
                    <w14:schemeClr w14:val="tx1"/>
                  </w14:solidFill>
                </w14:textFill>
              </w:rPr>
              <w:t>② 提供近5年2-3项同类项目业绩，证明材料齐全，得6分；</w:t>
            </w:r>
          </w:p>
          <w:p w14:paraId="57A50DD3">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b w:val="0"/>
                <w:bCs w:val="0"/>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lang w:val="en-US" w:eastAsia="zh-CN"/>
                <w14:textFill>
                  <w14:solidFill>
                    <w14:schemeClr w14:val="tx1"/>
                  </w14:solidFill>
                </w14:textFill>
              </w:rPr>
              <w:t>③ 提供近5年1项同类项目业绩，证明材料齐全，得3分；</w:t>
            </w:r>
          </w:p>
          <w:p w14:paraId="42877C43">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color w:val="000000"/>
                <w:kern w:val="0"/>
                <w:sz w:val="21"/>
                <w:szCs w:val="21"/>
                <w:highlight w:val="none"/>
                <w:lang w:val="en-US" w:eastAsia="zh-CN" w:bidi="ar"/>
              </w:rPr>
            </w:pPr>
            <w:r>
              <w:rPr>
                <w:rFonts w:hint="eastAsia" w:ascii="仿宋_GB2312" w:hAnsi="仿宋_GB2312" w:eastAsia="仿宋_GB2312" w:cs="仿宋_GB2312"/>
                <w:b w:val="0"/>
                <w:bCs w:val="0"/>
                <w:color w:val="000000" w:themeColor="text1"/>
                <w:lang w:val="en-US" w:eastAsia="zh-CN"/>
                <w14:textFill>
                  <w14:solidFill>
                    <w14:schemeClr w14:val="tx1"/>
                  </w14:solidFill>
                </w14:textFill>
              </w:rPr>
              <w:t>④ 未提供同类项目业绩，或业绩证明材料无效、无法佐证项目真实性，得0分。</w:t>
            </w:r>
          </w:p>
        </w:tc>
      </w:tr>
      <w:tr w14:paraId="6117A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0" w:type="dxa"/>
            <w:left w:w="108" w:type="dxa"/>
            <w:bottom w:w="20" w:type="dxa"/>
            <w:right w:w="108" w:type="dxa"/>
          </w:tblCellMar>
        </w:tblPrEx>
        <w:trPr>
          <w:jc w:val="center"/>
        </w:trPr>
        <w:tc>
          <w:tcPr>
            <w:tcW w:w="680" w:type="dxa"/>
            <w:vMerge w:val="continue"/>
            <w:shd w:val="clear" w:color="auto" w:fill="auto"/>
            <w:noWrap w:val="0"/>
            <w:vAlign w:val="center"/>
          </w:tcPr>
          <w:p w14:paraId="44691EB0">
            <w:pPr>
              <w:widowControl w:val="0"/>
              <w:jc w:val="both"/>
              <w:rPr>
                <w:rFonts w:hint="eastAsia" w:ascii="宋体" w:hAnsi="宋体" w:eastAsia="宋体" w:cs="宋体"/>
                <w:b/>
                <w:bCs/>
                <w:color w:val="000000"/>
                <w:kern w:val="2"/>
                <w:sz w:val="21"/>
                <w:szCs w:val="21"/>
                <w:highlight w:val="none"/>
              </w:rPr>
            </w:pPr>
          </w:p>
        </w:tc>
        <w:tc>
          <w:tcPr>
            <w:tcW w:w="680" w:type="dxa"/>
            <w:shd w:val="clear" w:color="auto" w:fill="auto"/>
            <w:noWrap w:val="0"/>
            <w:vAlign w:val="center"/>
          </w:tcPr>
          <w:p w14:paraId="31D816DE">
            <w:pPr>
              <w:widowControl w:val="0"/>
              <w:wordWrap w:val="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2</w:t>
            </w:r>
          </w:p>
        </w:tc>
        <w:tc>
          <w:tcPr>
            <w:tcW w:w="1360" w:type="dxa"/>
            <w:shd w:val="clear" w:color="auto" w:fill="auto"/>
            <w:noWrap w:val="0"/>
            <w:vAlign w:val="center"/>
          </w:tcPr>
          <w:p w14:paraId="2D72C237">
            <w:pPr>
              <w:widowControl w:val="0"/>
              <w:wordWrap w:val="0"/>
              <w:jc w:val="center"/>
              <w:rPr>
                <w:rFonts w:hint="eastAsia" w:ascii="宋体" w:hAnsi="宋体" w:eastAsia="宋体" w:cs="宋体"/>
                <w:color w:val="000000"/>
                <w:kern w:val="2"/>
                <w:sz w:val="21"/>
                <w:szCs w:val="21"/>
                <w:highlight w:val="none"/>
                <w:lang w:val="en-US" w:eastAsia="zh-CN" w:bidi="ar-SA"/>
              </w:rPr>
            </w:pPr>
            <w:r>
              <w:rPr>
                <w:rFonts w:hint="eastAsia" w:cs="宋体"/>
                <w:color w:val="000000"/>
                <w:kern w:val="2"/>
                <w:sz w:val="21"/>
                <w:szCs w:val="21"/>
                <w:highlight w:val="none"/>
                <w:lang w:val="en-US" w:eastAsia="zh-CN" w:bidi="ar-SA"/>
              </w:rPr>
              <w:t>拟派团队人员专业资质</w:t>
            </w:r>
          </w:p>
        </w:tc>
        <w:tc>
          <w:tcPr>
            <w:tcW w:w="900" w:type="dxa"/>
            <w:shd w:val="clear" w:color="auto" w:fill="auto"/>
            <w:noWrap w:val="0"/>
            <w:vAlign w:val="center"/>
          </w:tcPr>
          <w:p w14:paraId="152E4DA9">
            <w:pPr>
              <w:widowControl w:val="0"/>
              <w:wordWrap w:val="0"/>
              <w:jc w:val="center"/>
              <w:rPr>
                <w:rFonts w:hint="default" w:ascii="宋体" w:hAnsi="宋体" w:eastAsia="宋体" w:cs="宋体"/>
                <w:color w:val="000000"/>
                <w:kern w:val="2"/>
                <w:sz w:val="21"/>
                <w:szCs w:val="21"/>
                <w:highlight w:val="yellow"/>
                <w:lang w:val="en-US" w:eastAsia="zh-CN" w:bidi="ar-SA"/>
              </w:rPr>
            </w:pPr>
            <w:r>
              <w:rPr>
                <w:rFonts w:hint="eastAsia" w:cs="宋体"/>
                <w:color w:val="000000"/>
                <w:kern w:val="0"/>
                <w:sz w:val="21"/>
                <w:szCs w:val="21"/>
                <w:highlight w:val="none"/>
                <w:lang w:val="en-US" w:eastAsia="zh-CN" w:bidi="ar"/>
              </w:rPr>
              <w:t>6</w:t>
            </w:r>
          </w:p>
        </w:tc>
        <w:tc>
          <w:tcPr>
            <w:tcW w:w="5849" w:type="dxa"/>
            <w:shd w:val="clear" w:color="auto" w:fill="auto"/>
            <w:noWrap w:val="0"/>
            <w:vAlign w:val="top"/>
          </w:tcPr>
          <w:p w14:paraId="6AF33239">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（一）评审内容：</w:t>
            </w:r>
          </w:p>
          <w:p w14:paraId="2F0CFB9A">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本项满分6分，主要针对本项目拟派核心团队（项目负责人、设计负责人、施工负责人）的专业职称、从业年限、同类项目任职经历进行综合评审，依据人员资质匹配度、证明材料完整性进行梯度打分。</w:t>
            </w:r>
          </w:p>
          <w:p w14:paraId="5B430E7C">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（二）评审标准：</w:t>
            </w:r>
          </w:p>
          <w:p w14:paraId="2721E991">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① 项目负责人具备市政 / 景观类高级工程师职称，且有5年以上同类城市风貌提升项目管理经验；设计负责人、施工负责人均具备对应专业中级及以上职称，3年以上同类岗位经验；全部人员均提供社保证明、职称证书、过往任职业绩佐证，得6分；</w:t>
            </w:r>
          </w:p>
          <w:p w14:paraId="7D7A0237">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② 项目负责人具备中级工程师职称，3年以上同类项目管理经验；核心岗位人员资质基本齐全，证明材料完整，3分；</w:t>
            </w:r>
          </w:p>
          <w:p w14:paraId="4A0DA3D9">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color w:val="000000"/>
                <w:kern w:val="2"/>
                <w:sz w:val="21"/>
                <w:szCs w:val="21"/>
                <w:highlight w:val="none"/>
                <w:lang w:val="en-US" w:eastAsia="zh-CN" w:bidi="ar-SA"/>
              </w:rPr>
            </w:pPr>
            <w:r>
              <w:rPr>
                <w:rFonts w:hint="eastAsia" w:ascii="仿宋_GB2312" w:hAnsi="仿宋_GB2312" w:eastAsia="仿宋_GB2312" w:cs="仿宋_GB2312"/>
                <w:color w:val="000000" w:themeColor="text1"/>
                <w:lang w:val="en-US" w:eastAsia="zh-CN"/>
                <w14:textFill>
                  <w14:solidFill>
                    <w14:schemeClr w14:val="tx1"/>
                  </w14:solidFill>
                </w14:textFill>
              </w:rPr>
              <w:t>③ 核心人员资质不满足要求，或未提供职称、社保、业绩等佐证材料，得0分。</w:t>
            </w:r>
          </w:p>
        </w:tc>
      </w:tr>
      <w:tr w14:paraId="42BA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0" w:type="dxa"/>
            <w:left w:w="108" w:type="dxa"/>
            <w:bottom w:w="20" w:type="dxa"/>
            <w:right w:w="108" w:type="dxa"/>
          </w:tblCellMar>
        </w:tblPrEx>
        <w:trPr>
          <w:jc w:val="center"/>
        </w:trPr>
        <w:tc>
          <w:tcPr>
            <w:tcW w:w="680" w:type="dxa"/>
            <w:vMerge w:val="continue"/>
            <w:shd w:val="clear" w:color="auto" w:fill="auto"/>
            <w:noWrap w:val="0"/>
            <w:vAlign w:val="center"/>
          </w:tcPr>
          <w:p w14:paraId="5D80C65E">
            <w:pPr>
              <w:widowControl w:val="0"/>
              <w:jc w:val="both"/>
              <w:rPr>
                <w:rFonts w:hint="eastAsia" w:ascii="宋体" w:hAnsi="宋体" w:eastAsia="宋体" w:cs="宋体"/>
                <w:b/>
                <w:bCs/>
                <w:color w:val="000000"/>
                <w:kern w:val="2"/>
                <w:sz w:val="21"/>
                <w:szCs w:val="21"/>
                <w:highlight w:val="none"/>
              </w:rPr>
            </w:pPr>
          </w:p>
        </w:tc>
        <w:tc>
          <w:tcPr>
            <w:tcW w:w="680" w:type="dxa"/>
            <w:shd w:val="clear" w:color="auto" w:fill="auto"/>
            <w:noWrap w:val="0"/>
            <w:vAlign w:val="center"/>
          </w:tcPr>
          <w:p w14:paraId="2820DA80">
            <w:pPr>
              <w:widowControl w:val="0"/>
              <w:wordWrap w:val="0"/>
              <w:jc w:val="center"/>
              <w:rPr>
                <w:rFonts w:hint="default"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3</w:t>
            </w:r>
          </w:p>
        </w:tc>
        <w:tc>
          <w:tcPr>
            <w:tcW w:w="1360" w:type="dxa"/>
            <w:shd w:val="clear" w:color="auto" w:fill="auto"/>
            <w:noWrap w:val="0"/>
            <w:vAlign w:val="center"/>
          </w:tcPr>
          <w:p w14:paraId="02BCA50F">
            <w:pPr>
              <w:keepNext w:val="0"/>
              <w:keepLines w:val="0"/>
              <w:widowControl/>
              <w:suppressLineNumbers w:val="0"/>
              <w:jc w:val="center"/>
              <w:rPr>
                <w:rFonts w:hint="default" w:ascii="宋体" w:hAnsi="宋体" w:eastAsia="宋体" w:cs="宋体"/>
                <w:color w:val="000000"/>
                <w:kern w:val="2"/>
                <w:sz w:val="21"/>
                <w:szCs w:val="21"/>
                <w:highlight w:val="none"/>
                <w:lang w:val="en-US" w:eastAsia="zh-CN" w:bidi="ar-SA"/>
              </w:rPr>
            </w:pPr>
            <w:r>
              <w:rPr>
                <w:rFonts w:hint="eastAsia" w:cs="宋体"/>
                <w:color w:val="000000"/>
                <w:kern w:val="2"/>
                <w:sz w:val="21"/>
                <w:szCs w:val="21"/>
                <w:highlight w:val="none"/>
                <w:lang w:val="en-US" w:eastAsia="zh-CN" w:bidi="ar-SA"/>
              </w:rPr>
              <w:t>履约质效情况</w:t>
            </w:r>
          </w:p>
        </w:tc>
        <w:tc>
          <w:tcPr>
            <w:tcW w:w="900" w:type="dxa"/>
            <w:shd w:val="clear" w:color="auto" w:fill="auto"/>
            <w:noWrap w:val="0"/>
            <w:vAlign w:val="center"/>
          </w:tcPr>
          <w:p w14:paraId="1DBBF06A">
            <w:pPr>
              <w:widowControl w:val="0"/>
              <w:wordWrap w:val="0"/>
              <w:jc w:val="center"/>
              <w:rPr>
                <w:rFonts w:hint="eastAsia" w:ascii="宋体" w:hAnsi="宋体" w:eastAsia="宋体" w:cs="宋体"/>
                <w:color w:val="000000"/>
                <w:kern w:val="2"/>
                <w:sz w:val="21"/>
                <w:szCs w:val="21"/>
                <w:highlight w:val="yellow"/>
                <w:lang w:val="en-US" w:eastAsia="zh-CN" w:bidi="ar-SA"/>
              </w:rPr>
            </w:pPr>
            <w:r>
              <w:rPr>
                <w:rFonts w:hint="eastAsia" w:cs="宋体"/>
                <w:color w:val="000000"/>
                <w:kern w:val="2"/>
                <w:sz w:val="21"/>
                <w:szCs w:val="21"/>
                <w:highlight w:val="none"/>
                <w:lang w:val="en-US" w:eastAsia="zh-CN" w:bidi="ar-SA"/>
              </w:rPr>
              <w:t>4</w:t>
            </w:r>
          </w:p>
        </w:tc>
        <w:tc>
          <w:tcPr>
            <w:tcW w:w="5849" w:type="dxa"/>
            <w:shd w:val="clear" w:color="auto" w:fill="auto"/>
            <w:noWrap w:val="0"/>
            <w:vAlign w:val="top"/>
          </w:tcPr>
          <w:p w14:paraId="50D4CB3E">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 xml:space="preserve">（一）评审内容： </w:t>
            </w:r>
          </w:p>
          <w:p w14:paraId="79D016CE">
            <w:pPr>
              <w:widowControl/>
              <w:numPr>
                <w:ilvl w:val="0"/>
                <w:numId w:val="0"/>
              </w:numPr>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本项满分4分，主要针对投标单位过往项目履约情况、业主评价、行业信誉、无不良履约记录情况进行综合评审，依据履约评价完整性、信誉情况进行梯度打分。</w:t>
            </w:r>
          </w:p>
          <w:p w14:paraId="150E8AA7">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（二）评审标准：</w:t>
            </w:r>
          </w:p>
          <w:p w14:paraId="04F317CB">
            <w:pPr>
              <w:widowControl/>
              <w:numPr>
                <w:ilvl w:val="0"/>
                <w:numId w:val="0"/>
              </w:numPr>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① 提供近3年3份及以上同类项目的业主履约好评证明，近3年无政府采购、工程建设领域不良履约记录、失信记录，得4分；</w:t>
            </w:r>
          </w:p>
          <w:p w14:paraId="3B63D09B">
            <w:pPr>
              <w:widowControl/>
              <w:numPr>
                <w:ilvl w:val="0"/>
                <w:numId w:val="0"/>
              </w:numPr>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② 提供近3年1-2份同类项目业主履约评价证明，近3年无不良履约记录，得2分；</w:t>
            </w:r>
          </w:p>
          <w:p w14:paraId="4D1D82F5">
            <w:pPr>
              <w:widowControl/>
              <w:numPr>
                <w:ilvl w:val="0"/>
                <w:numId w:val="0"/>
              </w:numPr>
              <w:rPr>
                <w:rFonts w:hint="eastAsia"/>
                <w:lang w:val="en-US" w:eastAsia="zh-CN"/>
              </w:rPr>
            </w:pPr>
            <w:r>
              <w:rPr>
                <w:rFonts w:hint="eastAsia" w:ascii="仿宋_GB2312" w:hAnsi="仿宋_GB2312" w:eastAsia="仿宋_GB2312" w:cs="仿宋_GB2312"/>
                <w:color w:val="000000" w:themeColor="text1"/>
                <w:lang w:val="en-US" w:eastAsia="zh-CN"/>
                <w14:textFill>
                  <w14:solidFill>
                    <w14:schemeClr w14:val="tx1"/>
                  </w14:solidFill>
                </w14:textFill>
              </w:rPr>
              <w:t>③ 未提供任何履约评价证明，或近3年存在不良履约、失信记录，得0分。</w:t>
            </w:r>
          </w:p>
        </w:tc>
      </w:tr>
    </w:tbl>
    <w:p w14:paraId="1802AD38">
      <w:pP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br w:type="page"/>
      </w:r>
    </w:p>
    <w:p w14:paraId="5E938C6E">
      <w:pPr>
        <w:pStyle w:val="18"/>
        <w:keepNext w:val="0"/>
        <w:keepLines w:val="0"/>
        <w:pageBreakBefore w:val="0"/>
        <w:widowControl w:val="0"/>
        <w:tabs>
          <w:tab w:val="left" w:pos="2138"/>
        </w:tabs>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备注：</w:t>
      </w:r>
    </w:p>
    <w:p w14:paraId="0C40F5E4">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1.每一项的得分均不能超过该项最高分值。</w:t>
      </w:r>
    </w:p>
    <w:p w14:paraId="0D475820">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2.缺项则该项为0分或不合格为0分。</w:t>
      </w:r>
    </w:p>
    <w:p w14:paraId="2ABC9F40">
      <w:pPr>
        <w:pStyle w:val="18"/>
        <w:spacing w:after="0" w:line="560" w:lineRule="exact"/>
        <w:ind w:firstLine="640" w:firstLineChars="200"/>
        <w:rPr>
          <w:rFonts w:hint="eastAsia" w:ascii="宋体" w:hAnsi="宋体" w:eastAsia="宋体" w:cs="宋体"/>
          <w:color w:val="000000"/>
          <w:sz w:val="21"/>
          <w:szCs w:val="21"/>
          <w:highlight w:val="none"/>
          <w:lang w:val="en-US" w:eastAsia="zh-CN" w:bidi="ar-SA"/>
        </w:rPr>
      </w:pPr>
      <w:r>
        <w:rPr>
          <w:rFonts w:hint="eastAsia" w:ascii="仿宋_GB2312" w:hAnsi="仿宋_GB2312" w:eastAsia="仿宋_GB2312" w:cs="仿宋_GB2312"/>
          <w:color w:val="000000" w:themeColor="text1"/>
          <w:sz w:val="32"/>
          <w:szCs w:val="32"/>
          <w14:textFill>
            <w14:solidFill>
              <w14:schemeClr w14:val="tx1"/>
            </w14:solidFill>
          </w14:textFill>
        </w:rPr>
        <w:t>3.客观评分项，所有评审专家应当统一打分分值；主观评分项，评标小组应当按照打分标准进行评分。</w:t>
      </w:r>
    </w:p>
    <w:sectPr>
      <w:headerReference r:id="rId4" w:type="default"/>
      <w:footerReference r:id="rId5" w:type="default"/>
      <w:pgSz w:w="12240" w:h="15840"/>
      <w:pgMar w:top="1400" w:right="1680" w:bottom="1120" w:left="1700" w:header="0" w:footer="92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80AAE">
    <w:pPr>
      <w:pStyle w:val="26"/>
      <w:jc w:val="center"/>
    </w:pPr>
    <w:r>
      <w:fldChar w:fldCharType="begin"/>
    </w:r>
    <w:r>
      <w:instrText xml:space="preserve">PAGE   \* MERGEFORMAT</w:instrText>
    </w:r>
    <w:r>
      <w:fldChar w:fldCharType="separate"/>
    </w:r>
    <w:r>
      <w:rPr>
        <w:lang w:val="zh-CN" w:eastAsia="zh-CN"/>
      </w:rPr>
      <w:t>11</w:t>
    </w:r>
    <w:r>
      <w:rPr>
        <w:lang w:val="zh-CN" w:eastAsia="zh-CN"/>
      </w:rPr>
      <w:fldChar w:fldCharType="end"/>
    </w:r>
  </w:p>
  <w:p w14:paraId="70EBEAB8">
    <w:pPr>
      <w:pStyle w:val="18"/>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5ACCD">
    <w:pPr>
      <w:jc w:val="center"/>
    </w:pPr>
    <w:r>
      <w:fldChar w:fldCharType="begin"/>
    </w:r>
    <w:r>
      <w:instrText xml:space="preserve"> PAGE   \* MERGEFORMAT </w:instrText>
    </w:r>
    <w:r>
      <w:fldChar w:fldCharType="separate"/>
    </w:r>
    <w:r>
      <w:t>30</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45545">
    <w:pPr>
      <w:pStyle w:val="2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1"/>
    <w:multiLevelType w:val="singleLevel"/>
    <w:tmpl w:val="FFFFFF81"/>
    <w:lvl w:ilvl="0" w:tentative="0">
      <w:start w:val="1"/>
      <w:numFmt w:val="bullet"/>
      <w:pStyle w:val="13"/>
      <w:lvlText w:val=""/>
      <w:lvlJc w:val="left"/>
      <w:pPr>
        <w:tabs>
          <w:tab w:val="left" w:pos="1620"/>
        </w:tabs>
        <w:ind w:left="1620" w:hanging="360"/>
      </w:pPr>
      <w:rPr>
        <w:rFonts w:hint="default" w:ascii="Wingdings" w:hAnsi="Wingdings"/>
      </w:rPr>
    </w:lvl>
  </w:abstractNum>
  <w:abstractNum w:abstractNumId="1">
    <w:nsid w:val="43C650FB"/>
    <w:multiLevelType w:val="multilevel"/>
    <w:tmpl w:val="43C650FB"/>
    <w:lvl w:ilvl="0" w:tentative="0">
      <w:start w:val="1"/>
      <w:numFmt w:val="chineseCountingThousand"/>
      <w:pStyle w:val="195"/>
      <w:lvlText w:val="第%1条"/>
      <w:lvlJc w:val="left"/>
      <w:pPr>
        <w:tabs>
          <w:tab w:val="left" w:pos="851"/>
        </w:tabs>
        <w:ind w:left="851" w:hanging="851"/>
      </w:pPr>
      <w:rPr>
        <w:rFonts w:hint="eastAsia"/>
        <w:b/>
        <w:bCs/>
      </w:rPr>
    </w:lvl>
    <w:lvl w:ilvl="1" w:tentative="0">
      <w:start w:val="1"/>
      <w:numFmt w:val="decimal"/>
      <w:isLgl/>
      <w:lvlText w:val="%1.%2"/>
      <w:lvlJc w:val="left"/>
      <w:pPr>
        <w:tabs>
          <w:tab w:val="left" w:pos="851"/>
        </w:tabs>
        <w:ind w:left="851" w:hanging="851"/>
      </w:pPr>
      <w:rPr>
        <w:rFonts w:hint="eastAsia"/>
      </w:rPr>
    </w:lvl>
    <w:lvl w:ilvl="2" w:tentative="0">
      <w:start w:val="1"/>
      <w:numFmt w:val="decimal"/>
      <w:isLgl/>
      <w:lvlText w:val="%1.%2.%3"/>
      <w:lvlJc w:val="left"/>
      <w:pPr>
        <w:tabs>
          <w:tab w:val="left" w:pos="1985"/>
        </w:tabs>
        <w:ind w:left="1985" w:hanging="1134"/>
      </w:pPr>
      <w:rPr>
        <w:rFonts w:hint="eastAsia"/>
      </w:rPr>
    </w:lvl>
    <w:lvl w:ilvl="3" w:tentative="0">
      <w:start w:val="1"/>
      <w:numFmt w:val="decimal"/>
      <w:lvlText w:val="(%4)"/>
      <w:lvlJc w:val="left"/>
      <w:pPr>
        <w:tabs>
          <w:tab w:val="left" w:pos="992"/>
        </w:tabs>
        <w:ind w:left="992" w:hanging="567"/>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60153F4B"/>
    <w:multiLevelType w:val="multilevel"/>
    <w:tmpl w:val="60153F4B"/>
    <w:lvl w:ilvl="0" w:tentative="0">
      <w:start w:val="1"/>
      <w:numFmt w:val="chineseCountingThousand"/>
      <w:pStyle w:val="190"/>
      <w:lvlText w:val="第%1条"/>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hideSpellingErrors/>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ZlMmJmMzNiZjVkNWVkODZhMzAwZjgwY2ZjOTllM2YifQ=="/>
    <w:docVar w:name="KSO_WPS_MARK_KEY" w:val="4adcd62b-8ea2-477b-a078-e44e7498fd1e"/>
  </w:docVars>
  <w:rsids>
    <w:rsidRoot w:val="00367BAC"/>
    <w:rsid w:val="000003A9"/>
    <w:rsid w:val="0000298D"/>
    <w:rsid w:val="00002FC5"/>
    <w:rsid w:val="00003929"/>
    <w:rsid w:val="00004D3C"/>
    <w:rsid w:val="00004DCD"/>
    <w:rsid w:val="00005222"/>
    <w:rsid w:val="00005928"/>
    <w:rsid w:val="0000635F"/>
    <w:rsid w:val="0000639A"/>
    <w:rsid w:val="00010D54"/>
    <w:rsid w:val="00011396"/>
    <w:rsid w:val="00012A15"/>
    <w:rsid w:val="00013F59"/>
    <w:rsid w:val="00015C44"/>
    <w:rsid w:val="00015C98"/>
    <w:rsid w:val="00016583"/>
    <w:rsid w:val="000175DF"/>
    <w:rsid w:val="00017793"/>
    <w:rsid w:val="00017BA5"/>
    <w:rsid w:val="00020C6A"/>
    <w:rsid w:val="00024B0E"/>
    <w:rsid w:val="0002532E"/>
    <w:rsid w:val="00025A18"/>
    <w:rsid w:val="00031624"/>
    <w:rsid w:val="000317E4"/>
    <w:rsid w:val="000324E5"/>
    <w:rsid w:val="00033067"/>
    <w:rsid w:val="00033D8A"/>
    <w:rsid w:val="0003401F"/>
    <w:rsid w:val="0004188E"/>
    <w:rsid w:val="000432D3"/>
    <w:rsid w:val="00043303"/>
    <w:rsid w:val="00043709"/>
    <w:rsid w:val="00045127"/>
    <w:rsid w:val="000473C2"/>
    <w:rsid w:val="0004775D"/>
    <w:rsid w:val="000508BC"/>
    <w:rsid w:val="00051A15"/>
    <w:rsid w:val="00051CC7"/>
    <w:rsid w:val="00054BE3"/>
    <w:rsid w:val="00055260"/>
    <w:rsid w:val="0005782C"/>
    <w:rsid w:val="00057B21"/>
    <w:rsid w:val="00057EC4"/>
    <w:rsid w:val="00065FF7"/>
    <w:rsid w:val="000667C1"/>
    <w:rsid w:val="00067C7B"/>
    <w:rsid w:val="00070005"/>
    <w:rsid w:val="00071B81"/>
    <w:rsid w:val="00072384"/>
    <w:rsid w:val="00072719"/>
    <w:rsid w:val="00073DD1"/>
    <w:rsid w:val="000779E9"/>
    <w:rsid w:val="00077C1C"/>
    <w:rsid w:val="000829E9"/>
    <w:rsid w:val="0008470F"/>
    <w:rsid w:val="0008580B"/>
    <w:rsid w:val="00087061"/>
    <w:rsid w:val="000877B7"/>
    <w:rsid w:val="00090AC8"/>
    <w:rsid w:val="00096380"/>
    <w:rsid w:val="00096703"/>
    <w:rsid w:val="000A07B0"/>
    <w:rsid w:val="000A43FD"/>
    <w:rsid w:val="000A440F"/>
    <w:rsid w:val="000A4993"/>
    <w:rsid w:val="000A5AF3"/>
    <w:rsid w:val="000A6F65"/>
    <w:rsid w:val="000B282C"/>
    <w:rsid w:val="000B4181"/>
    <w:rsid w:val="000B42CA"/>
    <w:rsid w:val="000B59A9"/>
    <w:rsid w:val="000B6E2B"/>
    <w:rsid w:val="000B7A57"/>
    <w:rsid w:val="000B7C3E"/>
    <w:rsid w:val="000C1F27"/>
    <w:rsid w:val="000C2261"/>
    <w:rsid w:val="000C3CF6"/>
    <w:rsid w:val="000C664D"/>
    <w:rsid w:val="000D037B"/>
    <w:rsid w:val="000D0814"/>
    <w:rsid w:val="000D08FE"/>
    <w:rsid w:val="000D0E49"/>
    <w:rsid w:val="000D113F"/>
    <w:rsid w:val="000D1D39"/>
    <w:rsid w:val="000D1F30"/>
    <w:rsid w:val="000D2C49"/>
    <w:rsid w:val="000D5365"/>
    <w:rsid w:val="000E1AA9"/>
    <w:rsid w:val="000E1CB6"/>
    <w:rsid w:val="000E5BD0"/>
    <w:rsid w:val="000F0D66"/>
    <w:rsid w:val="000F20AB"/>
    <w:rsid w:val="000F2FA7"/>
    <w:rsid w:val="001044F3"/>
    <w:rsid w:val="00104679"/>
    <w:rsid w:val="00105867"/>
    <w:rsid w:val="00106120"/>
    <w:rsid w:val="001073D5"/>
    <w:rsid w:val="00110B7B"/>
    <w:rsid w:val="00115880"/>
    <w:rsid w:val="0011664B"/>
    <w:rsid w:val="0012323D"/>
    <w:rsid w:val="00124A22"/>
    <w:rsid w:val="00125570"/>
    <w:rsid w:val="00125ACD"/>
    <w:rsid w:val="00125E95"/>
    <w:rsid w:val="0012641E"/>
    <w:rsid w:val="00126AF9"/>
    <w:rsid w:val="00132681"/>
    <w:rsid w:val="00132C8C"/>
    <w:rsid w:val="0013320E"/>
    <w:rsid w:val="001357A9"/>
    <w:rsid w:val="001375AC"/>
    <w:rsid w:val="001404F9"/>
    <w:rsid w:val="00140B63"/>
    <w:rsid w:val="00140C41"/>
    <w:rsid w:val="00140E7E"/>
    <w:rsid w:val="00142F57"/>
    <w:rsid w:val="00145469"/>
    <w:rsid w:val="00145529"/>
    <w:rsid w:val="0014553C"/>
    <w:rsid w:val="00146EC0"/>
    <w:rsid w:val="00146F9B"/>
    <w:rsid w:val="00150011"/>
    <w:rsid w:val="0015220D"/>
    <w:rsid w:val="00152462"/>
    <w:rsid w:val="0015580C"/>
    <w:rsid w:val="0016341B"/>
    <w:rsid w:val="00163A1F"/>
    <w:rsid w:val="00164A64"/>
    <w:rsid w:val="00166DA0"/>
    <w:rsid w:val="0017003C"/>
    <w:rsid w:val="0017224D"/>
    <w:rsid w:val="001732E9"/>
    <w:rsid w:val="00174C2A"/>
    <w:rsid w:val="00175135"/>
    <w:rsid w:val="001804D1"/>
    <w:rsid w:val="0018099A"/>
    <w:rsid w:val="00181E5C"/>
    <w:rsid w:val="00182277"/>
    <w:rsid w:val="001823BF"/>
    <w:rsid w:val="001830D1"/>
    <w:rsid w:val="00187105"/>
    <w:rsid w:val="00191AFD"/>
    <w:rsid w:val="001925AA"/>
    <w:rsid w:val="001934DB"/>
    <w:rsid w:val="00194505"/>
    <w:rsid w:val="0019574C"/>
    <w:rsid w:val="00196670"/>
    <w:rsid w:val="00196786"/>
    <w:rsid w:val="001A05F0"/>
    <w:rsid w:val="001A10FB"/>
    <w:rsid w:val="001A5823"/>
    <w:rsid w:val="001A7F59"/>
    <w:rsid w:val="001B08DF"/>
    <w:rsid w:val="001B1A36"/>
    <w:rsid w:val="001B26A4"/>
    <w:rsid w:val="001B2D34"/>
    <w:rsid w:val="001B31CF"/>
    <w:rsid w:val="001B33D9"/>
    <w:rsid w:val="001B34E7"/>
    <w:rsid w:val="001B442F"/>
    <w:rsid w:val="001B554C"/>
    <w:rsid w:val="001B6C79"/>
    <w:rsid w:val="001B7005"/>
    <w:rsid w:val="001C101D"/>
    <w:rsid w:val="001C193F"/>
    <w:rsid w:val="001C1A82"/>
    <w:rsid w:val="001C1B00"/>
    <w:rsid w:val="001C6B9B"/>
    <w:rsid w:val="001C6FD2"/>
    <w:rsid w:val="001C7758"/>
    <w:rsid w:val="001D08E7"/>
    <w:rsid w:val="001D18CE"/>
    <w:rsid w:val="001D28F1"/>
    <w:rsid w:val="001D317F"/>
    <w:rsid w:val="001D3FF8"/>
    <w:rsid w:val="001D46F7"/>
    <w:rsid w:val="001D636A"/>
    <w:rsid w:val="001D654D"/>
    <w:rsid w:val="001D75F9"/>
    <w:rsid w:val="001D7CB9"/>
    <w:rsid w:val="001E0154"/>
    <w:rsid w:val="001E04A6"/>
    <w:rsid w:val="001E08B4"/>
    <w:rsid w:val="001E0F2F"/>
    <w:rsid w:val="001E495A"/>
    <w:rsid w:val="001E5163"/>
    <w:rsid w:val="001E572C"/>
    <w:rsid w:val="001E7DFD"/>
    <w:rsid w:val="001F05F5"/>
    <w:rsid w:val="001F1D86"/>
    <w:rsid w:val="001F1EA8"/>
    <w:rsid w:val="001F5FA8"/>
    <w:rsid w:val="001F5FCB"/>
    <w:rsid w:val="001F6E0A"/>
    <w:rsid w:val="001F79B3"/>
    <w:rsid w:val="0020052B"/>
    <w:rsid w:val="002009CB"/>
    <w:rsid w:val="00202DBE"/>
    <w:rsid w:val="002043B7"/>
    <w:rsid w:val="002119D2"/>
    <w:rsid w:val="002132A8"/>
    <w:rsid w:val="002146E1"/>
    <w:rsid w:val="00215A82"/>
    <w:rsid w:val="00216D18"/>
    <w:rsid w:val="00217B92"/>
    <w:rsid w:val="00221D3A"/>
    <w:rsid w:val="0022240C"/>
    <w:rsid w:val="00222F49"/>
    <w:rsid w:val="00223D6E"/>
    <w:rsid w:val="0022652E"/>
    <w:rsid w:val="002320A8"/>
    <w:rsid w:val="002328DA"/>
    <w:rsid w:val="00240F81"/>
    <w:rsid w:val="0024145D"/>
    <w:rsid w:val="002421BA"/>
    <w:rsid w:val="00242888"/>
    <w:rsid w:val="00245346"/>
    <w:rsid w:val="0024599C"/>
    <w:rsid w:val="002461DC"/>
    <w:rsid w:val="00246809"/>
    <w:rsid w:val="002474EC"/>
    <w:rsid w:val="00250C0A"/>
    <w:rsid w:val="0025355D"/>
    <w:rsid w:val="00253E67"/>
    <w:rsid w:val="00260880"/>
    <w:rsid w:val="00262B1C"/>
    <w:rsid w:val="00263F8B"/>
    <w:rsid w:val="00264991"/>
    <w:rsid w:val="00264F18"/>
    <w:rsid w:val="002666D1"/>
    <w:rsid w:val="00267296"/>
    <w:rsid w:val="00267AC2"/>
    <w:rsid w:val="00267F34"/>
    <w:rsid w:val="002715E8"/>
    <w:rsid w:val="00273166"/>
    <w:rsid w:val="002768A5"/>
    <w:rsid w:val="00276A57"/>
    <w:rsid w:val="00276BF3"/>
    <w:rsid w:val="002808F1"/>
    <w:rsid w:val="00280A0B"/>
    <w:rsid w:val="00284A03"/>
    <w:rsid w:val="00285C95"/>
    <w:rsid w:val="00285E47"/>
    <w:rsid w:val="002905EA"/>
    <w:rsid w:val="00290968"/>
    <w:rsid w:val="00290C5B"/>
    <w:rsid w:val="0029254D"/>
    <w:rsid w:val="00293075"/>
    <w:rsid w:val="00293F8B"/>
    <w:rsid w:val="00295DC5"/>
    <w:rsid w:val="002A05BA"/>
    <w:rsid w:val="002A05D5"/>
    <w:rsid w:val="002A0627"/>
    <w:rsid w:val="002A2CDC"/>
    <w:rsid w:val="002A4E83"/>
    <w:rsid w:val="002B1650"/>
    <w:rsid w:val="002B36A1"/>
    <w:rsid w:val="002B397F"/>
    <w:rsid w:val="002B5678"/>
    <w:rsid w:val="002B7458"/>
    <w:rsid w:val="002B7996"/>
    <w:rsid w:val="002C464A"/>
    <w:rsid w:val="002C5E63"/>
    <w:rsid w:val="002C76B8"/>
    <w:rsid w:val="002D0269"/>
    <w:rsid w:val="002D06D4"/>
    <w:rsid w:val="002D07C0"/>
    <w:rsid w:val="002D4CDA"/>
    <w:rsid w:val="002D51A6"/>
    <w:rsid w:val="002D66DD"/>
    <w:rsid w:val="002D6A33"/>
    <w:rsid w:val="002D7AB0"/>
    <w:rsid w:val="002E19D0"/>
    <w:rsid w:val="002E2187"/>
    <w:rsid w:val="002E2725"/>
    <w:rsid w:val="002E3CAA"/>
    <w:rsid w:val="002E46C9"/>
    <w:rsid w:val="002E5C03"/>
    <w:rsid w:val="002E60D2"/>
    <w:rsid w:val="002E66BB"/>
    <w:rsid w:val="002F0C0A"/>
    <w:rsid w:val="002F1A93"/>
    <w:rsid w:val="002F2B3B"/>
    <w:rsid w:val="002F425F"/>
    <w:rsid w:val="002F4936"/>
    <w:rsid w:val="002F4A45"/>
    <w:rsid w:val="002F4C4B"/>
    <w:rsid w:val="002F6AF5"/>
    <w:rsid w:val="00301B40"/>
    <w:rsid w:val="00301DC8"/>
    <w:rsid w:val="003026B1"/>
    <w:rsid w:val="00304D1D"/>
    <w:rsid w:val="003076AB"/>
    <w:rsid w:val="003076DC"/>
    <w:rsid w:val="00310E61"/>
    <w:rsid w:val="0031371F"/>
    <w:rsid w:val="00317F71"/>
    <w:rsid w:val="0032048D"/>
    <w:rsid w:val="00320F1A"/>
    <w:rsid w:val="00322EA1"/>
    <w:rsid w:val="003231EF"/>
    <w:rsid w:val="00323E63"/>
    <w:rsid w:val="00324923"/>
    <w:rsid w:val="003265B9"/>
    <w:rsid w:val="00326AC1"/>
    <w:rsid w:val="00326EAD"/>
    <w:rsid w:val="0033095C"/>
    <w:rsid w:val="00331584"/>
    <w:rsid w:val="00331CA5"/>
    <w:rsid w:val="00332DA9"/>
    <w:rsid w:val="003349A6"/>
    <w:rsid w:val="003355FD"/>
    <w:rsid w:val="003358C3"/>
    <w:rsid w:val="00340778"/>
    <w:rsid w:val="00340CFC"/>
    <w:rsid w:val="00341D32"/>
    <w:rsid w:val="00341E55"/>
    <w:rsid w:val="00343344"/>
    <w:rsid w:val="00343C6A"/>
    <w:rsid w:val="0034542E"/>
    <w:rsid w:val="003455F6"/>
    <w:rsid w:val="00346665"/>
    <w:rsid w:val="00351452"/>
    <w:rsid w:val="00351C49"/>
    <w:rsid w:val="003521A1"/>
    <w:rsid w:val="00361B0D"/>
    <w:rsid w:val="00362323"/>
    <w:rsid w:val="00365767"/>
    <w:rsid w:val="003663C6"/>
    <w:rsid w:val="00367BAC"/>
    <w:rsid w:val="00367DA4"/>
    <w:rsid w:val="0037037B"/>
    <w:rsid w:val="0037251C"/>
    <w:rsid w:val="00373C1B"/>
    <w:rsid w:val="003744B9"/>
    <w:rsid w:val="00374D61"/>
    <w:rsid w:val="0037584C"/>
    <w:rsid w:val="003809D9"/>
    <w:rsid w:val="00380F75"/>
    <w:rsid w:val="003831A6"/>
    <w:rsid w:val="003853B7"/>
    <w:rsid w:val="00387E01"/>
    <w:rsid w:val="00390E83"/>
    <w:rsid w:val="0039315E"/>
    <w:rsid w:val="0039467C"/>
    <w:rsid w:val="00394D2F"/>
    <w:rsid w:val="00396025"/>
    <w:rsid w:val="0039644F"/>
    <w:rsid w:val="00396903"/>
    <w:rsid w:val="003A20A0"/>
    <w:rsid w:val="003A4C88"/>
    <w:rsid w:val="003A5EE3"/>
    <w:rsid w:val="003B0AC2"/>
    <w:rsid w:val="003B2E07"/>
    <w:rsid w:val="003B38EF"/>
    <w:rsid w:val="003B3A8F"/>
    <w:rsid w:val="003B410A"/>
    <w:rsid w:val="003B4989"/>
    <w:rsid w:val="003C09E8"/>
    <w:rsid w:val="003C19F3"/>
    <w:rsid w:val="003C2927"/>
    <w:rsid w:val="003C3461"/>
    <w:rsid w:val="003D3D6B"/>
    <w:rsid w:val="003D50BA"/>
    <w:rsid w:val="003D58D6"/>
    <w:rsid w:val="003D5A05"/>
    <w:rsid w:val="003D6328"/>
    <w:rsid w:val="003E09C9"/>
    <w:rsid w:val="003E1930"/>
    <w:rsid w:val="003E31E0"/>
    <w:rsid w:val="003E5DD7"/>
    <w:rsid w:val="003E6B0C"/>
    <w:rsid w:val="003F13F3"/>
    <w:rsid w:val="003F29BC"/>
    <w:rsid w:val="003F3B91"/>
    <w:rsid w:val="003F483C"/>
    <w:rsid w:val="003F789B"/>
    <w:rsid w:val="004004B6"/>
    <w:rsid w:val="00402575"/>
    <w:rsid w:val="00403152"/>
    <w:rsid w:val="00403178"/>
    <w:rsid w:val="00403EB0"/>
    <w:rsid w:val="0041066D"/>
    <w:rsid w:val="00410E26"/>
    <w:rsid w:val="00415A04"/>
    <w:rsid w:val="0041676A"/>
    <w:rsid w:val="00416E87"/>
    <w:rsid w:val="00421110"/>
    <w:rsid w:val="0042163D"/>
    <w:rsid w:val="00422C3B"/>
    <w:rsid w:val="00424F15"/>
    <w:rsid w:val="0042656E"/>
    <w:rsid w:val="00426C7A"/>
    <w:rsid w:val="00430A3F"/>
    <w:rsid w:val="0043116A"/>
    <w:rsid w:val="004320E2"/>
    <w:rsid w:val="0043406F"/>
    <w:rsid w:val="0043463C"/>
    <w:rsid w:val="0043771D"/>
    <w:rsid w:val="004409AE"/>
    <w:rsid w:val="00440F92"/>
    <w:rsid w:val="00442E47"/>
    <w:rsid w:val="004442A8"/>
    <w:rsid w:val="0044573D"/>
    <w:rsid w:val="004478AA"/>
    <w:rsid w:val="0045064A"/>
    <w:rsid w:val="004513DA"/>
    <w:rsid w:val="004528C1"/>
    <w:rsid w:val="00453C5F"/>
    <w:rsid w:val="00453CB6"/>
    <w:rsid w:val="00455D8A"/>
    <w:rsid w:val="004561E7"/>
    <w:rsid w:val="00456789"/>
    <w:rsid w:val="00456D00"/>
    <w:rsid w:val="00457120"/>
    <w:rsid w:val="004574E9"/>
    <w:rsid w:val="00457D8B"/>
    <w:rsid w:val="0046249D"/>
    <w:rsid w:val="00465564"/>
    <w:rsid w:val="00466224"/>
    <w:rsid w:val="004676FB"/>
    <w:rsid w:val="00472F10"/>
    <w:rsid w:val="004753DC"/>
    <w:rsid w:val="00477E20"/>
    <w:rsid w:val="00480585"/>
    <w:rsid w:val="004813A9"/>
    <w:rsid w:val="00481DF4"/>
    <w:rsid w:val="004849F0"/>
    <w:rsid w:val="00485500"/>
    <w:rsid w:val="00485A5C"/>
    <w:rsid w:val="00485FD6"/>
    <w:rsid w:val="00487B32"/>
    <w:rsid w:val="00487CD2"/>
    <w:rsid w:val="00492B0B"/>
    <w:rsid w:val="0049420C"/>
    <w:rsid w:val="004977BE"/>
    <w:rsid w:val="004A496F"/>
    <w:rsid w:val="004A7F92"/>
    <w:rsid w:val="004B1A25"/>
    <w:rsid w:val="004B2914"/>
    <w:rsid w:val="004B35C1"/>
    <w:rsid w:val="004B3636"/>
    <w:rsid w:val="004B3DB8"/>
    <w:rsid w:val="004B403C"/>
    <w:rsid w:val="004B43B0"/>
    <w:rsid w:val="004B7AF7"/>
    <w:rsid w:val="004C0390"/>
    <w:rsid w:val="004C3FCD"/>
    <w:rsid w:val="004C4500"/>
    <w:rsid w:val="004C46BA"/>
    <w:rsid w:val="004C710C"/>
    <w:rsid w:val="004D004A"/>
    <w:rsid w:val="004D0F88"/>
    <w:rsid w:val="004D33D3"/>
    <w:rsid w:val="004D34F3"/>
    <w:rsid w:val="004D36E9"/>
    <w:rsid w:val="004D5571"/>
    <w:rsid w:val="004D5D1E"/>
    <w:rsid w:val="004D6C9F"/>
    <w:rsid w:val="004D759E"/>
    <w:rsid w:val="004E0745"/>
    <w:rsid w:val="004E17D5"/>
    <w:rsid w:val="004E1F48"/>
    <w:rsid w:val="004E3205"/>
    <w:rsid w:val="004E67F8"/>
    <w:rsid w:val="004E7075"/>
    <w:rsid w:val="004F186E"/>
    <w:rsid w:val="004F5A3D"/>
    <w:rsid w:val="004F7E8A"/>
    <w:rsid w:val="005008ED"/>
    <w:rsid w:val="005033A7"/>
    <w:rsid w:val="00505BC5"/>
    <w:rsid w:val="00507EC4"/>
    <w:rsid w:val="00511379"/>
    <w:rsid w:val="0051335C"/>
    <w:rsid w:val="0051560B"/>
    <w:rsid w:val="005174FF"/>
    <w:rsid w:val="00521B14"/>
    <w:rsid w:val="00522DD9"/>
    <w:rsid w:val="005239B8"/>
    <w:rsid w:val="0052476B"/>
    <w:rsid w:val="005254E2"/>
    <w:rsid w:val="00525F2E"/>
    <w:rsid w:val="00526621"/>
    <w:rsid w:val="00527CBA"/>
    <w:rsid w:val="00533307"/>
    <w:rsid w:val="0053393B"/>
    <w:rsid w:val="00540E43"/>
    <w:rsid w:val="0054268F"/>
    <w:rsid w:val="00545F58"/>
    <w:rsid w:val="00546435"/>
    <w:rsid w:val="0055093F"/>
    <w:rsid w:val="00550E0E"/>
    <w:rsid w:val="00553F94"/>
    <w:rsid w:val="0055762F"/>
    <w:rsid w:val="00561013"/>
    <w:rsid w:val="005616EC"/>
    <w:rsid w:val="00567FC6"/>
    <w:rsid w:val="00570278"/>
    <w:rsid w:val="0057086A"/>
    <w:rsid w:val="005716F5"/>
    <w:rsid w:val="0057281C"/>
    <w:rsid w:val="0057527B"/>
    <w:rsid w:val="00575CEE"/>
    <w:rsid w:val="00576583"/>
    <w:rsid w:val="005766B9"/>
    <w:rsid w:val="00576AE7"/>
    <w:rsid w:val="0058024B"/>
    <w:rsid w:val="00582C31"/>
    <w:rsid w:val="00584800"/>
    <w:rsid w:val="005850BA"/>
    <w:rsid w:val="00585BBE"/>
    <w:rsid w:val="0059080F"/>
    <w:rsid w:val="00592F83"/>
    <w:rsid w:val="005939A5"/>
    <w:rsid w:val="0059410F"/>
    <w:rsid w:val="00594ECA"/>
    <w:rsid w:val="005952B0"/>
    <w:rsid w:val="005972E0"/>
    <w:rsid w:val="005A114F"/>
    <w:rsid w:val="005A7F31"/>
    <w:rsid w:val="005B058C"/>
    <w:rsid w:val="005B0EDC"/>
    <w:rsid w:val="005B12E1"/>
    <w:rsid w:val="005B1730"/>
    <w:rsid w:val="005B302D"/>
    <w:rsid w:val="005B3DDF"/>
    <w:rsid w:val="005B49BA"/>
    <w:rsid w:val="005B6416"/>
    <w:rsid w:val="005C1F8A"/>
    <w:rsid w:val="005C50D4"/>
    <w:rsid w:val="005C629B"/>
    <w:rsid w:val="005C72F6"/>
    <w:rsid w:val="005C7462"/>
    <w:rsid w:val="005D3255"/>
    <w:rsid w:val="005D4080"/>
    <w:rsid w:val="005D4AFA"/>
    <w:rsid w:val="005D4EDE"/>
    <w:rsid w:val="005D737A"/>
    <w:rsid w:val="005D7848"/>
    <w:rsid w:val="005E14CB"/>
    <w:rsid w:val="005E223B"/>
    <w:rsid w:val="005E3980"/>
    <w:rsid w:val="005E4A3A"/>
    <w:rsid w:val="005E4AD5"/>
    <w:rsid w:val="005E6DDC"/>
    <w:rsid w:val="005F28D2"/>
    <w:rsid w:val="005F2F86"/>
    <w:rsid w:val="005F65FB"/>
    <w:rsid w:val="005F6C22"/>
    <w:rsid w:val="005F7ED4"/>
    <w:rsid w:val="00601658"/>
    <w:rsid w:val="00602682"/>
    <w:rsid w:val="00605809"/>
    <w:rsid w:val="00607FE7"/>
    <w:rsid w:val="00610856"/>
    <w:rsid w:val="006128D7"/>
    <w:rsid w:val="00613F34"/>
    <w:rsid w:val="006157E5"/>
    <w:rsid w:val="00616958"/>
    <w:rsid w:val="00617CE7"/>
    <w:rsid w:val="00621B0E"/>
    <w:rsid w:val="00624F04"/>
    <w:rsid w:val="00625CE4"/>
    <w:rsid w:val="006263DD"/>
    <w:rsid w:val="006264CD"/>
    <w:rsid w:val="00627627"/>
    <w:rsid w:val="00627D2B"/>
    <w:rsid w:val="00630099"/>
    <w:rsid w:val="00633B38"/>
    <w:rsid w:val="00635E1F"/>
    <w:rsid w:val="00637EB3"/>
    <w:rsid w:val="00641094"/>
    <w:rsid w:val="00641951"/>
    <w:rsid w:val="00642C25"/>
    <w:rsid w:val="00642EE5"/>
    <w:rsid w:val="00643883"/>
    <w:rsid w:val="00644C83"/>
    <w:rsid w:val="0064724F"/>
    <w:rsid w:val="00647EDF"/>
    <w:rsid w:val="006506A2"/>
    <w:rsid w:val="00651B92"/>
    <w:rsid w:val="00652B02"/>
    <w:rsid w:val="006539B9"/>
    <w:rsid w:val="00653EC0"/>
    <w:rsid w:val="00655383"/>
    <w:rsid w:val="006555FC"/>
    <w:rsid w:val="00656AD2"/>
    <w:rsid w:val="00661268"/>
    <w:rsid w:val="006635A4"/>
    <w:rsid w:val="00664082"/>
    <w:rsid w:val="00664CD6"/>
    <w:rsid w:val="0066559C"/>
    <w:rsid w:val="006736A3"/>
    <w:rsid w:val="00673A7D"/>
    <w:rsid w:val="006769F9"/>
    <w:rsid w:val="006810F0"/>
    <w:rsid w:val="0068129F"/>
    <w:rsid w:val="00682E21"/>
    <w:rsid w:val="006844B5"/>
    <w:rsid w:val="006844B9"/>
    <w:rsid w:val="006845D8"/>
    <w:rsid w:val="00684E9E"/>
    <w:rsid w:val="00685704"/>
    <w:rsid w:val="00685F6B"/>
    <w:rsid w:val="00685FB4"/>
    <w:rsid w:val="0068646A"/>
    <w:rsid w:val="006869EA"/>
    <w:rsid w:val="00686C31"/>
    <w:rsid w:val="00686D0F"/>
    <w:rsid w:val="006908EC"/>
    <w:rsid w:val="006919D3"/>
    <w:rsid w:val="00693D2B"/>
    <w:rsid w:val="006954F3"/>
    <w:rsid w:val="00695E71"/>
    <w:rsid w:val="0069623D"/>
    <w:rsid w:val="006974C9"/>
    <w:rsid w:val="0069778D"/>
    <w:rsid w:val="006A0DC5"/>
    <w:rsid w:val="006A3169"/>
    <w:rsid w:val="006A6E61"/>
    <w:rsid w:val="006B151B"/>
    <w:rsid w:val="006B3C13"/>
    <w:rsid w:val="006B4807"/>
    <w:rsid w:val="006B7274"/>
    <w:rsid w:val="006D0191"/>
    <w:rsid w:val="006D1C7D"/>
    <w:rsid w:val="006D3826"/>
    <w:rsid w:val="006D3A4E"/>
    <w:rsid w:val="006D4996"/>
    <w:rsid w:val="006D4D2F"/>
    <w:rsid w:val="006D5D42"/>
    <w:rsid w:val="006D6E87"/>
    <w:rsid w:val="006E09AC"/>
    <w:rsid w:val="006E10B9"/>
    <w:rsid w:val="006E4FA6"/>
    <w:rsid w:val="006E7041"/>
    <w:rsid w:val="006E795E"/>
    <w:rsid w:val="006F170F"/>
    <w:rsid w:val="006F2A7B"/>
    <w:rsid w:val="006F354E"/>
    <w:rsid w:val="006F38B0"/>
    <w:rsid w:val="006F6307"/>
    <w:rsid w:val="0070179C"/>
    <w:rsid w:val="0070276B"/>
    <w:rsid w:val="00707F03"/>
    <w:rsid w:val="00710380"/>
    <w:rsid w:val="00710897"/>
    <w:rsid w:val="00710DFC"/>
    <w:rsid w:val="007116FE"/>
    <w:rsid w:val="00711D12"/>
    <w:rsid w:val="00712A03"/>
    <w:rsid w:val="00712D7D"/>
    <w:rsid w:val="00715D1C"/>
    <w:rsid w:val="00715F30"/>
    <w:rsid w:val="007204D7"/>
    <w:rsid w:val="00720CC8"/>
    <w:rsid w:val="00722B44"/>
    <w:rsid w:val="007244CE"/>
    <w:rsid w:val="00726612"/>
    <w:rsid w:val="007275A1"/>
    <w:rsid w:val="00730FDD"/>
    <w:rsid w:val="00732215"/>
    <w:rsid w:val="00732591"/>
    <w:rsid w:val="00733520"/>
    <w:rsid w:val="007343E5"/>
    <w:rsid w:val="00737EBB"/>
    <w:rsid w:val="0074206C"/>
    <w:rsid w:val="00744435"/>
    <w:rsid w:val="0074582E"/>
    <w:rsid w:val="00747BC6"/>
    <w:rsid w:val="007501FF"/>
    <w:rsid w:val="007504E6"/>
    <w:rsid w:val="007518EF"/>
    <w:rsid w:val="00754966"/>
    <w:rsid w:val="0075623B"/>
    <w:rsid w:val="0075665A"/>
    <w:rsid w:val="007568D3"/>
    <w:rsid w:val="0075729F"/>
    <w:rsid w:val="00761D67"/>
    <w:rsid w:val="00763407"/>
    <w:rsid w:val="0076487B"/>
    <w:rsid w:val="00765AF4"/>
    <w:rsid w:val="00765FBF"/>
    <w:rsid w:val="007715DB"/>
    <w:rsid w:val="00772543"/>
    <w:rsid w:val="00772D8E"/>
    <w:rsid w:val="007759A9"/>
    <w:rsid w:val="007817D0"/>
    <w:rsid w:val="00782063"/>
    <w:rsid w:val="00784F4E"/>
    <w:rsid w:val="00785B11"/>
    <w:rsid w:val="00786045"/>
    <w:rsid w:val="0078620C"/>
    <w:rsid w:val="00787702"/>
    <w:rsid w:val="00791836"/>
    <w:rsid w:val="00791B1C"/>
    <w:rsid w:val="00792E94"/>
    <w:rsid w:val="007964AF"/>
    <w:rsid w:val="007966C3"/>
    <w:rsid w:val="007968E3"/>
    <w:rsid w:val="007A20BC"/>
    <w:rsid w:val="007A3ADC"/>
    <w:rsid w:val="007A3FB6"/>
    <w:rsid w:val="007A4410"/>
    <w:rsid w:val="007A461C"/>
    <w:rsid w:val="007A507B"/>
    <w:rsid w:val="007A68AE"/>
    <w:rsid w:val="007B0286"/>
    <w:rsid w:val="007B12CF"/>
    <w:rsid w:val="007B19C3"/>
    <w:rsid w:val="007B3526"/>
    <w:rsid w:val="007B49E5"/>
    <w:rsid w:val="007C42F2"/>
    <w:rsid w:val="007C73D2"/>
    <w:rsid w:val="007C743B"/>
    <w:rsid w:val="007C7835"/>
    <w:rsid w:val="007D1373"/>
    <w:rsid w:val="007D13FA"/>
    <w:rsid w:val="007D4055"/>
    <w:rsid w:val="007D7687"/>
    <w:rsid w:val="007E000F"/>
    <w:rsid w:val="007E05F9"/>
    <w:rsid w:val="007E09F3"/>
    <w:rsid w:val="007E0BCE"/>
    <w:rsid w:val="007E37E9"/>
    <w:rsid w:val="007E4864"/>
    <w:rsid w:val="007E4CE8"/>
    <w:rsid w:val="007E4E8D"/>
    <w:rsid w:val="007E5E1A"/>
    <w:rsid w:val="007E64E0"/>
    <w:rsid w:val="007E7C00"/>
    <w:rsid w:val="007F0926"/>
    <w:rsid w:val="007F1CDD"/>
    <w:rsid w:val="007F2659"/>
    <w:rsid w:val="007F3D5C"/>
    <w:rsid w:val="007F3DD7"/>
    <w:rsid w:val="007F4202"/>
    <w:rsid w:val="007F43A8"/>
    <w:rsid w:val="007F46BD"/>
    <w:rsid w:val="007F4F24"/>
    <w:rsid w:val="007F4F6E"/>
    <w:rsid w:val="007F536E"/>
    <w:rsid w:val="007F6123"/>
    <w:rsid w:val="007F7253"/>
    <w:rsid w:val="00801E17"/>
    <w:rsid w:val="0080474C"/>
    <w:rsid w:val="0080549F"/>
    <w:rsid w:val="00807258"/>
    <w:rsid w:val="00810ACE"/>
    <w:rsid w:val="00811417"/>
    <w:rsid w:val="00812D08"/>
    <w:rsid w:val="008145EF"/>
    <w:rsid w:val="00814C72"/>
    <w:rsid w:val="00814CDF"/>
    <w:rsid w:val="00817DFA"/>
    <w:rsid w:val="008203D8"/>
    <w:rsid w:val="00820A18"/>
    <w:rsid w:val="00820C42"/>
    <w:rsid w:val="00823C8D"/>
    <w:rsid w:val="00824FD9"/>
    <w:rsid w:val="00825CD4"/>
    <w:rsid w:val="0082646B"/>
    <w:rsid w:val="00826BD1"/>
    <w:rsid w:val="008270C9"/>
    <w:rsid w:val="008275B1"/>
    <w:rsid w:val="008307D6"/>
    <w:rsid w:val="00832FDD"/>
    <w:rsid w:val="00836186"/>
    <w:rsid w:val="00837DDA"/>
    <w:rsid w:val="00840271"/>
    <w:rsid w:val="00841899"/>
    <w:rsid w:val="008425BB"/>
    <w:rsid w:val="00842769"/>
    <w:rsid w:val="0084498F"/>
    <w:rsid w:val="00844AAA"/>
    <w:rsid w:val="00844EEE"/>
    <w:rsid w:val="00847458"/>
    <w:rsid w:val="00850DD4"/>
    <w:rsid w:val="00851574"/>
    <w:rsid w:val="00851794"/>
    <w:rsid w:val="008561E1"/>
    <w:rsid w:val="00860029"/>
    <w:rsid w:val="00860C72"/>
    <w:rsid w:val="00862F54"/>
    <w:rsid w:val="008631FF"/>
    <w:rsid w:val="00865B8A"/>
    <w:rsid w:val="00865E1D"/>
    <w:rsid w:val="008674C3"/>
    <w:rsid w:val="00871344"/>
    <w:rsid w:val="008721B9"/>
    <w:rsid w:val="00874BAF"/>
    <w:rsid w:val="00874BB2"/>
    <w:rsid w:val="00874BFA"/>
    <w:rsid w:val="00874C97"/>
    <w:rsid w:val="00875C15"/>
    <w:rsid w:val="0087792B"/>
    <w:rsid w:val="00882D2F"/>
    <w:rsid w:val="00885551"/>
    <w:rsid w:val="00891D89"/>
    <w:rsid w:val="008921C9"/>
    <w:rsid w:val="008950A6"/>
    <w:rsid w:val="0089693A"/>
    <w:rsid w:val="0089765B"/>
    <w:rsid w:val="0089797C"/>
    <w:rsid w:val="008A1D8B"/>
    <w:rsid w:val="008A208D"/>
    <w:rsid w:val="008A4DD6"/>
    <w:rsid w:val="008B30E3"/>
    <w:rsid w:val="008B3E97"/>
    <w:rsid w:val="008C0261"/>
    <w:rsid w:val="008C17C4"/>
    <w:rsid w:val="008C1A18"/>
    <w:rsid w:val="008C4FFA"/>
    <w:rsid w:val="008C5113"/>
    <w:rsid w:val="008C516B"/>
    <w:rsid w:val="008C71E0"/>
    <w:rsid w:val="008D0EFD"/>
    <w:rsid w:val="008D14B8"/>
    <w:rsid w:val="008D2790"/>
    <w:rsid w:val="008D4A34"/>
    <w:rsid w:val="008D58A3"/>
    <w:rsid w:val="008E7839"/>
    <w:rsid w:val="008F1F49"/>
    <w:rsid w:val="008F43E6"/>
    <w:rsid w:val="008F48FF"/>
    <w:rsid w:val="008F5753"/>
    <w:rsid w:val="00901501"/>
    <w:rsid w:val="00902720"/>
    <w:rsid w:val="00904955"/>
    <w:rsid w:val="00906914"/>
    <w:rsid w:val="00910310"/>
    <w:rsid w:val="00910318"/>
    <w:rsid w:val="0091119F"/>
    <w:rsid w:val="00911B91"/>
    <w:rsid w:val="00913040"/>
    <w:rsid w:val="00913CF5"/>
    <w:rsid w:val="009141F2"/>
    <w:rsid w:val="00914BFF"/>
    <w:rsid w:val="00915F5E"/>
    <w:rsid w:val="00916346"/>
    <w:rsid w:val="0092003C"/>
    <w:rsid w:val="009225F6"/>
    <w:rsid w:val="009252CF"/>
    <w:rsid w:val="00925BC0"/>
    <w:rsid w:val="00926230"/>
    <w:rsid w:val="00927FE4"/>
    <w:rsid w:val="0094010B"/>
    <w:rsid w:val="00940B59"/>
    <w:rsid w:val="009413F1"/>
    <w:rsid w:val="009415FB"/>
    <w:rsid w:val="0094225E"/>
    <w:rsid w:val="00944B32"/>
    <w:rsid w:val="00950C11"/>
    <w:rsid w:val="009522DE"/>
    <w:rsid w:val="0095275E"/>
    <w:rsid w:val="00955F3E"/>
    <w:rsid w:val="00956E5D"/>
    <w:rsid w:val="00957C3B"/>
    <w:rsid w:val="009615B7"/>
    <w:rsid w:val="00961BD8"/>
    <w:rsid w:val="00962316"/>
    <w:rsid w:val="00964EF0"/>
    <w:rsid w:val="00966333"/>
    <w:rsid w:val="00970799"/>
    <w:rsid w:val="009727DD"/>
    <w:rsid w:val="00973814"/>
    <w:rsid w:val="00976346"/>
    <w:rsid w:val="009768B3"/>
    <w:rsid w:val="009770DD"/>
    <w:rsid w:val="0097795B"/>
    <w:rsid w:val="00980EC9"/>
    <w:rsid w:val="009838DC"/>
    <w:rsid w:val="00984325"/>
    <w:rsid w:val="00987152"/>
    <w:rsid w:val="009877D7"/>
    <w:rsid w:val="009925F2"/>
    <w:rsid w:val="009944AF"/>
    <w:rsid w:val="009A3E66"/>
    <w:rsid w:val="009A4C4C"/>
    <w:rsid w:val="009B0ACF"/>
    <w:rsid w:val="009B1803"/>
    <w:rsid w:val="009B424A"/>
    <w:rsid w:val="009B4A53"/>
    <w:rsid w:val="009B5202"/>
    <w:rsid w:val="009B52FF"/>
    <w:rsid w:val="009B6C15"/>
    <w:rsid w:val="009C1C19"/>
    <w:rsid w:val="009C49E1"/>
    <w:rsid w:val="009C66EE"/>
    <w:rsid w:val="009D05DF"/>
    <w:rsid w:val="009D0EA3"/>
    <w:rsid w:val="009D1935"/>
    <w:rsid w:val="009D6290"/>
    <w:rsid w:val="009D6921"/>
    <w:rsid w:val="009D797A"/>
    <w:rsid w:val="009E213B"/>
    <w:rsid w:val="009E3D10"/>
    <w:rsid w:val="009E63E3"/>
    <w:rsid w:val="009E7A1B"/>
    <w:rsid w:val="009F0E3F"/>
    <w:rsid w:val="009F183F"/>
    <w:rsid w:val="009F2A38"/>
    <w:rsid w:val="009F73F1"/>
    <w:rsid w:val="009F74DE"/>
    <w:rsid w:val="009F77F4"/>
    <w:rsid w:val="00A03126"/>
    <w:rsid w:val="00A04869"/>
    <w:rsid w:val="00A07DE3"/>
    <w:rsid w:val="00A10B39"/>
    <w:rsid w:val="00A11141"/>
    <w:rsid w:val="00A12767"/>
    <w:rsid w:val="00A13D58"/>
    <w:rsid w:val="00A15F7E"/>
    <w:rsid w:val="00A1694A"/>
    <w:rsid w:val="00A17C00"/>
    <w:rsid w:val="00A220E9"/>
    <w:rsid w:val="00A24486"/>
    <w:rsid w:val="00A24F93"/>
    <w:rsid w:val="00A25B12"/>
    <w:rsid w:val="00A26C3C"/>
    <w:rsid w:val="00A348EC"/>
    <w:rsid w:val="00A348EF"/>
    <w:rsid w:val="00A3547C"/>
    <w:rsid w:val="00A36B90"/>
    <w:rsid w:val="00A40BAB"/>
    <w:rsid w:val="00A41E9F"/>
    <w:rsid w:val="00A45027"/>
    <w:rsid w:val="00A45756"/>
    <w:rsid w:val="00A47EB3"/>
    <w:rsid w:val="00A52DBD"/>
    <w:rsid w:val="00A5349C"/>
    <w:rsid w:val="00A53B02"/>
    <w:rsid w:val="00A53F8E"/>
    <w:rsid w:val="00A54072"/>
    <w:rsid w:val="00A54F9A"/>
    <w:rsid w:val="00A606A1"/>
    <w:rsid w:val="00A61EC6"/>
    <w:rsid w:val="00A624F8"/>
    <w:rsid w:val="00A65338"/>
    <w:rsid w:val="00A65AEC"/>
    <w:rsid w:val="00A70089"/>
    <w:rsid w:val="00A70F5A"/>
    <w:rsid w:val="00A71104"/>
    <w:rsid w:val="00A71E1E"/>
    <w:rsid w:val="00A732F9"/>
    <w:rsid w:val="00A73754"/>
    <w:rsid w:val="00A744CF"/>
    <w:rsid w:val="00A76B72"/>
    <w:rsid w:val="00A81ADA"/>
    <w:rsid w:val="00A82E2C"/>
    <w:rsid w:val="00A8354E"/>
    <w:rsid w:val="00A8436C"/>
    <w:rsid w:val="00A869FF"/>
    <w:rsid w:val="00A93790"/>
    <w:rsid w:val="00A955F7"/>
    <w:rsid w:val="00A95BB1"/>
    <w:rsid w:val="00A95CBA"/>
    <w:rsid w:val="00A96B3D"/>
    <w:rsid w:val="00A96B9C"/>
    <w:rsid w:val="00A96CAA"/>
    <w:rsid w:val="00A970BF"/>
    <w:rsid w:val="00AA157C"/>
    <w:rsid w:val="00AA1D91"/>
    <w:rsid w:val="00AA425D"/>
    <w:rsid w:val="00AA4F59"/>
    <w:rsid w:val="00AA64EB"/>
    <w:rsid w:val="00AB0E80"/>
    <w:rsid w:val="00AB3039"/>
    <w:rsid w:val="00AB341D"/>
    <w:rsid w:val="00AB3CEE"/>
    <w:rsid w:val="00AB3E2E"/>
    <w:rsid w:val="00AB7449"/>
    <w:rsid w:val="00AB7E43"/>
    <w:rsid w:val="00AC2BD7"/>
    <w:rsid w:val="00AC2F9C"/>
    <w:rsid w:val="00AC31BE"/>
    <w:rsid w:val="00AC36ED"/>
    <w:rsid w:val="00AC3935"/>
    <w:rsid w:val="00AC3992"/>
    <w:rsid w:val="00AC6933"/>
    <w:rsid w:val="00AD04BB"/>
    <w:rsid w:val="00AD1870"/>
    <w:rsid w:val="00AD26A0"/>
    <w:rsid w:val="00AD4870"/>
    <w:rsid w:val="00AD4A32"/>
    <w:rsid w:val="00AD4A86"/>
    <w:rsid w:val="00AD625E"/>
    <w:rsid w:val="00AD63C9"/>
    <w:rsid w:val="00AD677B"/>
    <w:rsid w:val="00AD702D"/>
    <w:rsid w:val="00AD713E"/>
    <w:rsid w:val="00AE1544"/>
    <w:rsid w:val="00AE2DD1"/>
    <w:rsid w:val="00AE325E"/>
    <w:rsid w:val="00AE3350"/>
    <w:rsid w:val="00AE50C3"/>
    <w:rsid w:val="00AE631C"/>
    <w:rsid w:val="00AF0929"/>
    <w:rsid w:val="00AF095A"/>
    <w:rsid w:val="00AF226B"/>
    <w:rsid w:val="00AF238E"/>
    <w:rsid w:val="00AF494C"/>
    <w:rsid w:val="00AF6A0E"/>
    <w:rsid w:val="00B0111D"/>
    <w:rsid w:val="00B04409"/>
    <w:rsid w:val="00B10EFF"/>
    <w:rsid w:val="00B129F2"/>
    <w:rsid w:val="00B1366F"/>
    <w:rsid w:val="00B13D20"/>
    <w:rsid w:val="00B14611"/>
    <w:rsid w:val="00B16F56"/>
    <w:rsid w:val="00B231AD"/>
    <w:rsid w:val="00B24207"/>
    <w:rsid w:val="00B26215"/>
    <w:rsid w:val="00B277B2"/>
    <w:rsid w:val="00B32AA6"/>
    <w:rsid w:val="00B32AF8"/>
    <w:rsid w:val="00B33E60"/>
    <w:rsid w:val="00B34D43"/>
    <w:rsid w:val="00B368D2"/>
    <w:rsid w:val="00B374D8"/>
    <w:rsid w:val="00B37ACE"/>
    <w:rsid w:val="00B37BB0"/>
    <w:rsid w:val="00B40DD4"/>
    <w:rsid w:val="00B41560"/>
    <w:rsid w:val="00B42D71"/>
    <w:rsid w:val="00B441DF"/>
    <w:rsid w:val="00B44429"/>
    <w:rsid w:val="00B44AB0"/>
    <w:rsid w:val="00B458B6"/>
    <w:rsid w:val="00B45E1E"/>
    <w:rsid w:val="00B529C7"/>
    <w:rsid w:val="00B53D47"/>
    <w:rsid w:val="00B550ED"/>
    <w:rsid w:val="00B553F2"/>
    <w:rsid w:val="00B56040"/>
    <w:rsid w:val="00B5647E"/>
    <w:rsid w:val="00B5700F"/>
    <w:rsid w:val="00B6067D"/>
    <w:rsid w:val="00B7017A"/>
    <w:rsid w:val="00B71AD5"/>
    <w:rsid w:val="00B72D1E"/>
    <w:rsid w:val="00B764C1"/>
    <w:rsid w:val="00B77425"/>
    <w:rsid w:val="00B77952"/>
    <w:rsid w:val="00B8100D"/>
    <w:rsid w:val="00B83AB2"/>
    <w:rsid w:val="00B87ADF"/>
    <w:rsid w:val="00B90397"/>
    <w:rsid w:val="00B91BA6"/>
    <w:rsid w:val="00B92D33"/>
    <w:rsid w:val="00B93447"/>
    <w:rsid w:val="00B93A60"/>
    <w:rsid w:val="00B9667C"/>
    <w:rsid w:val="00B97C2A"/>
    <w:rsid w:val="00BA050D"/>
    <w:rsid w:val="00BA1798"/>
    <w:rsid w:val="00BA31E3"/>
    <w:rsid w:val="00BA3B33"/>
    <w:rsid w:val="00BA43C4"/>
    <w:rsid w:val="00BA6070"/>
    <w:rsid w:val="00BB01DB"/>
    <w:rsid w:val="00BB5242"/>
    <w:rsid w:val="00BB556D"/>
    <w:rsid w:val="00BB574B"/>
    <w:rsid w:val="00BB6BFB"/>
    <w:rsid w:val="00BC06C7"/>
    <w:rsid w:val="00BC07F5"/>
    <w:rsid w:val="00BC1367"/>
    <w:rsid w:val="00BC1A4F"/>
    <w:rsid w:val="00BC2E79"/>
    <w:rsid w:val="00BC3F7A"/>
    <w:rsid w:val="00BC6079"/>
    <w:rsid w:val="00BC64A5"/>
    <w:rsid w:val="00BC68CD"/>
    <w:rsid w:val="00BD141D"/>
    <w:rsid w:val="00BD1AA0"/>
    <w:rsid w:val="00BD2AFA"/>
    <w:rsid w:val="00BD30B2"/>
    <w:rsid w:val="00BD44C8"/>
    <w:rsid w:val="00BD64F3"/>
    <w:rsid w:val="00BE02A6"/>
    <w:rsid w:val="00BE10FF"/>
    <w:rsid w:val="00BE13FD"/>
    <w:rsid w:val="00BE1406"/>
    <w:rsid w:val="00BE1C78"/>
    <w:rsid w:val="00BE2C95"/>
    <w:rsid w:val="00BE3699"/>
    <w:rsid w:val="00BF01DF"/>
    <w:rsid w:val="00BF090B"/>
    <w:rsid w:val="00BF28F7"/>
    <w:rsid w:val="00BF535F"/>
    <w:rsid w:val="00BF5BD4"/>
    <w:rsid w:val="00BF6624"/>
    <w:rsid w:val="00BF693A"/>
    <w:rsid w:val="00C00564"/>
    <w:rsid w:val="00C005F5"/>
    <w:rsid w:val="00C01410"/>
    <w:rsid w:val="00C02AE7"/>
    <w:rsid w:val="00C03D93"/>
    <w:rsid w:val="00C04A40"/>
    <w:rsid w:val="00C0597F"/>
    <w:rsid w:val="00C06479"/>
    <w:rsid w:val="00C068C7"/>
    <w:rsid w:val="00C110DA"/>
    <w:rsid w:val="00C1182E"/>
    <w:rsid w:val="00C12555"/>
    <w:rsid w:val="00C13DB4"/>
    <w:rsid w:val="00C14886"/>
    <w:rsid w:val="00C153CE"/>
    <w:rsid w:val="00C16331"/>
    <w:rsid w:val="00C16572"/>
    <w:rsid w:val="00C174CD"/>
    <w:rsid w:val="00C20E93"/>
    <w:rsid w:val="00C22788"/>
    <w:rsid w:val="00C2750C"/>
    <w:rsid w:val="00C30909"/>
    <w:rsid w:val="00C40C74"/>
    <w:rsid w:val="00C412D5"/>
    <w:rsid w:val="00C43569"/>
    <w:rsid w:val="00C51969"/>
    <w:rsid w:val="00C5424F"/>
    <w:rsid w:val="00C55C75"/>
    <w:rsid w:val="00C56455"/>
    <w:rsid w:val="00C564F8"/>
    <w:rsid w:val="00C613F3"/>
    <w:rsid w:val="00C64997"/>
    <w:rsid w:val="00C6499C"/>
    <w:rsid w:val="00C67F9A"/>
    <w:rsid w:val="00C70B3A"/>
    <w:rsid w:val="00C70B99"/>
    <w:rsid w:val="00C721A2"/>
    <w:rsid w:val="00C72983"/>
    <w:rsid w:val="00C73F1A"/>
    <w:rsid w:val="00C81347"/>
    <w:rsid w:val="00C82862"/>
    <w:rsid w:val="00C83BDC"/>
    <w:rsid w:val="00C9170D"/>
    <w:rsid w:val="00C91EE1"/>
    <w:rsid w:val="00C91FA3"/>
    <w:rsid w:val="00C93685"/>
    <w:rsid w:val="00C93B1F"/>
    <w:rsid w:val="00C95267"/>
    <w:rsid w:val="00C95F1F"/>
    <w:rsid w:val="00C97021"/>
    <w:rsid w:val="00C97AD0"/>
    <w:rsid w:val="00CA1B2C"/>
    <w:rsid w:val="00CA2463"/>
    <w:rsid w:val="00CA24EC"/>
    <w:rsid w:val="00CA76A7"/>
    <w:rsid w:val="00CA7FFD"/>
    <w:rsid w:val="00CB2462"/>
    <w:rsid w:val="00CB2F10"/>
    <w:rsid w:val="00CB3A89"/>
    <w:rsid w:val="00CB55E9"/>
    <w:rsid w:val="00CB5F53"/>
    <w:rsid w:val="00CC157C"/>
    <w:rsid w:val="00CC183E"/>
    <w:rsid w:val="00CC3CB7"/>
    <w:rsid w:val="00CC4967"/>
    <w:rsid w:val="00CD18C8"/>
    <w:rsid w:val="00CD2079"/>
    <w:rsid w:val="00CD36C0"/>
    <w:rsid w:val="00CD54A8"/>
    <w:rsid w:val="00CE1514"/>
    <w:rsid w:val="00CE2D2E"/>
    <w:rsid w:val="00CE3715"/>
    <w:rsid w:val="00CE414F"/>
    <w:rsid w:val="00CE4C28"/>
    <w:rsid w:val="00CE4F4A"/>
    <w:rsid w:val="00CE5D56"/>
    <w:rsid w:val="00CE65A5"/>
    <w:rsid w:val="00CE7705"/>
    <w:rsid w:val="00CF1DFD"/>
    <w:rsid w:val="00CF4732"/>
    <w:rsid w:val="00CF4BF2"/>
    <w:rsid w:val="00CF4F93"/>
    <w:rsid w:val="00CF6245"/>
    <w:rsid w:val="00CF658C"/>
    <w:rsid w:val="00CF725E"/>
    <w:rsid w:val="00CF74FB"/>
    <w:rsid w:val="00CF7A5D"/>
    <w:rsid w:val="00CF7DD2"/>
    <w:rsid w:val="00D01F0B"/>
    <w:rsid w:val="00D01F7F"/>
    <w:rsid w:val="00D022E3"/>
    <w:rsid w:val="00D031F9"/>
    <w:rsid w:val="00D0423C"/>
    <w:rsid w:val="00D048A5"/>
    <w:rsid w:val="00D04F93"/>
    <w:rsid w:val="00D054DE"/>
    <w:rsid w:val="00D05FEE"/>
    <w:rsid w:val="00D062CE"/>
    <w:rsid w:val="00D10945"/>
    <w:rsid w:val="00D133F8"/>
    <w:rsid w:val="00D15759"/>
    <w:rsid w:val="00D15881"/>
    <w:rsid w:val="00D16A5F"/>
    <w:rsid w:val="00D2146E"/>
    <w:rsid w:val="00D2152A"/>
    <w:rsid w:val="00D215CD"/>
    <w:rsid w:val="00D2235E"/>
    <w:rsid w:val="00D22EDC"/>
    <w:rsid w:val="00D269DC"/>
    <w:rsid w:val="00D27B9C"/>
    <w:rsid w:val="00D34FD5"/>
    <w:rsid w:val="00D36F7E"/>
    <w:rsid w:val="00D4030F"/>
    <w:rsid w:val="00D4076D"/>
    <w:rsid w:val="00D416C1"/>
    <w:rsid w:val="00D44A5A"/>
    <w:rsid w:val="00D4531A"/>
    <w:rsid w:val="00D46136"/>
    <w:rsid w:val="00D46699"/>
    <w:rsid w:val="00D46788"/>
    <w:rsid w:val="00D47A97"/>
    <w:rsid w:val="00D50824"/>
    <w:rsid w:val="00D5096F"/>
    <w:rsid w:val="00D50FB7"/>
    <w:rsid w:val="00D542B5"/>
    <w:rsid w:val="00D54435"/>
    <w:rsid w:val="00D55DEE"/>
    <w:rsid w:val="00D56F92"/>
    <w:rsid w:val="00D60C9D"/>
    <w:rsid w:val="00D623C5"/>
    <w:rsid w:val="00D6296B"/>
    <w:rsid w:val="00D63403"/>
    <w:rsid w:val="00D64F71"/>
    <w:rsid w:val="00D65BDD"/>
    <w:rsid w:val="00D67C27"/>
    <w:rsid w:val="00D703D8"/>
    <w:rsid w:val="00D73C6B"/>
    <w:rsid w:val="00D75017"/>
    <w:rsid w:val="00D7709B"/>
    <w:rsid w:val="00D77A9A"/>
    <w:rsid w:val="00D806A3"/>
    <w:rsid w:val="00D806AE"/>
    <w:rsid w:val="00D815FA"/>
    <w:rsid w:val="00D8166F"/>
    <w:rsid w:val="00D8345F"/>
    <w:rsid w:val="00D83E7F"/>
    <w:rsid w:val="00D84E62"/>
    <w:rsid w:val="00D8715E"/>
    <w:rsid w:val="00D922B0"/>
    <w:rsid w:val="00D936CC"/>
    <w:rsid w:val="00D979D7"/>
    <w:rsid w:val="00DA034E"/>
    <w:rsid w:val="00DA0351"/>
    <w:rsid w:val="00DA22B4"/>
    <w:rsid w:val="00DA36C5"/>
    <w:rsid w:val="00DA4480"/>
    <w:rsid w:val="00DA4591"/>
    <w:rsid w:val="00DA4BE3"/>
    <w:rsid w:val="00DA669B"/>
    <w:rsid w:val="00DB00C9"/>
    <w:rsid w:val="00DB1731"/>
    <w:rsid w:val="00DB2BD9"/>
    <w:rsid w:val="00DB3852"/>
    <w:rsid w:val="00DB3E99"/>
    <w:rsid w:val="00DB59BB"/>
    <w:rsid w:val="00DB78C3"/>
    <w:rsid w:val="00DB7B37"/>
    <w:rsid w:val="00DC08A5"/>
    <w:rsid w:val="00DC3509"/>
    <w:rsid w:val="00DC43BC"/>
    <w:rsid w:val="00DC4D56"/>
    <w:rsid w:val="00DC4E73"/>
    <w:rsid w:val="00DC4F56"/>
    <w:rsid w:val="00DC5E18"/>
    <w:rsid w:val="00DC6870"/>
    <w:rsid w:val="00DD0D26"/>
    <w:rsid w:val="00DD12F8"/>
    <w:rsid w:val="00DD3E78"/>
    <w:rsid w:val="00DD4C37"/>
    <w:rsid w:val="00DD5134"/>
    <w:rsid w:val="00DD5899"/>
    <w:rsid w:val="00DD69B6"/>
    <w:rsid w:val="00DE1C22"/>
    <w:rsid w:val="00DE1D24"/>
    <w:rsid w:val="00DE2C1B"/>
    <w:rsid w:val="00DE55FF"/>
    <w:rsid w:val="00DF0042"/>
    <w:rsid w:val="00DF079A"/>
    <w:rsid w:val="00DF0F4E"/>
    <w:rsid w:val="00DF2DB0"/>
    <w:rsid w:val="00DF2E1A"/>
    <w:rsid w:val="00DF3EEF"/>
    <w:rsid w:val="00DF5419"/>
    <w:rsid w:val="00DF7449"/>
    <w:rsid w:val="00DF7667"/>
    <w:rsid w:val="00E04107"/>
    <w:rsid w:val="00E04AB1"/>
    <w:rsid w:val="00E05E4D"/>
    <w:rsid w:val="00E1085B"/>
    <w:rsid w:val="00E129B1"/>
    <w:rsid w:val="00E147CB"/>
    <w:rsid w:val="00E14B7A"/>
    <w:rsid w:val="00E14DDD"/>
    <w:rsid w:val="00E15268"/>
    <w:rsid w:val="00E20ABA"/>
    <w:rsid w:val="00E21C47"/>
    <w:rsid w:val="00E21CA4"/>
    <w:rsid w:val="00E246DE"/>
    <w:rsid w:val="00E247E3"/>
    <w:rsid w:val="00E25695"/>
    <w:rsid w:val="00E256D7"/>
    <w:rsid w:val="00E25F89"/>
    <w:rsid w:val="00E274C3"/>
    <w:rsid w:val="00E27AFA"/>
    <w:rsid w:val="00E31575"/>
    <w:rsid w:val="00E32308"/>
    <w:rsid w:val="00E3255D"/>
    <w:rsid w:val="00E3519C"/>
    <w:rsid w:val="00E35BF5"/>
    <w:rsid w:val="00E364CB"/>
    <w:rsid w:val="00E36661"/>
    <w:rsid w:val="00E36C67"/>
    <w:rsid w:val="00E37D78"/>
    <w:rsid w:val="00E4009C"/>
    <w:rsid w:val="00E41CDF"/>
    <w:rsid w:val="00E46A37"/>
    <w:rsid w:val="00E471C2"/>
    <w:rsid w:val="00E4790B"/>
    <w:rsid w:val="00E50964"/>
    <w:rsid w:val="00E52016"/>
    <w:rsid w:val="00E5334D"/>
    <w:rsid w:val="00E53AF9"/>
    <w:rsid w:val="00E54CB8"/>
    <w:rsid w:val="00E57355"/>
    <w:rsid w:val="00E60170"/>
    <w:rsid w:val="00E61252"/>
    <w:rsid w:val="00E62942"/>
    <w:rsid w:val="00E62CA9"/>
    <w:rsid w:val="00E62FF6"/>
    <w:rsid w:val="00E66C5C"/>
    <w:rsid w:val="00E707D8"/>
    <w:rsid w:val="00E70A19"/>
    <w:rsid w:val="00E71836"/>
    <w:rsid w:val="00E72BD2"/>
    <w:rsid w:val="00E75F75"/>
    <w:rsid w:val="00E75F7A"/>
    <w:rsid w:val="00E76A48"/>
    <w:rsid w:val="00E76C50"/>
    <w:rsid w:val="00E81FA4"/>
    <w:rsid w:val="00E845BB"/>
    <w:rsid w:val="00E85CFA"/>
    <w:rsid w:val="00E87E18"/>
    <w:rsid w:val="00E922BC"/>
    <w:rsid w:val="00E93274"/>
    <w:rsid w:val="00E93866"/>
    <w:rsid w:val="00E95611"/>
    <w:rsid w:val="00EA30D6"/>
    <w:rsid w:val="00EA349D"/>
    <w:rsid w:val="00EA4484"/>
    <w:rsid w:val="00EA47D3"/>
    <w:rsid w:val="00EA4E7A"/>
    <w:rsid w:val="00EA67A3"/>
    <w:rsid w:val="00EB17D1"/>
    <w:rsid w:val="00EB2E8C"/>
    <w:rsid w:val="00EB4EF5"/>
    <w:rsid w:val="00EB50D4"/>
    <w:rsid w:val="00EB73EF"/>
    <w:rsid w:val="00EB7723"/>
    <w:rsid w:val="00EC29BD"/>
    <w:rsid w:val="00EC315E"/>
    <w:rsid w:val="00EC34DA"/>
    <w:rsid w:val="00EC4701"/>
    <w:rsid w:val="00EC5816"/>
    <w:rsid w:val="00EC59B2"/>
    <w:rsid w:val="00ED0F6D"/>
    <w:rsid w:val="00ED28FF"/>
    <w:rsid w:val="00ED397F"/>
    <w:rsid w:val="00ED3C89"/>
    <w:rsid w:val="00ED5816"/>
    <w:rsid w:val="00ED5A05"/>
    <w:rsid w:val="00ED5F09"/>
    <w:rsid w:val="00ED73B1"/>
    <w:rsid w:val="00ED7C15"/>
    <w:rsid w:val="00EE04C8"/>
    <w:rsid w:val="00EE2EBC"/>
    <w:rsid w:val="00EE4339"/>
    <w:rsid w:val="00EE51D8"/>
    <w:rsid w:val="00EE695F"/>
    <w:rsid w:val="00EE71E8"/>
    <w:rsid w:val="00EF4D8F"/>
    <w:rsid w:val="00EF542D"/>
    <w:rsid w:val="00EF64F0"/>
    <w:rsid w:val="00F00768"/>
    <w:rsid w:val="00F05C50"/>
    <w:rsid w:val="00F06956"/>
    <w:rsid w:val="00F07304"/>
    <w:rsid w:val="00F0759D"/>
    <w:rsid w:val="00F07AB0"/>
    <w:rsid w:val="00F1593B"/>
    <w:rsid w:val="00F168E0"/>
    <w:rsid w:val="00F222C3"/>
    <w:rsid w:val="00F23160"/>
    <w:rsid w:val="00F23722"/>
    <w:rsid w:val="00F23CA2"/>
    <w:rsid w:val="00F272AF"/>
    <w:rsid w:val="00F304C3"/>
    <w:rsid w:val="00F32194"/>
    <w:rsid w:val="00F35092"/>
    <w:rsid w:val="00F36C93"/>
    <w:rsid w:val="00F37610"/>
    <w:rsid w:val="00F37BEF"/>
    <w:rsid w:val="00F415C8"/>
    <w:rsid w:val="00F424EF"/>
    <w:rsid w:val="00F4742C"/>
    <w:rsid w:val="00F5316F"/>
    <w:rsid w:val="00F53201"/>
    <w:rsid w:val="00F55B30"/>
    <w:rsid w:val="00F55C71"/>
    <w:rsid w:val="00F57242"/>
    <w:rsid w:val="00F5737F"/>
    <w:rsid w:val="00F57EA7"/>
    <w:rsid w:val="00F61651"/>
    <w:rsid w:val="00F6324B"/>
    <w:rsid w:val="00F63FA7"/>
    <w:rsid w:val="00F64C02"/>
    <w:rsid w:val="00F64D9C"/>
    <w:rsid w:val="00F65730"/>
    <w:rsid w:val="00F6701E"/>
    <w:rsid w:val="00F6795E"/>
    <w:rsid w:val="00F709B6"/>
    <w:rsid w:val="00F72968"/>
    <w:rsid w:val="00F74667"/>
    <w:rsid w:val="00F74F22"/>
    <w:rsid w:val="00F75C44"/>
    <w:rsid w:val="00F75C96"/>
    <w:rsid w:val="00F77BB5"/>
    <w:rsid w:val="00F83D62"/>
    <w:rsid w:val="00F8426B"/>
    <w:rsid w:val="00F86372"/>
    <w:rsid w:val="00F868AF"/>
    <w:rsid w:val="00F903F6"/>
    <w:rsid w:val="00F904FE"/>
    <w:rsid w:val="00F909CB"/>
    <w:rsid w:val="00F9338F"/>
    <w:rsid w:val="00F93505"/>
    <w:rsid w:val="00F93A19"/>
    <w:rsid w:val="00F949B8"/>
    <w:rsid w:val="00F94FA0"/>
    <w:rsid w:val="00F95BDC"/>
    <w:rsid w:val="00F9760C"/>
    <w:rsid w:val="00FA22C1"/>
    <w:rsid w:val="00FA3241"/>
    <w:rsid w:val="00FA5D4D"/>
    <w:rsid w:val="00FA615E"/>
    <w:rsid w:val="00FA6F39"/>
    <w:rsid w:val="00FA7A22"/>
    <w:rsid w:val="00FA7F88"/>
    <w:rsid w:val="00FB0DA2"/>
    <w:rsid w:val="00FB17A9"/>
    <w:rsid w:val="00FB1F39"/>
    <w:rsid w:val="00FB251F"/>
    <w:rsid w:val="00FB3780"/>
    <w:rsid w:val="00FB3E17"/>
    <w:rsid w:val="00FB5D32"/>
    <w:rsid w:val="00FC2DD7"/>
    <w:rsid w:val="00FC3695"/>
    <w:rsid w:val="00FC5F6A"/>
    <w:rsid w:val="00FC77A5"/>
    <w:rsid w:val="00FC7AEE"/>
    <w:rsid w:val="00FD02AC"/>
    <w:rsid w:val="00FD1468"/>
    <w:rsid w:val="00FD2171"/>
    <w:rsid w:val="00FD28C3"/>
    <w:rsid w:val="00FD3F73"/>
    <w:rsid w:val="00FD4E9B"/>
    <w:rsid w:val="00FD5067"/>
    <w:rsid w:val="00FD6120"/>
    <w:rsid w:val="00FE1199"/>
    <w:rsid w:val="00FE18F6"/>
    <w:rsid w:val="00FE1BC7"/>
    <w:rsid w:val="00FE24DC"/>
    <w:rsid w:val="00FE271C"/>
    <w:rsid w:val="00FE3CA4"/>
    <w:rsid w:val="00FE42D2"/>
    <w:rsid w:val="00FE6B8D"/>
    <w:rsid w:val="00FE7E0A"/>
    <w:rsid w:val="00FF07E7"/>
    <w:rsid w:val="00FF0952"/>
    <w:rsid w:val="00FF0BA6"/>
    <w:rsid w:val="00FF2B08"/>
    <w:rsid w:val="00FF3DB5"/>
    <w:rsid w:val="00FF48E7"/>
    <w:rsid w:val="00FF4AD3"/>
    <w:rsid w:val="00FF5ACE"/>
    <w:rsid w:val="00FF6093"/>
    <w:rsid w:val="00FF7A18"/>
    <w:rsid w:val="00FF7C10"/>
    <w:rsid w:val="00FF7E68"/>
    <w:rsid w:val="014D488C"/>
    <w:rsid w:val="01C26E13"/>
    <w:rsid w:val="01C91FFA"/>
    <w:rsid w:val="02412843"/>
    <w:rsid w:val="024B6E08"/>
    <w:rsid w:val="02742FF6"/>
    <w:rsid w:val="027E62B1"/>
    <w:rsid w:val="038A570F"/>
    <w:rsid w:val="04367644"/>
    <w:rsid w:val="051F30EB"/>
    <w:rsid w:val="05303B80"/>
    <w:rsid w:val="057C6E2A"/>
    <w:rsid w:val="05E82FEB"/>
    <w:rsid w:val="05ED236E"/>
    <w:rsid w:val="06037A53"/>
    <w:rsid w:val="06512C4E"/>
    <w:rsid w:val="069200AB"/>
    <w:rsid w:val="078B7CA7"/>
    <w:rsid w:val="08226075"/>
    <w:rsid w:val="08243D7A"/>
    <w:rsid w:val="08DF02AB"/>
    <w:rsid w:val="09242161"/>
    <w:rsid w:val="09866978"/>
    <w:rsid w:val="0A853AD2"/>
    <w:rsid w:val="0ABC0E34"/>
    <w:rsid w:val="0BAD4690"/>
    <w:rsid w:val="0C7846DB"/>
    <w:rsid w:val="0CB0101E"/>
    <w:rsid w:val="0CC56A09"/>
    <w:rsid w:val="0DE46363"/>
    <w:rsid w:val="0DEC4DF4"/>
    <w:rsid w:val="0E4C6917"/>
    <w:rsid w:val="0E4F1A2E"/>
    <w:rsid w:val="0E520644"/>
    <w:rsid w:val="0E6D0107"/>
    <w:rsid w:val="0F032819"/>
    <w:rsid w:val="0F474DFC"/>
    <w:rsid w:val="0F7D3813"/>
    <w:rsid w:val="10017567"/>
    <w:rsid w:val="10604B93"/>
    <w:rsid w:val="107240FA"/>
    <w:rsid w:val="107E2A9F"/>
    <w:rsid w:val="10C83037"/>
    <w:rsid w:val="10E548CC"/>
    <w:rsid w:val="10E5667A"/>
    <w:rsid w:val="11793CCC"/>
    <w:rsid w:val="118E3222"/>
    <w:rsid w:val="11E940DB"/>
    <w:rsid w:val="11F0177A"/>
    <w:rsid w:val="11F6684A"/>
    <w:rsid w:val="12237788"/>
    <w:rsid w:val="12371A27"/>
    <w:rsid w:val="12D36D08"/>
    <w:rsid w:val="13B10B54"/>
    <w:rsid w:val="13DC1FB6"/>
    <w:rsid w:val="13EF4447"/>
    <w:rsid w:val="142A51C3"/>
    <w:rsid w:val="143C0CA7"/>
    <w:rsid w:val="144477AC"/>
    <w:rsid w:val="147C3637"/>
    <w:rsid w:val="15296810"/>
    <w:rsid w:val="15CF16A7"/>
    <w:rsid w:val="163D4862"/>
    <w:rsid w:val="16830CDC"/>
    <w:rsid w:val="176D604A"/>
    <w:rsid w:val="179901BE"/>
    <w:rsid w:val="179D1A5D"/>
    <w:rsid w:val="193D238A"/>
    <w:rsid w:val="194F6D87"/>
    <w:rsid w:val="19662123"/>
    <w:rsid w:val="19724248"/>
    <w:rsid w:val="19A3119F"/>
    <w:rsid w:val="1A73749A"/>
    <w:rsid w:val="1A7A3C7B"/>
    <w:rsid w:val="1A94711F"/>
    <w:rsid w:val="1B5D036C"/>
    <w:rsid w:val="1B950C9D"/>
    <w:rsid w:val="1BB306E2"/>
    <w:rsid w:val="1BCF41AF"/>
    <w:rsid w:val="1BD95B22"/>
    <w:rsid w:val="1BF9122C"/>
    <w:rsid w:val="1C057BD0"/>
    <w:rsid w:val="1C0C71B1"/>
    <w:rsid w:val="1C66599D"/>
    <w:rsid w:val="1C8C23C8"/>
    <w:rsid w:val="1CB50100"/>
    <w:rsid w:val="1CBE5E47"/>
    <w:rsid w:val="1CC41839"/>
    <w:rsid w:val="1D176647"/>
    <w:rsid w:val="1DCF4839"/>
    <w:rsid w:val="1DD22545"/>
    <w:rsid w:val="1E911BEF"/>
    <w:rsid w:val="1E970AB2"/>
    <w:rsid w:val="1EB25A35"/>
    <w:rsid w:val="1EC14B9F"/>
    <w:rsid w:val="1F071B72"/>
    <w:rsid w:val="1F15070B"/>
    <w:rsid w:val="1F1A5182"/>
    <w:rsid w:val="1F260042"/>
    <w:rsid w:val="1F3507CD"/>
    <w:rsid w:val="1F470500"/>
    <w:rsid w:val="1F8352B0"/>
    <w:rsid w:val="1FB40B92"/>
    <w:rsid w:val="1FB931AC"/>
    <w:rsid w:val="201326C2"/>
    <w:rsid w:val="206D4584"/>
    <w:rsid w:val="20FE7775"/>
    <w:rsid w:val="21162880"/>
    <w:rsid w:val="21471E23"/>
    <w:rsid w:val="21A8172A"/>
    <w:rsid w:val="220B1CB9"/>
    <w:rsid w:val="22327245"/>
    <w:rsid w:val="223A7F93"/>
    <w:rsid w:val="227200C5"/>
    <w:rsid w:val="228462FA"/>
    <w:rsid w:val="229677D4"/>
    <w:rsid w:val="23203390"/>
    <w:rsid w:val="23476D20"/>
    <w:rsid w:val="23B66BAD"/>
    <w:rsid w:val="23E14285"/>
    <w:rsid w:val="23ED1676"/>
    <w:rsid w:val="23F919E2"/>
    <w:rsid w:val="23FA1FE5"/>
    <w:rsid w:val="2565432C"/>
    <w:rsid w:val="25754019"/>
    <w:rsid w:val="25EE6A79"/>
    <w:rsid w:val="261044CE"/>
    <w:rsid w:val="2635497E"/>
    <w:rsid w:val="26431A21"/>
    <w:rsid w:val="26CF2CA9"/>
    <w:rsid w:val="27147861"/>
    <w:rsid w:val="2716781E"/>
    <w:rsid w:val="277F4CDB"/>
    <w:rsid w:val="27C4338D"/>
    <w:rsid w:val="280350A5"/>
    <w:rsid w:val="28247630"/>
    <w:rsid w:val="28366427"/>
    <w:rsid w:val="2867689A"/>
    <w:rsid w:val="288A795E"/>
    <w:rsid w:val="290B71CD"/>
    <w:rsid w:val="2959155B"/>
    <w:rsid w:val="29A038B7"/>
    <w:rsid w:val="2A68414C"/>
    <w:rsid w:val="2A843532"/>
    <w:rsid w:val="2A8D625F"/>
    <w:rsid w:val="2B8228D5"/>
    <w:rsid w:val="2BC77066"/>
    <w:rsid w:val="2CDE03DD"/>
    <w:rsid w:val="2CE61358"/>
    <w:rsid w:val="2CF822AB"/>
    <w:rsid w:val="2D1F486A"/>
    <w:rsid w:val="2D202ABC"/>
    <w:rsid w:val="2D26209C"/>
    <w:rsid w:val="2D361D31"/>
    <w:rsid w:val="2D616C31"/>
    <w:rsid w:val="2E6A6381"/>
    <w:rsid w:val="2E7F3812"/>
    <w:rsid w:val="2EF43FE7"/>
    <w:rsid w:val="2F5922B5"/>
    <w:rsid w:val="2F7964B4"/>
    <w:rsid w:val="2F8B67CD"/>
    <w:rsid w:val="2FC75471"/>
    <w:rsid w:val="302962C3"/>
    <w:rsid w:val="30E8111A"/>
    <w:rsid w:val="311D7478"/>
    <w:rsid w:val="31495768"/>
    <w:rsid w:val="314F1BC2"/>
    <w:rsid w:val="31CF75BF"/>
    <w:rsid w:val="322A7F39"/>
    <w:rsid w:val="327320B0"/>
    <w:rsid w:val="32987598"/>
    <w:rsid w:val="329B468E"/>
    <w:rsid w:val="32FF3174"/>
    <w:rsid w:val="3338057A"/>
    <w:rsid w:val="333F675D"/>
    <w:rsid w:val="339733AC"/>
    <w:rsid w:val="33D07732"/>
    <w:rsid w:val="34471B7D"/>
    <w:rsid w:val="34483FC9"/>
    <w:rsid w:val="34D008B0"/>
    <w:rsid w:val="34FF745B"/>
    <w:rsid w:val="3518051D"/>
    <w:rsid w:val="359F06A8"/>
    <w:rsid w:val="35C11770"/>
    <w:rsid w:val="35C44201"/>
    <w:rsid w:val="35F747D8"/>
    <w:rsid w:val="35FE7713"/>
    <w:rsid w:val="36BA6AD9"/>
    <w:rsid w:val="36F650C1"/>
    <w:rsid w:val="370130B6"/>
    <w:rsid w:val="37075230"/>
    <w:rsid w:val="37286EA0"/>
    <w:rsid w:val="37305C27"/>
    <w:rsid w:val="3732DD7F"/>
    <w:rsid w:val="37445638"/>
    <w:rsid w:val="375C0B95"/>
    <w:rsid w:val="37BE5A6B"/>
    <w:rsid w:val="37E82428"/>
    <w:rsid w:val="37F74F9B"/>
    <w:rsid w:val="381F23D2"/>
    <w:rsid w:val="38904026"/>
    <w:rsid w:val="38963D29"/>
    <w:rsid w:val="390A516A"/>
    <w:rsid w:val="391B05DB"/>
    <w:rsid w:val="396B1563"/>
    <w:rsid w:val="3A176FF5"/>
    <w:rsid w:val="3A8B353F"/>
    <w:rsid w:val="3AC71FEE"/>
    <w:rsid w:val="3AF70BD4"/>
    <w:rsid w:val="3B4E14F1"/>
    <w:rsid w:val="3B665D4A"/>
    <w:rsid w:val="3BCD02B3"/>
    <w:rsid w:val="3C261771"/>
    <w:rsid w:val="3C2B4FD9"/>
    <w:rsid w:val="3CB64024"/>
    <w:rsid w:val="3D18555E"/>
    <w:rsid w:val="3D2832C7"/>
    <w:rsid w:val="3D545782"/>
    <w:rsid w:val="3DA23079"/>
    <w:rsid w:val="3DA54918"/>
    <w:rsid w:val="3DE51D52"/>
    <w:rsid w:val="3E5325C6"/>
    <w:rsid w:val="3EBE3EE3"/>
    <w:rsid w:val="3EC314F9"/>
    <w:rsid w:val="3EF90B2E"/>
    <w:rsid w:val="3F3B42E1"/>
    <w:rsid w:val="3F9E6919"/>
    <w:rsid w:val="3FDD3FFA"/>
    <w:rsid w:val="3FF69F37"/>
    <w:rsid w:val="405A7C3B"/>
    <w:rsid w:val="40994C08"/>
    <w:rsid w:val="40D10A99"/>
    <w:rsid w:val="40DE65AE"/>
    <w:rsid w:val="41AE6491"/>
    <w:rsid w:val="41D2400B"/>
    <w:rsid w:val="41DF6121"/>
    <w:rsid w:val="421107CE"/>
    <w:rsid w:val="42A1532E"/>
    <w:rsid w:val="42A8131E"/>
    <w:rsid w:val="42CF20AD"/>
    <w:rsid w:val="431C742A"/>
    <w:rsid w:val="44FC5FA9"/>
    <w:rsid w:val="45154041"/>
    <w:rsid w:val="45352A25"/>
    <w:rsid w:val="453E49DF"/>
    <w:rsid w:val="46043CB1"/>
    <w:rsid w:val="46435328"/>
    <w:rsid w:val="46456C98"/>
    <w:rsid w:val="46F72688"/>
    <w:rsid w:val="47392CA0"/>
    <w:rsid w:val="477C4506"/>
    <w:rsid w:val="47F03878"/>
    <w:rsid w:val="47F21BDE"/>
    <w:rsid w:val="48E72288"/>
    <w:rsid w:val="490839D0"/>
    <w:rsid w:val="498428D5"/>
    <w:rsid w:val="49887FC1"/>
    <w:rsid w:val="49F509D5"/>
    <w:rsid w:val="4A173AAD"/>
    <w:rsid w:val="4A2964CA"/>
    <w:rsid w:val="4A6B49D4"/>
    <w:rsid w:val="4A7E0465"/>
    <w:rsid w:val="4AA2290B"/>
    <w:rsid w:val="4ABD7744"/>
    <w:rsid w:val="4AD14F9E"/>
    <w:rsid w:val="4B03252A"/>
    <w:rsid w:val="4B231D77"/>
    <w:rsid w:val="4B4439C2"/>
    <w:rsid w:val="4B8B15F1"/>
    <w:rsid w:val="4B9C080B"/>
    <w:rsid w:val="4BF214C5"/>
    <w:rsid w:val="4C257A37"/>
    <w:rsid w:val="4C40062D"/>
    <w:rsid w:val="4C975D73"/>
    <w:rsid w:val="4CF54750"/>
    <w:rsid w:val="4D356E3C"/>
    <w:rsid w:val="4D437196"/>
    <w:rsid w:val="4D626381"/>
    <w:rsid w:val="4D697710"/>
    <w:rsid w:val="4E375A78"/>
    <w:rsid w:val="4E4B7C0E"/>
    <w:rsid w:val="4E830A7B"/>
    <w:rsid w:val="4E9702AC"/>
    <w:rsid w:val="4EC842E9"/>
    <w:rsid w:val="4EE375AC"/>
    <w:rsid w:val="4F856012"/>
    <w:rsid w:val="4F880B95"/>
    <w:rsid w:val="4FF759F5"/>
    <w:rsid w:val="501F11CE"/>
    <w:rsid w:val="50483F54"/>
    <w:rsid w:val="50F35E64"/>
    <w:rsid w:val="51405AFB"/>
    <w:rsid w:val="527F1B70"/>
    <w:rsid w:val="52952D55"/>
    <w:rsid w:val="53130849"/>
    <w:rsid w:val="536F35A6"/>
    <w:rsid w:val="537D5F99"/>
    <w:rsid w:val="53AB6CD4"/>
    <w:rsid w:val="54106536"/>
    <w:rsid w:val="542C518A"/>
    <w:rsid w:val="54CB0CB0"/>
    <w:rsid w:val="55184C29"/>
    <w:rsid w:val="55346855"/>
    <w:rsid w:val="556A671B"/>
    <w:rsid w:val="55CF5E40"/>
    <w:rsid w:val="564E1B99"/>
    <w:rsid w:val="56B86445"/>
    <w:rsid w:val="56F5AEF8"/>
    <w:rsid w:val="57333148"/>
    <w:rsid w:val="57415259"/>
    <w:rsid w:val="57DC3966"/>
    <w:rsid w:val="580B30BA"/>
    <w:rsid w:val="58871392"/>
    <w:rsid w:val="58900246"/>
    <w:rsid w:val="58B42629"/>
    <w:rsid w:val="58CC408E"/>
    <w:rsid w:val="58CE0D6F"/>
    <w:rsid w:val="590E560F"/>
    <w:rsid w:val="59352B9C"/>
    <w:rsid w:val="594C0EDC"/>
    <w:rsid w:val="595D7828"/>
    <w:rsid w:val="5A6D06E6"/>
    <w:rsid w:val="5A837642"/>
    <w:rsid w:val="5A905800"/>
    <w:rsid w:val="5AFF7905"/>
    <w:rsid w:val="5B263B3A"/>
    <w:rsid w:val="5B390104"/>
    <w:rsid w:val="5B872F04"/>
    <w:rsid w:val="5B98435F"/>
    <w:rsid w:val="5BC54DDE"/>
    <w:rsid w:val="5BE57D8E"/>
    <w:rsid w:val="5C256068"/>
    <w:rsid w:val="5C89392A"/>
    <w:rsid w:val="5CC74453"/>
    <w:rsid w:val="5CE7144F"/>
    <w:rsid w:val="5CEE3EF7"/>
    <w:rsid w:val="5CF36FF6"/>
    <w:rsid w:val="5D5604BA"/>
    <w:rsid w:val="5D8435ED"/>
    <w:rsid w:val="5D887B5A"/>
    <w:rsid w:val="5DBA7B13"/>
    <w:rsid w:val="5E1D4024"/>
    <w:rsid w:val="5E75563E"/>
    <w:rsid w:val="5E8B1BDC"/>
    <w:rsid w:val="5EAE1426"/>
    <w:rsid w:val="5EB427B5"/>
    <w:rsid w:val="5EB96AC8"/>
    <w:rsid w:val="5F1A57BB"/>
    <w:rsid w:val="5F422365"/>
    <w:rsid w:val="5F5D0FE7"/>
    <w:rsid w:val="5F7726CA"/>
    <w:rsid w:val="5FE80F0D"/>
    <w:rsid w:val="60082DB8"/>
    <w:rsid w:val="600D03CE"/>
    <w:rsid w:val="607F2CC6"/>
    <w:rsid w:val="60FB46CB"/>
    <w:rsid w:val="61021EFD"/>
    <w:rsid w:val="6129607F"/>
    <w:rsid w:val="61646714"/>
    <w:rsid w:val="61C043EB"/>
    <w:rsid w:val="61F828A6"/>
    <w:rsid w:val="628030DA"/>
    <w:rsid w:val="62D77566"/>
    <w:rsid w:val="6341256A"/>
    <w:rsid w:val="63BA59ED"/>
    <w:rsid w:val="63E22FEC"/>
    <w:rsid w:val="63EB4ECB"/>
    <w:rsid w:val="6451274B"/>
    <w:rsid w:val="65293EFC"/>
    <w:rsid w:val="652E28C4"/>
    <w:rsid w:val="65691498"/>
    <w:rsid w:val="65906375"/>
    <w:rsid w:val="6599391E"/>
    <w:rsid w:val="65A4122E"/>
    <w:rsid w:val="66011B3F"/>
    <w:rsid w:val="662F5ADF"/>
    <w:rsid w:val="665B1C26"/>
    <w:rsid w:val="66710273"/>
    <w:rsid w:val="668F4D1B"/>
    <w:rsid w:val="66E142AB"/>
    <w:rsid w:val="66F82391"/>
    <w:rsid w:val="67895128"/>
    <w:rsid w:val="67B37AAD"/>
    <w:rsid w:val="67C03ADC"/>
    <w:rsid w:val="67F112DF"/>
    <w:rsid w:val="67F167F0"/>
    <w:rsid w:val="67FF7197"/>
    <w:rsid w:val="682B636F"/>
    <w:rsid w:val="68465680"/>
    <w:rsid w:val="68480F25"/>
    <w:rsid w:val="684E77D6"/>
    <w:rsid w:val="685A43CD"/>
    <w:rsid w:val="68A93F70"/>
    <w:rsid w:val="68C1269E"/>
    <w:rsid w:val="68DF31B8"/>
    <w:rsid w:val="69095F6B"/>
    <w:rsid w:val="693115D2"/>
    <w:rsid w:val="6A4D1245"/>
    <w:rsid w:val="6A6257BB"/>
    <w:rsid w:val="6B2B7CD4"/>
    <w:rsid w:val="6B6D3DAD"/>
    <w:rsid w:val="6BE86ABE"/>
    <w:rsid w:val="6C0A1067"/>
    <w:rsid w:val="6C33740F"/>
    <w:rsid w:val="6C6857D1"/>
    <w:rsid w:val="6C7877BF"/>
    <w:rsid w:val="6C7A4DA8"/>
    <w:rsid w:val="6C9205FA"/>
    <w:rsid w:val="6C953C26"/>
    <w:rsid w:val="6CA779DD"/>
    <w:rsid w:val="6D1F0D66"/>
    <w:rsid w:val="6D7A4878"/>
    <w:rsid w:val="6DD93FE6"/>
    <w:rsid w:val="6E3D27C7"/>
    <w:rsid w:val="6E4E6782"/>
    <w:rsid w:val="6E82467D"/>
    <w:rsid w:val="6EBA15CC"/>
    <w:rsid w:val="6EBC13CD"/>
    <w:rsid w:val="6F2B4FAA"/>
    <w:rsid w:val="6F655B31"/>
    <w:rsid w:val="6F7F1260"/>
    <w:rsid w:val="702F331C"/>
    <w:rsid w:val="70733FFD"/>
    <w:rsid w:val="708A15C7"/>
    <w:rsid w:val="71293C4F"/>
    <w:rsid w:val="71431EA2"/>
    <w:rsid w:val="72CB1E66"/>
    <w:rsid w:val="732F1389"/>
    <w:rsid w:val="7385293A"/>
    <w:rsid w:val="73CC37E3"/>
    <w:rsid w:val="74297678"/>
    <w:rsid w:val="7477780A"/>
    <w:rsid w:val="748465F9"/>
    <w:rsid w:val="74BF3F35"/>
    <w:rsid w:val="74FF4332"/>
    <w:rsid w:val="75157FF9"/>
    <w:rsid w:val="756D573F"/>
    <w:rsid w:val="759D28B3"/>
    <w:rsid w:val="76050263"/>
    <w:rsid w:val="762F681C"/>
    <w:rsid w:val="76471A69"/>
    <w:rsid w:val="765E6B90"/>
    <w:rsid w:val="7694420B"/>
    <w:rsid w:val="76D12379"/>
    <w:rsid w:val="76EE465E"/>
    <w:rsid w:val="76F30460"/>
    <w:rsid w:val="77100122"/>
    <w:rsid w:val="771F2A69"/>
    <w:rsid w:val="77391EDD"/>
    <w:rsid w:val="77861512"/>
    <w:rsid w:val="779E42D6"/>
    <w:rsid w:val="77B60FD9"/>
    <w:rsid w:val="780C4ED4"/>
    <w:rsid w:val="786A41B8"/>
    <w:rsid w:val="787A3D0F"/>
    <w:rsid w:val="78D17EA5"/>
    <w:rsid w:val="78FD502C"/>
    <w:rsid w:val="793A6280"/>
    <w:rsid w:val="7980515A"/>
    <w:rsid w:val="79C63670"/>
    <w:rsid w:val="7A5E1AFB"/>
    <w:rsid w:val="7A5F4D09"/>
    <w:rsid w:val="7A797A1E"/>
    <w:rsid w:val="7AC04563"/>
    <w:rsid w:val="7B2965AD"/>
    <w:rsid w:val="7B2C3B79"/>
    <w:rsid w:val="7B5A65E6"/>
    <w:rsid w:val="7B643141"/>
    <w:rsid w:val="7BAB5214"/>
    <w:rsid w:val="7BEEE34A"/>
    <w:rsid w:val="7C4F3E1D"/>
    <w:rsid w:val="7C52743D"/>
    <w:rsid w:val="7C7F3FAA"/>
    <w:rsid w:val="7CBC511F"/>
    <w:rsid w:val="7CD26E68"/>
    <w:rsid w:val="7D252DA4"/>
    <w:rsid w:val="7D260425"/>
    <w:rsid w:val="7D584F27"/>
    <w:rsid w:val="7D7109AB"/>
    <w:rsid w:val="7D747887"/>
    <w:rsid w:val="7D782F61"/>
    <w:rsid w:val="7D8471DA"/>
    <w:rsid w:val="7DD65E29"/>
    <w:rsid w:val="7E432F75"/>
    <w:rsid w:val="7E761B2B"/>
    <w:rsid w:val="7E8F2BCB"/>
    <w:rsid w:val="7EAB405F"/>
    <w:rsid w:val="7EBD8DC7"/>
    <w:rsid w:val="7F3F8158"/>
    <w:rsid w:val="7F572FBC"/>
    <w:rsid w:val="7F591C68"/>
    <w:rsid w:val="7F7B4EFD"/>
    <w:rsid w:val="7F8F6B0A"/>
    <w:rsid w:val="7F902172"/>
    <w:rsid w:val="7F9D7D08"/>
    <w:rsid w:val="7FB74E35"/>
    <w:rsid w:val="7FCC7507"/>
    <w:rsid w:val="7FCD3224"/>
    <w:rsid w:val="7FF058EB"/>
    <w:rsid w:val="B5F6DF84"/>
    <w:rsid w:val="B9FF307C"/>
    <w:rsid w:val="BEFECE07"/>
    <w:rsid w:val="C6FBA4B4"/>
    <w:rsid w:val="CDF5824A"/>
    <w:rsid w:val="CEDF9C6C"/>
    <w:rsid w:val="DF1B3D6C"/>
    <w:rsid w:val="E7F718ED"/>
    <w:rsid w:val="F2BF5203"/>
    <w:rsid w:val="F79FFC80"/>
    <w:rsid w:val="F7FBE423"/>
    <w:rsid w:val="FDFF4BCC"/>
    <w:rsid w:val="FFF3D8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iPriority="9"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nhideWhenUsed="0" w:uiPriority="0" w:semiHidden="0"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iPriority="99" w:semiHidden="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qFormat="1" w:unhideWhenUsed="0" w:uiPriority="0"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iPriority="0" w:semiHidden="0" w:name="Body Text First Indent 2"/>
    <w:lsdException w:uiPriority="99" w:name="Note Heading"/>
    <w:lsdException w:qFormat="1" w:unhideWhenUsed="0" w:uiPriority="0" w:semiHidden="0" w:name="Body Text 2"/>
    <w:lsdException w:qFormat="1" w:uiPriority="0" w:semiHidden="0" w:name="Body Text 3"/>
    <w:lsdException w:qFormat="1" w:unhideWhenUsed="0" w:uiPriority="99" w:semiHidden="0" w:name="Body Text Indent 2"/>
    <w:lsdException w:qFormat="1" w:unhideWhenUsed="0" w:uiPriority="0" w:semiHidden="0" w:name="Body Text Indent 3"/>
    <w:lsdException w:uiPriority="99" w:name="Block Text"/>
    <w:lsdException w:qFormat="1" w:uiPriority="99" w:semiHidden="0" w:name="Hyperlink"/>
    <w:lsdException w:qFormat="1" w:uiPriority="0"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宋体" w:hAnsi="宋体" w:eastAsia="宋体" w:cs="宋体"/>
      <w:sz w:val="22"/>
      <w:szCs w:val="22"/>
      <w:lang w:val="en-US" w:eastAsia="en-US" w:bidi="ar-SA"/>
    </w:rPr>
  </w:style>
  <w:style w:type="paragraph" w:styleId="4">
    <w:name w:val="heading 1"/>
    <w:basedOn w:val="1"/>
    <w:next w:val="1"/>
    <w:link w:val="54"/>
    <w:qFormat/>
    <w:uiPriority w:val="0"/>
    <w:pPr>
      <w:spacing w:line="590" w:lineRule="exact"/>
      <w:ind w:left="3"/>
      <w:jc w:val="center"/>
      <w:outlineLvl w:val="0"/>
    </w:pPr>
    <w:rPr>
      <w:rFonts w:ascii="Microsoft JhengHei" w:hAnsi="Microsoft JhengHei" w:eastAsia="Microsoft JhengHei" w:cs="Microsoft JhengHei"/>
      <w:b/>
      <w:bCs/>
      <w:sz w:val="44"/>
      <w:szCs w:val="44"/>
    </w:rPr>
  </w:style>
  <w:style w:type="paragraph" w:styleId="5">
    <w:name w:val="heading 2"/>
    <w:basedOn w:val="1"/>
    <w:next w:val="1"/>
    <w:link w:val="55"/>
    <w:qFormat/>
    <w:uiPriority w:val="0"/>
    <w:pPr>
      <w:ind w:left="100" w:right="108"/>
      <w:outlineLvl w:val="1"/>
    </w:pPr>
    <w:rPr>
      <w:rFonts w:ascii="Microsoft JhengHei" w:hAnsi="Microsoft JhengHei" w:eastAsia="Microsoft JhengHei" w:cs="Microsoft JhengHei"/>
      <w:b/>
      <w:bCs/>
      <w:sz w:val="32"/>
      <w:szCs w:val="32"/>
    </w:rPr>
  </w:style>
  <w:style w:type="paragraph" w:styleId="6">
    <w:name w:val="heading 3"/>
    <w:basedOn w:val="1"/>
    <w:next w:val="1"/>
    <w:link w:val="56"/>
    <w:qFormat/>
    <w:uiPriority w:val="0"/>
    <w:pPr>
      <w:ind w:left="237" w:right="108"/>
      <w:outlineLvl w:val="2"/>
    </w:pPr>
    <w:rPr>
      <w:sz w:val="28"/>
      <w:szCs w:val="28"/>
    </w:rPr>
  </w:style>
  <w:style w:type="paragraph" w:styleId="7">
    <w:name w:val="heading 4"/>
    <w:basedOn w:val="1"/>
    <w:next w:val="1"/>
    <w:link w:val="57"/>
    <w:qFormat/>
    <w:uiPriority w:val="99"/>
    <w:pPr>
      <w:ind w:left="513" w:right="108"/>
      <w:outlineLvl w:val="3"/>
    </w:pPr>
    <w:rPr>
      <w:rFonts w:ascii="Times New Roman" w:hAnsi="Times New Roman" w:eastAsia="Times New Roman" w:cs="Times New Roman"/>
      <w:b/>
      <w:bCs/>
      <w:sz w:val="21"/>
      <w:szCs w:val="21"/>
    </w:rPr>
  </w:style>
  <w:style w:type="paragraph" w:styleId="8">
    <w:name w:val="heading 6"/>
    <w:basedOn w:val="1"/>
    <w:next w:val="1"/>
    <w:link w:val="58"/>
    <w:qFormat/>
    <w:uiPriority w:val="0"/>
    <w:pPr>
      <w:keepNext/>
      <w:keepLines/>
      <w:widowControl/>
      <w:tabs>
        <w:tab w:val="left" w:pos="1440"/>
      </w:tabs>
      <w:spacing w:before="240" w:after="64" w:line="319" w:lineRule="auto"/>
      <w:ind w:left="1152" w:hanging="1152"/>
      <w:outlineLvl w:val="5"/>
    </w:pPr>
    <w:rPr>
      <w:rFonts w:ascii="Arial" w:hAnsi="Arial" w:eastAsia="黑体" w:cs="Times New Roman"/>
      <w:b/>
      <w:bCs/>
      <w:sz w:val="24"/>
      <w:szCs w:val="24"/>
      <w:lang w:val="zh-CN" w:eastAsia="zh-CN"/>
    </w:rPr>
  </w:style>
  <w:style w:type="paragraph" w:styleId="9">
    <w:name w:val="heading 7"/>
    <w:basedOn w:val="1"/>
    <w:next w:val="1"/>
    <w:link w:val="59"/>
    <w:qFormat/>
    <w:uiPriority w:val="0"/>
    <w:pPr>
      <w:keepNext/>
      <w:keepLines/>
      <w:widowControl/>
      <w:tabs>
        <w:tab w:val="left" w:pos="2520"/>
      </w:tabs>
      <w:spacing w:before="240" w:after="64" w:line="319" w:lineRule="auto"/>
      <w:ind w:left="1296" w:hanging="1296"/>
      <w:outlineLvl w:val="6"/>
    </w:pPr>
    <w:rPr>
      <w:rFonts w:ascii="Times New Roman" w:hAnsi="Times New Roman" w:cs="Times New Roman"/>
      <w:b/>
      <w:bCs/>
      <w:sz w:val="24"/>
      <w:szCs w:val="24"/>
      <w:lang w:val="zh-CN" w:eastAsia="zh-CN"/>
    </w:rPr>
  </w:style>
  <w:style w:type="paragraph" w:styleId="10">
    <w:name w:val="heading 8"/>
    <w:basedOn w:val="1"/>
    <w:next w:val="1"/>
    <w:link w:val="60"/>
    <w:qFormat/>
    <w:uiPriority w:val="0"/>
    <w:pPr>
      <w:keepNext/>
      <w:keepLines/>
      <w:widowControl/>
      <w:tabs>
        <w:tab w:val="left" w:pos="1440"/>
      </w:tabs>
      <w:spacing w:before="240" w:after="64" w:line="319" w:lineRule="auto"/>
      <w:ind w:left="1440" w:hanging="1440"/>
      <w:outlineLvl w:val="7"/>
    </w:pPr>
    <w:rPr>
      <w:rFonts w:ascii="Arial" w:hAnsi="Arial" w:eastAsia="黑体" w:cs="Times New Roman"/>
      <w:sz w:val="24"/>
      <w:szCs w:val="24"/>
      <w:lang w:val="zh-CN" w:eastAsia="zh-CN"/>
    </w:rPr>
  </w:style>
  <w:style w:type="paragraph" w:styleId="11">
    <w:name w:val="heading 9"/>
    <w:basedOn w:val="1"/>
    <w:next w:val="1"/>
    <w:link w:val="61"/>
    <w:qFormat/>
    <w:uiPriority w:val="0"/>
    <w:pPr>
      <w:keepNext/>
      <w:keepLines/>
      <w:widowControl/>
      <w:tabs>
        <w:tab w:val="left" w:pos="1584"/>
      </w:tabs>
      <w:spacing w:before="240" w:after="64" w:line="319" w:lineRule="auto"/>
      <w:ind w:left="1584" w:hanging="1584"/>
      <w:outlineLvl w:val="8"/>
    </w:pPr>
    <w:rPr>
      <w:rFonts w:ascii="Arial" w:hAnsi="Arial" w:eastAsia="黑体" w:cs="Times New Roman"/>
      <w:sz w:val="21"/>
      <w:szCs w:val="21"/>
      <w:lang w:val="zh-CN" w:eastAsia="zh-CN"/>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3"/>
    <w:link w:val="66"/>
    <w:unhideWhenUsed/>
    <w:qFormat/>
    <w:uiPriority w:val="0"/>
    <w:pPr>
      <w:jc w:val="both"/>
    </w:pPr>
    <w:rPr>
      <w:rFonts w:ascii="Courier New" w:hAnsi="Courier New" w:cs="Times New Roman"/>
      <w:kern w:val="2"/>
      <w:sz w:val="21"/>
      <w:szCs w:val="20"/>
      <w:lang w:eastAsia="zh-CN"/>
    </w:rPr>
  </w:style>
  <w:style w:type="paragraph" w:styleId="3">
    <w:name w:val="index 8"/>
    <w:basedOn w:val="1"/>
    <w:next w:val="1"/>
    <w:qFormat/>
    <w:uiPriority w:val="0"/>
    <w:pPr>
      <w:ind w:left="2940"/>
    </w:pPr>
  </w:style>
  <w:style w:type="paragraph" w:styleId="12">
    <w:name w:val="toc 7"/>
    <w:basedOn w:val="1"/>
    <w:next w:val="1"/>
    <w:unhideWhenUsed/>
    <w:qFormat/>
    <w:uiPriority w:val="39"/>
    <w:pPr>
      <w:ind w:left="2520" w:leftChars="1200"/>
      <w:jc w:val="both"/>
    </w:pPr>
    <w:rPr>
      <w:rFonts w:ascii="Calibri" w:hAnsi="Calibri" w:cs="Times New Roman"/>
      <w:kern w:val="2"/>
      <w:sz w:val="21"/>
      <w:lang w:eastAsia="zh-CN"/>
    </w:rPr>
  </w:style>
  <w:style w:type="paragraph" w:styleId="13">
    <w:name w:val="List Bullet 4"/>
    <w:basedOn w:val="1"/>
    <w:semiHidden/>
    <w:qFormat/>
    <w:uiPriority w:val="0"/>
    <w:pPr>
      <w:numPr>
        <w:ilvl w:val="0"/>
        <w:numId w:val="1"/>
      </w:numPr>
      <w:jc w:val="both"/>
    </w:pPr>
    <w:rPr>
      <w:rFonts w:ascii="Times New Roman" w:hAnsi="Times New Roman" w:cs="Times New Roman"/>
      <w:kern w:val="2"/>
      <w:sz w:val="21"/>
      <w:szCs w:val="24"/>
      <w:lang w:eastAsia="zh-CN"/>
    </w:rPr>
  </w:style>
  <w:style w:type="paragraph" w:styleId="14">
    <w:name w:val="Normal Indent"/>
    <w:basedOn w:val="1"/>
    <w:next w:val="1"/>
    <w:unhideWhenUsed/>
    <w:qFormat/>
    <w:uiPriority w:val="0"/>
    <w:pPr>
      <w:ind w:firstLine="420" w:firstLineChars="200"/>
      <w:jc w:val="both"/>
    </w:pPr>
    <w:rPr>
      <w:rFonts w:ascii="Times New Roman" w:hAnsi="Times New Roman" w:cs="Times New Roman"/>
      <w:kern w:val="2"/>
      <w:sz w:val="21"/>
      <w:szCs w:val="24"/>
      <w:lang w:eastAsia="zh-CN"/>
    </w:rPr>
  </w:style>
  <w:style w:type="paragraph" w:styleId="15">
    <w:name w:val="Document Map"/>
    <w:basedOn w:val="1"/>
    <w:link w:val="62"/>
    <w:unhideWhenUsed/>
    <w:qFormat/>
    <w:uiPriority w:val="0"/>
    <w:pPr>
      <w:jc w:val="both"/>
    </w:pPr>
    <w:rPr>
      <w:rFonts w:hAnsi="Times New Roman" w:cs="Times New Roman"/>
      <w:kern w:val="2"/>
      <w:sz w:val="18"/>
      <w:szCs w:val="18"/>
      <w:lang w:eastAsia="zh-CN"/>
    </w:rPr>
  </w:style>
  <w:style w:type="paragraph" w:styleId="16">
    <w:name w:val="annotation text"/>
    <w:basedOn w:val="1"/>
    <w:link w:val="63"/>
    <w:unhideWhenUsed/>
    <w:qFormat/>
    <w:uiPriority w:val="99"/>
  </w:style>
  <w:style w:type="paragraph" w:styleId="17">
    <w:name w:val="Body Text 3"/>
    <w:basedOn w:val="1"/>
    <w:link w:val="64"/>
    <w:unhideWhenUsed/>
    <w:qFormat/>
    <w:uiPriority w:val="0"/>
    <w:pPr>
      <w:spacing w:after="120"/>
    </w:pPr>
    <w:rPr>
      <w:sz w:val="16"/>
      <w:szCs w:val="16"/>
    </w:rPr>
  </w:style>
  <w:style w:type="paragraph" w:styleId="18">
    <w:name w:val="Body Text"/>
    <w:basedOn w:val="1"/>
    <w:link w:val="53"/>
    <w:qFormat/>
    <w:uiPriority w:val="99"/>
    <w:rPr>
      <w:sz w:val="21"/>
      <w:szCs w:val="21"/>
    </w:rPr>
  </w:style>
  <w:style w:type="paragraph" w:styleId="19">
    <w:name w:val="Body Text Indent"/>
    <w:basedOn w:val="1"/>
    <w:link w:val="65"/>
    <w:qFormat/>
    <w:uiPriority w:val="99"/>
    <w:pPr>
      <w:spacing w:after="120"/>
      <w:ind w:left="420" w:leftChars="200"/>
      <w:jc w:val="both"/>
    </w:pPr>
    <w:rPr>
      <w:rFonts w:ascii="Times New Roman" w:hAnsi="Times New Roman" w:cs="Times New Roman"/>
      <w:kern w:val="2"/>
      <w:sz w:val="21"/>
      <w:szCs w:val="24"/>
      <w:lang w:val="zh-CN" w:eastAsia="zh-CN"/>
    </w:rPr>
  </w:style>
  <w:style w:type="paragraph" w:styleId="20">
    <w:name w:val="toc 5"/>
    <w:basedOn w:val="1"/>
    <w:next w:val="1"/>
    <w:unhideWhenUsed/>
    <w:qFormat/>
    <w:uiPriority w:val="39"/>
    <w:pPr>
      <w:ind w:left="1680" w:leftChars="800"/>
      <w:jc w:val="both"/>
    </w:pPr>
    <w:rPr>
      <w:rFonts w:ascii="Calibri" w:hAnsi="Calibri" w:cs="Times New Roman"/>
      <w:kern w:val="2"/>
      <w:sz w:val="21"/>
      <w:lang w:eastAsia="zh-CN"/>
    </w:rPr>
  </w:style>
  <w:style w:type="paragraph" w:styleId="21">
    <w:name w:val="toc 3"/>
    <w:basedOn w:val="1"/>
    <w:next w:val="1"/>
    <w:qFormat/>
    <w:uiPriority w:val="39"/>
    <w:pPr>
      <w:spacing w:line="272" w:lineRule="exact"/>
      <w:ind w:left="940"/>
    </w:pPr>
    <w:rPr>
      <w:sz w:val="21"/>
      <w:szCs w:val="21"/>
    </w:rPr>
  </w:style>
  <w:style w:type="paragraph" w:styleId="22">
    <w:name w:val="toc 8"/>
    <w:basedOn w:val="1"/>
    <w:next w:val="1"/>
    <w:unhideWhenUsed/>
    <w:qFormat/>
    <w:uiPriority w:val="39"/>
    <w:pPr>
      <w:ind w:left="2940" w:leftChars="1400"/>
      <w:jc w:val="both"/>
    </w:pPr>
    <w:rPr>
      <w:rFonts w:ascii="Calibri" w:hAnsi="Calibri" w:cs="Times New Roman"/>
      <w:kern w:val="2"/>
      <w:sz w:val="21"/>
      <w:lang w:eastAsia="zh-CN"/>
    </w:rPr>
  </w:style>
  <w:style w:type="paragraph" w:styleId="23">
    <w:name w:val="Date"/>
    <w:basedOn w:val="1"/>
    <w:next w:val="1"/>
    <w:link w:val="67"/>
    <w:unhideWhenUsed/>
    <w:qFormat/>
    <w:uiPriority w:val="99"/>
    <w:pPr>
      <w:ind w:left="100" w:leftChars="2500"/>
      <w:jc w:val="both"/>
    </w:pPr>
    <w:rPr>
      <w:rFonts w:ascii="Times New Roman" w:hAnsi="Times New Roman" w:cs="Times New Roman"/>
      <w:kern w:val="2"/>
      <w:sz w:val="21"/>
      <w:szCs w:val="24"/>
      <w:lang w:eastAsia="zh-CN"/>
    </w:rPr>
  </w:style>
  <w:style w:type="paragraph" w:styleId="24">
    <w:name w:val="Body Text Indent 2"/>
    <w:basedOn w:val="1"/>
    <w:next w:val="1"/>
    <w:link w:val="68"/>
    <w:qFormat/>
    <w:uiPriority w:val="99"/>
    <w:pPr>
      <w:adjustRightInd w:val="0"/>
      <w:spacing w:line="360" w:lineRule="auto"/>
      <w:ind w:firstLine="624"/>
      <w:jc w:val="both"/>
      <w:textAlignment w:val="baseline"/>
    </w:pPr>
    <w:rPr>
      <w:rFonts w:hAnsi="Times New Roman" w:cs="Times New Roman"/>
      <w:spacing w:val="16"/>
      <w:kern w:val="2"/>
      <w:sz w:val="28"/>
      <w:szCs w:val="20"/>
      <w:lang w:eastAsia="zh-CN"/>
    </w:rPr>
  </w:style>
  <w:style w:type="paragraph" w:styleId="25">
    <w:name w:val="Balloon Text"/>
    <w:basedOn w:val="1"/>
    <w:link w:val="69"/>
    <w:unhideWhenUsed/>
    <w:qFormat/>
    <w:uiPriority w:val="99"/>
    <w:rPr>
      <w:sz w:val="18"/>
      <w:szCs w:val="18"/>
    </w:rPr>
  </w:style>
  <w:style w:type="paragraph" w:styleId="26">
    <w:name w:val="footer"/>
    <w:basedOn w:val="1"/>
    <w:link w:val="70"/>
    <w:unhideWhenUsed/>
    <w:qFormat/>
    <w:uiPriority w:val="99"/>
    <w:pPr>
      <w:tabs>
        <w:tab w:val="center" w:pos="4153"/>
        <w:tab w:val="right" w:pos="8306"/>
      </w:tabs>
      <w:snapToGrid w:val="0"/>
    </w:pPr>
    <w:rPr>
      <w:sz w:val="18"/>
      <w:szCs w:val="18"/>
    </w:rPr>
  </w:style>
  <w:style w:type="paragraph" w:styleId="27">
    <w:name w:val="header"/>
    <w:basedOn w:val="1"/>
    <w:link w:val="71"/>
    <w:unhideWhenUsed/>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spacing w:line="272" w:lineRule="exact"/>
      <w:ind w:left="100"/>
    </w:pPr>
    <w:rPr>
      <w:sz w:val="21"/>
      <w:szCs w:val="21"/>
    </w:rPr>
  </w:style>
  <w:style w:type="paragraph" w:styleId="29">
    <w:name w:val="toc 4"/>
    <w:basedOn w:val="1"/>
    <w:next w:val="1"/>
    <w:unhideWhenUsed/>
    <w:qFormat/>
    <w:uiPriority w:val="39"/>
    <w:pPr>
      <w:ind w:left="1260" w:leftChars="600"/>
    </w:pPr>
  </w:style>
  <w:style w:type="paragraph" w:styleId="30">
    <w:name w:val="footnote text"/>
    <w:basedOn w:val="1"/>
    <w:link w:val="72"/>
    <w:qFormat/>
    <w:uiPriority w:val="0"/>
    <w:pPr>
      <w:jc w:val="both"/>
    </w:pPr>
    <w:rPr>
      <w:rFonts w:ascii="Times New Roman" w:hAnsi="Times New Roman" w:cs="Times New Roman"/>
      <w:kern w:val="2"/>
      <w:sz w:val="20"/>
      <w:szCs w:val="20"/>
      <w:lang w:val="zh-CN" w:eastAsia="zh-CN"/>
    </w:rPr>
  </w:style>
  <w:style w:type="paragraph" w:styleId="31">
    <w:name w:val="toc 6"/>
    <w:basedOn w:val="1"/>
    <w:next w:val="1"/>
    <w:unhideWhenUsed/>
    <w:qFormat/>
    <w:uiPriority w:val="39"/>
    <w:pPr>
      <w:ind w:left="2100" w:leftChars="1000"/>
      <w:jc w:val="both"/>
    </w:pPr>
    <w:rPr>
      <w:rFonts w:ascii="Calibri" w:hAnsi="Calibri" w:cs="Times New Roman"/>
      <w:kern w:val="2"/>
      <w:sz w:val="21"/>
      <w:lang w:eastAsia="zh-CN"/>
    </w:rPr>
  </w:style>
  <w:style w:type="paragraph" w:styleId="32">
    <w:name w:val="Body Text Indent 3"/>
    <w:basedOn w:val="1"/>
    <w:link w:val="73"/>
    <w:qFormat/>
    <w:uiPriority w:val="0"/>
    <w:pPr>
      <w:spacing w:after="120"/>
      <w:ind w:left="420" w:leftChars="200"/>
      <w:jc w:val="both"/>
    </w:pPr>
    <w:rPr>
      <w:rFonts w:ascii="Times New Roman" w:hAnsi="Times New Roman" w:cs="Times New Roman"/>
      <w:kern w:val="2"/>
      <w:sz w:val="16"/>
      <w:szCs w:val="16"/>
      <w:lang w:val="zh-CN" w:eastAsia="zh-CN"/>
    </w:rPr>
  </w:style>
  <w:style w:type="paragraph" w:styleId="33">
    <w:name w:val="table of figures"/>
    <w:basedOn w:val="1"/>
    <w:next w:val="1"/>
    <w:qFormat/>
    <w:uiPriority w:val="0"/>
    <w:pPr>
      <w:ind w:left="200" w:leftChars="200" w:hanging="200" w:hangingChars="200"/>
      <w:jc w:val="both"/>
    </w:pPr>
    <w:rPr>
      <w:rFonts w:ascii="Times New Roman" w:hAnsi="Times New Roman" w:cs="Times New Roman"/>
      <w:kern w:val="2"/>
      <w:sz w:val="21"/>
      <w:szCs w:val="24"/>
      <w:lang w:eastAsia="zh-CN"/>
    </w:rPr>
  </w:style>
  <w:style w:type="paragraph" w:styleId="34">
    <w:name w:val="toc 2"/>
    <w:basedOn w:val="1"/>
    <w:next w:val="1"/>
    <w:qFormat/>
    <w:uiPriority w:val="39"/>
    <w:pPr>
      <w:spacing w:line="272" w:lineRule="exact"/>
      <w:ind w:left="520"/>
    </w:pPr>
    <w:rPr>
      <w:sz w:val="21"/>
      <w:szCs w:val="21"/>
    </w:rPr>
  </w:style>
  <w:style w:type="paragraph" w:styleId="35">
    <w:name w:val="toc 9"/>
    <w:basedOn w:val="1"/>
    <w:next w:val="1"/>
    <w:unhideWhenUsed/>
    <w:qFormat/>
    <w:uiPriority w:val="39"/>
    <w:pPr>
      <w:ind w:left="3360" w:leftChars="1600"/>
      <w:jc w:val="both"/>
    </w:pPr>
    <w:rPr>
      <w:rFonts w:ascii="Calibri" w:hAnsi="Calibri" w:cs="Times New Roman"/>
      <w:kern w:val="2"/>
      <w:sz w:val="21"/>
      <w:lang w:eastAsia="zh-CN"/>
    </w:rPr>
  </w:style>
  <w:style w:type="paragraph" w:styleId="36">
    <w:name w:val="Body Text 2"/>
    <w:basedOn w:val="1"/>
    <w:qFormat/>
    <w:uiPriority w:val="0"/>
    <w:pPr>
      <w:jc w:val="left"/>
    </w:pPr>
    <w:rPr>
      <w:rFonts w:ascii="仿宋_GB2312" w:hAnsi="宋体" w:eastAsia="仿宋_GB2312"/>
    </w:rPr>
  </w:style>
  <w:style w:type="paragraph" w:styleId="37">
    <w:name w:val="Normal (Web)"/>
    <w:basedOn w:val="1"/>
    <w:qFormat/>
    <w:uiPriority w:val="0"/>
    <w:pPr>
      <w:widowControl/>
      <w:spacing w:before="100" w:beforeAutospacing="1" w:after="100" w:afterAutospacing="1"/>
    </w:pPr>
    <w:rPr>
      <w:rFonts w:cs="Times New Roman"/>
      <w:color w:val="000000"/>
      <w:sz w:val="24"/>
      <w:szCs w:val="24"/>
      <w:lang w:eastAsia="zh-CN"/>
    </w:rPr>
  </w:style>
  <w:style w:type="paragraph" w:styleId="38">
    <w:name w:val="index 1"/>
    <w:basedOn w:val="1"/>
    <w:next w:val="1"/>
    <w:qFormat/>
    <w:uiPriority w:val="0"/>
    <w:pPr>
      <w:jc w:val="both"/>
    </w:pPr>
    <w:rPr>
      <w:rFonts w:ascii="Times New Roman" w:hAnsi="Times New Roman" w:cs="Times New Roman"/>
      <w:kern w:val="2"/>
      <w:sz w:val="21"/>
      <w:szCs w:val="24"/>
      <w:lang w:eastAsia="zh-CN"/>
    </w:rPr>
  </w:style>
  <w:style w:type="paragraph" w:styleId="39">
    <w:name w:val="Title"/>
    <w:basedOn w:val="1"/>
    <w:next w:val="1"/>
    <w:link w:val="74"/>
    <w:qFormat/>
    <w:uiPriority w:val="0"/>
    <w:pPr>
      <w:spacing w:before="240" w:after="60"/>
      <w:ind w:left="850" w:hanging="425"/>
      <w:jc w:val="center"/>
      <w:outlineLvl w:val="0"/>
    </w:pPr>
    <w:rPr>
      <w:rFonts w:ascii="Cambria" w:hAnsi="Cambria" w:cs="Times New Roman"/>
      <w:b/>
      <w:bCs/>
      <w:kern w:val="2"/>
      <w:sz w:val="32"/>
      <w:szCs w:val="32"/>
      <w:lang w:eastAsia="zh-CN"/>
    </w:rPr>
  </w:style>
  <w:style w:type="paragraph" w:styleId="40">
    <w:name w:val="annotation subject"/>
    <w:basedOn w:val="16"/>
    <w:next w:val="16"/>
    <w:link w:val="75"/>
    <w:unhideWhenUsed/>
    <w:qFormat/>
    <w:uiPriority w:val="99"/>
    <w:rPr>
      <w:b/>
      <w:bCs/>
    </w:rPr>
  </w:style>
  <w:style w:type="paragraph" w:styleId="41">
    <w:name w:val="Body Text First Indent 2"/>
    <w:basedOn w:val="19"/>
    <w:unhideWhenUsed/>
    <w:qFormat/>
    <w:uiPriority w:val="0"/>
    <w:pPr>
      <w:ind w:firstLine="420" w:firstLineChars="200"/>
    </w:pPr>
    <w:rPr>
      <w:rFonts w:ascii="Calibri" w:hAnsi="Calibri"/>
      <w:szCs w:val="22"/>
    </w:rPr>
  </w:style>
  <w:style w:type="table" w:styleId="43">
    <w:name w:val="Table Grid"/>
    <w:basedOn w:val="42"/>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rPr>
  </w:style>
  <w:style w:type="character" w:styleId="46">
    <w:name w:val="page number"/>
    <w:basedOn w:val="44"/>
    <w:unhideWhenUsed/>
    <w:qFormat/>
    <w:uiPriority w:val="99"/>
  </w:style>
  <w:style w:type="character" w:styleId="47">
    <w:name w:val="FollowedHyperlink"/>
    <w:unhideWhenUsed/>
    <w:qFormat/>
    <w:uiPriority w:val="0"/>
    <w:rPr>
      <w:color w:val="800080"/>
      <w:u w:val="single"/>
    </w:rPr>
  </w:style>
  <w:style w:type="character" w:styleId="48">
    <w:name w:val="Emphasis"/>
    <w:basedOn w:val="44"/>
    <w:qFormat/>
    <w:uiPriority w:val="20"/>
    <w:rPr>
      <w:i/>
      <w:iCs/>
    </w:rPr>
  </w:style>
  <w:style w:type="character" w:styleId="49">
    <w:name w:val="Hyperlink"/>
    <w:basedOn w:val="44"/>
    <w:unhideWhenUsed/>
    <w:qFormat/>
    <w:uiPriority w:val="99"/>
    <w:rPr>
      <w:color w:val="0000FF"/>
      <w:u w:val="single"/>
    </w:rPr>
  </w:style>
  <w:style w:type="character" w:styleId="50">
    <w:name w:val="annotation reference"/>
    <w:basedOn w:val="44"/>
    <w:unhideWhenUsed/>
    <w:qFormat/>
    <w:uiPriority w:val="99"/>
    <w:rPr>
      <w:sz w:val="21"/>
      <w:szCs w:val="21"/>
    </w:rPr>
  </w:style>
  <w:style w:type="character" w:styleId="51">
    <w:name w:val="footnote reference"/>
    <w:qFormat/>
    <w:uiPriority w:val="0"/>
    <w:rPr>
      <w:vertAlign w:val="superscript"/>
    </w:rPr>
  </w:style>
  <w:style w:type="paragraph" w:customStyle="1" w:styleId="52">
    <w:name w:val="非政府正文"/>
    <w:basedOn w:val="1"/>
    <w:qFormat/>
    <w:uiPriority w:val="0"/>
  </w:style>
  <w:style w:type="character" w:customStyle="1" w:styleId="53">
    <w:name w:val="正文文本 字符"/>
    <w:basedOn w:val="44"/>
    <w:link w:val="18"/>
    <w:qFormat/>
    <w:uiPriority w:val="99"/>
    <w:rPr>
      <w:rFonts w:ascii="宋体" w:hAnsi="宋体" w:eastAsia="宋体" w:cs="宋体"/>
      <w:sz w:val="21"/>
      <w:szCs w:val="21"/>
    </w:rPr>
  </w:style>
  <w:style w:type="character" w:customStyle="1" w:styleId="54">
    <w:name w:val="标题 1 字符"/>
    <w:link w:val="4"/>
    <w:qFormat/>
    <w:uiPriority w:val="0"/>
    <w:rPr>
      <w:rFonts w:ascii="Microsoft JhengHei" w:hAnsi="Microsoft JhengHei" w:eastAsia="Microsoft JhengHei" w:cs="Microsoft JhengHei"/>
      <w:b/>
      <w:bCs/>
      <w:sz w:val="44"/>
      <w:szCs w:val="44"/>
    </w:rPr>
  </w:style>
  <w:style w:type="character" w:customStyle="1" w:styleId="55">
    <w:name w:val="标题 2 字符"/>
    <w:link w:val="5"/>
    <w:qFormat/>
    <w:uiPriority w:val="0"/>
    <w:rPr>
      <w:rFonts w:ascii="Microsoft JhengHei" w:hAnsi="Microsoft JhengHei" w:eastAsia="Microsoft JhengHei" w:cs="Microsoft JhengHei"/>
      <w:b/>
      <w:bCs/>
      <w:sz w:val="32"/>
      <w:szCs w:val="32"/>
    </w:rPr>
  </w:style>
  <w:style w:type="character" w:customStyle="1" w:styleId="56">
    <w:name w:val="标题 3 字符"/>
    <w:link w:val="6"/>
    <w:qFormat/>
    <w:uiPriority w:val="0"/>
    <w:rPr>
      <w:rFonts w:ascii="宋体" w:hAnsi="宋体" w:eastAsia="宋体" w:cs="宋体"/>
      <w:sz w:val="28"/>
      <w:szCs w:val="28"/>
    </w:rPr>
  </w:style>
  <w:style w:type="character" w:customStyle="1" w:styleId="57">
    <w:name w:val="标题 4 字符"/>
    <w:link w:val="7"/>
    <w:qFormat/>
    <w:uiPriority w:val="99"/>
    <w:rPr>
      <w:rFonts w:ascii="Times New Roman" w:hAnsi="Times New Roman" w:eastAsia="Times New Roman" w:cs="Times New Roman"/>
      <w:b/>
      <w:bCs/>
      <w:sz w:val="21"/>
      <w:szCs w:val="21"/>
    </w:rPr>
  </w:style>
  <w:style w:type="character" w:customStyle="1" w:styleId="58">
    <w:name w:val="标题 6 字符"/>
    <w:basedOn w:val="44"/>
    <w:link w:val="8"/>
    <w:qFormat/>
    <w:uiPriority w:val="0"/>
    <w:rPr>
      <w:rFonts w:ascii="Arial" w:hAnsi="Arial" w:eastAsia="黑体" w:cs="Times New Roman"/>
      <w:b/>
      <w:bCs/>
      <w:sz w:val="24"/>
      <w:szCs w:val="24"/>
      <w:lang w:val="zh-CN" w:eastAsia="zh-CN"/>
    </w:rPr>
  </w:style>
  <w:style w:type="character" w:customStyle="1" w:styleId="59">
    <w:name w:val="标题 7 字符"/>
    <w:basedOn w:val="44"/>
    <w:link w:val="9"/>
    <w:qFormat/>
    <w:uiPriority w:val="0"/>
    <w:rPr>
      <w:rFonts w:ascii="Times New Roman" w:hAnsi="Times New Roman" w:eastAsia="宋体" w:cs="Times New Roman"/>
      <w:b/>
      <w:bCs/>
      <w:sz w:val="24"/>
      <w:szCs w:val="24"/>
      <w:lang w:val="zh-CN" w:eastAsia="zh-CN"/>
    </w:rPr>
  </w:style>
  <w:style w:type="character" w:customStyle="1" w:styleId="60">
    <w:name w:val="标题 8 字符"/>
    <w:basedOn w:val="44"/>
    <w:link w:val="10"/>
    <w:qFormat/>
    <w:uiPriority w:val="0"/>
    <w:rPr>
      <w:rFonts w:ascii="Arial" w:hAnsi="Arial" w:eastAsia="黑体" w:cs="Times New Roman"/>
      <w:sz w:val="24"/>
      <w:szCs w:val="24"/>
      <w:lang w:val="zh-CN" w:eastAsia="zh-CN"/>
    </w:rPr>
  </w:style>
  <w:style w:type="character" w:customStyle="1" w:styleId="61">
    <w:name w:val="标题 9 字符"/>
    <w:basedOn w:val="44"/>
    <w:link w:val="11"/>
    <w:qFormat/>
    <w:uiPriority w:val="0"/>
    <w:rPr>
      <w:rFonts w:ascii="Arial" w:hAnsi="Arial" w:eastAsia="黑体" w:cs="Times New Roman"/>
      <w:sz w:val="21"/>
      <w:szCs w:val="21"/>
      <w:lang w:val="zh-CN" w:eastAsia="zh-CN"/>
    </w:rPr>
  </w:style>
  <w:style w:type="character" w:customStyle="1" w:styleId="62">
    <w:name w:val="文档结构图 字符"/>
    <w:basedOn w:val="44"/>
    <w:link w:val="15"/>
    <w:qFormat/>
    <w:uiPriority w:val="0"/>
    <w:rPr>
      <w:rFonts w:ascii="宋体" w:hAnsi="Times New Roman" w:eastAsia="宋体" w:cs="Times New Roman"/>
      <w:kern w:val="2"/>
      <w:sz w:val="18"/>
      <w:szCs w:val="18"/>
      <w:lang w:eastAsia="zh-CN"/>
    </w:rPr>
  </w:style>
  <w:style w:type="character" w:customStyle="1" w:styleId="63">
    <w:name w:val="批注文字 字符"/>
    <w:basedOn w:val="44"/>
    <w:link w:val="16"/>
    <w:qFormat/>
    <w:uiPriority w:val="99"/>
    <w:rPr>
      <w:rFonts w:ascii="宋体" w:hAnsi="宋体" w:eastAsia="宋体" w:cs="宋体"/>
    </w:rPr>
  </w:style>
  <w:style w:type="character" w:customStyle="1" w:styleId="64">
    <w:name w:val="正文文本 3 字符"/>
    <w:basedOn w:val="44"/>
    <w:link w:val="17"/>
    <w:qFormat/>
    <w:uiPriority w:val="99"/>
    <w:rPr>
      <w:rFonts w:ascii="宋体" w:hAnsi="宋体" w:eastAsia="宋体" w:cs="宋体"/>
      <w:sz w:val="16"/>
      <w:szCs w:val="16"/>
    </w:rPr>
  </w:style>
  <w:style w:type="character" w:customStyle="1" w:styleId="65">
    <w:name w:val="正文文本缩进 字符"/>
    <w:basedOn w:val="44"/>
    <w:link w:val="19"/>
    <w:qFormat/>
    <w:uiPriority w:val="99"/>
    <w:rPr>
      <w:rFonts w:ascii="Times New Roman" w:hAnsi="Times New Roman" w:eastAsia="宋体" w:cs="Times New Roman"/>
      <w:kern w:val="2"/>
      <w:sz w:val="21"/>
      <w:szCs w:val="24"/>
      <w:lang w:val="zh-CN" w:eastAsia="zh-CN"/>
    </w:rPr>
  </w:style>
  <w:style w:type="character" w:customStyle="1" w:styleId="66">
    <w:name w:val="纯文本 字符"/>
    <w:basedOn w:val="44"/>
    <w:link w:val="2"/>
    <w:qFormat/>
    <w:uiPriority w:val="0"/>
    <w:rPr>
      <w:rFonts w:ascii="Courier New" w:hAnsi="Courier New" w:eastAsia="宋体" w:cs="Times New Roman"/>
      <w:kern w:val="2"/>
      <w:sz w:val="21"/>
      <w:szCs w:val="20"/>
      <w:lang w:eastAsia="zh-CN"/>
    </w:rPr>
  </w:style>
  <w:style w:type="character" w:customStyle="1" w:styleId="67">
    <w:name w:val="日期 字符"/>
    <w:basedOn w:val="44"/>
    <w:link w:val="23"/>
    <w:qFormat/>
    <w:uiPriority w:val="99"/>
    <w:rPr>
      <w:rFonts w:ascii="Times New Roman" w:hAnsi="Times New Roman" w:eastAsia="宋体" w:cs="Times New Roman"/>
      <w:kern w:val="2"/>
      <w:sz w:val="21"/>
      <w:szCs w:val="24"/>
      <w:lang w:eastAsia="zh-CN"/>
    </w:rPr>
  </w:style>
  <w:style w:type="character" w:customStyle="1" w:styleId="68">
    <w:name w:val="正文文本缩进 2 字符"/>
    <w:basedOn w:val="44"/>
    <w:link w:val="24"/>
    <w:qFormat/>
    <w:uiPriority w:val="99"/>
    <w:rPr>
      <w:rFonts w:ascii="宋体" w:hAnsi="Times New Roman" w:eastAsia="宋体" w:cs="Times New Roman"/>
      <w:spacing w:val="16"/>
      <w:kern w:val="2"/>
      <w:sz w:val="28"/>
    </w:rPr>
  </w:style>
  <w:style w:type="character" w:customStyle="1" w:styleId="69">
    <w:name w:val="批注框文本 字符"/>
    <w:basedOn w:val="44"/>
    <w:link w:val="25"/>
    <w:qFormat/>
    <w:uiPriority w:val="99"/>
    <w:rPr>
      <w:rFonts w:ascii="宋体" w:hAnsi="宋体" w:eastAsia="宋体" w:cs="宋体"/>
      <w:sz w:val="18"/>
      <w:szCs w:val="18"/>
    </w:rPr>
  </w:style>
  <w:style w:type="character" w:customStyle="1" w:styleId="70">
    <w:name w:val="页脚 字符"/>
    <w:basedOn w:val="44"/>
    <w:link w:val="26"/>
    <w:qFormat/>
    <w:uiPriority w:val="99"/>
    <w:rPr>
      <w:rFonts w:ascii="宋体" w:hAnsi="宋体" w:eastAsia="宋体" w:cs="宋体"/>
      <w:sz w:val="18"/>
      <w:szCs w:val="18"/>
    </w:rPr>
  </w:style>
  <w:style w:type="character" w:customStyle="1" w:styleId="71">
    <w:name w:val="页眉 字符"/>
    <w:basedOn w:val="44"/>
    <w:link w:val="27"/>
    <w:qFormat/>
    <w:uiPriority w:val="0"/>
    <w:rPr>
      <w:rFonts w:ascii="宋体" w:hAnsi="宋体" w:eastAsia="宋体" w:cs="宋体"/>
      <w:sz w:val="18"/>
      <w:szCs w:val="18"/>
    </w:rPr>
  </w:style>
  <w:style w:type="character" w:customStyle="1" w:styleId="72">
    <w:name w:val="脚注文本 字符"/>
    <w:basedOn w:val="44"/>
    <w:link w:val="30"/>
    <w:qFormat/>
    <w:uiPriority w:val="0"/>
    <w:rPr>
      <w:rFonts w:ascii="Times New Roman" w:hAnsi="Times New Roman" w:eastAsia="宋体" w:cs="Times New Roman"/>
      <w:kern w:val="2"/>
      <w:sz w:val="20"/>
      <w:szCs w:val="20"/>
      <w:lang w:val="zh-CN" w:eastAsia="zh-CN"/>
    </w:rPr>
  </w:style>
  <w:style w:type="character" w:customStyle="1" w:styleId="73">
    <w:name w:val="正文文本缩进 3 字符"/>
    <w:basedOn w:val="44"/>
    <w:link w:val="32"/>
    <w:qFormat/>
    <w:uiPriority w:val="0"/>
    <w:rPr>
      <w:rFonts w:ascii="Times New Roman" w:hAnsi="Times New Roman" w:eastAsia="宋体" w:cs="Times New Roman"/>
      <w:kern w:val="2"/>
      <w:sz w:val="16"/>
      <w:szCs w:val="16"/>
      <w:lang w:val="zh-CN" w:eastAsia="zh-CN"/>
    </w:rPr>
  </w:style>
  <w:style w:type="character" w:customStyle="1" w:styleId="74">
    <w:name w:val="标题 字符"/>
    <w:basedOn w:val="44"/>
    <w:link w:val="39"/>
    <w:qFormat/>
    <w:uiPriority w:val="0"/>
    <w:rPr>
      <w:rFonts w:ascii="Cambria" w:hAnsi="Cambria" w:eastAsia="宋体" w:cs="Times New Roman"/>
      <w:b/>
      <w:bCs/>
      <w:kern w:val="2"/>
      <w:sz w:val="32"/>
      <w:szCs w:val="32"/>
      <w:lang w:eastAsia="zh-CN"/>
    </w:rPr>
  </w:style>
  <w:style w:type="character" w:customStyle="1" w:styleId="75">
    <w:name w:val="批注主题 字符"/>
    <w:basedOn w:val="63"/>
    <w:link w:val="40"/>
    <w:qFormat/>
    <w:uiPriority w:val="99"/>
    <w:rPr>
      <w:rFonts w:ascii="宋体" w:hAnsi="宋体" w:eastAsia="宋体" w:cs="宋体"/>
      <w:b/>
      <w:bCs/>
    </w:rPr>
  </w:style>
  <w:style w:type="table" w:customStyle="1" w:styleId="76">
    <w:name w:val="Table Normal"/>
    <w:semiHidden/>
    <w:unhideWhenUsed/>
    <w:qFormat/>
    <w:uiPriority w:val="2"/>
    <w:tblPr>
      <w:tblCellMar>
        <w:top w:w="0" w:type="dxa"/>
        <w:left w:w="0" w:type="dxa"/>
        <w:bottom w:w="0" w:type="dxa"/>
        <w:right w:w="0" w:type="dxa"/>
      </w:tblCellMar>
    </w:tblPr>
  </w:style>
  <w:style w:type="paragraph" w:styleId="77">
    <w:name w:val="List Paragraph"/>
    <w:basedOn w:val="1"/>
    <w:qFormat/>
    <w:uiPriority w:val="34"/>
  </w:style>
  <w:style w:type="paragraph" w:customStyle="1" w:styleId="78">
    <w:name w:val="Table Paragraph"/>
    <w:basedOn w:val="1"/>
    <w:qFormat/>
    <w:uiPriority w:val="1"/>
  </w:style>
  <w:style w:type="paragraph" w:customStyle="1" w:styleId="79">
    <w:name w:val="修订1"/>
    <w:hidden/>
    <w:semiHidden/>
    <w:qFormat/>
    <w:uiPriority w:val="99"/>
    <w:rPr>
      <w:rFonts w:ascii="宋体" w:hAnsi="宋体" w:eastAsia="宋体" w:cs="宋体"/>
      <w:sz w:val="22"/>
      <w:szCs w:val="22"/>
      <w:lang w:val="en-US" w:eastAsia="en-US" w:bidi="ar-SA"/>
    </w:rPr>
  </w:style>
  <w:style w:type="paragraph" w:customStyle="1" w:styleId="80">
    <w:name w:val="列出段落1"/>
    <w:basedOn w:val="1"/>
    <w:qFormat/>
    <w:uiPriority w:val="0"/>
    <w:pPr>
      <w:ind w:firstLine="420" w:firstLineChars="200"/>
      <w:jc w:val="both"/>
    </w:pPr>
    <w:rPr>
      <w:rFonts w:ascii="Times New Roman" w:hAnsi="Times New Roman" w:cs="Times New Roman"/>
      <w:kern w:val="2"/>
      <w:sz w:val="21"/>
      <w:szCs w:val="24"/>
      <w:lang w:eastAsia="zh-CN"/>
    </w:rPr>
  </w:style>
  <w:style w:type="character" w:customStyle="1" w:styleId="81">
    <w:name w:val="editmail"/>
    <w:qFormat/>
    <w:uiPriority w:val="0"/>
  </w:style>
  <w:style w:type="paragraph" w:customStyle="1" w:styleId="82">
    <w:name w:val="TOC 标题1"/>
    <w:basedOn w:val="4"/>
    <w:next w:val="1"/>
    <w:unhideWhenUsed/>
    <w:qFormat/>
    <w:uiPriority w:val="39"/>
    <w:pPr>
      <w:keepNext/>
      <w:keepLines/>
      <w:widowControl/>
      <w:spacing w:before="240" w:line="259" w:lineRule="auto"/>
      <w:ind w:left="0"/>
      <w:jc w:val="left"/>
      <w:outlineLvl w:val="9"/>
    </w:pPr>
    <w:rPr>
      <w:rFonts w:ascii="Cambria" w:hAnsi="Cambria" w:eastAsia="宋体" w:cs="Times New Roman"/>
      <w:b w:val="0"/>
      <w:bCs w:val="0"/>
      <w:color w:val="366091"/>
      <w:sz w:val="32"/>
      <w:szCs w:val="32"/>
      <w:lang w:eastAsia="zh-CN"/>
    </w:rPr>
  </w:style>
  <w:style w:type="character" w:customStyle="1" w:styleId="83">
    <w:name w:val="批注文字 Char"/>
    <w:qFormat/>
    <w:uiPriority w:val="0"/>
    <w:rPr>
      <w:rFonts w:ascii="Times New Roman" w:hAnsi="Times New Roman"/>
      <w:kern w:val="2"/>
      <w:sz w:val="21"/>
    </w:rPr>
  </w:style>
  <w:style w:type="paragraph" w:customStyle="1" w:styleId="84">
    <w:name w:val="Blockquote"/>
    <w:basedOn w:val="1"/>
    <w:qFormat/>
    <w:uiPriority w:val="0"/>
    <w:pPr>
      <w:autoSpaceDE w:val="0"/>
      <w:autoSpaceDN w:val="0"/>
      <w:adjustRightInd w:val="0"/>
      <w:spacing w:before="100" w:after="100"/>
      <w:ind w:left="360" w:right="360"/>
    </w:pPr>
    <w:rPr>
      <w:rFonts w:ascii="Times New Roman" w:hAnsi="Times New Roman" w:cs="Times New Roman"/>
      <w:sz w:val="24"/>
      <w:szCs w:val="24"/>
      <w:lang w:eastAsia="zh-CN"/>
    </w:rPr>
  </w:style>
  <w:style w:type="paragraph" w:customStyle="1" w:styleId="85">
    <w:name w:val="修订11"/>
    <w:unhideWhenUsed/>
    <w:qFormat/>
    <w:uiPriority w:val="99"/>
    <w:rPr>
      <w:rFonts w:ascii="Times New Roman" w:hAnsi="Times New Roman" w:eastAsia="宋体" w:cs="Times New Roman"/>
      <w:kern w:val="2"/>
      <w:sz w:val="21"/>
      <w:szCs w:val="24"/>
      <w:lang w:val="en-US" w:eastAsia="zh-CN" w:bidi="ar-SA"/>
    </w:rPr>
  </w:style>
  <w:style w:type="paragraph" w:customStyle="1" w:styleId="86">
    <w:name w:val="样式 标题 3 + (中文) 黑体 小四 非加粗 段前: 7.8 磅 段后: 0 磅 行距: 固定值 20 磅"/>
    <w:basedOn w:val="6"/>
    <w:qFormat/>
    <w:uiPriority w:val="0"/>
    <w:pPr>
      <w:keepNext/>
      <w:keepLines/>
      <w:spacing w:line="400" w:lineRule="exact"/>
      <w:ind w:left="0" w:right="0"/>
      <w:jc w:val="both"/>
    </w:pPr>
    <w:rPr>
      <w:rFonts w:ascii="Times New Roman" w:hAnsi="Times New Roman" w:eastAsia="黑体"/>
      <w:kern w:val="2"/>
      <w:sz w:val="24"/>
      <w:szCs w:val="20"/>
      <w:lang w:eastAsia="zh-CN"/>
    </w:rPr>
  </w:style>
  <w:style w:type="paragraph" w:customStyle="1" w:styleId="87">
    <w:name w:val="节"/>
    <w:basedOn w:val="5"/>
    <w:qFormat/>
    <w:uiPriority w:val="0"/>
    <w:pPr>
      <w:keepNext/>
      <w:keepLines/>
      <w:tabs>
        <w:tab w:val="left" w:pos="360"/>
        <w:tab w:val="left" w:pos="576"/>
      </w:tabs>
      <w:spacing w:before="260" w:after="260"/>
      <w:ind w:left="840" w:right="0" w:hanging="420"/>
      <w:jc w:val="both"/>
    </w:pPr>
    <w:rPr>
      <w:rFonts w:ascii="黑体" w:hAnsi="Arial" w:eastAsia="黑体" w:cs="Times New Roman"/>
      <w:b w:val="0"/>
      <w:kern w:val="2"/>
      <w:sz w:val="28"/>
      <w:szCs w:val="28"/>
      <w:lang w:eastAsia="zh-CN"/>
    </w:rPr>
  </w:style>
  <w:style w:type="paragraph" w:customStyle="1" w:styleId="88">
    <w:name w:val="样式 标题 2 + Times New Roman 四号 非加粗 段前: 5 磅 段后: 0 磅 行距: 固定值 20..."/>
    <w:basedOn w:val="5"/>
    <w:qFormat/>
    <w:uiPriority w:val="0"/>
    <w:pPr>
      <w:keepNext/>
      <w:keepLines/>
      <w:spacing w:before="100" w:line="400" w:lineRule="exact"/>
      <w:ind w:left="0" w:right="0"/>
      <w:jc w:val="both"/>
    </w:pPr>
    <w:rPr>
      <w:rFonts w:ascii="Times New Roman" w:hAnsi="Times New Roman" w:eastAsia="黑体" w:cs="宋体"/>
      <w:b w:val="0"/>
      <w:bCs w:val="0"/>
      <w:kern w:val="2"/>
      <w:sz w:val="28"/>
      <w:szCs w:val="20"/>
      <w:lang w:eastAsia="zh-CN"/>
    </w:rPr>
  </w:style>
  <w:style w:type="paragraph" w:customStyle="1" w:styleId="89">
    <w:name w:val="bt1bt1"/>
    <w:basedOn w:val="4"/>
    <w:qFormat/>
    <w:uiPriority w:val="0"/>
    <w:pPr>
      <w:keepNext/>
      <w:keepLines/>
      <w:spacing w:before="340" w:after="330" w:line="240" w:lineRule="auto"/>
      <w:ind w:left="0"/>
    </w:pPr>
    <w:rPr>
      <w:rFonts w:ascii="黑体" w:hAnsi="Times New Roman" w:eastAsia="黑体" w:cs="Times New Roman"/>
      <w:b w:val="0"/>
      <w:kern w:val="44"/>
      <w:sz w:val="36"/>
      <w:szCs w:val="36"/>
      <w:lang w:eastAsia="zh-CN"/>
    </w:rPr>
  </w:style>
  <w:style w:type="paragraph" w:customStyle="1" w:styleId="90">
    <w:name w:val="TOC 标题11"/>
    <w:basedOn w:val="4"/>
    <w:next w:val="1"/>
    <w:unhideWhenUsed/>
    <w:qFormat/>
    <w:uiPriority w:val="39"/>
    <w:pPr>
      <w:keepNext/>
      <w:keepLines/>
      <w:widowControl/>
      <w:spacing w:before="480" w:line="276" w:lineRule="auto"/>
      <w:ind w:left="0"/>
      <w:jc w:val="left"/>
      <w:outlineLvl w:val="9"/>
    </w:pPr>
    <w:rPr>
      <w:rFonts w:ascii="Cambria" w:hAnsi="Cambria" w:eastAsia="宋体" w:cs="Times New Roman"/>
      <w:color w:val="365F91"/>
      <w:sz w:val="28"/>
      <w:szCs w:val="28"/>
      <w:lang w:eastAsia="zh-CN"/>
    </w:rPr>
  </w:style>
  <w:style w:type="character" w:customStyle="1" w:styleId="91">
    <w:name w:val="正文文本 3 Char"/>
    <w:qFormat/>
    <w:uiPriority w:val="0"/>
    <w:rPr>
      <w:rFonts w:ascii="宋体"/>
      <w:kern w:val="2"/>
      <w:sz w:val="24"/>
    </w:rPr>
  </w:style>
  <w:style w:type="character" w:customStyle="1" w:styleId="92">
    <w:name w:val="标题 2 Char"/>
    <w:qFormat/>
    <w:uiPriority w:val="0"/>
    <w:rPr>
      <w:rFonts w:ascii="Arial" w:hAnsi="Arial" w:eastAsia="黑体"/>
      <w:b/>
      <w:bCs/>
      <w:kern w:val="2"/>
      <w:sz w:val="32"/>
      <w:szCs w:val="32"/>
    </w:rPr>
  </w:style>
  <w:style w:type="character" w:customStyle="1" w:styleId="93">
    <w:name w:val="标题 1 Char"/>
    <w:qFormat/>
    <w:uiPriority w:val="0"/>
    <w:rPr>
      <w:b/>
      <w:bCs/>
      <w:kern w:val="44"/>
      <w:sz w:val="44"/>
      <w:szCs w:val="44"/>
    </w:rPr>
  </w:style>
  <w:style w:type="paragraph" w:customStyle="1" w:styleId="94">
    <w:name w:val="样式1"/>
    <w:basedOn w:val="1"/>
    <w:qFormat/>
    <w:uiPriority w:val="0"/>
    <w:pPr>
      <w:jc w:val="both"/>
    </w:pPr>
    <w:rPr>
      <w:rFonts w:ascii="Times New Roman" w:hAnsi="Times New Roman" w:cs="Times New Roman"/>
      <w:kern w:val="2"/>
      <w:sz w:val="21"/>
      <w:szCs w:val="21"/>
      <w:lang w:val="zh-CN" w:eastAsia="zh-CN"/>
    </w:rPr>
  </w:style>
  <w:style w:type="character" w:customStyle="1" w:styleId="95">
    <w:name w:val="纯文本 Char"/>
    <w:qFormat/>
    <w:uiPriority w:val="0"/>
    <w:rPr>
      <w:rFonts w:ascii="Courier New" w:hAnsi="Courier New"/>
      <w:kern w:val="2"/>
      <w:sz w:val="21"/>
    </w:rPr>
  </w:style>
  <w:style w:type="paragraph" w:customStyle="1" w:styleId="96">
    <w:name w:val="报告正文"/>
    <w:basedOn w:val="1"/>
    <w:qFormat/>
    <w:uiPriority w:val="0"/>
    <w:pPr>
      <w:widowControl/>
      <w:overflowPunct w:val="0"/>
      <w:autoSpaceDE w:val="0"/>
      <w:autoSpaceDN w:val="0"/>
      <w:adjustRightInd w:val="0"/>
      <w:spacing w:after="80" w:line="360" w:lineRule="auto"/>
      <w:ind w:left="570"/>
      <w:jc w:val="both"/>
      <w:textAlignment w:val="baseline"/>
    </w:pPr>
    <w:rPr>
      <w:rFonts w:ascii="Times New Roman" w:hAnsi="Times New Roman" w:cs="Times New Roman"/>
      <w:sz w:val="24"/>
      <w:szCs w:val="20"/>
      <w:lang w:eastAsia="zh-CN"/>
    </w:rPr>
  </w:style>
  <w:style w:type="paragraph" w:customStyle="1" w:styleId="97">
    <w:name w:val="缺省文本"/>
    <w:basedOn w:val="1"/>
    <w:qFormat/>
    <w:uiPriority w:val="0"/>
    <w:pPr>
      <w:autoSpaceDE w:val="0"/>
      <w:autoSpaceDN w:val="0"/>
      <w:adjustRightInd w:val="0"/>
    </w:pPr>
    <w:rPr>
      <w:rFonts w:ascii="Times New Roman" w:hAnsi="Times New Roman" w:cs="Times New Roman"/>
      <w:sz w:val="24"/>
      <w:szCs w:val="24"/>
      <w:lang w:eastAsia="zh-CN"/>
    </w:rPr>
  </w:style>
  <w:style w:type="paragraph" w:customStyle="1" w:styleId="98">
    <w:name w:val="Char Char Char1 Char"/>
    <w:basedOn w:val="15"/>
    <w:qFormat/>
    <w:uiPriority w:val="0"/>
    <w:pPr>
      <w:shd w:val="clear" w:color="auto" w:fill="000080"/>
    </w:pPr>
    <w:rPr>
      <w:rFonts w:ascii="Tahoma" w:hAnsi="Tahoma"/>
      <w:sz w:val="24"/>
      <w:szCs w:val="24"/>
      <w:lang w:val="zh-CN"/>
    </w:rPr>
  </w:style>
  <w:style w:type="character" w:customStyle="1" w:styleId="99">
    <w:name w:val="t_tag"/>
    <w:qFormat/>
    <w:uiPriority w:val="0"/>
  </w:style>
  <w:style w:type="paragraph" w:customStyle="1" w:styleId="100">
    <w:name w:val="Char Char Char1 Char1"/>
    <w:basedOn w:val="15"/>
    <w:qFormat/>
    <w:uiPriority w:val="0"/>
    <w:pPr>
      <w:shd w:val="clear" w:color="auto" w:fill="000080"/>
    </w:pPr>
    <w:rPr>
      <w:rFonts w:ascii="Tahoma" w:hAnsi="Tahoma"/>
      <w:sz w:val="24"/>
      <w:szCs w:val="24"/>
      <w:lang w:val="zh-CN"/>
    </w:rPr>
  </w:style>
  <w:style w:type="character" w:customStyle="1" w:styleId="101">
    <w:name w:val="Char Char2"/>
    <w:qFormat/>
    <w:uiPriority w:val="0"/>
    <w:rPr>
      <w:rFonts w:eastAsia="宋体"/>
      <w:kern w:val="2"/>
      <w:sz w:val="21"/>
      <w:szCs w:val="24"/>
      <w:lang w:val="en-US" w:eastAsia="zh-CN" w:bidi="ar-SA"/>
    </w:rPr>
  </w:style>
  <w:style w:type="character" w:customStyle="1" w:styleId="102">
    <w:name w:val="Char Char8"/>
    <w:qFormat/>
    <w:uiPriority w:val="0"/>
    <w:rPr>
      <w:rFonts w:ascii="Arial" w:hAnsi="Arial" w:eastAsia="黑体"/>
      <w:b/>
      <w:bCs/>
      <w:kern w:val="2"/>
      <w:sz w:val="32"/>
      <w:szCs w:val="32"/>
      <w:lang w:val="en-US" w:eastAsia="zh-CN" w:bidi="ar-SA"/>
    </w:rPr>
  </w:style>
  <w:style w:type="character" w:customStyle="1" w:styleId="103">
    <w:name w:val="Char Char"/>
    <w:qFormat/>
    <w:uiPriority w:val="0"/>
    <w:rPr>
      <w:rFonts w:ascii="Arial" w:hAnsi="Arial" w:eastAsia="黑体"/>
      <w:b/>
      <w:bCs/>
      <w:kern w:val="2"/>
      <w:sz w:val="32"/>
      <w:szCs w:val="32"/>
      <w:lang w:val="en-US" w:eastAsia="zh-CN" w:bidi="ar-SA"/>
    </w:rPr>
  </w:style>
  <w:style w:type="character" w:customStyle="1" w:styleId="104">
    <w:name w:val="font161"/>
    <w:qFormat/>
    <w:uiPriority w:val="0"/>
    <w:rPr>
      <w:b/>
      <w:bCs/>
      <w:sz w:val="32"/>
      <w:szCs w:val="32"/>
    </w:rPr>
  </w:style>
  <w:style w:type="character" w:customStyle="1" w:styleId="105">
    <w:name w:val="Char Char7"/>
    <w:qFormat/>
    <w:uiPriority w:val="0"/>
    <w:rPr>
      <w:rFonts w:ascii="Arial" w:hAnsi="Arial" w:eastAsia="黑体"/>
      <w:b/>
      <w:bCs/>
      <w:kern w:val="2"/>
      <w:sz w:val="32"/>
      <w:szCs w:val="32"/>
      <w:lang w:val="en-US" w:eastAsia="zh-CN" w:bidi="ar-SA"/>
    </w:rPr>
  </w:style>
  <w:style w:type="paragraph" w:customStyle="1" w:styleId="106">
    <w:name w:val="样式2"/>
    <w:basedOn w:val="6"/>
    <w:qFormat/>
    <w:uiPriority w:val="0"/>
    <w:pPr>
      <w:keepNext/>
      <w:keepLines/>
      <w:spacing w:before="260" w:after="260" w:line="415" w:lineRule="auto"/>
      <w:ind w:left="0" w:right="0"/>
      <w:jc w:val="both"/>
    </w:pPr>
    <w:rPr>
      <w:rFonts w:ascii="Times New Roman" w:hAnsi="Times New Roman" w:cs="Times New Roman"/>
      <w:b/>
      <w:bCs/>
      <w:kern w:val="2"/>
      <w:sz w:val="32"/>
      <w:szCs w:val="32"/>
      <w:lang w:val="zh-CN" w:eastAsia="zh-CN"/>
    </w:rPr>
  </w:style>
  <w:style w:type="paragraph" w:customStyle="1" w:styleId="107">
    <w:name w:val="Char"/>
    <w:basedOn w:val="1"/>
    <w:qFormat/>
    <w:uiPriority w:val="0"/>
    <w:pPr>
      <w:tabs>
        <w:tab w:val="left" w:pos="360"/>
      </w:tabs>
      <w:jc w:val="both"/>
    </w:pPr>
    <w:rPr>
      <w:rFonts w:ascii="Times New Roman" w:hAnsi="Times New Roman" w:cs="Times New Roman"/>
      <w:kern w:val="2"/>
      <w:sz w:val="24"/>
      <w:szCs w:val="24"/>
      <w:lang w:eastAsia="zh-CN"/>
    </w:rPr>
  </w:style>
  <w:style w:type="paragraph" w:customStyle="1" w:styleId="108">
    <w:name w:val="样式 标题 1 + 黑体 三号 非加粗 居中 段前: 6 磅 段后: 6 磅 行距: 固定值 20 磅"/>
    <w:basedOn w:val="4"/>
    <w:qFormat/>
    <w:uiPriority w:val="0"/>
    <w:pPr>
      <w:keepNext/>
      <w:keepLines/>
      <w:spacing w:before="120" w:after="120" w:line="400" w:lineRule="exact"/>
      <w:ind w:left="0"/>
    </w:pPr>
    <w:rPr>
      <w:rFonts w:ascii="黑体" w:hAnsi="黑体" w:eastAsia="黑体" w:cs="宋体"/>
      <w:b w:val="0"/>
      <w:bCs w:val="0"/>
      <w:kern w:val="44"/>
      <w:sz w:val="32"/>
      <w:szCs w:val="20"/>
      <w:lang w:val="zh-CN" w:eastAsia="zh-CN"/>
    </w:rPr>
  </w:style>
  <w:style w:type="paragraph" w:customStyle="1" w:styleId="109">
    <w:name w:val="表格"/>
    <w:basedOn w:val="1"/>
    <w:qFormat/>
    <w:uiPriority w:val="0"/>
    <w:pPr>
      <w:jc w:val="center"/>
      <w:textAlignment w:val="center"/>
    </w:pPr>
    <w:rPr>
      <w:rFonts w:ascii="华文细黑" w:hAnsi="华文细黑" w:cs="Times New Roman"/>
      <w:sz w:val="21"/>
      <w:szCs w:val="20"/>
      <w:lang w:eastAsia="zh-CN"/>
    </w:rPr>
  </w:style>
  <w:style w:type="paragraph" w:customStyle="1" w:styleId="110">
    <w:name w:val="1"/>
    <w:basedOn w:val="1"/>
    <w:next w:val="1"/>
    <w:qFormat/>
    <w:uiPriority w:val="0"/>
    <w:pPr>
      <w:jc w:val="both"/>
    </w:pPr>
    <w:rPr>
      <w:rFonts w:ascii="Times New Roman" w:hAnsi="Times New Roman" w:cs="Times New Roman"/>
      <w:kern w:val="2"/>
      <w:sz w:val="21"/>
      <w:szCs w:val="24"/>
      <w:lang w:eastAsia="zh-CN"/>
    </w:rPr>
  </w:style>
  <w:style w:type="paragraph" w:customStyle="1" w:styleId="111">
    <w:name w:val="2 Char Char Char Char Char Char Char Char Char Char Char Char Char"/>
    <w:basedOn w:val="15"/>
    <w:qFormat/>
    <w:uiPriority w:val="0"/>
    <w:pPr>
      <w:shd w:val="clear" w:color="auto" w:fill="000080"/>
    </w:pPr>
    <w:rPr>
      <w:rFonts w:ascii="Tahoma" w:hAnsi="Tahoma"/>
      <w:sz w:val="24"/>
      <w:szCs w:val="24"/>
      <w:lang w:val="zh-CN"/>
    </w:rPr>
  </w:style>
  <w:style w:type="paragraph" w:customStyle="1" w:styleId="112">
    <w:name w:val="样式3"/>
    <w:basedOn w:val="6"/>
    <w:qFormat/>
    <w:uiPriority w:val="0"/>
    <w:pPr>
      <w:keepNext/>
      <w:keepLines/>
      <w:spacing w:before="260" w:after="260" w:line="415" w:lineRule="auto"/>
      <w:ind w:left="0" w:right="0"/>
      <w:jc w:val="both"/>
    </w:pPr>
    <w:rPr>
      <w:rFonts w:ascii="Times New Roman" w:hAnsi="Times New Roman" w:eastAsia="Arial" w:cs="Times New Roman"/>
      <w:b/>
      <w:bCs/>
      <w:kern w:val="2"/>
      <w:sz w:val="32"/>
      <w:szCs w:val="32"/>
      <w:lang w:val="zh-CN" w:eastAsia="zh-CN"/>
    </w:rPr>
  </w:style>
  <w:style w:type="paragraph" w:customStyle="1" w:styleId="113">
    <w:name w:val="表格文字"/>
    <w:basedOn w:val="1"/>
    <w:qFormat/>
    <w:uiPriority w:val="0"/>
    <w:pPr>
      <w:adjustRightInd w:val="0"/>
      <w:spacing w:line="420" w:lineRule="atLeast"/>
      <w:textAlignment w:val="baseline"/>
    </w:pPr>
    <w:rPr>
      <w:rFonts w:ascii="Times New Roman" w:hAnsi="Times New Roman" w:cs="Times New Roman"/>
      <w:sz w:val="21"/>
      <w:szCs w:val="20"/>
      <w:lang w:eastAsia="zh-CN"/>
    </w:rPr>
  </w:style>
  <w:style w:type="paragraph" w:customStyle="1" w:styleId="114">
    <w:name w:val="样式4"/>
    <w:basedOn w:val="6"/>
    <w:qFormat/>
    <w:uiPriority w:val="0"/>
    <w:pPr>
      <w:keepNext/>
      <w:keepLines/>
      <w:spacing w:before="260" w:after="260" w:line="415" w:lineRule="auto"/>
      <w:ind w:left="0" w:right="0"/>
      <w:jc w:val="both"/>
    </w:pPr>
    <w:rPr>
      <w:rFonts w:ascii="Times New Roman" w:hAnsi="Times New Roman" w:eastAsia="Arial" w:cs="Times New Roman"/>
      <w:b/>
      <w:bCs/>
      <w:kern w:val="2"/>
      <w:sz w:val="32"/>
      <w:szCs w:val="32"/>
      <w:lang w:val="zh-CN" w:eastAsia="zh-CN"/>
    </w:rPr>
  </w:style>
  <w:style w:type="paragraph" w:customStyle="1" w:styleId="115">
    <w:name w:val="6'"/>
    <w:basedOn w:val="1"/>
    <w:qFormat/>
    <w:uiPriority w:val="0"/>
    <w:pPr>
      <w:autoSpaceDE w:val="0"/>
      <w:autoSpaceDN w:val="0"/>
      <w:adjustRightInd w:val="0"/>
      <w:snapToGrid w:val="0"/>
      <w:spacing w:line="320" w:lineRule="exact"/>
      <w:jc w:val="center"/>
      <w:textAlignment w:val="baseline"/>
    </w:pPr>
    <w:rPr>
      <w:rFonts w:ascii="Times New Roman" w:hAnsi="Times New Roman" w:cs="Times New Roman"/>
      <w:spacing w:val="20"/>
      <w:kern w:val="28"/>
      <w:sz w:val="21"/>
      <w:szCs w:val="20"/>
      <w:lang w:eastAsia="zh-CN"/>
    </w:rPr>
  </w:style>
  <w:style w:type="character" w:customStyle="1" w:styleId="116">
    <w:name w:val="页脚 Char1"/>
    <w:qFormat/>
    <w:uiPriority w:val="0"/>
    <w:rPr>
      <w:rFonts w:ascii="Tahoma" w:hAnsi="Tahoma"/>
      <w:kern w:val="2"/>
      <w:sz w:val="18"/>
      <w:szCs w:val="18"/>
    </w:rPr>
  </w:style>
  <w:style w:type="character" w:customStyle="1" w:styleId="117">
    <w:name w:val="批注框文本 Char1"/>
    <w:qFormat/>
    <w:uiPriority w:val="0"/>
    <w:rPr>
      <w:rFonts w:ascii="Tahoma" w:hAnsi="Tahoma"/>
      <w:kern w:val="2"/>
      <w:sz w:val="18"/>
      <w:szCs w:val="18"/>
    </w:rPr>
  </w:style>
  <w:style w:type="paragraph" w:customStyle="1" w:styleId="118">
    <w:name w:val="样式 正文（首行缩进两字） + 首行缩进:  1.92 字符 Char Char"/>
    <w:basedOn w:val="14"/>
    <w:qFormat/>
    <w:uiPriority w:val="0"/>
    <w:pPr>
      <w:tabs>
        <w:tab w:val="left" w:pos="0"/>
      </w:tabs>
      <w:spacing w:line="400" w:lineRule="exact"/>
      <w:ind w:firstLine="0" w:firstLineChars="0"/>
    </w:pPr>
    <w:rPr>
      <w:rFonts w:ascii="华文中宋" w:hAnsi="华文中宋" w:eastAsia="华文中宋"/>
      <w:color w:val="000000"/>
      <w:sz w:val="24"/>
    </w:rPr>
  </w:style>
  <w:style w:type="character" w:customStyle="1" w:styleId="119">
    <w:name w:val="formark"/>
    <w:qFormat/>
    <w:uiPriority w:val="99"/>
  </w:style>
  <w:style w:type="character" w:customStyle="1" w:styleId="120">
    <w:name w:val="页眉 Char1"/>
    <w:semiHidden/>
    <w:qFormat/>
    <w:uiPriority w:val="0"/>
    <w:rPr>
      <w:kern w:val="2"/>
      <w:sz w:val="18"/>
      <w:szCs w:val="18"/>
    </w:rPr>
  </w:style>
  <w:style w:type="character" w:customStyle="1" w:styleId="121">
    <w:name w:val="正文文本缩进 3 Char1"/>
    <w:semiHidden/>
    <w:qFormat/>
    <w:uiPriority w:val="99"/>
    <w:rPr>
      <w:kern w:val="2"/>
      <w:sz w:val="16"/>
      <w:szCs w:val="16"/>
    </w:rPr>
  </w:style>
  <w:style w:type="character" w:customStyle="1" w:styleId="122">
    <w:name w:val="正文文本缩进 Char1"/>
    <w:semiHidden/>
    <w:qFormat/>
    <w:uiPriority w:val="99"/>
    <w:rPr>
      <w:kern w:val="2"/>
      <w:sz w:val="21"/>
      <w:szCs w:val="24"/>
    </w:rPr>
  </w:style>
  <w:style w:type="paragraph" w:customStyle="1" w:styleId="123">
    <w:name w:val="Default"/>
    <w:qFormat/>
    <w:uiPriority w:val="99"/>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124">
    <w:name w:val="font5"/>
    <w:basedOn w:val="1"/>
    <w:qFormat/>
    <w:uiPriority w:val="0"/>
    <w:pPr>
      <w:widowControl/>
      <w:spacing w:before="100" w:beforeAutospacing="1" w:after="100" w:afterAutospacing="1"/>
    </w:pPr>
    <w:rPr>
      <w:color w:val="000000"/>
      <w:sz w:val="20"/>
      <w:szCs w:val="20"/>
      <w:lang w:eastAsia="zh-CN"/>
    </w:rPr>
  </w:style>
  <w:style w:type="paragraph" w:customStyle="1" w:styleId="125">
    <w:name w:val="font6"/>
    <w:basedOn w:val="1"/>
    <w:qFormat/>
    <w:uiPriority w:val="0"/>
    <w:pPr>
      <w:widowControl/>
      <w:spacing w:before="100" w:beforeAutospacing="1" w:after="100" w:afterAutospacing="1"/>
    </w:pPr>
    <w:rPr>
      <w:sz w:val="18"/>
      <w:szCs w:val="18"/>
      <w:lang w:eastAsia="zh-CN"/>
    </w:rPr>
  </w:style>
  <w:style w:type="paragraph" w:customStyle="1" w:styleId="126">
    <w:name w:val="font7"/>
    <w:basedOn w:val="1"/>
    <w:qFormat/>
    <w:uiPriority w:val="0"/>
    <w:pPr>
      <w:widowControl/>
      <w:spacing w:before="100" w:beforeAutospacing="1" w:after="100" w:afterAutospacing="1"/>
    </w:pPr>
    <w:rPr>
      <w:rFonts w:ascii="Calibri" w:hAnsi="Calibri"/>
      <w:color w:val="000000"/>
      <w:sz w:val="20"/>
      <w:szCs w:val="20"/>
      <w:lang w:eastAsia="zh-CN"/>
    </w:rPr>
  </w:style>
  <w:style w:type="paragraph" w:customStyle="1" w:styleId="127">
    <w:name w:val="xl63"/>
    <w:basedOn w:val="1"/>
    <w:qFormat/>
    <w:uiPriority w:val="0"/>
    <w:pPr>
      <w:widowControl/>
      <w:spacing w:before="100" w:beforeAutospacing="1" w:after="100" w:afterAutospacing="1"/>
    </w:pPr>
    <w:rPr>
      <w:sz w:val="24"/>
      <w:szCs w:val="24"/>
      <w:lang w:eastAsia="zh-CN"/>
    </w:rPr>
  </w:style>
  <w:style w:type="paragraph" w:customStyle="1" w:styleId="128">
    <w:name w:val="xl64"/>
    <w:basedOn w:val="1"/>
    <w:qFormat/>
    <w:uiPriority w:val="0"/>
    <w:pPr>
      <w:widowControl/>
      <w:pBdr>
        <w:top w:val="single" w:color="auto" w:sz="12" w:space="0"/>
        <w:left w:val="single" w:color="auto" w:sz="12" w:space="0"/>
        <w:bottom w:val="single" w:color="auto" w:sz="12" w:space="0"/>
        <w:right w:val="single" w:color="auto" w:sz="8" w:space="0"/>
      </w:pBdr>
      <w:spacing w:before="100" w:beforeAutospacing="1" w:after="100" w:afterAutospacing="1"/>
      <w:jc w:val="center"/>
      <w:textAlignment w:val="bottom"/>
    </w:pPr>
    <w:rPr>
      <w:b/>
      <w:bCs/>
      <w:sz w:val="24"/>
      <w:szCs w:val="24"/>
      <w:lang w:eastAsia="zh-CN"/>
    </w:rPr>
  </w:style>
  <w:style w:type="paragraph" w:customStyle="1" w:styleId="129">
    <w:name w:val="xl65"/>
    <w:basedOn w:val="1"/>
    <w:qFormat/>
    <w:uiPriority w:val="0"/>
    <w:pPr>
      <w:widowControl/>
      <w:pBdr>
        <w:top w:val="single" w:color="auto" w:sz="12" w:space="0"/>
        <w:bottom w:val="single" w:color="auto" w:sz="12" w:space="0"/>
        <w:right w:val="single" w:color="auto" w:sz="8" w:space="0"/>
      </w:pBdr>
      <w:spacing w:before="100" w:beforeAutospacing="1" w:after="100" w:afterAutospacing="1"/>
      <w:textAlignment w:val="bottom"/>
    </w:pPr>
    <w:rPr>
      <w:b/>
      <w:bCs/>
      <w:sz w:val="24"/>
      <w:szCs w:val="24"/>
      <w:lang w:eastAsia="zh-CN"/>
    </w:rPr>
  </w:style>
  <w:style w:type="paragraph" w:customStyle="1" w:styleId="130">
    <w:name w:val="xl66"/>
    <w:basedOn w:val="1"/>
    <w:qFormat/>
    <w:uiPriority w:val="0"/>
    <w:pPr>
      <w:widowControl/>
      <w:pBdr>
        <w:left w:val="single" w:color="auto" w:sz="12" w:space="0"/>
        <w:bottom w:val="single" w:color="auto" w:sz="8" w:space="0"/>
        <w:right w:val="single" w:color="auto" w:sz="8" w:space="0"/>
      </w:pBdr>
      <w:spacing w:before="100" w:beforeAutospacing="1" w:after="100" w:afterAutospacing="1"/>
      <w:jc w:val="center"/>
    </w:pPr>
    <w:rPr>
      <w:sz w:val="20"/>
      <w:szCs w:val="20"/>
      <w:lang w:eastAsia="zh-CN"/>
    </w:rPr>
  </w:style>
  <w:style w:type="paragraph" w:customStyle="1" w:styleId="131">
    <w:name w:val="xl67"/>
    <w:basedOn w:val="1"/>
    <w:qFormat/>
    <w:uiPriority w:val="0"/>
    <w:pPr>
      <w:widowControl/>
      <w:pBdr>
        <w:bottom w:val="single" w:color="auto" w:sz="8" w:space="0"/>
        <w:right w:val="single" w:color="auto" w:sz="8" w:space="0"/>
      </w:pBdr>
      <w:spacing w:before="100" w:beforeAutospacing="1" w:after="100" w:afterAutospacing="1"/>
      <w:jc w:val="center"/>
    </w:pPr>
    <w:rPr>
      <w:sz w:val="20"/>
      <w:szCs w:val="20"/>
      <w:lang w:eastAsia="zh-CN"/>
    </w:rPr>
  </w:style>
  <w:style w:type="paragraph" w:customStyle="1" w:styleId="132">
    <w:name w:val="xl68"/>
    <w:basedOn w:val="1"/>
    <w:qFormat/>
    <w:uiPriority w:val="0"/>
    <w:pPr>
      <w:widowControl/>
      <w:pBdr>
        <w:bottom w:val="single" w:color="auto" w:sz="8" w:space="0"/>
        <w:right w:val="single" w:color="auto" w:sz="12" w:space="0"/>
      </w:pBdr>
      <w:spacing w:before="100" w:beforeAutospacing="1" w:after="100" w:afterAutospacing="1"/>
    </w:pPr>
    <w:rPr>
      <w:rFonts w:ascii="Calibri" w:hAnsi="Calibri"/>
      <w:sz w:val="21"/>
      <w:szCs w:val="21"/>
      <w:lang w:eastAsia="zh-CN"/>
    </w:rPr>
  </w:style>
  <w:style w:type="paragraph" w:customStyle="1" w:styleId="133">
    <w:name w:val="xl69"/>
    <w:basedOn w:val="1"/>
    <w:qFormat/>
    <w:uiPriority w:val="0"/>
    <w:pPr>
      <w:widowControl/>
      <w:pBdr>
        <w:top w:val="single" w:color="auto" w:sz="12" w:space="0"/>
        <w:bottom w:val="single" w:color="auto" w:sz="12" w:space="0"/>
        <w:right w:val="single" w:color="auto" w:sz="12" w:space="0"/>
      </w:pBdr>
      <w:spacing w:before="100" w:beforeAutospacing="1" w:after="100" w:afterAutospacing="1"/>
      <w:jc w:val="center"/>
      <w:textAlignment w:val="bottom"/>
    </w:pPr>
    <w:rPr>
      <w:b/>
      <w:bCs/>
      <w:sz w:val="24"/>
      <w:szCs w:val="24"/>
      <w:lang w:eastAsia="zh-CN"/>
    </w:rPr>
  </w:style>
  <w:style w:type="paragraph" w:customStyle="1" w:styleId="134">
    <w:name w:val="xl70"/>
    <w:basedOn w:val="1"/>
    <w:qFormat/>
    <w:uiPriority w:val="0"/>
    <w:pPr>
      <w:widowControl/>
      <w:pBdr>
        <w:bottom w:val="single" w:color="auto" w:sz="8" w:space="0"/>
        <w:right w:val="single" w:color="auto" w:sz="12" w:space="0"/>
      </w:pBdr>
      <w:spacing w:before="100" w:beforeAutospacing="1" w:after="100" w:afterAutospacing="1"/>
    </w:pPr>
    <w:rPr>
      <w:sz w:val="21"/>
      <w:szCs w:val="21"/>
      <w:lang w:eastAsia="zh-CN"/>
    </w:rPr>
  </w:style>
  <w:style w:type="paragraph" w:customStyle="1" w:styleId="135">
    <w:name w:val="xl71"/>
    <w:basedOn w:val="1"/>
    <w:qFormat/>
    <w:uiPriority w:val="0"/>
    <w:pPr>
      <w:widowControl/>
      <w:pBdr>
        <w:top w:val="single" w:color="auto" w:sz="12" w:space="0"/>
        <w:bottom w:val="single" w:color="auto" w:sz="12" w:space="0"/>
        <w:right w:val="single" w:color="auto" w:sz="8" w:space="0"/>
      </w:pBdr>
      <w:spacing w:before="100" w:beforeAutospacing="1" w:after="100" w:afterAutospacing="1"/>
      <w:jc w:val="center"/>
      <w:textAlignment w:val="bottom"/>
    </w:pPr>
    <w:rPr>
      <w:b/>
      <w:bCs/>
      <w:sz w:val="24"/>
      <w:szCs w:val="24"/>
      <w:lang w:eastAsia="zh-CN"/>
    </w:rPr>
  </w:style>
  <w:style w:type="paragraph" w:customStyle="1" w:styleId="136">
    <w:name w:val="xl72"/>
    <w:basedOn w:val="1"/>
    <w:qFormat/>
    <w:uiPriority w:val="0"/>
    <w:pPr>
      <w:widowControl/>
      <w:pBdr>
        <w:bottom w:val="single" w:color="auto" w:sz="8" w:space="0"/>
        <w:right w:val="single" w:color="auto" w:sz="12" w:space="0"/>
      </w:pBdr>
      <w:spacing w:before="100" w:beforeAutospacing="1" w:after="100" w:afterAutospacing="1"/>
      <w:jc w:val="center"/>
      <w:textAlignment w:val="bottom"/>
    </w:pPr>
    <w:rPr>
      <w:rFonts w:ascii="Calibri" w:hAnsi="Calibri"/>
      <w:sz w:val="21"/>
      <w:szCs w:val="21"/>
      <w:lang w:eastAsia="zh-CN"/>
    </w:rPr>
  </w:style>
  <w:style w:type="paragraph" w:customStyle="1" w:styleId="137">
    <w:name w:val="xl73"/>
    <w:basedOn w:val="1"/>
    <w:qFormat/>
    <w:uiPriority w:val="0"/>
    <w:pPr>
      <w:widowControl/>
      <w:pBdr>
        <w:top w:val="single" w:color="auto" w:sz="12" w:space="0"/>
        <w:bottom w:val="single" w:color="auto" w:sz="12" w:space="0"/>
        <w:right w:val="single" w:color="auto" w:sz="12" w:space="0"/>
      </w:pBdr>
      <w:spacing w:before="100" w:beforeAutospacing="1" w:after="100" w:afterAutospacing="1"/>
    </w:pPr>
    <w:rPr>
      <w:b/>
      <w:bCs/>
      <w:sz w:val="18"/>
      <w:szCs w:val="18"/>
      <w:lang w:eastAsia="zh-CN"/>
    </w:rPr>
  </w:style>
  <w:style w:type="paragraph" w:customStyle="1" w:styleId="138">
    <w:name w:val="xl74"/>
    <w:basedOn w:val="1"/>
    <w:qFormat/>
    <w:uiPriority w:val="0"/>
    <w:pPr>
      <w:widowControl/>
      <w:pBdr>
        <w:left w:val="single" w:color="auto" w:sz="8" w:space="0"/>
        <w:bottom w:val="single" w:color="auto" w:sz="8" w:space="0"/>
      </w:pBdr>
      <w:spacing w:before="100" w:beforeAutospacing="1" w:after="100" w:afterAutospacing="1"/>
      <w:jc w:val="center"/>
    </w:pPr>
    <w:rPr>
      <w:sz w:val="20"/>
      <w:szCs w:val="20"/>
      <w:lang w:eastAsia="zh-CN"/>
    </w:rPr>
  </w:style>
  <w:style w:type="paragraph" w:customStyle="1" w:styleId="139">
    <w:name w:val="xl75"/>
    <w:basedOn w:val="1"/>
    <w:qFormat/>
    <w:uiPriority w:val="0"/>
    <w:pPr>
      <w:widowControl/>
      <w:pBdr>
        <w:bottom w:val="single" w:color="auto" w:sz="8" w:space="0"/>
        <w:right w:val="single" w:color="auto" w:sz="8" w:space="0"/>
      </w:pBdr>
      <w:spacing w:before="100" w:beforeAutospacing="1" w:after="100" w:afterAutospacing="1"/>
    </w:pPr>
    <w:rPr>
      <w:sz w:val="20"/>
      <w:szCs w:val="20"/>
      <w:lang w:eastAsia="zh-CN"/>
    </w:rPr>
  </w:style>
  <w:style w:type="paragraph" w:customStyle="1" w:styleId="140">
    <w:name w:val="xl76"/>
    <w:basedOn w:val="1"/>
    <w:qFormat/>
    <w:uiPriority w:val="0"/>
    <w:pPr>
      <w:widowControl/>
      <w:pBdr>
        <w:bottom w:val="single" w:color="auto" w:sz="8" w:space="0"/>
        <w:right w:val="single" w:color="auto" w:sz="12" w:space="0"/>
      </w:pBdr>
      <w:spacing w:before="100" w:beforeAutospacing="1" w:after="100" w:afterAutospacing="1"/>
      <w:jc w:val="center"/>
    </w:pPr>
    <w:rPr>
      <w:sz w:val="20"/>
      <w:szCs w:val="20"/>
      <w:lang w:eastAsia="zh-CN"/>
    </w:rPr>
  </w:style>
  <w:style w:type="paragraph" w:customStyle="1" w:styleId="141">
    <w:name w:val="xl77"/>
    <w:basedOn w:val="1"/>
    <w:qFormat/>
    <w:uiPriority w:val="0"/>
    <w:pPr>
      <w:widowControl/>
      <w:pBdr>
        <w:top w:val="single" w:color="auto" w:sz="12" w:space="0"/>
        <w:left w:val="single" w:color="auto" w:sz="12" w:space="0"/>
        <w:bottom w:val="single" w:color="auto" w:sz="12" w:space="0"/>
        <w:right w:val="single" w:color="auto" w:sz="12" w:space="0"/>
      </w:pBdr>
      <w:spacing w:before="100" w:beforeAutospacing="1" w:after="100" w:afterAutospacing="1"/>
    </w:pPr>
    <w:rPr>
      <w:b/>
      <w:bCs/>
      <w:sz w:val="18"/>
      <w:szCs w:val="18"/>
      <w:lang w:eastAsia="zh-CN"/>
    </w:rPr>
  </w:style>
  <w:style w:type="paragraph" w:customStyle="1" w:styleId="142">
    <w:name w:val="xl78"/>
    <w:basedOn w:val="1"/>
    <w:qFormat/>
    <w:uiPriority w:val="0"/>
    <w:pPr>
      <w:widowControl/>
      <w:pBdr>
        <w:bottom w:val="single" w:color="auto" w:sz="12" w:space="0"/>
        <w:right w:val="single" w:color="auto" w:sz="8" w:space="0"/>
      </w:pBdr>
      <w:spacing w:before="100" w:beforeAutospacing="1" w:after="100" w:afterAutospacing="1"/>
      <w:jc w:val="center"/>
    </w:pPr>
    <w:rPr>
      <w:sz w:val="20"/>
      <w:szCs w:val="20"/>
      <w:lang w:eastAsia="zh-CN"/>
    </w:rPr>
  </w:style>
  <w:style w:type="paragraph" w:customStyle="1" w:styleId="143">
    <w:name w:val="xl79"/>
    <w:basedOn w:val="1"/>
    <w:qFormat/>
    <w:uiPriority w:val="0"/>
    <w:pPr>
      <w:widowControl/>
      <w:pBdr>
        <w:left w:val="single" w:color="auto" w:sz="8" w:space="0"/>
        <w:bottom w:val="single" w:color="auto" w:sz="12" w:space="0"/>
      </w:pBdr>
      <w:spacing w:before="100" w:beforeAutospacing="1" w:after="100" w:afterAutospacing="1"/>
      <w:jc w:val="center"/>
    </w:pPr>
    <w:rPr>
      <w:sz w:val="20"/>
      <w:szCs w:val="20"/>
      <w:lang w:eastAsia="zh-CN"/>
    </w:rPr>
  </w:style>
  <w:style w:type="paragraph" w:customStyle="1" w:styleId="144">
    <w:name w:val="xl80"/>
    <w:basedOn w:val="1"/>
    <w:qFormat/>
    <w:uiPriority w:val="0"/>
    <w:pPr>
      <w:widowControl/>
      <w:pBdr>
        <w:bottom w:val="single" w:color="auto" w:sz="12" w:space="0"/>
        <w:right w:val="single" w:color="auto" w:sz="12" w:space="0"/>
      </w:pBdr>
      <w:spacing w:before="100" w:beforeAutospacing="1" w:after="100" w:afterAutospacing="1"/>
    </w:pPr>
    <w:rPr>
      <w:rFonts w:ascii="Calibri" w:hAnsi="Calibri"/>
      <w:sz w:val="21"/>
      <w:szCs w:val="21"/>
      <w:lang w:eastAsia="zh-CN"/>
    </w:rPr>
  </w:style>
  <w:style w:type="paragraph" w:customStyle="1" w:styleId="145">
    <w:name w:val="xl81"/>
    <w:basedOn w:val="1"/>
    <w:qFormat/>
    <w:uiPriority w:val="0"/>
    <w:pPr>
      <w:widowControl/>
      <w:pBdr>
        <w:top w:val="single" w:color="auto" w:sz="8" w:space="0"/>
        <w:left w:val="single" w:color="auto" w:sz="8" w:space="0"/>
        <w:bottom w:val="single" w:color="auto" w:sz="8" w:space="0"/>
      </w:pBdr>
      <w:spacing w:before="100" w:beforeAutospacing="1" w:after="100" w:afterAutospacing="1"/>
    </w:pPr>
    <w:rPr>
      <w:sz w:val="20"/>
      <w:szCs w:val="20"/>
      <w:lang w:eastAsia="zh-CN"/>
    </w:rPr>
  </w:style>
  <w:style w:type="paragraph" w:customStyle="1" w:styleId="146">
    <w:name w:val="xl82"/>
    <w:basedOn w:val="1"/>
    <w:qFormat/>
    <w:uiPriority w:val="0"/>
    <w:pPr>
      <w:widowControl/>
      <w:pBdr>
        <w:top w:val="single" w:color="auto" w:sz="8" w:space="0"/>
        <w:bottom w:val="single" w:color="auto" w:sz="8" w:space="0"/>
        <w:right w:val="single" w:color="auto" w:sz="8" w:space="0"/>
      </w:pBdr>
      <w:spacing w:before="100" w:beforeAutospacing="1" w:after="100" w:afterAutospacing="1"/>
    </w:pPr>
    <w:rPr>
      <w:sz w:val="20"/>
      <w:szCs w:val="20"/>
      <w:lang w:eastAsia="zh-CN"/>
    </w:rPr>
  </w:style>
  <w:style w:type="paragraph" w:customStyle="1" w:styleId="147">
    <w:name w:val="xl83"/>
    <w:basedOn w:val="1"/>
    <w:qFormat/>
    <w:uiPriority w:val="0"/>
    <w:pPr>
      <w:widowControl/>
      <w:pBdr>
        <w:top w:val="single" w:color="auto" w:sz="8" w:space="0"/>
        <w:left w:val="single" w:color="auto" w:sz="8" w:space="0"/>
        <w:bottom w:val="single" w:color="auto" w:sz="12" w:space="0"/>
      </w:pBdr>
      <w:spacing w:before="100" w:beforeAutospacing="1" w:after="100" w:afterAutospacing="1"/>
    </w:pPr>
    <w:rPr>
      <w:sz w:val="20"/>
      <w:szCs w:val="20"/>
      <w:lang w:eastAsia="zh-CN"/>
    </w:rPr>
  </w:style>
  <w:style w:type="paragraph" w:customStyle="1" w:styleId="148">
    <w:name w:val="xl84"/>
    <w:basedOn w:val="1"/>
    <w:qFormat/>
    <w:uiPriority w:val="0"/>
    <w:pPr>
      <w:widowControl/>
      <w:pBdr>
        <w:top w:val="single" w:color="auto" w:sz="8" w:space="0"/>
        <w:bottom w:val="single" w:color="auto" w:sz="12" w:space="0"/>
        <w:right w:val="single" w:color="auto" w:sz="8" w:space="0"/>
      </w:pBdr>
      <w:spacing w:before="100" w:beforeAutospacing="1" w:after="100" w:afterAutospacing="1"/>
    </w:pPr>
    <w:rPr>
      <w:sz w:val="20"/>
      <w:szCs w:val="20"/>
      <w:lang w:eastAsia="zh-CN"/>
    </w:rPr>
  </w:style>
  <w:style w:type="paragraph" w:customStyle="1" w:styleId="149">
    <w:name w:val="xl85"/>
    <w:basedOn w:val="1"/>
    <w:qFormat/>
    <w:uiPriority w:val="0"/>
    <w:pPr>
      <w:widowControl/>
      <w:pBdr>
        <w:top w:val="single" w:color="auto" w:sz="12" w:space="0"/>
        <w:left w:val="single" w:color="auto" w:sz="12" w:space="0"/>
        <w:right w:val="single" w:color="auto" w:sz="8" w:space="0"/>
      </w:pBdr>
      <w:spacing w:before="100" w:beforeAutospacing="1" w:after="100" w:afterAutospacing="1"/>
      <w:jc w:val="center"/>
    </w:pPr>
    <w:rPr>
      <w:sz w:val="20"/>
      <w:szCs w:val="20"/>
      <w:lang w:eastAsia="zh-CN"/>
    </w:rPr>
  </w:style>
  <w:style w:type="paragraph" w:customStyle="1" w:styleId="150">
    <w:name w:val="xl86"/>
    <w:basedOn w:val="1"/>
    <w:qFormat/>
    <w:uiPriority w:val="0"/>
    <w:pPr>
      <w:widowControl/>
      <w:pBdr>
        <w:left w:val="single" w:color="auto" w:sz="12" w:space="0"/>
        <w:right w:val="single" w:color="auto" w:sz="8" w:space="0"/>
      </w:pBdr>
      <w:spacing w:before="100" w:beforeAutospacing="1" w:after="100" w:afterAutospacing="1"/>
      <w:jc w:val="center"/>
    </w:pPr>
    <w:rPr>
      <w:sz w:val="20"/>
      <w:szCs w:val="20"/>
      <w:lang w:eastAsia="zh-CN"/>
    </w:rPr>
  </w:style>
  <w:style w:type="paragraph" w:customStyle="1" w:styleId="151">
    <w:name w:val="xl87"/>
    <w:basedOn w:val="1"/>
    <w:qFormat/>
    <w:uiPriority w:val="0"/>
    <w:pPr>
      <w:widowControl/>
      <w:pBdr>
        <w:left w:val="single" w:color="auto" w:sz="12" w:space="0"/>
        <w:bottom w:val="single" w:color="auto" w:sz="12" w:space="0"/>
        <w:right w:val="single" w:color="auto" w:sz="8" w:space="0"/>
      </w:pBdr>
      <w:spacing w:before="100" w:beforeAutospacing="1" w:after="100" w:afterAutospacing="1"/>
      <w:jc w:val="center"/>
    </w:pPr>
    <w:rPr>
      <w:sz w:val="20"/>
      <w:szCs w:val="20"/>
      <w:lang w:eastAsia="zh-CN"/>
    </w:rPr>
  </w:style>
  <w:style w:type="paragraph" w:customStyle="1" w:styleId="152">
    <w:name w:val="xl88"/>
    <w:basedOn w:val="1"/>
    <w:qFormat/>
    <w:uiPriority w:val="0"/>
    <w:pPr>
      <w:widowControl/>
      <w:pBdr>
        <w:top w:val="single" w:color="auto" w:sz="12" w:space="0"/>
        <w:left w:val="single" w:color="auto" w:sz="8" w:space="0"/>
        <w:right w:val="single" w:color="auto" w:sz="8" w:space="0"/>
      </w:pBdr>
      <w:spacing w:before="100" w:beforeAutospacing="1" w:after="100" w:afterAutospacing="1"/>
      <w:jc w:val="center"/>
    </w:pPr>
    <w:rPr>
      <w:sz w:val="20"/>
      <w:szCs w:val="20"/>
      <w:lang w:eastAsia="zh-CN"/>
    </w:rPr>
  </w:style>
  <w:style w:type="paragraph" w:customStyle="1" w:styleId="153">
    <w:name w:val="xl89"/>
    <w:basedOn w:val="1"/>
    <w:qFormat/>
    <w:uiPriority w:val="0"/>
    <w:pPr>
      <w:widowControl/>
      <w:pBdr>
        <w:left w:val="single" w:color="auto" w:sz="8" w:space="0"/>
        <w:right w:val="single" w:color="auto" w:sz="8" w:space="0"/>
      </w:pBdr>
      <w:spacing w:before="100" w:beforeAutospacing="1" w:after="100" w:afterAutospacing="1"/>
      <w:jc w:val="center"/>
    </w:pPr>
    <w:rPr>
      <w:sz w:val="20"/>
      <w:szCs w:val="20"/>
      <w:lang w:eastAsia="zh-CN"/>
    </w:rPr>
  </w:style>
  <w:style w:type="paragraph" w:customStyle="1" w:styleId="154">
    <w:name w:val="xl90"/>
    <w:basedOn w:val="1"/>
    <w:qFormat/>
    <w:uiPriority w:val="0"/>
    <w:pPr>
      <w:widowControl/>
      <w:pBdr>
        <w:left w:val="single" w:color="auto" w:sz="8" w:space="0"/>
        <w:bottom w:val="single" w:color="auto" w:sz="12" w:space="0"/>
        <w:right w:val="single" w:color="auto" w:sz="8" w:space="0"/>
      </w:pBdr>
      <w:spacing w:before="100" w:beforeAutospacing="1" w:after="100" w:afterAutospacing="1"/>
      <w:jc w:val="center"/>
    </w:pPr>
    <w:rPr>
      <w:sz w:val="20"/>
      <w:szCs w:val="20"/>
      <w:lang w:eastAsia="zh-CN"/>
    </w:rPr>
  </w:style>
  <w:style w:type="paragraph" w:customStyle="1" w:styleId="155">
    <w:name w:val="xl91"/>
    <w:basedOn w:val="1"/>
    <w:qFormat/>
    <w:uiPriority w:val="0"/>
    <w:pPr>
      <w:widowControl/>
      <w:pBdr>
        <w:top w:val="single" w:color="auto" w:sz="12" w:space="0"/>
        <w:left w:val="single" w:color="auto" w:sz="8" w:space="0"/>
        <w:bottom w:val="single" w:color="auto" w:sz="8" w:space="0"/>
      </w:pBdr>
      <w:spacing w:before="100" w:beforeAutospacing="1" w:after="100" w:afterAutospacing="1"/>
      <w:jc w:val="center"/>
    </w:pPr>
    <w:rPr>
      <w:sz w:val="20"/>
      <w:szCs w:val="20"/>
      <w:lang w:eastAsia="zh-CN"/>
    </w:rPr>
  </w:style>
  <w:style w:type="paragraph" w:customStyle="1" w:styleId="156">
    <w:name w:val="xl92"/>
    <w:basedOn w:val="1"/>
    <w:qFormat/>
    <w:uiPriority w:val="0"/>
    <w:pPr>
      <w:widowControl/>
      <w:pBdr>
        <w:top w:val="single" w:color="auto" w:sz="12" w:space="0"/>
        <w:bottom w:val="single" w:color="auto" w:sz="8" w:space="0"/>
        <w:right w:val="single" w:color="auto" w:sz="8" w:space="0"/>
      </w:pBdr>
      <w:spacing w:before="100" w:beforeAutospacing="1" w:after="100" w:afterAutospacing="1"/>
      <w:jc w:val="center"/>
    </w:pPr>
    <w:rPr>
      <w:sz w:val="20"/>
      <w:szCs w:val="20"/>
      <w:lang w:eastAsia="zh-CN"/>
    </w:rPr>
  </w:style>
  <w:style w:type="paragraph" w:customStyle="1" w:styleId="157">
    <w:name w:val="xl93"/>
    <w:basedOn w:val="1"/>
    <w:qFormat/>
    <w:uiPriority w:val="0"/>
    <w:pPr>
      <w:widowControl/>
      <w:pBdr>
        <w:top w:val="single" w:color="auto" w:sz="12" w:space="0"/>
        <w:left w:val="single" w:color="auto" w:sz="8" w:space="0"/>
        <w:bottom w:val="single" w:color="auto" w:sz="8" w:space="0"/>
      </w:pBdr>
      <w:spacing w:before="100" w:beforeAutospacing="1" w:after="100" w:afterAutospacing="1"/>
    </w:pPr>
    <w:rPr>
      <w:sz w:val="20"/>
      <w:szCs w:val="20"/>
      <w:lang w:eastAsia="zh-CN"/>
    </w:rPr>
  </w:style>
  <w:style w:type="paragraph" w:customStyle="1" w:styleId="158">
    <w:name w:val="xl94"/>
    <w:basedOn w:val="1"/>
    <w:qFormat/>
    <w:uiPriority w:val="0"/>
    <w:pPr>
      <w:widowControl/>
      <w:pBdr>
        <w:top w:val="single" w:color="auto" w:sz="12" w:space="0"/>
        <w:bottom w:val="single" w:color="auto" w:sz="8" w:space="0"/>
        <w:right w:val="single" w:color="auto" w:sz="8" w:space="0"/>
      </w:pBdr>
      <w:spacing w:before="100" w:beforeAutospacing="1" w:after="100" w:afterAutospacing="1"/>
    </w:pPr>
    <w:rPr>
      <w:sz w:val="20"/>
      <w:szCs w:val="20"/>
      <w:lang w:eastAsia="zh-CN"/>
    </w:rPr>
  </w:style>
  <w:style w:type="paragraph" w:customStyle="1" w:styleId="159">
    <w:name w:val="xl95"/>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sz w:val="20"/>
      <w:szCs w:val="20"/>
      <w:lang w:eastAsia="zh-CN"/>
    </w:rPr>
  </w:style>
  <w:style w:type="paragraph" w:customStyle="1" w:styleId="160">
    <w:name w:val="xl96"/>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pPr>
    <w:rPr>
      <w:sz w:val="20"/>
      <w:szCs w:val="20"/>
      <w:lang w:eastAsia="zh-CN"/>
    </w:rPr>
  </w:style>
  <w:style w:type="paragraph" w:customStyle="1" w:styleId="161">
    <w:name w:val="xl97"/>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sz w:val="20"/>
      <w:szCs w:val="20"/>
      <w:lang w:eastAsia="zh-CN"/>
    </w:rPr>
  </w:style>
  <w:style w:type="paragraph" w:customStyle="1" w:styleId="162">
    <w:name w:val="xl98"/>
    <w:basedOn w:val="1"/>
    <w:qFormat/>
    <w:uiPriority w:val="0"/>
    <w:pPr>
      <w:widowControl/>
      <w:spacing w:before="100" w:beforeAutospacing="1" w:after="100" w:afterAutospacing="1"/>
      <w:jc w:val="center"/>
    </w:pPr>
    <w:rPr>
      <w:rFonts w:ascii="黑体" w:hAnsi="黑体" w:eastAsia="黑体"/>
      <w:b/>
      <w:bCs/>
      <w:sz w:val="24"/>
      <w:szCs w:val="24"/>
      <w:lang w:eastAsia="zh-CN"/>
    </w:rPr>
  </w:style>
  <w:style w:type="paragraph" w:customStyle="1" w:styleId="163">
    <w:name w:val="xl99"/>
    <w:basedOn w:val="1"/>
    <w:qFormat/>
    <w:uiPriority w:val="0"/>
    <w:pPr>
      <w:widowControl/>
      <w:pBdr>
        <w:top w:val="single" w:color="auto" w:sz="12" w:space="0"/>
        <w:left w:val="single" w:color="auto" w:sz="12" w:space="0"/>
        <w:bottom w:val="single" w:color="auto" w:sz="12" w:space="0"/>
      </w:pBdr>
      <w:spacing w:before="100" w:beforeAutospacing="1" w:after="100" w:afterAutospacing="1"/>
    </w:pPr>
    <w:rPr>
      <w:b/>
      <w:bCs/>
      <w:sz w:val="18"/>
      <w:szCs w:val="18"/>
      <w:lang w:eastAsia="zh-CN"/>
    </w:rPr>
  </w:style>
  <w:style w:type="paragraph" w:customStyle="1" w:styleId="164">
    <w:name w:val="xl100"/>
    <w:basedOn w:val="1"/>
    <w:qFormat/>
    <w:uiPriority w:val="0"/>
    <w:pPr>
      <w:widowControl/>
      <w:spacing w:before="100" w:beforeAutospacing="1" w:after="100" w:afterAutospacing="1"/>
    </w:pPr>
    <w:rPr>
      <w:rFonts w:ascii="Calibri" w:hAnsi="Calibri"/>
      <w:sz w:val="21"/>
      <w:szCs w:val="21"/>
      <w:lang w:eastAsia="zh-CN"/>
    </w:rPr>
  </w:style>
  <w:style w:type="paragraph" w:customStyle="1" w:styleId="165">
    <w:name w:val="xl101"/>
    <w:basedOn w:val="1"/>
    <w:qFormat/>
    <w:uiPriority w:val="0"/>
    <w:pPr>
      <w:widowControl/>
      <w:spacing w:before="100" w:beforeAutospacing="1" w:after="100" w:afterAutospacing="1"/>
      <w:jc w:val="center"/>
    </w:pPr>
    <w:rPr>
      <w:rFonts w:ascii="黑体" w:hAnsi="黑体" w:eastAsia="黑体"/>
      <w:b/>
      <w:bCs/>
      <w:sz w:val="24"/>
      <w:szCs w:val="24"/>
      <w:lang w:eastAsia="zh-CN"/>
    </w:rPr>
  </w:style>
  <w:style w:type="paragraph" w:customStyle="1" w:styleId="166">
    <w:name w:val="xl102"/>
    <w:basedOn w:val="1"/>
    <w:qFormat/>
    <w:uiPriority w:val="0"/>
    <w:pPr>
      <w:widowControl/>
      <w:pBdr>
        <w:right w:val="single" w:color="000000" w:sz="8" w:space="0"/>
      </w:pBdr>
      <w:spacing w:before="100" w:beforeAutospacing="1" w:after="100" w:afterAutospacing="1"/>
      <w:jc w:val="center"/>
    </w:pPr>
    <w:rPr>
      <w:rFonts w:ascii="黑体" w:hAnsi="黑体" w:eastAsia="黑体"/>
      <w:b/>
      <w:bCs/>
      <w:sz w:val="24"/>
      <w:szCs w:val="24"/>
      <w:lang w:eastAsia="zh-CN"/>
    </w:rPr>
  </w:style>
  <w:style w:type="paragraph" w:customStyle="1" w:styleId="167">
    <w:name w:val="xl103"/>
    <w:basedOn w:val="1"/>
    <w:qFormat/>
    <w:uiPriority w:val="0"/>
    <w:pPr>
      <w:widowControl/>
      <w:pBdr>
        <w:bottom w:val="single" w:color="auto" w:sz="12" w:space="0"/>
      </w:pBdr>
      <w:spacing w:before="100" w:beforeAutospacing="1" w:after="100" w:afterAutospacing="1"/>
      <w:jc w:val="center"/>
    </w:pPr>
    <w:rPr>
      <w:rFonts w:ascii="黑体" w:hAnsi="黑体" w:eastAsia="黑体"/>
      <w:b/>
      <w:bCs/>
      <w:sz w:val="24"/>
      <w:szCs w:val="24"/>
      <w:lang w:eastAsia="zh-CN"/>
    </w:rPr>
  </w:style>
  <w:style w:type="paragraph" w:customStyle="1" w:styleId="168">
    <w:name w:val="xl104"/>
    <w:basedOn w:val="1"/>
    <w:qFormat/>
    <w:uiPriority w:val="0"/>
    <w:pPr>
      <w:widowControl/>
      <w:pBdr>
        <w:bottom w:val="single" w:color="auto" w:sz="12" w:space="0"/>
        <w:right w:val="single" w:color="000000" w:sz="8" w:space="0"/>
      </w:pBdr>
      <w:spacing w:before="100" w:beforeAutospacing="1" w:after="100" w:afterAutospacing="1"/>
      <w:jc w:val="center"/>
    </w:pPr>
    <w:rPr>
      <w:rFonts w:ascii="黑体" w:hAnsi="黑体" w:eastAsia="黑体"/>
      <w:b/>
      <w:bCs/>
      <w:sz w:val="24"/>
      <w:szCs w:val="24"/>
      <w:lang w:eastAsia="zh-CN"/>
    </w:rPr>
  </w:style>
  <w:style w:type="paragraph" w:customStyle="1" w:styleId="169">
    <w:name w:val="xl105"/>
    <w:basedOn w:val="1"/>
    <w:qFormat/>
    <w:uiPriority w:val="0"/>
    <w:pPr>
      <w:widowControl/>
      <w:pBdr>
        <w:top w:val="single" w:color="auto" w:sz="12" w:space="0"/>
        <w:left w:val="single" w:color="auto" w:sz="8" w:space="0"/>
        <w:bottom w:val="single" w:color="auto" w:sz="12" w:space="0"/>
      </w:pBdr>
      <w:spacing w:before="100" w:beforeAutospacing="1" w:after="100" w:afterAutospacing="1"/>
      <w:jc w:val="center"/>
      <w:textAlignment w:val="bottom"/>
    </w:pPr>
    <w:rPr>
      <w:b/>
      <w:bCs/>
      <w:sz w:val="24"/>
      <w:szCs w:val="24"/>
      <w:lang w:eastAsia="zh-CN"/>
    </w:rPr>
  </w:style>
  <w:style w:type="paragraph" w:customStyle="1" w:styleId="170">
    <w:name w:val="xl106"/>
    <w:basedOn w:val="1"/>
    <w:qFormat/>
    <w:uiPriority w:val="0"/>
    <w:pPr>
      <w:widowControl/>
      <w:pBdr>
        <w:bottom w:val="single" w:color="auto" w:sz="12" w:space="0"/>
      </w:pBdr>
      <w:spacing w:before="100" w:beforeAutospacing="1" w:after="100" w:afterAutospacing="1"/>
      <w:jc w:val="center"/>
    </w:pPr>
    <w:rPr>
      <w:rFonts w:ascii="黑体" w:hAnsi="黑体" w:eastAsia="黑体"/>
      <w:b/>
      <w:bCs/>
      <w:color w:val="000000"/>
      <w:sz w:val="24"/>
      <w:szCs w:val="24"/>
      <w:lang w:eastAsia="zh-CN"/>
    </w:rPr>
  </w:style>
  <w:style w:type="paragraph" w:customStyle="1" w:styleId="171">
    <w:name w:val="xl107"/>
    <w:basedOn w:val="1"/>
    <w:qFormat/>
    <w:uiPriority w:val="0"/>
    <w:pPr>
      <w:widowControl/>
      <w:pBdr>
        <w:top w:val="single" w:color="auto" w:sz="12" w:space="0"/>
        <w:left w:val="single" w:color="auto" w:sz="12" w:space="0"/>
        <w:bottom w:val="single" w:color="auto" w:sz="12" w:space="0"/>
      </w:pBdr>
      <w:spacing w:before="100" w:beforeAutospacing="1" w:after="100" w:afterAutospacing="1"/>
    </w:pPr>
    <w:rPr>
      <w:b/>
      <w:bCs/>
      <w:color w:val="000000"/>
      <w:sz w:val="24"/>
      <w:szCs w:val="24"/>
      <w:lang w:eastAsia="zh-CN"/>
    </w:rPr>
  </w:style>
  <w:style w:type="paragraph" w:customStyle="1" w:styleId="172">
    <w:name w:val="xl108"/>
    <w:basedOn w:val="1"/>
    <w:qFormat/>
    <w:uiPriority w:val="0"/>
    <w:pPr>
      <w:widowControl/>
      <w:pBdr>
        <w:top w:val="single" w:color="auto" w:sz="12" w:space="0"/>
        <w:bottom w:val="single" w:color="auto" w:sz="12" w:space="0"/>
        <w:right w:val="single" w:color="auto" w:sz="12" w:space="0"/>
      </w:pBdr>
      <w:spacing w:before="100" w:beforeAutospacing="1" w:after="100" w:afterAutospacing="1"/>
    </w:pPr>
    <w:rPr>
      <w:b/>
      <w:bCs/>
      <w:color w:val="000000"/>
      <w:sz w:val="24"/>
      <w:szCs w:val="24"/>
      <w:lang w:eastAsia="zh-CN"/>
    </w:rPr>
  </w:style>
  <w:style w:type="paragraph" w:customStyle="1" w:styleId="173">
    <w:name w:val="xl109"/>
    <w:basedOn w:val="1"/>
    <w:qFormat/>
    <w:uiPriority w:val="0"/>
    <w:pPr>
      <w:widowControl/>
      <w:pBdr>
        <w:top w:val="single" w:color="auto" w:sz="12" w:space="0"/>
        <w:left w:val="single" w:color="auto" w:sz="8" w:space="0"/>
        <w:bottom w:val="single" w:color="auto" w:sz="8" w:space="0"/>
      </w:pBdr>
      <w:spacing w:before="100" w:beforeAutospacing="1" w:after="100" w:afterAutospacing="1"/>
      <w:jc w:val="center"/>
    </w:pPr>
    <w:rPr>
      <w:color w:val="000000"/>
      <w:sz w:val="20"/>
      <w:szCs w:val="20"/>
      <w:lang w:eastAsia="zh-CN"/>
    </w:rPr>
  </w:style>
  <w:style w:type="paragraph" w:customStyle="1" w:styleId="174">
    <w:name w:val="xl110"/>
    <w:basedOn w:val="1"/>
    <w:qFormat/>
    <w:uiPriority w:val="0"/>
    <w:pPr>
      <w:widowControl/>
      <w:pBdr>
        <w:top w:val="single" w:color="auto" w:sz="12" w:space="0"/>
        <w:bottom w:val="single" w:color="auto" w:sz="8" w:space="0"/>
        <w:right w:val="single" w:color="auto" w:sz="8" w:space="0"/>
      </w:pBdr>
      <w:spacing w:before="100" w:beforeAutospacing="1" w:after="100" w:afterAutospacing="1"/>
      <w:jc w:val="center"/>
    </w:pPr>
    <w:rPr>
      <w:color w:val="000000"/>
      <w:sz w:val="20"/>
      <w:szCs w:val="20"/>
      <w:lang w:eastAsia="zh-CN"/>
    </w:rPr>
  </w:style>
  <w:style w:type="paragraph" w:customStyle="1" w:styleId="175">
    <w:name w:val="xl111"/>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pPr>
    <w:rPr>
      <w:color w:val="000000"/>
      <w:sz w:val="20"/>
      <w:szCs w:val="20"/>
      <w:lang w:eastAsia="zh-CN"/>
    </w:rPr>
  </w:style>
  <w:style w:type="paragraph" w:customStyle="1" w:styleId="176">
    <w:name w:val="xl112"/>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color w:val="000000"/>
      <w:sz w:val="20"/>
      <w:szCs w:val="20"/>
      <w:lang w:eastAsia="zh-CN"/>
    </w:rPr>
  </w:style>
  <w:style w:type="paragraph" w:customStyle="1" w:styleId="177">
    <w:name w:val="xl113"/>
    <w:basedOn w:val="1"/>
    <w:qFormat/>
    <w:uiPriority w:val="0"/>
    <w:pPr>
      <w:widowControl/>
      <w:pBdr>
        <w:top w:val="single" w:color="auto" w:sz="8" w:space="0"/>
        <w:left w:val="single" w:color="auto" w:sz="8" w:space="0"/>
        <w:bottom w:val="single" w:color="auto" w:sz="12" w:space="0"/>
      </w:pBdr>
      <w:spacing w:before="100" w:beforeAutospacing="1" w:after="100" w:afterAutospacing="1"/>
      <w:jc w:val="center"/>
    </w:pPr>
    <w:rPr>
      <w:color w:val="000000"/>
      <w:sz w:val="20"/>
      <w:szCs w:val="20"/>
      <w:lang w:eastAsia="zh-CN"/>
    </w:rPr>
  </w:style>
  <w:style w:type="paragraph" w:customStyle="1" w:styleId="178">
    <w:name w:val="xl114"/>
    <w:basedOn w:val="1"/>
    <w:qFormat/>
    <w:uiPriority w:val="0"/>
    <w:pPr>
      <w:widowControl/>
      <w:pBdr>
        <w:top w:val="single" w:color="auto" w:sz="8" w:space="0"/>
        <w:bottom w:val="single" w:color="auto" w:sz="12" w:space="0"/>
        <w:right w:val="single" w:color="auto" w:sz="8" w:space="0"/>
      </w:pBdr>
      <w:spacing w:before="100" w:beforeAutospacing="1" w:after="100" w:afterAutospacing="1"/>
      <w:jc w:val="center"/>
    </w:pPr>
    <w:rPr>
      <w:color w:val="000000"/>
      <w:sz w:val="20"/>
      <w:szCs w:val="20"/>
      <w:lang w:eastAsia="zh-CN"/>
    </w:rPr>
  </w:style>
  <w:style w:type="paragraph" w:customStyle="1" w:styleId="179">
    <w:name w:val="xl115"/>
    <w:basedOn w:val="1"/>
    <w:qFormat/>
    <w:uiPriority w:val="0"/>
    <w:pPr>
      <w:widowControl/>
      <w:pBdr>
        <w:top w:val="single" w:color="auto" w:sz="12" w:space="0"/>
        <w:left w:val="single" w:color="auto" w:sz="12" w:space="0"/>
        <w:bottom w:val="single" w:color="auto" w:sz="12" w:space="0"/>
        <w:right w:val="single" w:color="auto" w:sz="8" w:space="0"/>
      </w:pBdr>
      <w:spacing w:before="100" w:beforeAutospacing="1" w:after="100" w:afterAutospacing="1"/>
      <w:jc w:val="center"/>
      <w:textAlignment w:val="bottom"/>
    </w:pPr>
    <w:rPr>
      <w:b/>
      <w:bCs/>
      <w:sz w:val="20"/>
      <w:szCs w:val="20"/>
      <w:lang w:eastAsia="zh-CN"/>
    </w:rPr>
  </w:style>
  <w:style w:type="paragraph" w:customStyle="1" w:styleId="180">
    <w:name w:val="xl116"/>
    <w:basedOn w:val="1"/>
    <w:qFormat/>
    <w:uiPriority w:val="0"/>
    <w:pPr>
      <w:widowControl/>
      <w:pBdr>
        <w:top w:val="single" w:color="auto" w:sz="12" w:space="0"/>
        <w:bottom w:val="single" w:color="auto" w:sz="12" w:space="0"/>
        <w:right w:val="single" w:color="auto" w:sz="8" w:space="0"/>
      </w:pBdr>
      <w:spacing w:before="100" w:beforeAutospacing="1" w:after="100" w:afterAutospacing="1"/>
      <w:jc w:val="center"/>
      <w:textAlignment w:val="bottom"/>
    </w:pPr>
    <w:rPr>
      <w:b/>
      <w:bCs/>
      <w:sz w:val="20"/>
      <w:szCs w:val="20"/>
      <w:lang w:eastAsia="zh-CN"/>
    </w:rPr>
  </w:style>
  <w:style w:type="paragraph" w:customStyle="1" w:styleId="181">
    <w:name w:val="xl117"/>
    <w:basedOn w:val="1"/>
    <w:qFormat/>
    <w:uiPriority w:val="0"/>
    <w:pPr>
      <w:widowControl/>
      <w:pBdr>
        <w:top w:val="single" w:color="auto" w:sz="12" w:space="0"/>
        <w:left w:val="single" w:color="auto" w:sz="8" w:space="0"/>
        <w:bottom w:val="single" w:color="auto" w:sz="12" w:space="0"/>
      </w:pBdr>
      <w:spacing w:before="100" w:beforeAutospacing="1" w:after="100" w:afterAutospacing="1"/>
      <w:jc w:val="center"/>
      <w:textAlignment w:val="bottom"/>
    </w:pPr>
    <w:rPr>
      <w:b/>
      <w:bCs/>
      <w:sz w:val="20"/>
      <w:szCs w:val="20"/>
      <w:lang w:eastAsia="zh-CN"/>
    </w:rPr>
  </w:style>
  <w:style w:type="paragraph" w:customStyle="1" w:styleId="182">
    <w:name w:val="xl118"/>
    <w:basedOn w:val="1"/>
    <w:qFormat/>
    <w:uiPriority w:val="0"/>
    <w:pPr>
      <w:widowControl/>
      <w:pBdr>
        <w:top w:val="single" w:color="auto" w:sz="12" w:space="0"/>
        <w:left w:val="single" w:color="auto" w:sz="8" w:space="0"/>
        <w:bottom w:val="single" w:color="auto" w:sz="12" w:space="0"/>
      </w:pBdr>
      <w:spacing w:before="100" w:beforeAutospacing="1" w:after="100" w:afterAutospacing="1"/>
      <w:textAlignment w:val="bottom"/>
    </w:pPr>
    <w:rPr>
      <w:b/>
      <w:bCs/>
      <w:sz w:val="20"/>
      <w:szCs w:val="20"/>
      <w:lang w:eastAsia="zh-CN"/>
    </w:rPr>
  </w:style>
  <w:style w:type="paragraph" w:customStyle="1" w:styleId="183">
    <w:name w:val="xl119"/>
    <w:basedOn w:val="1"/>
    <w:qFormat/>
    <w:uiPriority w:val="0"/>
    <w:pPr>
      <w:widowControl/>
      <w:pBdr>
        <w:top w:val="single" w:color="auto" w:sz="12" w:space="0"/>
        <w:bottom w:val="single" w:color="auto" w:sz="12" w:space="0"/>
        <w:right w:val="single" w:color="auto" w:sz="8" w:space="0"/>
      </w:pBdr>
      <w:spacing w:before="100" w:beforeAutospacing="1" w:after="100" w:afterAutospacing="1"/>
      <w:textAlignment w:val="bottom"/>
    </w:pPr>
    <w:rPr>
      <w:b/>
      <w:bCs/>
      <w:sz w:val="20"/>
      <w:szCs w:val="20"/>
      <w:lang w:eastAsia="zh-CN"/>
    </w:rPr>
  </w:style>
  <w:style w:type="paragraph" w:customStyle="1" w:styleId="184">
    <w:name w:val="xl120"/>
    <w:basedOn w:val="1"/>
    <w:qFormat/>
    <w:uiPriority w:val="0"/>
    <w:pPr>
      <w:widowControl/>
      <w:pBdr>
        <w:top w:val="single" w:color="auto" w:sz="12" w:space="0"/>
        <w:right w:val="single" w:color="auto" w:sz="12" w:space="0"/>
      </w:pBdr>
      <w:spacing w:before="100" w:beforeAutospacing="1" w:after="100" w:afterAutospacing="1"/>
      <w:jc w:val="center"/>
      <w:textAlignment w:val="bottom"/>
    </w:pPr>
    <w:rPr>
      <w:b/>
      <w:bCs/>
      <w:sz w:val="20"/>
      <w:szCs w:val="20"/>
      <w:lang w:eastAsia="zh-CN"/>
    </w:rPr>
  </w:style>
  <w:style w:type="paragraph" w:customStyle="1" w:styleId="185">
    <w:name w:val="xl121"/>
    <w:basedOn w:val="1"/>
    <w:qFormat/>
    <w:uiPriority w:val="0"/>
    <w:pPr>
      <w:widowControl/>
      <w:pBdr>
        <w:top w:val="single" w:color="auto" w:sz="12" w:space="0"/>
        <w:bottom w:val="single" w:color="auto" w:sz="12" w:space="0"/>
        <w:right w:val="single" w:color="auto" w:sz="12" w:space="0"/>
      </w:pBdr>
      <w:spacing w:before="100" w:beforeAutospacing="1" w:after="100" w:afterAutospacing="1"/>
      <w:jc w:val="center"/>
      <w:textAlignment w:val="bottom"/>
    </w:pPr>
    <w:rPr>
      <w:b/>
      <w:bCs/>
      <w:sz w:val="20"/>
      <w:szCs w:val="20"/>
      <w:lang w:eastAsia="zh-CN"/>
    </w:rPr>
  </w:style>
  <w:style w:type="paragraph" w:customStyle="1" w:styleId="186">
    <w:name w:val="p0"/>
    <w:basedOn w:val="1"/>
    <w:next w:val="3"/>
    <w:qFormat/>
    <w:uiPriority w:val="0"/>
    <w:pPr>
      <w:widowControl/>
    </w:pPr>
    <w:rPr>
      <w:szCs w:val="21"/>
    </w:rPr>
  </w:style>
  <w:style w:type="paragraph" w:customStyle="1" w:styleId="187">
    <w:name w:val="（悬挂2）正文"/>
    <w:basedOn w:val="1"/>
    <w:qFormat/>
    <w:uiPriority w:val="0"/>
    <w:pPr>
      <w:spacing w:line="400" w:lineRule="exact"/>
      <w:ind w:hanging="200" w:hangingChars="200"/>
    </w:pPr>
    <w:rPr>
      <w:color w:val="000000"/>
      <w:sz w:val="24"/>
    </w:rPr>
  </w:style>
  <w:style w:type="character" w:customStyle="1" w:styleId="188">
    <w:name w:val="纯文本 Char1"/>
    <w:basedOn w:val="44"/>
    <w:qFormat/>
    <w:locked/>
    <w:uiPriority w:val="99"/>
    <w:rPr>
      <w:rFonts w:ascii="宋体" w:hAnsi="Courier New" w:cs="Courier New"/>
      <w:kern w:val="2"/>
      <w:sz w:val="21"/>
      <w:szCs w:val="21"/>
    </w:rPr>
  </w:style>
  <w:style w:type="paragraph" w:customStyle="1" w:styleId="189">
    <w:name w:val="默认段落字体 Para Char"/>
    <w:basedOn w:val="1"/>
    <w:qFormat/>
    <w:uiPriority w:val="99"/>
    <w:pPr>
      <w:jc w:val="both"/>
    </w:pPr>
    <w:rPr>
      <w:rFonts w:ascii="Times New Roman" w:hAnsi="Times New Roman" w:cs="Times New Roman"/>
      <w:kern w:val="2"/>
      <w:sz w:val="21"/>
      <w:szCs w:val="24"/>
      <w:lang w:eastAsia="zh-CN"/>
    </w:rPr>
  </w:style>
  <w:style w:type="paragraph" w:customStyle="1" w:styleId="190">
    <w:name w:val="样式 标题 1 + +中文正文 (宋体) 小四"/>
    <w:basedOn w:val="4"/>
    <w:qFormat/>
    <w:uiPriority w:val="0"/>
    <w:pPr>
      <w:keepNext/>
      <w:keepLines/>
      <w:numPr>
        <w:ilvl w:val="0"/>
        <w:numId w:val="2"/>
      </w:numPr>
      <w:spacing w:before="156" w:beforeLines="50" w:after="156" w:afterLines="50" w:line="560" w:lineRule="exact"/>
      <w:jc w:val="both"/>
    </w:pPr>
    <w:rPr>
      <w:rFonts w:ascii="仿宋_GB2312" w:hAnsi="宋体" w:eastAsia="仿宋_GB2312" w:cs="Times New Roman"/>
      <w:color w:val="FF0000"/>
      <w:kern w:val="44"/>
      <w:sz w:val="24"/>
      <w:szCs w:val="28"/>
      <w:lang w:eastAsia="zh-CN"/>
    </w:rPr>
  </w:style>
  <w:style w:type="paragraph" w:customStyle="1" w:styleId="191">
    <w:name w:val="样式 标题 2 + +中文正文 (宋体) 小四"/>
    <w:basedOn w:val="5"/>
    <w:qFormat/>
    <w:uiPriority w:val="0"/>
    <w:pPr>
      <w:keepNext/>
      <w:keepLines/>
      <w:spacing w:line="560" w:lineRule="exact"/>
      <w:ind w:left="980" w:right="0" w:hanging="420"/>
      <w:jc w:val="both"/>
    </w:pPr>
    <w:rPr>
      <w:rFonts w:ascii="宋体" w:hAnsi="宋体" w:eastAsia="仿宋_GB2312" w:cs="Times New Roman"/>
      <w:kern w:val="2"/>
      <w:sz w:val="24"/>
      <w:lang w:eastAsia="zh-CN"/>
    </w:rPr>
  </w:style>
  <w:style w:type="paragraph" w:customStyle="1" w:styleId="192">
    <w:name w:val="样式 样式 标题 1 + +中文正文 (宋体) 小四 + +中文正文 五号 段前: 0.5 行 段后: 0.5 行 行距..."/>
    <w:basedOn w:val="190"/>
    <w:qFormat/>
    <w:uiPriority w:val="0"/>
    <w:pPr>
      <w:spacing w:line="360" w:lineRule="auto"/>
    </w:pPr>
    <w:rPr>
      <w:rFonts w:ascii="宋体" w:eastAsia="宋体" w:cs="宋体"/>
      <w:color w:val="auto"/>
      <w:szCs w:val="24"/>
    </w:rPr>
  </w:style>
  <w:style w:type="character" w:customStyle="1" w:styleId="193">
    <w:name w:val="未处理的提及1"/>
    <w:basedOn w:val="44"/>
    <w:semiHidden/>
    <w:unhideWhenUsed/>
    <w:qFormat/>
    <w:uiPriority w:val="99"/>
    <w:rPr>
      <w:color w:val="605E5C"/>
      <w:shd w:val="clear" w:color="auto" w:fill="E1DFDD"/>
    </w:rPr>
  </w:style>
  <w:style w:type="character" w:customStyle="1" w:styleId="194">
    <w:name w:val="批注文字 Char1"/>
    <w:basedOn w:val="44"/>
    <w:qFormat/>
    <w:uiPriority w:val="99"/>
    <w:rPr>
      <w:rFonts w:ascii="Times New Roman" w:hAnsi="Times New Roman" w:eastAsia="宋体" w:cs="Times New Roman"/>
      <w:szCs w:val="24"/>
    </w:rPr>
  </w:style>
  <w:style w:type="paragraph" w:customStyle="1" w:styleId="195">
    <w:name w:val="A1一级标题"/>
    <w:basedOn w:val="1"/>
    <w:qFormat/>
    <w:uiPriority w:val="0"/>
    <w:pPr>
      <w:numPr>
        <w:ilvl w:val="0"/>
        <w:numId w:val="3"/>
      </w:numPr>
      <w:spacing w:before="156" w:beforeLines="50" w:after="156" w:afterLines="50" w:line="360" w:lineRule="auto"/>
      <w:outlineLvl w:val="0"/>
    </w:pPr>
    <w:rPr>
      <w:rFonts w:ascii="Calibri" w:hAnsi="Calibri" w:eastAsia="华文中宋"/>
      <w:b/>
      <w:sz w:val="24"/>
      <w:szCs w:val="24"/>
    </w:rPr>
  </w:style>
  <w:style w:type="character" w:customStyle="1" w:styleId="196">
    <w:name w:val="Unresolved Mention"/>
    <w:basedOn w:val="44"/>
    <w:semiHidden/>
    <w:unhideWhenUsed/>
    <w:qFormat/>
    <w:uiPriority w:val="99"/>
    <w:rPr>
      <w:color w:val="605E5C"/>
      <w:shd w:val="clear" w:color="auto" w:fill="E1DFDD"/>
    </w:rPr>
  </w:style>
  <w:style w:type="paragraph" w:customStyle="1" w:styleId="197">
    <w:name w:val="style93"/>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customStyle="1" w:styleId="198">
    <w:name w:val="Table Normal_0"/>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199">
    <w:name w:val="Normal_0"/>
    <w:next w:val="200"/>
    <w:qFormat/>
    <w:uiPriority w:val="0"/>
    <w:pPr>
      <w:widowControl w:val="0"/>
      <w:jc w:val="both"/>
    </w:pPr>
    <w:rPr>
      <w:rFonts w:ascii="Calibri" w:hAnsi="Calibri" w:eastAsia="宋体" w:cs="Times New Roman"/>
      <w:kern w:val="2"/>
      <w:sz w:val="21"/>
      <w:lang w:val="en-US" w:eastAsia="zh-CN" w:bidi="ar-SA"/>
    </w:rPr>
  </w:style>
  <w:style w:type="paragraph" w:customStyle="1" w:styleId="200">
    <w:name w:val="Body Text_0"/>
    <w:basedOn w:val="199"/>
    <w:unhideWhenUsed/>
    <w:qFormat/>
    <w:uiPriority w:val="99"/>
    <w:pPr>
      <w:spacing w:after="120"/>
    </w:pPr>
    <w:rPr>
      <w:rFonts w:ascii="Times New Roman" w:hAnsi="Times New Roman"/>
    </w:rPr>
  </w:style>
  <w:style w:type="paragraph" w:customStyle="1" w:styleId="201">
    <w:name w:val="样式 行距: 1.5 倍行距 首行缩进:  2 字符"/>
    <w:basedOn w:val="1"/>
    <w:qFormat/>
    <w:uiPriority w:val="0"/>
    <w:pPr>
      <w:adjustRightInd w:val="0"/>
      <w:snapToGrid w:val="0"/>
      <w:spacing w:line="460" w:lineRule="exact"/>
    </w:pPr>
    <w:rPr>
      <w:sz w:val="24"/>
    </w:rPr>
  </w:style>
  <w:style w:type="table" w:customStyle="1" w:styleId="202">
    <w:name w:val="Table Grid_0"/>
    <w:basedOn w:val="42"/>
    <w:qFormat/>
    <w:uiPriority w:val="0"/>
    <w:pPr>
      <w:widowControl w:val="0"/>
      <w:jc w:val="both"/>
    </w:pPr>
    <w:rPr>
      <w:rFonts w:ascii="Times New Roman" w:hAnsi="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Company>
  <Pages>5</Pages>
  <Words>3158</Words>
  <Characters>3199</Characters>
  <Lines>246</Lines>
  <Paragraphs>69</Paragraphs>
  <TotalTime>2</TotalTime>
  <ScaleCrop>false</ScaleCrop>
  <LinksUpToDate>false</LinksUpToDate>
  <CharactersWithSpaces>3241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2017-09-18T10:49:00Z</dcterms:created>
  <dc:creator>袁静</dc:creator>
  <cp:lastModifiedBy>Meiyh</cp:lastModifiedBy>
  <cp:lastPrinted>2021-11-15T15:07:00Z</cp:lastPrinted>
  <dcterms:modified xsi:type="dcterms:W3CDTF">2026-06-25T03:44:59Z</dcterms:modified>
  <dc:title>中华人民共和国</dc:title>
  <cp:revision>1032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2017-09-05T00:00:00Z</vt:filetime>
  </property>
  <property fmtid="{D5CDD505-2E9C-101B-9397-08002B2CF9AE}" pid="3" name="Creator">
    <vt:lpwstr>Microsoft® Word 2013</vt:lpwstr>
  </property>
  <property fmtid="{D5CDD505-2E9C-101B-9397-08002B2CF9AE}" pid="4" name="LastSaved">
    <vt:filetime>2017-09-13T00:00:00Z</vt:filetime>
  </property>
  <property fmtid="{D5CDD505-2E9C-101B-9397-08002B2CF9AE}" pid="5" name="KSOProductBuildVer">
    <vt:lpwstr>2052-12.1.0.26375</vt:lpwstr>
  </property>
  <property fmtid="{D5CDD505-2E9C-101B-9397-08002B2CF9AE}" pid="6" name="ICV">
    <vt:lpwstr>1EAD0421AFE3435EAD385929E31E6FA2_13</vt:lpwstr>
  </property>
  <property fmtid="{D5CDD505-2E9C-101B-9397-08002B2CF9AE}" pid="7" name="KSOTemplateDocerSaveRecord">
    <vt:lpwstr>eyJoZGlkIjoiMjQ3NGNhNDkzNTQ0MzZlNDRmODY2NjFhZTZjY2RkOTMiLCJ1c2VySWQiOiIyNTYzNDQ1NTcifQ==</vt:lpwstr>
  </property>
</Properties>
</file>