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ACD07">
      <w:pPr>
        <w:spacing w:line="300" w:lineRule="auto"/>
        <w:jc w:val="center"/>
        <w:rPr>
          <w:rFonts w:hint="eastAsia" w:ascii="宋体" w:hAnsi="宋体"/>
          <w:color w:val="auto"/>
          <w:sz w:val="22"/>
          <w:szCs w:val="22"/>
          <w:highlight w:val="none"/>
        </w:rPr>
      </w:pPr>
      <w:bookmarkStart w:id="0" w:name="_Toc14056"/>
      <w:r>
        <w:rPr>
          <w:rFonts w:hint="eastAsia" w:ascii="宋体" w:hAnsi="宋体"/>
          <w:b/>
          <w:bCs/>
          <w:color w:val="auto"/>
          <w:sz w:val="32"/>
          <w:szCs w:val="32"/>
          <w:highlight w:val="none"/>
          <w:lang w:val="en-US" w:eastAsia="zh-CN"/>
        </w:rPr>
        <w:t>评分细则</w:t>
      </w:r>
    </w:p>
    <w:p w14:paraId="112B7E91">
      <w:pPr>
        <w:spacing w:line="300" w:lineRule="auto"/>
        <w:rPr>
          <w:rFonts w:hint="eastAsia" w:ascii="宋体" w:hAnsi="宋体"/>
          <w:color w:val="auto"/>
          <w:sz w:val="22"/>
          <w:szCs w:val="22"/>
          <w:highlight w:val="none"/>
        </w:rPr>
      </w:pPr>
    </w:p>
    <w:p w14:paraId="64B781F2">
      <w:pPr>
        <w:spacing w:line="300" w:lineRule="auto"/>
        <w:rPr>
          <w:rFonts w:hint="eastAsia" w:ascii="宋体" w:hAnsi="宋体"/>
          <w:b/>
          <w:color w:val="auto"/>
          <w:sz w:val="22"/>
          <w:szCs w:val="22"/>
          <w:highlight w:val="none"/>
        </w:rPr>
      </w:pPr>
      <w:r>
        <w:rPr>
          <w:rFonts w:hint="eastAsia" w:ascii="宋体" w:hAnsi="宋体"/>
          <w:color w:val="auto"/>
          <w:sz w:val="22"/>
          <w:szCs w:val="22"/>
          <w:highlight w:val="none"/>
        </w:rPr>
        <w:t>1、本项目的评标办法采用：</w:t>
      </w:r>
      <w:r>
        <w:rPr>
          <w:rFonts w:hint="eastAsia" w:ascii="宋体" w:hAnsi="宋体"/>
          <w:b/>
          <w:bCs/>
          <w:color w:val="auto"/>
          <w:sz w:val="22"/>
          <w:szCs w:val="22"/>
          <w:highlight w:val="none"/>
          <w:lang w:val="en-US" w:eastAsia="zh-CN"/>
        </w:rPr>
        <w:t>综合评分</w:t>
      </w:r>
      <w:r>
        <w:rPr>
          <w:rFonts w:hint="eastAsia" w:ascii="宋体" w:hAnsi="宋体"/>
          <w:b/>
          <w:bCs/>
          <w:color w:val="auto"/>
          <w:sz w:val="22"/>
          <w:szCs w:val="22"/>
          <w:highlight w:val="none"/>
        </w:rPr>
        <w:t>法</w:t>
      </w:r>
      <w:r>
        <w:rPr>
          <w:rFonts w:hint="eastAsia" w:ascii="宋体" w:hAnsi="宋体"/>
          <w:b/>
          <w:color w:val="auto"/>
          <w:sz w:val="22"/>
          <w:szCs w:val="22"/>
          <w:highlight w:val="none"/>
        </w:rPr>
        <w:t>。</w:t>
      </w:r>
    </w:p>
    <w:p w14:paraId="7E96767B">
      <w:pPr>
        <w:spacing w:line="300" w:lineRule="auto"/>
        <w:rPr>
          <w:color w:val="auto"/>
          <w:sz w:val="22"/>
          <w:szCs w:val="22"/>
          <w:highlight w:val="none"/>
        </w:rPr>
      </w:pPr>
      <w:r>
        <w:rPr>
          <w:rFonts w:hint="eastAsia"/>
          <w:color w:val="auto"/>
          <w:sz w:val="22"/>
          <w:szCs w:val="22"/>
          <w:highlight w:val="none"/>
        </w:rPr>
        <w:t>2、</w:t>
      </w:r>
      <w:r>
        <w:rPr>
          <w:color w:val="auto"/>
          <w:sz w:val="22"/>
          <w:szCs w:val="22"/>
          <w:highlight w:val="none"/>
        </w:rPr>
        <w:t>中标人数量</w:t>
      </w:r>
      <w:r>
        <w:rPr>
          <w:rFonts w:hint="eastAsia"/>
          <w:color w:val="auto"/>
          <w:sz w:val="22"/>
          <w:szCs w:val="22"/>
          <w:highlight w:val="none"/>
        </w:rPr>
        <w:t>：1家；候选</w:t>
      </w:r>
      <w:r>
        <w:rPr>
          <w:color w:val="auto"/>
          <w:sz w:val="22"/>
          <w:szCs w:val="22"/>
          <w:highlight w:val="none"/>
        </w:rPr>
        <w:t>中标人数量：</w:t>
      </w:r>
      <w:r>
        <w:rPr>
          <w:rFonts w:hint="eastAsia"/>
          <w:color w:val="auto"/>
          <w:sz w:val="22"/>
          <w:szCs w:val="22"/>
          <w:highlight w:val="none"/>
        </w:rPr>
        <w:t>3</w:t>
      </w:r>
      <w:r>
        <w:rPr>
          <w:color w:val="auto"/>
          <w:sz w:val="22"/>
          <w:szCs w:val="22"/>
          <w:highlight w:val="none"/>
        </w:rPr>
        <w:t>家</w:t>
      </w:r>
      <w:r>
        <w:rPr>
          <w:rFonts w:hint="eastAsia"/>
          <w:color w:val="auto"/>
          <w:sz w:val="22"/>
          <w:szCs w:val="22"/>
          <w:highlight w:val="none"/>
        </w:rPr>
        <w:t>或3家以上</w:t>
      </w:r>
      <w:r>
        <w:rPr>
          <w:color w:val="auto"/>
          <w:sz w:val="22"/>
          <w:szCs w:val="22"/>
          <w:highlight w:val="none"/>
        </w:rPr>
        <w:t>。</w:t>
      </w:r>
    </w:p>
    <w:p w14:paraId="258B366C">
      <w:pPr>
        <w:spacing w:line="300" w:lineRule="auto"/>
        <w:rPr>
          <w:color w:val="auto"/>
          <w:sz w:val="22"/>
          <w:szCs w:val="22"/>
          <w:highlight w:val="none"/>
        </w:rPr>
      </w:pPr>
      <w:r>
        <w:rPr>
          <w:rFonts w:hint="eastAsia"/>
          <w:color w:val="auto"/>
          <w:sz w:val="22"/>
          <w:szCs w:val="22"/>
          <w:highlight w:val="none"/>
        </w:rPr>
        <w:t>3、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p>
    <w:p w14:paraId="134EE678">
      <w:pPr>
        <w:spacing w:line="300" w:lineRule="auto"/>
        <w:rPr>
          <w:rFonts w:hint="eastAsia"/>
          <w:color w:val="auto"/>
          <w:sz w:val="22"/>
          <w:szCs w:val="22"/>
          <w:highlight w:val="none"/>
          <w:lang w:val="en-US" w:eastAsia="zh-CN"/>
        </w:rPr>
      </w:pPr>
      <w:r>
        <w:rPr>
          <w:color w:val="auto"/>
          <w:sz w:val="22"/>
          <w:szCs w:val="22"/>
          <w:highlight w:val="none"/>
        </w:rPr>
        <w:t>4</w:t>
      </w:r>
      <w:r>
        <w:rPr>
          <w:rFonts w:hint="eastAsia"/>
          <w:color w:val="auto"/>
          <w:sz w:val="22"/>
          <w:szCs w:val="22"/>
          <w:highlight w:val="none"/>
        </w:rPr>
        <w:t>、评审统一按照下列公式计算：</w:t>
      </w:r>
    </w:p>
    <w:p w14:paraId="6F10C86A">
      <w:pPr>
        <w:spacing w:line="300" w:lineRule="auto"/>
        <w:ind w:firstLine="440" w:firstLineChars="200"/>
        <w:rPr>
          <w:color w:val="auto"/>
          <w:sz w:val="22"/>
          <w:szCs w:val="22"/>
          <w:highlight w:val="none"/>
        </w:rPr>
      </w:pPr>
      <w:r>
        <w:rPr>
          <w:rFonts w:hint="eastAsia"/>
          <w:color w:val="auto"/>
          <w:sz w:val="22"/>
          <w:szCs w:val="22"/>
          <w:highlight w:val="none"/>
          <w:lang w:val="en-US" w:eastAsia="zh-CN"/>
        </w:rPr>
        <w:t>（1）基准价：为所有投标报价算术平均值。</w:t>
      </w:r>
    </w:p>
    <w:p w14:paraId="01A9B27F">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（2）算法类型按固定乘积法：</w:t>
      </w:r>
    </w:p>
    <w:p w14:paraId="2A3E4440">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投标报价得分=（1-A×｜1-投标报价/基准价｜）×40</w:t>
      </w:r>
    </w:p>
    <w:p w14:paraId="68617630">
      <w:pPr>
        <w:spacing w:line="300" w:lineRule="auto"/>
        <w:ind w:firstLine="440" w:firstLineChars="200"/>
        <w:rPr>
          <w:rFonts w:hint="eastAsia"/>
          <w:color w:val="auto"/>
          <w:sz w:val="22"/>
          <w:szCs w:val="22"/>
          <w:highlight w:val="none"/>
          <w:lang w:val="en-US" w:eastAsia="zh-CN"/>
        </w:rPr>
      </w:pPr>
      <w:r>
        <w:rPr>
          <w:rFonts w:hint="eastAsia"/>
          <w:color w:val="auto"/>
          <w:sz w:val="22"/>
          <w:szCs w:val="22"/>
          <w:highlight w:val="none"/>
          <w:lang w:val="en-US" w:eastAsia="zh-CN"/>
        </w:rPr>
        <w:t xml:space="preserve">A为价格调整系数，当投标报价低于本次招标最佳报价（即基准价）时，A=0.8；当投标报价高于本次招标最佳报价时，取A=1； </w:t>
      </w:r>
    </w:p>
    <w:p w14:paraId="27FC5143">
      <w:pPr>
        <w:spacing w:line="300" w:lineRule="auto"/>
        <w:ind w:firstLine="440" w:firstLineChars="200"/>
        <w:rPr>
          <w:color w:val="auto"/>
          <w:sz w:val="22"/>
          <w:szCs w:val="22"/>
          <w:highlight w:val="none"/>
        </w:rPr>
      </w:pPr>
      <w:r>
        <w:rPr>
          <w:rFonts w:hint="eastAsia"/>
          <w:color w:val="auto"/>
          <w:sz w:val="22"/>
          <w:szCs w:val="22"/>
          <w:highlight w:val="none"/>
          <w:lang w:val="en-US" w:eastAsia="zh-CN"/>
        </w:rPr>
        <w:t xml:space="preserve">计算分数时四舍五入取小数点后两位，当价格分＜0时，取0。 </w:t>
      </w:r>
    </w:p>
    <w:p w14:paraId="09ED58B1">
      <w:pPr>
        <w:spacing w:line="300" w:lineRule="auto"/>
        <w:ind w:firstLine="440" w:firstLineChars="200"/>
        <w:rPr>
          <w:color w:val="auto"/>
          <w:sz w:val="22"/>
          <w:szCs w:val="22"/>
          <w:highlight w:val="none"/>
        </w:rPr>
      </w:pPr>
      <w:r>
        <w:rPr>
          <w:rFonts w:hint="eastAsia"/>
          <w:color w:val="auto"/>
          <w:sz w:val="22"/>
          <w:szCs w:val="22"/>
          <w:highlight w:val="none"/>
          <w:lang w:val="en-US" w:eastAsia="zh-CN"/>
        </w:rPr>
        <w:t>投标人报价不得低于成本价报价。若报价明显偏低，投标人须对报价情况作出详细解释并须得到评标专家委员会认可。</w:t>
      </w:r>
    </w:p>
    <w:p w14:paraId="5E38296C">
      <w:pPr>
        <w:spacing w:line="300" w:lineRule="auto"/>
        <w:ind w:firstLine="440" w:firstLineChars="200"/>
        <w:rPr>
          <w:rFonts w:hint="eastAsia"/>
          <w:color w:val="auto"/>
          <w:sz w:val="22"/>
          <w:szCs w:val="22"/>
          <w:highlight w:val="none"/>
        </w:rPr>
      </w:pPr>
      <w:r>
        <w:rPr>
          <w:rFonts w:hint="eastAsia"/>
          <w:color w:val="auto"/>
          <w:sz w:val="22"/>
          <w:szCs w:val="22"/>
          <w:highlight w:val="none"/>
        </w:rPr>
        <w:t>评标过程中，不得去掉报价中的最高报价和最低报价。</w:t>
      </w:r>
    </w:p>
    <w:p w14:paraId="434FCD26">
      <w:pPr>
        <w:spacing w:line="300" w:lineRule="auto"/>
        <w:rPr>
          <w:b/>
          <w:bCs/>
          <w:color w:val="auto"/>
          <w:sz w:val="22"/>
          <w:szCs w:val="22"/>
          <w:highlight w:val="none"/>
        </w:rPr>
      </w:pPr>
      <w:r>
        <w:rPr>
          <w:rFonts w:hint="eastAsia"/>
          <w:color w:val="auto"/>
          <w:sz w:val="22"/>
          <w:szCs w:val="22"/>
          <w:highlight w:val="none"/>
        </w:rPr>
        <w:t>5、候选中标人按评审后得分由高到低顺序排列；得分相同的，按投标报价由低到高顺序排列；得分且投标报价相同的，按技术指标或服务方案优劣顺序排列；得分且投标报价相同的且技术指标或服务方案优劣相同的，</w:t>
      </w:r>
      <w:r>
        <w:rPr>
          <w:bCs/>
          <w:color w:val="auto"/>
          <w:sz w:val="22"/>
          <w:szCs w:val="22"/>
          <w:highlight w:val="none"/>
        </w:rPr>
        <w:t>采取随机抽取方式确定</w:t>
      </w:r>
      <w:r>
        <w:rPr>
          <w:rFonts w:hint="eastAsia"/>
          <w:bCs/>
          <w:color w:val="auto"/>
          <w:sz w:val="22"/>
          <w:szCs w:val="22"/>
          <w:highlight w:val="none"/>
        </w:rPr>
        <w:t>候选</w:t>
      </w:r>
      <w:r>
        <w:rPr>
          <w:bCs/>
          <w:color w:val="auto"/>
          <w:sz w:val="22"/>
          <w:szCs w:val="22"/>
          <w:highlight w:val="none"/>
        </w:rPr>
        <w:t>中标人推荐资格</w:t>
      </w:r>
      <w:r>
        <w:rPr>
          <w:rFonts w:hint="eastAsia"/>
          <w:bCs/>
          <w:color w:val="auto"/>
          <w:sz w:val="22"/>
          <w:szCs w:val="22"/>
          <w:highlight w:val="none"/>
        </w:rPr>
        <w:t>。</w:t>
      </w:r>
    </w:p>
    <w:p w14:paraId="638FAF97">
      <w:pPr>
        <w:spacing w:line="300" w:lineRule="auto"/>
        <w:rPr>
          <w:rFonts w:hint="eastAsia"/>
          <w:color w:val="auto"/>
          <w:sz w:val="22"/>
          <w:szCs w:val="22"/>
          <w:highlight w:val="none"/>
        </w:rPr>
      </w:pPr>
      <w:r>
        <w:rPr>
          <w:rFonts w:hint="eastAsia"/>
          <w:color w:val="auto"/>
          <w:sz w:val="22"/>
          <w:szCs w:val="22"/>
          <w:highlight w:val="none"/>
        </w:rPr>
        <w:t>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7EE030C">
      <w:pPr>
        <w:spacing w:line="300" w:lineRule="auto"/>
        <w:rPr>
          <w:rFonts w:hint="eastAsia"/>
          <w:color w:val="auto"/>
          <w:sz w:val="22"/>
          <w:szCs w:val="22"/>
          <w:highlight w:val="none"/>
        </w:rPr>
      </w:pPr>
      <w:r>
        <w:rPr>
          <w:color w:val="auto"/>
          <w:sz w:val="22"/>
          <w:szCs w:val="22"/>
          <w:highlight w:val="none"/>
        </w:rPr>
        <w:t>7</w:t>
      </w:r>
      <w:r>
        <w:rPr>
          <w:rFonts w:hint="eastAsia"/>
          <w:color w:val="auto"/>
          <w:sz w:val="22"/>
          <w:szCs w:val="22"/>
          <w:highlight w:val="none"/>
        </w:rPr>
        <w:t>、评标专家应对通过投标文件初审进入评标程序的投标文件先评技术标、再评商务标；</w:t>
      </w:r>
    </w:p>
    <w:p w14:paraId="2E370F2A">
      <w:pPr>
        <w:spacing w:line="300" w:lineRule="auto"/>
        <w:rPr>
          <w:color w:val="auto"/>
          <w:sz w:val="40"/>
          <w:szCs w:val="40"/>
          <w:highlight w:val="none"/>
        </w:rPr>
        <w:sectPr>
          <w:footerReference r:id="rId3" w:type="default"/>
          <w:pgSz w:w="11910" w:h="16840"/>
          <w:pgMar w:top="1100" w:right="800" w:bottom="1280" w:left="1100" w:header="877" w:footer="1098" w:gutter="0"/>
          <w:cols w:space="720" w:num="1"/>
        </w:sectPr>
      </w:pPr>
      <w:r>
        <w:rPr>
          <w:color w:val="auto"/>
          <w:sz w:val="22"/>
          <w:szCs w:val="22"/>
          <w:highlight w:val="none"/>
        </w:rPr>
        <w:t>8</w:t>
      </w:r>
      <w:r>
        <w:rPr>
          <w:rFonts w:hint="eastAsia"/>
          <w:color w:val="auto"/>
          <w:sz w:val="22"/>
          <w:szCs w:val="22"/>
          <w:highlight w:val="none"/>
        </w:rPr>
        <w:t>、评标专家需按招标文件规定的评审标准对投标人提交的投标文件进行评审，投标文件中与评审标准无关的内容不作为评审内容。</w:t>
      </w:r>
    </w:p>
    <w:p w14:paraId="5E7CBFC7">
      <w:pPr>
        <w:pStyle w:val="5"/>
        <w:tabs>
          <w:tab w:val="left" w:pos="2138"/>
        </w:tabs>
        <w:snapToGrid w:val="0"/>
        <w:spacing w:before="312" w:beforeLines="100" w:after="0"/>
        <w:jc w:val="center"/>
        <w:outlineLvl w:val="2"/>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评分细则表</w:t>
      </w:r>
      <w:bookmarkEnd w:id="0"/>
    </w:p>
    <w:p w14:paraId="03C4EBE0">
      <w:pPr>
        <w:pStyle w:val="5"/>
        <w:tabs>
          <w:tab w:val="left" w:pos="2138"/>
        </w:tabs>
        <w:snapToGrid w:val="0"/>
        <w:spacing w:before="0" w:beforeLines="0" w:after="0" w:line="560" w:lineRule="exact"/>
        <w:ind w:left="-420" w:leftChars="-200" w:right="-512" w:rightChars="-244" w:firstLine="640" w:firstLineChars="200"/>
        <w:jc w:val="left"/>
        <w:outlineLvl w:val="2"/>
        <w:rPr>
          <w:rFonts w:hint="eastAsia" w:ascii="方正小标宋_GBK" w:hAnsi="方正小标宋_GBK" w:eastAsia="方正小标宋_GBK" w:cs="方正小标宋_GBK"/>
          <w:sz w:val="44"/>
          <w:szCs w:val="44"/>
        </w:rPr>
      </w:pPr>
      <w:r>
        <w:rPr>
          <w:rFonts w:hint="eastAsia" w:ascii="仿宋_GB2312" w:hAnsi="仿宋_GB2312" w:eastAsia="仿宋_GB2312" w:cs="仿宋_GB2312"/>
          <w:b w:val="0"/>
          <w:bCs w:val="0"/>
          <w:sz w:val="32"/>
          <w:szCs w:val="32"/>
        </w:rPr>
        <w:t>本次评标采用综合评分法，分值为满分100分，评分细则内容及分值情况如下</w:t>
      </w:r>
      <w:r>
        <w:rPr>
          <w:rFonts w:hint="eastAsia" w:ascii="仿宋_GB2312" w:hAnsi="仿宋_GB2312" w:eastAsia="仿宋_GB2312" w:cs="仿宋_GB2312"/>
          <w:b w:val="0"/>
          <w:bCs w:val="0"/>
          <w:sz w:val="32"/>
          <w:szCs w:val="32"/>
          <w:lang w:eastAsia="zh-CN"/>
        </w:rPr>
        <w:t>：</w:t>
      </w:r>
    </w:p>
    <w:tbl>
      <w:tblPr>
        <w:tblStyle w:val="8"/>
        <w:tblpPr w:leftFromText="180" w:rightFromText="180" w:vertAnchor="text" w:horzAnchor="margin" w:tblpXSpec="center" w:tblpY="34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80"/>
        <w:gridCol w:w="680"/>
        <w:gridCol w:w="2343"/>
        <w:gridCol w:w="870"/>
        <w:gridCol w:w="4783"/>
      </w:tblGrid>
      <w:tr w14:paraId="0338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Align w:val="center"/>
          </w:tcPr>
          <w:p w14:paraId="6EDEE9B5">
            <w:pPr>
              <w:wordWrap w:val="0"/>
              <w:jc w:val="center"/>
              <w:rPr>
                <w:rFonts w:hint="eastAsia" w:ascii="仿宋_GB2312" w:hAnsi="仿宋_GB2312" w:eastAsia="仿宋_GB2312" w:cs="仿宋_GB2312"/>
              </w:rPr>
            </w:pPr>
            <w:r>
              <w:rPr>
                <w:rFonts w:hint="eastAsia" w:ascii="仿宋_GB2312" w:hAnsi="仿宋_GB2312" w:eastAsia="仿宋_GB2312" w:cs="仿宋_GB2312"/>
              </w:rPr>
              <w:t>序号</w:t>
            </w:r>
          </w:p>
        </w:tc>
        <w:tc>
          <w:tcPr>
            <w:tcW w:w="3893" w:type="dxa"/>
            <w:gridSpan w:val="3"/>
            <w:vAlign w:val="center"/>
          </w:tcPr>
          <w:p w14:paraId="0F6E4CC0">
            <w:pPr>
              <w:wordWrap w:val="0"/>
              <w:jc w:val="center"/>
              <w:rPr>
                <w:rFonts w:hint="eastAsia" w:ascii="仿宋_GB2312" w:hAnsi="仿宋_GB2312" w:eastAsia="仿宋_GB2312" w:cs="仿宋_GB2312"/>
              </w:rPr>
            </w:pPr>
            <w:r>
              <w:rPr>
                <w:rFonts w:hint="eastAsia" w:ascii="仿宋_GB2312" w:hAnsi="仿宋_GB2312" w:eastAsia="仿宋_GB2312" w:cs="仿宋_GB2312"/>
              </w:rPr>
              <w:t>评分项</w:t>
            </w:r>
          </w:p>
        </w:tc>
        <w:tc>
          <w:tcPr>
            <w:tcW w:w="4783" w:type="dxa"/>
            <w:vAlign w:val="center"/>
          </w:tcPr>
          <w:p w14:paraId="5E44E8D6">
            <w:pPr>
              <w:wordWrap w:val="0"/>
              <w:jc w:val="center"/>
              <w:rPr>
                <w:rFonts w:hint="eastAsia" w:ascii="仿宋_GB2312" w:hAnsi="仿宋_GB2312" w:eastAsia="仿宋_GB2312" w:cs="仿宋_GB2312"/>
              </w:rPr>
            </w:pPr>
            <w:r>
              <w:rPr>
                <w:rFonts w:hint="eastAsia" w:ascii="仿宋_GB2312" w:hAnsi="仿宋_GB2312" w:eastAsia="仿宋_GB2312" w:cs="仿宋_GB2312"/>
              </w:rPr>
              <w:t>权重</w:t>
            </w:r>
          </w:p>
        </w:tc>
      </w:tr>
      <w:tr w14:paraId="0970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jc w:val="center"/>
        </w:trPr>
        <w:tc>
          <w:tcPr>
            <w:tcW w:w="680" w:type="dxa"/>
            <w:vMerge w:val="restart"/>
            <w:vAlign w:val="center"/>
          </w:tcPr>
          <w:p w14:paraId="0D5FDDAF">
            <w:pPr>
              <w:wordWrap w:val="0"/>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3893" w:type="dxa"/>
            <w:gridSpan w:val="3"/>
          </w:tcPr>
          <w:p w14:paraId="6B3155A5">
            <w:pPr>
              <w:wordWrap w:val="0"/>
              <w:jc w:val="center"/>
              <w:rPr>
                <w:rFonts w:hint="eastAsia" w:ascii="仿宋_GB2312" w:hAnsi="仿宋_GB2312" w:eastAsia="仿宋_GB2312" w:cs="仿宋_GB2312"/>
              </w:rPr>
            </w:pPr>
            <w:r>
              <w:rPr>
                <w:rFonts w:hint="eastAsia" w:ascii="仿宋_GB2312" w:hAnsi="仿宋_GB2312" w:eastAsia="仿宋_GB2312" w:cs="仿宋_GB2312"/>
              </w:rPr>
              <w:t>价格</w:t>
            </w:r>
          </w:p>
        </w:tc>
        <w:tc>
          <w:tcPr>
            <w:tcW w:w="4783" w:type="dxa"/>
          </w:tcPr>
          <w:p w14:paraId="7C70160E">
            <w:pPr>
              <w:wordWrap w:val="0"/>
              <w:jc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40</w:t>
            </w:r>
          </w:p>
        </w:tc>
      </w:tr>
      <w:tr w14:paraId="25A9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tcPr>
          <w:p w14:paraId="679C2280">
            <w:pPr>
              <w:wordWrap w:val="0"/>
              <w:jc w:val="center"/>
              <w:rPr>
                <w:rFonts w:hint="eastAsia" w:ascii="仿宋_GB2312" w:hAnsi="仿宋_GB2312" w:eastAsia="仿宋_GB2312" w:cs="仿宋_GB2312"/>
              </w:rPr>
            </w:pPr>
          </w:p>
        </w:tc>
        <w:tc>
          <w:tcPr>
            <w:tcW w:w="680" w:type="dxa"/>
            <w:vAlign w:val="center"/>
          </w:tcPr>
          <w:p w14:paraId="055F5E82">
            <w:pPr>
              <w:wordWrap w:val="0"/>
              <w:jc w:val="center"/>
              <w:rPr>
                <w:rFonts w:hint="eastAsia" w:ascii="仿宋_GB2312" w:hAnsi="仿宋_GB2312" w:eastAsia="仿宋_GB2312" w:cs="仿宋_GB2312"/>
              </w:rPr>
            </w:pPr>
            <w:r>
              <w:rPr>
                <w:rFonts w:hint="eastAsia" w:ascii="仿宋_GB2312" w:hAnsi="仿宋_GB2312" w:eastAsia="仿宋_GB2312" w:cs="仿宋_GB2312"/>
                <w:szCs w:val="21"/>
              </w:rPr>
              <w:t>序号</w:t>
            </w:r>
          </w:p>
        </w:tc>
        <w:tc>
          <w:tcPr>
            <w:tcW w:w="2343" w:type="dxa"/>
            <w:vAlign w:val="center"/>
          </w:tcPr>
          <w:p w14:paraId="2A889039">
            <w:pPr>
              <w:wordWrap w:val="0"/>
              <w:jc w:val="center"/>
              <w:rPr>
                <w:rFonts w:hint="eastAsia" w:ascii="仿宋_GB2312" w:hAnsi="仿宋_GB2312" w:eastAsia="仿宋_GB2312" w:cs="仿宋_GB2312"/>
              </w:rPr>
            </w:pPr>
            <w:r>
              <w:rPr>
                <w:rFonts w:hint="eastAsia" w:ascii="仿宋_GB2312" w:hAnsi="仿宋_GB2312" w:eastAsia="仿宋_GB2312" w:cs="仿宋_GB2312"/>
                <w:szCs w:val="21"/>
              </w:rPr>
              <w:t>评分因素</w:t>
            </w:r>
          </w:p>
        </w:tc>
        <w:tc>
          <w:tcPr>
            <w:tcW w:w="870" w:type="dxa"/>
            <w:vAlign w:val="center"/>
          </w:tcPr>
          <w:p w14:paraId="058292E9">
            <w:pPr>
              <w:wordWrap w:val="0"/>
              <w:jc w:val="center"/>
              <w:rPr>
                <w:rFonts w:hint="eastAsia" w:ascii="仿宋_GB2312" w:hAnsi="仿宋_GB2312" w:eastAsia="仿宋_GB2312" w:cs="仿宋_GB2312"/>
              </w:rPr>
            </w:pPr>
            <w:r>
              <w:rPr>
                <w:rFonts w:hint="eastAsia" w:ascii="仿宋_GB2312" w:hAnsi="仿宋_GB2312" w:eastAsia="仿宋_GB2312" w:cs="仿宋_GB2312"/>
                <w:szCs w:val="21"/>
              </w:rPr>
              <w:t>权重</w:t>
            </w:r>
          </w:p>
        </w:tc>
        <w:tc>
          <w:tcPr>
            <w:tcW w:w="4783" w:type="dxa"/>
            <w:vAlign w:val="center"/>
          </w:tcPr>
          <w:p w14:paraId="49465124">
            <w:pPr>
              <w:wordWrap w:val="0"/>
              <w:jc w:val="center"/>
              <w:rPr>
                <w:rFonts w:hint="eastAsia" w:ascii="仿宋_GB2312" w:hAnsi="仿宋_GB2312" w:eastAsia="仿宋_GB2312" w:cs="仿宋_GB2312"/>
              </w:rPr>
            </w:pPr>
            <w:r>
              <w:rPr>
                <w:rFonts w:hint="eastAsia" w:ascii="仿宋_GB2312" w:hAnsi="仿宋_GB2312" w:eastAsia="仿宋_GB2312" w:cs="仿宋_GB2312"/>
                <w:szCs w:val="21"/>
              </w:rPr>
              <w:t>评分准则</w:t>
            </w:r>
          </w:p>
        </w:tc>
      </w:tr>
      <w:tr w14:paraId="7C6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tcPr>
          <w:p w14:paraId="6D91ED31">
            <w:pPr>
              <w:wordWrap w:val="0"/>
              <w:jc w:val="center"/>
              <w:rPr>
                <w:rFonts w:hint="eastAsia" w:ascii="仿宋_GB2312" w:hAnsi="仿宋_GB2312" w:eastAsia="仿宋_GB2312" w:cs="仿宋_GB2312"/>
              </w:rPr>
            </w:pPr>
          </w:p>
        </w:tc>
        <w:tc>
          <w:tcPr>
            <w:tcW w:w="680" w:type="dxa"/>
            <w:vAlign w:val="center"/>
          </w:tcPr>
          <w:p w14:paraId="061EF36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43" w:type="dxa"/>
            <w:vAlign w:val="center"/>
          </w:tcPr>
          <w:p w14:paraId="74252771">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投标</w:t>
            </w:r>
            <w:r>
              <w:rPr>
                <w:rFonts w:hint="eastAsia" w:ascii="仿宋_GB2312" w:hAnsi="仿宋_GB2312" w:eastAsia="仿宋_GB2312" w:cs="仿宋_GB2312"/>
                <w:szCs w:val="21"/>
              </w:rPr>
              <w:t>报价</w:t>
            </w:r>
          </w:p>
        </w:tc>
        <w:tc>
          <w:tcPr>
            <w:tcW w:w="870" w:type="dxa"/>
            <w:vAlign w:val="center"/>
          </w:tcPr>
          <w:p w14:paraId="6ED6812E">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w:t>
            </w:r>
          </w:p>
        </w:tc>
        <w:tc>
          <w:tcPr>
            <w:tcW w:w="4783" w:type="dxa"/>
            <w:vAlign w:val="center"/>
          </w:tcPr>
          <w:p w14:paraId="798813D1">
            <w:pPr>
              <w:wordWrap w:val="0"/>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（1）基准价：为所有投标报价算术平均值。 </w:t>
            </w:r>
          </w:p>
          <w:p w14:paraId="6B618AF0">
            <w:pPr>
              <w:wordWrap w:val="0"/>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（2）算法类型按固定乘积法：</w:t>
            </w:r>
          </w:p>
          <w:p w14:paraId="516C7679">
            <w:pPr>
              <w:wordWrap w:val="0"/>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投标报价得分=（1-A×｜1-投标报价/基准价｜）×40</w:t>
            </w:r>
          </w:p>
          <w:p w14:paraId="182C5BAF">
            <w:pPr>
              <w:wordWrap w:val="0"/>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 xml:space="preserve">A为价格调整系数，当投标报价低于本次招标最佳报价（即基准价）时，A=0.8；当投标报价高于本次招标最佳报价时，取A=1； </w:t>
            </w:r>
          </w:p>
          <w:p w14:paraId="3CADB60B">
            <w:pPr>
              <w:wordWrap w:val="0"/>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计算分数时四舍五入取小数点后两位，当价格分＜0时，取0。</w:t>
            </w:r>
          </w:p>
        </w:tc>
      </w:tr>
      <w:tr w14:paraId="4E16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restart"/>
            <w:vAlign w:val="center"/>
          </w:tcPr>
          <w:p w14:paraId="6C979E91">
            <w:pPr>
              <w:wordWrap w:val="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3893" w:type="dxa"/>
            <w:gridSpan w:val="3"/>
          </w:tcPr>
          <w:p w14:paraId="13FB21A8">
            <w:pPr>
              <w:wordWrap w:val="0"/>
              <w:jc w:val="center"/>
              <w:rPr>
                <w:rFonts w:hint="eastAsia" w:ascii="仿宋_GB2312" w:hAnsi="仿宋_GB2312" w:eastAsia="仿宋_GB2312" w:cs="仿宋_GB2312"/>
              </w:rPr>
            </w:pPr>
            <w:r>
              <w:rPr>
                <w:rFonts w:hint="eastAsia" w:ascii="仿宋_GB2312" w:hAnsi="仿宋_GB2312" w:eastAsia="仿宋_GB2312" w:cs="仿宋_GB2312"/>
              </w:rPr>
              <w:t>技术部分</w:t>
            </w:r>
          </w:p>
        </w:tc>
        <w:tc>
          <w:tcPr>
            <w:tcW w:w="4783" w:type="dxa"/>
          </w:tcPr>
          <w:p w14:paraId="4426C210">
            <w:pPr>
              <w:wordWrap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40</w:t>
            </w:r>
          </w:p>
        </w:tc>
      </w:tr>
      <w:tr w14:paraId="5EE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vAlign w:val="center"/>
          </w:tcPr>
          <w:p w14:paraId="68F810E7">
            <w:pPr>
              <w:rPr>
                <w:rFonts w:hint="eastAsia" w:ascii="仿宋_GB2312" w:hAnsi="仿宋_GB2312" w:eastAsia="仿宋_GB2312" w:cs="仿宋_GB2312"/>
              </w:rPr>
            </w:pPr>
          </w:p>
        </w:tc>
        <w:tc>
          <w:tcPr>
            <w:tcW w:w="680" w:type="dxa"/>
            <w:vAlign w:val="center"/>
          </w:tcPr>
          <w:p w14:paraId="16F0C7B1">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343" w:type="dxa"/>
            <w:vAlign w:val="center"/>
          </w:tcPr>
          <w:p w14:paraId="4AA2D1BC">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870" w:type="dxa"/>
            <w:vAlign w:val="center"/>
          </w:tcPr>
          <w:p w14:paraId="27E8BFD0">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权重</w:t>
            </w:r>
          </w:p>
        </w:tc>
        <w:tc>
          <w:tcPr>
            <w:tcW w:w="4783" w:type="dxa"/>
            <w:vAlign w:val="center"/>
          </w:tcPr>
          <w:p w14:paraId="4DADC6F5">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14:paraId="3906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vAlign w:val="center"/>
          </w:tcPr>
          <w:p w14:paraId="27B00CB9">
            <w:pPr>
              <w:rPr>
                <w:rFonts w:hint="eastAsia" w:ascii="仿宋_GB2312" w:hAnsi="仿宋_GB2312" w:eastAsia="仿宋_GB2312" w:cs="仿宋_GB2312"/>
              </w:rPr>
            </w:pPr>
          </w:p>
        </w:tc>
        <w:tc>
          <w:tcPr>
            <w:tcW w:w="680" w:type="dxa"/>
            <w:vAlign w:val="center"/>
          </w:tcPr>
          <w:p w14:paraId="317F8FF1">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43" w:type="dxa"/>
            <w:vAlign w:val="center"/>
          </w:tcPr>
          <w:p w14:paraId="0416A547">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设计</w:t>
            </w:r>
            <w:r>
              <w:rPr>
                <w:rFonts w:hint="eastAsia" w:ascii="仿宋_GB2312" w:hAnsi="仿宋_GB2312" w:eastAsia="仿宋_GB2312" w:cs="仿宋_GB2312"/>
                <w:szCs w:val="21"/>
                <w:lang w:val="zh-CN"/>
              </w:rPr>
              <w:t>方案</w:t>
            </w:r>
          </w:p>
        </w:tc>
        <w:tc>
          <w:tcPr>
            <w:tcW w:w="870" w:type="dxa"/>
            <w:vAlign w:val="center"/>
          </w:tcPr>
          <w:p w14:paraId="73DF5E21">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0</w:t>
            </w:r>
          </w:p>
        </w:tc>
        <w:tc>
          <w:tcPr>
            <w:tcW w:w="4783" w:type="dxa"/>
          </w:tcPr>
          <w:p w14:paraId="7FDB558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（一）评审内容：  </w:t>
            </w:r>
          </w:p>
          <w:p w14:paraId="3958A8C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针对服务中心内美工展墙及触控屏互动内容的整体设计，重点评审设计方案与清水河数智新城品牌形象的契合度、视觉统一性、信息传达效果、交互体验及原创性。</w:t>
            </w:r>
          </w:p>
          <w:p w14:paraId="55E0BB5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（二）评分标准：</w:t>
            </w:r>
          </w:p>
          <w:p w14:paraId="2CC6EB91">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1. 美工展墙设计（最高10分）</w:t>
            </w:r>
          </w:p>
          <w:p w14:paraId="2AC6490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① 设计理念与品牌契合度（最高3分）  </w:t>
            </w:r>
          </w:p>
          <w:p w14:paraId="3C6EFF4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设计方案理念清晰，紧扣清水河数智新城“数智”与“产业”定位，与服务中心整体空间风格协调，品牌视觉传达准确，得3分；理念基本清晰，品牌贴合度一般，得1分；理念模糊或与项目定位脱节，得0分。</w:t>
            </w:r>
          </w:p>
          <w:p w14:paraId="2595A74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② 展厅门头及会议室标识设计（最高3分）  </w:t>
            </w:r>
          </w:p>
          <w:p w14:paraId="5979856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门头及标识统一沿用项目品牌视觉体系，字体、色彩、材质搭配合理，辨识度高，得3分；设计基本符合品牌规范，但细节处理一般，得1分；设计粗泛或与品牌体系脱节，得0分。</w:t>
            </w:r>
          </w:p>
          <w:p w14:paraId="43088CF7">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③ 文化展示墙面设计（最高2分）  </w:t>
            </w:r>
          </w:p>
          <w:p w14:paraId="45DCA4B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展示内容涵盖片区历史沿革、产业体系等核心信息，版面布局疏密有致，信息层级清晰，图文搭配美观，得2分；展示内容基本完整，布局及美观度一般，得1分；内容缺失严重或布局混乱，得0分。</w:t>
            </w:r>
          </w:p>
          <w:p w14:paraId="0084D9C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④ 材质工艺与施工图纸完整性（最高2分）  </w:t>
            </w:r>
          </w:p>
          <w:p w14:paraId="1B9FD81B">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设计方案包含完整的施工图纸（尺寸标注、材质标注、结构示意等），材质选型明确合理，工艺标准清晰，得2分；图纸基本齐全，但部分材质或工艺标注模糊，得1分；无施工图纸或材质工艺无说明，得0分。</w:t>
            </w:r>
          </w:p>
          <w:p w14:paraId="3EB8D4C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2. 触控屏互动内容设计（最高10分）</w:t>
            </w:r>
          </w:p>
          <w:p w14:paraId="7CE6956C">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① 内容策划与信息架构（最高3分）  </w:t>
            </w:r>
          </w:p>
          <w:p w14:paraId="2E66787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内容策划紧扣项目定位，资料梳理系统全面，信息层级及导航逻辑清晰，能有效传达片区品牌与产业信息，得3分；内容策划基本合理，但架构清晰度或信息深度一般，得1分；策划浅显或信息架构混乱，得0分。</w:t>
            </w:r>
          </w:p>
          <w:p w14:paraId="2B83391D">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② 界面视觉与交互体验（最高4分）  </w:t>
            </w:r>
          </w:p>
          <w:p w14:paraId="0203D81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界面设计与品牌视觉统一，动效流畅，交互逻辑自然，触控响应灵敏，用户体验良好，得4分；界面视觉及交互体验一般，细节处理不足，得1分；视觉平庸或交互生硬无法使用，得0分。</w:t>
            </w:r>
          </w:p>
          <w:p w14:paraId="064DA77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③ 程序架构与多媒体融合（最高3分）  </w:t>
            </w:r>
          </w:p>
          <w:p w14:paraId="47D32E58">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程序主框架搭建合理，多媒体融合自然，具备良好的兼容性与扩展性，得3分；架构基本合理但多媒体整合一般，得1分；无明确程序架构或无法实现功能，得0分。</w:t>
            </w:r>
          </w:p>
        </w:tc>
      </w:tr>
      <w:tr w14:paraId="6B9B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Align w:val="center"/>
          </w:tcPr>
          <w:p w14:paraId="129D4384">
            <w:pPr>
              <w:rPr>
                <w:rFonts w:hint="eastAsia" w:ascii="仿宋_GB2312" w:hAnsi="仿宋_GB2312" w:eastAsia="仿宋_GB2312" w:cs="仿宋_GB2312"/>
              </w:rPr>
            </w:pPr>
          </w:p>
        </w:tc>
        <w:tc>
          <w:tcPr>
            <w:tcW w:w="680" w:type="dxa"/>
            <w:vAlign w:val="center"/>
          </w:tcPr>
          <w:p w14:paraId="3BC9ED62">
            <w:pPr>
              <w:wordWrap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2343" w:type="dxa"/>
            <w:vAlign w:val="center"/>
          </w:tcPr>
          <w:p w14:paraId="6042E9E3">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施工安装方案</w:t>
            </w:r>
          </w:p>
        </w:tc>
        <w:tc>
          <w:tcPr>
            <w:tcW w:w="870" w:type="dxa"/>
            <w:vAlign w:val="center"/>
          </w:tcPr>
          <w:p w14:paraId="13B2E5F8">
            <w:pPr>
              <w:wordWrap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4783" w:type="dxa"/>
          </w:tcPr>
          <w:p w14:paraId="1F61370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（一）评审内容：  </w:t>
            </w:r>
          </w:p>
          <w:p w14:paraId="21DBE83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针对媒体硬件采购安装、互动内容部署、形象标识及展墙制作安装，重点评审制作工艺标准、施工方案、工期保障及售后服务。</w:t>
            </w:r>
          </w:p>
          <w:p w14:paraId="6D8D1194">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（二）评分标准：</w:t>
            </w:r>
          </w:p>
          <w:p w14:paraId="6E0C2475">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① 制作工艺与技术标准（最高5分）  </w:t>
            </w:r>
          </w:p>
          <w:p w14:paraId="4C505232">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提供完整的制作工艺及技术标准，涵盖触控一体机及支架装配标准、亚克力及不锈钢字各类工艺参数、UV打印精度及色彩标准、展墙基层及铝板安装工艺，得5分；工艺说明基本完整，部分标准描述模糊，得2分；无制作工艺说明或无技术标准，得0分。</w:t>
            </w:r>
          </w:p>
          <w:p w14:paraId="43FD26C3">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② 安装施工与现场管理（最高5分）  </w:t>
            </w:r>
          </w:p>
          <w:p w14:paraId="4C02297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安装方案完整，涵盖墙面拆装恢复、强弱电布线、保护性拆除、铝板安装、触控屏固定及系统联调全流程，安全防护与成品保护措施到位，人员配置合理，得5分；安装方案基本完整，但个别环节或安全措施不够细化，得2分；无安装施工方案或存在重大安全疏漏，得0分。</w:t>
            </w:r>
          </w:p>
          <w:p w14:paraId="2CB58260">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③ 工期进度计划（最高5分）  </w:t>
            </w:r>
          </w:p>
          <w:p w14:paraId="5EAE0FAE">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提供从备货制作、运输进场、现场安装、联调测试到验收交付的全周期进度计划，节点清晰，承诺在1个月服务期内完成全部工作，得5分；进度计划完整但节点划分不够细化，工期保障措施一般，得2分；无进度计划或无法满足服务期要求，得0分。</w:t>
            </w:r>
          </w:p>
          <w:p w14:paraId="1C099A59">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 xml:space="preserve">④ 售后质保与服务承诺（最高5分）  </w:t>
            </w:r>
          </w:p>
          <w:p w14:paraId="0FDE3ADF">
            <w:pPr>
              <w:keepNext w:val="0"/>
              <w:keepLines w:val="0"/>
              <w:pageBreakBefore w:val="0"/>
              <w:widowControl/>
              <w:numPr>
                <w:ilvl w:val="0"/>
                <w:numId w:val="0"/>
              </w:numPr>
              <w:kinsoku/>
              <w:wordWrap/>
              <w:overflowPunct/>
              <w:topLinePunct w:val="0"/>
              <w:autoSpaceDE/>
              <w:autoSpaceDN/>
              <w:bidi w:val="0"/>
              <w:adjustRightInd/>
              <w:snapToGrid/>
              <w:jc w:val="left"/>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b w:val="0"/>
                <w:bCs w:val="0"/>
                <w:color w:val="000000" w:themeColor="text1"/>
                <w:kern w:val="0"/>
                <w:sz w:val="21"/>
                <w:szCs w:val="21"/>
                <w:lang w:val="en-US" w:eastAsia="zh-CN"/>
                <w14:textFill>
                  <w14:solidFill>
                    <w14:schemeClr w14:val="tx1"/>
                  </w14:solidFill>
                </w14:textFill>
              </w:rPr>
              <w:t>质保期限、质保范围承诺清晰明确（覆盖硬件及制作安装内容），故障响应时间及维修替换流程具体可行，售后服务体系完善，得5分；质保承诺基本明确但售后服务细节不完整，得2分；无任何质保承诺或售后服务内容，得0分。</w:t>
            </w:r>
          </w:p>
        </w:tc>
      </w:tr>
      <w:tr w14:paraId="65D4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restart"/>
            <w:vAlign w:val="center"/>
          </w:tcPr>
          <w:p w14:paraId="31BBE196">
            <w:pPr>
              <w:wordWrap w:val="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3893" w:type="dxa"/>
            <w:gridSpan w:val="3"/>
          </w:tcPr>
          <w:p w14:paraId="2BCF7266">
            <w:pPr>
              <w:wordWrap w:val="0"/>
              <w:jc w:val="center"/>
              <w:rPr>
                <w:rFonts w:hint="eastAsia" w:ascii="仿宋_GB2312" w:hAnsi="仿宋_GB2312" w:eastAsia="仿宋_GB2312" w:cs="仿宋_GB2312"/>
              </w:rPr>
            </w:pPr>
            <w:r>
              <w:rPr>
                <w:rFonts w:hint="eastAsia" w:ascii="仿宋_GB2312" w:hAnsi="仿宋_GB2312" w:eastAsia="仿宋_GB2312" w:cs="仿宋_GB2312"/>
              </w:rPr>
              <w:t>综合实力部分</w:t>
            </w:r>
          </w:p>
        </w:tc>
        <w:tc>
          <w:tcPr>
            <w:tcW w:w="4783" w:type="dxa"/>
          </w:tcPr>
          <w:p w14:paraId="3534FE91">
            <w:pPr>
              <w:wordWrap w:val="0"/>
              <w:jc w:val="center"/>
              <w:rPr>
                <w:rFonts w:hint="eastAsia"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r>
      <w:tr w14:paraId="071F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vAlign w:val="center"/>
          </w:tcPr>
          <w:p w14:paraId="52FCCFA5">
            <w:pPr>
              <w:rPr>
                <w:rFonts w:hint="eastAsia" w:ascii="仿宋_GB2312" w:hAnsi="仿宋_GB2312" w:eastAsia="仿宋_GB2312" w:cs="仿宋_GB2312"/>
              </w:rPr>
            </w:pPr>
          </w:p>
        </w:tc>
        <w:tc>
          <w:tcPr>
            <w:tcW w:w="680" w:type="dxa"/>
            <w:vAlign w:val="center"/>
          </w:tcPr>
          <w:p w14:paraId="7678E23B">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2343" w:type="dxa"/>
            <w:vAlign w:val="center"/>
          </w:tcPr>
          <w:p w14:paraId="10A3905B">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评分因素</w:t>
            </w:r>
          </w:p>
        </w:tc>
        <w:tc>
          <w:tcPr>
            <w:tcW w:w="870" w:type="dxa"/>
            <w:vAlign w:val="center"/>
          </w:tcPr>
          <w:p w14:paraId="2A965657">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权重</w:t>
            </w:r>
          </w:p>
        </w:tc>
        <w:tc>
          <w:tcPr>
            <w:tcW w:w="4783" w:type="dxa"/>
            <w:vAlign w:val="center"/>
          </w:tcPr>
          <w:p w14:paraId="527CD73A">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评分准则</w:t>
            </w:r>
          </w:p>
        </w:tc>
      </w:tr>
      <w:tr w14:paraId="10C8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jc w:val="center"/>
        </w:trPr>
        <w:tc>
          <w:tcPr>
            <w:tcW w:w="680" w:type="dxa"/>
            <w:vMerge w:val="continue"/>
            <w:vAlign w:val="center"/>
          </w:tcPr>
          <w:p w14:paraId="349D9A5A">
            <w:pPr>
              <w:wordWrap w:val="0"/>
              <w:jc w:val="center"/>
              <w:rPr>
                <w:rFonts w:hint="eastAsia" w:ascii="仿宋_GB2312" w:hAnsi="仿宋_GB2312" w:eastAsia="仿宋_GB2312" w:cs="仿宋_GB2312"/>
                <w:szCs w:val="21"/>
              </w:rPr>
            </w:pPr>
          </w:p>
        </w:tc>
        <w:tc>
          <w:tcPr>
            <w:tcW w:w="680" w:type="dxa"/>
            <w:vAlign w:val="center"/>
          </w:tcPr>
          <w:p w14:paraId="4E8433E7">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343" w:type="dxa"/>
            <w:vAlign w:val="center"/>
          </w:tcPr>
          <w:p w14:paraId="4BDB000E">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过往同类业绩</w:t>
            </w:r>
          </w:p>
        </w:tc>
        <w:tc>
          <w:tcPr>
            <w:tcW w:w="870" w:type="dxa"/>
            <w:vAlign w:val="center"/>
          </w:tcPr>
          <w:p w14:paraId="032A0D1E">
            <w:pPr>
              <w:wordWrap w:val="0"/>
              <w:jc w:val="cente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20</w:t>
            </w:r>
          </w:p>
        </w:tc>
        <w:tc>
          <w:tcPr>
            <w:tcW w:w="4783" w:type="dxa"/>
          </w:tcPr>
          <w:p w14:paraId="6D86D5DA">
            <w:pPr>
              <w:numPr>
                <w:ilvl w:val="0"/>
                <w:numId w:val="0"/>
              </w:numPr>
              <w:wordWrap w:val="0"/>
              <w:jc w:val="left"/>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SA"/>
                <w14:textFill>
                  <w14:solidFill>
                    <w14:schemeClr w14:val="tx1"/>
                  </w14:solidFill>
                </w14:textFill>
              </w:rPr>
              <w:t>（一）</w:t>
            </w: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评审内容：</w:t>
            </w:r>
          </w:p>
          <w:p w14:paraId="765D2769">
            <w:pPr>
              <w:wordWrap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评审报价人具有同类项目业绩，每项得5分，未提供不得分。</w:t>
            </w:r>
          </w:p>
          <w:p w14:paraId="15640E84">
            <w:pPr>
              <w:wordWrap w:val="0"/>
              <w:jc w:val="left"/>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SA"/>
                <w14:textFill>
                  <w14:solidFill>
                    <w14:schemeClr w14:val="tx1"/>
                  </w14:solidFill>
                </w14:textFill>
              </w:rPr>
              <w:t>（二）</w:t>
            </w: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证明文件：</w:t>
            </w:r>
            <w:bookmarkStart w:id="1" w:name="_GoBack"/>
            <w:bookmarkEnd w:id="1"/>
          </w:p>
          <w:p w14:paraId="464A408B">
            <w:pPr>
              <w:wordWrap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①投标人提供近5年设计制作服务合同关键信息（包括但不限于合同首页、项目服务内容、服务期限、签字盖章页）；</w:t>
            </w:r>
          </w:p>
          <w:p w14:paraId="11279D53">
            <w:pPr>
              <w:wordWrap w:val="0"/>
              <w:jc w:val="left"/>
              <w:rPr>
                <w:rFonts w:hint="eastAsia" w:ascii="仿宋_GB2312" w:hAnsi="仿宋_GB2312" w:eastAsia="仿宋_GB2312" w:cs="仿宋_GB2312"/>
                <w:szCs w:val="21"/>
              </w:rPr>
            </w:pPr>
            <w:r>
              <w:rPr>
                <w:rFonts w:hint="eastAsia" w:ascii="仿宋_GB2312" w:hAnsi="仿宋_GB2312" w:eastAsia="仿宋_GB2312" w:cs="仿宋_GB2312"/>
                <w:szCs w:val="21"/>
              </w:rPr>
              <w:t>②通过合同关键信息无法判断是否得分的，提供能证明得分的其它证明资料，如项目报告或合同甲方出具的证明文件等。</w:t>
            </w:r>
          </w:p>
          <w:p w14:paraId="590FAFCF">
            <w:pPr>
              <w:wordWrap w:val="0"/>
              <w:jc w:val="left"/>
              <w:rPr>
                <w:rFonts w:hint="eastAsia"/>
              </w:rPr>
            </w:pPr>
            <w:r>
              <w:rPr>
                <w:rFonts w:hint="eastAsia" w:ascii="仿宋_GB2312" w:hAnsi="仿宋_GB2312" w:eastAsia="仿宋_GB2312" w:cs="仿宋_GB2312"/>
                <w:szCs w:val="21"/>
              </w:rPr>
              <w:t>备注：本项最高得20分，报价人须确保所提供的证明材料清晰、可以判断，评分中若出现无证明资料或证书过期或专家无法凭所提供资料判断是否得分的情况，一律作不得分处理。</w:t>
            </w:r>
          </w:p>
        </w:tc>
      </w:tr>
    </w:tbl>
    <w:p w14:paraId="5E938C6E">
      <w:pPr>
        <w:pStyle w:val="5"/>
        <w:tabs>
          <w:tab w:val="left" w:pos="2138"/>
        </w:tabs>
        <w:spacing w:after="0"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备注：</w:t>
      </w:r>
    </w:p>
    <w:p w14:paraId="0C40F5E4">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1.每一项的得分均不能超过该项最高分值。</w:t>
      </w:r>
    </w:p>
    <w:p w14:paraId="0D475820">
      <w:p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2.缺项则该项为0分或不合格为0分。 </w:t>
      </w:r>
    </w:p>
    <w:p w14:paraId="7A2AFC94">
      <w:pPr>
        <w:pStyle w:val="5"/>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3.客观评分项，所有评审专家应当统一打分分值；主观评分项，评标小组应当按照打分标准进行评分。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80AAE">
    <w:pPr>
      <w:pStyle w:val="6"/>
      <w:jc w:val="center"/>
    </w:pPr>
    <w:r>
      <w:fldChar w:fldCharType="begin"/>
    </w:r>
    <w:r>
      <w:instrText xml:space="preserve">PAGE   \* MERGEFORMAT</w:instrText>
    </w:r>
    <w:r>
      <w:fldChar w:fldCharType="separate"/>
    </w:r>
    <w:r>
      <w:rPr>
        <w:lang w:val="zh-CN" w:eastAsia="zh-CN"/>
      </w:rPr>
      <w:t>11</w:t>
    </w:r>
    <w:r>
      <w:rPr>
        <w:lang w:val="zh-CN" w:eastAsia="zh-CN"/>
      </w:rPr>
      <w:fldChar w:fldCharType="end"/>
    </w:r>
  </w:p>
  <w:p w14:paraId="70EBEAB8">
    <w:pPr>
      <w:pStyle w:val="5"/>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42DE7"/>
    <w:rsid w:val="004D6EE3"/>
    <w:rsid w:val="0053060A"/>
    <w:rsid w:val="00B82570"/>
    <w:rsid w:val="047658EB"/>
    <w:rsid w:val="14BE4F7A"/>
    <w:rsid w:val="1CB14CC5"/>
    <w:rsid w:val="1EADA7E2"/>
    <w:rsid w:val="1FFFD93C"/>
    <w:rsid w:val="242D5F16"/>
    <w:rsid w:val="387C7277"/>
    <w:rsid w:val="3B472350"/>
    <w:rsid w:val="3BB95374"/>
    <w:rsid w:val="3DDEF55F"/>
    <w:rsid w:val="46042D5D"/>
    <w:rsid w:val="4B3317B5"/>
    <w:rsid w:val="4EEF95E7"/>
    <w:rsid w:val="4FAF3539"/>
    <w:rsid w:val="50772E8C"/>
    <w:rsid w:val="59FE37A2"/>
    <w:rsid w:val="5B33135D"/>
    <w:rsid w:val="5B9F3060"/>
    <w:rsid w:val="5CB08499"/>
    <w:rsid w:val="5D578603"/>
    <w:rsid w:val="5EFCA22E"/>
    <w:rsid w:val="5FFFD310"/>
    <w:rsid w:val="62582EB0"/>
    <w:rsid w:val="69FF14B4"/>
    <w:rsid w:val="6B7FF7C3"/>
    <w:rsid w:val="6C6A6A38"/>
    <w:rsid w:val="6CFF2EDF"/>
    <w:rsid w:val="6DED2071"/>
    <w:rsid w:val="71A42DE7"/>
    <w:rsid w:val="71EEF03E"/>
    <w:rsid w:val="736B9161"/>
    <w:rsid w:val="73EFCF84"/>
    <w:rsid w:val="73F74F5B"/>
    <w:rsid w:val="74457A55"/>
    <w:rsid w:val="757C1212"/>
    <w:rsid w:val="75F82FDB"/>
    <w:rsid w:val="763DA6F9"/>
    <w:rsid w:val="7AF2ACE7"/>
    <w:rsid w:val="7C8C10D8"/>
    <w:rsid w:val="7D4018D7"/>
    <w:rsid w:val="7DF7567B"/>
    <w:rsid w:val="7E7F1000"/>
    <w:rsid w:val="7EE8B178"/>
    <w:rsid w:val="7EEE9CB5"/>
    <w:rsid w:val="7F9DC425"/>
    <w:rsid w:val="7FA7B43C"/>
    <w:rsid w:val="7FF2FDB2"/>
    <w:rsid w:val="8F5F1F1D"/>
    <w:rsid w:val="9AFF13E0"/>
    <w:rsid w:val="9FDD0BAA"/>
    <w:rsid w:val="A1854083"/>
    <w:rsid w:val="BDAB7E55"/>
    <w:rsid w:val="BEFE000C"/>
    <w:rsid w:val="D7FF6121"/>
    <w:rsid w:val="DDC57291"/>
    <w:rsid w:val="DDFFFCCB"/>
    <w:rsid w:val="DE7A0468"/>
    <w:rsid w:val="DF7F2C85"/>
    <w:rsid w:val="E1BD7DBA"/>
    <w:rsid w:val="E87BB350"/>
    <w:rsid w:val="EDBFAAE0"/>
    <w:rsid w:val="EDF13D93"/>
    <w:rsid w:val="EF9BBCE0"/>
    <w:rsid w:val="EFE6EC56"/>
    <w:rsid w:val="EFEFAEA5"/>
    <w:rsid w:val="F17EC3CF"/>
    <w:rsid w:val="F4D599D1"/>
    <w:rsid w:val="F4E239C2"/>
    <w:rsid w:val="F5A9F67B"/>
    <w:rsid w:val="F5DFFFB5"/>
    <w:rsid w:val="F6FF12BD"/>
    <w:rsid w:val="F739BED0"/>
    <w:rsid w:val="F75E6209"/>
    <w:rsid w:val="F7AD2261"/>
    <w:rsid w:val="F8B57865"/>
    <w:rsid w:val="FA44D3AD"/>
    <w:rsid w:val="FAEEB646"/>
    <w:rsid w:val="FBDFAF44"/>
    <w:rsid w:val="FE270BA5"/>
    <w:rsid w:val="FE57C93F"/>
    <w:rsid w:val="FFC6605D"/>
    <w:rsid w:val="FFE35C64"/>
    <w:rsid w:val="FFF713C8"/>
    <w:rsid w:val="FFFA5638"/>
    <w:rsid w:val="FFFE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szCs w:val="21"/>
    </w:rPr>
  </w:style>
  <w:style w:type="paragraph" w:styleId="3">
    <w:name w:val="index 8"/>
    <w:basedOn w:val="1"/>
    <w:next w:val="1"/>
    <w:semiHidden/>
    <w:qFormat/>
    <w:uiPriority w:val="0"/>
    <w:pPr>
      <w:ind w:left="1680" w:hanging="210"/>
      <w:jc w:val="left"/>
    </w:pPr>
    <w:rPr>
      <w:rFonts w:ascii="Times New Roman" w:hAnsi="Times New Roman" w:eastAsia="宋体" w:cs="Times New Roman"/>
      <w:sz w:val="20"/>
      <w:szCs w:val="20"/>
    </w:rPr>
  </w:style>
  <w:style w:type="paragraph" w:styleId="4">
    <w:name w:val="annotation text"/>
    <w:basedOn w:val="1"/>
    <w:link w:val="14"/>
    <w:qFormat/>
    <w:uiPriority w:val="0"/>
    <w:pPr>
      <w:jc w:val="left"/>
    </w:pPr>
  </w:style>
  <w:style w:type="paragraph" w:styleId="5">
    <w:name w:val="Body Text"/>
    <w:basedOn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annotation subject"/>
    <w:basedOn w:val="4"/>
    <w:next w:val="4"/>
    <w:link w:val="15"/>
    <w:qFormat/>
    <w:uiPriority w:val="0"/>
    <w:rPr>
      <w:b/>
      <w:bCs/>
    </w:rPr>
  </w:style>
  <w:style w:type="character" w:styleId="10">
    <w:name w:val="Strong"/>
    <w:basedOn w:val="9"/>
    <w:autoRedefine/>
    <w:qFormat/>
    <w:uiPriority w:val="0"/>
    <w:rPr>
      <w:rFonts w:ascii="Times New Roman" w:hAnsi="Times New Roman" w:eastAsia="宋体"/>
      <w:b/>
      <w:sz w:val="28"/>
    </w:rPr>
  </w:style>
  <w:style w:type="character" w:styleId="11">
    <w:name w:val="annotation reference"/>
    <w:basedOn w:val="9"/>
    <w:qFormat/>
    <w:uiPriority w:val="0"/>
    <w:rPr>
      <w:sz w:val="21"/>
      <w:szCs w:val="21"/>
    </w:rPr>
  </w:style>
  <w:style w:type="paragraph" w:customStyle="1" w:styleId="12">
    <w:name w:val="非政府正文"/>
    <w:basedOn w:val="1"/>
    <w:autoRedefine/>
    <w:qFormat/>
    <w:uiPriority w:val="0"/>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9"/>
    <w:link w:val="4"/>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2749</Words>
  <Characters>2790</Characters>
  <Lines>40</Lines>
  <Paragraphs>38</Paragraphs>
  <TotalTime>0</TotalTime>
  <ScaleCrop>false</ScaleCrop>
  <LinksUpToDate>false</LinksUpToDate>
  <CharactersWithSpaces>2838</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2025-05-15T15:07:00Z</dcterms:created>
  <dc:creator>马捷</dc:creator>
  <cp:lastModifiedBy>huawei</cp:lastModifiedBy>
  <dcterms:modified xsi:type="dcterms:W3CDTF">2026-07-22T14:18:17Z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C322F983706D4B828C8695E525F9A9FC_13</vt:lpwstr>
  </property>
  <property fmtid="{D5CDD505-2E9C-101B-9397-08002B2CF9AE}" pid="4" name="KSOTemplateDocerSaveRecord">
    <vt:lpwstr>eyJoZGlkIjoiMjQ3NGNhNDkzNTQ0MzZlNDRmODY2NjFhZTZjY2RkOTMiLCJ1c2VySWQiOiIyNTYzNDQ1NTcifQ==</vt:lpwstr>
  </property>
</Properties>
</file>