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0D895E">
      <w:pPr>
        <w:pStyle w:val="16"/>
        <w:spacing w:after="312"/>
        <w:outlineLvl w:val="0"/>
      </w:pPr>
      <w:r>
        <w:rPr>
          <w:rFonts w:hint="eastAsia"/>
        </w:rPr>
        <w:t>施工图设计文件审查意见表（</w:t>
      </w:r>
      <w:r>
        <w:rPr>
          <w:rFonts w:hint="eastAsia"/>
          <w:u w:val="single"/>
        </w:rPr>
        <w:t xml:space="preserve"> 1 </w:t>
      </w:r>
      <w:r>
        <w:rPr>
          <w:rFonts w:hint="eastAsia"/>
        </w:rPr>
        <w:t>审）</w:t>
      </w:r>
    </w:p>
    <w:p w14:paraId="56BBE8BA">
      <w:pPr>
        <w:tabs>
          <w:tab w:val="left" w:pos="7860"/>
        </w:tabs>
        <w:spacing w:line="360" w:lineRule="auto"/>
        <w:ind w:left="7710" w:hanging="7710" w:hangingChars="3200"/>
        <w:jc w:val="left"/>
        <w:rPr>
          <w:rFonts w:hint="eastAsia" w:ascii="宋体" w:hAnsi="宋体" w:eastAsia="宋体"/>
          <w:b/>
          <w:sz w:val="24"/>
          <w:szCs w:val="21"/>
          <w:lang w:eastAsia="zh-CN"/>
        </w:rPr>
      </w:pPr>
      <w:r>
        <w:rPr>
          <w:rFonts w:hint="eastAsia" w:ascii="宋体" w:hAnsi="宋体"/>
          <w:b/>
          <w:sz w:val="24"/>
          <w:szCs w:val="21"/>
        </w:rPr>
        <w:t>工程名称：</w:t>
      </w:r>
      <w:r>
        <w:rPr>
          <w:rFonts w:hint="eastAsia" w:ascii="宋体" w:hAnsi="宋体"/>
          <w:sz w:val="24"/>
          <w:szCs w:val="21"/>
        </w:rPr>
        <w:t>深汕特别合作区大澳河中下游流域防洪排涝整治工程</w:t>
      </w:r>
      <w:r>
        <w:rPr>
          <w:rFonts w:hint="eastAsia" w:ascii="宋体" w:hAnsi="宋体"/>
          <w:sz w:val="24"/>
          <w:szCs w:val="21"/>
          <w:lang w:val="en-US" w:eastAsia="zh-CN"/>
        </w:rPr>
        <w:t xml:space="preserve">      </w:t>
      </w:r>
      <w:r>
        <w:rPr>
          <w:rFonts w:ascii="宋体" w:hAnsi="宋体"/>
          <w:b/>
          <w:sz w:val="24"/>
          <w:szCs w:val="21"/>
        </w:rPr>
        <w:t>编号</w:t>
      </w:r>
      <w:r>
        <w:rPr>
          <w:rFonts w:hint="eastAsia" w:ascii="宋体" w:hAnsi="宋体"/>
          <w:b/>
          <w:sz w:val="24"/>
          <w:szCs w:val="21"/>
        </w:rPr>
        <w:t>：</w:t>
      </w:r>
      <w:r>
        <w:rPr>
          <w:rFonts w:hint="eastAsia" w:ascii="宋体" w:hAnsi="宋体"/>
          <w:b w:val="0"/>
          <w:bCs/>
          <w:sz w:val="24"/>
          <w:szCs w:val="21"/>
          <w:lang w:val="en-US" w:eastAsia="zh-CN"/>
        </w:rPr>
        <w:t>金属结构-01</w:t>
      </w:r>
      <w:r>
        <w:rPr>
          <w:rFonts w:hint="eastAsia" w:ascii="宋体" w:hAnsi="宋体"/>
          <w:sz w:val="24"/>
          <w:szCs w:val="21"/>
          <w:lang w:val="en-US" w:eastAsia="zh-CN"/>
        </w:rPr>
        <w:t xml:space="preserve"> 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88"/>
        <w:gridCol w:w="4172"/>
      </w:tblGrid>
      <w:tr w14:paraId="3F4677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1" w:hRule="atLeast"/>
          <w:jc w:val="center"/>
        </w:trPr>
        <w:tc>
          <w:tcPr>
            <w:tcW w:w="5288" w:type="dxa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 w14:paraId="16D7B8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/>
              <w:textAlignment w:val="auto"/>
              <w:rPr>
                <w:rFonts w:hint="default" w:ascii="宋体" w:hAnsi="宋体" w:eastAsia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ascii="宋体" w:hAnsi="宋体"/>
                <w:bCs/>
                <w:sz w:val="24"/>
                <w:szCs w:val="24"/>
              </w:rPr>
              <w:t>文件名称：</w:t>
            </w:r>
            <w:r>
              <w:rPr>
                <w:rFonts w:hint="eastAsia" w:ascii="宋体" w:hAnsi="宋体"/>
                <w:sz w:val="24"/>
                <w:szCs w:val="21"/>
              </w:rPr>
              <w:t>汕特别合作区大澳河中下游流域防洪排涝整治工程</w:t>
            </w:r>
            <w:r>
              <w:rPr>
                <w:rFonts w:hint="eastAsia" w:ascii="宋体" w:hAnsi="宋体"/>
                <w:sz w:val="24"/>
                <w:szCs w:val="21"/>
                <w:lang w:val="en-US" w:eastAsia="zh-CN"/>
              </w:rPr>
              <w:t xml:space="preserve"> 施工图 金属结构分册</w:t>
            </w:r>
          </w:p>
        </w:tc>
        <w:tc>
          <w:tcPr>
            <w:tcW w:w="4172" w:type="dxa"/>
            <w:tcBorders>
              <w:left w:val="single" w:color="auto" w:sz="4" w:space="0"/>
              <w:bottom w:val="single" w:color="auto" w:sz="4" w:space="0"/>
            </w:tcBorders>
            <w:vAlign w:val="top"/>
          </w:tcPr>
          <w:p w14:paraId="21C6ED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/>
              <w:jc w:val="left"/>
              <w:textAlignment w:val="auto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图号：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DAH-SGT-DCZJJ-01</w:t>
            </w:r>
            <w:r>
              <w:rPr>
                <w:rFonts w:hint="eastAsia" w:ascii="宋体" w:hAnsi="宋体"/>
                <w:sz w:val="24"/>
                <w:szCs w:val="24"/>
              </w:rPr>
              <w:t>～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JXM-07,共19张图纸</w:t>
            </w:r>
          </w:p>
        </w:tc>
      </w:tr>
      <w:tr w14:paraId="7A915B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2" w:hRule="atLeast"/>
          <w:jc w:val="center"/>
        </w:trPr>
        <w:tc>
          <w:tcPr>
            <w:tcW w:w="9460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51045FA">
            <w:pPr>
              <w:spacing w:line="360" w:lineRule="auto"/>
              <w:jc w:val="left"/>
              <w:rPr>
                <w:rFonts w:eastAsia="黑体"/>
                <w:sz w:val="26"/>
                <w:szCs w:val="26"/>
              </w:rPr>
            </w:pPr>
            <w:r>
              <w:rPr>
                <w:rFonts w:hint="eastAsia" w:eastAsia="黑体"/>
                <w:sz w:val="26"/>
                <w:szCs w:val="26"/>
              </w:rPr>
              <w:t>施工图审查意见（</w:t>
            </w:r>
            <w:r>
              <w:rPr>
                <w:rFonts w:hint="eastAsia" w:eastAsia="黑体"/>
                <w:spacing w:val="-10"/>
                <w:sz w:val="26"/>
                <w:szCs w:val="26"/>
              </w:rPr>
              <w:t>法律法规、公共安全、公共利益、强制性条文、可施工性审查</w:t>
            </w:r>
            <w:r>
              <w:rPr>
                <w:rFonts w:hint="eastAsia" w:eastAsia="黑体"/>
                <w:sz w:val="26"/>
                <w:szCs w:val="26"/>
              </w:rPr>
              <w:t>）</w:t>
            </w:r>
          </w:p>
          <w:p w14:paraId="3AA0A166">
            <w:pPr>
              <w:tabs>
                <w:tab w:val="left" w:pos="3000"/>
                <w:tab w:val="left" w:pos="3255"/>
              </w:tabs>
              <w:spacing w:line="360" w:lineRule="auto"/>
              <w:ind w:firstLine="480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无意见</w:t>
            </w:r>
          </w:p>
        </w:tc>
      </w:tr>
      <w:tr w14:paraId="5D1C6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8" w:hRule="atLeast"/>
          <w:jc w:val="center"/>
        </w:trPr>
        <w:tc>
          <w:tcPr>
            <w:tcW w:w="9460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4997AF7">
            <w:pPr>
              <w:spacing w:line="360" w:lineRule="auto"/>
              <w:jc w:val="left"/>
              <w:rPr>
                <w:rFonts w:eastAsia="黑体"/>
                <w:sz w:val="26"/>
                <w:szCs w:val="26"/>
              </w:rPr>
            </w:pPr>
            <w:r>
              <w:rPr>
                <w:rFonts w:hint="eastAsia" w:eastAsia="黑体"/>
                <w:sz w:val="26"/>
                <w:szCs w:val="26"/>
              </w:rPr>
              <w:t xml:space="preserve">其它需要提示或说明的事项（设计依据、一般技术标准、一般技术性审查）     </w:t>
            </w:r>
          </w:p>
          <w:p w14:paraId="1B59CC1C">
            <w:pPr>
              <w:numPr>
                <w:ilvl w:val="0"/>
                <w:numId w:val="1"/>
              </w:numPr>
              <w:tabs>
                <w:tab w:val="left" w:pos="851"/>
              </w:tabs>
              <w:adjustRightInd w:val="0"/>
              <w:snapToGrid w:val="0"/>
              <w:spacing w:line="360" w:lineRule="auto"/>
              <w:ind w:firstLine="480" w:firstLineChars="200"/>
              <w:rPr>
                <w:rFonts w:ascii="宋体" w:hAnsi="宋体"/>
                <w:color w:val="FF00FF"/>
                <w:sz w:val="24"/>
                <w:szCs w:val="24"/>
              </w:rPr>
            </w:pPr>
            <w:r>
              <w:rPr>
                <w:rFonts w:hint="eastAsia" w:ascii="宋体" w:hAnsi="宋体"/>
                <w:color w:val="FF00FF"/>
                <w:sz w:val="24"/>
                <w:szCs w:val="24"/>
                <w:lang w:val="en-US" w:eastAsia="zh-CN"/>
              </w:rPr>
              <w:t>补充金属结构专业设计说明，复核金属结构建设范围、建设内容。</w:t>
            </w:r>
          </w:p>
          <w:p w14:paraId="1702AF60">
            <w:pPr>
              <w:numPr>
                <w:ilvl w:val="0"/>
                <w:numId w:val="1"/>
              </w:numPr>
              <w:tabs>
                <w:tab w:val="left" w:pos="851"/>
              </w:tabs>
              <w:adjustRightInd w:val="0"/>
              <w:snapToGrid w:val="0"/>
              <w:spacing w:line="360" w:lineRule="auto"/>
              <w:ind w:firstLine="480" w:firstLineChars="200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金属结构专业需补充完善大围村、澳仔沟村一体式泵闸金属结构相关施工图，满足制造、安装、运行等需求。</w:t>
            </w:r>
          </w:p>
          <w:p w14:paraId="758FE935">
            <w:pPr>
              <w:numPr>
                <w:ilvl w:val="0"/>
                <w:numId w:val="1"/>
              </w:numPr>
              <w:tabs>
                <w:tab w:val="left" w:pos="851"/>
              </w:tabs>
              <w:adjustRightInd w:val="0"/>
              <w:snapToGrid w:val="0"/>
              <w:spacing w:line="360" w:lineRule="auto"/>
              <w:ind w:firstLine="480" w:firstLineChars="200"/>
              <w:rPr>
                <w:rFonts w:hint="default" w:ascii="宋体" w:hAnsi="宋体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图号：DAH-DWPLZ-JJ01</w:t>
            </w:r>
          </w:p>
          <w:p w14:paraId="61C16FAF">
            <w:pPr>
              <w:numPr>
                <w:ilvl w:val="0"/>
                <w:numId w:val="2"/>
              </w:numPr>
              <w:tabs>
                <w:tab w:val="left" w:pos="851"/>
              </w:tabs>
              <w:adjustRightInd w:val="0"/>
              <w:snapToGrid w:val="0"/>
              <w:spacing w:line="360" w:lineRule="auto"/>
              <w:ind w:firstLine="480" w:firstLineChars="200"/>
              <w:rPr>
                <w:rFonts w:hint="eastAsia" w:ascii="宋体" w:hAnsi="宋体" w:eastAsia="宋体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szCs w:val="24"/>
                <w:lang w:val="en-US" w:eastAsia="zh-CN"/>
              </w:rPr>
              <w:t>补充</w:t>
            </w:r>
            <w:r>
              <w:rPr>
                <w:rFonts w:hint="eastAsia" w:ascii="宋体" w:hAnsi="宋体" w:cs="Times New Roman"/>
                <w:color w:val="auto"/>
                <w:sz w:val="24"/>
                <w:szCs w:val="24"/>
                <w:lang w:val="en-US" w:eastAsia="zh-CN"/>
              </w:rPr>
              <w:t>完善水泵流量选择计算书、水闸金属结构设计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szCs w:val="24"/>
                <w:lang w:val="en-US" w:eastAsia="zh-CN"/>
              </w:rPr>
              <w:t>计算书。</w:t>
            </w:r>
          </w:p>
          <w:p w14:paraId="55D77C1B">
            <w:pPr>
              <w:numPr>
                <w:ilvl w:val="0"/>
                <w:numId w:val="2"/>
              </w:numPr>
              <w:tabs>
                <w:tab w:val="left" w:pos="851"/>
              </w:tabs>
              <w:adjustRightInd w:val="0"/>
              <w:snapToGrid w:val="0"/>
              <w:spacing w:line="360" w:lineRule="auto"/>
              <w:ind w:firstLine="480" w:firstLineChars="200"/>
              <w:rPr>
                <w:rFonts w:hint="default" w:ascii="宋体" w:hAnsi="宋体" w:eastAsia="宋体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szCs w:val="24"/>
                <w:lang w:val="en-US" w:eastAsia="zh-CN"/>
              </w:rPr>
              <w:t>建议补充闸门前后补设液位监测、传输、显示设备。</w:t>
            </w:r>
          </w:p>
          <w:p w14:paraId="65D6ED53">
            <w:pPr>
              <w:numPr>
                <w:ilvl w:val="0"/>
                <w:numId w:val="1"/>
              </w:numPr>
              <w:tabs>
                <w:tab w:val="left" w:pos="851"/>
              </w:tabs>
              <w:adjustRightInd w:val="0"/>
              <w:snapToGrid w:val="0"/>
              <w:spacing w:line="360" w:lineRule="auto"/>
              <w:ind w:firstLine="480" w:firstLineChars="200"/>
              <w:rPr>
                <w:rFonts w:hint="default" w:ascii="宋体" w:hAnsi="宋体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图号：DAH-AZG-ZDM</w:t>
            </w:r>
          </w:p>
          <w:p w14:paraId="35C9EDC5">
            <w:pPr>
              <w:numPr>
                <w:ilvl w:val="0"/>
                <w:numId w:val="3"/>
              </w:numPr>
              <w:tabs>
                <w:tab w:val="left" w:pos="851"/>
              </w:tabs>
              <w:adjustRightInd w:val="0"/>
              <w:snapToGrid w:val="0"/>
              <w:spacing w:line="360" w:lineRule="auto"/>
              <w:ind w:firstLine="480" w:firstLineChars="200"/>
              <w:rPr>
                <w:rFonts w:hint="eastAsia" w:ascii="宋体" w:hAnsi="宋体" w:eastAsia="宋体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szCs w:val="24"/>
                <w:lang w:val="en-US" w:eastAsia="zh-CN"/>
              </w:rPr>
              <w:t>补充</w:t>
            </w:r>
            <w:r>
              <w:rPr>
                <w:rFonts w:hint="eastAsia" w:ascii="宋体" w:hAnsi="宋体" w:cs="Times New Roman"/>
                <w:color w:val="auto"/>
                <w:sz w:val="24"/>
                <w:szCs w:val="24"/>
                <w:lang w:val="en-US" w:eastAsia="zh-CN"/>
              </w:rPr>
              <w:t>完善水泵流量选择计算书、水闸金属结构设计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szCs w:val="24"/>
                <w:lang w:val="en-US" w:eastAsia="zh-CN"/>
              </w:rPr>
              <w:t>计算书。</w:t>
            </w:r>
          </w:p>
          <w:p w14:paraId="326A8B86">
            <w:pPr>
              <w:numPr>
                <w:ilvl w:val="0"/>
                <w:numId w:val="3"/>
              </w:numPr>
              <w:tabs>
                <w:tab w:val="left" w:pos="851"/>
              </w:tabs>
              <w:adjustRightInd w:val="0"/>
              <w:snapToGrid w:val="0"/>
              <w:spacing w:line="360" w:lineRule="auto"/>
              <w:ind w:firstLine="480" w:firstLineChars="200"/>
              <w:rPr>
                <w:rFonts w:hint="eastAsia" w:ascii="宋体" w:hAnsi="宋体" w:eastAsia="宋体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4"/>
                <w:szCs w:val="24"/>
                <w:lang w:val="en-US" w:eastAsia="zh-CN"/>
              </w:rPr>
              <w:t>补充闸门特性表、水泵特性表、启闭机特性表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szCs w:val="24"/>
                <w:lang w:val="en-US" w:eastAsia="zh-CN"/>
              </w:rPr>
              <w:t>。</w:t>
            </w:r>
          </w:p>
          <w:p w14:paraId="36D18524">
            <w:pPr>
              <w:numPr>
                <w:ilvl w:val="0"/>
                <w:numId w:val="3"/>
              </w:numPr>
              <w:tabs>
                <w:tab w:val="left" w:pos="851"/>
              </w:tabs>
              <w:adjustRightInd w:val="0"/>
              <w:snapToGrid w:val="0"/>
              <w:spacing w:line="360" w:lineRule="auto"/>
              <w:ind w:firstLine="480" w:firstLineChars="200"/>
              <w:rPr>
                <w:rFonts w:hint="default" w:ascii="宋体" w:hAnsi="宋体" w:eastAsia="宋体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4"/>
                <w:szCs w:val="24"/>
                <w:lang w:val="en-US" w:eastAsia="zh-CN"/>
              </w:rPr>
              <w:t>复核检修平台净空，需满足将闸门提出门槽的空间要求。</w:t>
            </w:r>
          </w:p>
          <w:p w14:paraId="1BF489E0">
            <w:pPr>
              <w:numPr>
                <w:ilvl w:val="0"/>
                <w:numId w:val="3"/>
              </w:numPr>
              <w:tabs>
                <w:tab w:val="left" w:pos="851"/>
              </w:tabs>
              <w:adjustRightInd w:val="0"/>
              <w:snapToGrid w:val="0"/>
              <w:spacing w:line="360" w:lineRule="auto"/>
              <w:ind w:firstLine="480" w:firstLineChars="200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szCs w:val="24"/>
                <w:lang w:val="en-US" w:eastAsia="zh-CN"/>
              </w:rPr>
              <w:t>建议补充闸门前后补设液位监测、传输、显示设备。</w:t>
            </w:r>
          </w:p>
          <w:p w14:paraId="79D5FD31">
            <w:pPr>
              <w:numPr>
                <w:ilvl w:val="0"/>
                <w:numId w:val="1"/>
              </w:numPr>
              <w:tabs>
                <w:tab w:val="left" w:pos="851"/>
              </w:tabs>
              <w:adjustRightInd w:val="0"/>
              <w:snapToGrid w:val="0"/>
              <w:spacing w:line="360" w:lineRule="auto"/>
              <w:ind w:firstLine="480" w:firstLineChars="200"/>
              <w:rPr>
                <w:rFonts w:hint="eastAsia" w:ascii="宋体" w:hAnsi="宋体"/>
                <w:color w:val="0000FF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FF"/>
                <w:sz w:val="24"/>
                <w:lang w:val="en-US" w:eastAsia="zh-CN"/>
              </w:rPr>
              <w:t>补充挡潮闸金属结构总图。</w:t>
            </w:r>
          </w:p>
          <w:p w14:paraId="7521330E">
            <w:pPr>
              <w:numPr>
                <w:ilvl w:val="0"/>
                <w:numId w:val="0"/>
              </w:numPr>
              <w:tabs>
                <w:tab w:val="left" w:pos="851"/>
              </w:tabs>
              <w:adjustRightInd w:val="0"/>
              <w:snapToGrid w:val="0"/>
              <w:spacing w:line="360" w:lineRule="auto"/>
              <w:ind w:firstLine="960" w:firstLineChars="400"/>
              <w:rPr>
                <w:rFonts w:hint="eastAsia" w:ascii="宋体" w:hAnsi="宋体"/>
                <w:color w:val="0000FF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trike w:val="0"/>
                <w:dstrike w:val="0"/>
                <w:color w:val="0000FF"/>
                <w:sz w:val="24"/>
                <w:szCs w:val="24"/>
                <w:lang w:val="en-US" w:eastAsia="zh-CN"/>
              </w:rPr>
              <w:t>回复：已补充，详见：大澳河挡潮闸工作门门体总图DAH-SGT-DCZJJ-GZM-01。</w:t>
            </w:r>
          </w:p>
          <w:p w14:paraId="113A56C1">
            <w:pPr>
              <w:numPr>
                <w:ilvl w:val="0"/>
                <w:numId w:val="1"/>
              </w:numPr>
              <w:tabs>
                <w:tab w:val="left" w:pos="851"/>
              </w:tabs>
              <w:adjustRightInd w:val="0"/>
              <w:snapToGrid w:val="0"/>
              <w:spacing w:line="360" w:lineRule="auto"/>
              <w:ind w:firstLine="480" w:firstLineChars="200"/>
              <w:rPr>
                <w:rFonts w:ascii="宋体" w:hAnsi="宋体"/>
                <w:color w:val="0000FF"/>
                <w:sz w:val="24"/>
                <w:szCs w:val="24"/>
              </w:rPr>
            </w:pPr>
            <w:r>
              <w:rPr>
                <w:rFonts w:hint="eastAsia" w:ascii="宋体" w:hAnsi="宋体"/>
                <w:color w:val="0000FF"/>
                <w:sz w:val="24"/>
                <w:lang w:val="en-US" w:eastAsia="zh-CN"/>
              </w:rPr>
              <w:t>图号：DAH-SGT-DCZJJ-01</w:t>
            </w:r>
            <w:r>
              <w:rPr>
                <w:rFonts w:hint="eastAsia" w:ascii="宋体" w:hAnsi="宋体"/>
                <w:color w:val="0000FF"/>
                <w:sz w:val="24"/>
                <w:szCs w:val="24"/>
              </w:rPr>
              <w:t>～</w:t>
            </w:r>
            <w:r>
              <w:rPr>
                <w:rFonts w:hint="eastAsia" w:ascii="宋体" w:hAnsi="宋体"/>
                <w:color w:val="0000FF"/>
                <w:sz w:val="24"/>
                <w:szCs w:val="24"/>
                <w:lang w:val="en-US" w:eastAsia="zh-CN"/>
              </w:rPr>
              <w:t>03</w:t>
            </w:r>
          </w:p>
          <w:p w14:paraId="0315959A">
            <w:pPr>
              <w:numPr>
                <w:ilvl w:val="0"/>
                <w:numId w:val="4"/>
              </w:numPr>
              <w:tabs>
                <w:tab w:val="left" w:pos="851"/>
              </w:tabs>
              <w:adjustRightInd w:val="0"/>
              <w:snapToGrid w:val="0"/>
              <w:spacing w:line="360" w:lineRule="auto"/>
              <w:ind w:firstLine="480" w:firstLineChars="200"/>
              <w:rPr>
                <w:rFonts w:hint="eastAsia" w:ascii="宋体" w:hAnsi="宋体" w:eastAsia="宋体" w:cs="Times New Roman"/>
                <w:strike w:val="0"/>
                <w:dstrike w:val="0"/>
                <w:color w:val="0000FF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trike w:val="0"/>
                <w:dstrike w:val="0"/>
                <w:color w:val="0000FF"/>
                <w:sz w:val="24"/>
                <w:szCs w:val="24"/>
                <w:lang w:val="en-US" w:eastAsia="zh-CN"/>
              </w:rPr>
              <w:t>图纸目录中有相关图号，图纸中缺少相关图纸，需补充完善图纸</w:t>
            </w:r>
            <w:r>
              <w:rPr>
                <w:rFonts w:hint="eastAsia" w:ascii="宋体" w:hAnsi="宋体" w:eastAsia="宋体" w:cs="Times New Roman"/>
                <w:strike w:val="0"/>
                <w:dstrike w:val="0"/>
                <w:color w:val="0000FF"/>
                <w:sz w:val="24"/>
                <w:szCs w:val="24"/>
                <w:lang w:val="en-US" w:eastAsia="zh-CN"/>
              </w:rPr>
              <w:t>。</w:t>
            </w:r>
          </w:p>
          <w:p w14:paraId="24644D92">
            <w:pPr>
              <w:numPr>
                <w:ilvl w:val="0"/>
                <w:numId w:val="0"/>
              </w:numPr>
              <w:tabs>
                <w:tab w:val="left" w:pos="851"/>
              </w:tabs>
              <w:adjustRightInd w:val="0"/>
              <w:snapToGrid w:val="0"/>
              <w:spacing w:line="360" w:lineRule="auto"/>
              <w:ind w:firstLine="960" w:firstLineChars="400"/>
              <w:rPr>
                <w:rFonts w:hint="default" w:ascii="宋体" w:hAnsi="宋体" w:eastAsia="宋体" w:cs="Times New Roman"/>
                <w:strike w:val="0"/>
                <w:dstrike w:val="0"/>
                <w:color w:val="0000FF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trike w:val="0"/>
                <w:dstrike w:val="0"/>
                <w:color w:val="0000FF"/>
                <w:sz w:val="24"/>
                <w:szCs w:val="24"/>
                <w:lang w:val="en-US" w:eastAsia="zh-CN"/>
              </w:rPr>
              <w:t>回复：已补充。</w:t>
            </w:r>
          </w:p>
          <w:p w14:paraId="0252B626">
            <w:pPr>
              <w:numPr>
                <w:ilvl w:val="0"/>
                <w:numId w:val="4"/>
              </w:numPr>
              <w:tabs>
                <w:tab w:val="left" w:pos="851"/>
              </w:tabs>
              <w:adjustRightInd w:val="0"/>
              <w:snapToGrid w:val="0"/>
              <w:spacing w:line="360" w:lineRule="auto"/>
              <w:ind w:firstLine="480" w:firstLineChars="200"/>
              <w:rPr>
                <w:rFonts w:hint="eastAsia" w:ascii="宋体" w:hAnsi="宋体" w:cs="Times New Roman"/>
                <w:strike w:val="0"/>
                <w:dstrike w:val="0"/>
                <w:color w:val="0000FF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trike w:val="0"/>
                <w:dstrike w:val="0"/>
                <w:color w:val="0000FF"/>
                <w:sz w:val="24"/>
                <w:szCs w:val="24"/>
                <w:lang w:val="en-US" w:eastAsia="zh-CN"/>
              </w:rPr>
              <w:t>完善启闭机特性表。</w:t>
            </w:r>
          </w:p>
          <w:p w14:paraId="237CD1FC">
            <w:pPr>
              <w:numPr>
                <w:ilvl w:val="0"/>
                <w:numId w:val="0"/>
              </w:numPr>
              <w:tabs>
                <w:tab w:val="left" w:pos="851"/>
              </w:tabs>
              <w:adjustRightInd w:val="0"/>
              <w:snapToGrid w:val="0"/>
              <w:spacing w:line="360" w:lineRule="auto"/>
              <w:ind w:firstLine="960" w:firstLineChars="400"/>
              <w:rPr>
                <w:rFonts w:hint="eastAsia" w:ascii="宋体" w:hAnsi="宋体" w:cs="Times New Roman"/>
                <w:strike/>
                <w:dstrike w:val="0"/>
                <w:color w:val="0000FF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trike w:val="0"/>
                <w:dstrike w:val="0"/>
                <w:color w:val="0000FF"/>
                <w:sz w:val="24"/>
                <w:szCs w:val="24"/>
                <w:lang w:val="en-US" w:eastAsia="zh-CN"/>
              </w:rPr>
              <w:t>回复：已补充完善。</w:t>
            </w:r>
          </w:p>
          <w:p w14:paraId="6C2A0041">
            <w:pPr>
              <w:numPr>
                <w:ilvl w:val="0"/>
                <w:numId w:val="4"/>
              </w:numPr>
              <w:tabs>
                <w:tab w:val="left" w:pos="851"/>
              </w:tabs>
              <w:adjustRightInd w:val="0"/>
              <w:snapToGrid w:val="0"/>
              <w:spacing w:line="360" w:lineRule="auto"/>
              <w:ind w:firstLine="480" w:firstLineChars="200"/>
              <w:rPr>
                <w:rFonts w:hint="eastAsia" w:ascii="宋体" w:hAnsi="宋体" w:cs="Times New Roman"/>
                <w:color w:val="0000FF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0000FF"/>
                <w:sz w:val="24"/>
                <w:szCs w:val="24"/>
                <w:lang w:val="en-US" w:eastAsia="zh-CN"/>
              </w:rPr>
              <w:t>补充提供挡潮闸金属结构设计计算书。</w:t>
            </w:r>
          </w:p>
          <w:p w14:paraId="7B717544">
            <w:pPr>
              <w:numPr>
                <w:ilvl w:val="0"/>
                <w:numId w:val="0"/>
              </w:numPr>
              <w:tabs>
                <w:tab w:val="left" w:pos="851"/>
              </w:tabs>
              <w:adjustRightInd w:val="0"/>
              <w:snapToGrid w:val="0"/>
              <w:spacing w:line="360" w:lineRule="auto"/>
              <w:ind w:firstLine="960" w:firstLineChars="400"/>
              <w:rPr>
                <w:rFonts w:hint="eastAsia" w:ascii="宋体" w:hAnsi="宋体" w:cs="Times New Roman"/>
                <w:color w:val="0000FF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trike w:val="0"/>
                <w:dstrike w:val="0"/>
                <w:color w:val="0000FF"/>
                <w:sz w:val="24"/>
                <w:szCs w:val="24"/>
                <w:lang w:val="en-US" w:eastAsia="zh-CN"/>
              </w:rPr>
              <w:t>回复：已补充。</w:t>
            </w:r>
          </w:p>
          <w:p w14:paraId="0EB6E573">
            <w:pPr>
              <w:numPr>
                <w:ilvl w:val="0"/>
                <w:numId w:val="4"/>
              </w:numPr>
              <w:tabs>
                <w:tab w:val="left" w:pos="851"/>
              </w:tabs>
              <w:adjustRightInd w:val="0"/>
              <w:snapToGrid w:val="0"/>
              <w:spacing w:line="360" w:lineRule="auto"/>
              <w:ind w:firstLine="480" w:firstLineChars="200"/>
              <w:rPr>
                <w:rFonts w:hint="eastAsia" w:ascii="宋体" w:hAnsi="宋体" w:cs="Times New Roman"/>
                <w:color w:val="0000FF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0000FF"/>
                <w:sz w:val="24"/>
                <w:szCs w:val="24"/>
                <w:lang w:val="en-US" w:eastAsia="zh-CN"/>
              </w:rPr>
              <w:t>补充金属结构启闭机预埋件图纸。</w:t>
            </w:r>
          </w:p>
          <w:p w14:paraId="1275B357">
            <w:pPr>
              <w:numPr>
                <w:ilvl w:val="0"/>
                <w:numId w:val="0"/>
              </w:numPr>
              <w:tabs>
                <w:tab w:val="left" w:pos="851"/>
              </w:tabs>
              <w:adjustRightInd w:val="0"/>
              <w:snapToGrid w:val="0"/>
              <w:spacing w:line="360" w:lineRule="auto"/>
              <w:ind w:firstLine="960" w:firstLineChars="400"/>
              <w:rPr>
                <w:rFonts w:hint="eastAsia" w:ascii="宋体" w:hAnsi="宋体" w:cs="Times New Roman"/>
                <w:strike w:val="0"/>
                <w:dstrike w:val="0"/>
                <w:color w:val="0000FF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trike w:val="0"/>
                <w:dstrike w:val="0"/>
                <w:color w:val="0000FF"/>
                <w:sz w:val="24"/>
                <w:szCs w:val="24"/>
                <w:lang w:val="en-US" w:eastAsia="zh-CN"/>
              </w:rPr>
              <w:t>回复：已补充。</w:t>
            </w:r>
          </w:p>
          <w:p w14:paraId="1F536E1C">
            <w:pPr>
              <w:numPr>
                <w:ilvl w:val="0"/>
                <w:numId w:val="0"/>
              </w:numPr>
              <w:tabs>
                <w:tab w:val="left" w:pos="851"/>
              </w:tabs>
              <w:adjustRightInd w:val="0"/>
              <w:snapToGrid w:val="0"/>
              <w:spacing w:line="360" w:lineRule="auto"/>
              <w:ind w:firstLine="960" w:firstLineChars="400"/>
              <w:rPr>
                <w:rFonts w:hint="eastAsia" w:ascii="宋体" w:hAnsi="宋体" w:cs="Times New Roman"/>
                <w:strike w:val="0"/>
                <w:dstrike w:val="0"/>
                <w:color w:val="0000FF"/>
                <w:sz w:val="24"/>
                <w:szCs w:val="24"/>
                <w:lang w:val="en-US" w:eastAsia="zh-CN"/>
              </w:rPr>
            </w:pPr>
          </w:p>
          <w:p w14:paraId="34C44B07">
            <w:pPr>
              <w:numPr>
                <w:ilvl w:val="0"/>
                <w:numId w:val="0"/>
              </w:numPr>
              <w:tabs>
                <w:tab w:val="left" w:pos="851"/>
              </w:tabs>
              <w:adjustRightInd w:val="0"/>
              <w:snapToGrid w:val="0"/>
              <w:spacing w:line="360" w:lineRule="auto"/>
              <w:ind w:firstLine="960" w:firstLineChars="400"/>
              <w:rPr>
                <w:rFonts w:hint="eastAsia" w:ascii="宋体" w:hAnsi="宋体" w:cs="Times New Roman"/>
                <w:strike w:val="0"/>
                <w:dstrike w:val="0"/>
                <w:color w:val="0000FF"/>
                <w:sz w:val="24"/>
                <w:szCs w:val="24"/>
                <w:lang w:val="en-US" w:eastAsia="zh-CN"/>
              </w:rPr>
            </w:pPr>
          </w:p>
          <w:p w14:paraId="13537CEE">
            <w:pPr>
              <w:numPr>
                <w:ilvl w:val="0"/>
                <w:numId w:val="0"/>
              </w:numPr>
              <w:tabs>
                <w:tab w:val="left" w:pos="851"/>
              </w:tabs>
              <w:adjustRightInd w:val="0"/>
              <w:snapToGrid w:val="0"/>
              <w:spacing w:line="360" w:lineRule="auto"/>
              <w:ind w:firstLine="960" w:firstLineChars="400"/>
              <w:rPr>
                <w:rFonts w:hint="eastAsia" w:ascii="宋体" w:hAnsi="宋体" w:cs="Times New Roman"/>
                <w:strike w:val="0"/>
                <w:dstrike w:val="0"/>
                <w:color w:val="0000FF"/>
                <w:sz w:val="24"/>
                <w:szCs w:val="24"/>
                <w:lang w:val="en-US" w:eastAsia="zh-CN"/>
              </w:rPr>
            </w:pPr>
          </w:p>
          <w:p w14:paraId="5762F3C6">
            <w:pPr>
              <w:numPr>
                <w:ilvl w:val="0"/>
                <w:numId w:val="3"/>
              </w:numPr>
              <w:tabs>
                <w:tab w:val="left" w:pos="851"/>
              </w:tabs>
              <w:adjustRightInd w:val="0"/>
              <w:snapToGrid w:val="0"/>
              <w:spacing w:line="360" w:lineRule="auto"/>
              <w:ind w:firstLine="480" w:firstLineChars="200"/>
              <w:rPr>
                <w:rFonts w:hint="eastAsia" w:ascii="宋体" w:hAnsi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建议补充闸门前后补设液位监测、传输、显示设备。</w:t>
            </w:r>
          </w:p>
          <w:p w14:paraId="57354494">
            <w:pPr>
              <w:numPr>
                <w:ilvl w:val="0"/>
                <w:numId w:val="0"/>
              </w:numPr>
              <w:tabs>
                <w:tab w:val="left" w:pos="851"/>
              </w:tabs>
              <w:adjustRightInd w:val="0"/>
              <w:snapToGrid w:val="0"/>
              <w:spacing w:line="360" w:lineRule="auto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</w:p>
          <w:p w14:paraId="30CE5934">
            <w:pPr>
              <w:numPr>
                <w:ilvl w:val="0"/>
                <w:numId w:val="0"/>
              </w:numPr>
              <w:tabs>
                <w:tab w:val="left" w:pos="851"/>
              </w:tabs>
              <w:adjustRightInd w:val="0"/>
              <w:snapToGrid w:val="0"/>
              <w:spacing w:line="360" w:lineRule="auto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</w:p>
          <w:p w14:paraId="66273286">
            <w:pPr>
              <w:numPr>
                <w:ilvl w:val="0"/>
                <w:numId w:val="0"/>
              </w:numPr>
              <w:tabs>
                <w:tab w:val="left" w:pos="851"/>
              </w:tabs>
              <w:adjustRightInd w:val="0"/>
              <w:snapToGrid w:val="0"/>
              <w:spacing w:line="360" w:lineRule="auto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</w:p>
          <w:p w14:paraId="0F71831C">
            <w:pPr>
              <w:numPr>
                <w:ilvl w:val="0"/>
                <w:numId w:val="1"/>
              </w:numPr>
              <w:tabs>
                <w:tab w:val="left" w:pos="851"/>
              </w:tabs>
              <w:adjustRightInd w:val="0"/>
              <w:snapToGrid w:val="0"/>
              <w:spacing w:line="360" w:lineRule="auto"/>
              <w:ind w:firstLine="480" w:firstLineChars="200"/>
              <w:rPr>
                <w:rFonts w:ascii="宋体" w:hAnsi="宋体"/>
                <w:color w:val="0000FF"/>
                <w:sz w:val="24"/>
                <w:szCs w:val="24"/>
              </w:rPr>
            </w:pPr>
            <w:r>
              <w:rPr>
                <w:rFonts w:hint="eastAsia" w:ascii="宋体" w:hAnsi="宋体"/>
                <w:color w:val="0000FF"/>
                <w:sz w:val="24"/>
                <w:lang w:val="en-US" w:eastAsia="zh-CN"/>
              </w:rPr>
              <w:t>图号：DAH-SGT-DCZJJ-JXM-04</w:t>
            </w:r>
          </w:p>
          <w:p w14:paraId="410E8EC3">
            <w:pPr>
              <w:numPr>
                <w:ilvl w:val="0"/>
                <w:numId w:val="0"/>
              </w:numPr>
              <w:tabs>
                <w:tab w:val="left" w:pos="851"/>
              </w:tabs>
              <w:adjustRightInd w:val="0"/>
              <w:snapToGrid w:val="0"/>
              <w:spacing w:line="360" w:lineRule="auto"/>
              <w:ind w:firstLine="720" w:firstLineChars="300"/>
              <w:rPr>
                <w:rFonts w:hint="eastAsia" w:ascii="宋体" w:hAnsi="宋体" w:cs="Times New Roman"/>
                <w:strike w:val="0"/>
                <w:dstrike w:val="0"/>
                <w:color w:val="0000FF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trike w:val="0"/>
                <w:dstrike w:val="0"/>
                <w:color w:val="0000FF"/>
                <w:sz w:val="24"/>
                <w:szCs w:val="24"/>
                <w:lang w:val="en-US" w:eastAsia="zh-CN"/>
              </w:rPr>
              <w:t>补充完善主滑块尺寸标注。</w:t>
            </w:r>
          </w:p>
          <w:p w14:paraId="16111F36">
            <w:pPr>
              <w:numPr>
                <w:ilvl w:val="0"/>
                <w:numId w:val="0"/>
              </w:numPr>
              <w:tabs>
                <w:tab w:val="left" w:pos="851"/>
              </w:tabs>
              <w:adjustRightInd w:val="0"/>
              <w:snapToGrid w:val="0"/>
              <w:spacing w:line="360" w:lineRule="auto"/>
              <w:ind w:firstLine="960" w:firstLineChars="400"/>
              <w:rPr>
                <w:rFonts w:hint="eastAsia" w:ascii="宋体" w:hAnsi="宋体" w:cs="Times New Roman"/>
                <w:color w:val="0000FF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trike w:val="0"/>
                <w:dstrike w:val="0"/>
                <w:color w:val="0000FF"/>
                <w:sz w:val="24"/>
                <w:szCs w:val="24"/>
                <w:lang w:val="en-US" w:eastAsia="zh-CN"/>
              </w:rPr>
              <w:t>回复：已补充。</w:t>
            </w:r>
          </w:p>
          <w:p w14:paraId="7B64DB42">
            <w:pPr>
              <w:numPr>
                <w:ilvl w:val="0"/>
                <w:numId w:val="1"/>
              </w:numPr>
              <w:tabs>
                <w:tab w:val="left" w:pos="851"/>
              </w:tabs>
              <w:adjustRightInd w:val="0"/>
              <w:snapToGrid w:val="0"/>
              <w:spacing w:line="360" w:lineRule="auto"/>
              <w:ind w:firstLine="480" w:firstLineChars="200"/>
              <w:rPr>
                <w:rFonts w:ascii="宋体" w:hAnsi="宋体"/>
                <w:color w:val="0000FF"/>
                <w:sz w:val="24"/>
                <w:szCs w:val="24"/>
              </w:rPr>
            </w:pPr>
            <w:r>
              <w:rPr>
                <w:rFonts w:hint="eastAsia" w:ascii="宋体" w:hAnsi="宋体"/>
                <w:color w:val="0000FF"/>
                <w:sz w:val="24"/>
                <w:lang w:val="en-US" w:eastAsia="zh-CN"/>
              </w:rPr>
              <w:t>图号：DAH-SGT-DCZJJ-GZM-01</w:t>
            </w:r>
          </w:p>
          <w:p w14:paraId="5863C303">
            <w:pPr>
              <w:numPr>
                <w:ilvl w:val="0"/>
                <w:numId w:val="5"/>
              </w:numPr>
              <w:tabs>
                <w:tab w:val="left" w:pos="851"/>
              </w:tabs>
              <w:adjustRightInd w:val="0"/>
              <w:snapToGrid w:val="0"/>
              <w:spacing w:line="360" w:lineRule="auto"/>
              <w:ind w:firstLine="480" w:firstLineChars="200"/>
              <w:rPr>
                <w:rFonts w:hint="eastAsia" w:ascii="宋体" w:hAnsi="宋体" w:cs="Times New Roman"/>
                <w:color w:val="0000FF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0000FF"/>
                <w:sz w:val="24"/>
                <w:szCs w:val="24"/>
                <w:lang w:val="en-US" w:eastAsia="zh-CN"/>
              </w:rPr>
              <w:t>工作门相对尺寸大、重量重，补充运输、吊装措施。</w:t>
            </w:r>
          </w:p>
          <w:p w14:paraId="1AE5A14B">
            <w:pPr>
              <w:numPr>
                <w:ilvl w:val="0"/>
                <w:numId w:val="0"/>
              </w:numPr>
              <w:tabs>
                <w:tab w:val="left" w:pos="851"/>
              </w:tabs>
              <w:adjustRightInd w:val="0"/>
              <w:snapToGrid w:val="0"/>
              <w:spacing w:line="360" w:lineRule="auto"/>
              <w:ind w:firstLine="960" w:firstLineChars="400"/>
              <w:rPr>
                <w:rFonts w:hint="eastAsia" w:ascii="宋体" w:hAnsi="宋体" w:cs="Times New Roman"/>
                <w:color w:val="0000FF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trike w:val="0"/>
                <w:dstrike w:val="0"/>
                <w:color w:val="0000FF"/>
                <w:sz w:val="24"/>
                <w:szCs w:val="24"/>
                <w:lang w:val="en-US" w:eastAsia="zh-CN"/>
              </w:rPr>
              <w:t>回复：已补充。</w:t>
            </w:r>
          </w:p>
          <w:p w14:paraId="7327F2BA">
            <w:pPr>
              <w:numPr>
                <w:ilvl w:val="0"/>
                <w:numId w:val="5"/>
              </w:numPr>
              <w:tabs>
                <w:tab w:val="left" w:pos="851"/>
              </w:tabs>
              <w:adjustRightInd w:val="0"/>
              <w:snapToGrid w:val="0"/>
              <w:spacing w:line="360" w:lineRule="auto"/>
              <w:ind w:firstLine="480" w:firstLineChars="200"/>
              <w:rPr>
                <w:rFonts w:hint="eastAsia" w:ascii="宋体" w:hAnsi="宋体" w:cs="Times New Roman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FF0000"/>
                <w:sz w:val="24"/>
                <w:szCs w:val="24"/>
                <w:lang w:val="en-US" w:eastAsia="zh-CN"/>
              </w:rPr>
              <w:t>闸门具有防洪防潮功能，补充应急启闭措施。</w:t>
            </w:r>
          </w:p>
          <w:p w14:paraId="271CBBC8">
            <w:pPr>
              <w:numPr>
                <w:ilvl w:val="0"/>
                <w:numId w:val="0"/>
              </w:numPr>
              <w:tabs>
                <w:tab w:val="left" w:pos="851"/>
              </w:tabs>
              <w:adjustRightInd w:val="0"/>
              <w:snapToGrid w:val="0"/>
              <w:spacing w:line="360" w:lineRule="auto"/>
              <w:ind w:left="1678" w:leftChars="532" w:hanging="720" w:hangingChars="300"/>
              <w:rPr>
                <w:rFonts w:hint="eastAsia" w:ascii="宋体" w:hAnsi="宋体" w:cs="Times New Roman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trike w:val="0"/>
                <w:dstrike w:val="0"/>
                <w:color w:val="FF0000"/>
                <w:sz w:val="24"/>
                <w:szCs w:val="24"/>
                <w:lang w:val="en-US" w:eastAsia="zh-CN"/>
              </w:rPr>
              <w:t>回复：初步设计文件清单没有该项内容，也不含此项概算；经核对本工程运行情况和参考类似沿海挡潮闸工程，不增加该项内容。</w:t>
            </w:r>
          </w:p>
          <w:p w14:paraId="65EAACDD">
            <w:pPr>
              <w:numPr>
                <w:ilvl w:val="0"/>
                <w:numId w:val="1"/>
              </w:numPr>
              <w:tabs>
                <w:tab w:val="left" w:pos="851"/>
              </w:tabs>
              <w:adjustRightInd w:val="0"/>
              <w:snapToGrid w:val="0"/>
              <w:spacing w:line="360" w:lineRule="auto"/>
              <w:ind w:firstLine="480" w:firstLineChars="200"/>
              <w:rPr>
                <w:rFonts w:ascii="宋体" w:hAnsi="宋体"/>
                <w:color w:val="0000FF"/>
                <w:sz w:val="24"/>
                <w:szCs w:val="24"/>
              </w:rPr>
            </w:pPr>
            <w:r>
              <w:rPr>
                <w:rFonts w:hint="eastAsia" w:ascii="宋体" w:hAnsi="宋体"/>
                <w:color w:val="0000FF"/>
                <w:sz w:val="24"/>
                <w:lang w:val="en-US" w:eastAsia="zh-CN"/>
              </w:rPr>
              <w:t>图号：DAH-SGT-DCZJJ-GZM-05</w:t>
            </w:r>
          </w:p>
          <w:p w14:paraId="2912BC5F">
            <w:pPr>
              <w:numPr>
                <w:ilvl w:val="0"/>
                <w:numId w:val="0"/>
              </w:numPr>
              <w:tabs>
                <w:tab w:val="left" w:pos="851"/>
              </w:tabs>
              <w:adjustRightInd w:val="0"/>
              <w:snapToGrid w:val="0"/>
              <w:spacing w:line="360" w:lineRule="auto"/>
              <w:ind w:firstLine="720" w:firstLineChars="300"/>
              <w:rPr>
                <w:rFonts w:hint="eastAsia" w:ascii="宋体" w:hAnsi="宋体" w:cs="Times New Roman"/>
                <w:color w:val="0000FF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0000FF"/>
                <w:sz w:val="24"/>
                <w:szCs w:val="24"/>
                <w:lang w:val="en-US" w:eastAsia="zh-CN"/>
              </w:rPr>
              <w:t>建议加深工作闸门一次混凝土预留槽深，便于主轨、副轨焊接施工，并进行二次混凝土施工。</w:t>
            </w:r>
          </w:p>
          <w:p w14:paraId="4681A85B">
            <w:pPr>
              <w:numPr>
                <w:ilvl w:val="0"/>
                <w:numId w:val="0"/>
              </w:numPr>
              <w:tabs>
                <w:tab w:val="left" w:pos="851"/>
              </w:tabs>
              <w:adjustRightInd w:val="0"/>
              <w:snapToGrid w:val="0"/>
              <w:spacing w:line="360" w:lineRule="auto"/>
              <w:ind w:firstLine="960" w:firstLineChars="400"/>
              <w:rPr>
                <w:rFonts w:hint="default" w:ascii="宋体" w:hAnsi="宋体" w:cs="Times New Roman"/>
                <w:color w:val="0000FF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trike w:val="0"/>
                <w:dstrike w:val="0"/>
                <w:color w:val="0000FF"/>
                <w:sz w:val="24"/>
                <w:szCs w:val="24"/>
                <w:lang w:val="en-US" w:eastAsia="zh-CN"/>
              </w:rPr>
              <w:t>回复：已修改加深。</w:t>
            </w:r>
          </w:p>
          <w:p w14:paraId="3D897EF3">
            <w:pPr>
              <w:numPr>
                <w:ilvl w:val="0"/>
                <w:numId w:val="1"/>
              </w:numPr>
              <w:tabs>
                <w:tab w:val="left" w:pos="851"/>
              </w:tabs>
              <w:adjustRightInd w:val="0"/>
              <w:snapToGrid w:val="0"/>
              <w:spacing w:line="360" w:lineRule="auto"/>
              <w:ind w:firstLine="480" w:firstLineChars="200"/>
              <w:rPr>
                <w:rFonts w:ascii="宋体" w:hAnsi="宋体"/>
                <w:color w:val="0000FF"/>
                <w:sz w:val="24"/>
                <w:szCs w:val="24"/>
              </w:rPr>
            </w:pPr>
            <w:r>
              <w:rPr>
                <w:rFonts w:hint="eastAsia" w:ascii="宋体" w:hAnsi="宋体"/>
                <w:color w:val="0000FF"/>
                <w:sz w:val="24"/>
                <w:szCs w:val="24"/>
                <w:lang w:val="en-US" w:eastAsia="zh-CN"/>
              </w:rPr>
              <w:t>补充闸门检修、存放锁定装置。</w:t>
            </w:r>
          </w:p>
          <w:p w14:paraId="40FD7A18">
            <w:pPr>
              <w:tabs>
                <w:tab w:val="left" w:pos="3000"/>
                <w:tab w:val="left" w:pos="3255"/>
              </w:tabs>
              <w:spacing w:line="360" w:lineRule="auto"/>
              <w:ind w:firstLine="960" w:firstLineChars="400"/>
              <w:rPr>
                <w:rFonts w:ascii="宋体" w:hAnsi="宋体"/>
                <w:color w:val="0000FF"/>
                <w:sz w:val="24"/>
              </w:rPr>
            </w:pPr>
            <w:r>
              <w:rPr>
                <w:rFonts w:hint="eastAsia" w:ascii="宋体" w:hAnsi="宋体" w:cs="Times New Roman"/>
                <w:strike w:val="0"/>
                <w:dstrike w:val="0"/>
                <w:color w:val="0000FF"/>
                <w:sz w:val="24"/>
                <w:szCs w:val="24"/>
                <w:lang w:val="en-US" w:eastAsia="zh-CN"/>
              </w:rPr>
              <w:t>回复：已修改补充，采用工字钢锁定梁，并柔性固定在现场。</w:t>
            </w:r>
          </w:p>
          <w:p w14:paraId="1311C2C5">
            <w:pPr>
              <w:tabs>
                <w:tab w:val="left" w:pos="3000"/>
                <w:tab w:val="left" w:pos="3255"/>
              </w:tabs>
              <w:spacing w:line="360" w:lineRule="auto"/>
              <w:rPr>
                <w:rFonts w:ascii="宋体" w:hAnsi="宋体"/>
                <w:sz w:val="24"/>
              </w:rPr>
            </w:pPr>
            <w:bookmarkStart w:id="0" w:name="_GoBack"/>
            <w:bookmarkEnd w:id="0"/>
          </w:p>
        </w:tc>
      </w:tr>
      <w:tr w14:paraId="184E03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3" w:hRule="atLeast"/>
          <w:jc w:val="center"/>
        </w:trPr>
        <w:tc>
          <w:tcPr>
            <w:tcW w:w="9460" w:type="dxa"/>
            <w:gridSpan w:val="2"/>
            <w:tcBorders>
              <w:top w:val="single" w:color="auto" w:sz="4" w:space="0"/>
            </w:tcBorders>
            <w:vAlign w:val="center"/>
          </w:tcPr>
          <w:p w14:paraId="695F04B7">
            <w:pPr>
              <w:tabs>
                <w:tab w:val="left" w:pos="3000"/>
                <w:tab w:val="left" w:pos="3255"/>
              </w:tabs>
              <w:spacing w:line="48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审    查：             参与人员：        审查单位：深圳市深水水务咨询有限公司      </w:t>
            </w:r>
          </w:p>
          <w:p w14:paraId="5AB40E07">
            <w:pPr>
              <w:tabs>
                <w:tab w:val="left" w:pos="3000"/>
                <w:tab w:val="left" w:pos="3255"/>
              </w:tabs>
              <w:spacing w:line="480" w:lineRule="auto"/>
              <w:jc w:val="left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sz w:val="24"/>
                <w:szCs w:val="24"/>
              </w:rPr>
              <w:t xml:space="preserve">项目负责：             审    核：    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>
              <w:rPr>
                <w:sz w:val="24"/>
                <w:szCs w:val="24"/>
              </w:rPr>
              <w:t>日    期：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2025.10.23</w:t>
            </w:r>
          </w:p>
        </w:tc>
      </w:tr>
    </w:tbl>
    <w:p w14:paraId="056411CE">
      <w:pPr>
        <w:ind w:right="25" w:rightChars="14" w:firstLine="283" w:firstLineChars="135"/>
        <w:rPr>
          <w:rFonts w:ascii="宋体" w:hAnsi="宋体"/>
          <w:sz w:val="21"/>
        </w:rPr>
      </w:pPr>
      <w:r>
        <w:rPr>
          <w:rFonts w:hint="eastAsia" w:ascii="宋体" w:hAnsi="宋体"/>
          <w:sz w:val="21"/>
        </w:rPr>
        <w:t>注：根据法规规定，施工图审查是对施工图设计文件中涉及公共利益、公众安全、工程建设强制性标准的内容进行审查。</w:t>
      </w:r>
    </w:p>
    <w:sectPr>
      <w:headerReference r:id="rId3" w:type="first"/>
      <w:pgSz w:w="11906" w:h="16838"/>
      <w:pgMar w:top="1247" w:right="1247" w:bottom="1247" w:left="1247" w:header="851" w:footer="992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2FE867">
    <w:pPr>
      <w:pStyle w:val="11"/>
      <w:pBdr>
        <w:bottom w:val="none" w:color="auto" w:sz="0" w:space="0"/>
      </w:pBdr>
      <w:tabs>
        <w:tab w:val="clear" w:pos="4153"/>
        <w:tab w:val="clear" w:pos="8306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D9FF2A8"/>
    <w:multiLevelType w:val="singleLevel"/>
    <w:tmpl w:val="9D9FF2A8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D9695A09"/>
    <w:multiLevelType w:val="singleLevel"/>
    <w:tmpl w:val="D9695A09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FB7F6040"/>
    <w:multiLevelType w:val="singleLevel"/>
    <w:tmpl w:val="FB7F6040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FD439F38"/>
    <w:multiLevelType w:val="singleLevel"/>
    <w:tmpl w:val="FD439F38"/>
    <w:lvl w:ilvl="0" w:tentative="0">
      <w:start w:val="1"/>
      <w:numFmt w:val="decimal"/>
      <w:suff w:val="nothing"/>
      <w:lvlText w:val="（%1）"/>
      <w:lvlJc w:val="left"/>
    </w:lvl>
  </w:abstractNum>
  <w:abstractNum w:abstractNumId="4">
    <w:nsid w:val="FD8A65FC"/>
    <w:multiLevelType w:val="singleLevel"/>
    <w:tmpl w:val="FD8A65FC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8"/>
  <w:bordersDoNotSurroundHeader w:val="1"/>
  <w:bordersDoNotSurroundFooter w:val="1"/>
  <w:documentProtection w:enforcement="0"/>
  <w:defaultTabStop w:val="420"/>
  <w:characterSpacingControl w:val="compressPunctuation"/>
  <w:compat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90A"/>
    <w:rsid w:val="00A6390A"/>
    <w:rsid w:val="00A96188"/>
    <w:rsid w:val="00CA45D5"/>
    <w:rsid w:val="00CB7BE0"/>
    <w:rsid w:val="00D81DD7"/>
    <w:rsid w:val="01A7686B"/>
    <w:rsid w:val="034B4BE6"/>
    <w:rsid w:val="06336531"/>
    <w:rsid w:val="07EA49A8"/>
    <w:rsid w:val="09167A44"/>
    <w:rsid w:val="0ABD286D"/>
    <w:rsid w:val="0B7A69B0"/>
    <w:rsid w:val="0F1E1A0B"/>
    <w:rsid w:val="11991213"/>
    <w:rsid w:val="12353BCB"/>
    <w:rsid w:val="132C0590"/>
    <w:rsid w:val="14AF1479"/>
    <w:rsid w:val="17253C74"/>
    <w:rsid w:val="195E692B"/>
    <w:rsid w:val="19803042"/>
    <w:rsid w:val="1AFC3DDD"/>
    <w:rsid w:val="1BD731D5"/>
    <w:rsid w:val="1D077978"/>
    <w:rsid w:val="1D0E70D7"/>
    <w:rsid w:val="1DAD49C3"/>
    <w:rsid w:val="1DAE517C"/>
    <w:rsid w:val="1DBE22EC"/>
    <w:rsid w:val="1E446935"/>
    <w:rsid w:val="1F09178D"/>
    <w:rsid w:val="203A3FD4"/>
    <w:rsid w:val="204A08E1"/>
    <w:rsid w:val="20A26336"/>
    <w:rsid w:val="24F15196"/>
    <w:rsid w:val="265E4AAD"/>
    <w:rsid w:val="26E25D89"/>
    <w:rsid w:val="2A077209"/>
    <w:rsid w:val="2A84085A"/>
    <w:rsid w:val="2B53243B"/>
    <w:rsid w:val="2B5C73A2"/>
    <w:rsid w:val="2E15574D"/>
    <w:rsid w:val="2E220AB6"/>
    <w:rsid w:val="2EBD258D"/>
    <w:rsid w:val="2FAD2601"/>
    <w:rsid w:val="2FFC060E"/>
    <w:rsid w:val="30224D9D"/>
    <w:rsid w:val="31410AD4"/>
    <w:rsid w:val="34A55F9D"/>
    <w:rsid w:val="34F65B63"/>
    <w:rsid w:val="37777614"/>
    <w:rsid w:val="3A437DEA"/>
    <w:rsid w:val="3B3B4F65"/>
    <w:rsid w:val="3B4D55BB"/>
    <w:rsid w:val="3D8765EE"/>
    <w:rsid w:val="3E622809"/>
    <w:rsid w:val="3F050948"/>
    <w:rsid w:val="3F090699"/>
    <w:rsid w:val="3FF964A5"/>
    <w:rsid w:val="40D140C9"/>
    <w:rsid w:val="43802AB5"/>
    <w:rsid w:val="452D1DC2"/>
    <w:rsid w:val="469A3487"/>
    <w:rsid w:val="46BD2CD2"/>
    <w:rsid w:val="4707653F"/>
    <w:rsid w:val="472471F5"/>
    <w:rsid w:val="4A5D0A54"/>
    <w:rsid w:val="4ADA6590"/>
    <w:rsid w:val="4C143501"/>
    <w:rsid w:val="4C2061DD"/>
    <w:rsid w:val="4CC93E90"/>
    <w:rsid w:val="4CCD0865"/>
    <w:rsid w:val="4F2953A8"/>
    <w:rsid w:val="51615C8C"/>
    <w:rsid w:val="521C11F4"/>
    <w:rsid w:val="5727001C"/>
    <w:rsid w:val="59260BAB"/>
    <w:rsid w:val="5B9F3805"/>
    <w:rsid w:val="5F814D8D"/>
    <w:rsid w:val="61714AF2"/>
    <w:rsid w:val="639F54DA"/>
    <w:rsid w:val="64836EB1"/>
    <w:rsid w:val="653B778C"/>
    <w:rsid w:val="66154481"/>
    <w:rsid w:val="66933AE6"/>
    <w:rsid w:val="69256789"/>
    <w:rsid w:val="6E836753"/>
    <w:rsid w:val="710475CC"/>
    <w:rsid w:val="711C66C3"/>
    <w:rsid w:val="71502811"/>
    <w:rsid w:val="716B31A7"/>
    <w:rsid w:val="726A64F8"/>
    <w:rsid w:val="73BE1CB4"/>
    <w:rsid w:val="748A544B"/>
    <w:rsid w:val="74CF7AFE"/>
    <w:rsid w:val="7577103C"/>
    <w:rsid w:val="76F46A9D"/>
    <w:rsid w:val="77C67389"/>
    <w:rsid w:val="783C764B"/>
    <w:rsid w:val="7DC142F7"/>
    <w:rsid w:val="7DD00F61"/>
    <w:rsid w:val="7DE20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99" w:semiHidden="0" w:name="heading 1"/>
    <w:lsdException w:uiPriority="99" w:name="heading 2"/>
    <w:lsdException w:uiPriority="99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nhideWhenUsed="0" w:uiPriority="99" w:semiHidden="0" w:name="index 1"/>
    <w:lsdException w:unhideWhenUsed="0" w:uiPriority="99" w:semiHidden="0" w:name="index 2"/>
    <w:lsdException w:unhideWhenUsed="0" w:uiPriority="99" w:semiHidden="0" w:name="index 3"/>
    <w:lsdException w:unhideWhenUsed="0" w:uiPriority="99" w:semiHidden="0" w:name="index 4"/>
    <w:lsdException w:unhideWhenUsed="0" w:uiPriority="99" w:semiHidden="0" w:name="index 5"/>
    <w:lsdException w:unhideWhenUsed="0" w:uiPriority="99" w:semiHidden="0" w:name="index 6"/>
    <w:lsdException w:unhideWhenUsed="0" w:uiPriority="99" w:semiHidden="0" w:name="index 7"/>
    <w:lsdException w:unhideWhenUsed="0" w:uiPriority="99" w:semiHidden="0" w:name="index 8"/>
    <w:lsdException w:unhideWhenUsed="0" w:uiPriority="99" w:semiHidden="0" w:name="index 9"/>
    <w:lsdException w:unhideWhenUsed="0" w:uiPriority="99" w:semiHidden="0" w:name="toc 1"/>
    <w:lsdException w:unhideWhenUsed="0" w:uiPriority="99" w:semiHidden="0" w:name="toc 2"/>
    <w:lsdException w:unhideWhenUsed="0" w:uiPriority="99" w:semiHidden="0" w:name="toc 3"/>
    <w:lsdException w:unhideWhenUsed="0" w:uiPriority="99" w:semiHidden="0" w:name="toc 4"/>
    <w:lsdException w:unhideWhenUsed="0" w:uiPriority="99" w:semiHidden="0" w:name="toc 5"/>
    <w:lsdException w:unhideWhenUsed="0" w:uiPriority="99" w:semiHidden="0" w:name="toc 6"/>
    <w:lsdException w:unhideWhenUsed="0" w:uiPriority="99" w:semiHidden="0" w:name="toc 7"/>
    <w:lsdException w:unhideWhenUsed="0" w:uiPriority="99" w:semiHidden="0" w:name="toc 8"/>
    <w:lsdException w:unhideWhenUsed="0" w:uiPriority="99" w:semiHidden="0" w:name="toc 9"/>
    <w:lsdException w:unhideWhenUsed="0" w:uiPriority="99" w:semiHidden="0" w:name="Normal Indent"/>
    <w:lsdException w:unhideWhenUsed="0" w:uiPriority="99" w:semiHidden="0" w:name="footnote text"/>
    <w:lsdException w:unhideWhenUsed="0" w:uiPriority="99" w:semiHidden="0" w:name="annotation text"/>
    <w:lsdException w:unhideWhenUsed="0" w:uiPriority="99" w:semiHidden="0" w:name="header"/>
    <w:lsdException w:unhideWhenUsed="0" w:uiPriority="99" w:semiHidden="0" w:name="footer"/>
    <w:lsdException w:unhideWhenUsed="0" w:uiPriority="99" w:semiHidden="0" w:name="index heading"/>
    <w:lsdException w:uiPriority="99" w:name="caption"/>
    <w:lsdException w:unhideWhenUsed="0" w:uiPriority="99" w:semiHidden="0" w:name="table of figures"/>
    <w:lsdException w:unhideWhenUsed="0" w:uiPriority="99" w:semiHidden="0" w:name="envelope address"/>
    <w:lsdException w:unhideWhenUsed="0" w:uiPriority="99" w:semiHidden="0" w:name="envelope return"/>
    <w:lsdException w:unhideWhenUsed="0" w:uiPriority="99" w:semiHidden="0" w:name="footnote reference"/>
    <w:lsdException w:unhideWhenUsed="0" w:uiPriority="99" w:semiHidden="0" w:name="annotation reference"/>
    <w:lsdException w:unhideWhenUsed="0" w:uiPriority="99" w:semiHidden="0" w:name="line number"/>
    <w:lsdException w:unhideWhenUsed="0" w:uiPriority="99" w:semiHidden="0" w:name="page number"/>
    <w:lsdException w:unhideWhenUsed="0" w:uiPriority="99" w:semiHidden="0" w:name="endnote reference"/>
    <w:lsdException w:unhideWhenUsed="0" w:uiPriority="99" w:semiHidden="0" w:name="endnote text"/>
    <w:lsdException w:unhideWhenUsed="0" w:uiPriority="99" w:semiHidden="0" w:name="table of authorities"/>
    <w:lsdException w:unhideWhenUsed="0" w:uiPriority="99" w:semiHidden="0" w:name="macro"/>
    <w:lsdException w:unhideWhenUsed="0" w:uiPriority="99" w:semiHidden="0" w:name="toa heading"/>
    <w:lsdException w:unhideWhenUsed="0" w:uiPriority="99" w:semiHidden="0" w:name="List"/>
    <w:lsdException w:unhideWhenUsed="0" w:uiPriority="99" w:semiHidden="0" w:name="List Bullet"/>
    <w:lsdException w:unhideWhenUsed="0" w:uiPriority="99" w:semiHidden="0" w:name="List Number"/>
    <w:lsdException w:unhideWhenUsed="0" w:uiPriority="99" w:semiHidden="0" w:name="List 2"/>
    <w:lsdException w:unhideWhenUsed="0" w:uiPriority="99" w:semiHidden="0" w:name="List 3"/>
    <w:lsdException w:unhideWhenUsed="0" w:uiPriority="99" w:semiHidden="0" w:name="List 4"/>
    <w:lsdException w:unhideWhenUsed="0" w:uiPriority="99" w:semiHidden="0" w:name="List 5"/>
    <w:lsdException w:unhideWhenUsed="0" w:uiPriority="99" w:semiHidden="0" w:name="List Bullet 2"/>
    <w:lsdException w:unhideWhenUsed="0" w:uiPriority="99" w:semiHidden="0" w:name="List Bullet 3"/>
    <w:lsdException w:unhideWhenUsed="0" w:uiPriority="99" w:semiHidden="0" w:name="List Bullet 4"/>
    <w:lsdException w:unhideWhenUsed="0" w:uiPriority="99" w:semiHidden="0" w:name="List Bullet 5"/>
    <w:lsdException w:unhideWhenUsed="0" w:uiPriority="99" w:semiHidden="0" w:name="List Number 2"/>
    <w:lsdException w:unhideWhenUsed="0" w:uiPriority="99" w:semiHidden="0" w:name="List Number 3"/>
    <w:lsdException w:unhideWhenUsed="0" w:uiPriority="99" w:semiHidden="0" w:name="List Number 4"/>
    <w:lsdException w:unhideWhenUsed="0" w:uiPriority="99" w:semiHidden="0" w:name="List Number 5"/>
    <w:lsdException w:unhideWhenUsed="0" w:uiPriority="99" w:semiHidden="0" w:name="Title"/>
    <w:lsdException w:unhideWhenUsed="0" w:uiPriority="99" w:semiHidden="0" w:name="Closing"/>
    <w:lsdException w:unhideWhenUsed="0" w:uiPriority="99" w:semiHidden="0" w:name="Signature"/>
    <w:lsdException w:qFormat="1" w:uiPriority="1" w:name="Default Paragraph Font"/>
    <w:lsdException w:unhideWhenUsed="0" w:uiPriority="99" w:semiHidden="0" w:name="Body Text"/>
    <w:lsdException w:unhideWhenUsed="0" w:uiPriority="99" w:semiHidden="0" w:name="Body Text Indent"/>
    <w:lsdException w:unhideWhenUsed="0" w:uiPriority="99" w:semiHidden="0" w:name="List Continue"/>
    <w:lsdException w:unhideWhenUsed="0" w:uiPriority="99" w:semiHidden="0" w:name="List Continue 2"/>
    <w:lsdException w:unhideWhenUsed="0" w:uiPriority="99" w:semiHidden="0" w:name="List Continue 3"/>
    <w:lsdException w:unhideWhenUsed="0" w:uiPriority="99" w:semiHidden="0" w:name="List Continue 4"/>
    <w:lsdException w:unhideWhenUsed="0" w:uiPriority="99" w:semiHidden="0" w:name="List Continue 5"/>
    <w:lsdException w:unhideWhenUsed="0" w:uiPriority="99" w:semiHidden="0" w:name="Message Header"/>
    <w:lsdException w:unhideWhenUsed="0" w:uiPriority="99" w:semiHidden="0" w:name="Subtitle"/>
    <w:lsdException w:unhideWhenUsed="0" w:uiPriority="99" w:semiHidden="0" w:name="Salutation"/>
    <w:lsdException w:unhideWhenUsed="0" w:uiPriority="99" w:semiHidden="0" w:name="Date"/>
    <w:lsdException w:unhideWhenUsed="0" w:uiPriority="99" w:semiHidden="0" w:name="Body Text First Indent"/>
    <w:lsdException w:unhideWhenUsed="0" w:uiPriority="99" w:semiHidden="0" w:name="Body Text First Indent 2"/>
    <w:lsdException w:unhideWhenUsed="0" w:uiPriority="99" w:semiHidden="0" w:name="Note Heading"/>
    <w:lsdException w:unhideWhenUsed="0" w:uiPriority="99" w:semiHidden="0" w:name="Body Text 2"/>
    <w:lsdException w:unhideWhenUsed="0" w:uiPriority="99" w:semiHidden="0" w:name="Body Text 3"/>
    <w:lsdException w:unhideWhenUsed="0" w:uiPriority="99" w:semiHidden="0" w:name="Body Text Indent 2"/>
    <w:lsdException w:unhideWhenUsed="0" w:uiPriority="99" w:semiHidden="0" w:name="Body Text Indent 3"/>
    <w:lsdException w:unhideWhenUsed="0" w:uiPriority="99" w:semiHidden="0" w:name="Block Text"/>
    <w:lsdException w:unhideWhenUsed="0" w:uiPriority="99" w:semiHidden="0" w:name="Hyperlink"/>
    <w:lsdException w:unhideWhenUsed="0" w:uiPriority="99" w:semiHidden="0" w:name="FollowedHyperlink"/>
    <w:lsdException w:unhideWhenUsed="0" w:uiPriority="99" w:semiHidden="0" w:name="Strong"/>
    <w:lsdException w:unhideWhenUsed="0" w:uiPriority="99" w:semiHidden="0" w:name="Emphasis"/>
    <w:lsdException w:unhideWhenUsed="0" w:uiPriority="99" w:semiHidden="0" w:name="Document Map"/>
    <w:lsdException w:qFormat="1" w:unhideWhenUsed="0" w:uiPriority="0" w:semiHidden="0" w:name="Plain Text"/>
    <w:lsdException w:unhideWhenUsed="0" w:uiPriority="99" w:semiHidden="0" w:name="E-mail Signature"/>
    <w:lsdException w:unhideWhenUsed="0" w:uiPriority="99" w:semiHidden="0" w:name="Normal (Web)"/>
    <w:lsdException w:unhideWhenUsed="0" w:uiPriority="99" w:semiHidden="0" w:name="HTML Acronym"/>
    <w:lsdException w:unhideWhenUsed="0" w:uiPriority="99" w:semiHidden="0" w:name="HTML Address"/>
    <w:lsdException w:unhideWhenUsed="0" w:uiPriority="99" w:semiHidden="0" w:name="HTML Cite"/>
    <w:lsdException w:unhideWhenUsed="0" w:uiPriority="99" w:semiHidden="0" w:name="HTML Code"/>
    <w:lsdException w:unhideWhenUsed="0" w:uiPriority="99" w:semiHidden="0" w:name="HTML Definition"/>
    <w:lsdException w:unhideWhenUsed="0" w:uiPriority="99" w:semiHidden="0" w:name="HTML Keyboard"/>
    <w:lsdException w:unhideWhenUsed="0" w:uiPriority="99" w:semiHidden="0" w:name="HTML Preformatted"/>
    <w:lsdException w:unhideWhenUsed="0" w:uiPriority="99" w:semiHidden="0" w:name="HTML Sample"/>
    <w:lsdException w:unhideWhenUsed="0" w:uiPriority="99" w:semiHidden="0" w:name="HTML Typewriter"/>
    <w:lsdException w:unhideWhenUsed="0" w:uiPriority="99" w:semiHidden="0" w:name="HTML Variable"/>
    <w:lsdException w:qFormat="1" w:uiPriority="99" w:name="Normal Table"/>
    <w:lsdException w:unhideWhenUsed="0" w:uiPriority="99" w:semiHidden="0" w:name="annotation subject"/>
    <w:lsdException w:unhideWhenUsed="0" w:uiPriority="99" w:semiHidden="0" w:name="Table Simple 1"/>
    <w:lsdException w:unhideWhenUsed="0" w:uiPriority="99" w:semiHidden="0" w:name="Table Simple 2"/>
    <w:lsdException w:unhideWhenUsed="0" w:uiPriority="99" w:semiHidden="0" w:name="Table Simple 3"/>
    <w:lsdException w:unhideWhenUsed="0" w:uiPriority="99" w:semiHidden="0" w:name="Table Classic 1"/>
    <w:lsdException w:unhideWhenUsed="0" w:uiPriority="99" w:semiHidden="0" w:name="Table Classic 2"/>
    <w:lsdException w:unhideWhenUsed="0" w:uiPriority="99" w:semiHidden="0" w:name="Table Classic 3"/>
    <w:lsdException w:unhideWhenUsed="0" w:uiPriority="99" w:semiHidden="0" w:name="Table Classic 4"/>
    <w:lsdException w:unhideWhenUsed="0" w:uiPriority="99" w:semiHidden="0" w:name="Table Colorful 1"/>
    <w:lsdException w:unhideWhenUsed="0" w:uiPriority="99" w:semiHidden="0" w:name="Table Colorful 2"/>
    <w:lsdException w:unhideWhenUsed="0" w:uiPriority="99" w:semiHidden="0" w:name="Table Colorful 3"/>
    <w:lsdException w:unhideWhenUsed="0" w:uiPriority="99" w:semiHidden="0" w:name="Table Columns 1"/>
    <w:lsdException w:unhideWhenUsed="0" w:uiPriority="99" w:semiHidden="0" w:name="Table Columns 2"/>
    <w:lsdException w:unhideWhenUsed="0" w:uiPriority="99" w:semiHidden="0" w:name="Table Columns 3"/>
    <w:lsdException w:unhideWhenUsed="0" w:uiPriority="99" w:semiHidden="0" w:name="Table Columns 4"/>
    <w:lsdException w:unhideWhenUsed="0" w:uiPriority="99" w:semiHidden="0" w:name="Table Columns 5"/>
    <w:lsdException w:unhideWhenUsed="0" w:uiPriority="99" w:semiHidden="0" w:name="Table Grid 1"/>
    <w:lsdException w:unhideWhenUsed="0" w:uiPriority="99" w:semiHidden="0" w:name="Table Grid 2"/>
    <w:lsdException w:unhideWhenUsed="0" w:uiPriority="99" w:semiHidden="0" w:name="Table Grid 3"/>
    <w:lsdException w:unhideWhenUsed="0" w:uiPriority="99" w:semiHidden="0" w:name="Table Grid 4"/>
    <w:lsdException w:unhideWhenUsed="0" w:uiPriority="99" w:semiHidden="0" w:name="Table Grid 5"/>
    <w:lsdException w:unhideWhenUsed="0" w:uiPriority="99" w:semiHidden="0" w:name="Table Grid 6"/>
    <w:lsdException w:unhideWhenUsed="0" w:uiPriority="99" w:semiHidden="0" w:name="Table Grid 7"/>
    <w:lsdException w:unhideWhenUsed="0" w:uiPriority="99" w:semiHidden="0" w:name="Table Grid 8"/>
    <w:lsdException w:unhideWhenUsed="0" w:uiPriority="99" w:semiHidden="0" w:name="Table List 1"/>
    <w:lsdException w:unhideWhenUsed="0" w:uiPriority="99" w:semiHidden="0" w:name="Table List 2"/>
    <w:lsdException w:unhideWhenUsed="0" w:uiPriority="99" w:semiHidden="0" w:name="Table List 3"/>
    <w:lsdException w:unhideWhenUsed="0" w:uiPriority="99" w:semiHidden="0" w:name="Table List 4"/>
    <w:lsdException w:unhideWhenUsed="0" w:uiPriority="99" w:semiHidden="0" w:name="Table List 5"/>
    <w:lsdException w:unhideWhenUsed="0" w:uiPriority="99" w:semiHidden="0" w:name="Table List 6"/>
    <w:lsdException w:unhideWhenUsed="0" w:uiPriority="99" w:semiHidden="0" w:name="Table List 7"/>
    <w:lsdException w:unhideWhenUsed="0" w:uiPriority="99" w:semiHidden="0" w:name="Table List 8"/>
    <w:lsdException w:unhideWhenUsed="0" w:uiPriority="99" w:semiHidden="0" w:name="Table 3D effects 1"/>
    <w:lsdException w:unhideWhenUsed="0" w:uiPriority="99" w:semiHidden="0" w:name="Table 3D effects 2"/>
    <w:lsdException w:unhideWhenUsed="0" w:uiPriority="99" w:semiHidden="0" w:name="Table 3D effects 3"/>
    <w:lsdException w:unhideWhenUsed="0" w:uiPriority="99" w:semiHidden="0" w:name="Table Contemporary"/>
    <w:lsdException w:unhideWhenUsed="0" w:uiPriority="99" w:semiHidden="0" w:name="Table Elegant"/>
    <w:lsdException w:unhideWhenUsed="0" w:uiPriority="99" w:semiHidden="0" w:name="Table Professional"/>
    <w:lsdException w:unhideWhenUsed="0" w:uiPriority="99" w:semiHidden="0" w:name="Table Subtle 1"/>
    <w:lsdException w:unhideWhenUsed="0" w:uiPriority="99" w:semiHidden="0" w:name="Table Subtle 2"/>
    <w:lsdException w:unhideWhenUsed="0" w:uiPriority="99" w:semiHidden="0" w:name="Table Web 1"/>
    <w:lsdException w:unhideWhenUsed="0" w:uiPriority="99" w:semiHidden="0" w:name="Table Web 2"/>
    <w:lsdException w:unhideWhenUsed="0" w:uiPriority="99" w:semiHidden="0" w:name="Table Web 3"/>
    <w:lsdException w:qFormat="1" w:unhideWhenUsed="0" w:uiPriority="99" w:semiHidden="0" w:name="Balloon Text"/>
    <w:lsdException w:unhideWhenUsed="0" w:uiPriority="9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sz w:val="18"/>
      <w:szCs w:val="18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  <w:style w:type="paragraph" w:styleId="3">
    <w:name w:val="Balloon Text"/>
    <w:basedOn w:val="1"/>
    <w:link w:val="17"/>
    <w:qFormat/>
    <w:uiPriority w:val="99"/>
  </w:style>
  <w:style w:type="character" w:customStyle="1" w:styleId="6">
    <w:name w:val="默认段落字体1"/>
    <w:semiHidden/>
    <w:qFormat/>
    <w:uiPriority w:val="0"/>
  </w:style>
  <w:style w:type="table" w:customStyle="1" w:styleId="7">
    <w:name w:val="普通表格1"/>
    <w:semiHidden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文档结构图1"/>
    <w:basedOn w:val="1"/>
    <w:semiHidden/>
    <w:qFormat/>
    <w:uiPriority w:val="0"/>
    <w:pPr>
      <w:shd w:val="clear" w:color="auto" w:fill="000080"/>
    </w:pPr>
  </w:style>
  <w:style w:type="paragraph" w:customStyle="1" w:styleId="9">
    <w:name w:val="页脚1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</w:style>
  <w:style w:type="character" w:customStyle="1" w:styleId="10">
    <w:name w:val="页脚 Char"/>
    <w:link w:val="9"/>
    <w:qFormat/>
    <w:uiPriority w:val="0"/>
    <w:rPr>
      <w:sz w:val="18"/>
      <w:szCs w:val="18"/>
    </w:rPr>
  </w:style>
  <w:style w:type="paragraph" w:customStyle="1" w:styleId="11">
    <w:name w:val="页眉1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</w:style>
  <w:style w:type="character" w:customStyle="1" w:styleId="12">
    <w:name w:val="页眉 Char"/>
    <w:link w:val="11"/>
    <w:qFormat/>
    <w:uiPriority w:val="0"/>
    <w:rPr>
      <w:sz w:val="18"/>
      <w:szCs w:val="18"/>
    </w:rPr>
  </w:style>
  <w:style w:type="character" w:customStyle="1" w:styleId="13">
    <w:name w:val="强调1"/>
    <w:qFormat/>
    <w:uiPriority w:val="0"/>
    <w:rPr>
      <w:i/>
      <w:iCs/>
    </w:rPr>
  </w:style>
  <w:style w:type="character" w:customStyle="1" w:styleId="14">
    <w:name w:val="超链接1"/>
    <w:qFormat/>
    <w:uiPriority w:val="0"/>
    <w:rPr>
      <w:color w:val="0000FF"/>
      <w:u w:val="single"/>
    </w:rPr>
  </w:style>
  <w:style w:type="character" w:customStyle="1" w:styleId="15">
    <w:name w:val="样式 黑体 小二 加粗"/>
    <w:qFormat/>
    <w:uiPriority w:val="0"/>
    <w:rPr>
      <w:rFonts w:ascii="黑体" w:eastAsia="黑体"/>
      <w:b/>
      <w:bCs/>
      <w:color w:val="000000"/>
      <w:sz w:val="36"/>
      <w:szCs w:val="36"/>
    </w:rPr>
  </w:style>
  <w:style w:type="paragraph" w:customStyle="1" w:styleId="16">
    <w:name w:val="样式 黑体 小二 加粗 居中"/>
    <w:basedOn w:val="1"/>
    <w:qFormat/>
    <w:uiPriority w:val="0"/>
    <w:pPr>
      <w:jc w:val="center"/>
    </w:pPr>
    <w:rPr>
      <w:rFonts w:ascii="黑体" w:eastAsia="黑体"/>
      <w:bCs/>
      <w:sz w:val="36"/>
      <w:szCs w:val="36"/>
    </w:rPr>
  </w:style>
  <w:style w:type="character" w:customStyle="1" w:styleId="17">
    <w:name w:val="批注框文本 Char"/>
    <w:basedOn w:val="5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satMod val="300000"/>
                <a:tint val="50000"/>
              </a:schemeClr>
            </a:gs>
            <a:gs pos="35000">
              <a:schemeClr val="phClr">
                <a:satMod val="300000"/>
                <a:tint val="37000"/>
              </a:schemeClr>
            </a:gs>
            <a:gs pos="100000">
              <a:schemeClr val="phClr">
                <a:satMod val="350000"/>
                <a:tint val="1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atMod val="130000"/>
                <a:shade val="51000"/>
              </a:schemeClr>
            </a:gs>
            <a:gs pos="80000">
              <a:schemeClr val="phClr">
                <a:satMod val="130000"/>
                <a:shade val="93000"/>
              </a:schemeClr>
            </a:gs>
            <a:gs pos="100000">
              <a:schemeClr val="phClr">
                <a:satMod val="135000"/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atMod val="105000"/>
              <a:shade val="9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atMod val="350000"/>
                <a:tint val="40000"/>
              </a:schemeClr>
            </a:gs>
            <a:gs pos="40000">
              <a:schemeClr val="phClr">
                <a:satMod val="350000"/>
                <a:shade val="99000"/>
                <a:tint val="45000"/>
              </a:schemeClr>
            </a:gs>
            <a:gs pos="100000">
              <a:schemeClr val="phClr">
                <a:satMod val="255000"/>
                <a:shade val="20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satMod val="300000"/>
                <a:tint val="80000"/>
              </a:schemeClr>
            </a:gs>
            <a:gs pos="100000">
              <a:schemeClr val="phClr">
                <a:satMod val="200000"/>
                <a:shade val="3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886</Words>
  <Characters>1034</Characters>
  <Lines>10</Lines>
  <Paragraphs>2</Paragraphs>
  <TotalTime>298</TotalTime>
  <ScaleCrop>false</ScaleCrop>
  <LinksUpToDate>false</LinksUpToDate>
  <CharactersWithSpaces>1110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2025-03-05T03:56:00Z</dcterms:created>
  <dc:creator>Lissk</dc:creator>
  <cp:lastModifiedBy>光哥</cp:lastModifiedBy>
  <cp:lastPrinted>2025-09-19T06:39:00Z</cp:lastPrinted>
  <dcterms:modified xsi:type="dcterms:W3CDTF">2025-11-03T11:42:55Z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eyJoZGlkIjoiZmU0MWRlMWZmNDE4YWExODMxZDVmZTNmMDYxM2MxZjAiLCJ1c2VySWQiOiI5MTA4MDQ4OTgifQ==</vt:lpwstr>
  </property>
  <property fmtid="{D5CDD505-2E9C-101B-9397-08002B2CF9AE}" pid="3" name="KSOProductBuildVer">
    <vt:lpwstr>2052-12.1.0.21915</vt:lpwstr>
  </property>
  <property fmtid="{D5CDD505-2E9C-101B-9397-08002B2CF9AE}" pid="4" name="ICV">
    <vt:lpwstr>5752A20BE436404CBE99669318F88F3C_13</vt:lpwstr>
  </property>
</Properties>
</file>